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61BAD08" w:rsidR="000A7622" w:rsidRPr="00C04F25" w:rsidRDefault="00912ECB" w:rsidP="00D14423">
      <w:pPr>
        <w:autoSpaceDE w:val="0"/>
        <w:autoSpaceDN w:val="0"/>
        <w:adjustRightInd w:val="0"/>
        <w:rPr>
          <w:rFonts w:cstheme="minorHAnsi"/>
          <w:b/>
          <w:bCs/>
          <w:i/>
          <w:iCs/>
          <w:sz w:val="32"/>
          <w:szCs w:val="32"/>
        </w:rPr>
      </w:pPr>
      <w:r>
        <w:rPr>
          <w:rFonts w:cstheme="minorHAnsi"/>
          <w:b/>
          <w:bCs/>
          <w:i/>
          <w:iCs/>
          <w:sz w:val="32"/>
          <w:szCs w:val="32"/>
        </w:rPr>
        <w:t>Social and Cultural Sciences</w:t>
      </w:r>
      <w:r w:rsidR="00761659">
        <w:rPr>
          <w:rFonts w:cstheme="minorHAnsi"/>
          <w:b/>
          <w:bCs/>
          <w:i/>
          <w:iCs/>
          <w:sz w:val="32"/>
          <w:szCs w:val="32"/>
        </w:rPr>
        <w:t xml:space="preserv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761659">
        <w:rPr>
          <w:rFonts w:cstheme="minorHAnsi"/>
          <w:b/>
          <w:bCs/>
          <w:i/>
          <w:iCs/>
          <w:sz w:val="32"/>
          <w:szCs w:val="32"/>
        </w:rPr>
        <w:t xml:space="preserve">Arts and Sciences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3AC2842A" w:rsidR="000A7622" w:rsidRPr="00C04F25" w:rsidRDefault="00E1761F" w:rsidP="00D14423">
      <w:pPr>
        <w:rPr>
          <w:rFonts w:cstheme="minorHAnsi"/>
          <w:sz w:val="24"/>
          <w:szCs w:val="24"/>
        </w:rPr>
      </w:pPr>
      <w:r>
        <w:rPr>
          <w:rFonts w:cstheme="minorHAnsi"/>
          <w:i/>
          <w:sz w:val="24"/>
          <w:szCs w:val="24"/>
          <w:lang w:val="fr-FR"/>
        </w:rPr>
        <w:t xml:space="preserve">Criminal Justice </w:t>
      </w:r>
      <w:proofErr w:type="spellStart"/>
      <w:r>
        <w:rPr>
          <w:rFonts w:cstheme="minorHAnsi"/>
          <w:i/>
          <w:sz w:val="24"/>
          <w:szCs w:val="24"/>
          <w:lang w:val="fr-FR"/>
        </w:rPr>
        <w:t>Review</w:t>
      </w:r>
      <w:proofErr w:type="spellEnd"/>
      <w:r w:rsidR="000A7622" w:rsidRPr="00C04F25">
        <w:rPr>
          <w:rFonts w:cstheme="minorHAnsi"/>
          <w:sz w:val="24"/>
          <w:szCs w:val="24"/>
          <w:lang w:val="fr-FR"/>
        </w:rPr>
        <w:t xml:space="preserve">, Vol. </w:t>
      </w:r>
      <w:r w:rsidR="0012618C">
        <w:rPr>
          <w:rFonts w:cstheme="minorHAnsi"/>
          <w:sz w:val="24"/>
          <w:szCs w:val="24"/>
          <w:lang w:val="fr-FR"/>
        </w:rPr>
        <w:t>38</w:t>
      </w:r>
      <w:r w:rsidR="000A7622" w:rsidRPr="00C04F25">
        <w:rPr>
          <w:rFonts w:cstheme="minorHAnsi"/>
          <w:sz w:val="24"/>
          <w:szCs w:val="24"/>
          <w:lang w:val="fr-FR"/>
        </w:rPr>
        <w:t xml:space="preserve">, No. </w:t>
      </w:r>
      <w:r w:rsidR="0012618C">
        <w:rPr>
          <w:rFonts w:cstheme="minorHAnsi"/>
          <w:sz w:val="24"/>
          <w:szCs w:val="24"/>
          <w:lang w:val="fr-FR"/>
        </w:rPr>
        <w:t>1</w:t>
      </w:r>
      <w:r w:rsidR="000A7622" w:rsidRPr="00C04F25">
        <w:rPr>
          <w:rFonts w:cstheme="minorHAnsi"/>
          <w:sz w:val="24"/>
          <w:szCs w:val="24"/>
          <w:lang w:val="fr-FR"/>
        </w:rPr>
        <w:t xml:space="preserve"> (</w:t>
      </w:r>
      <w:r w:rsidR="0012618C">
        <w:rPr>
          <w:rFonts w:cstheme="minorHAnsi"/>
          <w:sz w:val="24"/>
          <w:szCs w:val="24"/>
          <w:lang w:val="fr-FR"/>
        </w:rPr>
        <w:t>2012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12618C">
        <w:rPr>
          <w:rFonts w:cstheme="minorHAnsi"/>
          <w:sz w:val="24"/>
          <w:szCs w:val="24"/>
          <w:lang w:val="fr-FR"/>
        </w:rPr>
        <w:t>29</w:t>
      </w:r>
      <w:r w:rsidR="000A7622" w:rsidRPr="00C04F25">
        <w:rPr>
          <w:rFonts w:cstheme="minorHAnsi"/>
          <w:sz w:val="24"/>
          <w:szCs w:val="24"/>
          <w:lang w:val="fr-FR"/>
        </w:rPr>
        <w:t>-</w:t>
      </w:r>
      <w:r w:rsidR="0012618C">
        <w:rPr>
          <w:rFonts w:cstheme="minorHAnsi"/>
          <w:sz w:val="24"/>
          <w:szCs w:val="24"/>
          <w:lang w:val="fr-FR"/>
        </w:rPr>
        <w:t>49</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12618C">
        <w:rPr>
          <w:rFonts w:cstheme="minorHAnsi"/>
          <w:sz w:val="24"/>
          <w:szCs w:val="24"/>
        </w:rPr>
        <w:t xml:space="preserve">SAGE </w:t>
      </w:r>
      <w:r w:rsidR="000A7622" w:rsidRPr="00C04F25">
        <w:rPr>
          <w:rFonts w:cstheme="minorHAnsi"/>
          <w:sz w:val="24"/>
          <w:szCs w:val="24"/>
        </w:rPr>
        <w:t xml:space="preserve">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12618C">
        <w:rPr>
          <w:rFonts w:cstheme="minorHAnsi"/>
          <w:sz w:val="24"/>
          <w:szCs w:val="24"/>
        </w:rPr>
        <w:t xml:space="preserve">SAGE </w:t>
      </w:r>
      <w:r w:rsidR="000A7622" w:rsidRPr="00C04F25">
        <w:rPr>
          <w:rFonts w:cstheme="minorHAnsi"/>
          <w:sz w:val="24"/>
          <w:szCs w:val="24"/>
        </w:rPr>
        <w:t xml:space="preserve">does not grant permission for this article to be further copied/distributed or hosted elsewhere without the express permission from </w:t>
      </w:r>
      <w:r w:rsidR="0012618C">
        <w:rPr>
          <w:rFonts w:cstheme="minorHAnsi"/>
          <w:sz w:val="24"/>
          <w:szCs w:val="24"/>
        </w:rPr>
        <w:t>SAGE.</w:t>
      </w:r>
      <w:r w:rsidR="000A7622" w:rsidRPr="00C04F25">
        <w:rPr>
          <w:rFonts w:cstheme="minorHAnsi"/>
          <w:sz w:val="24"/>
          <w:szCs w:val="24"/>
        </w:rPr>
        <w:t xml:space="preserve"> </w:t>
      </w:r>
    </w:p>
    <w:bookmarkEnd w:id="1"/>
    <w:p w14:paraId="5BC0075B" w14:textId="39224DEF" w:rsidR="000A7622" w:rsidRDefault="000A7622" w:rsidP="000A7622">
      <w:pPr>
        <w:rPr>
          <w:rFonts w:cstheme="minorHAnsi"/>
        </w:rPr>
      </w:pPr>
    </w:p>
    <w:p w14:paraId="74149007" w14:textId="0C39EA34" w:rsidR="00946FBA" w:rsidRDefault="00946FBA" w:rsidP="00946FBA">
      <w:pPr>
        <w:pStyle w:val="Title"/>
      </w:pPr>
      <w:r w:rsidRPr="00946FBA">
        <w:t>Alcohol Outlets, Social Disorganization, Land Use, and Violence in a Large College Town: Direct and Moderating Effects</w:t>
      </w:r>
    </w:p>
    <w:p w14:paraId="2BD6B9F7" w14:textId="77777777" w:rsidR="00EA15E8" w:rsidRPr="00EA15E8" w:rsidRDefault="00EA15E8" w:rsidP="00EA15E8"/>
    <w:p w14:paraId="24DA91D4" w14:textId="480BFC43" w:rsidR="00946FBA" w:rsidRPr="00EA15E8" w:rsidRDefault="00946FBA" w:rsidP="00EA15E8">
      <w:pPr>
        <w:pStyle w:val="NoSpacing"/>
        <w:rPr>
          <w:sz w:val="32"/>
          <w:szCs w:val="32"/>
        </w:rPr>
      </w:pPr>
      <w:r w:rsidRPr="00EA15E8">
        <w:rPr>
          <w:sz w:val="32"/>
          <w:szCs w:val="32"/>
        </w:rPr>
        <w:t>Aleksandra J. Snowden</w:t>
      </w:r>
    </w:p>
    <w:p w14:paraId="0ED97760" w14:textId="2DCC18C7" w:rsidR="00946FBA" w:rsidRPr="00EA15E8" w:rsidRDefault="00946FBA" w:rsidP="00EA15E8">
      <w:pPr>
        <w:pStyle w:val="NoSpacing"/>
        <w:rPr>
          <w:sz w:val="24"/>
          <w:szCs w:val="24"/>
        </w:rPr>
      </w:pPr>
      <w:r w:rsidRPr="00EA15E8">
        <w:rPr>
          <w:sz w:val="24"/>
          <w:szCs w:val="24"/>
        </w:rPr>
        <w:t>Department of Criminal Justice, University of Wisconsin-Milwaukee, Milwaukee, WI, USA</w:t>
      </w:r>
    </w:p>
    <w:p w14:paraId="09DF5872" w14:textId="42ABCF1D" w:rsidR="00946FBA" w:rsidRPr="00EA15E8" w:rsidRDefault="00946FBA" w:rsidP="00EA15E8">
      <w:pPr>
        <w:pStyle w:val="NoSpacing"/>
        <w:rPr>
          <w:sz w:val="32"/>
          <w:szCs w:val="32"/>
        </w:rPr>
      </w:pPr>
      <w:r w:rsidRPr="00EA15E8">
        <w:rPr>
          <w:sz w:val="32"/>
          <w:szCs w:val="32"/>
        </w:rPr>
        <w:t>William Alex Pridemore</w:t>
      </w:r>
    </w:p>
    <w:p w14:paraId="543565D3" w14:textId="156AC6A8" w:rsidR="00946FBA" w:rsidRPr="00EA15E8" w:rsidRDefault="00923FF9" w:rsidP="00EA15E8">
      <w:pPr>
        <w:pStyle w:val="NoSpacing"/>
        <w:rPr>
          <w:sz w:val="24"/>
          <w:szCs w:val="24"/>
        </w:rPr>
      </w:pPr>
      <w:r w:rsidRPr="00EA15E8">
        <w:rPr>
          <w:sz w:val="24"/>
          <w:szCs w:val="24"/>
        </w:rPr>
        <w:t>Department of Criminal Justice, Indiana University, Bloomington, IN, USA</w:t>
      </w:r>
    </w:p>
    <w:p w14:paraId="3C53CBA9" w14:textId="75B8E7CF" w:rsidR="00923FF9" w:rsidRDefault="00923FF9" w:rsidP="00946FBA"/>
    <w:p w14:paraId="18359E6A" w14:textId="77777777" w:rsidR="00923FF9" w:rsidRPr="00B00123" w:rsidRDefault="00923FF9" w:rsidP="00B00123">
      <w:pPr>
        <w:pStyle w:val="Heading1"/>
      </w:pPr>
      <w:r w:rsidRPr="00B00123">
        <w:t>Abstract</w:t>
      </w:r>
    </w:p>
    <w:p w14:paraId="5C0AF889" w14:textId="77777777" w:rsidR="00923FF9" w:rsidRPr="00923FF9" w:rsidRDefault="00923FF9" w:rsidP="00923FF9">
      <w:r w:rsidRPr="00923FF9">
        <w:t xml:space="preserve">This study examined the direct and moderating effects of alcohol outlet density, social disorganization, and land use on violence in a large college town whose economy is driven by the presence of a flagship state university. Empirical literature points to a consistent association between alcohol outlet density and assault density, and recent research has found social disorganization and land use to moderate the association in urban areas. However, little research has been done to determine whether similar associations hold outside large urban cities. Using geocoded data on assaults and alcohol outlets in Bloomington, Indiana, we estimated ordinary least squares and spatially lagged regression models to determine whether social disorganization and land use </w:t>
      </w:r>
      <w:r w:rsidRPr="00923FF9">
        <w:lastRenderedPageBreak/>
        <w:t>moderate the association between alcohol outlet density and assault. We found a consistent association between outlet density and assault density. In contrast to the findings from urban areas, however, the direct effects of social disorganization and of seven land use types on simple assault density were nonsignificant, nor was social disorganization associated with aggravated assault. Further, the relationship between alcohol outlet density and assault density was moderated by neither social disorganization nor land use. Ecological characteristics like social disorganization and land use may matter less in smaller cities and towns than they do in large urban cities, both in terms of direct effects and when accounting for the relationship between alcohol outlet density and violence.</w:t>
      </w:r>
    </w:p>
    <w:p w14:paraId="69E5D5CC" w14:textId="77777777" w:rsidR="00EA15E8" w:rsidRDefault="00923FF9" w:rsidP="00EA15E8">
      <w:pPr>
        <w:pStyle w:val="Heading1"/>
      </w:pPr>
      <w:r w:rsidRPr="00923FF9">
        <w:t>Keywords</w:t>
      </w:r>
    </w:p>
    <w:p w14:paraId="52DA6AC3" w14:textId="1FE9DD91" w:rsidR="00923FF9" w:rsidRPr="00923FF9" w:rsidRDefault="00923FF9" w:rsidP="00B00123">
      <w:pPr>
        <w:pStyle w:val="Heading3"/>
      </w:pPr>
      <w:r w:rsidRPr="00923FF9">
        <w:t>ecology and crime, spatial analysis, crime, delinquency theory, structural theories of crime causation, violent behavior</w:t>
      </w:r>
    </w:p>
    <w:p w14:paraId="203E9E32" w14:textId="77777777" w:rsidR="00923FF9" w:rsidRPr="00923FF9" w:rsidRDefault="00923FF9" w:rsidP="00B00123">
      <w:pPr>
        <w:pStyle w:val="Heading1"/>
      </w:pPr>
      <w:bookmarkStart w:id="2" w:name="_i2"/>
      <w:bookmarkEnd w:id="2"/>
      <w:r w:rsidRPr="00923FF9">
        <w:t>Introduction</w:t>
      </w:r>
    </w:p>
    <w:p w14:paraId="1D47B876" w14:textId="77777777" w:rsidR="00923FF9" w:rsidRPr="00923FF9" w:rsidRDefault="00923FF9" w:rsidP="00923FF9">
      <w:r w:rsidRPr="00923FF9">
        <w:t xml:space="preserve">This study examined the direct and moderating effects of alcohol outlet density, social disorganization, and land use on assault density in a large college town. Our study contributes to the empirical literature in two </w:t>
      </w:r>
      <w:proofErr w:type="gramStart"/>
      <w:r w:rsidRPr="00923FF9">
        <w:t>key ways</w:t>
      </w:r>
      <w:proofErr w:type="gramEnd"/>
      <w:r w:rsidRPr="00923FF9">
        <w:t xml:space="preserve">. First, we extend the study of the association between alcohol outlet density and community violence rates beyond large cities, where nearly </w:t>
      </w:r>
      <w:proofErr w:type="gramStart"/>
      <w:r w:rsidRPr="00923FF9">
        <w:t>all of</w:t>
      </w:r>
      <w:proofErr w:type="gramEnd"/>
      <w:r w:rsidRPr="00923FF9">
        <w:t xml:space="preserve"> the research has occurred to date. Second, we test to see whether this association is moderated by important local community and area characteristics like social disorganization and land use. Consideration of these potential contextual effects has only recently appeared in the literature and, again, only in large urban settings.</w:t>
      </w:r>
    </w:p>
    <w:p w14:paraId="637C479A" w14:textId="60EA8B24" w:rsidR="00923FF9" w:rsidRPr="00923FF9" w:rsidRDefault="00923FF9" w:rsidP="00923FF9">
      <w:r w:rsidRPr="00923FF9">
        <w:t xml:space="preserve">The relationship between this intoxicating, yet legal substance and violence is a complex one. As Parker and Rebhun (1995) describe, American society has had longstanding ties to both alcohol and violence. Moreover, the public view of alcohol consumption is constantly in flux, depending largely on the level of harm that society attributes to alcohol consumption at the time. For example, in 17th-and 18th-century America, alcohol was highly regarded and universally </w:t>
      </w:r>
      <w:proofErr w:type="gramStart"/>
      <w:r w:rsidRPr="00923FF9">
        <w:t>consumed</w:t>
      </w:r>
      <w:proofErr w:type="gramEnd"/>
      <w:r w:rsidRPr="00923FF9">
        <w:t xml:space="preserve"> and the Puritans called it </w:t>
      </w:r>
      <w:r w:rsidRPr="00923FF9">
        <w:rPr>
          <w:i/>
          <w:iCs/>
        </w:rPr>
        <w:t>the Good Creature of God</w:t>
      </w:r>
      <w:r w:rsidRPr="00923FF9">
        <w:t xml:space="preserve"> (Levine, 1984, p. 110). Economic, social, and political conditions in early 19th- and 20th-century America, however, changed public opinion of alcohol consumption. Physicians and clergy, the usual leaders in advocating reduction in alcohol availability </w:t>
      </w:r>
      <w:proofErr w:type="gramStart"/>
      <w:r w:rsidRPr="00923FF9">
        <w:t>in order to</w:t>
      </w:r>
      <w:proofErr w:type="gramEnd"/>
      <w:r w:rsidRPr="00923FF9">
        <w:t xml:space="preserve"> reduce alcohol-related harm (Snowden &amp; Pridemore, 2008), noted the detrimental effect that heavy and hazardous alcohol consumption had on societal roles and order (Levine, 1984; Parker &amp; Rebhun, 1995). Today, greater research attention to the detrimental effects of alcohol, and better communication of research findings to the public, has again focused public attention on its negative social consequences, including disrupted family ties, reduced economic productivity and efficiency, and violence (Klingemann &amp; </w:t>
      </w:r>
      <w:proofErr w:type="spellStart"/>
      <w:r w:rsidRPr="00923FF9">
        <w:t>Gmel</w:t>
      </w:r>
      <w:proofErr w:type="spellEnd"/>
      <w:r w:rsidRPr="00923FF9">
        <w:t>, 2001).</w:t>
      </w:r>
    </w:p>
    <w:p w14:paraId="31D3DCC0" w14:textId="5BE2483E" w:rsidR="00923FF9" w:rsidRPr="00923FF9" w:rsidRDefault="00923FF9" w:rsidP="00923FF9">
      <w:r w:rsidRPr="00923FF9">
        <w:t>One of the earliest contemporary criminological works to address the role of alcohol in violence was Wolfgang’s (1956) study of criminal homicide. In this early study, Wolfgang found that a substantial proportion of homicide victims and offenders had consumed alcohol (53% of victims and 44% of both victims and offenders in all cases of homicide under investigation). Since the early 1980s, a substantial body of criminological, sociological, and epidemiological literature emerged on this topic. The association between alcohol outlet density and violence is a consistent finding in recent empirical studies from multiple disciplines (Britt, Carlin, Toomey, &amp; Wagenaar, 2005; Gruenewald &amp; Remer, 2006; </w:t>
      </w:r>
      <w:proofErr w:type="spellStart"/>
      <w:r w:rsidRPr="00923FF9">
        <w:t>Laranjeira</w:t>
      </w:r>
      <w:proofErr w:type="spellEnd"/>
      <w:r w:rsidRPr="00923FF9">
        <w:t xml:space="preserve"> &amp; </w:t>
      </w:r>
      <w:proofErr w:type="spellStart"/>
      <w:r w:rsidRPr="00923FF9">
        <w:t>Hinkly</w:t>
      </w:r>
      <w:proofErr w:type="spellEnd"/>
      <w:r w:rsidRPr="00923FF9">
        <w:t>, 2002; Lipton &amp; Gruenewald, 2002; Livingston, 2008a, 2008b; </w:t>
      </w:r>
      <w:proofErr w:type="spellStart"/>
      <w:r w:rsidRPr="00923FF9">
        <w:t>Norström</w:t>
      </w:r>
      <w:proofErr w:type="spellEnd"/>
      <w:r w:rsidRPr="00923FF9">
        <w:t>, 2000; </w:t>
      </w:r>
      <w:proofErr w:type="spellStart"/>
      <w:r w:rsidRPr="00923FF9">
        <w:t>Pridemore</w:t>
      </w:r>
      <w:proofErr w:type="spellEnd"/>
      <w:r w:rsidRPr="00923FF9">
        <w:t xml:space="preserve"> &amp; Grubesic, 2012a; Roman, Reid, Bhati, &amp; Tereshchenko, 2008; Zhu, Gorman, &amp; Horel, 2004). To date, however, there are a couple important limitations to consider. First, most of the research on alcohol availability and violence has been carried out in large urban cities such as Chicago and Cincinnati (e.g., Block &amp; Block, 1995; Pridemore &amp; Grubesic, 2012a). There are theoretical reasons to believe, </w:t>
      </w:r>
      <w:r w:rsidRPr="00923FF9">
        <w:lastRenderedPageBreak/>
        <w:t xml:space="preserve">however, that associations that exist in urban areas may not hold in smaller cities and towns and in rural areas. For example, small towns and rural areas typically lack public transportation means, which means that </w:t>
      </w:r>
      <w:proofErr w:type="gramStart"/>
      <w:r w:rsidRPr="00923FF9">
        <w:t>the majority of</w:t>
      </w:r>
      <w:proofErr w:type="gramEnd"/>
      <w:r w:rsidRPr="00923FF9">
        <w:t xml:space="preserve"> people would be traveling to and from commercial areas (including bars, liquor stores, etc.) by either riding with someone or driving while under the influence of substances. This alone could provide a different type of opportunity for the alcohol and violence association to emerge. Second, most scholars have failed to consider potentially important contextual effects. We believe it is unlikely that the effect of alcohol outlet density on violence is uniform across neighborhoods with different structural characteristics. To date, only a few studies examined the moderating effects that neighborhood characteristics, like social disorganization or neighborhood deprivation, might have on the relationship between alcohol outlet density and violence (e.g., Costanza, Bankston, &amp; </w:t>
      </w:r>
      <w:proofErr w:type="spellStart"/>
      <w:r w:rsidRPr="00923FF9">
        <w:t>Shihadeh</w:t>
      </w:r>
      <w:proofErr w:type="spellEnd"/>
      <w:r w:rsidRPr="00923FF9">
        <w:t xml:space="preserve">, 2001; Pollack, </w:t>
      </w:r>
      <w:proofErr w:type="spellStart"/>
      <w:r w:rsidRPr="00923FF9">
        <w:t>Cubbin</w:t>
      </w:r>
      <w:proofErr w:type="spellEnd"/>
      <w:r w:rsidRPr="00923FF9">
        <w:t xml:space="preserve">, </w:t>
      </w:r>
      <w:proofErr w:type="spellStart"/>
      <w:r w:rsidRPr="00923FF9">
        <w:t>Ahn</w:t>
      </w:r>
      <w:proofErr w:type="spellEnd"/>
      <w:r w:rsidRPr="00923FF9">
        <w:t xml:space="preserve">, &amp; </w:t>
      </w:r>
      <w:proofErr w:type="spellStart"/>
      <w:r w:rsidRPr="00923FF9">
        <w:t>Winkleby</w:t>
      </w:r>
      <w:proofErr w:type="spellEnd"/>
      <w:r w:rsidRPr="00923FF9">
        <w:t>, 2005; </w:t>
      </w:r>
      <w:proofErr w:type="spellStart"/>
      <w:r w:rsidRPr="00923FF9">
        <w:t>Pridemore</w:t>
      </w:r>
      <w:proofErr w:type="spellEnd"/>
      <w:r w:rsidRPr="00923FF9">
        <w:t xml:space="preserve"> &amp; Grubesic, 2012b). While recent research (Pridemore &amp; Grubesic, 2012b, 2012c) reveals that both social disorganization and land use moderate the effect of alcohol outlet density on crime in a large urban city, there are no studies that test for these effects in smaller cities and towns in general, and college cities and </w:t>
      </w:r>
      <w:proofErr w:type="gramStart"/>
      <w:r w:rsidRPr="00923FF9">
        <w:t>towns in particular</w:t>
      </w:r>
      <w:proofErr w:type="gramEnd"/>
      <w:r w:rsidRPr="00923FF9">
        <w:t>.</w:t>
      </w:r>
    </w:p>
    <w:p w14:paraId="27C88A9E" w14:textId="77777777" w:rsidR="00923FF9" w:rsidRPr="00923FF9" w:rsidRDefault="00923FF9" w:rsidP="00B00123">
      <w:pPr>
        <w:pStyle w:val="Heading1"/>
      </w:pPr>
      <w:bookmarkStart w:id="3" w:name="_i3"/>
      <w:bookmarkEnd w:id="3"/>
      <w:r w:rsidRPr="00923FF9">
        <w:t>Literature Review</w:t>
      </w:r>
    </w:p>
    <w:p w14:paraId="537A9335" w14:textId="77777777" w:rsidR="00923FF9" w:rsidRPr="00B00123" w:rsidRDefault="00923FF9" w:rsidP="00B00123">
      <w:pPr>
        <w:pStyle w:val="Heading2"/>
      </w:pPr>
      <w:r w:rsidRPr="00B00123">
        <w:t>Association Between Alcohol Outlets and Violence</w:t>
      </w:r>
    </w:p>
    <w:p w14:paraId="206E40DB" w14:textId="2300EBAD" w:rsidR="00923FF9" w:rsidRPr="00923FF9" w:rsidRDefault="00923FF9" w:rsidP="00923FF9">
      <w:r w:rsidRPr="00923FF9">
        <w:t>Out of necessity due to data availability, the relationship between alcohol outlets and violence is often studied using data from units of analysis whose boundaries are artificially imposed (e.g., zip codes, census tracts, census block groups, and census blocks). Typically, areas that are close to each other share similar levels of crime (Roncek &amp; Montgomery, 1995), which is an example of Tobler’s more general first law of geography: “everything is related to everything else, but near things are more related than distant things” (Tobler, 1970, p. 236). </w:t>
      </w:r>
      <w:proofErr w:type="spellStart"/>
      <w:r w:rsidRPr="00923FF9">
        <w:t>Anselin</w:t>
      </w:r>
      <w:proofErr w:type="spellEnd"/>
      <w:r w:rsidRPr="00923FF9">
        <w:t xml:space="preserve"> (1988) proposed spatially informed statistical methods that could be used across different disciplines to control for the potential influence that spatial processes in neighboring areas can have on a variable of interest. Millar and Gruenewald (1997) specifically proposed statistical techniques that can adjust for the effect of spatial dependence on community-level alcohol studies. Gorman, Speer, </w:t>
      </w:r>
      <w:proofErr w:type="spellStart"/>
      <w:r w:rsidRPr="00923FF9">
        <w:t>Labouvie</w:t>
      </w:r>
      <w:proofErr w:type="spellEnd"/>
      <w:r w:rsidRPr="00923FF9">
        <w:t xml:space="preserve">, and </w:t>
      </w:r>
      <w:proofErr w:type="spellStart"/>
      <w:r w:rsidRPr="00923FF9">
        <w:t>Subaiya</w:t>
      </w:r>
      <w:proofErr w:type="spellEnd"/>
      <w:r w:rsidRPr="00923FF9">
        <w:t>, (1998) noted the need to use alternative statistical approaches to better examine the relationship between alcohol and violence, hinting that statistical methods used in previous studies did not account for Tobler’s first law of geography. Criminological scholars are increasingly more sensitive to the influence of space and place in violent encounters, and they are using increasingly sophisticated spatial techniques to better understand the relationship between alcohol outlets and violence. For example, Murray and Roncek (2008) explored the impact of using two different analytical methods (i.e., radial buffers and adjacency techniques) to measure geographical diffusion of assaults around bars, concluding that the results are dependent on the method used. Additionally, Grubesic and Pridemore (2011) moved beyond simply controlling for spatial autocorrelation and examined one aspect of the spatial nature of the relationship in their application of spatial proximity analysis.</w:t>
      </w:r>
    </w:p>
    <w:p w14:paraId="40BADAEA" w14:textId="1BA722CC" w:rsidR="00923FF9" w:rsidRPr="00923FF9" w:rsidRDefault="00923FF9" w:rsidP="00923FF9">
      <w:r w:rsidRPr="00923FF9">
        <w:t xml:space="preserve">Early empirical studies found a nonsignificant association between alcohol outlet density and violence (Block &amp; Block, 1995; Gorman, Speer, </w:t>
      </w:r>
      <w:proofErr w:type="spellStart"/>
      <w:r w:rsidRPr="00923FF9">
        <w:t>Labouvie</w:t>
      </w:r>
      <w:proofErr w:type="spellEnd"/>
      <w:r w:rsidRPr="00923FF9">
        <w:t xml:space="preserve">, &amp; </w:t>
      </w:r>
      <w:proofErr w:type="spellStart"/>
      <w:r w:rsidRPr="00923FF9">
        <w:t>Subaiya</w:t>
      </w:r>
      <w:proofErr w:type="spellEnd"/>
      <w:r w:rsidRPr="00923FF9">
        <w:t>, 1998), though more recent studies have indicated consistent evidence of this relationship (Britt et al., 2005; Gruenewald &amp; Remer, 2006; </w:t>
      </w:r>
      <w:proofErr w:type="spellStart"/>
      <w:r w:rsidRPr="00923FF9">
        <w:t>Laranjeira</w:t>
      </w:r>
      <w:proofErr w:type="spellEnd"/>
      <w:r w:rsidRPr="00923FF9">
        <w:t xml:space="preserve"> &amp; </w:t>
      </w:r>
      <w:proofErr w:type="spellStart"/>
      <w:r w:rsidRPr="00923FF9">
        <w:t>Hinkly</w:t>
      </w:r>
      <w:proofErr w:type="spellEnd"/>
      <w:r w:rsidRPr="00923FF9">
        <w:t>, 2002; Lipton &amp; Gruenewald, 2002; Livingston, 2008a, 2008b; </w:t>
      </w:r>
      <w:proofErr w:type="spellStart"/>
      <w:r w:rsidRPr="00923FF9">
        <w:t>Norström</w:t>
      </w:r>
      <w:proofErr w:type="spellEnd"/>
      <w:r w:rsidRPr="00923FF9">
        <w:t>, 2000; </w:t>
      </w:r>
      <w:proofErr w:type="spellStart"/>
      <w:r w:rsidRPr="00923FF9">
        <w:t>Pridemore</w:t>
      </w:r>
      <w:proofErr w:type="spellEnd"/>
      <w:r w:rsidRPr="00923FF9">
        <w:t xml:space="preserve"> &amp; Grubesic, 2012a; Roman et al., 2008; Zhu et al., 2004). The association between alcohol outlets and violence is usually strongest in smaller units of analysis (e.g., census block groups, census tracts), because using larger units of analysis (e.g., zip codes, cities, states) may obscure the fundamental nature of the localized effects of alcohol outlet density (Parker &amp; Wolz, 1979).</w:t>
      </w:r>
    </w:p>
    <w:p w14:paraId="5B6D162D" w14:textId="4A9C03C0" w:rsidR="00923FF9" w:rsidRPr="00923FF9" w:rsidRDefault="00923FF9" w:rsidP="00923FF9">
      <w:r w:rsidRPr="00923FF9">
        <w:t xml:space="preserve">Several empirical studies found a significant association between outlet density and assault rate (Alaniz, Cartmill, &amp; Parker, 1998; Gorman, Speer, Gruenewald, &amp; </w:t>
      </w:r>
      <w:proofErr w:type="spellStart"/>
      <w:r w:rsidRPr="00923FF9">
        <w:t>Labouvie</w:t>
      </w:r>
      <w:proofErr w:type="spellEnd"/>
      <w:r w:rsidRPr="00923FF9">
        <w:t xml:space="preserve">, 2001; Reid, Hughey, &amp; Peterson, 2003; Scribner, Cohen, Kaplan, &amp; Allen, 1999), and changes in outlet density and changes in assault rate (Gruenewald, </w:t>
      </w:r>
      <w:proofErr w:type="spellStart"/>
      <w:r w:rsidRPr="00923FF9">
        <w:t>Freisthler</w:t>
      </w:r>
      <w:proofErr w:type="spellEnd"/>
      <w:r w:rsidRPr="00923FF9">
        <w:t xml:space="preserve">, </w:t>
      </w:r>
      <w:r w:rsidRPr="00923FF9">
        <w:lastRenderedPageBreak/>
        <w:t xml:space="preserve">Remer, </w:t>
      </w:r>
      <w:proofErr w:type="spellStart"/>
      <w:r w:rsidRPr="00923FF9">
        <w:t>LaScala</w:t>
      </w:r>
      <w:proofErr w:type="spellEnd"/>
      <w:r w:rsidRPr="00923FF9">
        <w:t xml:space="preserve">, &amp; </w:t>
      </w:r>
      <w:proofErr w:type="spellStart"/>
      <w:r w:rsidRPr="00923FF9">
        <w:t>Treno</w:t>
      </w:r>
      <w:proofErr w:type="spellEnd"/>
      <w:r w:rsidRPr="00923FF9">
        <w:t>, 2006; Livingston, 2008b). Additionally, a related genre of studies found that that the strength of the association varies by outlet type such as liquor stores and bars (Gorman et al., 1998; Gruenewald &amp; Remer, 2006; Lipton &amp; Gruenewald, 2002; Roman et al., 2008; Scribner, MacKinnon, &amp; Dwyer, 1995). Off-</w:t>
      </w:r>
      <w:proofErr w:type="gramStart"/>
      <w:r w:rsidRPr="00923FF9">
        <w:t>premise</w:t>
      </w:r>
      <w:proofErr w:type="gramEnd"/>
      <w:r w:rsidRPr="00923FF9">
        <w:t xml:space="preserve"> alcohol outlets are also known as package-only stores and include liquor, convenience, and grocery stores. </w:t>
      </w:r>
      <w:proofErr w:type="gramStart"/>
      <w:r w:rsidRPr="00923FF9">
        <w:t>On-premise</w:t>
      </w:r>
      <w:proofErr w:type="gramEnd"/>
      <w:r w:rsidRPr="00923FF9">
        <w:t xml:space="preserve"> alcohol outlets, on the other hand, are those where consumption takes place at the outlet itself (e.g., restaurants, taverns, bars, social clubs, etc.). Scribner et al. (1995), for example, controlled for indicators commonly used to measure social disorganization and found that the rate of assaultive violence was significantly associated with the density of both off-</w:t>
      </w:r>
      <w:proofErr w:type="gramStart"/>
      <w:r w:rsidRPr="00923FF9">
        <w:t>premise</w:t>
      </w:r>
      <w:proofErr w:type="gramEnd"/>
      <w:r w:rsidRPr="00923FF9">
        <w:t xml:space="preserve"> and on-premise alcohol outlets, although the effect size was higher for the density of off-premise alcohol outlets </w:t>
      </w:r>
      <m:oMath>
        <m:r>
          <w:rPr>
            <w:rFonts w:ascii="Cambria Math" w:hAnsi="Cambria Math"/>
          </w:rPr>
          <m:t>(β = .56)</m:t>
        </m:r>
      </m:oMath>
      <w:r w:rsidRPr="00923FF9">
        <w:t xml:space="preserve"> relative to the density of on-premise alcohol outlets </w:t>
      </w:r>
      <m:oMath>
        <m:r>
          <w:rPr>
            <w:rFonts w:ascii="Cambria Math" w:hAnsi="Cambria Math"/>
          </w:rPr>
          <m:t>(β = .36)</m:t>
        </m:r>
      </m:oMath>
      <w:r w:rsidRPr="00923FF9">
        <w:t>. More recent studies confirmed that off-</w:t>
      </w:r>
      <w:proofErr w:type="gramStart"/>
      <w:r w:rsidRPr="00923FF9">
        <w:t>premise</w:t>
      </w:r>
      <w:proofErr w:type="gramEnd"/>
      <w:r w:rsidRPr="00923FF9">
        <w:t xml:space="preserve"> alcohol outlets have a stronger relationship with violence compared to the effect of bars and restaurants. For example, Branas, Elliott, Richmond, Culhane, and Wiebe (2009) found that being in an area of high off-</w:t>
      </w:r>
      <w:proofErr w:type="gramStart"/>
      <w:r w:rsidRPr="00923FF9">
        <w:t>premise</w:t>
      </w:r>
      <w:proofErr w:type="gramEnd"/>
      <w:r w:rsidRPr="00923FF9">
        <w:t xml:space="preserve"> alcohol availability significantly increases the risk of being assaulted with a gun, while being in an area of high on-premise alcohol outlet availability does not change the risk. Costanza et al. (2001) controlled for elements commonly used to measure social disorganization and spatial autocorrelation and confirmed that the density of package-only (i.e., off-</w:t>
      </w:r>
      <w:proofErr w:type="gramStart"/>
      <w:r w:rsidRPr="00923FF9">
        <w:t>premise</w:t>
      </w:r>
      <w:proofErr w:type="gramEnd"/>
      <w:r w:rsidRPr="00923FF9">
        <w:t>) outlets increases the risk of violent crime but that the density of taverns (i.e., on-premise) had no effect. Additionally, Gruenewald et al. (2006) found that assault rates were significantly related to local densities of off-</w:t>
      </w:r>
      <w:proofErr w:type="gramStart"/>
      <w:r w:rsidRPr="00923FF9">
        <w:t>premise</w:t>
      </w:r>
      <w:proofErr w:type="gramEnd"/>
      <w:r w:rsidRPr="00923FF9">
        <w:t xml:space="preserve"> alcohol outlets but not to the density of on-premise alcohol outlets. Similarly, Pridemore and Grubesic (2012a) found that the association between alcohol outlet density and violence rates was stronger for off-</w:t>
      </w:r>
      <w:proofErr w:type="gramStart"/>
      <w:r w:rsidRPr="00923FF9">
        <w:t>premise</w:t>
      </w:r>
      <w:proofErr w:type="gramEnd"/>
      <w:r w:rsidRPr="00923FF9">
        <w:t xml:space="preserve"> alcohol outlets relative to on-premise alcohol outlets.</w:t>
      </w:r>
    </w:p>
    <w:p w14:paraId="02F8AE05" w14:textId="77777777" w:rsidR="00923FF9" w:rsidRPr="00923FF9" w:rsidRDefault="00923FF9" w:rsidP="00B00123">
      <w:pPr>
        <w:pStyle w:val="Heading2"/>
      </w:pPr>
      <w:r w:rsidRPr="00923FF9">
        <w:t>Social Disorganization, Alcohol Outlets, and Violence</w:t>
      </w:r>
    </w:p>
    <w:p w14:paraId="193897FD" w14:textId="2E3E21AB" w:rsidR="00923FF9" w:rsidRPr="00923FF9" w:rsidRDefault="00923FF9" w:rsidP="00923FF9">
      <w:r w:rsidRPr="00923FF9">
        <w:t>Social disorganization is a characteristic of neighborhoods that has consistently been found to have direct effects on neighborhood crime rates (Sampson &amp; Groves, 1989; Sampson, Raudenbush, &amp; Earls, 1997; Shaw &amp; McKay, 1942). Additionally, social disorganization has been found to moderate the association between alcohol outlet density and assault density in a large city (Pridemore &amp; Grubesic, 2012b). Specifically, the strength of the association between alcohol availability and violence is greater in disorganized communities (</w:t>
      </w:r>
      <w:proofErr w:type="spellStart"/>
      <w:r w:rsidRPr="00923FF9">
        <w:t>Roncek</w:t>
      </w:r>
      <w:proofErr w:type="spellEnd"/>
      <w:r w:rsidRPr="00923FF9">
        <w:t xml:space="preserve"> &amp; </w:t>
      </w:r>
      <w:proofErr w:type="spellStart"/>
      <w:r w:rsidRPr="00923FF9">
        <w:t>Pravatiner</w:t>
      </w:r>
      <w:proofErr w:type="spellEnd"/>
      <w:r w:rsidRPr="00923FF9">
        <w:t>, 1989) and weaker or nonexistent in organized communities (Pridemore &amp; Grubesic, 2012b).</w:t>
      </w:r>
    </w:p>
    <w:p w14:paraId="2B2B71CC" w14:textId="377F4373" w:rsidR="00923FF9" w:rsidRPr="00923FF9" w:rsidRDefault="00923FF9" w:rsidP="00923FF9">
      <w:r w:rsidRPr="00923FF9">
        <w:t xml:space="preserve">We might expect social disorganization to moderate the effects of alcohol outlet density on violence for several reasons. First, disorganized communities lack informal social control mechanisms to monitor and </w:t>
      </w:r>
      <w:proofErr w:type="gramStart"/>
      <w:r w:rsidRPr="00923FF9">
        <w:t>control effectively</w:t>
      </w:r>
      <w:proofErr w:type="gramEnd"/>
      <w:r w:rsidRPr="00923FF9">
        <w:t xml:space="preserve"> the behavior of community members, including outlet patrons. Communities with an insufficient amount of collective efficacy are unable to put a stop to deviant or criminal behavior (Sampson &amp; Raudenbush, 1999), which can send a message that norms within such communities are ambiguous and that no one is watching over the behavior of community members and of outlet patrons.</w:t>
      </w:r>
    </w:p>
    <w:p w14:paraId="3CB96205" w14:textId="037C72D3" w:rsidR="00923FF9" w:rsidRPr="00923FF9" w:rsidRDefault="00923FF9" w:rsidP="00923FF9">
      <w:r w:rsidRPr="00923FF9">
        <w:t>Second, disorganized communities are less able to control the actions and decisions of outlet owners, managers, or staff and to demand responsible retailing and serving practices on behalf of the outlets. This is especially important because a recent study by Lugo (2008) found that these practices, such as serving intoxicated patrons and happy-hour promotions, are more important predictors of neighborhood crime than bar density. Additionally, when outlet managers or owners create safer drinking environments (e.g., use drinking glasses that break into smaller pieces that are safer than the typical glasses that break into shards, modify the location of bar counters or restrooms to create less physical interaction and bumping of clients into one another), this can result in fewer instances of aggression or alcohol-related harm in general (Green &amp; Plant, 2007).</w:t>
      </w:r>
    </w:p>
    <w:p w14:paraId="2EF23B86" w14:textId="4989EE02" w:rsidR="00923FF9" w:rsidRPr="00923FF9" w:rsidRDefault="00923FF9" w:rsidP="00923FF9">
      <w:r w:rsidRPr="00923FF9">
        <w:t xml:space="preserve">Finally, disorganized communities are less able to influence officials like local police departments and city officials to control problematic alcohol outlets. In organized communities, if problems associated with alcohol consumption exist (e.g., public intoxication, disorder, etc.), community members tend to organize their efforts </w:t>
      </w:r>
      <w:r w:rsidRPr="00923FF9">
        <w:lastRenderedPageBreak/>
        <w:t>and demand assistance from local police department to reduce such problems (e.g., via increased deployment of officers around alcohol outlets). Additionally, citizens in organized communities are probably more likely to attend local alcohol board meetings and exert influence over whether an additional alcohol outlet can open in a particular neighborhood. Although not studying community members’ opposition to alcohol outlets, Piat (2000) showed how effective community organization can be. In her study, residents opposed implementation of a group home for adult former psychiatric patients, and upon learning about the group home they immediately organized their efforts to circulate petitions and held public information meetings. Disorganized communities may be less able to mount opposition and to be able to influence city officials, and they may not only be less likely to work together with local police departments but may in fact have antagonistic relationships with police.</w:t>
      </w:r>
    </w:p>
    <w:p w14:paraId="1DE25820" w14:textId="77777777" w:rsidR="00923FF9" w:rsidRPr="00923FF9" w:rsidRDefault="00923FF9" w:rsidP="00B00123">
      <w:pPr>
        <w:pStyle w:val="Heading2"/>
      </w:pPr>
      <w:r w:rsidRPr="00923FF9">
        <w:t>Land Use, Alcohol Outlets, and Violence</w:t>
      </w:r>
    </w:p>
    <w:p w14:paraId="0F5B924E" w14:textId="7CE56A28" w:rsidR="00923FF9" w:rsidRPr="00923FF9" w:rsidRDefault="00923FF9" w:rsidP="00923FF9">
      <w:r w:rsidRPr="00923FF9">
        <w:t>The contribution of the built environment on crime and the quality of life of community members was first noted by Shaw and McKay (1942), and subsequently by Jacobs (1961) in her discussion of the landscape of American cities. She suggested, for example, that residential land use that also contains areas with high commercial density provides an increased social interaction as people begin to recognize and to know each other. Thus, at high densities Jacobs (1961) suggests that mixed land use can reduce violence by providing natural surveillance. On the other hand, strictly commercial land use provides opportunity for interaction in time and space of people who do not know each other, and thus such land use may be associated with higher rates of violence. This early work on the impact of the built environment (including land use patterns) suggested that the structure of cities can diminish or improve the quality of life of its citizens.</w:t>
      </w:r>
    </w:p>
    <w:p w14:paraId="4708632C" w14:textId="487A71DB" w:rsidR="00923FF9" w:rsidRPr="00923FF9" w:rsidRDefault="00923FF9" w:rsidP="00923FF9">
      <w:r w:rsidRPr="00923FF9">
        <w:t xml:space="preserve">The association between land use and violence has been examined in </w:t>
      </w:r>
      <w:proofErr w:type="gramStart"/>
      <w:r w:rsidRPr="00923FF9">
        <w:t>a number of</w:t>
      </w:r>
      <w:proofErr w:type="gramEnd"/>
      <w:r w:rsidRPr="00923FF9">
        <w:t xml:space="preserve"> empirical studies (Browning et al., 2010; Cahill, 2005; Hirschfield &amp; Bowers, 1997; Sampson &amp; Raudenbush, 1999; Stucky &amp; </w:t>
      </w:r>
      <w:proofErr w:type="spellStart"/>
      <w:r w:rsidRPr="00923FF9">
        <w:t>Ottensmann</w:t>
      </w:r>
      <w:proofErr w:type="spellEnd"/>
      <w:r w:rsidRPr="00923FF9">
        <w:t xml:space="preserve">, 2009). While the results of these studies are mixed in terms of the effect of land use on violence, they are helpful in identifying the types of land uses that are likely to contribute to greater rates of violence. Sampson and Raudenbush (1999) found that mixed land use had no direct effect on crime, but more recent studies (Browning et al., 2010; Cahill, 2005) found a negative effect. Browning et al. (2010), for example, found that, beyond a threshold, commercial and residential density is negatively and significantly associated with homicide rate. Others have found that nonresidential areas are more likely to have higher crime rates relative to residential areas (Hirschfield &amp; Bowers, 1997; Lockwood, 2007). Nonresidential areas may also have more physical deterioration than residential areas (Taylor, Koons, Kurtz, Greene, &amp; Perkins, 1995), which sends a message of lower </w:t>
      </w:r>
      <w:proofErr w:type="gramStart"/>
      <w:r w:rsidRPr="00923FF9">
        <w:t>guardianship</w:t>
      </w:r>
      <w:proofErr w:type="gramEnd"/>
      <w:r w:rsidRPr="00923FF9">
        <w:t xml:space="preserve"> and that antisocial behavior may go unnoticed or at best unreported.</w:t>
      </w:r>
    </w:p>
    <w:p w14:paraId="27D1689A" w14:textId="6F4E0153" w:rsidR="00923FF9" w:rsidRPr="00923FF9" w:rsidRDefault="00923FF9" w:rsidP="00923FF9">
      <w:r w:rsidRPr="00923FF9">
        <w:t xml:space="preserve">A recent study of land use </w:t>
      </w:r>
      <w:proofErr w:type="gramStart"/>
      <w:r w:rsidRPr="00923FF9">
        <w:t>takes into account</w:t>
      </w:r>
      <w:proofErr w:type="gramEnd"/>
      <w:r w:rsidRPr="00923FF9">
        <w:t xml:space="preserve"> not only the direct effect of different land uses on crime but also the conditioning effect of social disorganization on the association between land use and crime (Stucky &amp; </w:t>
      </w:r>
      <w:proofErr w:type="spellStart"/>
      <w:r w:rsidRPr="00923FF9">
        <w:t>Ottensmann</w:t>
      </w:r>
      <w:proofErr w:type="spellEnd"/>
      <w:r w:rsidRPr="00923FF9">
        <w:t>, 2009). The findings from this study suggest that both residential (and specifically high-density residential land use) and commercial land uses are associated with higher violent crime rates. Additionally, they found that high-density residential land use moderates the relationship between social disadvantage and violent crime. The moderating effect of land use on the association between a structural-level variable (e.g., social disadvantage) and violent crime suggests that land use may also moderate the relationship between other types of structural-level variables (e.g., alcohol outlet density) and violence. In fact, a recent study by Pridemore and Grubesic (2012c) using Cincinnati, Ohio, block groups found that several land use types consistently conditioned the effects of different types of alcohol outlets (i.e., off-</w:t>
      </w:r>
      <w:proofErr w:type="gramStart"/>
      <w:r w:rsidRPr="00923FF9">
        <w:t>premise</w:t>
      </w:r>
      <w:proofErr w:type="gramEnd"/>
      <w:r w:rsidRPr="00923FF9">
        <w:t>, bars, restaurants) on both simple and aggravated assaults.</w:t>
      </w:r>
    </w:p>
    <w:p w14:paraId="27A698B7" w14:textId="77777777" w:rsidR="00923FF9" w:rsidRPr="00923FF9" w:rsidRDefault="00923FF9" w:rsidP="00B00123">
      <w:pPr>
        <w:pStyle w:val="Heading2"/>
      </w:pPr>
      <w:r w:rsidRPr="00923FF9">
        <w:t>Hypotheses</w:t>
      </w:r>
    </w:p>
    <w:p w14:paraId="3D3D63DF" w14:textId="77777777" w:rsidR="00923FF9" w:rsidRPr="00923FF9" w:rsidRDefault="00923FF9" w:rsidP="00923FF9">
      <w:r w:rsidRPr="00923FF9">
        <w:t xml:space="preserve">Given the social theory and empirical findings discussed thus far, we tested four hypotheses in our study. First, there is a positive association between alcohol outlet density and assault density. Second, there is a positive </w:t>
      </w:r>
      <w:r w:rsidRPr="00923FF9">
        <w:lastRenderedPageBreak/>
        <w:t>association between social disorganization and assault density. The third hypothesis is exploratory in nature and tests for an association between several different land use types and assault density. Finally, and most importantly, the fourth hypothesis is that social disorganization and land use will condition the effects of alcohol outlet density on assault density. A key innovation of our study is that all the prior analyses of this type used large urban cities as their study area. There are reasons to believe that social characteristics manifest themselves in different ways in smaller cities, towns, and rural areas, however, and so we want to determine whether these associations hold in a large college town where the economy and culture are driven by the presence of a major university. For example, in smaller cities and college towns like Bloomington, while social disorganization may vary across the city, it may not reach the levels of social disorganization that exists in urban areas, and it also may be qualitatively different from social disorganization in urban areas.</w:t>
      </w:r>
    </w:p>
    <w:p w14:paraId="772D2F1C" w14:textId="77777777" w:rsidR="00923FF9" w:rsidRPr="00923FF9" w:rsidRDefault="00923FF9" w:rsidP="003A2EBB">
      <w:pPr>
        <w:pStyle w:val="Heading1"/>
      </w:pPr>
      <w:bookmarkStart w:id="4" w:name="_i8"/>
      <w:bookmarkEnd w:id="4"/>
      <w:r w:rsidRPr="00923FF9">
        <w:t>Data and Method</w:t>
      </w:r>
    </w:p>
    <w:p w14:paraId="1B7541DB" w14:textId="77777777" w:rsidR="00923FF9" w:rsidRPr="00923FF9" w:rsidRDefault="00923FF9" w:rsidP="003A2EBB">
      <w:pPr>
        <w:pStyle w:val="Heading2"/>
      </w:pPr>
      <w:r w:rsidRPr="00923FF9">
        <w:t>Data</w:t>
      </w:r>
    </w:p>
    <w:p w14:paraId="7C6C2B9F" w14:textId="77777777" w:rsidR="00923FF9" w:rsidRPr="00923FF9" w:rsidRDefault="00923FF9" w:rsidP="003A2EBB">
      <w:pPr>
        <w:pStyle w:val="Heading3"/>
      </w:pPr>
      <w:r w:rsidRPr="00923FF9">
        <w:t>Unit of analysis</w:t>
      </w:r>
    </w:p>
    <w:p w14:paraId="5CD27463" w14:textId="02FDEEAE" w:rsidR="00923FF9" w:rsidRPr="00923FF9" w:rsidRDefault="00923FF9" w:rsidP="00923FF9">
      <w:r w:rsidRPr="00923FF9">
        <w:t xml:space="preserve">Bloomington, Indiana, was the study area for this analysis. In 2006, the population was estimated to be 69,274 (U.S. Census Bureau, 2000). Bloomington is home to Indiana University, with a student body of over 40,000 undergraduate and graduate students who play an important role in the life of the town. Indiana University students are typical of many American college-aged students. They are active in Greek life on campus, do most of their drinking on weekends and school breaks (especially during spring breaks), and experience typical social and physiological consequences due to their hazardous pattern of drinking (e.g., hangovers, physical and verbal courtship violence, loss of friendships, etc.). Because it houses a large state university and its students, Bloomington has the typical alcohol-related problems (e.g., binge drinking, underage drinking, severed personal relationships, etc.) associated with such places (Shook, Gerrity, Jurich, &amp; </w:t>
      </w:r>
      <w:proofErr w:type="spellStart"/>
      <w:r w:rsidRPr="00923FF9">
        <w:t>Segrist</w:t>
      </w:r>
      <w:proofErr w:type="spellEnd"/>
      <w:r w:rsidRPr="00923FF9">
        <w:t xml:space="preserve">, 2000; Smeaton, </w:t>
      </w:r>
      <w:proofErr w:type="spellStart"/>
      <w:r w:rsidRPr="00923FF9">
        <w:t>Josiam</w:t>
      </w:r>
      <w:proofErr w:type="spellEnd"/>
      <w:r w:rsidRPr="00923FF9">
        <w:t>, &amp; Dietrich, 1998; Wechsler, Kuo, Lee, &amp; Dowdall, 2000; Wechsler &amp; Nelson, 2001). The implications of Bloomington being a major college town are worth considering as college drinking culture is an important element in harm prevention (Wechsler &amp; Nelson, 2008), and both alcohol outlet densities and student alcohol consumption are associated with campus violence (Scribner et al.,2010).</w:t>
      </w:r>
    </w:p>
    <w:p w14:paraId="10C7DD19" w14:textId="17D5790F" w:rsidR="00923FF9" w:rsidRPr="00923FF9" w:rsidRDefault="00923FF9" w:rsidP="00923FF9">
      <w:r w:rsidRPr="00923FF9">
        <w:t>The units of analysis in our study were all census block groups that lie within the boundaries of Bloomington (</w:t>
      </w:r>
      <w:r w:rsidRPr="00923FF9">
        <w:rPr>
          <w:i/>
          <w:iCs/>
        </w:rPr>
        <w:t>n</w:t>
      </w:r>
      <w:r w:rsidRPr="00923FF9">
        <w:t> = 65). The block group is the smallest geographic entity for which the Census Bureau collects and publishes sample data. Census block groups are clusters of census blocks created by the Census Bureau as a geographic level between blocks and census tracts to permit the release of tabulated data that cannot be presented at the block level due to confidentiality purposes (Iceland &amp; Steinmetz, 2003). Nationally, block groups generally contain between 600 and 3,000 people and never cross the boundaries of states or counties (Iceland &amp; Steinmetz, 2003). The populations of our Bloomington block groups range from 393 to 4,588, with a mean of 1,268 (U.S. Census Bureau, 2000). We chose to use census block groups as the units of analysis mostly because using larger units of analysis (e.g., census tracts, zip codes, etc.) may obscure the social processes that occur especially in the presence of alcohol outlets. Doing so resulted in 65 units of analysis and we note that this relatively small sample size means that the statistical tests could be conservative estimates of an association between alcohol outlet density and assault density in a large college town, and the direct and moderating effect that social disorganization and land use may have on this association. Nonetheless, this is among first attempts to extend the alcohol and crime literature beyond the findings from large urban cities, and as such is an important contribution.</w:t>
      </w:r>
    </w:p>
    <w:p w14:paraId="5E79C778" w14:textId="77777777" w:rsidR="00923FF9" w:rsidRPr="00923FF9" w:rsidRDefault="00923FF9" w:rsidP="003A2EBB">
      <w:pPr>
        <w:pStyle w:val="Heading3"/>
      </w:pPr>
      <w:r w:rsidRPr="00923FF9">
        <w:t>Dependent variables</w:t>
      </w:r>
    </w:p>
    <w:p w14:paraId="00E63A10" w14:textId="247CDF8F" w:rsidR="00923FF9" w:rsidRPr="00923FF9" w:rsidRDefault="00923FF9" w:rsidP="00923FF9">
      <w:r w:rsidRPr="00923FF9">
        <w:t xml:space="preserve">The dependent variable in this analysis was assault density per square mile. This variable was further disaggregated, based on the level of harm, into aggravated and simple assault density per square mile. Data on </w:t>
      </w:r>
      <w:r w:rsidRPr="00923FF9">
        <w:lastRenderedPageBreak/>
        <w:t xml:space="preserve">assaults were obtained from the Bloomington Police Department. The measures for aggravated and simple assaults were calculated based on the number of incidents investigated by the police during a 2-year period, from January 1, </w:t>
      </w:r>
      <w:proofErr w:type="gramStart"/>
      <w:r w:rsidRPr="00923FF9">
        <w:t>2008</w:t>
      </w:r>
      <w:proofErr w:type="gramEnd"/>
      <w:r w:rsidRPr="00923FF9">
        <w:t xml:space="preserve"> to December 31, 2009, for each census block group. The police data on aggravated and simple assaults were standardized by the total land area of each census block group (i.e., per square mile), rather than by the population of a census block group (e.g., per 100 residents). If we standardized the data on assaults with a traditional population-based rate, the resulting metric would </w:t>
      </w:r>
      <w:proofErr w:type="gramStart"/>
      <w:r w:rsidRPr="00923FF9">
        <w:t>take into account</w:t>
      </w:r>
      <w:proofErr w:type="gramEnd"/>
      <w:r w:rsidRPr="00923FF9">
        <w:t xml:space="preserve"> only the population that lives in each block group, implying that all victims and offenders reside in the same block group (Gibbs &amp; Erickson, 1976). Doing so fails to account for the fact that both victims and offenders go to other block groups as they go about their daily activities, including purchasing alcoholic beverages, drinking, and becoming assault victims and offenders.</w:t>
      </w:r>
    </w:p>
    <w:p w14:paraId="1B4E27C5" w14:textId="77777777" w:rsidR="00923FF9" w:rsidRPr="00923FF9" w:rsidRDefault="00923FF9" w:rsidP="00923FF9">
      <w:r w:rsidRPr="00923FF9">
        <w:t>These assault data were geocoded using ArcView software and aggregated to the block group. Only events that were assigned to a street-level match were utilized for analysis, and we were able to assign such a match in 99.5% of all reported assaults. Aggravated assault density ranged from 0 to 243 per square mile, with a mean of 17, and simple assault density ranged from 0 to 861 per square mile, with a mean of 62.</w:t>
      </w:r>
    </w:p>
    <w:p w14:paraId="20586DA3" w14:textId="77777777" w:rsidR="00923FF9" w:rsidRPr="00923FF9" w:rsidRDefault="00923FF9" w:rsidP="003A2EBB">
      <w:pPr>
        <w:pStyle w:val="Heading2"/>
      </w:pPr>
      <w:r w:rsidRPr="00923FF9">
        <w:t>Independent Variables</w:t>
      </w:r>
    </w:p>
    <w:p w14:paraId="7B72C69D" w14:textId="77777777" w:rsidR="00923FF9" w:rsidRPr="00923FF9" w:rsidRDefault="00923FF9" w:rsidP="00923FF9">
      <w:r w:rsidRPr="00923FF9">
        <w:t>Alcohol outlet density was measured as the number of all outlets per square mile in each block group. We created a measure for all alcohol outlets and also disaggregated by the license type into broad categories of off-</w:t>
      </w:r>
      <w:proofErr w:type="gramStart"/>
      <w:r w:rsidRPr="00923FF9">
        <w:t>premise</w:t>
      </w:r>
      <w:proofErr w:type="gramEnd"/>
      <w:r w:rsidRPr="00923FF9">
        <w:t xml:space="preserve"> (i.e., liquor, convenience, and grocery stores), restaurants, and bars. Data on alcohol outlets were obtained from the Indiana Alcohol and Tobacco Commission (IATC) and were based on permit information for all establishments registered with the IATC for 2010. Data included information on business name, permit type and number, street address, and the permit expiration date. As of 2010, there were more than 200 licenses issued to local businesses to sell alcoholic beverages to the public in Bloomington. Addresses of the outlets were geocoded using ArcMap and aggregated to the block group level. The skew statistics for the measures of alcohol outlet density (including outlet types) were greater than twice their standard errors, so we used the natural logarithm of each </w:t>
      </w:r>
      <w:proofErr w:type="gramStart"/>
      <w:r w:rsidRPr="00923FF9">
        <w:t>in order to</w:t>
      </w:r>
      <w:proofErr w:type="gramEnd"/>
      <w:r w:rsidRPr="00923FF9">
        <w:t xml:space="preserve"> create more normalized distributions.</w:t>
      </w:r>
    </w:p>
    <w:p w14:paraId="7D3A66A9" w14:textId="77777777" w:rsidR="00923FF9" w:rsidRPr="003A2EBB" w:rsidRDefault="00923FF9" w:rsidP="003A2EBB">
      <w:pPr>
        <w:pStyle w:val="Heading3"/>
      </w:pPr>
      <w:r w:rsidRPr="003A2EBB">
        <w:t>Conditioning variables: Social disorganization and land use</w:t>
      </w:r>
    </w:p>
    <w:p w14:paraId="44816019" w14:textId="77777777" w:rsidR="00923FF9" w:rsidRPr="00923FF9" w:rsidRDefault="00923FF9" w:rsidP="00923FF9">
      <w:r w:rsidRPr="00923FF9">
        <w:t>We tested for direct and moderating effects of social disorganization and land use on the association between alcohol outlet density and assault density. Social disorganization was operationalized as an index consisting of four traditionally used measures of social disorganization at the block group level: ethnic heterogeneity, poverty, residential instability, and female-headed households.</w:t>
      </w:r>
    </w:p>
    <w:p w14:paraId="32507EEB" w14:textId="4D5F2A41" w:rsidR="00923FF9" w:rsidRPr="00923FF9" w:rsidRDefault="00923FF9" w:rsidP="00923FF9">
      <w:r w:rsidRPr="00923FF9">
        <w:t>First, following prior research on alcohol outlets and violence (Roman et al., 2008), we operationalized ethnic heterogeneity via the Lieberson Diversity Index (LDI; Lieberson, 1969), which in our case was measured as one minus the sum of squared proportions of each of four races: White, Black, Asian, and Hispanic. The LDI is a common measure of ethnic heterogeneity in social science research, with the more general formula as follows:</w:t>
      </w:r>
    </w:p>
    <w:p w14:paraId="5131D70A" w14:textId="7D950A96" w:rsidR="003A2EBB" w:rsidRDefault="00704AB6" w:rsidP="00923FF9">
      <m:oMathPara>
        <m:oMath>
          <m:d>
            <m:dPr>
              <m:ctrlPr>
                <w:rPr>
                  <w:rFonts w:ascii="Cambria Math" w:hAnsi="Cambria Math"/>
                </w:rPr>
              </m:ctrlPr>
            </m:dPr>
            <m:e>
              <m:r>
                <w:rPr>
                  <w:rFonts w:ascii="Cambria Math" w:hAnsi="Cambria Math"/>
                </w:rPr>
                <m:t>1-</m:t>
              </m:r>
              <m:nary>
                <m:naryPr>
                  <m:chr m:val="∑"/>
                  <m:limLoc m:val="undOvr"/>
                  <m:ctrlPr>
                    <w:rPr>
                      <w:rFonts w:ascii="Cambria Math" w:hAnsi="Cambria Math"/>
                    </w:rPr>
                  </m:ctrlPr>
                </m:naryPr>
                <m:sub>
                  <m:r>
                    <w:rPr>
                      <w:rFonts w:ascii="Cambria Math" w:hAnsi="Cambria Math"/>
                    </w:rPr>
                    <m:t>i</m:t>
                  </m:r>
                  <m:r>
                    <w:rPr>
                      <w:rFonts w:ascii="Cambria Math" w:hAnsi="Cambria Math"/>
                    </w:rPr>
                    <m:t>=1</m:t>
                  </m:r>
                </m:sub>
                <m:sup>
                  <m:r>
                    <w:rPr>
                      <w:rFonts w:ascii="Cambria Math" w:hAnsi="Cambria Math"/>
                    </w:rPr>
                    <m:t>K</m:t>
                  </m:r>
                </m:sup>
                <m:e>
                  <m:r>
                    <w:rPr>
                      <w:rFonts w:ascii="Cambria Math" w:hAnsi="Cambria Math"/>
                    </w:rPr>
                    <m:t xml:space="preserve"> </m:t>
                  </m:r>
                </m:e>
              </m:nary>
              <m:sSubSup>
                <m:sSubSupPr>
                  <m:ctrlPr>
                    <w:rPr>
                      <w:rFonts w:ascii="Cambria Math" w:hAnsi="Cambria Math"/>
                    </w:rPr>
                  </m:ctrlPr>
                </m:sSubSupPr>
                <m:e>
                  <m:r>
                    <w:rPr>
                      <w:rFonts w:ascii="Cambria Math" w:hAnsi="Cambria Math"/>
                    </w:rPr>
                    <m:t>p</m:t>
                  </m:r>
                </m:e>
                <m:sub>
                  <m:r>
                    <w:rPr>
                      <w:rFonts w:ascii="Cambria Math" w:hAnsi="Cambria Math"/>
                    </w:rPr>
                    <m:t>i</m:t>
                  </m:r>
                </m:sub>
                <m:sup>
                  <m:r>
                    <w:rPr>
                      <w:rFonts w:ascii="Cambria Math" w:hAnsi="Cambria Math"/>
                    </w:rPr>
                    <m:t>2</m:t>
                  </m:r>
                </m:sup>
              </m:sSubSup>
            </m:e>
          </m:d>
        </m:oMath>
      </m:oMathPara>
    </w:p>
    <w:p w14:paraId="5A7148E3" w14:textId="78C5A402" w:rsidR="00923FF9" w:rsidRPr="00923FF9" w:rsidRDefault="00923FF9" w:rsidP="00923FF9">
      <w:proofErr w:type="gramStart"/>
      <w:r w:rsidRPr="00923FF9">
        <w:t>where</w:t>
      </w:r>
      <w:proofErr w:type="gramEnd"/>
    </w:p>
    <w:p w14:paraId="47062014" w14:textId="77777777" w:rsidR="00923FF9" w:rsidRPr="00923FF9" w:rsidRDefault="00923FF9" w:rsidP="00EA15E8">
      <w:pPr>
        <w:numPr>
          <w:ilvl w:val="0"/>
          <w:numId w:val="1"/>
        </w:numPr>
        <w:spacing w:after="0"/>
      </w:pPr>
      <w:r w:rsidRPr="00923FF9">
        <w:rPr>
          <w:i/>
          <w:iCs/>
        </w:rPr>
        <w:t>K</w:t>
      </w:r>
      <w:r w:rsidRPr="00923FF9">
        <w:t> = the number of ethnic categories (i.e., White, Black, Asian, Hispanic),</w:t>
      </w:r>
    </w:p>
    <w:p w14:paraId="51098385" w14:textId="77777777" w:rsidR="00923FF9" w:rsidRPr="00923FF9" w:rsidRDefault="00923FF9" w:rsidP="00EA15E8">
      <w:pPr>
        <w:numPr>
          <w:ilvl w:val="0"/>
          <w:numId w:val="1"/>
        </w:numPr>
        <w:spacing w:after="0"/>
      </w:pPr>
      <w:proofErr w:type="spellStart"/>
      <w:r w:rsidRPr="00923FF9">
        <w:rPr>
          <w:i/>
          <w:iCs/>
        </w:rPr>
        <w:t>i</w:t>
      </w:r>
      <w:proofErr w:type="spellEnd"/>
      <w:r w:rsidRPr="00923FF9">
        <w:t> = the number of observations, and</w:t>
      </w:r>
    </w:p>
    <w:p w14:paraId="75076080" w14:textId="77777777" w:rsidR="00923FF9" w:rsidRPr="00923FF9" w:rsidRDefault="00923FF9" w:rsidP="00EA15E8">
      <w:pPr>
        <w:numPr>
          <w:ilvl w:val="0"/>
          <w:numId w:val="1"/>
        </w:numPr>
        <w:spacing w:after="0"/>
      </w:pPr>
      <w:r w:rsidRPr="00923FF9">
        <w:rPr>
          <w:i/>
          <w:iCs/>
        </w:rPr>
        <w:t>p</w:t>
      </w:r>
      <w:r w:rsidRPr="00923FF9">
        <w:t> = the proportion of ethnic group.</w:t>
      </w:r>
    </w:p>
    <w:p w14:paraId="2C05FF44" w14:textId="77777777" w:rsidR="00EA15E8" w:rsidRDefault="00EA15E8" w:rsidP="00923FF9"/>
    <w:p w14:paraId="370E10E0" w14:textId="2BD88228" w:rsidR="00923FF9" w:rsidRPr="00923FF9" w:rsidRDefault="00923FF9" w:rsidP="00923FF9">
      <w:r w:rsidRPr="00923FF9">
        <w:lastRenderedPageBreak/>
        <w:t>The LDI indicates the probability that randomly paired members of the community will be of different ethnicity. The LDI ranges between 0 and 1, with higher values indicating greater ethnic diversity.</w:t>
      </w:r>
    </w:p>
    <w:p w14:paraId="31AA3D50" w14:textId="77777777" w:rsidR="00923FF9" w:rsidRPr="00923FF9" w:rsidRDefault="00923FF9" w:rsidP="00923FF9">
      <w:r w:rsidRPr="00923FF9">
        <w:t>The second in the social disorganization index, poverty, was measured as the proportion of the population in each block group with income below poverty levels. Data for this variable were obtained from the 2000 U.S. Census Summary File 3, Table P87, which is called </w:t>
      </w:r>
      <w:r w:rsidRPr="00923FF9">
        <w:rPr>
          <w:i/>
          <w:iCs/>
        </w:rPr>
        <w:t>Poverty status in 1999 by age</w:t>
      </w:r>
      <w:r w:rsidRPr="00923FF9">
        <w:t>. The third measure of the index, residential instability, was measured as the proportion of housing that is renter occupied. Data for this variable were obtained from the 2000 U.S. Census Summary File 3, Table H7, which is named </w:t>
      </w:r>
      <w:r w:rsidRPr="00923FF9">
        <w:rPr>
          <w:i/>
          <w:iCs/>
        </w:rPr>
        <w:t>Tenure</w:t>
      </w:r>
      <w:r w:rsidRPr="00923FF9">
        <w:t>. The final measure of the index, female-headed households, was measured as the proportion of all households that were headed by a female and contained at least one child younger. This variable was also obtained from the 2000 U.S. Census Summary File 3, Table P15, which is named “Family type by presence of own children under 18years.” Once we calculated the raw scores for each of these four individual variables, we created the social disorganization index by standardizing the raw scores and then summing these standardized scores.</w:t>
      </w:r>
    </w:p>
    <w:p w14:paraId="6AFEFB07" w14:textId="2181905C" w:rsidR="00923FF9" w:rsidRPr="00923FF9" w:rsidRDefault="00923FF9" w:rsidP="00923FF9">
      <w:r w:rsidRPr="00923FF9">
        <w:t xml:space="preserve">We obtained land use data from the Bloomington Planning Department for each parcel in town. The data were available as a shapefile, with information about the specific type of land use parcel, from which we could calculate the parcel size. Since each parcel could be measured in square feet, the total area for each land use could be calculated for each block group. Rather than simply utilizing a measure of land use by calculating the percentage of </w:t>
      </w:r>
      <w:proofErr w:type="gramStart"/>
      <w:r w:rsidRPr="00923FF9">
        <w:t>particular land</w:t>
      </w:r>
      <w:proofErr w:type="gramEnd"/>
      <w:r w:rsidRPr="00923FF9">
        <w:t xml:space="preserve"> uses for each block group, we opted for a stronger geographic measure based on dominance of land use for each block group relative to Bloomington as a whole. Specifically, we calculated location quotients (Hildebrand &amp; Mace, 1950) for the land uses of interest, including commercial arterial, commercial general, industrial general, mobile housing, residential high density, residential multifamily, and residential single family. The location quotients compare the proportion of each land use type in a block group to the proportion of that land use type in Bloomington as a whole (Hildebrand &amp; Mace, 1950). The location quotient for each land use type is calculated as follows:</w:t>
      </w:r>
    </w:p>
    <w:p w14:paraId="30C68FAF" w14:textId="128D783F" w:rsidR="0059756B" w:rsidRDefault="0059756B" w:rsidP="00923FF9">
      <m:oMathPara>
        <m:oMath>
          <m:r>
            <m:rPr>
              <m:nor/>
            </m:rPr>
            <w:rPr>
              <w:sz w:val="24"/>
              <w:szCs w:val="24"/>
            </w:rPr>
            <m:t>LQ</m:t>
          </m:r>
          <m:r>
            <w:rPr>
              <w:rFonts w:ascii="Cambria Math" w:hAnsi="Cambria Math"/>
              <w:sz w:val="24"/>
              <w:szCs w:val="24"/>
            </w:rPr>
            <m:t>=</m:t>
          </m:r>
          <m:f>
            <m:fPr>
              <m:type m:val="skw"/>
              <m:ctrlPr>
                <w:rPr>
                  <w:rFonts w:ascii="Cambria Math" w:hAnsi="Cambria Math"/>
                  <w:sz w:val="24"/>
                  <w:szCs w:val="24"/>
                </w:rPr>
              </m:ctrlPr>
            </m:fPr>
            <m:num>
              <m:f>
                <m:fPr>
                  <m:ctrlPr>
                    <w:rPr>
                      <w:rFonts w:ascii="Cambria Math" w:hAnsi="Cambria Math"/>
                      <w:sz w:val="24"/>
                      <w:szCs w:val="24"/>
                    </w:rPr>
                  </m:ctrlPr>
                </m:fPr>
                <m:num>
                  <m:r>
                    <m:rPr>
                      <m:nor/>
                    </m:rPr>
                    <w:rPr>
                      <w:sz w:val="24"/>
                      <w:szCs w:val="24"/>
                    </w:rPr>
                    <m:t>land use in category </m:t>
                  </m:r>
                  <m:r>
                    <w:rPr>
                      <w:rFonts w:ascii="Cambria Math" w:hAnsi="Cambria Math"/>
                      <w:sz w:val="24"/>
                      <w:szCs w:val="24"/>
                    </w:rPr>
                    <m:t>i</m:t>
                  </m:r>
                  <m:r>
                    <m:rPr>
                      <m:nor/>
                    </m:rPr>
                    <w:rPr>
                      <w:sz w:val="24"/>
                      <w:szCs w:val="24"/>
                    </w:rPr>
                    <m:t> block group </m:t>
                  </m:r>
                  <m:r>
                    <w:rPr>
                      <w:rFonts w:ascii="Cambria Math" w:hAnsi="Cambria Math"/>
                      <w:sz w:val="24"/>
                      <w:szCs w:val="24"/>
                    </w:rPr>
                    <m:t>k</m:t>
                  </m:r>
                </m:num>
                <m:den>
                  <m:r>
                    <m:rPr>
                      <m:nor/>
                    </m:rPr>
                    <w:rPr>
                      <w:sz w:val="24"/>
                      <w:szCs w:val="24"/>
                    </w:rPr>
                    <m:t>total land use in all cat</m:t>
                  </m:r>
                  <w:proofErr w:type="spellStart"/>
                  <m:r>
                    <m:rPr>
                      <m:nor/>
                    </m:rPr>
                    <w:rPr>
                      <w:sz w:val="24"/>
                      <w:szCs w:val="24"/>
                    </w:rPr>
                    <m:t>egories</m:t>
                  </m:r>
                  <w:proofErr w:type="spellEnd"/>
                  <m:r>
                    <m:rPr>
                      <m:nor/>
                    </m:rPr>
                    <w:rPr>
                      <w:sz w:val="24"/>
                      <w:szCs w:val="24"/>
                    </w:rPr>
                    <m:t> in block group </m:t>
                  </m:r>
                  <m:r>
                    <w:rPr>
                      <w:rFonts w:ascii="Cambria Math" w:hAnsi="Cambria Math"/>
                      <w:sz w:val="24"/>
                      <w:szCs w:val="24"/>
                    </w:rPr>
                    <m:t>k</m:t>
                  </m:r>
                </m:den>
              </m:f>
            </m:num>
            <m:den>
              <m:f>
                <m:fPr>
                  <m:ctrlPr>
                    <w:rPr>
                      <w:rFonts w:ascii="Cambria Math" w:hAnsi="Cambria Math"/>
                      <w:sz w:val="24"/>
                      <w:szCs w:val="24"/>
                    </w:rPr>
                  </m:ctrlPr>
                </m:fPr>
                <m:num>
                  <m:r>
                    <m:rPr>
                      <m:nor/>
                    </m:rPr>
                    <w:rPr>
                      <w:sz w:val="24"/>
                      <w:szCs w:val="24"/>
                    </w:rPr>
                    <m:t>land use in category </m:t>
                  </m:r>
                  <m:r>
                    <w:rPr>
                      <w:rFonts w:ascii="Cambria Math" w:hAnsi="Cambria Math"/>
                      <w:sz w:val="24"/>
                      <w:szCs w:val="24"/>
                    </w:rPr>
                    <m:t>i</m:t>
                  </m:r>
                  <m:r>
                    <m:rPr>
                      <m:nor/>
                    </m:rPr>
                    <w:rPr>
                      <w:sz w:val="24"/>
                      <w:szCs w:val="24"/>
                    </w:rPr>
                    <m:t> in Bloomington</m:t>
                  </m:r>
                </m:num>
                <m:den>
                  <m:r>
                    <m:rPr>
                      <m:nor/>
                    </m:rPr>
                    <w:rPr>
                      <w:sz w:val="24"/>
                      <w:szCs w:val="24"/>
                    </w:rPr>
                    <m:t>total land use in all categories in Bloomington</m:t>
                  </m:r>
                </m:den>
              </m:f>
            </m:den>
          </m:f>
          <m:r>
            <w:rPr>
              <w:rFonts w:ascii="Cambria Math" w:hAnsi="Cambria Math"/>
              <w:sz w:val="24"/>
              <w:szCs w:val="24"/>
            </w:rPr>
            <m:t>.</m:t>
          </m:r>
        </m:oMath>
      </m:oMathPara>
    </w:p>
    <w:p w14:paraId="6B48E631" w14:textId="5F624AD1" w:rsidR="00923FF9" w:rsidRPr="00923FF9" w:rsidRDefault="00923FF9" w:rsidP="00923FF9">
      <w:r w:rsidRPr="00923FF9">
        <w:t xml:space="preserve">If the LQ is less than 1.0 it means that the block group has a smaller proportion of that type of land use relative to the </w:t>
      </w:r>
      <w:proofErr w:type="gramStart"/>
      <w:r w:rsidRPr="00923FF9">
        <w:t>town as a whole</w:t>
      </w:r>
      <w:proofErr w:type="gramEnd"/>
      <w:r w:rsidRPr="00923FF9">
        <w:t>. If the LQ is close to or equal to 1.0, then we can conclude that the block group is very similar to the land use characteristics for the entire town. If the LQ is greater than 1.0, we can conclude that the block group contains more of that land use type relative to the entire town. Compared to simply calculating the percentage of a particular land use in a block group, the location quotient provides</w:t>
      </w:r>
      <w:r w:rsidR="009F0FDA">
        <w:t xml:space="preserve"> </w:t>
      </w:r>
      <w:r w:rsidRPr="00923FF9">
        <w:t>a clearer picture of land uses because it allows us to examine block group specializations of land uses of some (or many) land use types in Bloomington.</w:t>
      </w:r>
    </w:p>
    <w:p w14:paraId="66B3D524" w14:textId="77777777" w:rsidR="00923FF9" w:rsidRPr="00923FF9" w:rsidRDefault="00923FF9" w:rsidP="0059756B">
      <w:pPr>
        <w:pStyle w:val="Heading3"/>
      </w:pPr>
      <w:r w:rsidRPr="00923FF9">
        <w:t>Control variables</w:t>
      </w:r>
    </w:p>
    <w:p w14:paraId="1C04C349" w14:textId="6E73EDA8" w:rsidR="00923FF9" w:rsidRPr="00923FF9" w:rsidRDefault="00923FF9" w:rsidP="00923FF9">
      <w:r w:rsidRPr="00923FF9">
        <w:t xml:space="preserve">We included several additional structural characteristics of communities to control for potential confounding effects. This is important because neighborhood characteristics have been shown to be associated with both alcohol outlet density (Nielsen, Hill, French, &amp; Hernandez, 2010) and violence. Our controls included the proportion of the population that is African American and population density. The skew statistics for these variables were greater than twice their standard errors, so we used the natural logarithm of each </w:t>
      </w:r>
      <w:proofErr w:type="gramStart"/>
      <w:r w:rsidRPr="00923FF9">
        <w:t>in order to</w:t>
      </w:r>
      <w:proofErr w:type="gramEnd"/>
      <w:r w:rsidRPr="00923FF9">
        <w:t xml:space="preserve"> normalize the distributions. We also controlled for prior levels of violence using a measure for simple and aggravated assault density between January 1, </w:t>
      </w:r>
      <w:proofErr w:type="gramStart"/>
      <w:r w:rsidRPr="00923FF9">
        <w:t>2004</w:t>
      </w:r>
      <w:proofErr w:type="gramEnd"/>
      <w:r w:rsidRPr="00923FF9">
        <w:t xml:space="preserve"> and December 31, 2005. Prior research on this topic suggested the importance of using the temporal lag of crime </w:t>
      </w:r>
      <w:proofErr w:type="gramStart"/>
      <w:r w:rsidRPr="00923FF9">
        <w:t>in order to</w:t>
      </w:r>
      <w:proofErr w:type="gramEnd"/>
      <w:r w:rsidRPr="00923FF9">
        <w:t xml:space="preserve"> account for unobserved block group-specific heterogeneity (Roman et al., 2008). Data on each of these control variables were obtained from the </w:t>
      </w:r>
      <w:r w:rsidRPr="00923FF9">
        <w:lastRenderedPageBreak/>
        <w:t xml:space="preserve">2000 U.S. Census Bureau, </w:t>
      </w:r>
      <w:proofErr w:type="gramStart"/>
      <w:r w:rsidRPr="00923FF9">
        <w:t>with the exception of</w:t>
      </w:r>
      <w:proofErr w:type="gramEnd"/>
      <w:r w:rsidRPr="00923FF9">
        <w:t xml:space="preserve"> simple and aggravated assault density from 2004 and 2005, data for which were obtained from the Bloomington Police Department.</w:t>
      </w:r>
    </w:p>
    <w:p w14:paraId="7DC48EFF" w14:textId="77777777" w:rsidR="00923FF9" w:rsidRPr="00923FF9" w:rsidRDefault="00923FF9" w:rsidP="0059756B">
      <w:pPr>
        <w:pStyle w:val="Heading1"/>
      </w:pPr>
      <w:bookmarkStart w:id="5" w:name="_i17"/>
      <w:bookmarkEnd w:id="5"/>
      <w:r w:rsidRPr="00923FF9">
        <w:t>Method</w:t>
      </w:r>
    </w:p>
    <w:p w14:paraId="78AED7C7" w14:textId="03D5F760" w:rsidR="00923FF9" w:rsidRPr="00923FF9" w:rsidRDefault="00923FF9" w:rsidP="00923FF9">
      <w:r w:rsidRPr="00923FF9">
        <w:t xml:space="preserve">Two different modeling approaches, ordinary least squares (OLS) and spatially lagged regression, were used to test the hypotheses outlined above. Following Tobler’s (1970) first law of geography and </w:t>
      </w:r>
      <w:proofErr w:type="spellStart"/>
      <w:r w:rsidRPr="00923FF9">
        <w:t>Anselin’s</w:t>
      </w:r>
      <w:proofErr w:type="spellEnd"/>
      <w:r w:rsidRPr="00923FF9">
        <w:t xml:space="preserve"> work on spatial dependence in linear regression models (</w:t>
      </w:r>
      <w:proofErr w:type="spellStart"/>
      <w:r w:rsidRPr="00923FF9">
        <w:t>Anselin</w:t>
      </w:r>
      <w:proofErr w:type="spellEnd"/>
      <w:r w:rsidRPr="00923FF9">
        <w:t xml:space="preserve"> &amp; </w:t>
      </w:r>
      <w:proofErr w:type="spellStart"/>
      <w:r w:rsidRPr="00923FF9">
        <w:t>Bera</w:t>
      </w:r>
      <w:proofErr w:type="spellEnd"/>
      <w:r w:rsidRPr="00923FF9">
        <w:t>, 1998), we assumed that assaults from one unit of analysis could be predicted from neighboring units of analysis since we used spatially distributed data and units of analysis that have artificially imposed boundaries and therefore tested for spatial autocorrelation in the data. Additionally, prior studies on alcohol outlet density and assault density have noted the importance of controlling for a spatial lag (e.g., Alaniz et al., 1998; Costanza et al., 2001; Pridemore &amp; Grubesic, 2012a; Roncek &amp; Meier, 1991; Stevenson, Lind, &amp; Weatherburn, 1999).</w:t>
      </w:r>
    </w:p>
    <w:p w14:paraId="6698D2F8" w14:textId="58DD175B" w:rsidR="00923FF9" w:rsidRPr="00923FF9" w:rsidRDefault="00923FF9" w:rsidP="00923FF9">
      <w:r w:rsidRPr="00923FF9">
        <w:t>We tested for spatial autocorrelation using the Moran’s </w:t>
      </w:r>
      <w:r w:rsidRPr="00923FF9">
        <w:rPr>
          <w:i/>
          <w:iCs/>
        </w:rPr>
        <w:t>I</w:t>
      </w:r>
      <w:r w:rsidRPr="00923FF9">
        <w:t> statistic. The global Moran’s </w:t>
      </w:r>
      <w:r w:rsidRPr="00923FF9">
        <w:rPr>
          <w:i/>
          <w:iCs/>
        </w:rPr>
        <w:t>I</w:t>
      </w:r>
      <w:r w:rsidRPr="00923FF9">
        <w:t> </w:t>
      </w:r>
      <w:proofErr w:type="gramStart"/>
      <w:r w:rsidRPr="00923FF9">
        <w:t>ranges</w:t>
      </w:r>
      <w:proofErr w:type="gramEnd"/>
      <w:r w:rsidRPr="00923FF9">
        <w:t xml:space="preserve"> from −1 to +1 and indicates whether a variable of interest in one block group is correlated with itself in the other block groups. If spatial autocorrelation is present, we can control for it by adding a term for it (ρ) to our models. In all spatial regression models, we used an order one queen’s contiguity matrix to capture the influence of potential spatial autocorrelation. In our simple assault models, we found evidence of spatial autocorrelation and thus we employed spatially informed regression models for simple assault. In the models where the density of aggravated assaults was the dependent variable, the </w:t>
      </w:r>
      <w:proofErr w:type="spellStart"/>
      <w:r w:rsidRPr="00923FF9">
        <w:t>Moran’s</w:t>
      </w:r>
      <w:r w:rsidRPr="00923FF9">
        <w:rPr>
          <w:i/>
          <w:iCs/>
        </w:rPr>
        <w:t>I</w:t>
      </w:r>
      <w:r w:rsidRPr="00923FF9">
        <w:t>statistic</w:t>
      </w:r>
      <w:proofErr w:type="spellEnd"/>
      <w:r w:rsidRPr="00923FF9">
        <w:t xml:space="preserve"> indicated that spatial autocorrelation did not exist in the ordinary linear regression residuals, and thus we specified aggravated assault models as OLS models.</w:t>
      </w:r>
    </w:p>
    <w:p w14:paraId="0FE260AB" w14:textId="77777777" w:rsidR="00923FF9" w:rsidRPr="00923FF9" w:rsidRDefault="00923FF9" w:rsidP="00923FF9">
      <w:r w:rsidRPr="00923FF9">
        <w:t>We first estimated the direct effects of outlet density and social disorganization on simple and aggravated assault density. Subsequently, we estimated the effects of the interaction terms of outlet density and social disorganization. We then estimated the direct effects of outlet density and land use on simple and aggravated assault density. We concluded our analyses by estimating the effects of the interaction terms of outlet density and land use.</w:t>
      </w:r>
    </w:p>
    <w:p w14:paraId="7AA33B29" w14:textId="77777777" w:rsidR="00923FF9" w:rsidRPr="00923FF9" w:rsidRDefault="00923FF9" w:rsidP="008E3911">
      <w:pPr>
        <w:pStyle w:val="Heading1"/>
      </w:pPr>
      <w:bookmarkStart w:id="6" w:name="_i18"/>
      <w:bookmarkEnd w:id="6"/>
      <w:r w:rsidRPr="00923FF9">
        <w:t>Results</w:t>
      </w:r>
    </w:p>
    <w:p w14:paraId="63219931" w14:textId="77777777" w:rsidR="00923FF9" w:rsidRPr="00923FF9" w:rsidRDefault="00923FF9" w:rsidP="00923FF9">
      <w:r w:rsidRPr="00923FF9">
        <w:t>We present results in two sections. The first describes the results of our analyses for the direct and moderating effects of social disorganization on the association between alcohol outlet density and assault density. The second describes the results of our analyses for the direct and moderating effects of land use on the association between alcohol outlet density and assault density.</w:t>
      </w:r>
    </w:p>
    <w:p w14:paraId="1AFECC0A" w14:textId="77777777" w:rsidR="00923FF9" w:rsidRPr="00923FF9" w:rsidRDefault="00923FF9" w:rsidP="008E3911">
      <w:pPr>
        <w:pStyle w:val="Heading2"/>
      </w:pPr>
      <w:r w:rsidRPr="00923FF9">
        <w:t>Alcohol Outlet Density, Social Disorganization, and Assault</w:t>
      </w:r>
    </w:p>
    <w:p w14:paraId="3BE649F0" w14:textId="3124C76A" w:rsidR="00923FF9" w:rsidRPr="00923FF9" w:rsidRDefault="00923FF9" w:rsidP="00923FF9">
      <w:r w:rsidRPr="00923FF9">
        <w:t>Table 1 displays the descriptive statistics for the dependent, independent, and control variables. Aggravated assault density ranged from 0 to 243 per square mile with a mean of 17, and simple assault density ranged from 0 to 861 per square mile with a mean of 62. Looking at the main independent variables, total outlet density ranged from 0 to 247 with a mean of 13 per square mile, off-</w:t>
      </w:r>
      <w:proofErr w:type="gramStart"/>
      <w:r w:rsidRPr="00923FF9">
        <w:t>premise</w:t>
      </w:r>
      <w:proofErr w:type="gramEnd"/>
      <w:r w:rsidRPr="00923FF9">
        <w:t xml:space="preserve"> outlet density ranged from 0 to 21 with a mean of 3 per square mile, bar density ranged from 0 to 69 with a mean of 2 per square mile, and restaurant density ranged from 0 to 137 with a mean of 7 per square mile. The social disorganization index is a sum of standardized scores of the four variables seen in Table 1: poverty, ethnic heterogeneity, residential instability, and female-headed households. The values in the table for these four variables are for their actual original values and not the values for their standardized scores. Our land use variables were location quotients for commercial arterial, commercial general, industrial general, mobile housing, residential high density, residential multifamily, and residential single-family land uses.</w:t>
      </w:r>
    </w:p>
    <w:p w14:paraId="628BB765" w14:textId="60E499C3" w:rsidR="00923FF9" w:rsidRDefault="00923FF9" w:rsidP="00415C3F">
      <w:pPr>
        <w:spacing w:after="0"/>
      </w:pPr>
      <w:r w:rsidRPr="00923FF9">
        <w:rPr>
          <w:b/>
          <w:bCs/>
        </w:rPr>
        <w:lastRenderedPageBreak/>
        <w:t>Table 1.</w:t>
      </w:r>
      <w:r w:rsidRPr="00923FF9">
        <w:t> Descriptive Statistics for Untransformed Variables for Bloomington Block Groups (</w:t>
      </w:r>
      <w:r w:rsidRPr="00923FF9">
        <w:rPr>
          <w:i/>
          <w:iCs/>
        </w:rPr>
        <w:t>n</w:t>
      </w:r>
      <w:r w:rsidRPr="00923FF9">
        <w:t> = 65).</w:t>
      </w:r>
    </w:p>
    <w:p w14:paraId="1A340869" w14:textId="77777777" w:rsidR="00B91DB5" w:rsidRPr="00B91DB5" w:rsidRDefault="00B91DB5" w:rsidP="00B91DB5">
      <w:pPr>
        <w:kinsoku w:val="0"/>
        <w:overflowPunct w:val="0"/>
        <w:autoSpaceDE w:val="0"/>
        <w:autoSpaceDN w:val="0"/>
        <w:adjustRightInd w:val="0"/>
        <w:spacing w:before="10" w:after="0" w:line="240" w:lineRule="auto"/>
        <w:rPr>
          <w:rFonts w:ascii="Times New Roman" w:hAnsi="Times New Roman" w:cs="Times New Roman"/>
          <w:sz w:val="5"/>
          <w:szCs w:val="5"/>
        </w:rPr>
      </w:pPr>
    </w:p>
    <w:tbl>
      <w:tblPr>
        <w:tblStyle w:val="TableGrid"/>
        <w:tblW w:w="0" w:type="auto"/>
        <w:tblLook w:val="0020" w:firstRow="1" w:lastRow="0" w:firstColumn="0" w:lastColumn="0" w:noHBand="0" w:noVBand="0"/>
      </w:tblPr>
      <w:tblGrid>
        <w:gridCol w:w="3996"/>
        <w:gridCol w:w="1088"/>
        <w:gridCol w:w="1077"/>
        <w:gridCol w:w="904"/>
        <w:gridCol w:w="1931"/>
      </w:tblGrid>
      <w:tr w:rsidR="00B91DB5" w:rsidRPr="00247D92" w14:paraId="57F8B3A0" w14:textId="77777777" w:rsidTr="00704AB6">
        <w:trPr>
          <w:trHeight w:val="252"/>
        </w:trPr>
        <w:tc>
          <w:tcPr>
            <w:tcW w:w="0" w:type="auto"/>
          </w:tcPr>
          <w:p w14:paraId="59336A80" w14:textId="77777777" w:rsidR="00B91DB5" w:rsidRPr="00247D92" w:rsidRDefault="00B91DB5" w:rsidP="00247D92">
            <w:pPr>
              <w:pStyle w:val="NoSpacing"/>
              <w:rPr>
                <w:rFonts w:cstheme="minorHAnsi"/>
              </w:rPr>
            </w:pPr>
          </w:p>
        </w:tc>
        <w:tc>
          <w:tcPr>
            <w:tcW w:w="0" w:type="auto"/>
          </w:tcPr>
          <w:p w14:paraId="24899FD8" w14:textId="77777777" w:rsidR="00B91DB5" w:rsidRPr="00247D92" w:rsidRDefault="00B91DB5" w:rsidP="00247D92">
            <w:pPr>
              <w:pStyle w:val="NoSpacing"/>
              <w:rPr>
                <w:rFonts w:cstheme="minorHAnsi"/>
              </w:rPr>
            </w:pPr>
            <w:r w:rsidRPr="00247D92">
              <w:rPr>
                <w:rFonts w:cstheme="minorHAnsi"/>
              </w:rPr>
              <w:t>Minimum</w:t>
            </w:r>
          </w:p>
        </w:tc>
        <w:tc>
          <w:tcPr>
            <w:tcW w:w="0" w:type="auto"/>
          </w:tcPr>
          <w:p w14:paraId="4EC5F829" w14:textId="77777777" w:rsidR="00B91DB5" w:rsidRPr="00247D92" w:rsidRDefault="00B91DB5" w:rsidP="00247D92">
            <w:pPr>
              <w:pStyle w:val="NoSpacing"/>
              <w:rPr>
                <w:rFonts w:cstheme="minorHAnsi"/>
                <w:w w:val="95"/>
              </w:rPr>
            </w:pPr>
            <w:r w:rsidRPr="00247D92">
              <w:rPr>
                <w:rFonts w:cstheme="minorHAnsi"/>
                <w:w w:val="95"/>
              </w:rPr>
              <w:t>Maximum</w:t>
            </w:r>
          </w:p>
        </w:tc>
        <w:tc>
          <w:tcPr>
            <w:tcW w:w="0" w:type="auto"/>
          </w:tcPr>
          <w:p w14:paraId="1BCE1CCE" w14:textId="77777777" w:rsidR="00B91DB5" w:rsidRPr="00247D92" w:rsidRDefault="00B91DB5" w:rsidP="00247D92">
            <w:pPr>
              <w:pStyle w:val="NoSpacing"/>
              <w:rPr>
                <w:rFonts w:cstheme="minorHAnsi"/>
              </w:rPr>
            </w:pPr>
            <w:r w:rsidRPr="00247D92">
              <w:rPr>
                <w:rFonts w:cstheme="minorHAnsi"/>
              </w:rPr>
              <w:t>Mean</w:t>
            </w:r>
          </w:p>
        </w:tc>
        <w:tc>
          <w:tcPr>
            <w:tcW w:w="0" w:type="auto"/>
          </w:tcPr>
          <w:p w14:paraId="4D33D17E" w14:textId="77777777" w:rsidR="00B91DB5" w:rsidRPr="00247D92" w:rsidRDefault="00B91DB5" w:rsidP="00247D92">
            <w:pPr>
              <w:pStyle w:val="NoSpacing"/>
              <w:rPr>
                <w:rFonts w:cstheme="minorHAnsi"/>
              </w:rPr>
            </w:pPr>
            <w:r w:rsidRPr="00247D92">
              <w:rPr>
                <w:rFonts w:cstheme="minorHAnsi"/>
              </w:rPr>
              <w:t>Standard Deviation</w:t>
            </w:r>
          </w:p>
        </w:tc>
      </w:tr>
      <w:tr w:rsidR="00B91DB5" w:rsidRPr="00247D92" w14:paraId="2E966649" w14:textId="77777777" w:rsidTr="00704AB6">
        <w:trPr>
          <w:trHeight w:val="301"/>
        </w:trPr>
        <w:tc>
          <w:tcPr>
            <w:tcW w:w="0" w:type="auto"/>
          </w:tcPr>
          <w:p w14:paraId="7B0FEDB1" w14:textId="77777777" w:rsidR="00B91DB5" w:rsidRPr="00247D92" w:rsidRDefault="00B91DB5" w:rsidP="00247D92">
            <w:pPr>
              <w:pStyle w:val="NoSpacing"/>
              <w:rPr>
                <w:rFonts w:cstheme="minorHAnsi"/>
              </w:rPr>
            </w:pPr>
            <w:r w:rsidRPr="00247D92">
              <w:rPr>
                <w:rFonts w:cstheme="minorHAnsi"/>
              </w:rPr>
              <w:t>Dependent variables</w:t>
            </w:r>
          </w:p>
        </w:tc>
        <w:tc>
          <w:tcPr>
            <w:tcW w:w="0" w:type="auto"/>
          </w:tcPr>
          <w:p w14:paraId="2D1EA713" w14:textId="77777777" w:rsidR="00B91DB5" w:rsidRPr="00247D92" w:rsidRDefault="00B91DB5" w:rsidP="00247D92">
            <w:pPr>
              <w:pStyle w:val="NoSpacing"/>
              <w:rPr>
                <w:rFonts w:cstheme="minorHAnsi"/>
              </w:rPr>
            </w:pPr>
          </w:p>
        </w:tc>
        <w:tc>
          <w:tcPr>
            <w:tcW w:w="0" w:type="auto"/>
          </w:tcPr>
          <w:p w14:paraId="0BFC3C7A" w14:textId="77777777" w:rsidR="00B91DB5" w:rsidRPr="00247D92" w:rsidRDefault="00B91DB5" w:rsidP="00247D92">
            <w:pPr>
              <w:pStyle w:val="NoSpacing"/>
              <w:rPr>
                <w:rFonts w:cstheme="minorHAnsi"/>
              </w:rPr>
            </w:pPr>
          </w:p>
        </w:tc>
        <w:tc>
          <w:tcPr>
            <w:tcW w:w="0" w:type="auto"/>
          </w:tcPr>
          <w:p w14:paraId="66A8CD1D" w14:textId="77777777" w:rsidR="00B91DB5" w:rsidRPr="00247D92" w:rsidRDefault="00B91DB5" w:rsidP="00247D92">
            <w:pPr>
              <w:pStyle w:val="NoSpacing"/>
              <w:rPr>
                <w:rFonts w:cstheme="minorHAnsi"/>
              </w:rPr>
            </w:pPr>
          </w:p>
        </w:tc>
        <w:tc>
          <w:tcPr>
            <w:tcW w:w="0" w:type="auto"/>
          </w:tcPr>
          <w:p w14:paraId="74D1C599" w14:textId="77777777" w:rsidR="00B91DB5" w:rsidRPr="00247D92" w:rsidRDefault="00B91DB5" w:rsidP="00247D92">
            <w:pPr>
              <w:pStyle w:val="NoSpacing"/>
              <w:rPr>
                <w:rFonts w:cstheme="minorHAnsi"/>
              </w:rPr>
            </w:pPr>
          </w:p>
        </w:tc>
      </w:tr>
      <w:tr w:rsidR="00B91DB5" w:rsidRPr="00247D92" w14:paraId="5274475E" w14:textId="77777777" w:rsidTr="00704AB6">
        <w:trPr>
          <w:trHeight w:val="209"/>
        </w:trPr>
        <w:tc>
          <w:tcPr>
            <w:tcW w:w="0" w:type="auto"/>
          </w:tcPr>
          <w:p w14:paraId="5ADEC0FB" w14:textId="77777777" w:rsidR="00B91DB5" w:rsidRPr="00247D92" w:rsidRDefault="00B91DB5" w:rsidP="00247D92">
            <w:pPr>
              <w:pStyle w:val="NoSpacing"/>
              <w:ind w:left="336"/>
              <w:rPr>
                <w:rFonts w:cstheme="minorHAnsi"/>
              </w:rPr>
            </w:pPr>
            <w:r w:rsidRPr="00247D92">
              <w:rPr>
                <w:rFonts w:cstheme="minorHAnsi"/>
              </w:rPr>
              <w:t>Aggravated assault density</w:t>
            </w:r>
          </w:p>
        </w:tc>
        <w:tc>
          <w:tcPr>
            <w:tcW w:w="0" w:type="auto"/>
          </w:tcPr>
          <w:p w14:paraId="2E9E3B72" w14:textId="77777777" w:rsidR="00B91DB5" w:rsidRPr="00247D92" w:rsidRDefault="00B91DB5" w:rsidP="00247D92">
            <w:pPr>
              <w:pStyle w:val="NoSpacing"/>
              <w:rPr>
                <w:rFonts w:cstheme="minorHAnsi"/>
              </w:rPr>
            </w:pPr>
            <w:r w:rsidRPr="00247D92">
              <w:rPr>
                <w:rFonts w:cstheme="minorHAnsi"/>
              </w:rPr>
              <w:t>0.00</w:t>
            </w:r>
          </w:p>
        </w:tc>
        <w:tc>
          <w:tcPr>
            <w:tcW w:w="0" w:type="auto"/>
          </w:tcPr>
          <w:p w14:paraId="075B4B3A" w14:textId="77777777" w:rsidR="00B91DB5" w:rsidRPr="00247D92" w:rsidRDefault="00B91DB5" w:rsidP="00247D92">
            <w:pPr>
              <w:pStyle w:val="NoSpacing"/>
              <w:rPr>
                <w:rFonts w:cstheme="minorHAnsi"/>
                <w:w w:val="95"/>
              </w:rPr>
            </w:pPr>
            <w:r w:rsidRPr="00247D92">
              <w:rPr>
                <w:rFonts w:cstheme="minorHAnsi"/>
                <w:w w:val="95"/>
              </w:rPr>
              <w:t>242.73</w:t>
            </w:r>
          </w:p>
        </w:tc>
        <w:tc>
          <w:tcPr>
            <w:tcW w:w="0" w:type="auto"/>
          </w:tcPr>
          <w:p w14:paraId="54619622" w14:textId="77777777" w:rsidR="00B91DB5" w:rsidRPr="00247D92" w:rsidRDefault="00B91DB5" w:rsidP="00247D92">
            <w:pPr>
              <w:pStyle w:val="NoSpacing"/>
              <w:rPr>
                <w:rFonts w:cstheme="minorHAnsi"/>
                <w:w w:val="95"/>
              </w:rPr>
            </w:pPr>
            <w:r w:rsidRPr="00247D92">
              <w:rPr>
                <w:rFonts w:cstheme="minorHAnsi"/>
                <w:w w:val="95"/>
              </w:rPr>
              <w:t>17.01</w:t>
            </w:r>
          </w:p>
        </w:tc>
        <w:tc>
          <w:tcPr>
            <w:tcW w:w="0" w:type="auto"/>
          </w:tcPr>
          <w:p w14:paraId="3EC97AAE" w14:textId="77777777" w:rsidR="00B91DB5" w:rsidRPr="00247D92" w:rsidRDefault="00B91DB5" w:rsidP="00247D92">
            <w:pPr>
              <w:pStyle w:val="NoSpacing"/>
              <w:rPr>
                <w:rFonts w:cstheme="minorHAnsi"/>
              </w:rPr>
            </w:pPr>
            <w:r w:rsidRPr="00247D92">
              <w:rPr>
                <w:rFonts w:cstheme="minorHAnsi"/>
              </w:rPr>
              <w:t>34.96</w:t>
            </w:r>
          </w:p>
        </w:tc>
      </w:tr>
      <w:tr w:rsidR="00B91DB5" w:rsidRPr="00247D92" w14:paraId="2B9A89F5" w14:textId="77777777" w:rsidTr="00704AB6">
        <w:trPr>
          <w:trHeight w:val="209"/>
        </w:trPr>
        <w:tc>
          <w:tcPr>
            <w:tcW w:w="0" w:type="auto"/>
          </w:tcPr>
          <w:p w14:paraId="51E2B90A" w14:textId="77777777" w:rsidR="00B91DB5" w:rsidRPr="00247D92" w:rsidRDefault="00B91DB5" w:rsidP="00247D92">
            <w:pPr>
              <w:pStyle w:val="NoSpacing"/>
              <w:ind w:left="336"/>
              <w:rPr>
                <w:rFonts w:cstheme="minorHAnsi"/>
              </w:rPr>
            </w:pPr>
            <w:r w:rsidRPr="00247D92">
              <w:rPr>
                <w:rFonts w:cstheme="minorHAnsi"/>
              </w:rPr>
              <w:t>Simple assault density</w:t>
            </w:r>
          </w:p>
        </w:tc>
        <w:tc>
          <w:tcPr>
            <w:tcW w:w="0" w:type="auto"/>
          </w:tcPr>
          <w:p w14:paraId="01E190F3" w14:textId="77777777" w:rsidR="00B91DB5" w:rsidRPr="00247D92" w:rsidRDefault="00B91DB5" w:rsidP="00247D92">
            <w:pPr>
              <w:pStyle w:val="NoSpacing"/>
              <w:rPr>
                <w:rFonts w:cstheme="minorHAnsi"/>
              </w:rPr>
            </w:pPr>
            <w:r w:rsidRPr="00247D92">
              <w:rPr>
                <w:rFonts w:cstheme="minorHAnsi"/>
              </w:rPr>
              <w:t>0.00</w:t>
            </w:r>
          </w:p>
        </w:tc>
        <w:tc>
          <w:tcPr>
            <w:tcW w:w="0" w:type="auto"/>
          </w:tcPr>
          <w:p w14:paraId="4582655C" w14:textId="77777777" w:rsidR="00B91DB5" w:rsidRPr="00247D92" w:rsidRDefault="00B91DB5" w:rsidP="00247D92">
            <w:pPr>
              <w:pStyle w:val="NoSpacing"/>
              <w:rPr>
                <w:rFonts w:cstheme="minorHAnsi"/>
                <w:w w:val="95"/>
              </w:rPr>
            </w:pPr>
            <w:r w:rsidRPr="00247D92">
              <w:rPr>
                <w:rFonts w:cstheme="minorHAnsi"/>
                <w:w w:val="95"/>
              </w:rPr>
              <w:t>861.47</w:t>
            </w:r>
          </w:p>
        </w:tc>
        <w:tc>
          <w:tcPr>
            <w:tcW w:w="0" w:type="auto"/>
          </w:tcPr>
          <w:p w14:paraId="36776546" w14:textId="77777777" w:rsidR="00B91DB5" w:rsidRPr="00247D92" w:rsidRDefault="00B91DB5" w:rsidP="00247D92">
            <w:pPr>
              <w:pStyle w:val="NoSpacing"/>
              <w:rPr>
                <w:rFonts w:cstheme="minorHAnsi"/>
                <w:w w:val="95"/>
              </w:rPr>
            </w:pPr>
            <w:r w:rsidRPr="00247D92">
              <w:rPr>
                <w:rFonts w:cstheme="minorHAnsi"/>
                <w:w w:val="95"/>
              </w:rPr>
              <w:t>61.97</w:t>
            </w:r>
          </w:p>
        </w:tc>
        <w:tc>
          <w:tcPr>
            <w:tcW w:w="0" w:type="auto"/>
          </w:tcPr>
          <w:p w14:paraId="1D74F9A9" w14:textId="77777777" w:rsidR="00B91DB5" w:rsidRPr="00247D92" w:rsidRDefault="00B91DB5" w:rsidP="00247D92">
            <w:pPr>
              <w:pStyle w:val="NoSpacing"/>
              <w:rPr>
                <w:rFonts w:cstheme="minorHAnsi"/>
              </w:rPr>
            </w:pPr>
            <w:r w:rsidRPr="00247D92">
              <w:rPr>
                <w:rFonts w:cstheme="minorHAnsi"/>
              </w:rPr>
              <w:t>128.64</w:t>
            </w:r>
          </w:p>
        </w:tc>
      </w:tr>
      <w:tr w:rsidR="00B91DB5" w:rsidRPr="00247D92" w14:paraId="64A66E0F" w14:textId="77777777" w:rsidTr="00704AB6">
        <w:trPr>
          <w:trHeight w:val="209"/>
        </w:trPr>
        <w:tc>
          <w:tcPr>
            <w:tcW w:w="0" w:type="auto"/>
          </w:tcPr>
          <w:p w14:paraId="62AB535E" w14:textId="77777777" w:rsidR="00B91DB5" w:rsidRPr="00247D92" w:rsidRDefault="00B91DB5" w:rsidP="00247D92">
            <w:pPr>
              <w:pStyle w:val="NoSpacing"/>
              <w:rPr>
                <w:rFonts w:cstheme="minorHAnsi"/>
              </w:rPr>
            </w:pPr>
            <w:r w:rsidRPr="00247D92">
              <w:rPr>
                <w:rFonts w:cstheme="minorHAnsi"/>
              </w:rPr>
              <w:t>Alcohol outlet density</w:t>
            </w:r>
          </w:p>
        </w:tc>
        <w:tc>
          <w:tcPr>
            <w:tcW w:w="0" w:type="auto"/>
          </w:tcPr>
          <w:p w14:paraId="61AA3568" w14:textId="77777777" w:rsidR="00B91DB5" w:rsidRPr="00247D92" w:rsidRDefault="00B91DB5" w:rsidP="00247D92">
            <w:pPr>
              <w:pStyle w:val="NoSpacing"/>
              <w:rPr>
                <w:rFonts w:cstheme="minorHAnsi"/>
              </w:rPr>
            </w:pPr>
          </w:p>
        </w:tc>
        <w:tc>
          <w:tcPr>
            <w:tcW w:w="0" w:type="auto"/>
          </w:tcPr>
          <w:p w14:paraId="59CFC513" w14:textId="77777777" w:rsidR="00B91DB5" w:rsidRPr="00247D92" w:rsidRDefault="00B91DB5" w:rsidP="00247D92">
            <w:pPr>
              <w:pStyle w:val="NoSpacing"/>
              <w:rPr>
                <w:rFonts w:cstheme="minorHAnsi"/>
              </w:rPr>
            </w:pPr>
          </w:p>
        </w:tc>
        <w:tc>
          <w:tcPr>
            <w:tcW w:w="0" w:type="auto"/>
          </w:tcPr>
          <w:p w14:paraId="12C85221" w14:textId="77777777" w:rsidR="00B91DB5" w:rsidRPr="00247D92" w:rsidRDefault="00B91DB5" w:rsidP="00247D92">
            <w:pPr>
              <w:pStyle w:val="NoSpacing"/>
              <w:rPr>
                <w:rFonts w:cstheme="minorHAnsi"/>
              </w:rPr>
            </w:pPr>
          </w:p>
        </w:tc>
        <w:tc>
          <w:tcPr>
            <w:tcW w:w="0" w:type="auto"/>
          </w:tcPr>
          <w:p w14:paraId="2A0388DE" w14:textId="77777777" w:rsidR="00B91DB5" w:rsidRPr="00247D92" w:rsidRDefault="00B91DB5" w:rsidP="00247D92">
            <w:pPr>
              <w:pStyle w:val="NoSpacing"/>
              <w:rPr>
                <w:rFonts w:cstheme="minorHAnsi"/>
              </w:rPr>
            </w:pPr>
          </w:p>
        </w:tc>
      </w:tr>
      <w:tr w:rsidR="00B91DB5" w:rsidRPr="00247D92" w14:paraId="0BE0081A" w14:textId="77777777" w:rsidTr="00704AB6">
        <w:trPr>
          <w:trHeight w:val="209"/>
        </w:trPr>
        <w:tc>
          <w:tcPr>
            <w:tcW w:w="0" w:type="auto"/>
          </w:tcPr>
          <w:p w14:paraId="5FD9253E" w14:textId="77777777" w:rsidR="00B91DB5" w:rsidRPr="00247D92" w:rsidRDefault="00B91DB5" w:rsidP="00247D92">
            <w:pPr>
              <w:pStyle w:val="NoSpacing"/>
              <w:ind w:left="336"/>
              <w:rPr>
                <w:rFonts w:cstheme="minorHAnsi"/>
              </w:rPr>
            </w:pPr>
            <w:r w:rsidRPr="00247D92">
              <w:rPr>
                <w:rFonts w:cstheme="minorHAnsi"/>
              </w:rPr>
              <w:t>Total outlet density</w:t>
            </w:r>
          </w:p>
        </w:tc>
        <w:tc>
          <w:tcPr>
            <w:tcW w:w="0" w:type="auto"/>
          </w:tcPr>
          <w:p w14:paraId="287695AA" w14:textId="77777777" w:rsidR="00B91DB5" w:rsidRPr="00247D92" w:rsidRDefault="00B91DB5" w:rsidP="00247D92">
            <w:pPr>
              <w:pStyle w:val="NoSpacing"/>
              <w:rPr>
                <w:rFonts w:cstheme="minorHAnsi"/>
              </w:rPr>
            </w:pPr>
            <w:r w:rsidRPr="00247D92">
              <w:rPr>
                <w:rFonts w:cstheme="minorHAnsi"/>
              </w:rPr>
              <w:t>0.00</w:t>
            </w:r>
          </w:p>
        </w:tc>
        <w:tc>
          <w:tcPr>
            <w:tcW w:w="0" w:type="auto"/>
          </w:tcPr>
          <w:p w14:paraId="685861F0" w14:textId="77777777" w:rsidR="00B91DB5" w:rsidRPr="00247D92" w:rsidRDefault="00B91DB5" w:rsidP="00247D92">
            <w:pPr>
              <w:pStyle w:val="NoSpacing"/>
              <w:rPr>
                <w:rFonts w:cstheme="minorHAnsi"/>
                <w:w w:val="95"/>
              </w:rPr>
            </w:pPr>
            <w:r w:rsidRPr="00247D92">
              <w:rPr>
                <w:rFonts w:cstheme="minorHAnsi"/>
                <w:w w:val="95"/>
              </w:rPr>
              <w:t>247.19</w:t>
            </w:r>
          </w:p>
        </w:tc>
        <w:tc>
          <w:tcPr>
            <w:tcW w:w="0" w:type="auto"/>
          </w:tcPr>
          <w:p w14:paraId="21B22375" w14:textId="77777777" w:rsidR="00B91DB5" w:rsidRPr="00247D92" w:rsidRDefault="00B91DB5" w:rsidP="00247D92">
            <w:pPr>
              <w:pStyle w:val="NoSpacing"/>
              <w:rPr>
                <w:rFonts w:cstheme="minorHAnsi"/>
                <w:w w:val="95"/>
              </w:rPr>
            </w:pPr>
            <w:r w:rsidRPr="00247D92">
              <w:rPr>
                <w:rFonts w:cstheme="minorHAnsi"/>
                <w:w w:val="95"/>
              </w:rPr>
              <w:t>13.41</w:t>
            </w:r>
          </w:p>
        </w:tc>
        <w:tc>
          <w:tcPr>
            <w:tcW w:w="0" w:type="auto"/>
          </w:tcPr>
          <w:p w14:paraId="4A070F3A" w14:textId="77777777" w:rsidR="00B91DB5" w:rsidRPr="00247D92" w:rsidRDefault="00B91DB5" w:rsidP="00247D92">
            <w:pPr>
              <w:pStyle w:val="NoSpacing"/>
              <w:rPr>
                <w:rFonts w:cstheme="minorHAnsi"/>
              </w:rPr>
            </w:pPr>
            <w:r w:rsidRPr="00247D92">
              <w:rPr>
                <w:rFonts w:cstheme="minorHAnsi"/>
              </w:rPr>
              <w:t>37.50</w:t>
            </w:r>
          </w:p>
        </w:tc>
      </w:tr>
      <w:tr w:rsidR="00B91DB5" w:rsidRPr="00247D92" w14:paraId="4C133902" w14:textId="77777777" w:rsidTr="00704AB6">
        <w:trPr>
          <w:trHeight w:val="209"/>
        </w:trPr>
        <w:tc>
          <w:tcPr>
            <w:tcW w:w="0" w:type="auto"/>
          </w:tcPr>
          <w:p w14:paraId="2CA393BB" w14:textId="77777777" w:rsidR="00B91DB5" w:rsidRPr="00247D92" w:rsidRDefault="00B91DB5" w:rsidP="00247D92">
            <w:pPr>
              <w:pStyle w:val="NoSpacing"/>
              <w:ind w:left="336"/>
              <w:rPr>
                <w:rFonts w:cstheme="minorHAnsi"/>
              </w:rPr>
            </w:pPr>
            <w:r w:rsidRPr="00247D92">
              <w:rPr>
                <w:rFonts w:cstheme="minorHAnsi"/>
              </w:rPr>
              <w:t>Off-</w:t>
            </w:r>
            <w:proofErr w:type="gramStart"/>
            <w:r w:rsidRPr="00247D92">
              <w:rPr>
                <w:rFonts w:cstheme="minorHAnsi"/>
              </w:rPr>
              <w:t>premise</w:t>
            </w:r>
            <w:proofErr w:type="gramEnd"/>
            <w:r w:rsidRPr="00247D92">
              <w:rPr>
                <w:rFonts w:cstheme="minorHAnsi"/>
              </w:rPr>
              <w:t xml:space="preserve"> outlet density</w:t>
            </w:r>
          </w:p>
        </w:tc>
        <w:tc>
          <w:tcPr>
            <w:tcW w:w="0" w:type="auto"/>
          </w:tcPr>
          <w:p w14:paraId="1A672EF3" w14:textId="77777777" w:rsidR="00B91DB5" w:rsidRPr="00247D92" w:rsidRDefault="00B91DB5" w:rsidP="00247D92">
            <w:pPr>
              <w:pStyle w:val="NoSpacing"/>
              <w:rPr>
                <w:rFonts w:cstheme="minorHAnsi"/>
              </w:rPr>
            </w:pPr>
            <w:r w:rsidRPr="00247D92">
              <w:rPr>
                <w:rFonts w:cstheme="minorHAnsi"/>
              </w:rPr>
              <w:t>0.00</w:t>
            </w:r>
          </w:p>
        </w:tc>
        <w:tc>
          <w:tcPr>
            <w:tcW w:w="0" w:type="auto"/>
          </w:tcPr>
          <w:p w14:paraId="0380D4BB" w14:textId="77777777" w:rsidR="00B91DB5" w:rsidRPr="00247D92" w:rsidRDefault="00B91DB5" w:rsidP="00247D92">
            <w:pPr>
              <w:pStyle w:val="NoSpacing"/>
              <w:rPr>
                <w:rFonts w:cstheme="minorHAnsi"/>
                <w:w w:val="95"/>
              </w:rPr>
            </w:pPr>
            <w:r w:rsidRPr="00247D92">
              <w:rPr>
                <w:rFonts w:cstheme="minorHAnsi"/>
                <w:w w:val="95"/>
              </w:rPr>
              <w:t>20.72</w:t>
            </w:r>
          </w:p>
        </w:tc>
        <w:tc>
          <w:tcPr>
            <w:tcW w:w="0" w:type="auto"/>
          </w:tcPr>
          <w:p w14:paraId="006DC31C" w14:textId="77777777" w:rsidR="00B91DB5" w:rsidRPr="00247D92" w:rsidRDefault="00B91DB5" w:rsidP="00247D92">
            <w:pPr>
              <w:pStyle w:val="NoSpacing"/>
              <w:rPr>
                <w:rFonts w:cstheme="minorHAnsi"/>
                <w:w w:val="95"/>
              </w:rPr>
            </w:pPr>
            <w:r w:rsidRPr="00247D92">
              <w:rPr>
                <w:rFonts w:cstheme="minorHAnsi"/>
                <w:w w:val="95"/>
              </w:rPr>
              <w:t>2.86</w:t>
            </w:r>
          </w:p>
        </w:tc>
        <w:tc>
          <w:tcPr>
            <w:tcW w:w="0" w:type="auto"/>
          </w:tcPr>
          <w:p w14:paraId="0DE2ACFE" w14:textId="77777777" w:rsidR="00B91DB5" w:rsidRPr="00247D92" w:rsidRDefault="00B91DB5" w:rsidP="00247D92">
            <w:pPr>
              <w:pStyle w:val="NoSpacing"/>
              <w:rPr>
                <w:rFonts w:cstheme="minorHAnsi"/>
              </w:rPr>
            </w:pPr>
            <w:r w:rsidRPr="00247D92">
              <w:rPr>
                <w:rFonts w:cstheme="minorHAnsi"/>
              </w:rPr>
              <w:t>4.80</w:t>
            </w:r>
          </w:p>
        </w:tc>
      </w:tr>
      <w:tr w:rsidR="00B91DB5" w:rsidRPr="00247D92" w14:paraId="7CF5668C" w14:textId="77777777" w:rsidTr="00704AB6">
        <w:trPr>
          <w:trHeight w:val="209"/>
        </w:trPr>
        <w:tc>
          <w:tcPr>
            <w:tcW w:w="0" w:type="auto"/>
          </w:tcPr>
          <w:p w14:paraId="187ED191" w14:textId="77777777" w:rsidR="00B91DB5" w:rsidRPr="00247D92" w:rsidRDefault="00B91DB5" w:rsidP="00247D92">
            <w:pPr>
              <w:pStyle w:val="NoSpacing"/>
              <w:ind w:left="336"/>
              <w:rPr>
                <w:rFonts w:cstheme="minorHAnsi"/>
              </w:rPr>
            </w:pPr>
            <w:r w:rsidRPr="00247D92">
              <w:rPr>
                <w:rFonts w:cstheme="minorHAnsi"/>
              </w:rPr>
              <w:t>Bar density</w:t>
            </w:r>
          </w:p>
        </w:tc>
        <w:tc>
          <w:tcPr>
            <w:tcW w:w="0" w:type="auto"/>
          </w:tcPr>
          <w:p w14:paraId="543A5C93" w14:textId="77777777" w:rsidR="00B91DB5" w:rsidRPr="00247D92" w:rsidRDefault="00B91DB5" w:rsidP="00247D92">
            <w:pPr>
              <w:pStyle w:val="NoSpacing"/>
              <w:rPr>
                <w:rFonts w:cstheme="minorHAnsi"/>
              </w:rPr>
            </w:pPr>
            <w:r w:rsidRPr="00247D92">
              <w:rPr>
                <w:rFonts w:cstheme="minorHAnsi"/>
              </w:rPr>
              <w:t>0.00</w:t>
            </w:r>
          </w:p>
        </w:tc>
        <w:tc>
          <w:tcPr>
            <w:tcW w:w="0" w:type="auto"/>
          </w:tcPr>
          <w:p w14:paraId="5DFE5662" w14:textId="77777777" w:rsidR="00B91DB5" w:rsidRPr="00247D92" w:rsidRDefault="00B91DB5" w:rsidP="00247D92">
            <w:pPr>
              <w:pStyle w:val="NoSpacing"/>
              <w:rPr>
                <w:rFonts w:cstheme="minorHAnsi"/>
                <w:w w:val="95"/>
              </w:rPr>
            </w:pPr>
            <w:r w:rsidRPr="00247D92">
              <w:rPr>
                <w:rFonts w:cstheme="minorHAnsi"/>
                <w:w w:val="95"/>
              </w:rPr>
              <w:t>68.66</w:t>
            </w:r>
          </w:p>
        </w:tc>
        <w:tc>
          <w:tcPr>
            <w:tcW w:w="0" w:type="auto"/>
          </w:tcPr>
          <w:p w14:paraId="0144C56C" w14:textId="77777777" w:rsidR="00B91DB5" w:rsidRPr="00247D92" w:rsidRDefault="00B91DB5" w:rsidP="00247D92">
            <w:pPr>
              <w:pStyle w:val="NoSpacing"/>
              <w:rPr>
                <w:rFonts w:cstheme="minorHAnsi"/>
                <w:w w:val="95"/>
              </w:rPr>
            </w:pPr>
            <w:r w:rsidRPr="00247D92">
              <w:rPr>
                <w:rFonts w:cstheme="minorHAnsi"/>
                <w:w w:val="95"/>
              </w:rPr>
              <w:t>2.42</w:t>
            </w:r>
          </w:p>
        </w:tc>
        <w:tc>
          <w:tcPr>
            <w:tcW w:w="0" w:type="auto"/>
          </w:tcPr>
          <w:p w14:paraId="46566F37" w14:textId="77777777" w:rsidR="00B91DB5" w:rsidRPr="00247D92" w:rsidRDefault="00B91DB5" w:rsidP="00247D92">
            <w:pPr>
              <w:pStyle w:val="NoSpacing"/>
              <w:rPr>
                <w:rFonts w:cstheme="minorHAnsi"/>
              </w:rPr>
            </w:pPr>
            <w:r w:rsidRPr="00247D92">
              <w:rPr>
                <w:rFonts w:cstheme="minorHAnsi"/>
              </w:rPr>
              <w:t>10.38</w:t>
            </w:r>
          </w:p>
        </w:tc>
      </w:tr>
      <w:tr w:rsidR="00B91DB5" w:rsidRPr="00247D92" w14:paraId="0BBC4994" w14:textId="77777777" w:rsidTr="00704AB6">
        <w:trPr>
          <w:trHeight w:val="209"/>
        </w:trPr>
        <w:tc>
          <w:tcPr>
            <w:tcW w:w="0" w:type="auto"/>
          </w:tcPr>
          <w:p w14:paraId="6D6BFECB" w14:textId="77777777" w:rsidR="00B91DB5" w:rsidRPr="00247D92" w:rsidRDefault="00B91DB5" w:rsidP="00247D92">
            <w:pPr>
              <w:pStyle w:val="NoSpacing"/>
              <w:ind w:left="336"/>
              <w:rPr>
                <w:rFonts w:cstheme="minorHAnsi"/>
              </w:rPr>
            </w:pPr>
            <w:r w:rsidRPr="00247D92">
              <w:rPr>
                <w:rFonts w:cstheme="minorHAnsi"/>
              </w:rPr>
              <w:t>Restaurant density</w:t>
            </w:r>
          </w:p>
        </w:tc>
        <w:tc>
          <w:tcPr>
            <w:tcW w:w="0" w:type="auto"/>
          </w:tcPr>
          <w:p w14:paraId="631AAE5A" w14:textId="77777777" w:rsidR="00B91DB5" w:rsidRPr="00247D92" w:rsidRDefault="00B91DB5" w:rsidP="00247D92">
            <w:pPr>
              <w:pStyle w:val="NoSpacing"/>
              <w:rPr>
                <w:rFonts w:cstheme="minorHAnsi"/>
              </w:rPr>
            </w:pPr>
            <w:r w:rsidRPr="00247D92">
              <w:rPr>
                <w:rFonts w:cstheme="minorHAnsi"/>
              </w:rPr>
              <w:t>0.00</w:t>
            </w:r>
          </w:p>
        </w:tc>
        <w:tc>
          <w:tcPr>
            <w:tcW w:w="0" w:type="auto"/>
          </w:tcPr>
          <w:p w14:paraId="119F8F3C" w14:textId="77777777" w:rsidR="00B91DB5" w:rsidRPr="00247D92" w:rsidRDefault="00B91DB5" w:rsidP="00247D92">
            <w:pPr>
              <w:pStyle w:val="NoSpacing"/>
              <w:rPr>
                <w:rFonts w:cstheme="minorHAnsi"/>
                <w:w w:val="95"/>
              </w:rPr>
            </w:pPr>
            <w:r w:rsidRPr="00247D92">
              <w:rPr>
                <w:rFonts w:cstheme="minorHAnsi"/>
                <w:w w:val="95"/>
              </w:rPr>
              <w:t>137.33</w:t>
            </w:r>
          </w:p>
        </w:tc>
        <w:tc>
          <w:tcPr>
            <w:tcW w:w="0" w:type="auto"/>
          </w:tcPr>
          <w:p w14:paraId="3146B0C9" w14:textId="77777777" w:rsidR="00B91DB5" w:rsidRPr="00247D92" w:rsidRDefault="00B91DB5" w:rsidP="00247D92">
            <w:pPr>
              <w:pStyle w:val="NoSpacing"/>
              <w:rPr>
                <w:rFonts w:cstheme="minorHAnsi"/>
                <w:w w:val="95"/>
              </w:rPr>
            </w:pPr>
            <w:r w:rsidRPr="00247D92">
              <w:rPr>
                <w:rFonts w:cstheme="minorHAnsi"/>
                <w:w w:val="95"/>
              </w:rPr>
              <w:t>6.81</w:t>
            </w:r>
          </w:p>
        </w:tc>
        <w:tc>
          <w:tcPr>
            <w:tcW w:w="0" w:type="auto"/>
          </w:tcPr>
          <w:p w14:paraId="7FF8ED80" w14:textId="77777777" w:rsidR="00B91DB5" w:rsidRPr="00247D92" w:rsidRDefault="00B91DB5" w:rsidP="00247D92">
            <w:pPr>
              <w:pStyle w:val="NoSpacing"/>
              <w:rPr>
                <w:rFonts w:cstheme="minorHAnsi"/>
              </w:rPr>
            </w:pPr>
            <w:r w:rsidRPr="00247D92">
              <w:rPr>
                <w:rFonts w:cstheme="minorHAnsi"/>
              </w:rPr>
              <w:t>21.71</w:t>
            </w:r>
          </w:p>
        </w:tc>
      </w:tr>
      <w:tr w:rsidR="00B91DB5" w:rsidRPr="00247D92" w14:paraId="01030CB0" w14:textId="77777777" w:rsidTr="00704AB6">
        <w:trPr>
          <w:trHeight w:val="209"/>
        </w:trPr>
        <w:tc>
          <w:tcPr>
            <w:tcW w:w="0" w:type="auto"/>
          </w:tcPr>
          <w:p w14:paraId="515F72D4" w14:textId="77777777" w:rsidR="00B91DB5" w:rsidRPr="00247D92" w:rsidRDefault="00B91DB5" w:rsidP="00247D92">
            <w:pPr>
              <w:pStyle w:val="NoSpacing"/>
              <w:rPr>
                <w:rFonts w:cstheme="minorHAnsi"/>
              </w:rPr>
            </w:pPr>
            <w:r w:rsidRPr="00247D92">
              <w:rPr>
                <w:rFonts w:cstheme="minorHAnsi"/>
              </w:rPr>
              <w:t>Social disorganization</w:t>
            </w:r>
          </w:p>
        </w:tc>
        <w:tc>
          <w:tcPr>
            <w:tcW w:w="0" w:type="auto"/>
          </w:tcPr>
          <w:p w14:paraId="55C51478" w14:textId="77777777" w:rsidR="00B91DB5" w:rsidRPr="00247D92" w:rsidRDefault="00B91DB5" w:rsidP="00247D92">
            <w:pPr>
              <w:pStyle w:val="NoSpacing"/>
              <w:rPr>
                <w:rFonts w:cstheme="minorHAnsi"/>
              </w:rPr>
            </w:pPr>
          </w:p>
        </w:tc>
        <w:tc>
          <w:tcPr>
            <w:tcW w:w="0" w:type="auto"/>
          </w:tcPr>
          <w:p w14:paraId="04AF1730" w14:textId="77777777" w:rsidR="00B91DB5" w:rsidRPr="00247D92" w:rsidRDefault="00B91DB5" w:rsidP="00247D92">
            <w:pPr>
              <w:pStyle w:val="NoSpacing"/>
              <w:rPr>
                <w:rFonts w:cstheme="minorHAnsi"/>
              </w:rPr>
            </w:pPr>
          </w:p>
        </w:tc>
        <w:tc>
          <w:tcPr>
            <w:tcW w:w="0" w:type="auto"/>
          </w:tcPr>
          <w:p w14:paraId="4C194CE0" w14:textId="77777777" w:rsidR="00B91DB5" w:rsidRPr="00247D92" w:rsidRDefault="00B91DB5" w:rsidP="00247D92">
            <w:pPr>
              <w:pStyle w:val="NoSpacing"/>
              <w:rPr>
                <w:rFonts w:cstheme="minorHAnsi"/>
              </w:rPr>
            </w:pPr>
          </w:p>
        </w:tc>
        <w:tc>
          <w:tcPr>
            <w:tcW w:w="0" w:type="auto"/>
          </w:tcPr>
          <w:p w14:paraId="01A70F4F" w14:textId="77777777" w:rsidR="00B91DB5" w:rsidRPr="00247D92" w:rsidRDefault="00B91DB5" w:rsidP="00247D92">
            <w:pPr>
              <w:pStyle w:val="NoSpacing"/>
              <w:rPr>
                <w:rFonts w:cstheme="minorHAnsi"/>
              </w:rPr>
            </w:pPr>
          </w:p>
        </w:tc>
      </w:tr>
      <w:tr w:rsidR="00B91DB5" w:rsidRPr="00247D92" w14:paraId="66DA1ECE" w14:textId="77777777" w:rsidTr="00704AB6">
        <w:trPr>
          <w:trHeight w:val="209"/>
        </w:trPr>
        <w:tc>
          <w:tcPr>
            <w:tcW w:w="0" w:type="auto"/>
          </w:tcPr>
          <w:p w14:paraId="6D0A7E3F" w14:textId="77777777" w:rsidR="00B91DB5" w:rsidRPr="00247D92" w:rsidRDefault="00B91DB5" w:rsidP="00247D92">
            <w:pPr>
              <w:pStyle w:val="NoSpacing"/>
              <w:ind w:left="336"/>
              <w:rPr>
                <w:rFonts w:cstheme="minorHAnsi"/>
              </w:rPr>
            </w:pPr>
            <w:r w:rsidRPr="00247D92">
              <w:rPr>
                <w:rFonts w:cstheme="minorHAnsi"/>
              </w:rPr>
              <w:t>Social disorganization index</w:t>
            </w:r>
          </w:p>
        </w:tc>
        <w:tc>
          <w:tcPr>
            <w:tcW w:w="0" w:type="auto"/>
          </w:tcPr>
          <w:p w14:paraId="469A3912" w14:textId="77777777" w:rsidR="00B91DB5" w:rsidRPr="00247D92" w:rsidRDefault="00B91DB5" w:rsidP="00247D92">
            <w:pPr>
              <w:pStyle w:val="NoSpacing"/>
              <w:rPr>
                <w:rFonts w:cstheme="minorHAnsi"/>
              </w:rPr>
            </w:pPr>
            <w:r w:rsidRPr="00247D92">
              <w:rPr>
                <w:rFonts w:cstheme="minorHAnsi"/>
              </w:rPr>
              <w:t>–4.64</w:t>
            </w:r>
          </w:p>
        </w:tc>
        <w:tc>
          <w:tcPr>
            <w:tcW w:w="0" w:type="auto"/>
          </w:tcPr>
          <w:p w14:paraId="258C54B6" w14:textId="77777777" w:rsidR="00B91DB5" w:rsidRPr="00247D92" w:rsidRDefault="00B91DB5" w:rsidP="00247D92">
            <w:pPr>
              <w:pStyle w:val="NoSpacing"/>
              <w:rPr>
                <w:rFonts w:cstheme="minorHAnsi"/>
                <w:w w:val="95"/>
              </w:rPr>
            </w:pPr>
            <w:r w:rsidRPr="00247D92">
              <w:rPr>
                <w:rFonts w:cstheme="minorHAnsi"/>
                <w:w w:val="95"/>
              </w:rPr>
              <w:t>6.51</w:t>
            </w:r>
          </w:p>
        </w:tc>
        <w:tc>
          <w:tcPr>
            <w:tcW w:w="0" w:type="auto"/>
          </w:tcPr>
          <w:p w14:paraId="139A968C" w14:textId="77777777" w:rsidR="00B91DB5" w:rsidRPr="00247D92" w:rsidRDefault="00B91DB5" w:rsidP="00247D92">
            <w:pPr>
              <w:pStyle w:val="NoSpacing"/>
              <w:rPr>
                <w:rFonts w:cstheme="minorHAnsi"/>
                <w:w w:val="95"/>
              </w:rPr>
            </w:pPr>
            <w:r w:rsidRPr="00247D92">
              <w:rPr>
                <w:rFonts w:cstheme="minorHAnsi"/>
                <w:w w:val="95"/>
              </w:rPr>
              <w:t>0.04</w:t>
            </w:r>
          </w:p>
        </w:tc>
        <w:tc>
          <w:tcPr>
            <w:tcW w:w="0" w:type="auto"/>
          </w:tcPr>
          <w:p w14:paraId="2C8E36D4" w14:textId="77777777" w:rsidR="00B91DB5" w:rsidRPr="00247D92" w:rsidRDefault="00B91DB5" w:rsidP="00247D92">
            <w:pPr>
              <w:pStyle w:val="NoSpacing"/>
              <w:rPr>
                <w:rFonts w:cstheme="minorHAnsi"/>
              </w:rPr>
            </w:pPr>
            <w:r w:rsidRPr="00247D92">
              <w:rPr>
                <w:rFonts w:cstheme="minorHAnsi"/>
              </w:rPr>
              <w:t>2.76</w:t>
            </w:r>
          </w:p>
        </w:tc>
      </w:tr>
      <w:tr w:rsidR="00B91DB5" w:rsidRPr="00247D92" w14:paraId="5EDAEBB2" w14:textId="77777777" w:rsidTr="00704AB6">
        <w:trPr>
          <w:trHeight w:val="209"/>
        </w:trPr>
        <w:tc>
          <w:tcPr>
            <w:tcW w:w="0" w:type="auto"/>
          </w:tcPr>
          <w:p w14:paraId="58DCC317" w14:textId="77777777" w:rsidR="00B91DB5" w:rsidRPr="00247D92" w:rsidRDefault="00B91DB5" w:rsidP="00247D92">
            <w:pPr>
              <w:pStyle w:val="NoSpacing"/>
              <w:ind w:left="336"/>
              <w:rPr>
                <w:rFonts w:cstheme="minorHAnsi"/>
              </w:rPr>
            </w:pPr>
            <w:r w:rsidRPr="00247D92">
              <w:rPr>
                <w:rFonts w:cstheme="minorHAnsi"/>
              </w:rPr>
              <w:t>% Poverty</w:t>
            </w:r>
          </w:p>
        </w:tc>
        <w:tc>
          <w:tcPr>
            <w:tcW w:w="0" w:type="auto"/>
          </w:tcPr>
          <w:p w14:paraId="283525AB" w14:textId="77777777" w:rsidR="00B91DB5" w:rsidRPr="00247D92" w:rsidRDefault="00B91DB5" w:rsidP="00247D92">
            <w:pPr>
              <w:pStyle w:val="NoSpacing"/>
              <w:rPr>
                <w:rFonts w:cstheme="minorHAnsi"/>
              </w:rPr>
            </w:pPr>
            <w:r w:rsidRPr="00247D92">
              <w:rPr>
                <w:rFonts w:cstheme="minorHAnsi"/>
              </w:rPr>
              <w:t>0.00</w:t>
            </w:r>
          </w:p>
        </w:tc>
        <w:tc>
          <w:tcPr>
            <w:tcW w:w="0" w:type="auto"/>
          </w:tcPr>
          <w:p w14:paraId="19F2E292" w14:textId="77777777" w:rsidR="00B91DB5" w:rsidRPr="00247D92" w:rsidRDefault="00B91DB5" w:rsidP="00247D92">
            <w:pPr>
              <w:pStyle w:val="NoSpacing"/>
              <w:rPr>
                <w:rFonts w:cstheme="minorHAnsi"/>
                <w:w w:val="95"/>
              </w:rPr>
            </w:pPr>
            <w:r w:rsidRPr="00247D92">
              <w:rPr>
                <w:rFonts w:cstheme="minorHAnsi"/>
                <w:w w:val="95"/>
              </w:rPr>
              <w:t>0.79</w:t>
            </w:r>
          </w:p>
        </w:tc>
        <w:tc>
          <w:tcPr>
            <w:tcW w:w="0" w:type="auto"/>
          </w:tcPr>
          <w:p w14:paraId="15EABF87" w14:textId="77777777" w:rsidR="00B91DB5" w:rsidRPr="00247D92" w:rsidRDefault="00B91DB5" w:rsidP="00247D92">
            <w:pPr>
              <w:pStyle w:val="NoSpacing"/>
              <w:rPr>
                <w:rFonts w:cstheme="minorHAnsi"/>
                <w:w w:val="95"/>
              </w:rPr>
            </w:pPr>
            <w:r w:rsidRPr="00247D92">
              <w:rPr>
                <w:rFonts w:cstheme="minorHAnsi"/>
                <w:w w:val="95"/>
              </w:rPr>
              <w:t>0.20</w:t>
            </w:r>
          </w:p>
        </w:tc>
        <w:tc>
          <w:tcPr>
            <w:tcW w:w="0" w:type="auto"/>
          </w:tcPr>
          <w:p w14:paraId="69C25244" w14:textId="77777777" w:rsidR="00B91DB5" w:rsidRPr="00247D92" w:rsidRDefault="00B91DB5" w:rsidP="00247D92">
            <w:pPr>
              <w:pStyle w:val="NoSpacing"/>
              <w:rPr>
                <w:rFonts w:cstheme="minorHAnsi"/>
              </w:rPr>
            </w:pPr>
            <w:r w:rsidRPr="00247D92">
              <w:rPr>
                <w:rFonts w:cstheme="minorHAnsi"/>
              </w:rPr>
              <w:t>0.18</w:t>
            </w:r>
          </w:p>
        </w:tc>
      </w:tr>
      <w:tr w:rsidR="00B91DB5" w:rsidRPr="00247D92" w14:paraId="7C25A99E" w14:textId="77777777" w:rsidTr="00704AB6">
        <w:trPr>
          <w:trHeight w:val="209"/>
        </w:trPr>
        <w:tc>
          <w:tcPr>
            <w:tcW w:w="0" w:type="auto"/>
          </w:tcPr>
          <w:p w14:paraId="0F90E236" w14:textId="77777777" w:rsidR="00B91DB5" w:rsidRPr="00247D92" w:rsidRDefault="00B91DB5" w:rsidP="00247D92">
            <w:pPr>
              <w:pStyle w:val="NoSpacing"/>
              <w:ind w:left="336"/>
              <w:rPr>
                <w:rFonts w:cstheme="minorHAnsi"/>
              </w:rPr>
            </w:pPr>
            <w:r w:rsidRPr="00247D92">
              <w:rPr>
                <w:rFonts w:cstheme="minorHAnsi"/>
              </w:rPr>
              <w:t>% Ethnic heterogeneity</w:t>
            </w:r>
          </w:p>
        </w:tc>
        <w:tc>
          <w:tcPr>
            <w:tcW w:w="0" w:type="auto"/>
          </w:tcPr>
          <w:p w14:paraId="4442DD3A" w14:textId="77777777" w:rsidR="00B91DB5" w:rsidRPr="00247D92" w:rsidRDefault="00B91DB5" w:rsidP="00247D92">
            <w:pPr>
              <w:pStyle w:val="NoSpacing"/>
              <w:rPr>
                <w:rFonts w:cstheme="minorHAnsi"/>
              </w:rPr>
            </w:pPr>
            <w:r w:rsidRPr="00247D92">
              <w:rPr>
                <w:rFonts w:cstheme="minorHAnsi"/>
              </w:rPr>
              <w:t>0.02</w:t>
            </w:r>
          </w:p>
        </w:tc>
        <w:tc>
          <w:tcPr>
            <w:tcW w:w="0" w:type="auto"/>
          </w:tcPr>
          <w:p w14:paraId="542DC8F8" w14:textId="77777777" w:rsidR="00B91DB5" w:rsidRPr="00247D92" w:rsidRDefault="00B91DB5" w:rsidP="00247D92">
            <w:pPr>
              <w:pStyle w:val="NoSpacing"/>
              <w:rPr>
                <w:rFonts w:cstheme="minorHAnsi"/>
                <w:w w:val="95"/>
              </w:rPr>
            </w:pPr>
            <w:r w:rsidRPr="00247D92">
              <w:rPr>
                <w:rFonts w:cstheme="minorHAnsi"/>
                <w:w w:val="95"/>
              </w:rPr>
              <w:t>0.61</w:t>
            </w:r>
          </w:p>
        </w:tc>
        <w:tc>
          <w:tcPr>
            <w:tcW w:w="0" w:type="auto"/>
          </w:tcPr>
          <w:p w14:paraId="7B83B632" w14:textId="77777777" w:rsidR="00B91DB5" w:rsidRPr="00247D92" w:rsidRDefault="00B91DB5" w:rsidP="00247D92">
            <w:pPr>
              <w:pStyle w:val="NoSpacing"/>
              <w:rPr>
                <w:rFonts w:cstheme="minorHAnsi"/>
                <w:w w:val="95"/>
              </w:rPr>
            </w:pPr>
            <w:r w:rsidRPr="00247D92">
              <w:rPr>
                <w:rFonts w:cstheme="minorHAnsi"/>
                <w:w w:val="95"/>
              </w:rPr>
              <w:t>0.22</w:t>
            </w:r>
          </w:p>
        </w:tc>
        <w:tc>
          <w:tcPr>
            <w:tcW w:w="0" w:type="auto"/>
          </w:tcPr>
          <w:p w14:paraId="06F18FC8" w14:textId="77777777" w:rsidR="00B91DB5" w:rsidRPr="00247D92" w:rsidRDefault="00B91DB5" w:rsidP="00247D92">
            <w:pPr>
              <w:pStyle w:val="NoSpacing"/>
              <w:rPr>
                <w:rFonts w:cstheme="minorHAnsi"/>
              </w:rPr>
            </w:pPr>
            <w:r w:rsidRPr="00247D92">
              <w:rPr>
                <w:rFonts w:cstheme="minorHAnsi"/>
              </w:rPr>
              <w:t>0.10</w:t>
            </w:r>
          </w:p>
        </w:tc>
      </w:tr>
      <w:tr w:rsidR="00B91DB5" w:rsidRPr="00247D92" w14:paraId="7E0FF6ED" w14:textId="77777777" w:rsidTr="00704AB6">
        <w:trPr>
          <w:trHeight w:val="209"/>
        </w:trPr>
        <w:tc>
          <w:tcPr>
            <w:tcW w:w="0" w:type="auto"/>
          </w:tcPr>
          <w:p w14:paraId="4BE91AEB" w14:textId="77777777" w:rsidR="00B91DB5" w:rsidRPr="00247D92" w:rsidRDefault="00B91DB5" w:rsidP="00247D92">
            <w:pPr>
              <w:pStyle w:val="NoSpacing"/>
              <w:ind w:left="336"/>
              <w:rPr>
                <w:rFonts w:cstheme="minorHAnsi"/>
              </w:rPr>
            </w:pPr>
            <w:r w:rsidRPr="00247D92">
              <w:rPr>
                <w:rFonts w:cstheme="minorHAnsi"/>
              </w:rPr>
              <w:t>% Residential instability</w:t>
            </w:r>
          </w:p>
        </w:tc>
        <w:tc>
          <w:tcPr>
            <w:tcW w:w="0" w:type="auto"/>
          </w:tcPr>
          <w:p w14:paraId="48BA8169" w14:textId="77777777" w:rsidR="00B91DB5" w:rsidRPr="00247D92" w:rsidRDefault="00B91DB5" w:rsidP="00247D92">
            <w:pPr>
              <w:pStyle w:val="NoSpacing"/>
              <w:rPr>
                <w:rFonts w:cstheme="minorHAnsi"/>
              </w:rPr>
            </w:pPr>
            <w:r w:rsidRPr="00247D92">
              <w:rPr>
                <w:rFonts w:cstheme="minorHAnsi"/>
              </w:rPr>
              <w:t>0.00</w:t>
            </w:r>
          </w:p>
        </w:tc>
        <w:tc>
          <w:tcPr>
            <w:tcW w:w="0" w:type="auto"/>
          </w:tcPr>
          <w:p w14:paraId="36038365" w14:textId="77777777" w:rsidR="00B91DB5" w:rsidRPr="00247D92" w:rsidRDefault="00B91DB5" w:rsidP="00247D92">
            <w:pPr>
              <w:pStyle w:val="NoSpacing"/>
              <w:rPr>
                <w:rFonts w:cstheme="minorHAnsi"/>
                <w:w w:val="95"/>
              </w:rPr>
            </w:pPr>
            <w:r w:rsidRPr="00247D92">
              <w:rPr>
                <w:rFonts w:cstheme="minorHAnsi"/>
                <w:w w:val="95"/>
              </w:rPr>
              <w:t>1.00</w:t>
            </w:r>
          </w:p>
        </w:tc>
        <w:tc>
          <w:tcPr>
            <w:tcW w:w="0" w:type="auto"/>
          </w:tcPr>
          <w:p w14:paraId="3FD482E6" w14:textId="77777777" w:rsidR="00B91DB5" w:rsidRPr="00247D92" w:rsidRDefault="00B91DB5" w:rsidP="00247D92">
            <w:pPr>
              <w:pStyle w:val="NoSpacing"/>
              <w:rPr>
                <w:rFonts w:cstheme="minorHAnsi"/>
                <w:w w:val="95"/>
              </w:rPr>
            </w:pPr>
            <w:r w:rsidRPr="00247D92">
              <w:rPr>
                <w:rFonts w:cstheme="minorHAnsi"/>
                <w:w w:val="95"/>
              </w:rPr>
              <w:t>0.56</w:t>
            </w:r>
          </w:p>
        </w:tc>
        <w:tc>
          <w:tcPr>
            <w:tcW w:w="0" w:type="auto"/>
          </w:tcPr>
          <w:p w14:paraId="56AE76CA" w14:textId="77777777" w:rsidR="00B91DB5" w:rsidRPr="00247D92" w:rsidRDefault="00B91DB5" w:rsidP="00247D92">
            <w:pPr>
              <w:pStyle w:val="NoSpacing"/>
              <w:rPr>
                <w:rFonts w:cstheme="minorHAnsi"/>
              </w:rPr>
            </w:pPr>
            <w:r w:rsidRPr="00247D92">
              <w:rPr>
                <w:rFonts w:cstheme="minorHAnsi"/>
              </w:rPr>
              <w:t>0.31</w:t>
            </w:r>
          </w:p>
        </w:tc>
      </w:tr>
      <w:tr w:rsidR="00B91DB5" w:rsidRPr="00247D92" w14:paraId="7ABD885B" w14:textId="77777777" w:rsidTr="00704AB6">
        <w:trPr>
          <w:trHeight w:val="194"/>
        </w:trPr>
        <w:tc>
          <w:tcPr>
            <w:tcW w:w="0" w:type="auto"/>
          </w:tcPr>
          <w:p w14:paraId="4580D03E" w14:textId="77777777" w:rsidR="00B91DB5" w:rsidRPr="00247D92" w:rsidRDefault="00B91DB5" w:rsidP="00247D92">
            <w:pPr>
              <w:pStyle w:val="NoSpacing"/>
              <w:ind w:left="336"/>
              <w:rPr>
                <w:rFonts w:cstheme="minorHAnsi"/>
              </w:rPr>
            </w:pPr>
            <w:r w:rsidRPr="00247D92">
              <w:rPr>
                <w:rFonts w:cstheme="minorHAnsi"/>
              </w:rPr>
              <w:t>% Female headed household</w:t>
            </w:r>
          </w:p>
        </w:tc>
        <w:tc>
          <w:tcPr>
            <w:tcW w:w="0" w:type="auto"/>
          </w:tcPr>
          <w:p w14:paraId="79C1B4F5" w14:textId="77777777" w:rsidR="00B91DB5" w:rsidRPr="00247D92" w:rsidRDefault="00B91DB5" w:rsidP="00247D92">
            <w:pPr>
              <w:pStyle w:val="NoSpacing"/>
              <w:rPr>
                <w:rFonts w:cstheme="minorHAnsi"/>
              </w:rPr>
            </w:pPr>
            <w:r w:rsidRPr="00247D92">
              <w:rPr>
                <w:rFonts w:cstheme="minorHAnsi"/>
              </w:rPr>
              <w:t>0.00</w:t>
            </w:r>
          </w:p>
        </w:tc>
        <w:tc>
          <w:tcPr>
            <w:tcW w:w="0" w:type="auto"/>
          </w:tcPr>
          <w:p w14:paraId="1748246D" w14:textId="77777777" w:rsidR="00B91DB5" w:rsidRPr="00247D92" w:rsidRDefault="00B91DB5" w:rsidP="00247D92">
            <w:pPr>
              <w:pStyle w:val="NoSpacing"/>
              <w:rPr>
                <w:rFonts w:cstheme="minorHAnsi"/>
                <w:w w:val="95"/>
              </w:rPr>
            </w:pPr>
            <w:r w:rsidRPr="00247D92">
              <w:rPr>
                <w:rFonts w:cstheme="minorHAnsi"/>
                <w:w w:val="95"/>
              </w:rPr>
              <w:t>1.00</w:t>
            </w:r>
          </w:p>
        </w:tc>
        <w:tc>
          <w:tcPr>
            <w:tcW w:w="0" w:type="auto"/>
          </w:tcPr>
          <w:p w14:paraId="45AA222B" w14:textId="77777777" w:rsidR="00B91DB5" w:rsidRPr="00247D92" w:rsidRDefault="00B91DB5" w:rsidP="00247D92">
            <w:pPr>
              <w:pStyle w:val="NoSpacing"/>
              <w:rPr>
                <w:rFonts w:cstheme="minorHAnsi"/>
                <w:w w:val="95"/>
              </w:rPr>
            </w:pPr>
            <w:r w:rsidRPr="00247D92">
              <w:rPr>
                <w:rFonts w:cstheme="minorHAnsi"/>
                <w:w w:val="95"/>
              </w:rPr>
              <w:t>0.13</w:t>
            </w:r>
          </w:p>
        </w:tc>
        <w:tc>
          <w:tcPr>
            <w:tcW w:w="0" w:type="auto"/>
          </w:tcPr>
          <w:p w14:paraId="2AEDAAC8" w14:textId="77777777" w:rsidR="00B91DB5" w:rsidRPr="00247D92" w:rsidRDefault="00B91DB5" w:rsidP="00247D92">
            <w:pPr>
              <w:pStyle w:val="NoSpacing"/>
              <w:rPr>
                <w:rFonts w:cstheme="minorHAnsi"/>
              </w:rPr>
            </w:pPr>
            <w:r w:rsidRPr="00247D92">
              <w:rPr>
                <w:rFonts w:cstheme="minorHAnsi"/>
              </w:rPr>
              <w:t>0.16</w:t>
            </w:r>
          </w:p>
        </w:tc>
      </w:tr>
      <w:tr w:rsidR="00B91DB5" w:rsidRPr="00247D92" w14:paraId="27D71FA1" w14:textId="77777777" w:rsidTr="00704AB6">
        <w:trPr>
          <w:trHeight w:val="208"/>
        </w:trPr>
        <w:tc>
          <w:tcPr>
            <w:tcW w:w="0" w:type="auto"/>
          </w:tcPr>
          <w:p w14:paraId="5424F2C2" w14:textId="77777777" w:rsidR="00B91DB5" w:rsidRPr="00247D92" w:rsidRDefault="00B91DB5" w:rsidP="00247D92">
            <w:pPr>
              <w:pStyle w:val="NoSpacing"/>
              <w:rPr>
                <w:rFonts w:cstheme="minorHAnsi"/>
              </w:rPr>
            </w:pPr>
            <w:r w:rsidRPr="00247D92">
              <w:rPr>
                <w:rFonts w:cstheme="minorHAnsi"/>
              </w:rPr>
              <w:t>Land use variables</w:t>
            </w:r>
          </w:p>
        </w:tc>
        <w:tc>
          <w:tcPr>
            <w:tcW w:w="0" w:type="auto"/>
          </w:tcPr>
          <w:p w14:paraId="2881E54E" w14:textId="77777777" w:rsidR="00B91DB5" w:rsidRPr="00247D92" w:rsidRDefault="00B91DB5" w:rsidP="00247D92">
            <w:pPr>
              <w:pStyle w:val="NoSpacing"/>
              <w:rPr>
                <w:rFonts w:cstheme="minorHAnsi"/>
              </w:rPr>
            </w:pPr>
          </w:p>
        </w:tc>
        <w:tc>
          <w:tcPr>
            <w:tcW w:w="0" w:type="auto"/>
          </w:tcPr>
          <w:p w14:paraId="1A46993C" w14:textId="77777777" w:rsidR="00B91DB5" w:rsidRPr="00247D92" w:rsidRDefault="00B91DB5" w:rsidP="00247D92">
            <w:pPr>
              <w:pStyle w:val="NoSpacing"/>
              <w:rPr>
                <w:rFonts w:cstheme="minorHAnsi"/>
              </w:rPr>
            </w:pPr>
          </w:p>
        </w:tc>
        <w:tc>
          <w:tcPr>
            <w:tcW w:w="0" w:type="auto"/>
          </w:tcPr>
          <w:p w14:paraId="2171599B" w14:textId="77777777" w:rsidR="00B91DB5" w:rsidRPr="00247D92" w:rsidRDefault="00B91DB5" w:rsidP="00247D92">
            <w:pPr>
              <w:pStyle w:val="NoSpacing"/>
              <w:rPr>
                <w:rFonts w:cstheme="minorHAnsi"/>
              </w:rPr>
            </w:pPr>
          </w:p>
        </w:tc>
        <w:tc>
          <w:tcPr>
            <w:tcW w:w="0" w:type="auto"/>
          </w:tcPr>
          <w:p w14:paraId="14875BBD" w14:textId="77777777" w:rsidR="00B91DB5" w:rsidRPr="00247D92" w:rsidRDefault="00B91DB5" w:rsidP="00247D92">
            <w:pPr>
              <w:pStyle w:val="NoSpacing"/>
              <w:rPr>
                <w:rFonts w:cstheme="minorHAnsi"/>
              </w:rPr>
            </w:pPr>
          </w:p>
        </w:tc>
      </w:tr>
      <w:tr w:rsidR="00B91DB5" w:rsidRPr="00247D92" w14:paraId="3DF99AB9" w14:textId="77777777" w:rsidTr="00704AB6">
        <w:trPr>
          <w:trHeight w:val="224"/>
        </w:trPr>
        <w:tc>
          <w:tcPr>
            <w:tcW w:w="0" w:type="auto"/>
          </w:tcPr>
          <w:p w14:paraId="02E51F49" w14:textId="77777777" w:rsidR="00B91DB5" w:rsidRPr="00247D92" w:rsidRDefault="00B91DB5" w:rsidP="00247D92">
            <w:pPr>
              <w:pStyle w:val="NoSpacing"/>
              <w:ind w:left="336"/>
              <w:rPr>
                <w:rFonts w:cstheme="minorHAnsi"/>
              </w:rPr>
            </w:pPr>
            <w:r w:rsidRPr="00247D92">
              <w:rPr>
                <w:rFonts w:cstheme="minorHAnsi"/>
              </w:rPr>
              <w:t>Commercial arterial</w:t>
            </w:r>
          </w:p>
        </w:tc>
        <w:tc>
          <w:tcPr>
            <w:tcW w:w="0" w:type="auto"/>
          </w:tcPr>
          <w:p w14:paraId="2AEDE50C" w14:textId="77777777" w:rsidR="00B91DB5" w:rsidRPr="00247D92" w:rsidRDefault="00B91DB5" w:rsidP="00247D92">
            <w:pPr>
              <w:pStyle w:val="NoSpacing"/>
              <w:rPr>
                <w:rFonts w:cstheme="minorHAnsi"/>
              </w:rPr>
            </w:pPr>
            <w:r w:rsidRPr="00247D92">
              <w:rPr>
                <w:rFonts w:cstheme="minorHAnsi"/>
              </w:rPr>
              <w:t>0.00</w:t>
            </w:r>
          </w:p>
        </w:tc>
        <w:tc>
          <w:tcPr>
            <w:tcW w:w="0" w:type="auto"/>
          </w:tcPr>
          <w:p w14:paraId="0378D9AD" w14:textId="77777777" w:rsidR="00B91DB5" w:rsidRPr="00247D92" w:rsidRDefault="00B91DB5" w:rsidP="00247D92">
            <w:pPr>
              <w:pStyle w:val="NoSpacing"/>
              <w:rPr>
                <w:rFonts w:cstheme="minorHAnsi"/>
                <w:w w:val="95"/>
              </w:rPr>
            </w:pPr>
            <w:r w:rsidRPr="00247D92">
              <w:rPr>
                <w:rFonts w:cstheme="minorHAnsi"/>
                <w:w w:val="95"/>
              </w:rPr>
              <w:t>14.00</w:t>
            </w:r>
          </w:p>
        </w:tc>
        <w:tc>
          <w:tcPr>
            <w:tcW w:w="0" w:type="auto"/>
          </w:tcPr>
          <w:p w14:paraId="4E4383EF" w14:textId="77777777" w:rsidR="00B91DB5" w:rsidRPr="00247D92" w:rsidRDefault="00B91DB5" w:rsidP="00247D92">
            <w:pPr>
              <w:pStyle w:val="NoSpacing"/>
              <w:rPr>
                <w:rFonts w:cstheme="minorHAnsi"/>
                <w:w w:val="95"/>
              </w:rPr>
            </w:pPr>
            <w:r w:rsidRPr="00247D92">
              <w:rPr>
                <w:rFonts w:cstheme="minorHAnsi"/>
                <w:w w:val="95"/>
              </w:rPr>
              <w:t>0.78</w:t>
            </w:r>
          </w:p>
        </w:tc>
        <w:tc>
          <w:tcPr>
            <w:tcW w:w="0" w:type="auto"/>
          </w:tcPr>
          <w:p w14:paraId="0F29499C" w14:textId="77777777" w:rsidR="00B91DB5" w:rsidRPr="00247D92" w:rsidRDefault="00B91DB5" w:rsidP="00247D92">
            <w:pPr>
              <w:pStyle w:val="NoSpacing"/>
              <w:rPr>
                <w:rFonts w:cstheme="minorHAnsi"/>
              </w:rPr>
            </w:pPr>
            <w:r w:rsidRPr="00247D92">
              <w:rPr>
                <w:rFonts w:cstheme="minorHAnsi"/>
              </w:rPr>
              <w:t>2.28</w:t>
            </w:r>
          </w:p>
        </w:tc>
      </w:tr>
      <w:tr w:rsidR="00B91DB5" w:rsidRPr="00247D92" w14:paraId="7713A046" w14:textId="77777777" w:rsidTr="00704AB6">
        <w:trPr>
          <w:trHeight w:val="209"/>
        </w:trPr>
        <w:tc>
          <w:tcPr>
            <w:tcW w:w="0" w:type="auto"/>
          </w:tcPr>
          <w:p w14:paraId="2BB175C3" w14:textId="77777777" w:rsidR="00B91DB5" w:rsidRPr="00247D92" w:rsidRDefault="00B91DB5" w:rsidP="00247D92">
            <w:pPr>
              <w:pStyle w:val="NoSpacing"/>
              <w:ind w:left="336"/>
              <w:rPr>
                <w:rFonts w:cstheme="minorHAnsi"/>
              </w:rPr>
            </w:pPr>
            <w:r w:rsidRPr="00247D92">
              <w:rPr>
                <w:rFonts w:cstheme="minorHAnsi"/>
              </w:rPr>
              <w:t>Commercial general</w:t>
            </w:r>
          </w:p>
        </w:tc>
        <w:tc>
          <w:tcPr>
            <w:tcW w:w="0" w:type="auto"/>
          </w:tcPr>
          <w:p w14:paraId="51FF896A" w14:textId="77777777" w:rsidR="00B91DB5" w:rsidRPr="00247D92" w:rsidRDefault="00B91DB5" w:rsidP="00247D92">
            <w:pPr>
              <w:pStyle w:val="NoSpacing"/>
              <w:rPr>
                <w:rFonts w:cstheme="minorHAnsi"/>
              </w:rPr>
            </w:pPr>
            <w:r w:rsidRPr="00247D92">
              <w:rPr>
                <w:rFonts w:cstheme="minorHAnsi"/>
              </w:rPr>
              <w:t>0.00</w:t>
            </w:r>
          </w:p>
        </w:tc>
        <w:tc>
          <w:tcPr>
            <w:tcW w:w="0" w:type="auto"/>
          </w:tcPr>
          <w:p w14:paraId="53477D99" w14:textId="77777777" w:rsidR="00B91DB5" w:rsidRPr="00247D92" w:rsidRDefault="00B91DB5" w:rsidP="00247D92">
            <w:pPr>
              <w:pStyle w:val="NoSpacing"/>
              <w:rPr>
                <w:rFonts w:cstheme="minorHAnsi"/>
                <w:w w:val="95"/>
              </w:rPr>
            </w:pPr>
            <w:r w:rsidRPr="00247D92">
              <w:rPr>
                <w:rFonts w:cstheme="minorHAnsi"/>
                <w:w w:val="95"/>
              </w:rPr>
              <w:t>10.50</w:t>
            </w:r>
          </w:p>
        </w:tc>
        <w:tc>
          <w:tcPr>
            <w:tcW w:w="0" w:type="auto"/>
          </w:tcPr>
          <w:p w14:paraId="78AA4B78" w14:textId="77777777" w:rsidR="00B91DB5" w:rsidRPr="00247D92" w:rsidRDefault="00B91DB5" w:rsidP="00247D92">
            <w:pPr>
              <w:pStyle w:val="NoSpacing"/>
              <w:rPr>
                <w:rFonts w:cstheme="minorHAnsi"/>
                <w:w w:val="95"/>
              </w:rPr>
            </w:pPr>
            <w:r w:rsidRPr="00247D92">
              <w:rPr>
                <w:rFonts w:cstheme="minorHAnsi"/>
                <w:w w:val="95"/>
              </w:rPr>
              <w:t>0.90</w:t>
            </w:r>
          </w:p>
        </w:tc>
        <w:tc>
          <w:tcPr>
            <w:tcW w:w="0" w:type="auto"/>
          </w:tcPr>
          <w:p w14:paraId="381E2238" w14:textId="77777777" w:rsidR="00B91DB5" w:rsidRPr="00247D92" w:rsidRDefault="00B91DB5" w:rsidP="00247D92">
            <w:pPr>
              <w:pStyle w:val="NoSpacing"/>
              <w:rPr>
                <w:rFonts w:cstheme="minorHAnsi"/>
              </w:rPr>
            </w:pPr>
            <w:r w:rsidRPr="00247D92">
              <w:rPr>
                <w:rFonts w:cstheme="minorHAnsi"/>
              </w:rPr>
              <w:t>1.92</w:t>
            </w:r>
          </w:p>
        </w:tc>
      </w:tr>
      <w:tr w:rsidR="00B91DB5" w:rsidRPr="00247D92" w14:paraId="36D3B420" w14:textId="77777777" w:rsidTr="00704AB6">
        <w:trPr>
          <w:trHeight w:val="209"/>
        </w:trPr>
        <w:tc>
          <w:tcPr>
            <w:tcW w:w="0" w:type="auto"/>
          </w:tcPr>
          <w:p w14:paraId="46F886C7" w14:textId="77777777" w:rsidR="00B91DB5" w:rsidRPr="00247D92" w:rsidRDefault="00B91DB5" w:rsidP="00247D92">
            <w:pPr>
              <w:pStyle w:val="NoSpacing"/>
              <w:ind w:left="336"/>
              <w:rPr>
                <w:rFonts w:cstheme="minorHAnsi"/>
              </w:rPr>
            </w:pPr>
            <w:r w:rsidRPr="00247D92">
              <w:rPr>
                <w:rFonts w:cstheme="minorHAnsi"/>
              </w:rPr>
              <w:t>Industrial general</w:t>
            </w:r>
          </w:p>
        </w:tc>
        <w:tc>
          <w:tcPr>
            <w:tcW w:w="0" w:type="auto"/>
          </w:tcPr>
          <w:p w14:paraId="4757691E" w14:textId="77777777" w:rsidR="00B91DB5" w:rsidRPr="00247D92" w:rsidRDefault="00B91DB5" w:rsidP="00247D92">
            <w:pPr>
              <w:pStyle w:val="NoSpacing"/>
              <w:rPr>
                <w:rFonts w:cstheme="minorHAnsi"/>
              </w:rPr>
            </w:pPr>
            <w:r w:rsidRPr="00247D92">
              <w:rPr>
                <w:rFonts w:cstheme="minorHAnsi"/>
              </w:rPr>
              <w:t>0.00</w:t>
            </w:r>
          </w:p>
        </w:tc>
        <w:tc>
          <w:tcPr>
            <w:tcW w:w="0" w:type="auto"/>
          </w:tcPr>
          <w:p w14:paraId="7F688228" w14:textId="77777777" w:rsidR="00B91DB5" w:rsidRPr="00247D92" w:rsidRDefault="00B91DB5" w:rsidP="00247D92">
            <w:pPr>
              <w:pStyle w:val="NoSpacing"/>
              <w:rPr>
                <w:rFonts w:cstheme="minorHAnsi"/>
                <w:w w:val="95"/>
              </w:rPr>
            </w:pPr>
            <w:r w:rsidRPr="00247D92">
              <w:rPr>
                <w:rFonts w:cstheme="minorHAnsi"/>
                <w:w w:val="95"/>
              </w:rPr>
              <w:t>24.00</w:t>
            </w:r>
          </w:p>
        </w:tc>
        <w:tc>
          <w:tcPr>
            <w:tcW w:w="0" w:type="auto"/>
          </w:tcPr>
          <w:p w14:paraId="675625B3" w14:textId="77777777" w:rsidR="00B91DB5" w:rsidRPr="00247D92" w:rsidRDefault="00B91DB5" w:rsidP="00247D92">
            <w:pPr>
              <w:pStyle w:val="NoSpacing"/>
              <w:rPr>
                <w:rFonts w:cstheme="minorHAnsi"/>
                <w:w w:val="95"/>
              </w:rPr>
            </w:pPr>
            <w:r w:rsidRPr="00247D92">
              <w:rPr>
                <w:rFonts w:cstheme="minorHAnsi"/>
                <w:w w:val="95"/>
              </w:rPr>
              <w:t>0.98</w:t>
            </w:r>
          </w:p>
        </w:tc>
        <w:tc>
          <w:tcPr>
            <w:tcW w:w="0" w:type="auto"/>
          </w:tcPr>
          <w:p w14:paraId="6EF136E4" w14:textId="77777777" w:rsidR="00B91DB5" w:rsidRPr="00247D92" w:rsidRDefault="00B91DB5" w:rsidP="00247D92">
            <w:pPr>
              <w:pStyle w:val="NoSpacing"/>
              <w:rPr>
                <w:rFonts w:cstheme="minorHAnsi"/>
              </w:rPr>
            </w:pPr>
            <w:r w:rsidRPr="00247D92">
              <w:rPr>
                <w:rFonts w:cstheme="minorHAnsi"/>
              </w:rPr>
              <w:t>3.46</w:t>
            </w:r>
          </w:p>
        </w:tc>
      </w:tr>
      <w:tr w:rsidR="00B91DB5" w:rsidRPr="00247D92" w14:paraId="4DFB5F57" w14:textId="77777777" w:rsidTr="00704AB6">
        <w:trPr>
          <w:trHeight w:val="209"/>
        </w:trPr>
        <w:tc>
          <w:tcPr>
            <w:tcW w:w="0" w:type="auto"/>
          </w:tcPr>
          <w:p w14:paraId="72B20DA8" w14:textId="77777777" w:rsidR="00B91DB5" w:rsidRPr="00247D92" w:rsidRDefault="00B91DB5" w:rsidP="00247D92">
            <w:pPr>
              <w:pStyle w:val="NoSpacing"/>
              <w:ind w:left="336"/>
              <w:rPr>
                <w:rFonts w:cstheme="minorHAnsi"/>
              </w:rPr>
            </w:pPr>
            <w:r w:rsidRPr="00247D92">
              <w:rPr>
                <w:rFonts w:cstheme="minorHAnsi"/>
              </w:rPr>
              <w:t>Mobile housing</w:t>
            </w:r>
          </w:p>
        </w:tc>
        <w:tc>
          <w:tcPr>
            <w:tcW w:w="0" w:type="auto"/>
          </w:tcPr>
          <w:p w14:paraId="33C2E4A9" w14:textId="77777777" w:rsidR="00B91DB5" w:rsidRPr="00247D92" w:rsidRDefault="00B91DB5" w:rsidP="00247D92">
            <w:pPr>
              <w:pStyle w:val="NoSpacing"/>
              <w:rPr>
                <w:rFonts w:cstheme="minorHAnsi"/>
              </w:rPr>
            </w:pPr>
            <w:r w:rsidRPr="00247D92">
              <w:rPr>
                <w:rFonts w:cstheme="minorHAnsi"/>
              </w:rPr>
              <w:t>0.00</w:t>
            </w:r>
          </w:p>
        </w:tc>
        <w:tc>
          <w:tcPr>
            <w:tcW w:w="0" w:type="auto"/>
          </w:tcPr>
          <w:p w14:paraId="56CB0055" w14:textId="77777777" w:rsidR="00B91DB5" w:rsidRPr="00247D92" w:rsidRDefault="00B91DB5" w:rsidP="00247D92">
            <w:pPr>
              <w:pStyle w:val="NoSpacing"/>
              <w:rPr>
                <w:rFonts w:cstheme="minorHAnsi"/>
                <w:w w:val="95"/>
              </w:rPr>
            </w:pPr>
            <w:r w:rsidRPr="00247D92">
              <w:rPr>
                <w:rFonts w:cstheme="minorHAnsi"/>
                <w:w w:val="95"/>
              </w:rPr>
              <w:t>10.50</w:t>
            </w:r>
          </w:p>
        </w:tc>
        <w:tc>
          <w:tcPr>
            <w:tcW w:w="0" w:type="auto"/>
          </w:tcPr>
          <w:p w14:paraId="44D8AE05" w14:textId="77777777" w:rsidR="00B91DB5" w:rsidRPr="00247D92" w:rsidRDefault="00B91DB5" w:rsidP="00247D92">
            <w:pPr>
              <w:pStyle w:val="NoSpacing"/>
              <w:rPr>
                <w:rFonts w:cstheme="minorHAnsi"/>
                <w:w w:val="95"/>
              </w:rPr>
            </w:pPr>
            <w:r w:rsidRPr="00247D92">
              <w:rPr>
                <w:rFonts w:cstheme="minorHAnsi"/>
                <w:w w:val="95"/>
              </w:rPr>
              <w:t>0.63</w:t>
            </w:r>
          </w:p>
        </w:tc>
        <w:tc>
          <w:tcPr>
            <w:tcW w:w="0" w:type="auto"/>
          </w:tcPr>
          <w:p w14:paraId="4798DA4C" w14:textId="77777777" w:rsidR="00B91DB5" w:rsidRPr="00247D92" w:rsidRDefault="00B91DB5" w:rsidP="00247D92">
            <w:pPr>
              <w:pStyle w:val="NoSpacing"/>
              <w:rPr>
                <w:rFonts w:cstheme="minorHAnsi"/>
              </w:rPr>
            </w:pPr>
            <w:r w:rsidRPr="00247D92">
              <w:rPr>
                <w:rFonts w:cstheme="minorHAnsi"/>
              </w:rPr>
              <w:t>1.92</w:t>
            </w:r>
          </w:p>
        </w:tc>
      </w:tr>
      <w:tr w:rsidR="00B91DB5" w:rsidRPr="00247D92" w14:paraId="2E866329" w14:textId="77777777" w:rsidTr="00704AB6">
        <w:trPr>
          <w:trHeight w:val="209"/>
        </w:trPr>
        <w:tc>
          <w:tcPr>
            <w:tcW w:w="0" w:type="auto"/>
          </w:tcPr>
          <w:p w14:paraId="3F855C41" w14:textId="77777777" w:rsidR="00B91DB5" w:rsidRPr="00247D92" w:rsidRDefault="00B91DB5" w:rsidP="00247D92">
            <w:pPr>
              <w:pStyle w:val="NoSpacing"/>
              <w:ind w:left="336"/>
              <w:rPr>
                <w:rFonts w:cstheme="minorHAnsi"/>
              </w:rPr>
            </w:pPr>
            <w:r w:rsidRPr="00247D92">
              <w:rPr>
                <w:rFonts w:cstheme="minorHAnsi"/>
              </w:rPr>
              <w:t>Residential high density</w:t>
            </w:r>
          </w:p>
        </w:tc>
        <w:tc>
          <w:tcPr>
            <w:tcW w:w="0" w:type="auto"/>
          </w:tcPr>
          <w:p w14:paraId="7A3106AC" w14:textId="77777777" w:rsidR="00B91DB5" w:rsidRPr="00247D92" w:rsidRDefault="00B91DB5" w:rsidP="00247D92">
            <w:pPr>
              <w:pStyle w:val="NoSpacing"/>
              <w:rPr>
                <w:rFonts w:cstheme="minorHAnsi"/>
              </w:rPr>
            </w:pPr>
            <w:r w:rsidRPr="00247D92">
              <w:rPr>
                <w:rFonts w:cstheme="minorHAnsi"/>
              </w:rPr>
              <w:t>0.00</w:t>
            </w:r>
          </w:p>
        </w:tc>
        <w:tc>
          <w:tcPr>
            <w:tcW w:w="0" w:type="auto"/>
          </w:tcPr>
          <w:p w14:paraId="45D9E540" w14:textId="77777777" w:rsidR="00B91DB5" w:rsidRPr="00247D92" w:rsidRDefault="00B91DB5" w:rsidP="00247D92">
            <w:pPr>
              <w:pStyle w:val="NoSpacing"/>
              <w:rPr>
                <w:rFonts w:cstheme="minorHAnsi"/>
                <w:w w:val="95"/>
              </w:rPr>
            </w:pPr>
            <w:r w:rsidRPr="00247D92">
              <w:rPr>
                <w:rFonts w:cstheme="minorHAnsi"/>
                <w:w w:val="95"/>
              </w:rPr>
              <w:t>9.33</w:t>
            </w:r>
          </w:p>
        </w:tc>
        <w:tc>
          <w:tcPr>
            <w:tcW w:w="0" w:type="auto"/>
          </w:tcPr>
          <w:p w14:paraId="533CB053" w14:textId="77777777" w:rsidR="00B91DB5" w:rsidRPr="00247D92" w:rsidRDefault="00B91DB5" w:rsidP="00247D92">
            <w:pPr>
              <w:pStyle w:val="NoSpacing"/>
              <w:rPr>
                <w:rFonts w:cstheme="minorHAnsi"/>
                <w:w w:val="95"/>
              </w:rPr>
            </w:pPr>
            <w:r w:rsidRPr="00247D92">
              <w:rPr>
                <w:rFonts w:cstheme="minorHAnsi"/>
                <w:w w:val="95"/>
              </w:rPr>
              <w:t>1.14</w:t>
            </w:r>
          </w:p>
        </w:tc>
        <w:tc>
          <w:tcPr>
            <w:tcW w:w="0" w:type="auto"/>
          </w:tcPr>
          <w:p w14:paraId="5A454574" w14:textId="77777777" w:rsidR="00B91DB5" w:rsidRPr="00247D92" w:rsidRDefault="00B91DB5" w:rsidP="00247D92">
            <w:pPr>
              <w:pStyle w:val="NoSpacing"/>
              <w:rPr>
                <w:rFonts w:cstheme="minorHAnsi"/>
              </w:rPr>
            </w:pPr>
            <w:r w:rsidRPr="00247D92">
              <w:rPr>
                <w:rFonts w:cstheme="minorHAnsi"/>
              </w:rPr>
              <w:t>2.12</w:t>
            </w:r>
          </w:p>
        </w:tc>
      </w:tr>
      <w:tr w:rsidR="00B91DB5" w:rsidRPr="00247D92" w14:paraId="2B2DFAC2" w14:textId="77777777" w:rsidTr="00704AB6">
        <w:trPr>
          <w:trHeight w:val="209"/>
        </w:trPr>
        <w:tc>
          <w:tcPr>
            <w:tcW w:w="0" w:type="auto"/>
          </w:tcPr>
          <w:p w14:paraId="7496E492" w14:textId="77777777" w:rsidR="00B91DB5" w:rsidRPr="00247D92" w:rsidRDefault="00B91DB5" w:rsidP="00247D92">
            <w:pPr>
              <w:pStyle w:val="NoSpacing"/>
              <w:ind w:left="336"/>
              <w:rPr>
                <w:rFonts w:cstheme="minorHAnsi"/>
              </w:rPr>
            </w:pPr>
            <w:r w:rsidRPr="00247D92">
              <w:rPr>
                <w:rFonts w:cstheme="minorHAnsi"/>
              </w:rPr>
              <w:t>Residential multifamily</w:t>
            </w:r>
          </w:p>
        </w:tc>
        <w:tc>
          <w:tcPr>
            <w:tcW w:w="0" w:type="auto"/>
          </w:tcPr>
          <w:p w14:paraId="5BCBBC95" w14:textId="77777777" w:rsidR="00B91DB5" w:rsidRPr="00247D92" w:rsidRDefault="00B91DB5" w:rsidP="00247D92">
            <w:pPr>
              <w:pStyle w:val="NoSpacing"/>
              <w:rPr>
                <w:rFonts w:cstheme="minorHAnsi"/>
              </w:rPr>
            </w:pPr>
            <w:r w:rsidRPr="00247D92">
              <w:rPr>
                <w:rFonts w:cstheme="minorHAnsi"/>
              </w:rPr>
              <w:t>0.00</w:t>
            </w:r>
          </w:p>
        </w:tc>
        <w:tc>
          <w:tcPr>
            <w:tcW w:w="0" w:type="auto"/>
          </w:tcPr>
          <w:p w14:paraId="320E9099" w14:textId="77777777" w:rsidR="00B91DB5" w:rsidRPr="00247D92" w:rsidRDefault="00B91DB5" w:rsidP="00247D92">
            <w:pPr>
              <w:pStyle w:val="NoSpacing"/>
              <w:rPr>
                <w:rFonts w:cstheme="minorHAnsi"/>
                <w:w w:val="95"/>
              </w:rPr>
            </w:pPr>
            <w:r w:rsidRPr="00247D92">
              <w:rPr>
                <w:rFonts w:cstheme="minorHAnsi"/>
                <w:w w:val="95"/>
              </w:rPr>
              <w:t>4.67</w:t>
            </w:r>
          </w:p>
        </w:tc>
        <w:tc>
          <w:tcPr>
            <w:tcW w:w="0" w:type="auto"/>
          </w:tcPr>
          <w:p w14:paraId="73CE09B5" w14:textId="77777777" w:rsidR="00B91DB5" w:rsidRPr="00247D92" w:rsidRDefault="00B91DB5" w:rsidP="00247D92">
            <w:pPr>
              <w:pStyle w:val="NoSpacing"/>
              <w:rPr>
                <w:rFonts w:cstheme="minorHAnsi"/>
                <w:w w:val="95"/>
              </w:rPr>
            </w:pPr>
            <w:r w:rsidRPr="00247D92">
              <w:rPr>
                <w:rFonts w:cstheme="minorHAnsi"/>
                <w:w w:val="95"/>
              </w:rPr>
              <w:t>0.79</w:t>
            </w:r>
          </w:p>
        </w:tc>
        <w:tc>
          <w:tcPr>
            <w:tcW w:w="0" w:type="auto"/>
          </w:tcPr>
          <w:p w14:paraId="42575393" w14:textId="77777777" w:rsidR="00B91DB5" w:rsidRPr="00247D92" w:rsidRDefault="00B91DB5" w:rsidP="00247D92">
            <w:pPr>
              <w:pStyle w:val="NoSpacing"/>
              <w:rPr>
                <w:rFonts w:cstheme="minorHAnsi"/>
              </w:rPr>
            </w:pPr>
            <w:r w:rsidRPr="00247D92">
              <w:rPr>
                <w:rFonts w:cstheme="minorHAnsi"/>
              </w:rPr>
              <w:t>1.16</w:t>
            </w:r>
          </w:p>
        </w:tc>
      </w:tr>
      <w:tr w:rsidR="00B91DB5" w:rsidRPr="00247D92" w14:paraId="6FA31A7F" w14:textId="77777777" w:rsidTr="00704AB6">
        <w:trPr>
          <w:trHeight w:val="194"/>
        </w:trPr>
        <w:tc>
          <w:tcPr>
            <w:tcW w:w="0" w:type="auto"/>
          </w:tcPr>
          <w:p w14:paraId="1DF99B7A" w14:textId="77777777" w:rsidR="00B91DB5" w:rsidRPr="00247D92" w:rsidRDefault="00B91DB5" w:rsidP="00247D92">
            <w:pPr>
              <w:pStyle w:val="NoSpacing"/>
              <w:ind w:left="336"/>
              <w:rPr>
                <w:rFonts w:cstheme="minorHAnsi"/>
              </w:rPr>
            </w:pPr>
            <w:r w:rsidRPr="00247D92">
              <w:rPr>
                <w:rFonts w:cstheme="minorHAnsi"/>
              </w:rPr>
              <w:t>Residential single family</w:t>
            </w:r>
          </w:p>
        </w:tc>
        <w:tc>
          <w:tcPr>
            <w:tcW w:w="0" w:type="auto"/>
          </w:tcPr>
          <w:p w14:paraId="0BCE573D" w14:textId="77777777" w:rsidR="00B91DB5" w:rsidRPr="00247D92" w:rsidRDefault="00B91DB5" w:rsidP="00247D92">
            <w:pPr>
              <w:pStyle w:val="NoSpacing"/>
              <w:rPr>
                <w:rFonts w:cstheme="minorHAnsi"/>
              </w:rPr>
            </w:pPr>
            <w:r w:rsidRPr="00247D92">
              <w:rPr>
                <w:rFonts w:cstheme="minorHAnsi"/>
              </w:rPr>
              <w:t>0.00</w:t>
            </w:r>
          </w:p>
        </w:tc>
        <w:tc>
          <w:tcPr>
            <w:tcW w:w="0" w:type="auto"/>
          </w:tcPr>
          <w:p w14:paraId="05F57051" w14:textId="77777777" w:rsidR="00B91DB5" w:rsidRPr="00247D92" w:rsidRDefault="00B91DB5" w:rsidP="00247D92">
            <w:pPr>
              <w:pStyle w:val="NoSpacing"/>
              <w:rPr>
                <w:rFonts w:cstheme="minorHAnsi"/>
                <w:w w:val="95"/>
              </w:rPr>
            </w:pPr>
            <w:r w:rsidRPr="00247D92">
              <w:rPr>
                <w:rFonts w:cstheme="minorHAnsi"/>
                <w:w w:val="95"/>
              </w:rPr>
              <w:t>4.80</w:t>
            </w:r>
          </w:p>
        </w:tc>
        <w:tc>
          <w:tcPr>
            <w:tcW w:w="0" w:type="auto"/>
          </w:tcPr>
          <w:p w14:paraId="33E28CE6" w14:textId="77777777" w:rsidR="00B91DB5" w:rsidRPr="00247D92" w:rsidRDefault="00B91DB5" w:rsidP="00247D92">
            <w:pPr>
              <w:pStyle w:val="NoSpacing"/>
              <w:rPr>
                <w:rFonts w:cstheme="minorHAnsi"/>
                <w:w w:val="95"/>
              </w:rPr>
            </w:pPr>
            <w:r w:rsidRPr="00247D92">
              <w:rPr>
                <w:rFonts w:cstheme="minorHAnsi"/>
                <w:w w:val="95"/>
              </w:rPr>
              <w:t>0.77</w:t>
            </w:r>
          </w:p>
        </w:tc>
        <w:tc>
          <w:tcPr>
            <w:tcW w:w="0" w:type="auto"/>
          </w:tcPr>
          <w:p w14:paraId="1544133F" w14:textId="77777777" w:rsidR="00B91DB5" w:rsidRPr="00247D92" w:rsidRDefault="00B91DB5" w:rsidP="00247D92">
            <w:pPr>
              <w:pStyle w:val="NoSpacing"/>
              <w:rPr>
                <w:rFonts w:cstheme="minorHAnsi"/>
              </w:rPr>
            </w:pPr>
            <w:r w:rsidRPr="00247D92">
              <w:rPr>
                <w:rFonts w:cstheme="minorHAnsi"/>
              </w:rPr>
              <w:t>1.31</w:t>
            </w:r>
          </w:p>
        </w:tc>
      </w:tr>
      <w:tr w:rsidR="00B91DB5" w:rsidRPr="00247D92" w14:paraId="2DAB5388" w14:textId="77777777" w:rsidTr="00704AB6">
        <w:trPr>
          <w:trHeight w:val="208"/>
        </w:trPr>
        <w:tc>
          <w:tcPr>
            <w:tcW w:w="0" w:type="auto"/>
          </w:tcPr>
          <w:p w14:paraId="5F3C6655" w14:textId="77777777" w:rsidR="00B91DB5" w:rsidRPr="00247D92" w:rsidRDefault="00B91DB5" w:rsidP="00247D92">
            <w:pPr>
              <w:pStyle w:val="NoSpacing"/>
              <w:rPr>
                <w:rFonts w:cstheme="minorHAnsi"/>
              </w:rPr>
            </w:pPr>
            <w:r w:rsidRPr="00247D92">
              <w:rPr>
                <w:rFonts w:cstheme="minorHAnsi"/>
              </w:rPr>
              <w:t>Control variables</w:t>
            </w:r>
          </w:p>
        </w:tc>
        <w:tc>
          <w:tcPr>
            <w:tcW w:w="0" w:type="auto"/>
          </w:tcPr>
          <w:p w14:paraId="2B2EAFCF" w14:textId="77777777" w:rsidR="00B91DB5" w:rsidRPr="00247D92" w:rsidRDefault="00B91DB5" w:rsidP="00247D92">
            <w:pPr>
              <w:pStyle w:val="NoSpacing"/>
              <w:rPr>
                <w:rFonts w:cstheme="minorHAnsi"/>
              </w:rPr>
            </w:pPr>
          </w:p>
        </w:tc>
        <w:tc>
          <w:tcPr>
            <w:tcW w:w="0" w:type="auto"/>
          </w:tcPr>
          <w:p w14:paraId="391B6560" w14:textId="77777777" w:rsidR="00B91DB5" w:rsidRPr="00247D92" w:rsidRDefault="00B91DB5" w:rsidP="00247D92">
            <w:pPr>
              <w:pStyle w:val="NoSpacing"/>
              <w:rPr>
                <w:rFonts w:cstheme="minorHAnsi"/>
              </w:rPr>
            </w:pPr>
          </w:p>
        </w:tc>
        <w:tc>
          <w:tcPr>
            <w:tcW w:w="0" w:type="auto"/>
          </w:tcPr>
          <w:p w14:paraId="6B0CF129" w14:textId="77777777" w:rsidR="00B91DB5" w:rsidRPr="00247D92" w:rsidRDefault="00B91DB5" w:rsidP="00247D92">
            <w:pPr>
              <w:pStyle w:val="NoSpacing"/>
              <w:rPr>
                <w:rFonts w:cstheme="minorHAnsi"/>
              </w:rPr>
            </w:pPr>
          </w:p>
        </w:tc>
        <w:tc>
          <w:tcPr>
            <w:tcW w:w="0" w:type="auto"/>
          </w:tcPr>
          <w:p w14:paraId="6A8C9133" w14:textId="77777777" w:rsidR="00B91DB5" w:rsidRPr="00247D92" w:rsidRDefault="00B91DB5" w:rsidP="00247D92">
            <w:pPr>
              <w:pStyle w:val="NoSpacing"/>
              <w:rPr>
                <w:rFonts w:cstheme="minorHAnsi"/>
              </w:rPr>
            </w:pPr>
          </w:p>
        </w:tc>
      </w:tr>
      <w:tr w:rsidR="00B91DB5" w:rsidRPr="00247D92" w14:paraId="580F0E37" w14:textId="77777777" w:rsidTr="00704AB6">
        <w:trPr>
          <w:trHeight w:val="224"/>
        </w:trPr>
        <w:tc>
          <w:tcPr>
            <w:tcW w:w="0" w:type="auto"/>
          </w:tcPr>
          <w:p w14:paraId="20B04181" w14:textId="77777777" w:rsidR="00B91DB5" w:rsidRPr="00247D92" w:rsidRDefault="00B91DB5" w:rsidP="00247D92">
            <w:pPr>
              <w:pStyle w:val="NoSpacing"/>
              <w:ind w:left="336"/>
              <w:rPr>
                <w:rFonts w:cstheme="minorHAnsi"/>
              </w:rPr>
            </w:pPr>
            <w:r w:rsidRPr="00247D92">
              <w:rPr>
                <w:rFonts w:cstheme="minorHAnsi"/>
              </w:rPr>
              <w:t>Aggravated assault density 2004–2005</w:t>
            </w:r>
          </w:p>
        </w:tc>
        <w:tc>
          <w:tcPr>
            <w:tcW w:w="0" w:type="auto"/>
          </w:tcPr>
          <w:p w14:paraId="24CDB513" w14:textId="77777777" w:rsidR="00B91DB5" w:rsidRPr="00247D92" w:rsidRDefault="00B91DB5" w:rsidP="00247D92">
            <w:pPr>
              <w:pStyle w:val="NoSpacing"/>
              <w:rPr>
                <w:rFonts w:cstheme="minorHAnsi"/>
              </w:rPr>
            </w:pPr>
            <w:r w:rsidRPr="00247D92">
              <w:rPr>
                <w:rFonts w:cstheme="minorHAnsi"/>
              </w:rPr>
              <w:t>0.00</w:t>
            </w:r>
          </w:p>
        </w:tc>
        <w:tc>
          <w:tcPr>
            <w:tcW w:w="0" w:type="auto"/>
          </w:tcPr>
          <w:p w14:paraId="02A8711F" w14:textId="77777777" w:rsidR="00B91DB5" w:rsidRPr="00247D92" w:rsidRDefault="00B91DB5" w:rsidP="00247D92">
            <w:pPr>
              <w:pStyle w:val="NoSpacing"/>
              <w:rPr>
                <w:rFonts w:cstheme="minorHAnsi"/>
                <w:w w:val="95"/>
              </w:rPr>
            </w:pPr>
            <w:r w:rsidRPr="00247D92">
              <w:rPr>
                <w:rFonts w:cstheme="minorHAnsi"/>
                <w:w w:val="95"/>
              </w:rPr>
              <w:t>99.95</w:t>
            </w:r>
          </w:p>
        </w:tc>
        <w:tc>
          <w:tcPr>
            <w:tcW w:w="0" w:type="auto"/>
          </w:tcPr>
          <w:p w14:paraId="1308763A" w14:textId="77777777" w:rsidR="00B91DB5" w:rsidRPr="00247D92" w:rsidRDefault="00B91DB5" w:rsidP="00247D92">
            <w:pPr>
              <w:pStyle w:val="NoSpacing"/>
              <w:rPr>
                <w:rFonts w:cstheme="minorHAnsi"/>
                <w:w w:val="95"/>
              </w:rPr>
            </w:pPr>
            <w:r w:rsidRPr="00247D92">
              <w:rPr>
                <w:rFonts w:cstheme="minorHAnsi"/>
                <w:w w:val="95"/>
              </w:rPr>
              <w:t>5.75</w:t>
            </w:r>
          </w:p>
        </w:tc>
        <w:tc>
          <w:tcPr>
            <w:tcW w:w="0" w:type="auto"/>
          </w:tcPr>
          <w:p w14:paraId="46AC38E2" w14:textId="77777777" w:rsidR="00B91DB5" w:rsidRPr="00247D92" w:rsidRDefault="00B91DB5" w:rsidP="00247D92">
            <w:pPr>
              <w:pStyle w:val="NoSpacing"/>
              <w:rPr>
                <w:rFonts w:cstheme="minorHAnsi"/>
              </w:rPr>
            </w:pPr>
            <w:r w:rsidRPr="00247D92">
              <w:rPr>
                <w:rFonts w:cstheme="minorHAnsi"/>
              </w:rPr>
              <w:t>13.95</w:t>
            </w:r>
          </w:p>
        </w:tc>
      </w:tr>
      <w:tr w:rsidR="00B91DB5" w:rsidRPr="00247D92" w14:paraId="4797233A" w14:textId="77777777" w:rsidTr="00704AB6">
        <w:trPr>
          <w:trHeight w:val="209"/>
        </w:trPr>
        <w:tc>
          <w:tcPr>
            <w:tcW w:w="0" w:type="auto"/>
          </w:tcPr>
          <w:p w14:paraId="54A14532" w14:textId="77777777" w:rsidR="00B91DB5" w:rsidRPr="00247D92" w:rsidRDefault="00B91DB5" w:rsidP="00247D92">
            <w:pPr>
              <w:pStyle w:val="NoSpacing"/>
              <w:ind w:left="336"/>
              <w:rPr>
                <w:rFonts w:cstheme="minorHAnsi"/>
              </w:rPr>
            </w:pPr>
            <w:r w:rsidRPr="00247D92">
              <w:rPr>
                <w:rFonts w:cstheme="minorHAnsi"/>
              </w:rPr>
              <w:t>Simple assault density 2004–2005</w:t>
            </w:r>
          </w:p>
        </w:tc>
        <w:tc>
          <w:tcPr>
            <w:tcW w:w="0" w:type="auto"/>
          </w:tcPr>
          <w:p w14:paraId="49E87A9C" w14:textId="77777777" w:rsidR="00B91DB5" w:rsidRPr="00247D92" w:rsidRDefault="00B91DB5" w:rsidP="00247D92">
            <w:pPr>
              <w:pStyle w:val="NoSpacing"/>
              <w:rPr>
                <w:rFonts w:cstheme="minorHAnsi"/>
              </w:rPr>
            </w:pPr>
            <w:r w:rsidRPr="00247D92">
              <w:rPr>
                <w:rFonts w:cstheme="minorHAnsi"/>
              </w:rPr>
              <w:t>0.00</w:t>
            </w:r>
          </w:p>
        </w:tc>
        <w:tc>
          <w:tcPr>
            <w:tcW w:w="0" w:type="auto"/>
          </w:tcPr>
          <w:p w14:paraId="76B49EA4" w14:textId="77777777" w:rsidR="00B91DB5" w:rsidRPr="00247D92" w:rsidRDefault="00B91DB5" w:rsidP="00247D92">
            <w:pPr>
              <w:pStyle w:val="NoSpacing"/>
              <w:rPr>
                <w:rFonts w:cstheme="minorHAnsi"/>
                <w:w w:val="95"/>
              </w:rPr>
            </w:pPr>
            <w:r w:rsidRPr="00247D92">
              <w:rPr>
                <w:rFonts w:cstheme="minorHAnsi"/>
                <w:w w:val="95"/>
              </w:rPr>
              <w:t>585.42</w:t>
            </w:r>
          </w:p>
        </w:tc>
        <w:tc>
          <w:tcPr>
            <w:tcW w:w="0" w:type="auto"/>
          </w:tcPr>
          <w:p w14:paraId="0A36EFF8" w14:textId="77777777" w:rsidR="00B91DB5" w:rsidRPr="00247D92" w:rsidRDefault="00B91DB5" w:rsidP="00247D92">
            <w:pPr>
              <w:pStyle w:val="NoSpacing"/>
              <w:rPr>
                <w:rFonts w:cstheme="minorHAnsi"/>
                <w:w w:val="95"/>
              </w:rPr>
            </w:pPr>
            <w:r w:rsidRPr="00247D92">
              <w:rPr>
                <w:rFonts w:cstheme="minorHAnsi"/>
                <w:w w:val="95"/>
              </w:rPr>
              <w:t>42.09</w:t>
            </w:r>
          </w:p>
        </w:tc>
        <w:tc>
          <w:tcPr>
            <w:tcW w:w="0" w:type="auto"/>
          </w:tcPr>
          <w:p w14:paraId="78A0B044" w14:textId="77777777" w:rsidR="00B91DB5" w:rsidRPr="00247D92" w:rsidRDefault="00B91DB5" w:rsidP="00247D92">
            <w:pPr>
              <w:pStyle w:val="NoSpacing"/>
              <w:rPr>
                <w:rFonts w:cstheme="minorHAnsi"/>
              </w:rPr>
            </w:pPr>
            <w:r w:rsidRPr="00247D92">
              <w:rPr>
                <w:rFonts w:cstheme="minorHAnsi"/>
              </w:rPr>
              <w:t>82.05</w:t>
            </w:r>
          </w:p>
        </w:tc>
      </w:tr>
      <w:tr w:rsidR="00B91DB5" w:rsidRPr="00247D92" w14:paraId="65298980" w14:textId="77777777" w:rsidTr="00704AB6">
        <w:trPr>
          <w:trHeight w:val="209"/>
        </w:trPr>
        <w:tc>
          <w:tcPr>
            <w:tcW w:w="0" w:type="auto"/>
          </w:tcPr>
          <w:p w14:paraId="0C2F5219" w14:textId="77777777" w:rsidR="00B91DB5" w:rsidRPr="00247D92" w:rsidRDefault="00B91DB5" w:rsidP="00247D92">
            <w:pPr>
              <w:pStyle w:val="NoSpacing"/>
              <w:ind w:left="336"/>
              <w:rPr>
                <w:rFonts w:cstheme="minorHAnsi"/>
              </w:rPr>
            </w:pPr>
            <w:r w:rsidRPr="00247D92">
              <w:rPr>
                <w:rFonts w:cstheme="minorHAnsi"/>
              </w:rPr>
              <w:t>% African American</w:t>
            </w:r>
          </w:p>
        </w:tc>
        <w:tc>
          <w:tcPr>
            <w:tcW w:w="0" w:type="auto"/>
          </w:tcPr>
          <w:p w14:paraId="0E6D3D63" w14:textId="77777777" w:rsidR="00B91DB5" w:rsidRPr="00247D92" w:rsidRDefault="00B91DB5" w:rsidP="00247D92">
            <w:pPr>
              <w:pStyle w:val="NoSpacing"/>
              <w:rPr>
                <w:rFonts w:cstheme="minorHAnsi"/>
              </w:rPr>
            </w:pPr>
            <w:r w:rsidRPr="00247D92">
              <w:rPr>
                <w:rFonts w:cstheme="minorHAnsi"/>
              </w:rPr>
              <w:t>0.00</w:t>
            </w:r>
          </w:p>
        </w:tc>
        <w:tc>
          <w:tcPr>
            <w:tcW w:w="0" w:type="auto"/>
          </w:tcPr>
          <w:p w14:paraId="0FD8AA34" w14:textId="77777777" w:rsidR="00B91DB5" w:rsidRPr="00247D92" w:rsidRDefault="00B91DB5" w:rsidP="00247D92">
            <w:pPr>
              <w:pStyle w:val="NoSpacing"/>
              <w:rPr>
                <w:rFonts w:cstheme="minorHAnsi"/>
                <w:w w:val="95"/>
              </w:rPr>
            </w:pPr>
            <w:r w:rsidRPr="00247D92">
              <w:rPr>
                <w:rFonts w:cstheme="minorHAnsi"/>
                <w:w w:val="95"/>
              </w:rPr>
              <w:t>0.73</w:t>
            </w:r>
          </w:p>
        </w:tc>
        <w:tc>
          <w:tcPr>
            <w:tcW w:w="0" w:type="auto"/>
          </w:tcPr>
          <w:p w14:paraId="060638F4" w14:textId="77777777" w:rsidR="00B91DB5" w:rsidRPr="00247D92" w:rsidRDefault="00B91DB5" w:rsidP="00247D92">
            <w:pPr>
              <w:pStyle w:val="NoSpacing"/>
              <w:rPr>
                <w:rFonts w:cstheme="minorHAnsi"/>
                <w:w w:val="95"/>
              </w:rPr>
            </w:pPr>
            <w:r w:rsidRPr="00247D92">
              <w:rPr>
                <w:rFonts w:cstheme="minorHAnsi"/>
                <w:w w:val="95"/>
              </w:rPr>
              <w:t>0.16</w:t>
            </w:r>
          </w:p>
        </w:tc>
        <w:tc>
          <w:tcPr>
            <w:tcW w:w="0" w:type="auto"/>
          </w:tcPr>
          <w:p w14:paraId="37C394A0" w14:textId="77777777" w:rsidR="00B91DB5" w:rsidRPr="00247D92" w:rsidRDefault="00B91DB5" w:rsidP="00247D92">
            <w:pPr>
              <w:pStyle w:val="NoSpacing"/>
              <w:rPr>
                <w:rFonts w:cstheme="minorHAnsi"/>
              </w:rPr>
            </w:pPr>
            <w:r w:rsidRPr="00247D92">
              <w:rPr>
                <w:rFonts w:cstheme="minorHAnsi"/>
              </w:rPr>
              <w:t>0.18</w:t>
            </w:r>
          </w:p>
        </w:tc>
      </w:tr>
      <w:tr w:rsidR="00B91DB5" w:rsidRPr="00247D92" w14:paraId="5509B18E" w14:textId="77777777" w:rsidTr="00704AB6">
        <w:trPr>
          <w:trHeight w:val="193"/>
        </w:trPr>
        <w:tc>
          <w:tcPr>
            <w:tcW w:w="0" w:type="auto"/>
          </w:tcPr>
          <w:p w14:paraId="058CE95E" w14:textId="77777777" w:rsidR="00B91DB5" w:rsidRPr="00247D92" w:rsidRDefault="00B91DB5" w:rsidP="00ED1938">
            <w:pPr>
              <w:pStyle w:val="NoSpacing"/>
              <w:ind w:left="336"/>
              <w:rPr>
                <w:rFonts w:cstheme="minorHAnsi"/>
              </w:rPr>
            </w:pPr>
            <w:r w:rsidRPr="00247D92">
              <w:rPr>
                <w:rFonts w:cstheme="minorHAnsi"/>
              </w:rPr>
              <w:t>Population density</w:t>
            </w:r>
          </w:p>
        </w:tc>
        <w:tc>
          <w:tcPr>
            <w:tcW w:w="0" w:type="auto"/>
          </w:tcPr>
          <w:p w14:paraId="09E163EA" w14:textId="77777777" w:rsidR="00B91DB5" w:rsidRPr="00247D92" w:rsidRDefault="00B91DB5" w:rsidP="00247D92">
            <w:pPr>
              <w:pStyle w:val="NoSpacing"/>
              <w:rPr>
                <w:rFonts w:cstheme="minorHAnsi"/>
              </w:rPr>
            </w:pPr>
            <w:r w:rsidRPr="00247D92">
              <w:rPr>
                <w:rFonts w:cstheme="minorHAnsi"/>
              </w:rPr>
              <w:t>106.68</w:t>
            </w:r>
          </w:p>
        </w:tc>
        <w:tc>
          <w:tcPr>
            <w:tcW w:w="0" w:type="auto"/>
          </w:tcPr>
          <w:p w14:paraId="26C2B44B" w14:textId="77777777" w:rsidR="00B91DB5" w:rsidRPr="00247D92" w:rsidRDefault="00B91DB5" w:rsidP="00247D92">
            <w:pPr>
              <w:pStyle w:val="NoSpacing"/>
              <w:rPr>
                <w:rFonts w:cstheme="minorHAnsi"/>
                <w:w w:val="95"/>
              </w:rPr>
            </w:pPr>
            <w:r w:rsidRPr="00247D92">
              <w:rPr>
                <w:rFonts w:cstheme="minorHAnsi"/>
                <w:w w:val="95"/>
              </w:rPr>
              <w:t>31071.27</w:t>
            </w:r>
          </w:p>
        </w:tc>
        <w:tc>
          <w:tcPr>
            <w:tcW w:w="0" w:type="auto"/>
          </w:tcPr>
          <w:p w14:paraId="168B6223" w14:textId="77777777" w:rsidR="00B91DB5" w:rsidRPr="00247D92" w:rsidRDefault="00B91DB5" w:rsidP="00247D92">
            <w:pPr>
              <w:pStyle w:val="NoSpacing"/>
              <w:rPr>
                <w:rFonts w:cstheme="minorHAnsi"/>
                <w:w w:val="95"/>
              </w:rPr>
            </w:pPr>
            <w:r w:rsidRPr="00247D92">
              <w:rPr>
                <w:rFonts w:cstheme="minorHAnsi"/>
                <w:w w:val="95"/>
              </w:rPr>
              <w:t>4243.78</w:t>
            </w:r>
          </w:p>
        </w:tc>
        <w:tc>
          <w:tcPr>
            <w:tcW w:w="0" w:type="auto"/>
          </w:tcPr>
          <w:p w14:paraId="7C4097BA" w14:textId="77777777" w:rsidR="00B91DB5" w:rsidRPr="00247D92" w:rsidRDefault="00B91DB5" w:rsidP="00247D92">
            <w:pPr>
              <w:pStyle w:val="NoSpacing"/>
              <w:rPr>
                <w:rFonts w:cstheme="minorHAnsi"/>
              </w:rPr>
            </w:pPr>
            <w:r w:rsidRPr="00247D92">
              <w:rPr>
                <w:rFonts w:cstheme="minorHAnsi"/>
              </w:rPr>
              <w:t>4699.86</w:t>
            </w:r>
          </w:p>
        </w:tc>
      </w:tr>
    </w:tbl>
    <w:p w14:paraId="6DA71989" w14:textId="77777777" w:rsidR="00BA13A0" w:rsidRPr="00923FF9" w:rsidRDefault="00BA13A0" w:rsidP="00923FF9"/>
    <w:p w14:paraId="7CCDC8BE" w14:textId="5C268240" w:rsidR="00923FF9" w:rsidRPr="00923FF9" w:rsidRDefault="00923FF9" w:rsidP="00923FF9">
      <w:r w:rsidRPr="00923FF9">
        <w:t xml:space="preserve">Table 2 shows the correlation matrix. As expected, the density of aggravated assaults was positively and significantly correlated with total outlets </w:t>
      </w:r>
      <m:oMath>
        <m:r>
          <w:rPr>
            <w:rFonts w:ascii="Cambria Math" w:hAnsi="Cambria Math"/>
          </w:rPr>
          <m:t>(</m:t>
        </m:r>
        <m:r>
          <w:rPr>
            <w:rFonts w:ascii="Cambria Math" w:hAnsi="Cambria Math"/>
          </w:rPr>
          <m:t>r</m:t>
        </m:r>
        <m:r>
          <w:rPr>
            <w:rFonts w:ascii="Cambria Math" w:hAnsi="Cambria Math"/>
          </w:rPr>
          <m:t> = .47)</m:t>
        </m:r>
      </m:oMath>
      <w:r w:rsidRPr="00923FF9">
        <w:t>, off-</w:t>
      </w:r>
      <w:proofErr w:type="gramStart"/>
      <w:r w:rsidRPr="00923FF9">
        <w:t>premise</w:t>
      </w:r>
      <w:proofErr w:type="gramEnd"/>
      <w:r w:rsidRPr="00923FF9">
        <w:t xml:space="preserve"> outlets </w:t>
      </w:r>
      <m:oMath>
        <m:r>
          <w:rPr>
            <w:rFonts w:ascii="Cambria Math" w:hAnsi="Cambria Math"/>
          </w:rPr>
          <m:t>(</m:t>
        </m:r>
        <m:r>
          <w:rPr>
            <w:rFonts w:ascii="Cambria Math" w:hAnsi="Cambria Math"/>
          </w:rPr>
          <m:t>r</m:t>
        </m:r>
        <m:r>
          <w:rPr>
            <w:rFonts w:ascii="Cambria Math" w:hAnsi="Cambria Math"/>
          </w:rPr>
          <m:t>= .51)</m:t>
        </m:r>
      </m:oMath>
      <w:r w:rsidRPr="00923FF9">
        <w:t xml:space="preserve">, bars </w:t>
      </w:r>
      <m:oMath>
        <m:r>
          <w:rPr>
            <w:rFonts w:ascii="Cambria Math" w:hAnsi="Cambria Math"/>
          </w:rPr>
          <m:t>(</m:t>
        </m:r>
        <m:r>
          <w:rPr>
            <w:rFonts w:ascii="Cambria Math" w:hAnsi="Cambria Math"/>
          </w:rPr>
          <m:t>r</m:t>
        </m:r>
        <m:r>
          <w:rPr>
            <w:rFonts w:ascii="Cambria Math" w:hAnsi="Cambria Math"/>
          </w:rPr>
          <m:t> = .48)</m:t>
        </m:r>
      </m:oMath>
      <w:r w:rsidRPr="00923FF9">
        <w:t xml:space="preserve">, and restaurants </w:t>
      </w:r>
      <m:oMath>
        <m:r>
          <w:rPr>
            <w:rFonts w:ascii="Cambria Math" w:hAnsi="Cambria Math"/>
          </w:rPr>
          <m:t>(</m:t>
        </m:r>
        <m:r>
          <w:rPr>
            <w:rFonts w:ascii="Cambria Math" w:hAnsi="Cambria Math"/>
          </w:rPr>
          <m:t>r</m:t>
        </m:r>
        <m:r>
          <w:rPr>
            <w:rFonts w:ascii="Cambria Math" w:hAnsi="Cambria Math"/>
          </w:rPr>
          <m:t> = .35)</m:t>
        </m:r>
      </m:oMath>
      <w:r w:rsidRPr="00923FF9">
        <w:t xml:space="preserve">. The same was true for the density of simple assaults and total outlets </w:t>
      </w:r>
      <m:oMath>
        <m:r>
          <w:rPr>
            <w:rFonts w:ascii="Cambria Math" w:hAnsi="Cambria Math"/>
          </w:rPr>
          <m:t>(</m:t>
        </m:r>
        <m:r>
          <w:rPr>
            <w:rFonts w:ascii="Cambria Math" w:hAnsi="Cambria Math"/>
          </w:rPr>
          <m:t>r</m:t>
        </m:r>
        <m:r>
          <w:rPr>
            <w:rFonts w:ascii="Cambria Math" w:hAnsi="Cambria Math"/>
          </w:rPr>
          <m:t> = .58)</m:t>
        </m:r>
      </m:oMath>
      <w:r w:rsidRPr="00923FF9">
        <w:t>, off-</w:t>
      </w:r>
      <w:proofErr w:type="gramStart"/>
      <w:r w:rsidRPr="00923FF9">
        <w:t>premise</w:t>
      </w:r>
      <w:proofErr w:type="gramEnd"/>
      <w:r w:rsidRPr="00923FF9">
        <w:t xml:space="preserve"> outlets </w:t>
      </w:r>
      <m:oMath>
        <m:r>
          <w:rPr>
            <w:rFonts w:ascii="Cambria Math" w:hAnsi="Cambria Math"/>
          </w:rPr>
          <m:t>(</m:t>
        </m:r>
        <m:r>
          <w:rPr>
            <w:rFonts w:ascii="Cambria Math" w:hAnsi="Cambria Math"/>
          </w:rPr>
          <m:t>r</m:t>
        </m:r>
        <m:r>
          <w:rPr>
            <w:rFonts w:ascii="Cambria Math" w:hAnsi="Cambria Math"/>
          </w:rPr>
          <m:t> = .56)</m:t>
        </m:r>
      </m:oMath>
      <w:r w:rsidRPr="00923FF9">
        <w:t xml:space="preserve">, bars </w:t>
      </w:r>
      <m:oMath>
        <m:r>
          <w:rPr>
            <w:rFonts w:ascii="Cambria Math" w:hAnsi="Cambria Math"/>
          </w:rPr>
          <m:t>(</m:t>
        </m:r>
        <m:r>
          <w:rPr>
            <w:rFonts w:ascii="Cambria Math" w:hAnsi="Cambria Math"/>
          </w:rPr>
          <m:t>r</m:t>
        </m:r>
        <m:r>
          <w:rPr>
            <w:rFonts w:ascii="Cambria Math" w:hAnsi="Cambria Math"/>
          </w:rPr>
          <m:t> = .46)</m:t>
        </m:r>
      </m:oMath>
      <w:r w:rsidRPr="00923FF9">
        <w:t xml:space="preserve">, and restaurants </w:t>
      </w:r>
      <m:oMath>
        <m:r>
          <w:rPr>
            <w:rFonts w:ascii="Cambria Math" w:hAnsi="Cambria Math"/>
          </w:rPr>
          <m:t>(</m:t>
        </m:r>
        <m:r>
          <w:rPr>
            <w:rFonts w:ascii="Cambria Math" w:hAnsi="Cambria Math"/>
          </w:rPr>
          <m:t>r</m:t>
        </m:r>
        <m:r>
          <w:rPr>
            <w:rFonts w:ascii="Cambria Math" w:hAnsi="Cambria Math"/>
          </w:rPr>
          <m:t> = .49)</m:t>
        </m:r>
      </m:oMath>
      <w:r w:rsidRPr="00923FF9">
        <w:t xml:space="preserve">. Social disorganization is positively and significantly correlated with simple assaults </w:t>
      </w:r>
      <m:oMath>
        <m:r>
          <w:rPr>
            <w:rFonts w:ascii="Cambria Math" w:hAnsi="Cambria Math"/>
          </w:rPr>
          <m:t>(</m:t>
        </m:r>
        <m:r>
          <w:rPr>
            <w:rFonts w:ascii="Cambria Math" w:hAnsi="Cambria Math"/>
          </w:rPr>
          <m:t>r</m:t>
        </m:r>
        <m:r>
          <w:rPr>
            <w:rFonts w:ascii="Cambria Math" w:hAnsi="Cambria Math"/>
          </w:rPr>
          <m:t> = .45)</m:t>
        </m:r>
      </m:oMath>
      <w:r w:rsidRPr="00923FF9">
        <w:t xml:space="preserve"> and aggravated assaults </w:t>
      </w:r>
      <m:oMath>
        <m:r>
          <w:rPr>
            <w:rFonts w:ascii="Cambria Math" w:hAnsi="Cambria Math"/>
          </w:rPr>
          <m:t>(</m:t>
        </m:r>
        <m:r>
          <w:rPr>
            <w:rFonts w:ascii="Cambria Math" w:hAnsi="Cambria Math"/>
          </w:rPr>
          <m:t>r</m:t>
        </m:r>
        <m:r>
          <w:rPr>
            <w:rFonts w:ascii="Cambria Math" w:hAnsi="Cambria Math"/>
          </w:rPr>
          <m:t> = .45)</m:t>
        </m:r>
      </m:oMath>
      <w:r w:rsidRPr="00923FF9">
        <w:t>. Social disorganization is positively and significantly correlated with off-</w:t>
      </w:r>
      <w:proofErr w:type="gramStart"/>
      <w:r w:rsidRPr="00923FF9">
        <w:t>premise</w:t>
      </w:r>
      <w:proofErr w:type="gramEnd"/>
      <w:r w:rsidRPr="00923FF9">
        <w:t xml:space="preserve"> outlets </w:t>
      </w:r>
      <m:oMath>
        <m:r>
          <w:rPr>
            <w:rFonts w:ascii="Cambria Math" w:hAnsi="Cambria Math"/>
          </w:rPr>
          <m:t>(</m:t>
        </m:r>
        <m:r>
          <w:rPr>
            <w:rFonts w:ascii="Cambria Math" w:hAnsi="Cambria Math"/>
          </w:rPr>
          <m:t>r</m:t>
        </m:r>
        <m:r>
          <w:rPr>
            <w:rFonts w:ascii="Cambria Math" w:hAnsi="Cambria Math"/>
          </w:rPr>
          <m:t> = .41)</m:t>
        </m:r>
      </m:oMath>
      <w:r w:rsidRPr="00923FF9">
        <w:t xml:space="preserve">, bars </w:t>
      </w:r>
      <m:oMath>
        <m:r>
          <w:rPr>
            <w:rFonts w:ascii="Cambria Math" w:hAnsi="Cambria Math"/>
          </w:rPr>
          <m:t>(</m:t>
        </m:r>
        <m:r>
          <w:rPr>
            <w:rFonts w:ascii="Cambria Math" w:hAnsi="Cambria Math"/>
          </w:rPr>
          <m:t>r</m:t>
        </m:r>
        <m:r>
          <w:rPr>
            <w:rFonts w:ascii="Cambria Math" w:hAnsi="Cambria Math"/>
          </w:rPr>
          <m:t> = .32)</m:t>
        </m:r>
      </m:oMath>
      <w:r w:rsidRPr="00923FF9">
        <w:t xml:space="preserve">, and restaurants </w:t>
      </w:r>
      <m:oMath>
        <m:r>
          <w:rPr>
            <w:rFonts w:ascii="Cambria Math" w:hAnsi="Cambria Math"/>
          </w:rPr>
          <m:t>(</m:t>
        </m:r>
        <m:r>
          <w:rPr>
            <w:rFonts w:ascii="Cambria Math" w:hAnsi="Cambria Math"/>
          </w:rPr>
          <m:t>r</m:t>
        </m:r>
        <m:r>
          <w:rPr>
            <w:rFonts w:ascii="Cambria Math" w:hAnsi="Cambria Math"/>
          </w:rPr>
          <m:t> = .41)</m:t>
        </m:r>
      </m:oMath>
      <w:r w:rsidRPr="00923FF9">
        <w:t>.</w:t>
      </w:r>
    </w:p>
    <w:p w14:paraId="51407CBC" w14:textId="685CFFD9" w:rsidR="00923FF9" w:rsidRDefault="00923FF9" w:rsidP="00D14C83">
      <w:pPr>
        <w:spacing w:after="0"/>
      </w:pPr>
      <w:r w:rsidRPr="00923FF9">
        <w:rPr>
          <w:b/>
          <w:bCs/>
        </w:rPr>
        <w:t>Table 2.</w:t>
      </w:r>
      <w:r w:rsidRPr="00923FF9">
        <w:t> Correlation Matrix.</w:t>
      </w:r>
    </w:p>
    <w:p w14:paraId="19B698F3" w14:textId="77777777" w:rsidR="003B07CC" w:rsidRPr="003B07CC" w:rsidRDefault="003B07CC" w:rsidP="003B07CC">
      <w:pPr>
        <w:kinsoku w:val="0"/>
        <w:overflowPunct w:val="0"/>
        <w:autoSpaceDE w:val="0"/>
        <w:autoSpaceDN w:val="0"/>
        <w:adjustRightInd w:val="0"/>
        <w:spacing w:before="8" w:after="0" w:line="240" w:lineRule="auto"/>
        <w:rPr>
          <w:rFonts w:ascii="Times New Roman" w:hAnsi="Times New Roman" w:cs="Times New Roman"/>
          <w:sz w:val="6"/>
          <w:szCs w:val="6"/>
        </w:rPr>
      </w:pPr>
    </w:p>
    <w:tbl>
      <w:tblPr>
        <w:tblStyle w:val="TableGrid"/>
        <w:tblW w:w="0" w:type="auto"/>
        <w:tblLook w:val="0020" w:firstRow="1" w:lastRow="0" w:firstColumn="0" w:lastColumn="0" w:noHBand="0" w:noVBand="0"/>
      </w:tblPr>
      <w:tblGrid>
        <w:gridCol w:w="2492"/>
        <w:gridCol w:w="607"/>
        <w:gridCol w:w="607"/>
        <w:gridCol w:w="691"/>
        <w:gridCol w:w="691"/>
        <w:gridCol w:w="691"/>
        <w:gridCol w:w="716"/>
        <w:gridCol w:w="716"/>
        <w:gridCol w:w="691"/>
        <w:gridCol w:w="607"/>
        <w:gridCol w:w="607"/>
        <w:gridCol w:w="607"/>
      </w:tblGrid>
      <w:tr w:rsidR="00D14C83" w:rsidRPr="00D14C83" w14:paraId="64D677E1" w14:textId="77777777" w:rsidTr="00704AB6">
        <w:trPr>
          <w:trHeight w:val="252"/>
        </w:trPr>
        <w:tc>
          <w:tcPr>
            <w:tcW w:w="0" w:type="auto"/>
          </w:tcPr>
          <w:p w14:paraId="0D1653BC" w14:textId="77777777" w:rsidR="00D14C83" w:rsidRPr="00D14C83" w:rsidRDefault="00D14C83" w:rsidP="00D14C83">
            <w:pPr>
              <w:pStyle w:val="NoSpacing"/>
              <w:rPr>
                <w:rFonts w:cstheme="minorHAnsi"/>
              </w:rPr>
            </w:pPr>
          </w:p>
        </w:tc>
        <w:tc>
          <w:tcPr>
            <w:tcW w:w="0" w:type="auto"/>
          </w:tcPr>
          <w:p w14:paraId="2C970247" w14:textId="77777777" w:rsidR="00D14C83" w:rsidRPr="00D14C83" w:rsidRDefault="00D14C83" w:rsidP="00D14C83">
            <w:pPr>
              <w:pStyle w:val="NoSpacing"/>
              <w:rPr>
                <w:rFonts w:cstheme="minorHAnsi"/>
                <w:w w:val="99"/>
              </w:rPr>
            </w:pPr>
            <w:r w:rsidRPr="00D14C83">
              <w:rPr>
                <w:rFonts w:cstheme="minorHAnsi"/>
                <w:w w:val="99"/>
              </w:rPr>
              <w:t>1</w:t>
            </w:r>
          </w:p>
        </w:tc>
        <w:tc>
          <w:tcPr>
            <w:tcW w:w="0" w:type="auto"/>
          </w:tcPr>
          <w:p w14:paraId="383F335D" w14:textId="77777777" w:rsidR="00D14C83" w:rsidRPr="00D14C83" w:rsidRDefault="00D14C83" w:rsidP="00D14C83">
            <w:pPr>
              <w:pStyle w:val="NoSpacing"/>
              <w:rPr>
                <w:rFonts w:cstheme="minorHAnsi"/>
                <w:w w:val="99"/>
              </w:rPr>
            </w:pPr>
            <w:r w:rsidRPr="00D14C83">
              <w:rPr>
                <w:rFonts w:cstheme="minorHAnsi"/>
                <w:w w:val="99"/>
              </w:rPr>
              <w:t>2</w:t>
            </w:r>
          </w:p>
        </w:tc>
        <w:tc>
          <w:tcPr>
            <w:tcW w:w="0" w:type="auto"/>
          </w:tcPr>
          <w:p w14:paraId="6BA23AE5" w14:textId="77777777" w:rsidR="00D14C83" w:rsidRPr="00D14C83" w:rsidRDefault="00D14C83" w:rsidP="00D14C83">
            <w:pPr>
              <w:pStyle w:val="NoSpacing"/>
              <w:rPr>
                <w:rFonts w:cstheme="minorHAnsi"/>
                <w:w w:val="99"/>
              </w:rPr>
            </w:pPr>
            <w:r w:rsidRPr="00D14C83">
              <w:rPr>
                <w:rFonts w:cstheme="minorHAnsi"/>
                <w:w w:val="99"/>
              </w:rPr>
              <w:t>3</w:t>
            </w:r>
          </w:p>
        </w:tc>
        <w:tc>
          <w:tcPr>
            <w:tcW w:w="0" w:type="auto"/>
          </w:tcPr>
          <w:p w14:paraId="49BA414D" w14:textId="77777777" w:rsidR="00D14C83" w:rsidRPr="00D14C83" w:rsidRDefault="00D14C83" w:rsidP="00D14C83">
            <w:pPr>
              <w:pStyle w:val="NoSpacing"/>
              <w:rPr>
                <w:rFonts w:cstheme="minorHAnsi"/>
                <w:w w:val="99"/>
              </w:rPr>
            </w:pPr>
            <w:r w:rsidRPr="00D14C83">
              <w:rPr>
                <w:rFonts w:cstheme="minorHAnsi"/>
                <w:w w:val="99"/>
              </w:rPr>
              <w:t>4</w:t>
            </w:r>
          </w:p>
        </w:tc>
        <w:tc>
          <w:tcPr>
            <w:tcW w:w="0" w:type="auto"/>
          </w:tcPr>
          <w:p w14:paraId="09680636" w14:textId="77777777" w:rsidR="00D14C83" w:rsidRPr="00D14C83" w:rsidRDefault="00D14C83" w:rsidP="00D14C83">
            <w:pPr>
              <w:pStyle w:val="NoSpacing"/>
              <w:rPr>
                <w:rFonts w:cstheme="minorHAnsi"/>
                <w:w w:val="99"/>
              </w:rPr>
            </w:pPr>
            <w:r w:rsidRPr="00D14C83">
              <w:rPr>
                <w:rFonts w:cstheme="minorHAnsi"/>
                <w:w w:val="99"/>
              </w:rPr>
              <w:t>5</w:t>
            </w:r>
          </w:p>
        </w:tc>
        <w:tc>
          <w:tcPr>
            <w:tcW w:w="0" w:type="auto"/>
          </w:tcPr>
          <w:p w14:paraId="76C2F3EB" w14:textId="77777777" w:rsidR="00D14C83" w:rsidRPr="00D14C83" w:rsidRDefault="00D14C83" w:rsidP="00D14C83">
            <w:pPr>
              <w:pStyle w:val="NoSpacing"/>
              <w:rPr>
                <w:rFonts w:cstheme="minorHAnsi"/>
                <w:w w:val="99"/>
              </w:rPr>
            </w:pPr>
            <w:r w:rsidRPr="00D14C83">
              <w:rPr>
                <w:rFonts w:cstheme="minorHAnsi"/>
                <w:w w:val="99"/>
              </w:rPr>
              <w:t>6</w:t>
            </w:r>
          </w:p>
        </w:tc>
        <w:tc>
          <w:tcPr>
            <w:tcW w:w="0" w:type="auto"/>
          </w:tcPr>
          <w:p w14:paraId="30148851" w14:textId="77777777" w:rsidR="00D14C83" w:rsidRPr="00D14C83" w:rsidRDefault="00D14C83" w:rsidP="00D14C83">
            <w:pPr>
              <w:pStyle w:val="NoSpacing"/>
              <w:rPr>
                <w:rFonts w:cstheme="minorHAnsi"/>
                <w:w w:val="99"/>
              </w:rPr>
            </w:pPr>
            <w:r w:rsidRPr="00D14C83">
              <w:rPr>
                <w:rFonts w:cstheme="minorHAnsi"/>
                <w:w w:val="99"/>
              </w:rPr>
              <w:t>7</w:t>
            </w:r>
          </w:p>
        </w:tc>
        <w:tc>
          <w:tcPr>
            <w:tcW w:w="0" w:type="auto"/>
          </w:tcPr>
          <w:p w14:paraId="1EBE4E57" w14:textId="77777777" w:rsidR="00D14C83" w:rsidRPr="00D14C83" w:rsidRDefault="00D14C83" w:rsidP="00D14C83">
            <w:pPr>
              <w:pStyle w:val="NoSpacing"/>
              <w:rPr>
                <w:rFonts w:cstheme="minorHAnsi"/>
                <w:w w:val="99"/>
              </w:rPr>
            </w:pPr>
            <w:r w:rsidRPr="00D14C83">
              <w:rPr>
                <w:rFonts w:cstheme="minorHAnsi"/>
                <w:w w:val="99"/>
              </w:rPr>
              <w:t>8</w:t>
            </w:r>
          </w:p>
        </w:tc>
        <w:tc>
          <w:tcPr>
            <w:tcW w:w="0" w:type="auto"/>
          </w:tcPr>
          <w:p w14:paraId="05D01AF4" w14:textId="77777777" w:rsidR="00D14C83" w:rsidRPr="00D14C83" w:rsidRDefault="00D14C83" w:rsidP="00D14C83">
            <w:pPr>
              <w:pStyle w:val="NoSpacing"/>
              <w:rPr>
                <w:rFonts w:cstheme="minorHAnsi"/>
                <w:w w:val="99"/>
              </w:rPr>
            </w:pPr>
            <w:r w:rsidRPr="00D14C83">
              <w:rPr>
                <w:rFonts w:cstheme="minorHAnsi"/>
                <w:w w:val="99"/>
              </w:rPr>
              <w:t>9</w:t>
            </w:r>
          </w:p>
        </w:tc>
        <w:tc>
          <w:tcPr>
            <w:tcW w:w="0" w:type="auto"/>
          </w:tcPr>
          <w:p w14:paraId="2286B2A6" w14:textId="3D21A5E2" w:rsidR="00D14C83" w:rsidRPr="00D14C83" w:rsidRDefault="00D14C83" w:rsidP="00D14C83">
            <w:pPr>
              <w:pStyle w:val="NoSpacing"/>
              <w:rPr>
                <w:rFonts w:cstheme="minorHAnsi"/>
              </w:rPr>
            </w:pPr>
            <w:r w:rsidRPr="00D14C83">
              <w:rPr>
                <w:rFonts w:cstheme="minorHAnsi"/>
              </w:rPr>
              <w:t>10</w:t>
            </w:r>
          </w:p>
        </w:tc>
        <w:tc>
          <w:tcPr>
            <w:tcW w:w="0" w:type="auto"/>
          </w:tcPr>
          <w:p w14:paraId="1BA6B0B9" w14:textId="024C1DD8" w:rsidR="00D14C83" w:rsidRPr="00D14C83" w:rsidRDefault="00D14C83" w:rsidP="00D14C83">
            <w:pPr>
              <w:pStyle w:val="NoSpacing"/>
              <w:rPr>
                <w:rFonts w:cstheme="minorHAnsi"/>
              </w:rPr>
            </w:pPr>
            <w:r w:rsidRPr="00D14C83">
              <w:rPr>
                <w:rFonts w:cstheme="minorHAnsi"/>
              </w:rPr>
              <w:t>11</w:t>
            </w:r>
          </w:p>
        </w:tc>
      </w:tr>
      <w:tr w:rsidR="00D14C83" w:rsidRPr="00D14C83" w14:paraId="651BE848" w14:textId="77777777" w:rsidTr="00704AB6">
        <w:trPr>
          <w:trHeight w:val="300"/>
        </w:trPr>
        <w:tc>
          <w:tcPr>
            <w:tcW w:w="0" w:type="auto"/>
          </w:tcPr>
          <w:p w14:paraId="12C1E84E" w14:textId="77777777" w:rsidR="00D14C83" w:rsidRPr="00D14C83" w:rsidRDefault="00D14C83" w:rsidP="00D14C83">
            <w:pPr>
              <w:pStyle w:val="NoSpacing"/>
              <w:rPr>
                <w:rFonts w:cstheme="minorHAnsi"/>
              </w:rPr>
            </w:pPr>
            <w:r w:rsidRPr="00D14C83">
              <w:rPr>
                <w:rFonts w:cstheme="minorHAnsi"/>
              </w:rPr>
              <w:t>1. Ln simple</w:t>
            </w:r>
          </w:p>
        </w:tc>
        <w:tc>
          <w:tcPr>
            <w:tcW w:w="0" w:type="auto"/>
          </w:tcPr>
          <w:p w14:paraId="33F9AB97" w14:textId="77777777" w:rsidR="00D14C83" w:rsidRPr="00D14C83" w:rsidRDefault="00D14C83" w:rsidP="00D14C83">
            <w:pPr>
              <w:pStyle w:val="NoSpacing"/>
              <w:rPr>
                <w:rFonts w:cstheme="minorHAnsi"/>
              </w:rPr>
            </w:pPr>
            <w:r w:rsidRPr="00D14C83">
              <w:rPr>
                <w:rFonts w:cstheme="minorHAnsi"/>
              </w:rPr>
              <w:t>1.00</w:t>
            </w:r>
          </w:p>
        </w:tc>
        <w:tc>
          <w:tcPr>
            <w:tcW w:w="0" w:type="auto"/>
          </w:tcPr>
          <w:p w14:paraId="0C387CA0" w14:textId="77777777" w:rsidR="00D14C83" w:rsidRPr="00D14C83" w:rsidRDefault="00D14C83" w:rsidP="00D14C83">
            <w:pPr>
              <w:pStyle w:val="NoSpacing"/>
              <w:rPr>
                <w:rFonts w:cstheme="minorHAnsi"/>
              </w:rPr>
            </w:pPr>
          </w:p>
        </w:tc>
        <w:tc>
          <w:tcPr>
            <w:tcW w:w="0" w:type="auto"/>
          </w:tcPr>
          <w:p w14:paraId="6E11C583" w14:textId="77777777" w:rsidR="00D14C83" w:rsidRPr="00D14C83" w:rsidRDefault="00D14C83" w:rsidP="00D14C83">
            <w:pPr>
              <w:pStyle w:val="NoSpacing"/>
              <w:rPr>
                <w:rFonts w:cstheme="minorHAnsi"/>
              </w:rPr>
            </w:pPr>
          </w:p>
        </w:tc>
        <w:tc>
          <w:tcPr>
            <w:tcW w:w="0" w:type="auto"/>
          </w:tcPr>
          <w:p w14:paraId="3AD3260E" w14:textId="77777777" w:rsidR="00D14C83" w:rsidRPr="00D14C83" w:rsidRDefault="00D14C83" w:rsidP="00D14C83">
            <w:pPr>
              <w:pStyle w:val="NoSpacing"/>
              <w:rPr>
                <w:rFonts w:cstheme="minorHAnsi"/>
              </w:rPr>
            </w:pPr>
          </w:p>
        </w:tc>
        <w:tc>
          <w:tcPr>
            <w:tcW w:w="0" w:type="auto"/>
          </w:tcPr>
          <w:p w14:paraId="5167BD7A" w14:textId="77777777" w:rsidR="00D14C83" w:rsidRPr="00D14C83" w:rsidRDefault="00D14C83" w:rsidP="00D14C83">
            <w:pPr>
              <w:pStyle w:val="NoSpacing"/>
              <w:rPr>
                <w:rFonts w:cstheme="minorHAnsi"/>
              </w:rPr>
            </w:pPr>
          </w:p>
        </w:tc>
        <w:tc>
          <w:tcPr>
            <w:tcW w:w="0" w:type="auto"/>
          </w:tcPr>
          <w:p w14:paraId="13DCDBB9" w14:textId="77777777" w:rsidR="00D14C83" w:rsidRPr="00D14C83" w:rsidRDefault="00D14C83" w:rsidP="00D14C83">
            <w:pPr>
              <w:pStyle w:val="NoSpacing"/>
              <w:rPr>
                <w:rFonts w:cstheme="minorHAnsi"/>
              </w:rPr>
            </w:pPr>
          </w:p>
        </w:tc>
        <w:tc>
          <w:tcPr>
            <w:tcW w:w="0" w:type="auto"/>
          </w:tcPr>
          <w:p w14:paraId="1AE5F8FD" w14:textId="77777777" w:rsidR="00D14C83" w:rsidRPr="00D14C83" w:rsidRDefault="00D14C83" w:rsidP="00D14C83">
            <w:pPr>
              <w:pStyle w:val="NoSpacing"/>
              <w:rPr>
                <w:rFonts w:cstheme="minorHAnsi"/>
              </w:rPr>
            </w:pPr>
          </w:p>
        </w:tc>
        <w:tc>
          <w:tcPr>
            <w:tcW w:w="0" w:type="auto"/>
          </w:tcPr>
          <w:p w14:paraId="038DBEE8" w14:textId="77777777" w:rsidR="00D14C83" w:rsidRPr="00D14C83" w:rsidRDefault="00D14C83" w:rsidP="00D14C83">
            <w:pPr>
              <w:pStyle w:val="NoSpacing"/>
              <w:rPr>
                <w:rFonts w:cstheme="minorHAnsi"/>
              </w:rPr>
            </w:pPr>
          </w:p>
        </w:tc>
        <w:tc>
          <w:tcPr>
            <w:tcW w:w="0" w:type="auto"/>
          </w:tcPr>
          <w:p w14:paraId="6FE17836" w14:textId="77777777" w:rsidR="00D14C83" w:rsidRPr="00D14C83" w:rsidRDefault="00D14C83" w:rsidP="00D14C83">
            <w:pPr>
              <w:pStyle w:val="NoSpacing"/>
              <w:rPr>
                <w:rFonts w:cstheme="minorHAnsi"/>
              </w:rPr>
            </w:pPr>
          </w:p>
        </w:tc>
        <w:tc>
          <w:tcPr>
            <w:tcW w:w="0" w:type="auto"/>
          </w:tcPr>
          <w:p w14:paraId="300801B0" w14:textId="77777777" w:rsidR="00D14C83" w:rsidRPr="00D14C83" w:rsidRDefault="00D14C83" w:rsidP="00D14C83">
            <w:pPr>
              <w:pStyle w:val="NoSpacing"/>
              <w:rPr>
                <w:rFonts w:cstheme="minorHAnsi"/>
              </w:rPr>
            </w:pPr>
          </w:p>
        </w:tc>
        <w:tc>
          <w:tcPr>
            <w:tcW w:w="0" w:type="auto"/>
          </w:tcPr>
          <w:p w14:paraId="37CD96B8" w14:textId="7A5F2B2B" w:rsidR="00D14C83" w:rsidRPr="00D14C83" w:rsidRDefault="00D14C83" w:rsidP="00D14C83">
            <w:pPr>
              <w:pStyle w:val="NoSpacing"/>
              <w:rPr>
                <w:rFonts w:cstheme="minorHAnsi"/>
              </w:rPr>
            </w:pPr>
          </w:p>
        </w:tc>
      </w:tr>
      <w:tr w:rsidR="00D14C83" w:rsidRPr="00D14C83" w14:paraId="13FEFA00" w14:textId="77777777" w:rsidTr="00704AB6">
        <w:trPr>
          <w:trHeight w:val="209"/>
        </w:trPr>
        <w:tc>
          <w:tcPr>
            <w:tcW w:w="0" w:type="auto"/>
          </w:tcPr>
          <w:p w14:paraId="7AAB1162" w14:textId="77777777" w:rsidR="00D14C83" w:rsidRPr="00D14C83" w:rsidRDefault="00D14C83" w:rsidP="00D14C83">
            <w:pPr>
              <w:pStyle w:val="NoSpacing"/>
              <w:rPr>
                <w:rFonts w:cstheme="minorHAnsi"/>
              </w:rPr>
            </w:pPr>
            <w:r w:rsidRPr="00D14C83">
              <w:rPr>
                <w:rFonts w:cstheme="minorHAnsi"/>
              </w:rPr>
              <w:t>2. Ln aggravated</w:t>
            </w:r>
          </w:p>
        </w:tc>
        <w:tc>
          <w:tcPr>
            <w:tcW w:w="0" w:type="auto"/>
          </w:tcPr>
          <w:p w14:paraId="0FC6C6C7" w14:textId="77777777" w:rsidR="00D14C83" w:rsidRPr="00D14C83" w:rsidRDefault="00D14C83" w:rsidP="00D14C83">
            <w:pPr>
              <w:pStyle w:val="NoSpacing"/>
              <w:rPr>
                <w:rFonts w:cstheme="minorHAnsi"/>
              </w:rPr>
            </w:pPr>
            <w:r w:rsidRPr="00D14C83">
              <w:rPr>
                <w:rFonts w:cstheme="minorHAnsi"/>
              </w:rPr>
              <w:t>0.84</w:t>
            </w:r>
          </w:p>
        </w:tc>
        <w:tc>
          <w:tcPr>
            <w:tcW w:w="0" w:type="auto"/>
          </w:tcPr>
          <w:p w14:paraId="57C4829A" w14:textId="77777777" w:rsidR="00D14C83" w:rsidRPr="00D14C83" w:rsidRDefault="00D14C83" w:rsidP="00D14C83">
            <w:pPr>
              <w:pStyle w:val="NoSpacing"/>
              <w:rPr>
                <w:rFonts w:cstheme="minorHAnsi"/>
              </w:rPr>
            </w:pPr>
            <w:r w:rsidRPr="00D14C83">
              <w:rPr>
                <w:rFonts w:cstheme="minorHAnsi"/>
              </w:rPr>
              <w:t>1.00</w:t>
            </w:r>
          </w:p>
        </w:tc>
        <w:tc>
          <w:tcPr>
            <w:tcW w:w="0" w:type="auto"/>
          </w:tcPr>
          <w:p w14:paraId="28D344A2" w14:textId="77777777" w:rsidR="00D14C83" w:rsidRPr="00D14C83" w:rsidRDefault="00D14C83" w:rsidP="00D14C83">
            <w:pPr>
              <w:pStyle w:val="NoSpacing"/>
              <w:rPr>
                <w:rFonts w:cstheme="minorHAnsi"/>
              </w:rPr>
            </w:pPr>
          </w:p>
        </w:tc>
        <w:tc>
          <w:tcPr>
            <w:tcW w:w="0" w:type="auto"/>
          </w:tcPr>
          <w:p w14:paraId="4BFCC9E7" w14:textId="77777777" w:rsidR="00D14C83" w:rsidRPr="00D14C83" w:rsidRDefault="00D14C83" w:rsidP="00D14C83">
            <w:pPr>
              <w:pStyle w:val="NoSpacing"/>
              <w:rPr>
                <w:rFonts w:cstheme="minorHAnsi"/>
              </w:rPr>
            </w:pPr>
          </w:p>
        </w:tc>
        <w:tc>
          <w:tcPr>
            <w:tcW w:w="0" w:type="auto"/>
          </w:tcPr>
          <w:p w14:paraId="3BDA6E99" w14:textId="77777777" w:rsidR="00D14C83" w:rsidRPr="00D14C83" w:rsidRDefault="00D14C83" w:rsidP="00D14C83">
            <w:pPr>
              <w:pStyle w:val="NoSpacing"/>
              <w:rPr>
                <w:rFonts w:cstheme="minorHAnsi"/>
              </w:rPr>
            </w:pPr>
          </w:p>
        </w:tc>
        <w:tc>
          <w:tcPr>
            <w:tcW w:w="0" w:type="auto"/>
          </w:tcPr>
          <w:p w14:paraId="45D1A897" w14:textId="77777777" w:rsidR="00D14C83" w:rsidRPr="00D14C83" w:rsidRDefault="00D14C83" w:rsidP="00D14C83">
            <w:pPr>
              <w:pStyle w:val="NoSpacing"/>
              <w:rPr>
                <w:rFonts w:cstheme="minorHAnsi"/>
              </w:rPr>
            </w:pPr>
          </w:p>
        </w:tc>
        <w:tc>
          <w:tcPr>
            <w:tcW w:w="0" w:type="auto"/>
          </w:tcPr>
          <w:p w14:paraId="173D8DDD" w14:textId="77777777" w:rsidR="00D14C83" w:rsidRPr="00D14C83" w:rsidRDefault="00D14C83" w:rsidP="00D14C83">
            <w:pPr>
              <w:pStyle w:val="NoSpacing"/>
              <w:rPr>
                <w:rFonts w:cstheme="minorHAnsi"/>
              </w:rPr>
            </w:pPr>
          </w:p>
        </w:tc>
        <w:tc>
          <w:tcPr>
            <w:tcW w:w="0" w:type="auto"/>
          </w:tcPr>
          <w:p w14:paraId="2F780511" w14:textId="77777777" w:rsidR="00D14C83" w:rsidRPr="00D14C83" w:rsidRDefault="00D14C83" w:rsidP="00D14C83">
            <w:pPr>
              <w:pStyle w:val="NoSpacing"/>
              <w:rPr>
                <w:rFonts w:cstheme="minorHAnsi"/>
              </w:rPr>
            </w:pPr>
          </w:p>
        </w:tc>
        <w:tc>
          <w:tcPr>
            <w:tcW w:w="0" w:type="auto"/>
          </w:tcPr>
          <w:p w14:paraId="2A673658" w14:textId="77777777" w:rsidR="00D14C83" w:rsidRPr="00D14C83" w:rsidRDefault="00D14C83" w:rsidP="00D14C83">
            <w:pPr>
              <w:pStyle w:val="NoSpacing"/>
              <w:rPr>
                <w:rFonts w:cstheme="minorHAnsi"/>
              </w:rPr>
            </w:pPr>
          </w:p>
        </w:tc>
        <w:tc>
          <w:tcPr>
            <w:tcW w:w="0" w:type="auto"/>
          </w:tcPr>
          <w:p w14:paraId="29F14FA0" w14:textId="77777777" w:rsidR="00D14C83" w:rsidRPr="00D14C83" w:rsidRDefault="00D14C83" w:rsidP="00D14C83">
            <w:pPr>
              <w:pStyle w:val="NoSpacing"/>
              <w:rPr>
                <w:rFonts w:cstheme="minorHAnsi"/>
              </w:rPr>
            </w:pPr>
          </w:p>
        </w:tc>
        <w:tc>
          <w:tcPr>
            <w:tcW w:w="0" w:type="auto"/>
          </w:tcPr>
          <w:p w14:paraId="549C874A" w14:textId="297288A8" w:rsidR="00D14C83" w:rsidRPr="00D14C83" w:rsidRDefault="00D14C83" w:rsidP="00D14C83">
            <w:pPr>
              <w:pStyle w:val="NoSpacing"/>
              <w:rPr>
                <w:rFonts w:cstheme="minorHAnsi"/>
              </w:rPr>
            </w:pPr>
          </w:p>
        </w:tc>
      </w:tr>
      <w:tr w:rsidR="00D14C83" w:rsidRPr="00D14C83" w14:paraId="0EF5CE8C" w14:textId="77777777" w:rsidTr="00704AB6">
        <w:trPr>
          <w:trHeight w:val="209"/>
        </w:trPr>
        <w:tc>
          <w:tcPr>
            <w:tcW w:w="0" w:type="auto"/>
          </w:tcPr>
          <w:p w14:paraId="37C99CDB" w14:textId="77777777" w:rsidR="00D14C83" w:rsidRPr="00D14C83" w:rsidRDefault="00D14C83" w:rsidP="00D14C83">
            <w:pPr>
              <w:pStyle w:val="NoSpacing"/>
              <w:rPr>
                <w:rFonts w:cstheme="minorHAnsi"/>
              </w:rPr>
            </w:pPr>
            <w:r w:rsidRPr="00D14C83">
              <w:rPr>
                <w:rFonts w:cstheme="minorHAnsi"/>
              </w:rPr>
              <w:t>3. Ln total outlet density</w:t>
            </w:r>
          </w:p>
        </w:tc>
        <w:tc>
          <w:tcPr>
            <w:tcW w:w="0" w:type="auto"/>
          </w:tcPr>
          <w:p w14:paraId="4C9342A4" w14:textId="77777777" w:rsidR="00D14C83" w:rsidRPr="00D14C83" w:rsidRDefault="00D14C83" w:rsidP="00D14C83">
            <w:pPr>
              <w:pStyle w:val="NoSpacing"/>
              <w:rPr>
                <w:rFonts w:cstheme="minorHAnsi"/>
              </w:rPr>
            </w:pPr>
            <w:r w:rsidRPr="00D14C83">
              <w:rPr>
                <w:rFonts w:cstheme="minorHAnsi"/>
              </w:rPr>
              <w:t>0.58</w:t>
            </w:r>
          </w:p>
        </w:tc>
        <w:tc>
          <w:tcPr>
            <w:tcW w:w="0" w:type="auto"/>
          </w:tcPr>
          <w:p w14:paraId="4870798D" w14:textId="77777777" w:rsidR="00D14C83" w:rsidRPr="00D14C83" w:rsidRDefault="00D14C83" w:rsidP="00D14C83">
            <w:pPr>
              <w:pStyle w:val="NoSpacing"/>
              <w:rPr>
                <w:rFonts w:cstheme="minorHAnsi"/>
              </w:rPr>
            </w:pPr>
            <w:r w:rsidRPr="00D14C83">
              <w:rPr>
                <w:rFonts w:cstheme="minorHAnsi"/>
              </w:rPr>
              <w:t>0.47</w:t>
            </w:r>
          </w:p>
        </w:tc>
        <w:tc>
          <w:tcPr>
            <w:tcW w:w="0" w:type="auto"/>
          </w:tcPr>
          <w:p w14:paraId="1DF3E640" w14:textId="77777777" w:rsidR="00D14C83" w:rsidRPr="00D14C83" w:rsidRDefault="00D14C83" w:rsidP="00D14C83">
            <w:pPr>
              <w:pStyle w:val="NoSpacing"/>
              <w:rPr>
                <w:rFonts w:cstheme="minorHAnsi"/>
                <w:w w:val="95"/>
              </w:rPr>
            </w:pPr>
            <w:r w:rsidRPr="00D14C83">
              <w:rPr>
                <w:rFonts w:cstheme="minorHAnsi"/>
                <w:w w:val="95"/>
              </w:rPr>
              <w:t>1.00</w:t>
            </w:r>
          </w:p>
        </w:tc>
        <w:tc>
          <w:tcPr>
            <w:tcW w:w="0" w:type="auto"/>
          </w:tcPr>
          <w:p w14:paraId="30D4D86D" w14:textId="77777777" w:rsidR="00D14C83" w:rsidRPr="00D14C83" w:rsidRDefault="00D14C83" w:rsidP="00D14C83">
            <w:pPr>
              <w:pStyle w:val="NoSpacing"/>
              <w:rPr>
                <w:rFonts w:cstheme="minorHAnsi"/>
              </w:rPr>
            </w:pPr>
          </w:p>
        </w:tc>
        <w:tc>
          <w:tcPr>
            <w:tcW w:w="0" w:type="auto"/>
          </w:tcPr>
          <w:p w14:paraId="707FA9C2" w14:textId="77777777" w:rsidR="00D14C83" w:rsidRPr="00D14C83" w:rsidRDefault="00D14C83" w:rsidP="00D14C83">
            <w:pPr>
              <w:pStyle w:val="NoSpacing"/>
              <w:rPr>
                <w:rFonts w:cstheme="minorHAnsi"/>
              </w:rPr>
            </w:pPr>
          </w:p>
        </w:tc>
        <w:tc>
          <w:tcPr>
            <w:tcW w:w="0" w:type="auto"/>
          </w:tcPr>
          <w:p w14:paraId="6CA06159" w14:textId="77777777" w:rsidR="00D14C83" w:rsidRPr="00D14C83" w:rsidRDefault="00D14C83" w:rsidP="00D14C83">
            <w:pPr>
              <w:pStyle w:val="NoSpacing"/>
              <w:rPr>
                <w:rFonts w:cstheme="minorHAnsi"/>
              </w:rPr>
            </w:pPr>
          </w:p>
        </w:tc>
        <w:tc>
          <w:tcPr>
            <w:tcW w:w="0" w:type="auto"/>
          </w:tcPr>
          <w:p w14:paraId="5FC3867F" w14:textId="77777777" w:rsidR="00D14C83" w:rsidRPr="00D14C83" w:rsidRDefault="00D14C83" w:rsidP="00D14C83">
            <w:pPr>
              <w:pStyle w:val="NoSpacing"/>
              <w:rPr>
                <w:rFonts w:cstheme="minorHAnsi"/>
              </w:rPr>
            </w:pPr>
          </w:p>
        </w:tc>
        <w:tc>
          <w:tcPr>
            <w:tcW w:w="0" w:type="auto"/>
          </w:tcPr>
          <w:p w14:paraId="6B0B9704" w14:textId="77777777" w:rsidR="00D14C83" w:rsidRPr="00D14C83" w:rsidRDefault="00D14C83" w:rsidP="00D14C83">
            <w:pPr>
              <w:pStyle w:val="NoSpacing"/>
              <w:rPr>
                <w:rFonts w:cstheme="minorHAnsi"/>
              </w:rPr>
            </w:pPr>
          </w:p>
        </w:tc>
        <w:tc>
          <w:tcPr>
            <w:tcW w:w="0" w:type="auto"/>
          </w:tcPr>
          <w:p w14:paraId="36AD6F56" w14:textId="77777777" w:rsidR="00D14C83" w:rsidRPr="00D14C83" w:rsidRDefault="00D14C83" w:rsidP="00D14C83">
            <w:pPr>
              <w:pStyle w:val="NoSpacing"/>
              <w:rPr>
                <w:rFonts w:cstheme="minorHAnsi"/>
              </w:rPr>
            </w:pPr>
          </w:p>
        </w:tc>
        <w:tc>
          <w:tcPr>
            <w:tcW w:w="0" w:type="auto"/>
          </w:tcPr>
          <w:p w14:paraId="696CBAF5" w14:textId="77777777" w:rsidR="00D14C83" w:rsidRPr="00D14C83" w:rsidRDefault="00D14C83" w:rsidP="00D14C83">
            <w:pPr>
              <w:pStyle w:val="NoSpacing"/>
              <w:rPr>
                <w:rFonts w:cstheme="minorHAnsi"/>
              </w:rPr>
            </w:pPr>
          </w:p>
        </w:tc>
        <w:tc>
          <w:tcPr>
            <w:tcW w:w="0" w:type="auto"/>
          </w:tcPr>
          <w:p w14:paraId="36950BE3" w14:textId="3D00F967" w:rsidR="00D14C83" w:rsidRPr="00D14C83" w:rsidRDefault="00D14C83" w:rsidP="00D14C83">
            <w:pPr>
              <w:pStyle w:val="NoSpacing"/>
              <w:rPr>
                <w:rFonts w:cstheme="minorHAnsi"/>
              </w:rPr>
            </w:pPr>
          </w:p>
        </w:tc>
      </w:tr>
      <w:tr w:rsidR="00D14C83" w:rsidRPr="00D14C83" w14:paraId="770D824D" w14:textId="77777777" w:rsidTr="00704AB6">
        <w:trPr>
          <w:trHeight w:val="209"/>
        </w:trPr>
        <w:tc>
          <w:tcPr>
            <w:tcW w:w="0" w:type="auto"/>
          </w:tcPr>
          <w:p w14:paraId="0701847D" w14:textId="77777777" w:rsidR="00D14C83" w:rsidRPr="00D14C83" w:rsidRDefault="00D14C83" w:rsidP="00D14C83">
            <w:pPr>
              <w:pStyle w:val="NoSpacing"/>
              <w:rPr>
                <w:rFonts w:cstheme="minorHAnsi"/>
              </w:rPr>
            </w:pPr>
            <w:r w:rsidRPr="00D14C83">
              <w:rPr>
                <w:rFonts w:cstheme="minorHAnsi"/>
              </w:rPr>
              <w:t>4. Ln off-</w:t>
            </w:r>
            <w:proofErr w:type="gramStart"/>
            <w:r w:rsidRPr="00D14C83">
              <w:rPr>
                <w:rFonts w:cstheme="minorHAnsi"/>
              </w:rPr>
              <w:t>premise</w:t>
            </w:r>
            <w:proofErr w:type="gramEnd"/>
          </w:p>
        </w:tc>
        <w:tc>
          <w:tcPr>
            <w:tcW w:w="0" w:type="auto"/>
          </w:tcPr>
          <w:p w14:paraId="604468A7" w14:textId="77777777" w:rsidR="00D14C83" w:rsidRPr="00D14C83" w:rsidRDefault="00D14C83" w:rsidP="00D14C83">
            <w:pPr>
              <w:pStyle w:val="NoSpacing"/>
              <w:rPr>
                <w:rFonts w:cstheme="minorHAnsi"/>
              </w:rPr>
            </w:pPr>
            <w:r w:rsidRPr="00D14C83">
              <w:rPr>
                <w:rFonts w:cstheme="minorHAnsi"/>
              </w:rPr>
              <w:t>0.56</w:t>
            </w:r>
          </w:p>
        </w:tc>
        <w:tc>
          <w:tcPr>
            <w:tcW w:w="0" w:type="auto"/>
          </w:tcPr>
          <w:p w14:paraId="3B6FC62E" w14:textId="77777777" w:rsidR="00D14C83" w:rsidRPr="00D14C83" w:rsidRDefault="00D14C83" w:rsidP="00D14C83">
            <w:pPr>
              <w:pStyle w:val="NoSpacing"/>
              <w:rPr>
                <w:rFonts w:cstheme="minorHAnsi"/>
              </w:rPr>
            </w:pPr>
            <w:r w:rsidRPr="00D14C83">
              <w:rPr>
                <w:rFonts w:cstheme="minorHAnsi"/>
              </w:rPr>
              <w:t>0.51</w:t>
            </w:r>
          </w:p>
        </w:tc>
        <w:tc>
          <w:tcPr>
            <w:tcW w:w="0" w:type="auto"/>
          </w:tcPr>
          <w:p w14:paraId="4A12A1AF" w14:textId="77777777" w:rsidR="00D14C83" w:rsidRPr="00D14C83" w:rsidRDefault="00D14C83" w:rsidP="00D14C83">
            <w:pPr>
              <w:pStyle w:val="NoSpacing"/>
              <w:rPr>
                <w:rFonts w:cstheme="minorHAnsi"/>
                <w:w w:val="95"/>
              </w:rPr>
            </w:pPr>
            <w:r w:rsidRPr="00D14C83">
              <w:rPr>
                <w:rFonts w:cstheme="minorHAnsi"/>
                <w:w w:val="95"/>
              </w:rPr>
              <w:t>0.83</w:t>
            </w:r>
          </w:p>
        </w:tc>
        <w:tc>
          <w:tcPr>
            <w:tcW w:w="0" w:type="auto"/>
          </w:tcPr>
          <w:p w14:paraId="47D1A1A6" w14:textId="77777777" w:rsidR="00D14C83" w:rsidRPr="00D14C83" w:rsidRDefault="00D14C83" w:rsidP="00D14C83">
            <w:pPr>
              <w:pStyle w:val="NoSpacing"/>
              <w:rPr>
                <w:rFonts w:cstheme="minorHAnsi"/>
                <w:w w:val="95"/>
              </w:rPr>
            </w:pPr>
            <w:r w:rsidRPr="00D14C83">
              <w:rPr>
                <w:rFonts w:cstheme="minorHAnsi"/>
                <w:w w:val="95"/>
              </w:rPr>
              <w:t>1.00</w:t>
            </w:r>
          </w:p>
        </w:tc>
        <w:tc>
          <w:tcPr>
            <w:tcW w:w="0" w:type="auto"/>
          </w:tcPr>
          <w:p w14:paraId="5033266F" w14:textId="77777777" w:rsidR="00D14C83" w:rsidRPr="00D14C83" w:rsidRDefault="00D14C83" w:rsidP="00D14C83">
            <w:pPr>
              <w:pStyle w:val="NoSpacing"/>
              <w:rPr>
                <w:rFonts w:cstheme="minorHAnsi"/>
              </w:rPr>
            </w:pPr>
          </w:p>
        </w:tc>
        <w:tc>
          <w:tcPr>
            <w:tcW w:w="0" w:type="auto"/>
          </w:tcPr>
          <w:p w14:paraId="555654F4" w14:textId="77777777" w:rsidR="00D14C83" w:rsidRPr="00D14C83" w:rsidRDefault="00D14C83" w:rsidP="00D14C83">
            <w:pPr>
              <w:pStyle w:val="NoSpacing"/>
              <w:rPr>
                <w:rFonts w:cstheme="minorHAnsi"/>
              </w:rPr>
            </w:pPr>
          </w:p>
        </w:tc>
        <w:tc>
          <w:tcPr>
            <w:tcW w:w="0" w:type="auto"/>
          </w:tcPr>
          <w:p w14:paraId="6C05EC4E" w14:textId="77777777" w:rsidR="00D14C83" w:rsidRPr="00D14C83" w:rsidRDefault="00D14C83" w:rsidP="00D14C83">
            <w:pPr>
              <w:pStyle w:val="NoSpacing"/>
              <w:rPr>
                <w:rFonts w:cstheme="minorHAnsi"/>
              </w:rPr>
            </w:pPr>
          </w:p>
        </w:tc>
        <w:tc>
          <w:tcPr>
            <w:tcW w:w="0" w:type="auto"/>
          </w:tcPr>
          <w:p w14:paraId="3A475A1B" w14:textId="77777777" w:rsidR="00D14C83" w:rsidRPr="00D14C83" w:rsidRDefault="00D14C83" w:rsidP="00D14C83">
            <w:pPr>
              <w:pStyle w:val="NoSpacing"/>
              <w:rPr>
                <w:rFonts w:cstheme="minorHAnsi"/>
              </w:rPr>
            </w:pPr>
          </w:p>
        </w:tc>
        <w:tc>
          <w:tcPr>
            <w:tcW w:w="0" w:type="auto"/>
          </w:tcPr>
          <w:p w14:paraId="5E589BB1" w14:textId="77777777" w:rsidR="00D14C83" w:rsidRPr="00D14C83" w:rsidRDefault="00D14C83" w:rsidP="00D14C83">
            <w:pPr>
              <w:pStyle w:val="NoSpacing"/>
              <w:rPr>
                <w:rFonts w:cstheme="minorHAnsi"/>
              </w:rPr>
            </w:pPr>
          </w:p>
        </w:tc>
        <w:tc>
          <w:tcPr>
            <w:tcW w:w="0" w:type="auto"/>
          </w:tcPr>
          <w:p w14:paraId="68432C58" w14:textId="77777777" w:rsidR="00D14C83" w:rsidRPr="00D14C83" w:rsidRDefault="00D14C83" w:rsidP="00D14C83">
            <w:pPr>
              <w:pStyle w:val="NoSpacing"/>
              <w:rPr>
                <w:rFonts w:cstheme="minorHAnsi"/>
              </w:rPr>
            </w:pPr>
          </w:p>
        </w:tc>
        <w:tc>
          <w:tcPr>
            <w:tcW w:w="0" w:type="auto"/>
          </w:tcPr>
          <w:p w14:paraId="0859C5FF" w14:textId="3138B9F8" w:rsidR="00D14C83" w:rsidRPr="00D14C83" w:rsidRDefault="00D14C83" w:rsidP="00D14C83">
            <w:pPr>
              <w:pStyle w:val="NoSpacing"/>
              <w:rPr>
                <w:rFonts w:cstheme="minorHAnsi"/>
              </w:rPr>
            </w:pPr>
          </w:p>
        </w:tc>
      </w:tr>
      <w:tr w:rsidR="00D14C83" w:rsidRPr="00D14C83" w14:paraId="181B8E3A" w14:textId="77777777" w:rsidTr="00704AB6">
        <w:trPr>
          <w:trHeight w:val="209"/>
        </w:trPr>
        <w:tc>
          <w:tcPr>
            <w:tcW w:w="0" w:type="auto"/>
          </w:tcPr>
          <w:p w14:paraId="5C4CCCCA" w14:textId="77777777" w:rsidR="00D14C83" w:rsidRPr="00D14C83" w:rsidRDefault="00D14C83" w:rsidP="00D14C83">
            <w:pPr>
              <w:pStyle w:val="NoSpacing"/>
              <w:rPr>
                <w:rFonts w:cstheme="minorHAnsi"/>
              </w:rPr>
            </w:pPr>
            <w:r w:rsidRPr="00D14C83">
              <w:rPr>
                <w:rFonts w:cstheme="minorHAnsi"/>
              </w:rPr>
              <w:t>5. Ln bar</w:t>
            </w:r>
          </w:p>
        </w:tc>
        <w:tc>
          <w:tcPr>
            <w:tcW w:w="0" w:type="auto"/>
          </w:tcPr>
          <w:p w14:paraId="0959554D" w14:textId="77777777" w:rsidR="00D14C83" w:rsidRPr="00D14C83" w:rsidRDefault="00D14C83" w:rsidP="00D14C83">
            <w:pPr>
              <w:pStyle w:val="NoSpacing"/>
              <w:rPr>
                <w:rFonts w:cstheme="minorHAnsi"/>
              </w:rPr>
            </w:pPr>
            <w:r w:rsidRPr="00D14C83">
              <w:rPr>
                <w:rFonts w:cstheme="minorHAnsi"/>
              </w:rPr>
              <w:t>0.46</w:t>
            </w:r>
          </w:p>
        </w:tc>
        <w:tc>
          <w:tcPr>
            <w:tcW w:w="0" w:type="auto"/>
          </w:tcPr>
          <w:p w14:paraId="432A1E60" w14:textId="77777777" w:rsidR="00D14C83" w:rsidRPr="00D14C83" w:rsidRDefault="00D14C83" w:rsidP="00D14C83">
            <w:pPr>
              <w:pStyle w:val="NoSpacing"/>
              <w:rPr>
                <w:rFonts w:cstheme="minorHAnsi"/>
              </w:rPr>
            </w:pPr>
            <w:r w:rsidRPr="00D14C83">
              <w:rPr>
                <w:rFonts w:cstheme="minorHAnsi"/>
              </w:rPr>
              <w:t>0.48</w:t>
            </w:r>
          </w:p>
        </w:tc>
        <w:tc>
          <w:tcPr>
            <w:tcW w:w="0" w:type="auto"/>
          </w:tcPr>
          <w:p w14:paraId="41DC1394" w14:textId="77777777" w:rsidR="00D14C83" w:rsidRPr="00D14C83" w:rsidRDefault="00D14C83" w:rsidP="00D14C83">
            <w:pPr>
              <w:pStyle w:val="NoSpacing"/>
              <w:rPr>
                <w:rFonts w:cstheme="minorHAnsi"/>
                <w:w w:val="95"/>
              </w:rPr>
            </w:pPr>
            <w:r w:rsidRPr="00D14C83">
              <w:rPr>
                <w:rFonts w:cstheme="minorHAnsi"/>
                <w:w w:val="95"/>
              </w:rPr>
              <w:t>0.64</w:t>
            </w:r>
          </w:p>
        </w:tc>
        <w:tc>
          <w:tcPr>
            <w:tcW w:w="0" w:type="auto"/>
          </w:tcPr>
          <w:p w14:paraId="32E7F247" w14:textId="77777777" w:rsidR="00D14C83" w:rsidRPr="00D14C83" w:rsidRDefault="00D14C83" w:rsidP="00D14C83">
            <w:pPr>
              <w:pStyle w:val="NoSpacing"/>
              <w:rPr>
                <w:rFonts w:cstheme="minorHAnsi"/>
                <w:w w:val="95"/>
              </w:rPr>
            </w:pPr>
            <w:r w:rsidRPr="00D14C83">
              <w:rPr>
                <w:rFonts w:cstheme="minorHAnsi"/>
                <w:w w:val="95"/>
              </w:rPr>
              <w:t>0.42</w:t>
            </w:r>
          </w:p>
        </w:tc>
        <w:tc>
          <w:tcPr>
            <w:tcW w:w="0" w:type="auto"/>
          </w:tcPr>
          <w:p w14:paraId="07465BA6" w14:textId="77777777" w:rsidR="00D14C83" w:rsidRPr="00D14C83" w:rsidRDefault="00D14C83" w:rsidP="00D14C83">
            <w:pPr>
              <w:pStyle w:val="NoSpacing"/>
              <w:rPr>
                <w:rFonts w:cstheme="minorHAnsi"/>
                <w:w w:val="95"/>
              </w:rPr>
            </w:pPr>
            <w:r w:rsidRPr="00D14C83">
              <w:rPr>
                <w:rFonts w:cstheme="minorHAnsi"/>
                <w:w w:val="95"/>
              </w:rPr>
              <w:t>1.00</w:t>
            </w:r>
          </w:p>
        </w:tc>
        <w:tc>
          <w:tcPr>
            <w:tcW w:w="0" w:type="auto"/>
          </w:tcPr>
          <w:p w14:paraId="31369837" w14:textId="77777777" w:rsidR="00D14C83" w:rsidRPr="00D14C83" w:rsidRDefault="00D14C83" w:rsidP="00D14C83">
            <w:pPr>
              <w:pStyle w:val="NoSpacing"/>
              <w:rPr>
                <w:rFonts w:cstheme="minorHAnsi"/>
              </w:rPr>
            </w:pPr>
          </w:p>
        </w:tc>
        <w:tc>
          <w:tcPr>
            <w:tcW w:w="0" w:type="auto"/>
          </w:tcPr>
          <w:p w14:paraId="167A5691" w14:textId="77777777" w:rsidR="00D14C83" w:rsidRPr="00D14C83" w:rsidRDefault="00D14C83" w:rsidP="00D14C83">
            <w:pPr>
              <w:pStyle w:val="NoSpacing"/>
              <w:rPr>
                <w:rFonts w:cstheme="minorHAnsi"/>
              </w:rPr>
            </w:pPr>
          </w:p>
        </w:tc>
        <w:tc>
          <w:tcPr>
            <w:tcW w:w="0" w:type="auto"/>
          </w:tcPr>
          <w:p w14:paraId="6E57B152" w14:textId="77777777" w:rsidR="00D14C83" w:rsidRPr="00D14C83" w:rsidRDefault="00D14C83" w:rsidP="00D14C83">
            <w:pPr>
              <w:pStyle w:val="NoSpacing"/>
              <w:rPr>
                <w:rFonts w:cstheme="minorHAnsi"/>
              </w:rPr>
            </w:pPr>
          </w:p>
        </w:tc>
        <w:tc>
          <w:tcPr>
            <w:tcW w:w="0" w:type="auto"/>
          </w:tcPr>
          <w:p w14:paraId="353A7CEB" w14:textId="77777777" w:rsidR="00D14C83" w:rsidRPr="00D14C83" w:rsidRDefault="00D14C83" w:rsidP="00D14C83">
            <w:pPr>
              <w:pStyle w:val="NoSpacing"/>
              <w:rPr>
                <w:rFonts w:cstheme="minorHAnsi"/>
              </w:rPr>
            </w:pPr>
          </w:p>
        </w:tc>
        <w:tc>
          <w:tcPr>
            <w:tcW w:w="0" w:type="auto"/>
          </w:tcPr>
          <w:p w14:paraId="6EF37CB2" w14:textId="77777777" w:rsidR="00D14C83" w:rsidRPr="00D14C83" w:rsidRDefault="00D14C83" w:rsidP="00D14C83">
            <w:pPr>
              <w:pStyle w:val="NoSpacing"/>
              <w:rPr>
                <w:rFonts w:cstheme="minorHAnsi"/>
              </w:rPr>
            </w:pPr>
          </w:p>
        </w:tc>
        <w:tc>
          <w:tcPr>
            <w:tcW w:w="0" w:type="auto"/>
          </w:tcPr>
          <w:p w14:paraId="1FD70D07" w14:textId="5AE06E47" w:rsidR="00D14C83" w:rsidRPr="00D14C83" w:rsidRDefault="00D14C83" w:rsidP="00D14C83">
            <w:pPr>
              <w:pStyle w:val="NoSpacing"/>
              <w:rPr>
                <w:rFonts w:cstheme="minorHAnsi"/>
              </w:rPr>
            </w:pPr>
          </w:p>
        </w:tc>
      </w:tr>
      <w:tr w:rsidR="00D14C83" w:rsidRPr="00D14C83" w14:paraId="57EF4EAD" w14:textId="77777777" w:rsidTr="00704AB6">
        <w:trPr>
          <w:trHeight w:val="209"/>
        </w:trPr>
        <w:tc>
          <w:tcPr>
            <w:tcW w:w="0" w:type="auto"/>
          </w:tcPr>
          <w:p w14:paraId="742C01E3" w14:textId="77777777" w:rsidR="00D14C83" w:rsidRPr="00D14C83" w:rsidRDefault="00D14C83" w:rsidP="00D14C83">
            <w:pPr>
              <w:pStyle w:val="NoSpacing"/>
              <w:rPr>
                <w:rFonts w:cstheme="minorHAnsi"/>
              </w:rPr>
            </w:pPr>
            <w:r w:rsidRPr="00D14C83">
              <w:rPr>
                <w:rFonts w:cstheme="minorHAnsi"/>
              </w:rPr>
              <w:t>6. Ln restaurant</w:t>
            </w:r>
          </w:p>
        </w:tc>
        <w:tc>
          <w:tcPr>
            <w:tcW w:w="0" w:type="auto"/>
          </w:tcPr>
          <w:p w14:paraId="575151DB" w14:textId="77777777" w:rsidR="00D14C83" w:rsidRPr="00D14C83" w:rsidRDefault="00D14C83" w:rsidP="00D14C83">
            <w:pPr>
              <w:pStyle w:val="NoSpacing"/>
              <w:rPr>
                <w:rFonts w:cstheme="minorHAnsi"/>
              </w:rPr>
            </w:pPr>
            <w:r w:rsidRPr="00D14C83">
              <w:rPr>
                <w:rFonts w:cstheme="minorHAnsi"/>
              </w:rPr>
              <w:t>0.49</w:t>
            </w:r>
          </w:p>
        </w:tc>
        <w:tc>
          <w:tcPr>
            <w:tcW w:w="0" w:type="auto"/>
          </w:tcPr>
          <w:p w14:paraId="65BE2A14" w14:textId="77777777" w:rsidR="00D14C83" w:rsidRPr="00D14C83" w:rsidRDefault="00D14C83" w:rsidP="00D14C83">
            <w:pPr>
              <w:pStyle w:val="NoSpacing"/>
              <w:rPr>
                <w:rFonts w:cstheme="minorHAnsi"/>
              </w:rPr>
            </w:pPr>
            <w:r w:rsidRPr="00D14C83">
              <w:rPr>
                <w:rFonts w:cstheme="minorHAnsi"/>
              </w:rPr>
              <w:t>0.35</w:t>
            </w:r>
          </w:p>
        </w:tc>
        <w:tc>
          <w:tcPr>
            <w:tcW w:w="0" w:type="auto"/>
          </w:tcPr>
          <w:p w14:paraId="4B613435" w14:textId="77777777" w:rsidR="00D14C83" w:rsidRPr="00D14C83" w:rsidRDefault="00D14C83" w:rsidP="00D14C83">
            <w:pPr>
              <w:pStyle w:val="NoSpacing"/>
              <w:rPr>
                <w:rFonts w:cstheme="minorHAnsi"/>
                <w:w w:val="95"/>
              </w:rPr>
            </w:pPr>
            <w:r w:rsidRPr="00D14C83">
              <w:rPr>
                <w:rFonts w:cstheme="minorHAnsi"/>
                <w:w w:val="95"/>
              </w:rPr>
              <w:t>0.92</w:t>
            </w:r>
          </w:p>
        </w:tc>
        <w:tc>
          <w:tcPr>
            <w:tcW w:w="0" w:type="auto"/>
          </w:tcPr>
          <w:p w14:paraId="6B1CA127" w14:textId="77777777" w:rsidR="00D14C83" w:rsidRPr="00D14C83" w:rsidRDefault="00D14C83" w:rsidP="00D14C83">
            <w:pPr>
              <w:pStyle w:val="NoSpacing"/>
              <w:rPr>
                <w:rFonts w:cstheme="minorHAnsi"/>
                <w:w w:val="95"/>
              </w:rPr>
            </w:pPr>
            <w:r w:rsidRPr="00D14C83">
              <w:rPr>
                <w:rFonts w:cstheme="minorHAnsi"/>
                <w:w w:val="95"/>
              </w:rPr>
              <w:t>0.64</w:t>
            </w:r>
          </w:p>
        </w:tc>
        <w:tc>
          <w:tcPr>
            <w:tcW w:w="0" w:type="auto"/>
          </w:tcPr>
          <w:p w14:paraId="445F5572" w14:textId="77777777" w:rsidR="00D14C83" w:rsidRPr="00D14C83" w:rsidRDefault="00D14C83" w:rsidP="00D14C83">
            <w:pPr>
              <w:pStyle w:val="NoSpacing"/>
              <w:rPr>
                <w:rFonts w:cstheme="minorHAnsi"/>
                <w:w w:val="95"/>
              </w:rPr>
            </w:pPr>
            <w:r w:rsidRPr="00D14C83">
              <w:rPr>
                <w:rFonts w:cstheme="minorHAnsi"/>
                <w:w w:val="95"/>
              </w:rPr>
              <w:t>0.63</w:t>
            </w:r>
          </w:p>
        </w:tc>
        <w:tc>
          <w:tcPr>
            <w:tcW w:w="0" w:type="auto"/>
          </w:tcPr>
          <w:p w14:paraId="185DCF0F" w14:textId="77777777" w:rsidR="00D14C83" w:rsidRPr="00D14C83" w:rsidRDefault="00D14C83" w:rsidP="00D14C83">
            <w:pPr>
              <w:pStyle w:val="NoSpacing"/>
              <w:rPr>
                <w:rFonts w:cstheme="minorHAnsi"/>
              </w:rPr>
            </w:pPr>
            <w:r w:rsidRPr="00D14C83">
              <w:rPr>
                <w:rFonts w:cstheme="minorHAnsi"/>
              </w:rPr>
              <w:t>1.00</w:t>
            </w:r>
          </w:p>
        </w:tc>
        <w:tc>
          <w:tcPr>
            <w:tcW w:w="0" w:type="auto"/>
          </w:tcPr>
          <w:p w14:paraId="61DD215A" w14:textId="77777777" w:rsidR="00D14C83" w:rsidRPr="00D14C83" w:rsidRDefault="00D14C83" w:rsidP="00D14C83">
            <w:pPr>
              <w:pStyle w:val="NoSpacing"/>
              <w:rPr>
                <w:rFonts w:cstheme="minorHAnsi"/>
              </w:rPr>
            </w:pPr>
          </w:p>
        </w:tc>
        <w:tc>
          <w:tcPr>
            <w:tcW w:w="0" w:type="auto"/>
          </w:tcPr>
          <w:p w14:paraId="7B556EA8" w14:textId="77777777" w:rsidR="00D14C83" w:rsidRPr="00D14C83" w:rsidRDefault="00D14C83" w:rsidP="00D14C83">
            <w:pPr>
              <w:pStyle w:val="NoSpacing"/>
              <w:rPr>
                <w:rFonts w:cstheme="minorHAnsi"/>
              </w:rPr>
            </w:pPr>
          </w:p>
        </w:tc>
        <w:tc>
          <w:tcPr>
            <w:tcW w:w="0" w:type="auto"/>
          </w:tcPr>
          <w:p w14:paraId="178311A1" w14:textId="77777777" w:rsidR="00D14C83" w:rsidRPr="00D14C83" w:rsidRDefault="00D14C83" w:rsidP="00D14C83">
            <w:pPr>
              <w:pStyle w:val="NoSpacing"/>
              <w:rPr>
                <w:rFonts w:cstheme="minorHAnsi"/>
              </w:rPr>
            </w:pPr>
          </w:p>
        </w:tc>
        <w:tc>
          <w:tcPr>
            <w:tcW w:w="0" w:type="auto"/>
          </w:tcPr>
          <w:p w14:paraId="2E28197F" w14:textId="77777777" w:rsidR="00D14C83" w:rsidRPr="00D14C83" w:rsidRDefault="00D14C83" w:rsidP="00D14C83">
            <w:pPr>
              <w:pStyle w:val="NoSpacing"/>
              <w:rPr>
                <w:rFonts w:cstheme="minorHAnsi"/>
              </w:rPr>
            </w:pPr>
          </w:p>
        </w:tc>
        <w:tc>
          <w:tcPr>
            <w:tcW w:w="0" w:type="auto"/>
          </w:tcPr>
          <w:p w14:paraId="1A4804DD" w14:textId="28DFD62C" w:rsidR="00D14C83" w:rsidRPr="00D14C83" w:rsidRDefault="00D14C83" w:rsidP="00D14C83">
            <w:pPr>
              <w:pStyle w:val="NoSpacing"/>
              <w:rPr>
                <w:rFonts w:cstheme="minorHAnsi"/>
              </w:rPr>
            </w:pPr>
          </w:p>
        </w:tc>
      </w:tr>
      <w:tr w:rsidR="00D14C83" w:rsidRPr="00D14C83" w14:paraId="7D11F824" w14:textId="77777777" w:rsidTr="00704AB6">
        <w:trPr>
          <w:trHeight w:val="209"/>
        </w:trPr>
        <w:tc>
          <w:tcPr>
            <w:tcW w:w="0" w:type="auto"/>
          </w:tcPr>
          <w:p w14:paraId="12AA2C20" w14:textId="77777777" w:rsidR="00D14C83" w:rsidRPr="00D14C83" w:rsidRDefault="00D14C83" w:rsidP="00D14C83">
            <w:pPr>
              <w:pStyle w:val="NoSpacing"/>
              <w:rPr>
                <w:rFonts w:cstheme="minorHAnsi"/>
              </w:rPr>
            </w:pPr>
            <w:r w:rsidRPr="00D14C83">
              <w:rPr>
                <w:rFonts w:cstheme="minorHAnsi"/>
              </w:rPr>
              <w:t>7. Social disorganization</w:t>
            </w:r>
          </w:p>
        </w:tc>
        <w:tc>
          <w:tcPr>
            <w:tcW w:w="0" w:type="auto"/>
          </w:tcPr>
          <w:p w14:paraId="256B82F8" w14:textId="77777777" w:rsidR="00D14C83" w:rsidRPr="00D14C83" w:rsidRDefault="00D14C83" w:rsidP="00D14C83">
            <w:pPr>
              <w:pStyle w:val="NoSpacing"/>
              <w:rPr>
                <w:rFonts w:cstheme="minorHAnsi"/>
              </w:rPr>
            </w:pPr>
            <w:r w:rsidRPr="00D14C83">
              <w:rPr>
                <w:rFonts w:cstheme="minorHAnsi"/>
              </w:rPr>
              <w:t>0.45</w:t>
            </w:r>
          </w:p>
        </w:tc>
        <w:tc>
          <w:tcPr>
            <w:tcW w:w="0" w:type="auto"/>
          </w:tcPr>
          <w:p w14:paraId="288C388A" w14:textId="77777777" w:rsidR="00D14C83" w:rsidRPr="00D14C83" w:rsidRDefault="00D14C83" w:rsidP="00D14C83">
            <w:pPr>
              <w:pStyle w:val="NoSpacing"/>
              <w:rPr>
                <w:rFonts w:cstheme="minorHAnsi"/>
              </w:rPr>
            </w:pPr>
            <w:r w:rsidRPr="00D14C83">
              <w:rPr>
                <w:rFonts w:cstheme="minorHAnsi"/>
              </w:rPr>
              <w:t>0.45</w:t>
            </w:r>
          </w:p>
        </w:tc>
        <w:tc>
          <w:tcPr>
            <w:tcW w:w="0" w:type="auto"/>
          </w:tcPr>
          <w:p w14:paraId="2661D4CF" w14:textId="77777777" w:rsidR="00D14C83" w:rsidRPr="00D14C83" w:rsidRDefault="00D14C83" w:rsidP="00D14C83">
            <w:pPr>
              <w:pStyle w:val="NoSpacing"/>
              <w:rPr>
                <w:rFonts w:cstheme="minorHAnsi"/>
                <w:w w:val="95"/>
              </w:rPr>
            </w:pPr>
            <w:r w:rsidRPr="00D14C83">
              <w:rPr>
                <w:rFonts w:cstheme="minorHAnsi"/>
                <w:w w:val="95"/>
              </w:rPr>
              <w:t>0.45</w:t>
            </w:r>
          </w:p>
        </w:tc>
        <w:tc>
          <w:tcPr>
            <w:tcW w:w="0" w:type="auto"/>
          </w:tcPr>
          <w:p w14:paraId="122DD867" w14:textId="77777777" w:rsidR="00D14C83" w:rsidRPr="00D14C83" w:rsidRDefault="00D14C83" w:rsidP="00D14C83">
            <w:pPr>
              <w:pStyle w:val="NoSpacing"/>
              <w:rPr>
                <w:rFonts w:cstheme="minorHAnsi"/>
                <w:w w:val="95"/>
              </w:rPr>
            </w:pPr>
            <w:r w:rsidRPr="00D14C83">
              <w:rPr>
                <w:rFonts w:cstheme="minorHAnsi"/>
                <w:w w:val="95"/>
              </w:rPr>
              <w:t>0.41</w:t>
            </w:r>
          </w:p>
        </w:tc>
        <w:tc>
          <w:tcPr>
            <w:tcW w:w="0" w:type="auto"/>
          </w:tcPr>
          <w:p w14:paraId="03D39AAC" w14:textId="77777777" w:rsidR="00D14C83" w:rsidRPr="00D14C83" w:rsidRDefault="00D14C83" w:rsidP="00D14C83">
            <w:pPr>
              <w:pStyle w:val="NoSpacing"/>
              <w:rPr>
                <w:rFonts w:cstheme="minorHAnsi"/>
                <w:w w:val="95"/>
              </w:rPr>
            </w:pPr>
            <w:r w:rsidRPr="00D14C83">
              <w:rPr>
                <w:rFonts w:cstheme="minorHAnsi"/>
                <w:w w:val="95"/>
              </w:rPr>
              <w:t>0.32</w:t>
            </w:r>
          </w:p>
        </w:tc>
        <w:tc>
          <w:tcPr>
            <w:tcW w:w="0" w:type="auto"/>
          </w:tcPr>
          <w:p w14:paraId="67E17540" w14:textId="77777777" w:rsidR="00D14C83" w:rsidRPr="00D14C83" w:rsidRDefault="00D14C83" w:rsidP="00D14C83">
            <w:pPr>
              <w:pStyle w:val="NoSpacing"/>
              <w:rPr>
                <w:rFonts w:cstheme="minorHAnsi"/>
              </w:rPr>
            </w:pPr>
            <w:r w:rsidRPr="00D14C83">
              <w:rPr>
                <w:rFonts w:cstheme="minorHAnsi"/>
              </w:rPr>
              <w:t>0.41</w:t>
            </w:r>
          </w:p>
        </w:tc>
        <w:tc>
          <w:tcPr>
            <w:tcW w:w="0" w:type="auto"/>
          </w:tcPr>
          <w:p w14:paraId="4F5BFE01" w14:textId="77777777" w:rsidR="00D14C83" w:rsidRPr="00D14C83" w:rsidRDefault="00D14C83" w:rsidP="00D14C83">
            <w:pPr>
              <w:pStyle w:val="NoSpacing"/>
              <w:rPr>
                <w:rFonts w:cstheme="minorHAnsi"/>
              </w:rPr>
            </w:pPr>
            <w:r w:rsidRPr="00D14C83">
              <w:rPr>
                <w:rFonts w:cstheme="minorHAnsi"/>
              </w:rPr>
              <w:t>1.00</w:t>
            </w:r>
          </w:p>
        </w:tc>
        <w:tc>
          <w:tcPr>
            <w:tcW w:w="0" w:type="auto"/>
          </w:tcPr>
          <w:p w14:paraId="172C3978" w14:textId="77777777" w:rsidR="00D14C83" w:rsidRPr="00D14C83" w:rsidRDefault="00D14C83" w:rsidP="00D14C83">
            <w:pPr>
              <w:pStyle w:val="NoSpacing"/>
              <w:rPr>
                <w:rFonts w:cstheme="minorHAnsi"/>
              </w:rPr>
            </w:pPr>
          </w:p>
        </w:tc>
        <w:tc>
          <w:tcPr>
            <w:tcW w:w="0" w:type="auto"/>
          </w:tcPr>
          <w:p w14:paraId="16A5608D" w14:textId="77777777" w:rsidR="00D14C83" w:rsidRPr="00D14C83" w:rsidRDefault="00D14C83" w:rsidP="00D14C83">
            <w:pPr>
              <w:pStyle w:val="NoSpacing"/>
              <w:rPr>
                <w:rFonts w:cstheme="minorHAnsi"/>
              </w:rPr>
            </w:pPr>
          </w:p>
        </w:tc>
        <w:tc>
          <w:tcPr>
            <w:tcW w:w="0" w:type="auto"/>
          </w:tcPr>
          <w:p w14:paraId="6F068AFF" w14:textId="77777777" w:rsidR="00D14C83" w:rsidRPr="00D14C83" w:rsidRDefault="00D14C83" w:rsidP="00D14C83">
            <w:pPr>
              <w:pStyle w:val="NoSpacing"/>
              <w:rPr>
                <w:rFonts w:cstheme="minorHAnsi"/>
              </w:rPr>
            </w:pPr>
          </w:p>
        </w:tc>
        <w:tc>
          <w:tcPr>
            <w:tcW w:w="0" w:type="auto"/>
          </w:tcPr>
          <w:p w14:paraId="6175BE4A" w14:textId="1A66A64D" w:rsidR="00D14C83" w:rsidRPr="00D14C83" w:rsidRDefault="00D14C83" w:rsidP="00D14C83">
            <w:pPr>
              <w:pStyle w:val="NoSpacing"/>
              <w:rPr>
                <w:rFonts w:cstheme="minorHAnsi"/>
              </w:rPr>
            </w:pPr>
          </w:p>
        </w:tc>
      </w:tr>
      <w:tr w:rsidR="00D14C83" w:rsidRPr="00D14C83" w14:paraId="228230FC" w14:textId="77777777" w:rsidTr="00704AB6">
        <w:trPr>
          <w:trHeight w:val="209"/>
        </w:trPr>
        <w:tc>
          <w:tcPr>
            <w:tcW w:w="0" w:type="auto"/>
          </w:tcPr>
          <w:p w14:paraId="3569866C" w14:textId="77777777" w:rsidR="00D14C83" w:rsidRPr="00D14C83" w:rsidRDefault="00D14C83" w:rsidP="00D14C83">
            <w:pPr>
              <w:pStyle w:val="NoSpacing"/>
              <w:rPr>
                <w:rFonts w:cstheme="minorHAnsi"/>
              </w:rPr>
            </w:pPr>
            <w:r w:rsidRPr="00D14C83">
              <w:rPr>
                <w:rFonts w:cstheme="minorHAnsi"/>
              </w:rPr>
              <w:lastRenderedPageBreak/>
              <w:t>8. Ln % African American</w:t>
            </w:r>
          </w:p>
        </w:tc>
        <w:tc>
          <w:tcPr>
            <w:tcW w:w="0" w:type="auto"/>
          </w:tcPr>
          <w:p w14:paraId="2C56B520" w14:textId="77777777" w:rsidR="00D14C83" w:rsidRPr="00D14C83" w:rsidRDefault="00D14C83" w:rsidP="00D14C83">
            <w:pPr>
              <w:pStyle w:val="NoSpacing"/>
              <w:rPr>
                <w:rFonts w:cstheme="minorHAnsi"/>
              </w:rPr>
            </w:pPr>
            <w:r w:rsidRPr="00D14C83">
              <w:rPr>
                <w:rFonts w:cstheme="minorHAnsi"/>
              </w:rPr>
              <w:t>0.00</w:t>
            </w:r>
          </w:p>
        </w:tc>
        <w:tc>
          <w:tcPr>
            <w:tcW w:w="0" w:type="auto"/>
          </w:tcPr>
          <w:p w14:paraId="156F68F1" w14:textId="77777777" w:rsidR="00D14C83" w:rsidRPr="00D14C83" w:rsidRDefault="00D14C83" w:rsidP="00D14C83">
            <w:pPr>
              <w:pStyle w:val="NoSpacing"/>
              <w:rPr>
                <w:rFonts w:cstheme="minorHAnsi"/>
              </w:rPr>
            </w:pPr>
            <w:r w:rsidRPr="00D14C83">
              <w:rPr>
                <w:rFonts w:cstheme="minorHAnsi"/>
              </w:rPr>
              <w:t>0.03</w:t>
            </w:r>
          </w:p>
        </w:tc>
        <w:tc>
          <w:tcPr>
            <w:tcW w:w="0" w:type="auto"/>
          </w:tcPr>
          <w:p w14:paraId="6E1990A2" w14:textId="77777777" w:rsidR="00D14C83" w:rsidRPr="00D14C83" w:rsidRDefault="00D14C83" w:rsidP="00D14C83">
            <w:pPr>
              <w:pStyle w:val="NoSpacing"/>
              <w:rPr>
                <w:rFonts w:cstheme="minorHAnsi"/>
                <w:w w:val="95"/>
              </w:rPr>
            </w:pPr>
            <w:r w:rsidRPr="00D14C83">
              <w:rPr>
                <w:rFonts w:cstheme="minorHAnsi"/>
                <w:w w:val="95"/>
              </w:rPr>
              <w:t>–0.18</w:t>
            </w:r>
          </w:p>
        </w:tc>
        <w:tc>
          <w:tcPr>
            <w:tcW w:w="0" w:type="auto"/>
          </w:tcPr>
          <w:p w14:paraId="65CE81B3" w14:textId="77777777" w:rsidR="00D14C83" w:rsidRPr="00D14C83" w:rsidRDefault="00D14C83" w:rsidP="00D14C83">
            <w:pPr>
              <w:pStyle w:val="NoSpacing"/>
              <w:rPr>
                <w:rFonts w:cstheme="minorHAnsi"/>
                <w:w w:val="95"/>
              </w:rPr>
            </w:pPr>
            <w:r w:rsidRPr="00D14C83">
              <w:rPr>
                <w:rFonts w:cstheme="minorHAnsi"/>
                <w:w w:val="95"/>
              </w:rPr>
              <w:t>–0.16</w:t>
            </w:r>
          </w:p>
        </w:tc>
        <w:tc>
          <w:tcPr>
            <w:tcW w:w="0" w:type="auto"/>
          </w:tcPr>
          <w:p w14:paraId="3E528AC4" w14:textId="77777777" w:rsidR="00D14C83" w:rsidRPr="00D14C83" w:rsidRDefault="00D14C83" w:rsidP="00D14C83">
            <w:pPr>
              <w:pStyle w:val="NoSpacing"/>
              <w:rPr>
                <w:rFonts w:cstheme="minorHAnsi"/>
                <w:w w:val="95"/>
              </w:rPr>
            </w:pPr>
            <w:r w:rsidRPr="00D14C83">
              <w:rPr>
                <w:rFonts w:cstheme="minorHAnsi"/>
                <w:w w:val="95"/>
              </w:rPr>
              <w:t>–0.05</w:t>
            </w:r>
          </w:p>
        </w:tc>
        <w:tc>
          <w:tcPr>
            <w:tcW w:w="0" w:type="auto"/>
          </w:tcPr>
          <w:p w14:paraId="7FA259C4" w14:textId="77777777" w:rsidR="00D14C83" w:rsidRPr="00D14C83" w:rsidRDefault="00D14C83" w:rsidP="00D14C83">
            <w:pPr>
              <w:pStyle w:val="NoSpacing"/>
              <w:rPr>
                <w:rFonts w:cstheme="minorHAnsi"/>
              </w:rPr>
            </w:pPr>
            <w:r w:rsidRPr="00D14C83">
              <w:rPr>
                <w:rFonts w:cstheme="minorHAnsi"/>
              </w:rPr>
              <w:t>–0.18</w:t>
            </w:r>
          </w:p>
        </w:tc>
        <w:tc>
          <w:tcPr>
            <w:tcW w:w="0" w:type="auto"/>
          </w:tcPr>
          <w:p w14:paraId="125AA8DF" w14:textId="77777777" w:rsidR="00D14C83" w:rsidRPr="00D14C83" w:rsidRDefault="00D14C83" w:rsidP="00D14C83">
            <w:pPr>
              <w:pStyle w:val="NoSpacing"/>
              <w:rPr>
                <w:rFonts w:cstheme="minorHAnsi"/>
              </w:rPr>
            </w:pPr>
            <w:r w:rsidRPr="00D14C83">
              <w:rPr>
                <w:rFonts w:cstheme="minorHAnsi"/>
              </w:rPr>
              <w:t>–0.03</w:t>
            </w:r>
          </w:p>
        </w:tc>
        <w:tc>
          <w:tcPr>
            <w:tcW w:w="0" w:type="auto"/>
          </w:tcPr>
          <w:p w14:paraId="3B0D1F72" w14:textId="77777777" w:rsidR="00D14C83" w:rsidRPr="00D14C83" w:rsidRDefault="00D14C83" w:rsidP="00D14C83">
            <w:pPr>
              <w:pStyle w:val="NoSpacing"/>
              <w:rPr>
                <w:rFonts w:cstheme="minorHAnsi"/>
                <w:w w:val="95"/>
              </w:rPr>
            </w:pPr>
            <w:r w:rsidRPr="00D14C83">
              <w:rPr>
                <w:rFonts w:cstheme="minorHAnsi"/>
                <w:w w:val="95"/>
              </w:rPr>
              <w:t>1.00</w:t>
            </w:r>
          </w:p>
        </w:tc>
        <w:tc>
          <w:tcPr>
            <w:tcW w:w="0" w:type="auto"/>
          </w:tcPr>
          <w:p w14:paraId="017C273E" w14:textId="77777777" w:rsidR="00D14C83" w:rsidRPr="00D14C83" w:rsidRDefault="00D14C83" w:rsidP="00D14C83">
            <w:pPr>
              <w:pStyle w:val="NoSpacing"/>
              <w:rPr>
                <w:rFonts w:cstheme="minorHAnsi"/>
              </w:rPr>
            </w:pPr>
          </w:p>
        </w:tc>
        <w:tc>
          <w:tcPr>
            <w:tcW w:w="0" w:type="auto"/>
          </w:tcPr>
          <w:p w14:paraId="2EE2605F" w14:textId="77777777" w:rsidR="00D14C83" w:rsidRPr="00D14C83" w:rsidRDefault="00D14C83" w:rsidP="00D14C83">
            <w:pPr>
              <w:pStyle w:val="NoSpacing"/>
              <w:rPr>
                <w:rFonts w:cstheme="minorHAnsi"/>
              </w:rPr>
            </w:pPr>
          </w:p>
        </w:tc>
        <w:tc>
          <w:tcPr>
            <w:tcW w:w="0" w:type="auto"/>
          </w:tcPr>
          <w:p w14:paraId="12FA2C4D" w14:textId="5E3EEBA1" w:rsidR="00D14C83" w:rsidRPr="00D14C83" w:rsidRDefault="00D14C83" w:rsidP="00D14C83">
            <w:pPr>
              <w:pStyle w:val="NoSpacing"/>
              <w:rPr>
                <w:rFonts w:cstheme="minorHAnsi"/>
              </w:rPr>
            </w:pPr>
          </w:p>
        </w:tc>
      </w:tr>
      <w:tr w:rsidR="00D14C83" w:rsidRPr="00D14C83" w14:paraId="5595FCC4" w14:textId="77777777" w:rsidTr="00704AB6">
        <w:trPr>
          <w:trHeight w:val="209"/>
        </w:trPr>
        <w:tc>
          <w:tcPr>
            <w:tcW w:w="0" w:type="auto"/>
          </w:tcPr>
          <w:p w14:paraId="779DFC90" w14:textId="77777777" w:rsidR="00D14C83" w:rsidRPr="00D14C83" w:rsidRDefault="00D14C83" w:rsidP="00D14C83">
            <w:pPr>
              <w:pStyle w:val="NoSpacing"/>
              <w:rPr>
                <w:rFonts w:cstheme="minorHAnsi"/>
              </w:rPr>
            </w:pPr>
            <w:r w:rsidRPr="00D14C83">
              <w:rPr>
                <w:rFonts w:cstheme="minorHAnsi"/>
              </w:rPr>
              <w:t>9. Ln population density</w:t>
            </w:r>
          </w:p>
        </w:tc>
        <w:tc>
          <w:tcPr>
            <w:tcW w:w="0" w:type="auto"/>
          </w:tcPr>
          <w:p w14:paraId="02EF0DAD" w14:textId="77777777" w:rsidR="00D14C83" w:rsidRPr="00D14C83" w:rsidRDefault="00D14C83" w:rsidP="00D14C83">
            <w:pPr>
              <w:pStyle w:val="NoSpacing"/>
              <w:rPr>
                <w:rFonts w:cstheme="minorHAnsi"/>
              </w:rPr>
            </w:pPr>
            <w:r w:rsidRPr="00D14C83">
              <w:rPr>
                <w:rFonts w:cstheme="minorHAnsi"/>
              </w:rPr>
              <w:t>0.49</w:t>
            </w:r>
          </w:p>
        </w:tc>
        <w:tc>
          <w:tcPr>
            <w:tcW w:w="0" w:type="auto"/>
          </w:tcPr>
          <w:p w14:paraId="27EC4A31" w14:textId="77777777" w:rsidR="00D14C83" w:rsidRPr="00D14C83" w:rsidRDefault="00D14C83" w:rsidP="00D14C83">
            <w:pPr>
              <w:pStyle w:val="NoSpacing"/>
              <w:rPr>
                <w:rFonts w:cstheme="minorHAnsi"/>
              </w:rPr>
            </w:pPr>
            <w:r w:rsidRPr="00D14C83">
              <w:rPr>
                <w:rFonts w:cstheme="minorHAnsi"/>
              </w:rPr>
              <w:t>0.41</w:t>
            </w:r>
          </w:p>
        </w:tc>
        <w:tc>
          <w:tcPr>
            <w:tcW w:w="0" w:type="auto"/>
          </w:tcPr>
          <w:p w14:paraId="2EE6F0F4" w14:textId="77777777" w:rsidR="00D14C83" w:rsidRPr="00D14C83" w:rsidRDefault="00D14C83" w:rsidP="00D14C83">
            <w:pPr>
              <w:pStyle w:val="NoSpacing"/>
              <w:rPr>
                <w:rFonts w:cstheme="minorHAnsi"/>
                <w:w w:val="95"/>
              </w:rPr>
            </w:pPr>
            <w:r w:rsidRPr="00D14C83">
              <w:rPr>
                <w:rFonts w:cstheme="minorHAnsi"/>
                <w:w w:val="95"/>
              </w:rPr>
              <w:t>0.35</w:t>
            </w:r>
          </w:p>
        </w:tc>
        <w:tc>
          <w:tcPr>
            <w:tcW w:w="0" w:type="auto"/>
          </w:tcPr>
          <w:p w14:paraId="6CB67F21" w14:textId="77777777" w:rsidR="00D14C83" w:rsidRPr="00D14C83" w:rsidRDefault="00D14C83" w:rsidP="00D14C83">
            <w:pPr>
              <w:pStyle w:val="NoSpacing"/>
              <w:rPr>
                <w:rFonts w:cstheme="minorHAnsi"/>
                <w:w w:val="95"/>
              </w:rPr>
            </w:pPr>
            <w:r w:rsidRPr="00D14C83">
              <w:rPr>
                <w:rFonts w:cstheme="minorHAnsi"/>
                <w:w w:val="95"/>
              </w:rPr>
              <w:t>0.36</w:t>
            </w:r>
          </w:p>
        </w:tc>
        <w:tc>
          <w:tcPr>
            <w:tcW w:w="0" w:type="auto"/>
          </w:tcPr>
          <w:p w14:paraId="30380190" w14:textId="77777777" w:rsidR="00D14C83" w:rsidRPr="00D14C83" w:rsidRDefault="00D14C83" w:rsidP="00D14C83">
            <w:pPr>
              <w:pStyle w:val="NoSpacing"/>
              <w:rPr>
                <w:rFonts w:cstheme="minorHAnsi"/>
                <w:w w:val="95"/>
              </w:rPr>
            </w:pPr>
            <w:r w:rsidRPr="00D14C83">
              <w:rPr>
                <w:rFonts w:cstheme="minorHAnsi"/>
                <w:w w:val="95"/>
              </w:rPr>
              <w:t>0.15</w:t>
            </w:r>
          </w:p>
        </w:tc>
        <w:tc>
          <w:tcPr>
            <w:tcW w:w="0" w:type="auto"/>
          </w:tcPr>
          <w:p w14:paraId="6FA0AC6E" w14:textId="77777777" w:rsidR="00D14C83" w:rsidRPr="00D14C83" w:rsidRDefault="00D14C83" w:rsidP="00D14C83">
            <w:pPr>
              <w:pStyle w:val="NoSpacing"/>
              <w:rPr>
                <w:rFonts w:cstheme="minorHAnsi"/>
              </w:rPr>
            </w:pPr>
            <w:r w:rsidRPr="00D14C83">
              <w:rPr>
                <w:rFonts w:cstheme="minorHAnsi"/>
              </w:rPr>
              <w:t>0.30</w:t>
            </w:r>
          </w:p>
        </w:tc>
        <w:tc>
          <w:tcPr>
            <w:tcW w:w="0" w:type="auto"/>
          </w:tcPr>
          <w:p w14:paraId="0203DDDE" w14:textId="77777777" w:rsidR="00D14C83" w:rsidRPr="00D14C83" w:rsidRDefault="00D14C83" w:rsidP="00D14C83">
            <w:pPr>
              <w:pStyle w:val="NoSpacing"/>
              <w:rPr>
                <w:rFonts w:cstheme="minorHAnsi"/>
              </w:rPr>
            </w:pPr>
            <w:r w:rsidRPr="00D14C83">
              <w:rPr>
                <w:rFonts w:cstheme="minorHAnsi"/>
              </w:rPr>
              <w:t>0.50</w:t>
            </w:r>
          </w:p>
        </w:tc>
        <w:tc>
          <w:tcPr>
            <w:tcW w:w="0" w:type="auto"/>
          </w:tcPr>
          <w:p w14:paraId="69634252" w14:textId="77777777" w:rsidR="00D14C83" w:rsidRPr="00D14C83" w:rsidRDefault="00D14C83" w:rsidP="00D14C83">
            <w:pPr>
              <w:pStyle w:val="NoSpacing"/>
              <w:rPr>
                <w:rFonts w:cstheme="minorHAnsi"/>
                <w:w w:val="95"/>
              </w:rPr>
            </w:pPr>
            <w:r w:rsidRPr="00D14C83">
              <w:rPr>
                <w:rFonts w:cstheme="minorHAnsi"/>
                <w:w w:val="95"/>
              </w:rPr>
              <w:t>–0.14</w:t>
            </w:r>
          </w:p>
        </w:tc>
        <w:tc>
          <w:tcPr>
            <w:tcW w:w="0" w:type="auto"/>
          </w:tcPr>
          <w:p w14:paraId="1FF4383B" w14:textId="77777777" w:rsidR="00D14C83" w:rsidRPr="00D14C83" w:rsidRDefault="00D14C83" w:rsidP="00D14C83">
            <w:pPr>
              <w:pStyle w:val="NoSpacing"/>
              <w:rPr>
                <w:rFonts w:cstheme="minorHAnsi"/>
              </w:rPr>
            </w:pPr>
            <w:r w:rsidRPr="00D14C83">
              <w:rPr>
                <w:rFonts w:cstheme="minorHAnsi"/>
              </w:rPr>
              <w:t>1.00</w:t>
            </w:r>
          </w:p>
        </w:tc>
        <w:tc>
          <w:tcPr>
            <w:tcW w:w="0" w:type="auto"/>
          </w:tcPr>
          <w:p w14:paraId="1C9F1CF7" w14:textId="77777777" w:rsidR="00D14C83" w:rsidRPr="00D14C83" w:rsidRDefault="00D14C83" w:rsidP="00D14C83">
            <w:pPr>
              <w:pStyle w:val="NoSpacing"/>
              <w:rPr>
                <w:rFonts w:cstheme="minorHAnsi"/>
              </w:rPr>
            </w:pPr>
          </w:p>
        </w:tc>
        <w:tc>
          <w:tcPr>
            <w:tcW w:w="0" w:type="auto"/>
          </w:tcPr>
          <w:p w14:paraId="771E0440" w14:textId="5CA40D4D" w:rsidR="00D14C83" w:rsidRPr="00D14C83" w:rsidRDefault="00D14C83" w:rsidP="00D14C83">
            <w:pPr>
              <w:pStyle w:val="NoSpacing"/>
              <w:rPr>
                <w:rFonts w:cstheme="minorHAnsi"/>
              </w:rPr>
            </w:pPr>
          </w:p>
        </w:tc>
      </w:tr>
      <w:tr w:rsidR="00D14C83" w:rsidRPr="00D14C83" w14:paraId="3A60865A" w14:textId="77777777" w:rsidTr="00704AB6">
        <w:trPr>
          <w:trHeight w:val="209"/>
        </w:trPr>
        <w:tc>
          <w:tcPr>
            <w:tcW w:w="0" w:type="auto"/>
          </w:tcPr>
          <w:p w14:paraId="760ECC3B" w14:textId="77777777" w:rsidR="00D14C83" w:rsidRPr="00D14C83" w:rsidRDefault="00D14C83" w:rsidP="00D14C83">
            <w:pPr>
              <w:pStyle w:val="NoSpacing"/>
              <w:rPr>
                <w:rFonts w:cstheme="minorHAnsi"/>
              </w:rPr>
            </w:pPr>
            <w:r w:rsidRPr="00D14C83">
              <w:rPr>
                <w:rFonts w:cstheme="minorHAnsi"/>
              </w:rPr>
              <w:t>10. Ln control simple</w:t>
            </w:r>
          </w:p>
        </w:tc>
        <w:tc>
          <w:tcPr>
            <w:tcW w:w="0" w:type="auto"/>
          </w:tcPr>
          <w:p w14:paraId="30BDFC41" w14:textId="77777777" w:rsidR="00D14C83" w:rsidRPr="00D14C83" w:rsidRDefault="00D14C83" w:rsidP="00D14C83">
            <w:pPr>
              <w:pStyle w:val="NoSpacing"/>
              <w:rPr>
                <w:rFonts w:cstheme="minorHAnsi"/>
              </w:rPr>
            </w:pPr>
            <w:r w:rsidRPr="00D14C83">
              <w:rPr>
                <w:rFonts w:cstheme="minorHAnsi"/>
              </w:rPr>
              <w:t>0.89</w:t>
            </w:r>
          </w:p>
        </w:tc>
        <w:tc>
          <w:tcPr>
            <w:tcW w:w="0" w:type="auto"/>
          </w:tcPr>
          <w:p w14:paraId="0383172B" w14:textId="77777777" w:rsidR="00D14C83" w:rsidRPr="00D14C83" w:rsidRDefault="00D14C83" w:rsidP="00D14C83">
            <w:pPr>
              <w:pStyle w:val="NoSpacing"/>
              <w:rPr>
                <w:rFonts w:cstheme="minorHAnsi"/>
              </w:rPr>
            </w:pPr>
            <w:r w:rsidRPr="00D14C83">
              <w:rPr>
                <w:rFonts w:cstheme="minorHAnsi"/>
              </w:rPr>
              <w:t>0.84</w:t>
            </w:r>
          </w:p>
        </w:tc>
        <w:tc>
          <w:tcPr>
            <w:tcW w:w="0" w:type="auto"/>
          </w:tcPr>
          <w:p w14:paraId="571C8005" w14:textId="77777777" w:rsidR="00D14C83" w:rsidRPr="00D14C83" w:rsidRDefault="00D14C83" w:rsidP="00D14C83">
            <w:pPr>
              <w:pStyle w:val="NoSpacing"/>
              <w:rPr>
                <w:rFonts w:cstheme="minorHAnsi"/>
                <w:w w:val="95"/>
              </w:rPr>
            </w:pPr>
            <w:r w:rsidRPr="00D14C83">
              <w:rPr>
                <w:rFonts w:cstheme="minorHAnsi"/>
                <w:w w:val="95"/>
              </w:rPr>
              <w:t>0.50</w:t>
            </w:r>
          </w:p>
        </w:tc>
        <w:tc>
          <w:tcPr>
            <w:tcW w:w="0" w:type="auto"/>
          </w:tcPr>
          <w:p w14:paraId="7B6830E1" w14:textId="77777777" w:rsidR="00D14C83" w:rsidRPr="00D14C83" w:rsidRDefault="00D14C83" w:rsidP="00D14C83">
            <w:pPr>
              <w:pStyle w:val="NoSpacing"/>
              <w:rPr>
                <w:rFonts w:cstheme="minorHAnsi"/>
                <w:w w:val="95"/>
              </w:rPr>
            </w:pPr>
            <w:r w:rsidRPr="00D14C83">
              <w:rPr>
                <w:rFonts w:cstheme="minorHAnsi"/>
                <w:w w:val="95"/>
              </w:rPr>
              <w:t>0.56</w:t>
            </w:r>
          </w:p>
        </w:tc>
        <w:tc>
          <w:tcPr>
            <w:tcW w:w="0" w:type="auto"/>
          </w:tcPr>
          <w:p w14:paraId="67282B9C" w14:textId="77777777" w:rsidR="00D14C83" w:rsidRPr="00D14C83" w:rsidRDefault="00D14C83" w:rsidP="00D14C83">
            <w:pPr>
              <w:pStyle w:val="NoSpacing"/>
              <w:rPr>
                <w:rFonts w:cstheme="minorHAnsi"/>
                <w:w w:val="95"/>
              </w:rPr>
            </w:pPr>
            <w:r w:rsidRPr="00D14C83">
              <w:rPr>
                <w:rFonts w:cstheme="minorHAnsi"/>
                <w:w w:val="95"/>
              </w:rPr>
              <w:t>0.41</w:t>
            </w:r>
          </w:p>
        </w:tc>
        <w:tc>
          <w:tcPr>
            <w:tcW w:w="0" w:type="auto"/>
          </w:tcPr>
          <w:p w14:paraId="0B1DF3E4" w14:textId="77777777" w:rsidR="00D14C83" w:rsidRPr="00D14C83" w:rsidRDefault="00D14C83" w:rsidP="00D14C83">
            <w:pPr>
              <w:pStyle w:val="NoSpacing"/>
              <w:rPr>
                <w:rFonts w:cstheme="minorHAnsi"/>
              </w:rPr>
            </w:pPr>
            <w:r w:rsidRPr="00D14C83">
              <w:rPr>
                <w:rFonts w:cstheme="minorHAnsi"/>
              </w:rPr>
              <w:t>0.39</w:t>
            </w:r>
          </w:p>
        </w:tc>
        <w:tc>
          <w:tcPr>
            <w:tcW w:w="0" w:type="auto"/>
          </w:tcPr>
          <w:p w14:paraId="17221ABE" w14:textId="77777777" w:rsidR="00D14C83" w:rsidRPr="00D14C83" w:rsidRDefault="00D14C83" w:rsidP="00D14C83">
            <w:pPr>
              <w:pStyle w:val="NoSpacing"/>
              <w:rPr>
                <w:rFonts w:cstheme="minorHAnsi"/>
              </w:rPr>
            </w:pPr>
            <w:r w:rsidRPr="00D14C83">
              <w:rPr>
                <w:rFonts w:cstheme="minorHAnsi"/>
              </w:rPr>
              <w:t>0.45</w:t>
            </w:r>
          </w:p>
        </w:tc>
        <w:tc>
          <w:tcPr>
            <w:tcW w:w="0" w:type="auto"/>
          </w:tcPr>
          <w:p w14:paraId="1268A53F" w14:textId="77777777" w:rsidR="00D14C83" w:rsidRPr="00D14C83" w:rsidRDefault="00D14C83" w:rsidP="00D14C83">
            <w:pPr>
              <w:pStyle w:val="NoSpacing"/>
              <w:rPr>
                <w:rFonts w:cstheme="minorHAnsi"/>
                <w:w w:val="95"/>
              </w:rPr>
            </w:pPr>
            <w:r w:rsidRPr="00D14C83">
              <w:rPr>
                <w:rFonts w:cstheme="minorHAnsi"/>
                <w:w w:val="95"/>
              </w:rPr>
              <w:t>–0.04</w:t>
            </w:r>
          </w:p>
        </w:tc>
        <w:tc>
          <w:tcPr>
            <w:tcW w:w="0" w:type="auto"/>
          </w:tcPr>
          <w:p w14:paraId="53981A88" w14:textId="77777777" w:rsidR="00D14C83" w:rsidRPr="00D14C83" w:rsidRDefault="00D14C83" w:rsidP="00D14C83">
            <w:pPr>
              <w:pStyle w:val="NoSpacing"/>
              <w:rPr>
                <w:rFonts w:cstheme="minorHAnsi"/>
              </w:rPr>
            </w:pPr>
            <w:r w:rsidRPr="00D14C83">
              <w:rPr>
                <w:rFonts w:cstheme="minorHAnsi"/>
              </w:rPr>
              <w:t>0.44</w:t>
            </w:r>
          </w:p>
        </w:tc>
        <w:tc>
          <w:tcPr>
            <w:tcW w:w="0" w:type="auto"/>
          </w:tcPr>
          <w:p w14:paraId="12143340" w14:textId="124FC440" w:rsidR="00D14C83" w:rsidRPr="00D14C83" w:rsidRDefault="00D14C83" w:rsidP="00D14C83">
            <w:pPr>
              <w:pStyle w:val="NoSpacing"/>
              <w:rPr>
                <w:rFonts w:cstheme="minorHAnsi"/>
              </w:rPr>
            </w:pPr>
            <w:r w:rsidRPr="00D14C83">
              <w:rPr>
                <w:rFonts w:cstheme="minorHAnsi"/>
              </w:rPr>
              <w:t>1.00</w:t>
            </w:r>
          </w:p>
        </w:tc>
        <w:tc>
          <w:tcPr>
            <w:tcW w:w="0" w:type="auto"/>
          </w:tcPr>
          <w:p w14:paraId="0D3EB989" w14:textId="5CAA74CD" w:rsidR="00D14C83" w:rsidRPr="00D14C83" w:rsidRDefault="00D14C83" w:rsidP="00D14C83">
            <w:pPr>
              <w:pStyle w:val="NoSpacing"/>
              <w:rPr>
                <w:rFonts w:cstheme="minorHAnsi"/>
              </w:rPr>
            </w:pPr>
          </w:p>
        </w:tc>
      </w:tr>
      <w:tr w:rsidR="00D14C83" w:rsidRPr="00D14C83" w14:paraId="268CA4F2" w14:textId="77777777" w:rsidTr="00704AB6">
        <w:trPr>
          <w:trHeight w:val="193"/>
        </w:trPr>
        <w:tc>
          <w:tcPr>
            <w:tcW w:w="0" w:type="auto"/>
          </w:tcPr>
          <w:p w14:paraId="240EEC69" w14:textId="77777777" w:rsidR="00D14C83" w:rsidRPr="00D14C83" w:rsidRDefault="00D14C83" w:rsidP="00D14C83">
            <w:pPr>
              <w:pStyle w:val="NoSpacing"/>
              <w:rPr>
                <w:rFonts w:cstheme="minorHAnsi"/>
              </w:rPr>
            </w:pPr>
            <w:r w:rsidRPr="00D14C83">
              <w:rPr>
                <w:rFonts w:cstheme="minorHAnsi"/>
              </w:rPr>
              <w:t>11. Ln control aggravated</w:t>
            </w:r>
          </w:p>
        </w:tc>
        <w:tc>
          <w:tcPr>
            <w:tcW w:w="0" w:type="auto"/>
          </w:tcPr>
          <w:p w14:paraId="6B903715" w14:textId="77777777" w:rsidR="00D14C83" w:rsidRPr="00D14C83" w:rsidRDefault="00D14C83" w:rsidP="00D14C83">
            <w:pPr>
              <w:pStyle w:val="NoSpacing"/>
              <w:rPr>
                <w:rFonts w:cstheme="minorHAnsi"/>
              </w:rPr>
            </w:pPr>
            <w:r w:rsidRPr="00D14C83">
              <w:rPr>
                <w:rFonts w:cstheme="minorHAnsi"/>
              </w:rPr>
              <w:t>0.64</w:t>
            </w:r>
          </w:p>
        </w:tc>
        <w:tc>
          <w:tcPr>
            <w:tcW w:w="0" w:type="auto"/>
          </w:tcPr>
          <w:p w14:paraId="169E10A6" w14:textId="77777777" w:rsidR="00D14C83" w:rsidRPr="00D14C83" w:rsidRDefault="00D14C83" w:rsidP="00D14C83">
            <w:pPr>
              <w:pStyle w:val="NoSpacing"/>
              <w:rPr>
                <w:rFonts w:cstheme="minorHAnsi"/>
              </w:rPr>
            </w:pPr>
            <w:r w:rsidRPr="00D14C83">
              <w:rPr>
                <w:rFonts w:cstheme="minorHAnsi"/>
              </w:rPr>
              <w:t>0.57</w:t>
            </w:r>
          </w:p>
        </w:tc>
        <w:tc>
          <w:tcPr>
            <w:tcW w:w="0" w:type="auto"/>
          </w:tcPr>
          <w:p w14:paraId="48F1790F" w14:textId="77777777" w:rsidR="00D14C83" w:rsidRPr="00D14C83" w:rsidRDefault="00D14C83" w:rsidP="00D14C83">
            <w:pPr>
              <w:pStyle w:val="NoSpacing"/>
              <w:rPr>
                <w:rFonts w:cstheme="minorHAnsi"/>
                <w:w w:val="95"/>
              </w:rPr>
            </w:pPr>
            <w:r w:rsidRPr="00D14C83">
              <w:rPr>
                <w:rFonts w:cstheme="minorHAnsi"/>
                <w:w w:val="95"/>
              </w:rPr>
              <w:t>0.43</w:t>
            </w:r>
          </w:p>
        </w:tc>
        <w:tc>
          <w:tcPr>
            <w:tcW w:w="0" w:type="auto"/>
          </w:tcPr>
          <w:p w14:paraId="72BE1C99" w14:textId="77777777" w:rsidR="00D14C83" w:rsidRPr="00D14C83" w:rsidRDefault="00D14C83" w:rsidP="00D14C83">
            <w:pPr>
              <w:pStyle w:val="NoSpacing"/>
              <w:rPr>
                <w:rFonts w:cstheme="minorHAnsi"/>
                <w:w w:val="95"/>
              </w:rPr>
            </w:pPr>
            <w:r w:rsidRPr="00D14C83">
              <w:rPr>
                <w:rFonts w:cstheme="minorHAnsi"/>
                <w:w w:val="95"/>
              </w:rPr>
              <w:t>0.34</w:t>
            </w:r>
          </w:p>
        </w:tc>
        <w:tc>
          <w:tcPr>
            <w:tcW w:w="0" w:type="auto"/>
          </w:tcPr>
          <w:p w14:paraId="025C05DC" w14:textId="77777777" w:rsidR="00D14C83" w:rsidRPr="00D14C83" w:rsidRDefault="00D14C83" w:rsidP="00D14C83">
            <w:pPr>
              <w:pStyle w:val="NoSpacing"/>
              <w:rPr>
                <w:rFonts w:cstheme="minorHAnsi"/>
                <w:w w:val="95"/>
              </w:rPr>
            </w:pPr>
            <w:r w:rsidRPr="00D14C83">
              <w:rPr>
                <w:rFonts w:cstheme="minorHAnsi"/>
                <w:w w:val="95"/>
              </w:rPr>
              <w:t>0.56</w:t>
            </w:r>
          </w:p>
        </w:tc>
        <w:tc>
          <w:tcPr>
            <w:tcW w:w="0" w:type="auto"/>
          </w:tcPr>
          <w:p w14:paraId="1F59682B" w14:textId="77777777" w:rsidR="00D14C83" w:rsidRPr="00D14C83" w:rsidRDefault="00D14C83" w:rsidP="00D14C83">
            <w:pPr>
              <w:pStyle w:val="NoSpacing"/>
              <w:rPr>
                <w:rFonts w:cstheme="minorHAnsi"/>
              </w:rPr>
            </w:pPr>
            <w:r w:rsidRPr="00D14C83">
              <w:rPr>
                <w:rFonts w:cstheme="minorHAnsi"/>
              </w:rPr>
              <w:t>0.41</w:t>
            </w:r>
          </w:p>
        </w:tc>
        <w:tc>
          <w:tcPr>
            <w:tcW w:w="0" w:type="auto"/>
          </w:tcPr>
          <w:p w14:paraId="43FE09A6" w14:textId="77777777" w:rsidR="00D14C83" w:rsidRPr="00D14C83" w:rsidRDefault="00D14C83" w:rsidP="00D14C83">
            <w:pPr>
              <w:pStyle w:val="NoSpacing"/>
              <w:rPr>
                <w:rFonts w:cstheme="minorHAnsi"/>
              </w:rPr>
            </w:pPr>
            <w:r w:rsidRPr="00D14C83">
              <w:rPr>
                <w:rFonts w:cstheme="minorHAnsi"/>
              </w:rPr>
              <w:t>0.32</w:t>
            </w:r>
          </w:p>
        </w:tc>
        <w:tc>
          <w:tcPr>
            <w:tcW w:w="0" w:type="auto"/>
          </w:tcPr>
          <w:p w14:paraId="03C4EF7D" w14:textId="77777777" w:rsidR="00D14C83" w:rsidRPr="00D14C83" w:rsidRDefault="00D14C83" w:rsidP="00D14C83">
            <w:pPr>
              <w:pStyle w:val="NoSpacing"/>
              <w:rPr>
                <w:rFonts w:cstheme="minorHAnsi"/>
                <w:w w:val="95"/>
              </w:rPr>
            </w:pPr>
            <w:r w:rsidRPr="00D14C83">
              <w:rPr>
                <w:rFonts w:cstheme="minorHAnsi"/>
                <w:w w:val="95"/>
              </w:rPr>
              <w:t>0.04</w:t>
            </w:r>
          </w:p>
        </w:tc>
        <w:tc>
          <w:tcPr>
            <w:tcW w:w="0" w:type="auto"/>
          </w:tcPr>
          <w:p w14:paraId="35243B25" w14:textId="77777777" w:rsidR="00D14C83" w:rsidRPr="00D14C83" w:rsidRDefault="00D14C83" w:rsidP="00D14C83">
            <w:pPr>
              <w:pStyle w:val="NoSpacing"/>
              <w:rPr>
                <w:rFonts w:cstheme="minorHAnsi"/>
              </w:rPr>
            </w:pPr>
            <w:r w:rsidRPr="00D14C83">
              <w:rPr>
                <w:rFonts w:cstheme="minorHAnsi"/>
              </w:rPr>
              <w:t>0.26</w:t>
            </w:r>
          </w:p>
        </w:tc>
        <w:tc>
          <w:tcPr>
            <w:tcW w:w="0" w:type="auto"/>
          </w:tcPr>
          <w:p w14:paraId="13752EFC" w14:textId="104F5E4A" w:rsidR="00D14C83" w:rsidRPr="00D14C83" w:rsidRDefault="00D14C83" w:rsidP="00D14C83">
            <w:pPr>
              <w:pStyle w:val="NoSpacing"/>
              <w:rPr>
                <w:rFonts w:cstheme="minorHAnsi"/>
              </w:rPr>
            </w:pPr>
            <w:r w:rsidRPr="00D14C83">
              <w:rPr>
                <w:rFonts w:cstheme="minorHAnsi"/>
              </w:rPr>
              <w:t>0.70</w:t>
            </w:r>
          </w:p>
        </w:tc>
        <w:tc>
          <w:tcPr>
            <w:tcW w:w="0" w:type="auto"/>
          </w:tcPr>
          <w:p w14:paraId="49FDBEC7" w14:textId="1F07FBB0" w:rsidR="00D14C83" w:rsidRPr="00D14C83" w:rsidRDefault="00D14C83" w:rsidP="00D14C83">
            <w:pPr>
              <w:pStyle w:val="NoSpacing"/>
              <w:rPr>
                <w:rFonts w:cstheme="minorHAnsi"/>
              </w:rPr>
            </w:pPr>
            <w:r w:rsidRPr="00D14C83">
              <w:rPr>
                <w:rFonts w:cstheme="minorHAnsi"/>
              </w:rPr>
              <w:t>1.00</w:t>
            </w:r>
          </w:p>
        </w:tc>
      </w:tr>
    </w:tbl>
    <w:p w14:paraId="53B932A0" w14:textId="77777777" w:rsidR="00ED1938" w:rsidRPr="00923FF9" w:rsidRDefault="00ED1938" w:rsidP="00923FF9"/>
    <w:p w14:paraId="2EB993C6" w14:textId="2909843A" w:rsidR="007C7A94" w:rsidRPr="008E3911" w:rsidRDefault="00923FF9" w:rsidP="00923FF9">
      <w:r w:rsidRPr="00923FF9">
        <w:t xml:space="preserve">Table 3 displays the results of model estimation for simple assaults. Model 1 shows the results without any interaction terms. The density of restaurants is positively and significantly associated with the simple assault density </w:t>
      </w:r>
      <m:oMath>
        <m:r>
          <w:rPr>
            <w:rFonts w:ascii="Cambria Math" w:hAnsi="Cambria Math"/>
          </w:rPr>
          <m:t>(</m:t>
        </m:r>
        <m:r>
          <w:rPr>
            <w:rFonts w:ascii="Cambria Math" w:hAnsi="Cambria Math"/>
          </w:rPr>
          <m:t>p</m:t>
        </m:r>
        <m:r>
          <w:rPr>
            <w:rFonts w:ascii="Cambria Math" w:hAnsi="Cambria Math"/>
          </w:rPr>
          <m:t> = .045)</m:t>
        </m:r>
      </m:oMath>
      <w:r w:rsidRPr="00923FF9">
        <w:t>, controlling for social disorganization and the other structural covariates of block groups. However, the density of off-</w:t>
      </w:r>
      <w:proofErr w:type="gramStart"/>
      <w:r w:rsidRPr="00923FF9">
        <w:t>premise</w:t>
      </w:r>
      <w:proofErr w:type="gramEnd"/>
      <w:r w:rsidRPr="00923FF9">
        <w:t xml:space="preserve"> outlets and the density of bars are not statistically associated with the simple assault density (</w:t>
      </w:r>
      <m:oMath>
        <m:r>
          <w:rPr>
            <w:rFonts w:ascii="Cambria Math" w:hAnsi="Cambria Math"/>
          </w:rPr>
          <m:t>p</m:t>
        </m:r>
        <m:r>
          <w:rPr>
            <w:rFonts w:ascii="Cambria Math" w:hAnsi="Cambria Math"/>
          </w:rPr>
          <m:t> = .957</m:t>
        </m:r>
      </m:oMath>
      <w:r w:rsidRPr="00923FF9">
        <w:t xml:space="preserve"> and </w:t>
      </w:r>
      <m:oMath>
        <m:r>
          <w:rPr>
            <w:rFonts w:ascii="Cambria Math" w:hAnsi="Cambria Math"/>
          </w:rPr>
          <m:t>p</m:t>
        </m:r>
        <m:r>
          <w:rPr>
            <w:rFonts w:ascii="Cambria Math" w:hAnsi="Cambria Math"/>
          </w:rPr>
          <m:t> = .997</m:t>
        </m:r>
      </m:oMath>
      <w:r w:rsidRPr="00923FF9">
        <w:t xml:space="preserve">), when controlling for social disorganization levels of block groups. Additionally, the direct effect of social disorganization on simple assaults is nonsignificant </w:t>
      </w:r>
      <m:oMath>
        <m:r>
          <w:rPr>
            <w:rFonts w:ascii="Cambria Math" w:hAnsi="Cambria Math"/>
          </w:rPr>
          <m:t>(</m:t>
        </m:r>
        <m:r>
          <w:rPr>
            <w:rFonts w:ascii="Cambria Math" w:hAnsi="Cambria Math"/>
          </w:rPr>
          <m:t>p</m:t>
        </m:r>
        <m:r>
          <w:rPr>
            <w:rFonts w:ascii="Cambria Math" w:hAnsi="Cambria Math"/>
          </w:rPr>
          <m:t> = .468)</m:t>
        </m:r>
      </m:oMath>
      <w:r w:rsidRPr="00923FF9">
        <w:t>. Models 2–4 show the results with the interaction terms. The association between restaurant density and simple assault density remains significant when the interaction terms are included in the models, though none of the interaction terms of social disorganization with each outlet type are statistically significant. The adjusted </w:t>
      </w:r>
      <w:r w:rsidRPr="00923FF9">
        <w:rPr>
          <w:i/>
          <w:iCs/>
        </w:rPr>
        <w:t>R</w:t>
      </w:r>
      <w:r w:rsidRPr="00923FF9">
        <w:rPr>
          <w:vertAlign w:val="superscript"/>
        </w:rPr>
        <w:t>2</w:t>
      </w:r>
      <w:r w:rsidRPr="00923FF9">
        <w:t> values show that Models 1–4 explain approximately 83% of the variance in simple assault density by alcohol outlets and the control variables for Bloomington block groups. The spatial lag (ρ) associated with simple assault density in the models is positive and significant contributor to the models. Finally, Breusch–Pagan test reported in the models described above suggests that heteroscedasticity is not a serious problem for the specified models.</w:t>
      </w:r>
    </w:p>
    <w:p w14:paraId="53D7D93C" w14:textId="2066DFF5" w:rsidR="00923FF9" w:rsidRDefault="00923FF9" w:rsidP="00D616F1">
      <w:pPr>
        <w:spacing w:after="0"/>
      </w:pPr>
      <w:r w:rsidRPr="00923FF9">
        <w:rPr>
          <w:b/>
          <w:bCs/>
        </w:rPr>
        <w:t>Table 3.</w:t>
      </w:r>
      <w:r w:rsidRPr="00923FF9">
        <w:t> Spatial Lag Regression Results for Simple Assault Density Regressed on Outlet Type, Social Organization, Control Variables, and Interaction Terms for Bloomington Block Groups (</w:t>
      </w:r>
      <w:r w:rsidRPr="00923FF9">
        <w:rPr>
          <w:i/>
          <w:iCs/>
        </w:rPr>
        <w:t>N</w:t>
      </w:r>
      <w:r w:rsidRPr="00923FF9">
        <w:t> = 65).</w:t>
      </w:r>
    </w:p>
    <w:tbl>
      <w:tblPr>
        <w:tblStyle w:val="TableGrid"/>
        <w:tblW w:w="0" w:type="auto"/>
        <w:tblLook w:val="04A0" w:firstRow="1" w:lastRow="0" w:firstColumn="1" w:lastColumn="0" w:noHBand="0" w:noVBand="1"/>
      </w:tblPr>
      <w:tblGrid>
        <w:gridCol w:w="2006"/>
        <w:gridCol w:w="874"/>
        <w:gridCol w:w="571"/>
        <w:gridCol w:w="571"/>
        <w:gridCol w:w="874"/>
        <w:gridCol w:w="571"/>
        <w:gridCol w:w="571"/>
        <w:gridCol w:w="874"/>
        <w:gridCol w:w="571"/>
        <w:gridCol w:w="571"/>
        <w:gridCol w:w="874"/>
        <w:gridCol w:w="571"/>
        <w:gridCol w:w="571"/>
      </w:tblGrid>
      <w:tr w:rsidR="00013C04" w:rsidRPr="008918B2" w14:paraId="6C6788C3" w14:textId="77777777" w:rsidTr="00A64CF2">
        <w:tc>
          <w:tcPr>
            <w:tcW w:w="0" w:type="auto"/>
          </w:tcPr>
          <w:p w14:paraId="49A2BC18" w14:textId="77777777" w:rsidR="00013C04" w:rsidRPr="008918B2" w:rsidRDefault="00013C04" w:rsidP="003E6200">
            <w:pPr>
              <w:pStyle w:val="NoSpacing"/>
              <w:rPr>
                <w:rFonts w:cstheme="minorHAnsi"/>
                <w:sz w:val="20"/>
                <w:szCs w:val="20"/>
              </w:rPr>
            </w:pPr>
          </w:p>
        </w:tc>
        <w:tc>
          <w:tcPr>
            <w:tcW w:w="0" w:type="auto"/>
          </w:tcPr>
          <w:p w14:paraId="0316B2B9" w14:textId="45DBBC29" w:rsidR="00013C04" w:rsidRPr="008918B2" w:rsidRDefault="00013C04" w:rsidP="003E6200">
            <w:pPr>
              <w:pStyle w:val="NoSpacing"/>
              <w:rPr>
                <w:rFonts w:cstheme="minorHAnsi"/>
                <w:sz w:val="20"/>
                <w:szCs w:val="20"/>
              </w:rPr>
            </w:pPr>
            <w:r w:rsidRPr="008918B2">
              <w:rPr>
                <w:rFonts w:cstheme="minorHAnsi"/>
                <w:sz w:val="20"/>
                <w:szCs w:val="20"/>
              </w:rPr>
              <w:t>Model 1</w:t>
            </w:r>
          </w:p>
        </w:tc>
        <w:tc>
          <w:tcPr>
            <w:tcW w:w="0" w:type="auto"/>
          </w:tcPr>
          <w:p w14:paraId="18D31A0F" w14:textId="77777777" w:rsidR="00013C04" w:rsidRPr="008918B2" w:rsidRDefault="00013C04" w:rsidP="003E6200">
            <w:pPr>
              <w:pStyle w:val="NoSpacing"/>
              <w:rPr>
                <w:rFonts w:cstheme="minorHAnsi"/>
                <w:sz w:val="20"/>
                <w:szCs w:val="20"/>
              </w:rPr>
            </w:pPr>
          </w:p>
        </w:tc>
        <w:tc>
          <w:tcPr>
            <w:tcW w:w="0" w:type="auto"/>
          </w:tcPr>
          <w:p w14:paraId="759B636D" w14:textId="77777777" w:rsidR="00013C04" w:rsidRPr="008918B2" w:rsidRDefault="00013C04" w:rsidP="003E6200">
            <w:pPr>
              <w:pStyle w:val="NoSpacing"/>
              <w:rPr>
                <w:rFonts w:cstheme="minorHAnsi"/>
                <w:sz w:val="20"/>
                <w:szCs w:val="20"/>
              </w:rPr>
            </w:pPr>
          </w:p>
        </w:tc>
        <w:tc>
          <w:tcPr>
            <w:tcW w:w="0" w:type="auto"/>
          </w:tcPr>
          <w:p w14:paraId="6542435B" w14:textId="060F466E" w:rsidR="00013C04" w:rsidRPr="008918B2" w:rsidRDefault="00013C04" w:rsidP="003E6200">
            <w:pPr>
              <w:pStyle w:val="NoSpacing"/>
              <w:rPr>
                <w:rFonts w:cstheme="minorHAnsi"/>
                <w:sz w:val="20"/>
                <w:szCs w:val="20"/>
              </w:rPr>
            </w:pPr>
            <w:r w:rsidRPr="008918B2">
              <w:rPr>
                <w:rFonts w:cstheme="minorHAnsi"/>
                <w:sz w:val="20"/>
                <w:szCs w:val="20"/>
              </w:rPr>
              <w:t>Model 2</w:t>
            </w:r>
          </w:p>
        </w:tc>
        <w:tc>
          <w:tcPr>
            <w:tcW w:w="0" w:type="auto"/>
          </w:tcPr>
          <w:p w14:paraId="3A1EF684" w14:textId="77777777" w:rsidR="00013C04" w:rsidRPr="008918B2" w:rsidRDefault="00013C04" w:rsidP="003E6200">
            <w:pPr>
              <w:pStyle w:val="NoSpacing"/>
              <w:rPr>
                <w:rFonts w:cstheme="minorHAnsi"/>
                <w:sz w:val="20"/>
                <w:szCs w:val="20"/>
              </w:rPr>
            </w:pPr>
          </w:p>
        </w:tc>
        <w:tc>
          <w:tcPr>
            <w:tcW w:w="0" w:type="auto"/>
          </w:tcPr>
          <w:p w14:paraId="50E3F47A" w14:textId="77777777" w:rsidR="00013C04" w:rsidRPr="008918B2" w:rsidRDefault="00013C04" w:rsidP="003E6200">
            <w:pPr>
              <w:pStyle w:val="NoSpacing"/>
              <w:rPr>
                <w:rFonts w:cstheme="minorHAnsi"/>
                <w:sz w:val="20"/>
                <w:szCs w:val="20"/>
              </w:rPr>
            </w:pPr>
          </w:p>
        </w:tc>
        <w:tc>
          <w:tcPr>
            <w:tcW w:w="0" w:type="auto"/>
          </w:tcPr>
          <w:p w14:paraId="5426D3F2" w14:textId="09EDDF6D" w:rsidR="00013C04" w:rsidRPr="008918B2" w:rsidRDefault="00013C04" w:rsidP="003E6200">
            <w:pPr>
              <w:pStyle w:val="NoSpacing"/>
              <w:rPr>
                <w:rFonts w:cstheme="minorHAnsi"/>
                <w:sz w:val="20"/>
                <w:szCs w:val="20"/>
              </w:rPr>
            </w:pPr>
            <w:r w:rsidRPr="008918B2">
              <w:rPr>
                <w:rFonts w:cstheme="minorHAnsi"/>
                <w:sz w:val="20"/>
                <w:szCs w:val="20"/>
              </w:rPr>
              <w:t>Model 3</w:t>
            </w:r>
          </w:p>
        </w:tc>
        <w:tc>
          <w:tcPr>
            <w:tcW w:w="0" w:type="auto"/>
          </w:tcPr>
          <w:p w14:paraId="709DCCC5" w14:textId="77777777" w:rsidR="00013C04" w:rsidRPr="008918B2" w:rsidRDefault="00013C04" w:rsidP="003E6200">
            <w:pPr>
              <w:pStyle w:val="NoSpacing"/>
              <w:rPr>
                <w:rFonts w:cstheme="minorHAnsi"/>
                <w:sz w:val="20"/>
                <w:szCs w:val="20"/>
              </w:rPr>
            </w:pPr>
          </w:p>
        </w:tc>
        <w:tc>
          <w:tcPr>
            <w:tcW w:w="0" w:type="auto"/>
          </w:tcPr>
          <w:p w14:paraId="70C583F2" w14:textId="77777777" w:rsidR="00013C04" w:rsidRPr="008918B2" w:rsidRDefault="00013C04" w:rsidP="003E6200">
            <w:pPr>
              <w:pStyle w:val="NoSpacing"/>
              <w:rPr>
                <w:rFonts w:cstheme="minorHAnsi"/>
                <w:sz w:val="20"/>
                <w:szCs w:val="20"/>
              </w:rPr>
            </w:pPr>
          </w:p>
        </w:tc>
        <w:tc>
          <w:tcPr>
            <w:tcW w:w="0" w:type="auto"/>
          </w:tcPr>
          <w:p w14:paraId="6463C7C8" w14:textId="1010D2CA" w:rsidR="00013C04" w:rsidRPr="008918B2" w:rsidRDefault="00013C04" w:rsidP="003E6200">
            <w:pPr>
              <w:pStyle w:val="NoSpacing"/>
              <w:rPr>
                <w:rFonts w:cstheme="minorHAnsi"/>
                <w:sz w:val="20"/>
                <w:szCs w:val="20"/>
              </w:rPr>
            </w:pPr>
            <w:r w:rsidRPr="008918B2">
              <w:rPr>
                <w:rFonts w:cstheme="minorHAnsi"/>
                <w:sz w:val="20"/>
                <w:szCs w:val="20"/>
              </w:rPr>
              <w:t>Model 4</w:t>
            </w:r>
          </w:p>
        </w:tc>
        <w:tc>
          <w:tcPr>
            <w:tcW w:w="0" w:type="auto"/>
          </w:tcPr>
          <w:p w14:paraId="62F44102" w14:textId="77777777" w:rsidR="00013C04" w:rsidRPr="008918B2" w:rsidRDefault="00013C04" w:rsidP="003E6200">
            <w:pPr>
              <w:pStyle w:val="NoSpacing"/>
              <w:rPr>
                <w:rFonts w:cstheme="minorHAnsi"/>
                <w:sz w:val="20"/>
                <w:szCs w:val="20"/>
              </w:rPr>
            </w:pPr>
          </w:p>
        </w:tc>
        <w:tc>
          <w:tcPr>
            <w:tcW w:w="0" w:type="auto"/>
          </w:tcPr>
          <w:p w14:paraId="4F6EE582" w14:textId="77777777" w:rsidR="00013C04" w:rsidRPr="008918B2" w:rsidRDefault="00013C04" w:rsidP="003E6200">
            <w:pPr>
              <w:pStyle w:val="NoSpacing"/>
              <w:rPr>
                <w:rFonts w:cstheme="minorHAnsi"/>
                <w:sz w:val="20"/>
                <w:szCs w:val="20"/>
              </w:rPr>
            </w:pPr>
          </w:p>
        </w:tc>
      </w:tr>
      <w:tr w:rsidR="00013C04" w:rsidRPr="008918B2" w14:paraId="394E68EC" w14:textId="77777777" w:rsidTr="00A64CF2">
        <w:tc>
          <w:tcPr>
            <w:tcW w:w="0" w:type="auto"/>
          </w:tcPr>
          <w:p w14:paraId="5AF68731" w14:textId="77777777" w:rsidR="00013C04" w:rsidRPr="008918B2" w:rsidRDefault="00013C04" w:rsidP="003E6200">
            <w:pPr>
              <w:pStyle w:val="NoSpacing"/>
              <w:rPr>
                <w:rFonts w:cstheme="minorHAnsi"/>
                <w:sz w:val="20"/>
                <w:szCs w:val="20"/>
              </w:rPr>
            </w:pPr>
          </w:p>
        </w:tc>
        <w:tc>
          <w:tcPr>
            <w:tcW w:w="0" w:type="auto"/>
          </w:tcPr>
          <w:p w14:paraId="3EAD4170" w14:textId="56117311" w:rsidR="00013C04" w:rsidRPr="008918B2" w:rsidRDefault="00013C04" w:rsidP="003E6200">
            <w:pPr>
              <w:pStyle w:val="NoSpacing"/>
              <w:rPr>
                <w:rFonts w:cstheme="minorHAnsi"/>
                <w:i/>
                <w:iCs/>
                <w:sz w:val="20"/>
                <w:szCs w:val="20"/>
              </w:rPr>
            </w:pPr>
            <w:r w:rsidRPr="008918B2">
              <w:rPr>
                <w:rFonts w:cstheme="minorHAnsi"/>
                <w:i/>
                <w:iCs/>
                <w:sz w:val="20"/>
                <w:szCs w:val="20"/>
              </w:rPr>
              <w:t>b</w:t>
            </w:r>
          </w:p>
        </w:tc>
        <w:tc>
          <w:tcPr>
            <w:tcW w:w="0" w:type="auto"/>
          </w:tcPr>
          <w:p w14:paraId="17B428FA" w14:textId="02734C6D" w:rsidR="00013C04" w:rsidRPr="008918B2" w:rsidRDefault="00013C04" w:rsidP="003E6200">
            <w:pPr>
              <w:pStyle w:val="NoSpacing"/>
              <w:rPr>
                <w:rFonts w:cstheme="minorHAnsi"/>
                <w:i/>
                <w:iCs/>
                <w:sz w:val="20"/>
                <w:szCs w:val="20"/>
              </w:rPr>
            </w:pPr>
            <w:r w:rsidRPr="008918B2">
              <w:rPr>
                <w:rFonts w:cstheme="minorHAnsi"/>
                <w:i/>
                <w:iCs/>
                <w:sz w:val="20"/>
                <w:szCs w:val="20"/>
              </w:rPr>
              <w:t>SE</w:t>
            </w:r>
          </w:p>
        </w:tc>
        <w:tc>
          <w:tcPr>
            <w:tcW w:w="0" w:type="auto"/>
          </w:tcPr>
          <w:p w14:paraId="7594B6A4" w14:textId="1C479471" w:rsidR="00013C04" w:rsidRPr="008918B2" w:rsidRDefault="00013C04" w:rsidP="003E6200">
            <w:pPr>
              <w:pStyle w:val="NoSpacing"/>
              <w:rPr>
                <w:rFonts w:cstheme="minorHAnsi"/>
                <w:i/>
                <w:iCs/>
                <w:sz w:val="20"/>
                <w:szCs w:val="20"/>
              </w:rPr>
            </w:pPr>
            <w:r w:rsidRPr="008918B2">
              <w:rPr>
                <w:rFonts w:cstheme="minorHAnsi"/>
                <w:i/>
                <w:iCs/>
                <w:sz w:val="20"/>
                <w:szCs w:val="20"/>
              </w:rPr>
              <w:t>p</w:t>
            </w:r>
          </w:p>
        </w:tc>
        <w:tc>
          <w:tcPr>
            <w:tcW w:w="0" w:type="auto"/>
          </w:tcPr>
          <w:p w14:paraId="652F97C7" w14:textId="25185A45" w:rsidR="00013C04" w:rsidRPr="008918B2" w:rsidRDefault="00013C04" w:rsidP="003E6200">
            <w:pPr>
              <w:pStyle w:val="NoSpacing"/>
              <w:rPr>
                <w:rFonts w:cstheme="minorHAnsi"/>
                <w:i/>
                <w:iCs/>
                <w:sz w:val="20"/>
                <w:szCs w:val="20"/>
              </w:rPr>
            </w:pPr>
            <w:r w:rsidRPr="008918B2">
              <w:rPr>
                <w:rFonts w:cstheme="minorHAnsi"/>
                <w:i/>
                <w:iCs/>
                <w:sz w:val="20"/>
                <w:szCs w:val="20"/>
              </w:rPr>
              <w:t>b</w:t>
            </w:r>
          </w:p>
        </w:tc>
        <w:tc>
          <w:tcPr>
            <w:tcW w:w="0" w:type="auto"/>
          </w:tcPr>
          <w:p w14:paraId="6DDEA434" w14:textId="324BDA11" w:rsidR="00013C04" w:rsidRPr="008918B2" w:rsidRDefault="00013C04" w:rsidP="003E6200">
            <w:pPr>
              <w:pStyle w:val="NoSpacing"/>
              <w:rPr>
                <w:rFonts w:cstheme="minorHAnsi"/>
                <w:i/>
                <w:iCs/>
                <w:sz w:val="20"/>
                <w:szCs w:val="20"/>
              </w:rPr>
            </w:pPr>
            <w:r w:rsidRPr="008918B2">
              <w:rPr>
                <w:rFonts w:cstheme="minorHAnsi"/>
                <w:i/>
                <w:iCs/>
                <w:sz w:val="20"/>
                <w:szCs w:val="20"/>
              </w:rPr>
              <w:t>SE</w:t>
            </w:r>
          </w:p>
        </w:tc>
        <w:tc>
          <w:tcPr>
            <w:tcW w:w="0" w:type="auto"/>
          </w:tcPr>
          <w:p w14:paraId="114E42D9" w14:textId="22F97F37" w:rsidR="00013C04" w:rsidRPr="008918B2" w:rsidRDefault="00013C04" w:rsidP="003E6200">
            <w:pPr>
              <w:pStyle w:val="NoSpacing"/>
              <w:rPr>
                <w:rFonts w:cstheme="minorHAnsi"/>
                <w:i/>
                <w:iCs/>
                <w:sz w:val="20"/>
                <w:szCs w:val="20"/>
              </w:rPr>
            </w:pPr>
            <w:r w:rsidRPr="008918B2">
              <w:rPr>
                <w:rFonts w:cstheme="minorHAnsi"/>
                <w:i/>
                <w:iCs/>
                <w:sz w:val="20"/>
                <w:szCs w:val="20"/>
              </w:rPr>
              <w:t>p</w:t>
            </w:r>
          </w:p>
        </w:tc>
        <w:tc>
          <w:tcPr>
            <w:tcW w:w="0" w:type="auto"/>
          </w:tcPr>
          <w:p w14:paraId="02673E4D" w14:textId="7AF8F234" w:rsidR="00013C04" w:rsidRPr="008918B2" w:rsidRDefault="00013C04" w:rsidP="003E6200">
            <w:pPr>
              <w:pStyle w:val="NoSpacing"/>
              <w:rPr>
                <w:rFonts w:cstheme="minorHAnsi"/>
                <w:i/>
                <w:iCs/>
                <w:sz w:val="20"/>
                <w:szCs w:val="20"/>
              </w:rPr>
            </w:pPr>
            <w:r w:rsidRPr="008918B2">
              <w:rPr>
                <w:rFonts w:cstheme="minorHAnsi"/>
                <w:i/>
                <w:iCs/>
                <w:sz w:val="20"/>
                <w:szCs w:val="20"/>
              </w:rPr>
              <w:t>b</w:t>
            </w:r>
          </w:p>
        </w:tc>
        <w:tc>
          <w:tcPr>
            <w:tcW w:w="0" w:type="auto"/>
          </w:tcPr>
          <w:p w14:paraId="4DCDBDAE" w14:textId="3B70A090" w:rsidR="00013C04" w:rsidRPr="008918B2" w:rsidRDefault="00013C04" w:rsidP="003E6200">
            <w:pPr>
              <w:pStyle w:val="NoSpacing"/>
              <w:rPr>
                <w:rFonts w:cstheme="minorHAnsi"/>
                <w:i/>
                <w:iCs/>
                <w:sz w:val="20"/>
                <w:szCs w:val="20"/>
              </w:rPr>
            </w:pPr>
            <w:r w:rsidRPr="008918B2">
              <w:rPr>
                <w:rFonts w:cstheme="minorHAnsi"/>
                <w:i/>
                <w:iCs/>
                <w:sz w:val="20"/>
                <w:szCs w:val="20"/>
              </w:rPr>
              <w:t>SE</w:t>
            </w:r>
          </w:p>
        </w:tc>
        <w:tc>
          <w:tcPr>
            <w:tcW w:w="0" w:type="auto"/>
          </w:tcPr>
          <w:p w14:paraId="68F28E68" w14:textId="6ACC8EE6" w:rsidR="00013C04" w:rsidRPr="008918B2" w:rsidRDefault="00013C04" w:rsidP="003E6200">
            <w:pPr>
              <w:pStyle w:val="NoSpacing"/>
              <w:rPr>
                <w:rFonts w:cstheme="minorHAnsi"/>
                <w:i/>
                <w:iCs/>
                <w:sz w:val="20"/>
                <w:szCs w:val="20"/>
              </w:rPr>
            </w:pPr>
            <w:r w:rsidRPr="008918B2">
              <w:rPr>
                <w:rFonts w:cstheme="minorHAnsi"/>
                <w:i/>
                <w:iCs/>
                <w:sz w:val="20"/>
                <w:szCs w:val="20"/>
              </w:rPr>
              <w:t>p</w:t>
            </w:r>
          </w:p>
        </w:tc>
        <w:tc>
          <w:tcPr>
            <w:tcW w:w="0" w:type="auto"/>
          </w:tcPr>
          <w:p w14:paraId="3C4E2697" w14:textId="563C1767" w:rsidR="00013C04" w:rsidRPr="008918B2" w:rsidRDefault="00013C04" w:rsidP="003E6200">
            <w:pPr>
              <w:pStyle w:val="NoSpacing"/>
              <w:rPr>
                <w:rFonts w:cstheme="minorHAnsi"/>
                <w:i/>
                <w:iCs/>
                <w:sz w:val="20"/>
                <w:szCs w:val="20"/>
              </w:rPr>
            </w:pPr>
            <w:r w:rsidRPr="008918B2">
              <w:rPr>
                <w:rFonts w:cstheme="minorHAnsi"/>
                <w:i/>
                <w:iCs/>
                <w:sz w:val="20"/>
                <w:szCs w:val="20"/>
              </w:rPr>
              <w:t>b</w:t>
            </w:r>
          </w:p>
        </w:tc>
        <w:tc>
          <w:tcPr>
            <w:tcW w:w="0" w:type="auto"/>
          </w:tcPr>
          <w:p w14:paraId="1D2B3D88" w14:textId="5A5A9C63" w:rsidR="00013C04" w:rsidRPr="008918B2" w:rsidRDefault="00013C04" w:rsidP="003E6200">
            <w:pPr>
              <w:pStyle w:val="NoSpacing"/>
              <w:rPr>
                <w:rFonts w:cstheme="minorHAnsi"/>
                <w:i/>
                <w:iCs/>
                <w:sz w:val="20"/>
                <w:szCs w:val="20"/>
              </w:rPr>
            </w:pPr>
            <w:r w:rsidRPr="008918B2">
              <w:rPr>
                <w:rFonts w:cstheme="minorHAnsi"/>
                <w:i/>
                <w:iCs/>
                <w:sz w:val="20"/>
                <w:szCs w:val="20"/>
              </w:rPr>
              <w:t>SE</w:t>
            </w:r>
          </w:p>
        </w:tc>
        <w:tc>
          <w:tcPr>
            <w:tcW w:w="0" w:type="auto"/>
          </w:tcPr>
          <w:p w14:paraId="1EE4599C" w14:textId="612E773A" w:rsidR="00013C04" w:rsidRPr="008918B2" w:rsidRDefault="00013C04" w:rsidP="003E6200">
            <w:pPr>
              <w:pStyle w:val="NoSpacing"/>
              <w:rPr>
                <w:rFonts w:cstheme="minorHAnsi"/>
                <w:i/>
                <w:iCs/>
                <w:sz w:val="20"/>
                <w:szCs w:val="20"/>
              </w:rPr>
            </w:pPr>
            <w:r w:rsidRPr="008918B2">
              <w:rPr>
                <w:rFonts w:cstheme="minorHAnsi"/>
                <w:i/>
                <w:iCs/>
                <w:sz w:val="20"/>
                <w:szCs w:val="20"/>
              </w:rPr>
              <w:t>p</w:t>
            </w:r>
          </w:p>
        </w:tc>
      </w:tr>
      <w:tr w:rsidR="00415C3F" w:rsidRPr="008918B2" w14:paraId="4A76BFFD" w14:textId="77777777" w:rsidTr="00A64CF2">
        <w:tc>
          <w:tcPr>
            <w:tcW w:w="0" w:type="auto"/>
          </w:tcPr>
          <w:p w14:paraId="101C08DE" w14:textId="47F53E70" w:rsidR="00415C3F" w:rsidRPr="008918B2" w:rsidRDefault="00E77709" w:rsidP="003E6200">
            <w:pPr>
              <w:pStyle w:val="NoSpacing"/>
              <w:rPr>
                <w:rFonts w:cstheme="minorHAnsi"/>
                <w:sz w:val="20"/>
                <w:szCs w:val="20"/>
              </w:rPr>
            </w:pPr>
            <w:r w:rsidRPr="008918B2">
              <w:rPr>
                <w:rFonts w:cstheme="minorHAnsi"/>
                <w:sz w:val="20"/>
                <w:szCs w:val="20"/>
              </w:rPr>
              <w:t>Constant</w:t>
            </w:r>
          </w:p>
        </w:tc>
        <w:tc>
          <w:tcPr>
            <w:tcW w:w="0" w:type="auto"/>
          </w:tcPr>
          <w:p w14:paraId="1E8CEC0A" w14:textId="0808E6DA" w:rsidR="00415C3F" w:rsidRPr="008918B2" w:rsidRDefault="00CB0447" w:rsidP="003E6200">
            <w:pPr>
              <w:pStyle w:val="NoSpacing"/>
              <w:rPr>
                <w:rFonts w:cstheme="minorHAnsi"/>
                <w:sz w:val="20"/>
                <w:szCs w:val="20"/>
              </w:rPr>
            </w:pPr>
            <w:r w:rsidRPr="008918B2">
              <w:rPr>
                <w:rFonts w:cstheme="minorHAnsi"/>
                <w:sz w:val="20"/>
                <w:szCs w:val="20"/>
              </w:rPr>
              <w:t xml:space="preserve">–1.58 </w:t>
            </w:r>
          </w:p>
        </w:tc>
        <w:tc>
          <w:tcPr>
            <w:tcW w:w="0" w:type="auto"/>
          </w:tcPr>
          <w:p w14:paraId="1F4808BD" w14:textId="588CFB35" w:rsidR="00415C3F" w:rsidRPr="008918B2" w:rsidRDefault="00EB0FD4" w:rsidP="003E6200">
            <w:pPr>
              <w:pStyle w:val="NoSpacing"/>
              <w:rPr>
                <w:rFonts w:cstheme="minorHAnsi"/>
                <w:sz w:val="20"/>
                <w:szCs w:val="20"/>
              </w:rPr>
            </w:pPr>
            <w:r w:rsidRPr="008918B2">
              <w:rPr>
                <w:rFonts w:cstheme="minorHAnsi"/>
                <w:sz w:val="20"/>
                <w:szCs w:val="20"/>
              </w:rPr>
              <w:t>0.76</w:t>
            </w:r>
          </w:p>
        </w:tc>
        <w:tc>
          <w:tcPr>
            <w:tcW w:w="0" w:type="auto"/>
          </w:tcPr>
          <w:p w14:paraId="2983EA9E" w14:textId="0BFCE8BA" w:rsidR="00415C3F" w:rsidRPr="008918B2" w:rsidRDefault="00EB0FD4" w:rsidP="003E6200">
            <w:pPr>
              <w:pStyle w:val="NoSpacing"/>
              <w:rPr>
                <w:rFonts w:cstheme="minorHAnsi"/>
                <w:sz w:val="20"/>
                <w:szCs w:val="20"/>
              </w:rPr>
            </w:pPr>
            <w:r w:rsidRPr="008918B2">
              <w:rPr>
                <w:rFonts w:cstheme="minorHAnsi"/>
                <w:sz w:val="20"/>
                <w:szCs w:val="20"/>
              </w:rPr>
              <w:t>.037</w:t>
            </w:r>
          </w:p>
        </w:tc>
        <w:tc>
          <w:tcPr>
            <w:tcW w:w="0" w:type="auto"/>
          </w:tcPr>
          <w:p w14:paraId="44CC6C77" w14:textId="62B235D3" w:rsidR="00415C3F" w:rsidRPr="008918B2" w:rsidRDefault="00EB0FD4" w:rsidP="003E6200">
            <w:pPr>
              <w:pStyle w:val="NoSpacing"/>
              <w:rPr>
                <w:rFonts w:cstheme="minorHAnsi"/>
                <w:sz w:val="20"/>
                <w:szCs w:val="20"/>
              </w:rPr>
            </w:pPr>
            <w:r w:rsidRPr="008918B2">
              <w:rPr>
                <w:rFonts w:cstheme="minorHAnsi"/>
                <w:sz w:val="20"/>
                <w:szCs w:val="20"/>
              </w:rPr>
              <w:t>–1.54</w:t>
            </w:r>
          </w:p>
        </w:tc>
        <w:tc>
          <w:tcPr>
            <w:tcW w:w="0" w:type="auto"/>
          </w:tcPr>
          <w:p w14:paraId="7169EC7E" w14:textId="5947FD1C" w:rsidR="00415C3F" w:rsidRPr="008918B2" w:rsidRDefault="00EB0FD4" w:rsidP="003E6200">
            <w:pPr>
              <w:pStyle w:val="NoSpacing"/>
              <w:rPr>
                <w:rFonts w:cstheme="minorHAnsi"/>
                <w:sz w:val="20"/>
                <w:szCs w:val="20"/>
              </w:rPr>
            </w:pPr>
            <w:r w:rsidRPr="008918B2">
              <w:rPr>
                <w:rFonts w:cstheme="minorHAnsi"/>
                <w:sz w:val="20"/>
                <w:szCs w:val="20"/>
              </w:rPr>
              <w:t>0.76</w:t>
            </w:r>
          </w:p>
        </w:tc>
        <w:tc>
          <w:tcPr>
            <w:tcW w:w="0" w:type="auto"/>
          </w:tcPr>
          <w:p w14:paraId="07A280C2" w14:textId="274E8A4D" w:rsidR="00415C3F" w:rsidRPr="008918B2" w:rsidRDefault="00EB0FD4" w:rsidP="003E6200">
            <w:pPr>
              <w:pStyle w:val="NoSpacing"/>
              <w:rPr>
                <w:rFonts w:cstheme="minorHAnsi"/>
                <w:sz w:val="20"/>
                <w:szCs w:val="20"/>
              </w:rPr>
            </w:pPr>
            <w:r w:rsidRPr="008918B2">
              <w:rPr>
                <w:rFonts w:cstheme="minorHAnsi"/>
                <w:sz w:val="20"/>
                <w:szCs w:val="20"/>
              </w:rPr>
              <w:t>.043</w:t>
            </w:r>
          </w:p>
        </w:tc>
        <w:tc>
          <w:tcPr>
            <w:tcW w:w="0" w:type="auto"/>
          </w:tcPr>
          <w:p w14:paraId="00324402" w14:textId="0EAFD731" w:rsidR="00415C3F" w:rsidRPr="008918B2" w:rsidRDefault="00EB0FD4" w:rsidP="003E6200">
            <w:pPr>
              <w:pStyle w:val="NoSpacing"/>
              <w:rPr>
                <w:rFonts w:cstheme="minorHAnsi"/>
                <w:sz w:val="20"/>
                <w:szCs w:val="20"/>
              </w:rPr>
            </w:pPr>
            <w:r w:rsidRPr="008918B2">
              <w:rPr>
                <w:rFonts w:cstheme="minorHAnsi"/>
                <w:sz w:val="20"/>
                <w:szCs w:val="20"/>
              </w:rPr>
              <w:t>–1.58</w:t>
            </w:r>
          </w:p>
        </w:tc>
        <w:tc>
          <w:tcPr>
            <w:tcW w:w="0" w:type="auto"/>
          </w:tcPr>
          <w:p w14:paraId="2367B6AD" w14:textId="2261D9B8" w:rsidR="00415C3F" w:rsidRPr="008918B2" w:rsidRDefault="00EB0FD4" w:rsidP="003E6200">
            <w:pPr>
              <w:pStyle w:val="NoSpacing"/>
              <w:rPr>
                <w:rFonts w:cstheme="minorHAnsi"/>
                <w:sz w:val="20"/>
                <w:szCs w:val="20"/>
              </w:rPr>
            </w:pPr>
            <w:r w:rsidRPr="008918B2">
              <w:rPr>
                <w:rFonts w:cstheme="minorHAnsi"/>
                <w:sz w:val="20"/>
                <w:szCs w:val="20"/>
              </w:rPr>
              <w:t>0.76</w:t>
            </w:r>
          </w:p>
        </w:tc>
        <w:tc>
          <w:tcPr>
            <w:tcW w:w="0" w:type="auto"/>
          </w:tcPr>
          <w:p w14:paraId="5CD7DC4B" w14:textId="7C192A90" w:rsidR="00415C3F" w:rsidRPr="008918B2" w:rsidRDefault="00EB0FD4" w:rsidP="003E6200">
            <w:pPr>
              <w:pStyle w:val="NoSpacing"/>
              <w:rPr>
                <w:rFonts w:cstheme="minorHAnsi"/>
                <w:sz w:val="20"/>
                <w:szCs w:val="20"/>
              </w:rPr>
            </w:pPr>
            <w:r w:rsidRPr="008918B2">
              <w:rPr>
                <w:rFonts w:cstheme="minorHAnsi"/>
                <w:sz w:val="20"/>
                <w:szCs w:val="20"/>
              </w:rPr>
              <w:t>.037</w:t>
            </w:r>
          </w:p>
        </w:tc>
        <w:tc>
          <w:tcPr>
            <w:tcW w:w="0" w:type="auto"/>
          </w:tcPr>
          <w:p w14:paraId="602B227A" w14:textId="0589649C" w:rsidR="00415C3F" w:rsidRPr="008918B2" w:rsidRDefault="00EB0FD4" w:rsidP="003E6200">
            <w:pPr>
              <w:pStyle w:val="NoSpacing"/>
              <w:rPr>
                <w:rFonts w:cstheme="minorHAnsi"/>
                <w:sz w:val="20"/>
                <w:szCs w:val="20"/>
              </w:rPr>
            </w:pPr>
            <w:r w:rsidRPr="008918B2">
              <w:rPr>
                <w:rFonts w:cstheme="minorHAnsi"/>
                <w:sz w:val="20"/>
                <w:szCs w:val="20"/>
              </w:rPr>
              <w:t>–1.61</w:t>
            </w:r>
          </w:p>
        </w:tc>
        <w:tc>
          <w:tcPr>
            <w:tcW w:w="0" w:type="auto"/>
          </w:tcPr>
          <w:p w14:paraId="71D69E79" w14:textId="2C0D9CD7" w:rsidR="00415C3F" w:rsidRPr="008918B2" w:rsidRDefault="00EB0FD4" w:rsidP="003E6200">
            <w:pPr>
              <w:pStyle w:val="NoSpacing"/>
              <w:rPr>
                <w:rFonts w:cstheme="minorHAnsi"/>
                <w:sz w:val="20"/>
                <w:szCs w:val="20"/>
              </w:rPr>
            </w:pPr>
            <w:r w:rsidRPr="008918B2">
              <w:rPr>
                <w:rFonts w:cstheme="minorHAnsi"/>
                <w:sz w:val="20"/>
                <w:szCs w:val="20"/>
              </w:rPr>
              <w:t>0.76</w:t>
            </w:r>
          </w:p>
        </w:tc>
        <w:tc>
          <w:tcPr>
            <w:tcW w:w="0" w:type="auto"/>
          </w:tcPr>
          <w:p w14:paraId="518A8756" w14:textId="4E78449F" w:rsidR="00415C3F" w:rsidRPr="008918B2" w:rsidRDefault="00EB0FD4" w:rsidP="003E6200">
            <w:pPr>
              <w:pStyle w:val="NoSpacing"/>
              <w:rPr>
                <w:rFonts w:cstheme="minorHAnsi"/>
                <w:sz w:val="20"/>
                <w:szCs w:val="20"/>
              </w:rPr>
            </w:pPr>
            <w:r w:rsidRPr="008918B2">
              <w:rPr>
                <w:rFonts w:cstheme="minorHAnsi"/>
                <w:sz w:val="20"/>
                <w:szCs w:val="20"/>
              </w:rPr>
              <w:t>.033</w:t>
            </w:r>
          </w:p>
        </w:tc>
      </w:tr>
      <w:tr w:rsidR="00415C3F" w:rsidRPr="008918B2" w14:paraId="2098582A" w14:textId="77777777" w:rsidTr="00A64CF2">
        <w:tc>
          <w:tcPr>
            <w:tcW w:w="0" w:type="auto"/>
          </w:tcPr>
          <w:p w14:paraId="48B02D45" w14:textId="15AF17E1" w:rsidR="00415C3F" w:rsidRPr="008918B2" w:rsidRDefault="00EE3A4B" w:rsidP="003E6200">
            <w:pPr>
              <w:pStyle w:val="NoSpacing"/>
              <w:rPr>
                <w:rFonts w:cstheme="minorHAnsi"/>
                <w:sz w:val="20"/>
                <w:szCs w:val="20"/>
              </w:rPr>
            </w:pPr>
            <w:r w:rsidRPr="008918B2">
              <w:rPr>
                <w:rFonts w:cstheme="minorHAnsi"/>
                <w:sz w:val="20"/>
                <w:szCs w:val="20"/>
              </w:rPr>
              <w:t>Ln off-</w:t>
            </w:r>
            <w:proofErr w:type="gramStart"/>
            <w:r w:rsidRPr="008918B2">
              <w:rPr>
                <w:rFonts w:cstheme="minorHAnsi"/>
                <w:sz w:val="20"/>
                <w:szCs w:val="20"/>
              </w:rPr>
              <w:t>premise</w:t>
            </w:r>
            <w:proofErr w:type="gramEnd"/>
          </w:p>
        </w:tc>
        <w:tc>
          <w:tcPr>
            <w:tcW w:w="0" w:type="auto"/>
          </w:tcPr>
          <w:p w14:paraId="29C57A2C" w14:textId="2DABF3C3" w:rsidR="00415C3F" w:rsidRPr="008918B2" w:rsidRDefault="00CB0447" w:rsidP="003E6200">
            <w:pPr>
              <w:pStyle w:val="NoSpacing"/>
              <w:rPr>
                <w:rFonts w:cstheme="minorHAnsi"/>
                <w:sz w:val="20"/>
                <w:szCs w:val="20"/>
              </w:rPr>
            </w:pPr>
            <w:r w:rsidRPr="008918B2">
              <w:rPr>
                <w:rFonts w:cstheme="minorHAnsi"/>
                <w:sz w:val="20"/>
                <w:szCs w:val="20"/>
              </w:rPr>
              <w:t xml:space="preserve">0.01 </w:t>
            </w:r>
          </w:p>
        </w:tc>
        <w:tc>
          <w:tcPr>
            <w:tcW w:w="0" w:type="auto"/>
          </w:tcPr>
          <w:p w14:paraId="17ECB61D" w14:textId="38B34945" w:rsidR="00415C3F" w:rsidRPr="008918B2" w:rsidRDefault="00EB0FD4" w:rsidP="003E6200">
            <w:pPr>
              <w:pStyle w:val="NoSpacing"/>
              <w:rPr>
                <w:rFonts w:cstheme="minorHAnsi"/>
                <w:sz w:val="20"/>
                <w:szCs w:val="20"/>
              </w:rPr>
            </w:pPr>
            <w:r w:rsidRPr="008918B2">
              <w:rPr>
                <w:rFonts w:cstheme="minorHAnsi"/>
                <w:sz w:val="20"/>
                <w:szCs w:val="20"/>
              </w:rPr>
              <w:t>0.13</w:t>
            </w:r>
          </w:p>
        </w:tc>
        <w:tc>
          <w:tcPr>
            <w:tcW w:w="0" w:type="auto"/>
          </w:tcPr>
          <w:p w14:paraId="6F133EFD" w14:textId="4F8EE41B" w:rsidR="00415C3F" w:rsidRPr="008918B2" w:rsidRDefault="00EB0FD4" w:rsidP="003E6200">
            <w:pPr>
              <w:pStyle w:val="NoSpacing"/>
              <w:rPr>
                <w:rFonts w:cstheme="minorHAnsi"/>
                <w:sz w:val="20"/>
                <w:szCs w:val="20"/>
              </w:rPr>
            </w:pPr>
            <w:r w:rsidRPr="008918B2">
              <w:rPr>
                <w:rFonts w:cstheme="minorHAnsi"/>
                <w:sz w:val="20"/>
                <w:szCs w:val="20"/>
              </w:rPr>
              <w:t>.957</w:t>
            </w:r>
          </w:p>
        </w:tc>
        <w:tc>
          <w:tcPr>
            <w:tcW w:w="0" w:type="auto"/>
          </w:tcPr>
          <w:p w14:paraId="5064628D" w14:textId="5C6684CC" w:rsidR="00415C3F" w:rsidRPr="008918B2" w:rsidRDefault="00EB0FD4" w:rsidP="003E6200">
            <w:pPr>
              <w:pStyle w:val="NoSpacing"/>
              <w:rPr>
                <w:rFonts w:cstheme="minorHAnsi"/>
                <w:sz w:val="20"/>
                <w:szCs w:val="20"/>
              </w:rPr>
            </w:pPr>
            <w:r w:rsidRPr="008918B2">
              <w:rPr>
                <w:rFonts w:cstheme="minorHAnsi"/>
                <w:sz w:val="20"/>
                <w:szCs w:val="20"/>
              </w:rPr>
              <w:t>–0.02</w:t>
            </w:r>
          </w:p>
        </w:tc>
        <w:tc>
          <w:tcPr>
            <w:tcW w:w="0" w:type="auto"/>
          </w:tcPr>
          <w:p w14:paraId="362591C4" w14:textId="008BC5EF" w:rsidR="00415C3F" w:rsidRPr="008918B2" w:rsidRDefault="00EB0FD4" w:rsidP="003E6200">
            <w:pPr>
              <w:pStyle w:val="NoSpacing"/>
              <w:rPr>
                <w:rFonts w:cstheme="minorHAnsi"/>
                <w:sz w:val="20"/>
                <w:szCs w:val="20"/>
              </w:rPr>
            </w:pPr>
            <w:r w:rsidRPr="008918B2">
              <w:rPr>
                <w:rFonts w:cstheme="minorHAnsi"/>
                <w:sz w:val="20"/>
                <w:szCs w:val="20"/>
              </w:rPr>
              <w:t>0.13</w:t>
            </w:r>
          </w:p>
        </w:tc>
        <w:tc>
          <w:tcPr>
            <w:tcW w:w="0" w:type="auto"/>
          </w:tcPr>
          <w:p w14:paraId="5A55DE2C" w14:textId="5BCFBEEB" w:rsidR="00415C3F" w:rsidRPr="008918B2" w:rsidRDefault="00EB0FD4" w:rsidP="003E6200">
            <w:pPr>
              <w:pStyle w:val="NoSpacing"/>
              <w:rPr>
                <w:rFonts w:cstheme="minorHAnsi"/>
                <w:sz w:val="20"/>
                <w:szCs w:val="20"/>
              </w:rPr>
            </w:pPr>
            <w:r w:rsidRPr="008918B2">
              <w:rPr>
                <w:rFonts w:cstheme="minorHAnsi"/>
                <w:sz w:val="20"/>
                <w:szCs w:val="20"/>
              </w:rPr>
              <w:t>.902</w:t>
            </w:r>
          </w:p>
        </w:tc>
        <w:tc>
          <w:tcPr>
            <w:tcW w:w="0" w:type="auto"/>
          </w:tcPr>
          <w:p w14:paraId="2B393340" w14:textId="47A387B0" w:rsidR="00415C3F" w:rsidRPr="008918B2" w:rsidRDefault="00EB0FD4" w:rsidP="003E6200">
            <w:pPr>
              <w:pStyle w:val="NoSpacing"/>
              <w:rPr>
                <w:rFonts w:cstheme="minorHAnsi"/>
                <w:sz w:val="20"/>
                <w:szCs w:val="20"/>
              </w:rPr>
            </w:pPr>
            <w:r w:rsidRPr="008918B2">
              <w:rPr>
                <w:rFonts w:cstheme="minorHAnsi"/>
                <w:sz w:val="20"/>
                <w:szCs w:val="20"/>
              </w:rPr>
              <w:t>0.01</w:t>
            </w:r>
          </w:p>
        </w:tc>
        <w:tc>
          <w:tcPr>
            <w:tcW w:w="0" w:type="auto"/>
          </w:tcPr>
          <w:p w14:paraId="4C6FDBFE" w14:textId="26F767F6" w:rsidR="00415C3F" w:rsidRPr="008918B2" w:rsidRDefault="00EB0FD4" w:rsidP="003E6200">
            <w:pPr>
              <w:pStyle w:val="NoSpacing"/>
              <w:rPr>
                <w:rFonts w:cstheme="minorHAnsi"/>
                <w:sz w:val="20"/>
                <w:szCs w:val="20"/>
              </w:rPr>
            </w:pPr>
            <w:r w:rsidRPr="008918B2">
              <w:rPr>
                <w:rFonts w:cstheme="minorHAnsi"/>
                <w:sz w:val="20"/>
                <w:szCs w:val="20"/>
              </w:rPr>
              <w:t>0.13</w:t>
            </w:r>
          </w:p>
        </w:tc>
        <w:tc>
          <w:tcPr>
            <w:tcW w:w="0" w:type="auto"/>
          </w:tcPr>
          <w:p w14:paraId="7A576C85" w14:textId="24FC4D13" w:rsidR="00415C3F" w:rsidRPr="008918B2" w:rsidRDefault="00EB0FD4" w:rsidP="003E6200">
            <w:pPr>
              <w:pStyle w:val="NoSpacing"/>
              <w:rPr>
                <w:rFonts w:cstheme="minorHAnsi"/>
                <w:sz w:val="20"/>
                <w:szCs w:val="20"/>
              </w:rPr>
            </w:pPr>
            <w:r w:rsidRPr="008918B2">
              <w:rPr>
                <w:rFonts w:cstheme="minorHAnsi"/>
                <w:sz w:val="20"/>
                <w:szCs w:val="20"/>
              </w:rPr>
              <w:t>.938</w:t>
            </w:r>
          </w:p>
        </w:tc>
        <w:tc>
          <w:tcPr>
            <w:tcW w:w="0" w:type="auto"/>
          </w:tcPr>
          <w:p w14:paraId="06EB34F0" w14:textId="61149E29" w:rsidR="00415C3F" w:rsidRPr="008918B2" w:rsidRDefault="00EB0FD4" w:rsidP="003E6200">
            <w:pPr>
              <w:pStyle w:val="NoSpacing"/>
              <w:rPr>
                <w:rFonts w:cstheme="minorHAnsi"/>
                <w:sz w:val="20"/>
                <w:szCs w:val="20"/>
              </w:rPr>
            </w:pPr>
            <w:r w:rsidRPr="008918B2">
              <w:rPr>
                <w:rFonts w:cstheme="minorHAnsi"/>
                <w:sz w:val="20"/>
                <w:szCs w:val="20"/>
              </w:rPr>
              <w:t>0.01</w:t>
            </w:r>
          </w:p>
        </w:tc>
        <w:tc>
          <w:tcPr>
            <w:tcW w:w="0" w:type="auto"/>
          </w:tcPr>
          <w:p w14:paraId="085A902A" w14:textId="1C03A1B1" w:rsidR="00415C3F" w:rsidRPr="008918B2" w:rsidRDefault="00EB0FD4" w:rsidP="003E6200">
            <w:pPr>
              <w:pStyle w:val="NoSpacing"/>
              <w:rPr>
                <w:rFonts w:cstheme="minorHAnsi"/>
                <w:sz w:val="20"/>
                <w:szCs w:val="20"/>
              </w:rPr>
            </w:pPr>
            <w:r w:rsidRPr="008918B2">
              <w:rPr>
                <w:rFonts w:cstheme="minorHAnsi"/>
                <w:sz w:val="20"/>
                <w:szCs w:val="20"/>
              </w:rPr>
              <w:t>0.13</w:t>
            </w:r>
          </w:p>
        </w:tc>
        <w:tc>
          <w:tcPr>
            <w:tcW w:w="0" w:type="auto"/>
          </w:tcPr>
          <w:p w14:paraId="15595ED9" w14:textId="48DEA1F2" w:rsidR="00415C3F" w:rsidRPr="008918B2" w:rsidRDefault="00EB0FD4" w:rsidP="003E6200">
            <w:pPr>
              <w:pStyle w:val="NoSpacing"/>
              <w:rPr>
                <w:rFonts w:cstheme="minorHAnsi"/>
                <w:sz w:val="20"/>
                <w:szCs w:val="20"/>
              </w:rPr>
            </w:pPr>
            <w:r w:rsidRPr="008918B2">
              <w:rPr>
                <w:rFonts w:cstheme="minorHAnsi"/>
                <w:sz w:val="20"/>
                <w:szCs w:val="20"/>
              </w:rPr>
              <w:t>.924</w:t>
            </w:r>
          </w:p>
        </w:tc>
      </w:tr>
      <w:tr w:rsidR="00415C3F" w:rsidRPr="008918B2" w14:paraId="0B46FF98" w14:textId="77777777" w:rsidTr="00A64CF2">
        <w:tc>
          <w:tcPr>
            <w:tcW w:w="0" w:type="auto"/>
          </w:tcPr>
          <w:p w14:paraId="0F7B18FB" w14:textId="47BC5E32" w:rsidR="00415C3F" w:rsidRPr="008918B2" w:rsidRDefault="00EE3A4B" w:rsidP="003E6200">
            <w:pPr>
              <w:pStyle w:val="NoSpacing"/>
              <w:rPr>
                <w:rFonts w:cstheme="minorHAnsi"/>
                <w:sz w:val="20"/>
                <w:szCs w:val="20"/>
              </w:rPr>
            </w:pPr>
            <w:r w:rsidRPr="008918B2">
              <w:rPr>
                <w:rFonts w:cstheme="minorHAnsi"/>
                <w:sz w:val="20"/>
                <w:szCs w:val="20"/>
              </w:rPr>
              <w:t>Ln restaurant</w:t>
            </w:r>
          </w:p>
        </w:tc>
        <w:tc>
          <w:tcPr>
            <w:tcW w:w="0" w:type="auto"/>
          </w:tcPr>
          <w:p w14:paraId="007A00DF" w14:textId="7FE1E866" w:rsidR="00415C3F" w:rsidRPr="008918B2" w:rsidRDefault="00173E03" w:rsidP="003E6200">
            <w:pPr>
              <w:pStyle w:val="NoSpacing"/>
              <w:rPr>
                <w:rFonts w:cstheme="minorHAnsi"/>
                <w:sz w:val="20"/>
                <w:szCs w:val="20"/>
              </w:rPr>
            </w:pPr>
            <w:r w:rsidRPr="008918B2">
              <w:rPr>
                <w:rFonts w:cstheme="minorHAnsi"/>
                <w:sz w:val="20"/>
                <w:szCs w:val="20"/>
              </w:rPr>
              <w:t xml:space="preserve">0.22 </w:t>
            </w:r>
          </w:p>
        </w:tc>
        <w:tc>
          <w:tcPr>
            <w:tcW w:w="0" w:type="auto"/>
          </w:tcPr>
          <w:p w14:paraId="63801A84" w14:textId="189D892B" w:rsidR="00415C3F" w:rsidRPr="008918B2" w:rsidRDefault="00DB7476" w:rsidP="003E6200">
            <w:pPr>
              <w:pStyle w:val="NoSpacing"/>
              <w:rPr>
                <w:rFonts w:cstheme="minorHAnsi"/>
                <w:sz w:val="20"/>
                <w:szCs w:val="20"/>
              </w:rPr>
            </w:pPr>
            <w:r w:rsidRPr="008918B2">
              <w:rPr>
                <w:rFonts w:cstheme="minorHAnsi"/>
                <w:sz w:val="20"/>
                <w:szCs w:val="20"/>
              </w:rPr>
              <w:t>0.11</w:t>
            </w:r>
          </w:p>
        </w:tc>
        <w:tc>
          <w:tcPr>
            <w:tcW w:w="0" w:type="auto"/>
          </w:tcPr>
          <w:p w14:paraId="448619F0" w14:textId="22B5B4FC" w:rsidR="00415C3F" w:rsidRPr="008918B2" w:rsidRDefault="00DB7476" w:rsidP="003E6200">
            <w:pPr>
              <w:pStyle w:val="NoSpacing"/>
              <w:rPr>
                <w:rFonts w:cstheme="minorHAnsi"/>
                <w:sz w:val="20"/>
                <w:szCs w:val="20"/>
              </w:rPr>
            </w:pPr>
            <w:r w:rsidRPr="008918B2">
              <w:rPr>
                <w:rFonts w:cstheme="minorHAnsi"/>
                <w:sz w:val="20"/>
                <w:szCs w:val="20"/>
              </w:rPr>
              <w:t>.045</w:t>
            </w:r>
          </w:p>
        </w:tc>
        <w:tc>
          <w:tcPr>
            <w:tcW w:w="0" w:type="auto"/>
          </w:tcPr>
          <w:p w14:paraId="679DE546" w14:textId="4CF0D3EF" w:rsidR="00415C3F" w:rsidRPr="008918B2" w:rsidRDefault="00DB7476" w:rsidP="003E6200">
            <w:pPr>
              <w:pStyle w:val="NoSpacing"/>
              <w:rPr>
                <w:rFonts w:cstheme="minorHAnsi"/>
                <w:sz w:val="20"/>
                <w:szCs w:val="20"/>
              </w:rPr>
            </w:pPr>
            <w:r w:rsidRPr="008918B2">
              <w:rPr>
                <w:rFonts w:cstheme="minorHAnsi"/>
                <w:sz w:val="20"/>
                <w:szCs w:val="20"/>
              </w:rPr>
              <w:t>0.22</w:t>
            </w:r>
          </w:p>
        </w:tc>
        <w:tc>
          <w:tcPr>
            <w:tcW w:w="0" w:type="auto"/>
          </w:tcPr>
          <w:p w14:paraId="2F71AD82" w14:textId="53A89241" w:rsidR="00415C3F" w:rsidRPr="008918B2" w:rsidRDefault="00DB7476" w:rsidP="003E6200">
            <w:pPr>
              <w:pStyle w:val="NoSpacing"/>
              <w:rPr>
                <w:rFonts w:cstheme="minorHAnsi"/>
                <w:sz w:val="20"/>
                <w:szCs w:val="20"/>
              </w:rPr>
            </w:pPr>
            <w:r w:rsidRPr="008918B2">
              <w:rPr>
                <w:rFonts w:cstheme="minorHAnsi"/>
                <w:sz w:val="20"/>
                <w:szCs w:val="20"/>
              </w:rPr>
              <w:t>0.11</w:t>
            </w:r>
          </w:p>
        </w:tc>
        <w:tc>
          <w:tcPr>
            <w:tcW w:w="0" w:type="auto"/>
          </w:tcPr>
          <w:p w14:paraId="371A3077" w14:textId="7628609B" w:rsidR="00415C3F" w:rsidRPr="008918B2" w:rsidRDefault="000962D9" w:rsidP="003E6200">
            <w:pPr>
              <w:pStyle w:val="NoSpacing"/>
              <w:rPr>
                <w:rFonts w:cstheme="minorHAnsi"/>
                <w:sz w:val="20"/>
                <w:szCs w:val="20"/>
              </w:rPr>
            </w:pPr>
            <w:r w:rsidRPr="008918B2">
              <w:rPr>
                <w:rFonts w:cstheme="minorHAnsi"/>
                <w:sz w:val="20"/>
                <w:szCs w:val="20"/>
              </w:rPr>
              <w:t>.043</w:t>
            </w:r>
          </w:p>
        </w:tc>
        <w:tc>
          <w:tcPr>
            <w:tcW w:w="0" w:type="auto"/>
          </w:tcPr>
          <w:p w14:paraId="02C20FB7" w14:textId="3660F3C6" w:rsidR="00415C3F" w:rsidRPr="008918B2" w:rsidRDefault="000962D9" w:rsidP="003E6200">
            <w:pPr>
              <w:pStyle w:val="NoSpacing"/>
              <w:rPr>
                <w:rFonts w:cstheme="minorHAnsi"/>
                <w:sz w:val="20"/>
                <w:szCs w:val="20"/>
              </w:rPr>
            </w:pPr>
            <w:r w:rsidRPr="008918B2">
              <w:rPr>
                <w:rFonts w:cstheme="minorHAnsi"/>
                <w:sz w:val="20"/>
                <w:szCs w:val="20"/>
              </w:rPr>
              <w:t>0.23</w:t>
            </w:r>
          </w:p>
        </w:tc>
        <w:tc>
          <w:tcPr>
            <w:tcW w:w="0" w:type="auto"/>
          </w:tcPr>
          <w:p w14:paraId="69E181B8" w14:textId="2320AA53" w:rsidR="00415C3F" w:rsidRPr="008918B2" w:rsidRDefault="000962D9" w:rsidP="003E6200">
            <w:pPr>
              <w:pStyle w:val="NoSpacing"/>
              <w:rPr>
                <w:rFonts w:cstheme="minorHAnsi"/>
                <w:sz w:val="20"/>
                <w:szCs w:val="20"/>
              </w:rPr>
            </w:pPr>
            <w:r w:rsidRPr="008918B2">
              <w:rPr>
                <w:rFonts w:cstheme="minorHAnsi"/>
                <w:sz w:val="20"/>
                <w:szCs w:val="20"/>
              </w:rPr>
              <w:t>0.11</w:t>
            </w:r>
          </w:p>
        </w:tc>
        <w:tc>
          <w:tcPr>
            <w:tcW w:w="0" w:type="auto"/>
          </w:tcPr>
          <w:p w14:paraId="0B3A706D" w14:textId="446D6019" w:rsidR="00415C3F" w:rsidRPr="008918B2" w:rsidRDefault="000962D9" w:rsidP="003E6200">
            <w:pPr>
              <w:pStyle w:val="NoSpacing"/>
              <w:rPr>
                <w:rFonts w:cstheme="minorHAnsi"/>
                <w:sz w:val="20"/>
                <w:szCs w:val="20"/>
              </w:rPr>
            </w:pPr>
            <w:r w:rsidRPr="008918B2">
              <w:rPr>
                <w:rFonts w:cstheme="minorHAnsi"/>
                <w:sz w:val="20"/>
                <w:szCs w:val="20"/>
              </w:rPr>
              <w:t>.035</w:t>
            </w:r>
          </w:p>
        </w:tc>
        <w:tc>
          <w:tcPr>
            <w:tcW w:w="0" w:type="auto"/>
          </w:tcPr>
          <w:p w14:paraId="5BF7C463" w14:textId="4EDD526F" w:rsidR="00415C3F" w:rsidRPr="008918B2" w:rsidRDefault="000962D9" w:rsidP="003E6200">
            <w:pPr>
              <w:pStyle w:val="NoSpacing"/>
              <w:rPr>
                <w:rFonts w:cstheme="minorHAnsi"/>
                <w:sz w:val="20"/>
                <w:szCs w:val="20"/>
              </w:rPr>
            </w:pPr>
            <w:r w:rsidRPr="008918B2">
              <w:rPr>
                <w:rFonts w:cstheme="minorHAnsi"/>
                <w:sz w:val="20"/>
                <w:szCs w:val="20"/>
              </w:rPr>
              <w:t>0.18</w:t>
            </w:r>
          </w:p>
        </w:tc>
        <w:tc>
          <w:tcPr>
            <w:tcW w:w="0" w:type="auto"/>
          </w:tcPr>
          <w:p w14:paraId="4B35EC0C" w14:textId="20473E5A" w:rsidR="00415C3F" w:rsidRPr="008918B2" w:rsidRDefault="000962D9" w:rsidP="003E6200">
            <w:pPr>
              <w:pStyle w:val="NoSpacing"/>
              <w:rPr>
                <w:rFonts w:cstheme="minorHAnsi"/>
                <w:sz w:val="20"/>
                <w:szCs w:val="20"/>
              </w:rPr>
            </w:pPr>
            <w:r w:rsidRPr="008918B2">
              <w:rPr>
                <w:rFonts w:cstheme="minorHAnsi"/>
                <w:sz w:val="20"/>
                <w:szCs w:val="20"/>
              </w:rPr>
              <w:t>0.11</w:t>
            </w:r>
          </w:p>
        </w:tc>
        <w:tc>
          <w:tcPr>
            <w:tcW w:w="0" w:type="auto"/>
          </w:tcPr>
          <w:p w14:paraId="6EAD5948" w14:textId="4F449C7A" w:rsidR="00415C3F" w:rsidRPr="008918B2" w:rsidRDefault="000962D9" w:rsidP="003E6200">
            <w:pPr>
              <w:pStyle w:val="NoSpacing"/>
              <w:rPr>
                <w:rFonts w:cstheme="minorHAnsi"/>
                <w:sz w:val="20"/>
                <w:szCs w:val="20"/>
              </w:rPr>
            </w:pPr>
            <w:r w:rsidRPr="008918B2">
              <w:rPr>
                <w:rFonts w:cstheme="minorHAnsi"/>
                <w:sz w:val="20"/>
                <w:szCs w:val="20"/>
              </w:rPr>
              <w:t>.105</w:t>
            </w:r>
          </w:p>
        </w:tc>
      </w:tr>
      <w:tr w:rsidR="00415C3F" w:rsidRPr="008918B2" w14:paraId="7215CBC3" w14:textId="77777777" w:rsidTr="00A64CF2">
        <w:tc>
          <w:tcPr>
            <w:tcW w:w="0" w:type="auto"/>
          </w:tcPr>
          <w:p w14:paraId="3DC81501" w14:textId="32103625" w:rsidR="00415C3F" w:rsidRPr="008918B2" w:rsidRDefault="00EE3A4B" w:rsidP="003E6200">
            <w:pPr>
              <w:pStyle w:val="NoSpacing"/>
              <w:rPr>
                <w:rFonts w:cstheme="minorHAnsi"/>
                <w:sz w:val="20"/>
                <w:szCs w:val="20"/>
              </w:rPr>
            </w:pPr>
            <w:r w:rsidRPr="008918B2">
              <w:rPr>
                <w:rFonts w:cstheme="minorHAnsi"/>
                <w:sz w:val="20"/>
                <w:szCs w:val="20"/>
              </w:rPr>
              <w:t>Ln bar</w:t>
            </w:r>
          </w:p>
        </w:tc>
        <w:tc>
          <w:tcPr>
            <w:tcW w:w="0" w:type="auto"/>
          </w:tcPr>
          <w:p w14:paraId="3FDA9657" w14:textId="561636B8" w:rsidR="00415C3F" w:rsidRPr="008918B2" w:rsidRDefault="00173E03" w:rsidP="003E6200">
            <w:pPr>
              <w:pStyle w:val="NoSpacing"/>
              <w:rPr>
                <w:rFonts w:cstheme="minorHAnsi"/>
                <w:sz w:val="20"/>
                <w:szCs w:val="20"/>
              </w:rPr>
            </w:pPr>
            <w:r w:rsidRPr="008918B2">
              <w:rPr>
                <w:rFonts w:cstheme="minorHAnsi"/>
                <w:sz w:val="20"/>
                <w:szCs w:val="20"/>
              </w:rPr>
              <w:t xml:space="preserve">0.00 </w:t>
            </w:r>
          </w:p>
        </w:tc>
        <w:tc>
          <w:tcPr>
            <w:tcW w:w="0" w:type="auto"/>
          </w:tcPr>
          <w:p w14:paraId="3FC64C51" w14:textId="2D3E1CE4" w:rsidR="00415C3F" w:rsidRPr="008918B2" w:rsidRDefault="00DB7476" w:rsidP="003E6200">
            <w:pPr>
              <w:pStyle w:val="NoSpacing"/>
              <w:rPr>
                <w:rFonts w:cstheme="minorHAnsi"/>
                <w:sz w:val="20"/>
                <w:szCs w:val="20"/>
              </w:rPr>
            </w:pPr>
            <w:r w:rsidRPr="008918B2">
              <w:rPr>
                <w:rFonts w:cstheme="minorHAnsi"/>
                <w:sz w:val="20"/>
                <w:szCs w:val="20"/>
              </w:rPr>
              <w:t>0.14</w:t>
            </w:r>
          </w:p>
        </w:tc>
        <w:tc>
          <w:tcPr>
            <w:tcW w:w="0" w:type="auto"/>
          </w:tcPr>
          <w:p w14:paraId="356A888F" w14:textId="7668A72A" w:rsidR="00415C3F" w:rsidRPr="008918B2" w:rsidRDefault="00DB7476" w:rsidP="003E6200">
            <w:pPr>
              <w:pStyle w:val="NoSpacing"/>
              <w:rPr>
                <w:rFonts w:cstheme="minorHAnsi"/>
                <w:sz w:val="20"/>
                <w:szCs w:val="20"/>
              </w:rPr>
            </w:pPr>
            <w:r w:rsidRPr="008918B2">
              <w:rPr>
                <w:rFonts w:cstheme="minorHAnsi"/>
                <w:sz w:val="20"/>
                <w:szCs w:val="20"/>
              </w:rPr>
              <w:t>.997</w:t>
            </w:r>
          </w:p>
        </w:tc>
        <w:tc>
          <w:tcPr>
            <w:tcW w:w="0" w:type="auto"/>
          </w:tcPr>
          <w:p w14:paraId="53059437" w14:textId="2B6D8F67" w:rsidR="00415C3F" w:rsidRPr="008918B2" w:rsidRDefault="00DB7476" w:rsidP="003E6200">
            <w:pPr>
              <w:pStyle w:val="NoSpacing"/>
              <w:rPr>
                <w:rFonts w:cstheme="minorHAnsi"/>
                <w:sz w:val="20"/>
                <w:szCs w:val="20"/>
              </w:rPr>
            </w:pPr>
            <w:r w:rsidRPr="008918B2">
              <w:rPr>
                <w:rFonts w:cstheme="minorHAnsi"/>
                <w:sz w:val="20"/>
                <w:szCs w:val="20"/>
              </w:rPr>
              <w:t>–0.02</w:t>
            </w:r>
          </w:p>
        </w:tc>
        <w:tc>
          <w:tcPr>
            <w:tcW w:w="0" w:type="auto"/>
          </w:tcPr>
          <w:p w14:paraId="1813D9A6" w14:textId="7175C8C3" w:rsidR="00415C3F" w:rsidRPr="008918B2" w:rsidRDefault="00DB7476" w:rsidP="003E6200">
            <w:pPr>
              <w:pStyle w:val="NoSpacing"/>
              <w:rPr>
                <w:rFonts w:cstheme="minorHAnsi"/>
                <w:sz w:val="20"/>
                <w:szCs w:val="20"/>
              </w:rPr>
            </w:pPr>
            <w:r w:rsidRPr="008918B2">
              <w:rPr>
                <w:rFonts w:cstheme="minorHAnsi"/>
                <w:sz w:val="20"/>
                <w:szCs w:val="20"/>
              </w:rPr>
              <w:t>0.14</w:t>
            </w:r>
          </w:p>
        </w:tc>
        <w:tc>
          <w:tcPr>
            <w:tcW w:w="0" w:type="auto"/>
          </w:tcPr>
          <w:p w14:paraId="4C917CB6" w14:textId="3EA0FB0C" w:rsidR="00415C3F" w:rsidRPr="008918B2" w:rsidRDefault="00DB7476" w:rsidP="003E6200">
            <w:pPr>
              <w:pStyle w:val="NoSpacing"/>
              <w:rPr>
                <w:rFonts w:cstheme="minorHAnsi"/>
                <w:sz w:val="20"/>
                <w:szCs w:val="20"/>
              </w:rPr>
            </w:pPr>
            <w:r w:rsidRPr="008918B2">
              <w:rPr>
                <w:rFonts w:cstheme="minorHAnsi"/>
                <w:sz w:val="20"/>
                <w:szCs w:val="20"/>
              </w:rPr>
              <w:t>.899</w:t>
            </w:r>
          </w:p>
        </w:tc>
        <w:tc>
          <w:tcPr>
            <w:tcW w:w="0" w:type="auto"/>
          </w:tcPr>
          <w:p w14:paraId="046A2FEE" w14:textId="1CD60055" w:rsidR="00415C3F" w:rsidRPr="008918B2" w:rsidRDefault="00DB7476" w:rsidP="003E6200">
            <w:pPr>
              <w:pStyle w:val="NoSpacing"/>
              <w:rPr>
                <w:rFonts w:cstheme="minorHAnsi"/>
                <w:sz w:val="20"/>
                <w:szCs w:val="20"/>
              </w:rPr>
            </w:pPr>
            <w:r w:rsidRPr="008918B2">
              <w:rPr>
                <w:rFonts w:cstheme="minorHAnsi"/>
                <w:sz w:val="20"/>
                <w:szCs w:val="20"/>
              </w:rPr>
              <w:t>–0.12</w:t>
            </w:r>
          </w:p>
        </w:tc>
        <w:tc>
          <w:tcPr>
            <w:tcW w:w="0" w:type="auto"/>
          </w:tcPr>
          <w:p w14:paraId="78BD80D1" w14:textId="2DC31171" w:rsidR="00415C3F" w:rsidRPr="008918B2" w:rsidRDefault="00DB7476" w:rsidP="003E6200">
            <w:pPr>
              <w:pStyle w:val="NoSpacing"/>
              <w:rPr>
                <w:rFonts w:cstheme="minorHAnsi"/>
                <w:sz w:val="20"/>
                <w:szCs w:val="20"/>
              </w:rPr>
            </w:pPr>
            <w:r w:rsidRPr="008918B2">
              <w:rPr>
                <w:rFonts w:cstheme="minorHAnsi"/>
                <w:sz w:val="20"/>
                <w:szCs w:val="20"/>
              </w:rPr>
              <w:t>0.22</w:t>
            </w:r>
          </w:p>
        </w:tc>
        <w:tc>
          <w:tcPr>
            <w:tcW w:w="0" w:type="auto"/>
          </w:tcPr>
          <w:p w14:paraId="1903DD72" w14:textId="6F5F8A26" w:rsidR="00415C3F" w:rsidRPr="008918B2" w:rsidRDefault="00DB7476" w:rsidP="003E6200">
            <w:pPr>
              <w:pStyle w:val="NoSpacing"/>
              <w:rPr>
                <w:rFonts w:cstheme="minorHAnsi"/>
                <w:sz w:val="20"/>
                <w:szCs w:val="20"/>
              </w:rPr>
            </w:pPr>
            <w:r w:rsidRPr="008918B2">
              <w:rPr>
                <w:rFonts w:cstheme="minorHAnsi"/>
                <w:sz w:val="20"/>
                <w:szCs w:val="20"/>
              </w:rPr>
              <w:t>.566</w:t>
            </w:r>
          </w:p>
        </w:tc>
        <w:tc>
          <w:tcPr>
            <w:tcW w:w="0" w:type="auto"/>
          </w:tcPr>
          <w:p w14:paraId="44531A48" w14:textId="7D5CF2F4" w:rsidR="00415C3F" w:rsidRPr="008918B2" w:rsidRDefault="00DB7476" w:rsidP="003E6200">
            <w:pPr>
              <w:pStyle w:val="NoSpacing"/>
              <w:rPr>
                <w:rFonts w:cstheme="minorHAnsi"/>
                <w:sz w:val="20"/>
                <w:szCs w:val="20"/>
              </w:rPr>
            </w:pPr>
            <w:r w:rsidRPr="008918B2">
              <w:rPr>
                <w:rFonts w:cstheme="minorHAnsi"/>
                <w:sz w:val="20"/>
                <w:szCs w:val="20"/>
              </w:rPr>
              <w:t>–0.04</w:t>
            </w:r>
          </w:p>
        </w:tc>
        <w:tc>
          <w:tcPr>
            <w:tcW w:w="0" w:type="auto"/>
          </w:tcPr>
          <w:p w14:paraId="43241B04" w14:textId="38495107" w:rsidR="00415C3F" w:rsidRPr="008918B2" w:rsidRDefault="00DB7476" w:rsidP="003E6200">
            <w:pPr>
              <w:pStyle w:val="NoSpacing"/>
              <w:rPr>
                <w:rFonts w:cstheme="minorHAnsi"/>
                <w:sz w:val="20"/>
                <w:szCs w:val="20"/>
              </w:rPr>
            </w:pPr>
            <w:r w:rsidRPr="008918B2">
              <w:rPr>
                <w:rFonts w:cstheme="minorHAnsi"/>
                <w:sz w:val="20"/>
                <w:szCs w:val="20"/>
              </w:rPr>
              <w:t>0.15</w:t>
            </w:r>
          </w:p>
        </w:tc>
        <w:tc>
          <w:tcPr>
            <w:tcW w:w="0" w:type="auto"/>
          </w:tcPr>
          <w:p w14:paraId="5B2D40A4" w14:textId="4673EABA" w:rsidR="00415C3F" w:rsidRPr="008918B2" w:rsidRDefault="00DB7476" w:rsidP="003E6200">
            <w:pPr>
              <w:pStyle w:val="NoSpacing"/>
              <w:rPr>
                <w:rFonts w:cstheme="minorHAnsi"/>
                <w:sz w:val="20"/>
                <w:szCs w:val="20"/>
              </w:rPr>
            </w:pPr>
            <w:r w:rsidRPr="008918B2">
              <w:rPr>
                <w:rFonts w:cstheme="minorHAnsi"/>
                <w:sz w:val="20"/>
                <w:szCs w:val="20"/>
              </w:rPr>
              <w:t>.775</w:t>
            </w:r>
          </w:p>
        </w:tc>
      </w:tr>
      <w:tr w:rsidR="00415C3F" w:rsidRPr="008918B2" w14:paraId="3D94442F" w14:textId="77777777" w:rsidTr="00A64CF2">
        <w:tc>
          <w:tcPr>
            <w:tcW w:w="0" w:type="auto"/>
          </w:tcPr>
          <w:p w14:paraId="4936DF2A" w14:textId="61AADA75" w:rsidR="00415C3F" w:rsidRPr="008918B2" w:rsidRDefault="00EE3A4B" w:rsidP="003E6200">
            <w:pPr>
              <w:pStyle w:val="NoSpacing"/>
              <w:rPr>
                <w:rFonts w:cstheme="minorHAnsi"/>
                <w:sz w:val="20"/>
                <w:szCs w:val="20"/>
              </w:rPr>
            </w:pPr>
            <w:r w:rsidRPr="008918B2">
              <w:rPr>
                <w:rFonts w:cstheme="minorHAnsi"/>
                <w:sz w:val="20"/>
                <w:szCs w:val="20"/>
              </w:rPr>
              <w:t>Disorganization</w:t>
            </w:r>
          </w:p>
        </w:tc>
        <w:tc>
          <w:tcPr>
            <w:tcW w:w="0" w:type="auto"/>
          </w:tcPr>
          <w:p w14:paraId="591C3AAE" w14:textId="3DD9E6C4" w:rsidR="00415C3F" w:rsidRPr="008918B2" w:rsidRDefault="00173E03" w:rsidP="003E6200">
            <w:pPr>
              <w:pStyle w:val="NoSpacing"/>
              <w:rPr>
                <w:rFonts w:cstheme="minorHAnsi"/>
                <w:sz w:val="20"/>
                <w:szCs w:val="20"/>
              </w:rPr>
            </w:pPr>
            <w:r w:rsidRPr="008918B2">
              <w:rPr>
                <w:rFonts w:cstheme="minorHAnsi"/>
                <w:sz w:val="20"/>
                <w:szCs w:val="20"/>
              </w:rPr>
              <w:t xml:space="preserve">–0.03 </w:t>
            </w:r>
          </w:p>
        </w:tc>
        <w:tc>
          <w:tcPr>
            <w:tcW w:w="0" w:type="auto"/>
          </w:tcPr>
          <w:p w14:paraId="2B03F8AF" w14:textId="6B76C28B" w:rsidR="00415C3F" w:rsidRPr="008918B2" w:rsidRDefault="00DB7476" w:rsidP="003E6200">
            <w:pPr>
              <w:pStyle w:val="NoSpacing"/>
              <w:rPr>
                <w:rFonts w:cstheme="minorHAnsi"/>
                <w:sz w:val="20"/>
                <w:szCs w:val="20"/>
              </w:rPr>
            </w:pPr>
            <w:r w:rsidRPr="008918B2">
              <w:rPr>
                <w:rFonts w:cstheme="minorHAnsi"/>
                <w:sz w:val="20"/>
                <w:szCs w:val="20"/>
              </w:rPr>
              <w:t>0.04</w:t>
            </w:r>
          </w:p>
        </w:tc>
        <w:tc>
          <w:tcPr>
            <w:tcW w:w="0" w:type="auto"/>
          </w:tcPr>
          <w:p w14:paraId="52681263" w14:textId="78275D58" w:rsidR="00415C3F" w:rsidRPr="008918B2" w:rsidRDefault="00DB7476" w:rsidP="003E6200">
            <w:pPr>
              <w:pStyle w:val="NoSpacing"/>
              <w:rPr>
                <w:rFonts w:cstheme="minorHAnsi"/>
                <w:sz w:val="20"/>
                <w:szCs w:val="20"/>
              </w:rPr>
            </w:pPr>
            <w:r w:rsidRPr="008918B2">
              <w:rPr>
                <w:rFonts w:cstheme="minorHAnsi"/>
                <w:sz w:val="20"/>
                <w:szCs w:val="20"/>
              </w:rPr>
              <w:t>.468</w:t>
            </w:r>
          </w:p>
        </w:tc>
        <w:tc>
          <w:tcPr>
            <w:tcW w:w="0" w:type="auto"/>
          </w:tcPr>
          <w:p w14:paraId="7D963E5F" w14:textId="0927FD89" w:rsidR="00415C3F" w:rsidRPr="008918B2" w:rsidRDefault="00DB7476" w:rsidP="003E6200">
            <w:pPr>
              <w:pStyle w:val="NoSpacing"/>
              <w:rPr>
                <w:rFonts w:cstheme="minorHAnsi"/>
                <w:sz w:val="20"/>
                <w:szCs w:val="20"/>
              </w:rPr>
            </w:pPr>
            <w:r w:rsidRPr="008918B2">
              <w:rPr>
                <w:rFonts w:cstheme="minorHAnsi"/>
                <w:sz w:val="20"/>
                <w:szCs w:val="20"/>
              </w:rPr>
              <w:t>–0.04</w:t>
            </w:r>
          </w:p>
        </w:tc>
        <w:tc>
          <w:tcPr>
            <w:tcW w:w="0" w:type="auto"/>
          </w:tcPr>
          <w:p w14:paraId="07E3BD9F" w14:textId="02C2E4CD" w:rsidR="00415C3F" w:rsidRPr="008918B2" w:rsidRDefault="00DB7476" w:rsidP="003E6200">
            <w:pPr>
              <w:pStyle w:val="NoSpacing"/>
              <w:rPr>
                <w:rFonts w:cstheme="minorHAnsi"/>
                <w:sz w:val="20"/>
                <w:szCs w:val="20"/>
              </w:rPr>
            </w:pPr>
            <w:r w:rsidRPr="008918B2">
              <w:rPr>
                <w:rFonts w:cstheme="minorHAnsi"/>
                <w:sz w:val="20"/>
                <w:szCs w:val="20"/>
              </w:rPr>
              <w:t>0.05</w:t>
            </w:r>
          </w:p>
        </w:tc>
        <w:tc>
          <w:tcPr>
            <w:tcW w:w="0" w:type="auto"/>
          </w:tcPr>
          <w:p w14:paraId="46EE4105" w14:textId="02249B31" w:rsidR="00415C3F" w:rsidRPr="008918B2" w:rsidRDefault="00DB7476" w:rsidP="003E6200">
            <w:pPr>
              <w:pStyle w:val="NoSpacing"/>
              <w:rPr>
                <w:rFonts w:cstheme="minorHAnsi"/>
                <w:sz w:val="20"/>
                <w:szCs w:val="20"/>
              </w:rPr>
            </w:pPr>
            <w:r w:rsidRPr="008918B2">
              <w:rPr>
                <w:rFonts w:cstheme="minorHAnsi"/>
                <w:sz w:val="20"/>
                <w:szCs w:val="20"/>
              </w:rPr>
              <w:t>.356</w:t>
            </w:r>
          </w:p>
        </w:tc>
        <w:tc>
          <w:tcPr>
            <w:tcW w:w="0" w:type="auto"/>
          </w:tcPr>
          <w:p w14:paraId="3D4148DD" w14:textId="092E3849" w:rsidR="00415C3F" w:rsidRPr="008918B2" w:rsidRDefault="00DB7476" w:rsidP="003E6200">
            <w:pPr>
              <w:pStyle w:val="NoSpacing"/>
              <w:rPr>
                <w:rFonts w:cstheme="minorHAnsi"/>
                <w:sz w:val="20"/>
                <w:szCs w:val="20"/>
              </w:rPr>
            </w:pPr>
            <w:r w:rsidRPr="008918B2">
              <w:rPr>
                <w:rFonts w:cstheme="minorHAnsi"/>
                <w:sz w:val="20"/>
                <w:szCs w:val="20"/>
              </w:rPr>
              <w:t>–0.04</w:t>
            </w:r>
          </w:p>
        </w:tc>
        <w:tc>
          <w:tcPr>
            <w:tcW w:w="0" w:type="auto"/>
          </w:tcPr>
          <w:p w14:paraId="0C951D48" w14:textId="15695B78" w:rsidR="00415C3F" w:rsidRPr="008918B2" w:rsidRDefault="00DB7476" w:rsidP="003E6200">
            <w:pPr>
              <w:pStyle w:val="NoSpacing"/>
              <w:rPr>
                <w:rFonts w:cstheme="minorHAnsi"/>
                <w:sz w:val="20"/>
                <w:szCs w:val="20"/>
              </w:rPr>
            </w:pPr>
            <w:r w:rsidRPr="008918B2">
              <w:rPr>
                <w:rFonts w:cstheme="minorHAnsi"/>
                <w:sz w:val="20"/>
                <w:szCs w:val="20"/>
              </w:rPr>
              <w:t>0.04</w:t>
            </w:r>
          </w:p>
        </w:tc>
        <w:tc>
          <w:tcPr>
            <w:tcW w:w="0" w:type="auto"/>
          </w:tcPr>
          <w:p w14:paraId="4F910236" w14:textId="73894B08" w:rsidR="00415C3F" w:rsidRPr="008918B2" w:rsidRDefault="00DB7476" w:rsidP="003E6200">
            <w:pPr>
              <w:pStyle w:val="NoSpacing"/>
              <w:rPr>
                <w:rFonts w:cstheme="minorHAnsi"/>
                <w:sz w:val="20"/>
                <w:szCs w:val="20"/>
              </w:rPr>
            </w:pPr>
            <w:r w:rsidRPr="008918B2">
              <w:rPr>
                <w:rFonts w:cstheme="minorHAnsi"/>
                <w:sz w:val="20"/>
                <w:szCs w:val="20"/>
              </w:rPr>
              <w:t>.345</w:t>
            </w:r>
          </w:p>
        </w:tc>
        <w:tc>
          <w:tcPr>
            <w:tcW w:w="0" w:type="auto"/>
          </w:tcPr>
          <w:p w14:paraId="090EAE28" w14:textId="4E6B1DCE" w:rsidR="00415C3F" w:rsidRPr="008918B2" w:rsidRDefault="00DB7476" w:rsidP="003E6200">
            <w:pPr>
              <w:pStyle w:val="NoSpacing"/>
              <w:rPr>
                <w:rFonts w:cstheme="minorHAnsi"/>
                <w:sz w:val="20"/>
                <w:szCs w:val="20"/>
              </w:rPr>
            </w:pPr>
            <w:r w:rsidRPr="008918B2">
              <w:rPr>
                <w:rFonts w:cstheme="minorHAnsi"/>
                <w:sz w:val="20"/>
                <w:szCs w:val="20"/>
              </w:rPr>
              <w:t>–0.05</w:t>
            </w:r>
          </w:p>
        </w:tc>
        <w:tc>
          <w:tcPr>
            <w:tcW w:w="0" w:type="auto"/>
          </w:tcPr>
          <w:p w14:paraId="133BF486" w14:textId="0D3EF27B" w:rsidR="00415C3F" w:rsidRPr="008918B2" w:rsidRDefault="00DB7476" w:rsidP="003E6200">
            <w:pPr>
              <w:pStyle w:val="NoSpacing"/>
              <w:rPr>
                <w:rFonts w:cstheme="minorHAnsi"/>
                <w:sz w:val="20"/>
                <w:szCs w:val="20"/>
              </w:rPr>
            </w:pPr>
            <w:r w:rsidRPr="008918B2">
              <w:rPr>
                <w:rFonts w:cstheme="minorHAnsi"/>
                <w:sz w:val="20"/>
                <w:szCs w:val="20"/>
              </w:rPr>
              <w:t>0.05</w:t>
            </w:r>
          </w:p>
        </w:tc>
        <w:tc>
          <w:tcPr>
            <w:tcW w:w="0" w:type="auto"/>
          </w:tcPr>
          <w:p w14:paraId="7E2070CC" w14:textId="10794B16" w:rsidR="00415C3F" w:rsidRPr="008918B2" w:rsidRDefault="00DB7476" w:rsidP="003E6200">
            <w:pPr>
              <w:pStyle w:val="NoSpacing"/>
              <w:rPr>
                <w:rFonts w:cstheme="minorHAnsi"/>
                <w:sz w:val="20"/>
                <w:szCs w:val="20"/>
              </w:rPr>
            </w:pPr>
            <w:r w:rsidRPr="008918B2">
              <w:rPr>
                <w:rFonts w:cstheme="minorHAnsi"/>
                <w:sz w:val="20"/>
                <w:szCs w:val="20"/>
              </w:rPr>
              <w:t>.277</w:t>
            </w:r>
          </w:p>
        </w:tc>
      </w:tr>
      <w:tr w:rsidR="00415C3F" w:rsidRPr="008918B2" w14:paraId="1315DF32" w14:textId="77777777" w:rsidTr="00A64CF2">
        <w:tc>
          <w:tcPr>
            <w:tcW w:w="0" w:type="auto"/>
          </w:tcPr>
          <w:p w14:paraId="7C08A57F" w14:textId="04BF8CC6" w:rsidR="00415C3F" w:rsidRPr="008918B2" w:rsidRDefault="00015DA3" w:rsidP="003E6200">
            <w:pPr>
              <w:pStyle w:val="NoSpacing"/>
              <w:rPr>
                <w:rFonts w:cstheme="minorHAnsi"/>
                <w:sz w:val="20"/>
                <w:szCs w:val="20"/>
              </w:rPr>
            </w:pPr>
            <w:r w:rsidRPr="008918B2">
              <w:rPr>
                <w:rFonts w:cstheme="minorHAnsi"/>
                <w:i/>
                <w:iCs/>
                <w:sz w:val="20"/>
                <w:szCs w:val="20"/>
              </w:rPr>
              <w:t>ρ</w:t>
            </w:r>
            <w:r w:rsidR="00EE3A4B" w:rsidRPr="008918B2">
              <w:rPr>
                <w:rFonts w:cstheme="minorHAnsi"/>
                <w:sz w:val="20"/>
                <w:szCs w:val="20"/>
              </w:rPr>
              <w:t xml:space="preserve"> simple assault</w:t>
            </w:r>
          </w:p>
        </w:tc>
        <w:tc>
          <w:tcPr>
            <w:tcW w:w="0" w:type="auto"/>
          </w:tcPr>
          <w:p w14:paraId="72C204F3" w14:textId="05D12F0D" w:rsidR="00415C3F" w:rsidRPr="008918B2" w:rsidRDefault="00173E03" w:rsidP="003E6200">
            <w:pPr>
              <w:pStyle w:val="NoSpacing"/>
              <w:rPr>
                <w:rFonts w:cstheme="minorHAnsi"/>
                <w:sz w:val="20"/>
                <w:szCs w:val="20"/>
              </w:rPr>
            </w:pPr>
            <w:r w:rsidRPr="008918B2">
              <w:rPr>
                <w:rFonts w:cstheme="minorHAnsi"/>
                <w:sz w:val="20"/>
                <w:szCs w:val="20"/>
              </w:rPr>
              <w:t xml:space="preserve">0.23 </w:t>
            </w:r>
          </w:p>
        </w:tc>
        <w:tc>
          <w:tcPr>
            <w:tcW w:w="0" w:type="auto"/>
          </w:tcPr>
          <w:p w14:paraId="1844DC62" w14:textId="4506BCA5" w:rsidR="00415C3F" w:rsidRPr="008918B2" w:rsidRDefault="00DB7476" w:rsidP="003E6200">
            <w:pPr>
              <w:pStyle w:val="NoSpacing"/>
              <w:rPr>
                <w:rFonts w:cstheme="minorHAnsi"/>
                <w:sz w:val="20"/>
                <w:szCs w:val="20"/>
              </w:rPr>
            </w:pPr>
            <w:r w:rsidRPr="008918B2">
              <w:rPr>
                <w:rFonts w:cstheme="minorHAnsi"/>
                <w:sz w:val="20"/>
                <w:szCs w:val="20"/>
              </w:rPr>
              <w:t>0.10</w:t>
            </w:r>
          </w:p>
        </w:tc>
        <w:tc>
          <w:tcPr>
            <w:tcW w:w="0" w:type="auto"/>
          </w:tcPr>
          <w:p w14:paraId="24C76A0E" w14:textId="6BAFD2F1" w:rsidR="00415C3F" w:rsidRPr="008918B2" w:rsidRDefault="00DB7476" w:rsidP="003E6200">
            <w:pPr>
              <w:pStyle w:val="NoSpacing"/>
              <w:rPr>
                <w:rFonts w:cstheme="minorHAnsi"/>
                <w:sz w:val="20"/>
                <w:szCs w:val="20"/>
              </w:rPr>
            </w:pPr>
            <w:r w:rsidRPr="008918B2">
              <w:rPr>
                <w:rFonts w:cstheme="minorHAnsi"/>
                <w:sz w:val="20"/>
                <w:szCs w:val="20"/>
              </w:rPr>
              <w:t>.020</w:t>
            </w:r>
          </w:p>
        </w:tc>
        <w:tc>
          <w:tcPr>
            <w:tcW w:w="0" w:type="auto"/>
          </w:tcPr>
          <w:p w14:paraId="113C5562" w14:textId="524C9F14" w:rsidR="00415C3F" w:rsidRPr="008918B2" w:rsidRDefault="00DB7476" w:rsidP="003E6200">
            <w:pPr>
              <w:pStyle w:val="NoSpacing"/>
              <w:rPr>
                <w:rFonts w:cstheme="minorHAnsi"/>
                <w:sz w:val="20"/>
                <w:szCs w:val="20"/>
              </w:rPr>
            </w:pPr>
            <w:r w:rsidRPr="008918B2">
              <w:rPr>
                <w:rFonts w:cstheme="minorHAnsi"/>
                <w:sz w:val="20"/>
                <w:szCs w:val="20"/>
              </w:rPr>
              <w:t>0.23</w:t>
            </w:r>
          </w:p>
        </w:tc>
        <w:tc>
          <w:tcPr>
            <w:tcW w:w="0" w:type="auto"/>
          </w:tcPr>
          <w:p w14:paraId="52A45037" w14:textId="4B4E49A7" w:rsidR="00415C3F" w:rsidRPr="008918B2" w:rsidRDefault="00DB7476" w:rsidP="003E6200">
            <w:pPr>
              <w:pStyle w:val="NoSpacing"/>
              <w:rPr>
                <w:rFonts w:cstheme="minorHAnsi"/>
                <w:sz w:val="20"/>
                <w:szCs w:val="20"/>
              </w:rPr>
            </w:pPr>
            <w:r w:rsidRPr="008918B2">
              <w:rPr>
                <w:rFonts w:cstheme="minorHAnsi"/>
                <w:sz w:val="20"/>
                <w:szCs w:val="20"/>
              </w:rPr>
              <w:t>0.10</w:t>
            </w:r>
          </w:p>
        </w:tc>
        <w:tc>
          <w:tcPr>
            <w:tcW w:w="0" w:type="auto"/>
          </w:tcPr>
          <w:p w14:paraId="04A62FFE" w14:textId="5E513C0F" w:rsidR="00415C3F" w:rsidRPr="008918B2" w:rsidRDefault="00DB7476" w:rsidP="003E6200">
            <w:pPr>
              <w:pStyle w:val="NoSpacing"/>
              <w:rPr>
                <w:rFonts w:cstheme="minorHAnsi"/>
                <w:sz w:val="20"/>
                <w:szCs w:val="20"/>
              </w:rPr>
            </w:pPr>
            <w:r w:rsidRPr="008918B2">
              <w:rPr>
                <w:rFonts w:cstheme="minorHAnsi"/>
                <w:sz w:val="20"/>
                <w:szCs w:val="20"/>
              </w:rPr>
              <w:t>.024</w:t>
            </w:r>
          </w:p>
        </w:tc>
        <w:tc>
          <w:tcPr>
            <w:tcW w:w="0" w:type="auto"/>
          </w:tcPr>
          <w:p w14:paraId="768BC6DD" w14:textId="55E7B60E" w:rsidR="00415C3F" w:rsidRPr="008918B2" w:rsidRDefault="00DB7476" w:rsidP="003E6200">
            <w:pPr>
              <w:pStyle w:val="NoSpacing"/>
              <w:rPr>
                <w:rFonts w:cstheme="minorHAnsi"/>
                <w:sz w:val="20"/>
                <w:szCs w:val="20"/>
              </w:rPr>
            </w:pPr>
            <w:r w:rsidRPr="008918B2">
              <w:rPr>
                <w:rFonts w:cstheme="minorHAnsi"/>
                <w:sz w:val="20"/>
                <w:szCs w:val="20"/>
              </w:rPr>
              <w:t>0.23</w:t>
            </w:r>
          </w:p>
        </w:tc>
        <w:tc>
          <w:tcPr>
            <w:tcW w:w="0" w:type="auto"/>
          </w:tcPr>
          <w:p w14:paraId="6B58F0D6" w14:textId="455D20E6" w:rsidR="00415C3F" w:rsidRPr="008918B2" w:rsidRDefault="00DB7476" w:rsidP="003E6200">
            <w:pPr>
              <w:pStyle w:val="NoSpacing"/>
              <w:rPr>
                <w:rFonts w:cstheme="minorHAnsi"/>
                <w:sz w:val="20"/>
                <w:szCs w:val="20"/>
              </w:rPr>
            </w:pPr>
            <w:r w:rsidRPr="008918B2">
              <w:rPr>
                <w:rFonts w:cstheme="minorHAnsi"/>
                <w:sz w:val="20"/>
                <w:szCs w:val="20"/>
              </w:rPr>
              <w:t>0.10</w:t>
            </w:r>
          </w:p>
        </w:tc>
        <w:tc>
          <w:tcPr>
            <w:tcW w:w="0" w:type="auto"/>
          </w:tcPr>
          <w:p w14:paraId="4E1C38F4" w14:textId="7B51BF35" w:rsidR="00415C3F" w:rsidRPr="008918B2" w:rsidRDefault="00DB7476" w:rsidP="003E6200">
            <w:pPr>
              <w:pStyle w:val="NoSpacing"/>
              <w:rPr>
                <w:rFonts w:cstheme="minorHAnsi"/>
                <w:sz w:val="20"/>
                <w:szCs w:val="20"/>
              </w:rPr>
            </w:pPr>
            <w:r w:rsidRPr="008918B2">
              <w:rPr>
                <w:rFonts w:cstheme="minorHAnsi"/>
                <w:sz w:val="20"/>
                <w:szCs w:val="20"/>
              </w:rPr>
              <w:t>.018</w:t>
            </w:r>
          </w:p>
        </w:tc>
        <w:tc>
          <w:tcPr>
            <w:tcW w:w="0" w:type="auto"/>
          </w:tcPr>
          <w:p w14:paraId="2BC1C22E" w14:textId="32C394B8" w:rsidR="00415C3F" w:rsidRPr="008918B2" w:rsidRDefault="00DB7476" w:rsidP="003E6200">
            <w:pPr>
              <w:pStyle w:val="NoSpacing"/>
              <w:rPr>
                <w:rFonts w:cstheme="minorHAnsi"/>
                <w:sz w:val="20"/>
                <w:szCs w:val="20"/>
              </w:rPr>
            </w:pPr>
            <w:r w:rsidRPr="008918B2">
              <w:rPr>
                <w:rFonts w:cstheme="minorHAnsi"/>
                <w:sz w:val="20"/>
                <w:szCs w:val="20"/>
              </w:rPr>
              <w:t>0.25</w:t>
            </w:r>
          </w:p>
        </w:tc>
        <w:tc>
          <w:tcPr>
            <w:tcW w:w="0" w:type="auto"/>
          </w:tcPr>
          <w:p w14:paraId="43433ADF" w14:textId="5E6EB7ED" w:rsidR="00415C3F" w:rsidRPr="008918B2" w:rsidRDefault="00DB7476" w:rsidP="003E6200">
            <w:pPr>
              <w:pStyle w:val="NoSpacing"/>
              <w:rPr>
                <w:rFonts w:cstheme="minorHAnsi"/>
                <w:sz w:val="20"/>
                <w:szCs w:val="20"/>
              </w:rPr>
            </w:pPr>
            <w:r w:rsidRPr="008918B2">
              <w:rPr>
                <w:rFonts w:cstheme="minorHAnsi"/>
                <w:sz w:val="20"/>
                <w:szCs w:val="20"/>
              </w:rPr>
              <w:t>0.10</w:t>
            </w:r>
          </w:p>
        </w:tc>
        <w:tc>
          <w:tcPr>
            <w:tcW w:w="0" w:type="auto"/>
          </w:tcPr>
          <w:p w14:paraId="053666E4" w14:textId="0293A327" w:rsidR="00415C3F" w:rsidRPr="008918B2" w:rsidRDefault="00DB7476" w:rsidP="003E6200">
            <w:pPr>
              <w:pStyle w:val="NoSpacing"/>
              <w:rPr>
                <w:rFonts w:cstheme="minorHAnsi"/>
                <w:sz w:val="20"/>
                <w:szCs w:val="20"/>
              </w:rPr>
            </w:pPr>
            <w:r w:rsidRPr="008918B2">
              <w:rPr>
                <w:rFonts w:cstheme="minorHAnsi"/>
                <w:sz w:val="20"/>
                <w:szCs w:val="20"/>
              </w:rPr>
              <w:t>.014</w:t>
            </w:r>
          </w:p>
        </w:tc>
      </w:tr>
      <w:tr w:rsidR="00415C3F" w:rsidRPr="008918B2" w14:paraId="0FA82D71" w14:textId="77777777" w:rsidTr="00A64CF2">
        <w:tc>
          <w:tcPr>
            <w:tcW w:w="0" w:type="auto"/>
          </w:tcPr>
          <w:p w14:paraId="492034A4" w14:textId="3211BF37" w:rsidR="00415C3F" w:rsidRPr="008918B2" w:rsidRDefault="002A0648" w:rsidP="003E6200">
            <w:pPr>
              <w:pStyle w:val="NoSpacing"/>
              <w:rPr>
                <w:rFonts w:cstheme="minorHAnsi"/>
                <w:sz w:val="20"/>
                <w:szCs w:val="20"/>
              </w:rPr>
            </w:pPr>
            <w:r w:rsidRPr="008918B2">
              <w:rPr>
                <w:rFonts w:cstheme="minorHAnsi"/>
                <w:sz w:val="20"/>
                <w:szCs w:val="20"/>
              </w:rPr>
              <w:t>Ln control simple</w:t>
            </w:r>
          </w:p>
        </w:tc>
        <w:tc>
          <w:tcPr>
            <w:tcW w:w="0" w:type="auto"/>
          </w:tcPr>
          <w:p w14:paraId="7390493F" w14:textId="2C0A6B18" w:rsidR="00415C3F" w:rsidRPr="008918B2" w:rsidRDefault="00173E03" w:rsidP="003E6200">
            <w:pPr>
              <w:pStyle w:val="NoSpacing"/>
              <w:rPr>
                <w:rFonts w:cstheme="minorHAnsi"/>
                <w:sz w:val="20"/>
                <w:szCs w:val="20"/>
              </w:rPr>
            </w:pPr>
            <w:r w:rsidRPr="008918B2">
              <w:rPr>
                <w:rFonts w:cstheme="minorHAnsi"/>
                <w:sz w:val="20"/>
                <w:szCs w:val="20"/>
              </w:rPr>
              <w:t xml:space="preserve">0.73 </w:t>
            </w:r>
          </w:p>
        </w:tc>
        <w:tc>
          <w:tcPr>
            <w:tcW w:w="0" w:type="auto"/>
          </w:tcPr>
          <w:p w14:paraId="0156F5A5" w14:textId="26BB48DE" w:rsidR="00415C3F" w:rsidRPr="008918B2" w:rsidRDefault="00DB7476" w:rsidP="003E6200">
            <w:pPr>
              <w:pStyle w:val="NoSpacing"/>
              <w:rPr>
                <w:rFonts w:cstheme="minorHAnsi"/>
                <w:sz w:val="20"/>
                <w:szCs w:val="20"/>
              </w:rPr>
            </w:pPr>
            <w:r w:rsidRPr="008918B2">
              <w:rPr>
                <w:rFonts w:cstheme="minorHAnsi"/>
                <w:sz w:val="20"/>
                <w:szCs w:val="20"/>
              </w:rPr>
              <w:t>0.07</w:t>
            </w:r>
          </w:p>
        </w:tc>
        <w:tc>
          <w:tcPr>
            <w:tcW w:w="0" w:type="auto"/>
          </w:tcPr>
          <w:p w14:paraId="001A62E2" w14:textId="484188DE" w:rsidR="00415C3F" w:rsidRPr="008918B2" w:rsidRDefault="00DB7476" w:rsidP="003E6200">
            <w:pPr>
              <w:pStyle w:val="NoSpacing"/>
              <w:rPr>
                <w:rFonts w:cstheme="minorHAnsi"/>
                <w:sz w:val="20"/>
                <w:szCs w:val="20"/>
              </w:rPr>
            </w:pPr>
            <w:r w:rsidRPr="008918B2">
              <w:rPr>
                <w:rFonts w:cstheme="minorHAnsi"/>
                <w:sz w:val="20"/>
                <w:szCs w:val="20"/>
              </w:rPr>
              <w:t>.000</w:t>
            </w:r>
          </w:p>
        </w:tc>
        <w:tc>
          <w:tcPr>
            <w:tcW w:w="0" w:type="auto"/>
          </w:tcPr>
          <w:p w14:paraId="0F502477" w14:textId="4974CC32" w:rsidR="00415C3F" w:rsidRPr="008918B2" w:rsidRDefault="00DB7476" w:rsidP="003E6200">
            <w:pPr>
              <w:pStyle w:val="NoSpacing"/>
              <w:rPr>
                <w:rFonts w:cstheme="minorHAnsi"/>
                <w:sz w:val="20"/>
                <w:szCs w:val="20"/>
              </w:rPr>
            </w:pPr>
            <w:r w:rsidRPr="008918B2">
              <w:rPr>
                <w:rFonts w:cstheme="minorHAnsi"/>
                <w:sz w:val="20"/>
                <w:szCs w:val="20"/>
              </w:rPr>
              <w:t>0.73</w:t>
            </w:r>
          </w:p>
        </w:tc>
        <w:tc>
          <w:tcPr>
            <w:tcW w:w="0" w:type="auto"/>
          </w:tcPr>
          <w:p w14:paraId="1093963A" w14:textId="453EA908" w:rsidR="00415C3F" w:rsidRPr="008918B2" w:rsidRDefault="00DB7476" w:rsidP="003E6200">
            <w:pPr>
              <w:pStyle w:val="NoSpacing"/>
              <w:rPr>
                <w:rFonts w:cstheme="minorHAnsi"/>
                <w:sz w:val="20"/>
                <w:szCs w:val="20"/>
              </w:rPr>
            </w:pPr>
            <w:r w:rsidRPr="008918B2">
              <w:rPr>
                <w:rFonts w:cstheme="minorHAnsi"/>
                <w:sz w:val="20"/>
                <w:szCs w:val="20"/>
              </w:rPr>
              <w:t>0.07</w:t>
            </w:r>
          </w:p>
        </w:tc>
        <w:tc>
          <w:tcPr>
            <w:tcW w:w="0" w:type="auto"/>
          </w:tcPr>
          <w:p w14:paraId="08F6E47F" w14:textId="71C3F192" w:rsidR="00415C3F" w:rsidRPr="008918B2" w:rsidRDefault="00DB7476" w:rsidP="003E6200">
            <w:pPr>
              <w:pStyle w:val="NoSpacing"/>
              <w:rPr>
                <w:rFonts w:cstheme="minorHAnsi"/>
                <w:sz w:val="20"/>
                <w:szCs w:val="20"/>
              </w:rPr>
            </w:pPr>
            <w:r w:rsidRPr="008918B2">
              <w:rPr>
                <w:rFonts w:cstheme="minorHAnsi"/>
                <w:sz w:val="20"/>
                <w:szCs w:val="20"/>
              </w:rPr>
              <w:t>.000</w:t>
            </w:r>
          </w:p>
        </w:tc>
        <w:tc>
          <w:tcPr>
            <w:tcW w:w="0" w:type="auto"/>
          </w:tcPr>
          <w:p w14:paraId="02A8A32C" w14:textId="5D8F1890" w:rsidR="00415C3F" w:rsidRPr="008918B2" w:rsidRDefault="00DB7476" w:rsidP="003E6200">
            <w:pPr>
              <w:pStyle w:val="NoSpacing"/>
              <w:rPr>
                <w:rFonts w:cstheme="minorHAnsi"/>
                <w:sz w:val="20"/>
                <w:szCs w:val="20"/>
              </w:rPr>
            </w:pPr>
            <w:r w:rsidRPr="008918B2">
              <w:rPr>
                <w:rFonts w:cstheme="minorHAnsi"/>
                <w:sz w:val="20"/>
                <w:szCs w:val="20"/>
              </w:rPr>
              <w:t>0.73</w:t>
            </w:r>
          </w:p>
        </w:tc>
        <w:tc>
          <w:tcPr>
            <w:tcW w:w="0" w:type="auto"/>
          </w:tcPr>
          <w:p w14:paraId="1A8889F5" w14:textId="21C824BE" w:rsidR="00415C3F" w:rsidRPr="008918B2" w:rsidRDefault="00DB7476" w:rsidP="003E6200">
            <w:pPr>
              <w:pStyle w:val="NoSpacing"/>
              <w:rPr>
                <w:rFonts w:cstheme="minorHAnsi"/>
                <w:sz w:val="20"/>
                <w:szCs w:val="20"/>
              </w:rPr>
            </w:pPr>
            <w:r w:rsidRPr="008918B2">
              <w:rPr>
                <w:rFonts w:cstheme="minorHAnsi"/>
                <w:sz w:val="20"/>
                <w:szCs w:val="20"/>
              </w:rPr>
              <w:t>0.07</w:t>
            </w:r>
          </w:p>
        </w:tc>
        <w:tc>
          <w:tcPr>
            <w:tcW w:w="0" w:type="auto"/>
          </w:tcPr>
          <w:p w14:paraId="03212D9D" w14:textId="1E81DE6A" w:rsidR="00415C3F" w:rsidRPr="008918B2" w:rsidRDefault="00DB7476" w:rsidP="003E6200">
            <w:pPr>
              <w:pStyle w:val="NoSpacing"/>
              <w:rPr>
                <w:rFonts w:cstheme="minorHAnsi"/>
                <w:sz w:val="20"/>
                <w:szCs w:val="20"/>
              </w:rPr>
            </w:pPr>
            <w:r w:rsidRPr="008918B2">
              <w:rPr>
                <w:rFonts w:cstheme="minorHAnsi"/>
                <w:sz w:val="20"/>
                <w:szCs w:val="20"/>
              </w:rPr>
              <w:t>.000</w:t>
            </w:r>
          </w:p>
        </w:tc>
        <w:tc>
          <w:tcPr>
            <w:tcW w:w="0" w:type="auto"/>
          </w:tcPr>
          <w:p w14:paraId="2ADF8D98" w14:textId="5DB04E79" w:rsidR="00415C3F" w:rsidRPr="008918B2" w:rsidRDefault="00DB7476" w:rsidP="003E6200">
            <w:pPr>
              <w:pStyle w:val="NoSpacing"/>
              <w:rPr>
                <w:rFonts w:cstheme="minorHAnsi"/>
                <w:sz w:val="20"/>
                <w:szCs w:val="20"/>
              </w:rPr>
            </w:pPr>
            <w:r w:rsidRPr="008918B2">
              <w:rPr>
                <w:rFonts w:cstheme="minorHAnsi"/>
                <w:sz w:val="20"/>
                <w:szCs w:val="20"/>
              </w:rPr>
              <w:t>0.73</w:t>
            </w:r>
          </w:p>
        </w:tc>
        <w:tc>
          <w:tcPr>
            <w:tcW w:w="0" w:type="auto"/>
          </w:tcPr>
          <w:p w14:paraId="5D47C47B" w14:textId="22510B0F" w:rsidR="00415C3F" w:rsidRPr="008918B2" w:rsidRDefault="00DB7476" w:rsidP="003E6200">
            <w:pPr>
              <w:pStyle w:val="NoSpacing"/>
              <w:rPr>
                <w:rFonts w:cstheme="minorHAnsi"/>
                <w:sz w:val="20"/>
                <w:szCs w:val="20"/>
              </w:rPr>
            </w:pPr>
            <w:r w:rsidRPr="008918B2">
              <w:rPr>
                <w:rFonts w:cstheme="minorHAnsi"/>
                <w:sz w:val="20"/>
                <w:szCs w:val="20"/>
              </w:rPr>
              <w:t>0.07</w:t>
            </w:r>
          </w:p>
        </w:tc>
        <w:tc>
          <w:tcPr>
            <w:tcW w:w="0" w:type="auto"/>
          </w:tcPr>
          <w:p w14:paraId="25497F5F" w14:textId="2E46FB33" w:rsidR="00415C3F" w:rsidRPr="008918B2" w:rsidRDefault="00DB7476" w:rsidP="003E6200">
            <w:pPr>
              <w:pStyle w:val="NoSpacing"/>
              <w:rPr>
                <w:rFonts w:cstheme="minorHAnsi"/>
                <w:sz w:val="20"/>
                <w:szCs w:val="20"/>
              </w:rPr>
            </w:pPr>
            <w:r w:rsidRPr="008918B2">
              <w:rPr>
                <w:rFonts w:cstheme="minorHAnsi"/>
                <w:sz w:val="20"/>
                <w:szCs w:val="20"/>
              </w:rPr>
              <w:t>.000</w:t>
            </w:r>
          </w:p>
        </w:tc>
      </w:tr>
      <w:tr w:rsidR="002A0648" w:rsidRPr="008918B2" w14:paraId="2D31B470" w14:textId="77777777" w:rsidTr="00A64CF2">
        <w:tc>
          <w:tcPr>
            <w:tcW w:w="0" w:type="auto"/>
          </w:tcPr>
          <w:p w14:paraId="6C5CE2EB" w14:textId="561FFA69" w:rsidR="002A0648" w:rsidRPr="008918B2" w:rsidRDefault="002A0648" w:rsidP="003E6200">
            <w:pPr>
              <w:pStyle w:val="NoSpacing"/>
              <w:rPr>
                <w:rFonts w:cstheme="minorHAnsi"/>
                <w:sz w:val="20"/>
                <w:szCs w:val="20"/>
              </w:rPr>
            </w:pPr>
            <w:r w:rsidRPr="008918B2">
              <w:rPr>
                <w:rFonts w:cstheme="minorHAnsi"/>
                <w:sz w:val="20"/>
                <w:szCs w:val="20"/>
              </w:rPr>
              <w:t>Population density</w:t>
            </w:r>
          </w:p>
        </w:tc>
        <w:tc>
          <w:tcPr>
            <w:tcW w:w="0" w:type="auto"/>
          </w:tcPr>
          <w:p w14:paraId="427A3B3F" w14:textId="617CABDA" w:rsidR="002A0648" w:rsidRPr="008918B2" w:rsidRDefault="00E537B9" w:rsidP="003E6200">
            <w:pPr>
              <w:pStyle w:val="NoSpacing"/>
              <w:rPr>
                <w:rFonts w:cstheme="minorHAnsi"/>
                <w:sz w:val="20"/>
                <w:szCs w:val="20"/>
              </w:rPr>
            </w:pPr>
            <w:r w:rsidRPr="008918B2">
              <w:rPr>
                <w:rFonts w:cstheme="minorHAnsi"/>
                <w:sz w:val="20"/>
                <w:szCs w:val="20"/>
              </w:rPr>
              <w:t xml:space="preserve">0.20 </w:t>
            </w:r>
          </w:p>
        </w:tc>
        <w:tc>
          <w:tcPr>
            <w:tcW w:w="0" w:type="auto"/>
          </w:tcPr>
          <w:p w14:paraId="663FACB0" w14:textId="06D9BBB7" w:rsidR="002A0648" w:rsidRPr="008918B2" w:rsidRDefault="00F85A8A" w:rsidP="003E6200">
            <w:pPr>
              <w:pStyle w:val="NoSpacing"/>
              <w:rPr>
                <w:rFonts w:cstheme="minorHAnsi"/>
                <w:sz w:val="20"/>
                <w:szCs w:val="20"/>
              </w:rPr>
            </w:pPr>
            <w:r w:rsidRPr="008918B2">
              <w:rPr>
                <w:rFonts w:cstheme="minorHAnsi"/>
                <w:sz w:val="20"/>
                <w:szCs w:val="20"/>
              </w:rPr>
              <w:t>0.10</w:t>
            </w:r>
          </w:p>
        </w:tc>
        <w:tc>
          <w:tcPr>
            <w:tcW w:w="0" w:type="auto"/>
          </w:tcPr>
          <w:p w14:paraId="33D0BCBF" w14:textId="1C8DCECE" w:rsidR="002A0648" w:rsidRPr="008918B2" w:rsidRDefault="00F85A8A" w:rsidP="003E6200">
            <w:pPr>
              <w:pStyle w:val="NoSpacing"/>
              <w:rPr>
                <w:rFonts w:cstheme="minorHAnsi"/>
                <w:sz w:val="20"/>
                <w:szCs w:val="20"/>
              </w:rPr>
            </w:pPr>
            <w:r w:rsidRPr="008918B2">
              <w:rPr>
                <w:rFonts w:cstheme="minorHAnsi"/>
                <w:sz w:val="20"/>
                <w:szCs w:val="20"/>
              </w:rPr>
              <w:t>.034</w:t>
            </w:r>
          </w:p>
        </w:tc>
        <w:tc>
          <w:tcPr>
            <w:tcW w:w="0" w:type="auto"/>
          </w:tcPr>
          <w:p w14:paraId="69E5B8EF" w14:textId="061F0DF3" w:rsidR="002A0648" w:rsidRPr="008918B2" w:rsidRDefault="00F85A8A" w:rsidP="003E6200">
            <w:pPr>
              <w:pStyle w:val="NoSpacing"/>
              <w:rPr>
                <w:rFonts w:cstheme="minorHAnsi"/>
                <w:sz w:val="20"/>
                <w:szCs w:val="20"/>
              </w:rPr>
            </w:pPr>
            <w:r w:rsidRPr="008918B2">
              <w:rPr>
                <w:rFonts w:cstheme="minorHAnsi"/>
                <w:sz w:val="20"/>
                <w:szCs w:val="20"/>
              </w:rPr>
              <w:t>0.20</w:t>
            </w:r>
          </w:p>
        </w:tc>
        <w:tc>
          <w:tcPr>
            <w:tcW w:w="0" w:type="auto"/>
          </w:tcPr>
          <w:p w14:paraId="2CF4A8F4" w14:textId="65D1D039" w:rsidR="002A0648" w:rsidRPr="008918B2" w:rsidRDefault="00F85A8A" w:rsidP="003E6200">
            <w:pPr>
              <w:pStyle w:val="NoSpacing"/>
              <w:rPr>
                <w:rFonts w:cstheme="minorHAnsi"/>
                <w:sz w:val="20"/>
                <w:szCs w:val="20"/>
              </w:rPr>
            </w:pPr>
            <w:r w:rsidRPr="008918B2">
              <w:rPr>
                <w:rFonts w:cstheme="minorHAnsi"/>
                <w:sz w:val="20"/>
                <w:szCs w:val="20"/>
              </w:rPr>
              <w:t>0.10</w:t>
            </w:r>
          </w:p>
        </w:tc>
        <w:tc>
          <w:tcPr>
            <w:tcW w:w="0" w:type="auto"/>
          </w:tcPr>
          <w:p w14:paraId="41026358" w14:textId="5445220B" w:rsidR="002A0648" w:rsidRPr="008918B2" w:rsidRDefault="00F85A8A" w:rsidP="003E6200">
            <w:pPr>
              <w:pStyle w:val="NoSpacing"/>
              <w:rPr>
                <w:rFonts w:cstheme="minorHAnsi"/>
                <w:sz w:val="20"/>
                <w:szCs w:val="20"/>
              </w:rPr>
            </w:pPr>
            <w:r w:rsidRPr="008918B2">
              <w:rPr>
                <w:rFonts w:cstheme="minorHAnsi"/>
                <w:sz w:val="20"/>
                <w:szCs w:val="20"/>
              </w:rPr>
              <w:t>.037</w:t>
            </w:r>
          </w:p>
        </w:tc>
        <w:tc>
          <w:tcPr>
            <w:tcW w:w="0" w:type="auto"/>
          </w:tcPr>
          <w:p w14:paraId="13AA047B" w14:textId="3F241FC6" w:rsidR="002A0648" w:rsidRPr="008918B2" w:rsidRDefault="00F85A8A" w:rsidP="003E6200">
            <w:pPr>
              <w:pStyle w:val="NoSpacing"/>
              <w:rPr>
                <w:rFonts w:cstheme="minorHAnsi"/>
                <w:sz w:val="20"/>
                <w:szCs w:val="20"/>
              </w:rPr>
            </w:pPr>
            <w:r w:rsidRPr="008918B2">
              <w:rPr>
                <w:rFonts w:cstheme="minorHAnsi"/>
                <w:sz w:val="20"/>
                <w:szCs w:val="20"/>
              </w:rPr>
              <w:t>0.20</w:t>
            </w:r>
          </w:p>
        </w:tc>
        <w:tc>
          <w:tcPr>
            <w:tcW w:w="0" w:type="auto"/>
          </w:tcPr>
          <w:p w14:paraId="7C7AB088" w14:textId="5CFB7454" w:rsidR="002A0648" w:rsidRPr="008918B2" w:rsidRDefault="00F85A8A" w:rsidP="003E6200">
            <w:pPr>
              <w:pStyle w:val="NoSpacing"/>
              <w:rPr>
                <w:rFonts w:cstheme="minorHAnsi"/>
                <w:sz w:val="20"/>
                <w:szCs w:val="20"/>
              </w:rPr>
            </w:pPr>
            <w:r w:rsidRPr="008918B2">
              <w:rPr>
                <w:rFonts w:cstheme="minorHAnsi"/>
                <w:sz w:val="20"/>
                <w:szCs w:val="20"/>
              </w:rPr>
              <w:t>0.10</w:t>
            </w:r>
          </w:p>
        </w:tc>
        <w:tc>
          <w:tcPr>
            <w:tcW w:w="0" w:type="auto"/>
          </w:tcPr>
          <w:p w14:paraId="09D3470C" w14:textId="19B2BC77" w:rsidR="002A0648" w:rsidRPr="008918B2" w:rsidRDefault="00F85A8A" w:rsidP="003E6200">
            <w:pPr>
              <w:pStyle w:val="NoSpacing"/>
              <w:rPr>
                <w:rFonts w:cstheme="minorHAnsi"/>
                <w:sz w:val="20"/>
                <w:szCs w:val="20"/>
              </w:rPr>
            </w:pPr>
            <w:r w:rsidRPr="008918B2">
              <w:rPr>
                <w:rFonts w:cstheme="minorHAnsi"/>
                <w:sz w:val="20"/>
                <w:szCs w:val="20"/>
              </w:rPr>
              <w:t>.035</w:t>
            </w:r>
          </w:p>
        </w:tc>
        <w:tc>
          <w:tcPr>
            <w:tcW w:w="0" w:type="auto"/>
          </w:tcPr>
          <w:p w14:paraId="095951BB" w14:textId="789DFA90" w:rsidR="002A0648" w:rsidRPr="008918B2" w:rsidRDefault="00F85A8A" w:rsidP="003E6200">
            <w:pPr>
              <w:pStyle w:val="NoSpacing"/>
              <w:rPr>
                <w:rFonts w:cstheme="minorHAnsi"/>
                <w:sz w:val="20"/>
                <w:szCs w:val="20"/>
              </w:rPr>
            </w:pPr>
            <w:r w:rsidRPr="008918B2">
              <w:rPr>
                <w:rFonts w:cstheme="minorHAnsi"/>
                <w:sz w:val="20"/>
                <w:szCs w:val="20"/>
              </w:rPr>
              <w:t>0.20</w:t>
            </w:r>
          </w:p>
        </w:tc>
        <w:tc>
          <w:tcPr>
            <w:tcW w:w="0" w:type="auto"/>
          </w:tcPr>
          <w:p w14:paraId="42A13984" w14:textId="115D7B36" w:rsidR="002A0648" w:rsidRPr="008918B2" w:rsidRDefault="00DB7476" w:rsidP="003E6200">
            <w:pPr>
              <w:pStyle w:val="NoSpacing"/>
              <w:rPr>
                <w:rFonts w:cstheme="minorHAnsi"/>
                <w:sz w:val="20"/>
                <w:szCs w:val="20"/>
              </w:rPr>
            </w:pPr>
            <w:r w:rsidRPr="008918B2">
              <w:rPr>
                <w:rFonts w:cstheme="minorHAnsi"/>
                <w:sz w:val="20"/>
                <w:szCs w:val="20"/>
              </w:rPr>
              <w:t>0.10</w:t>
            </w:r>
          </w:p>
        </w:tc>
        <w:tc>
          <w:tcPr>
            <w:tcW w:w="0" w:type="auto"/>
          </w:tcPr>
          <w:p w14:paraId="3E285AD7" w14:textId="2A16B80B" w:rsidR="002A0648" w:rsidRPr="008918B2" w:rsidRDefault="00DB7476" w:rsidP="003E6200">
            <w:pPr>
              <w:pStyle w:val="NoSpacing"/>
              <w:rPr>
                <w:rFonts w:cstheme="minorHAnsi"/>
                <w:sz w:val="20"/>
                <w:szCs w:val="20"/>
              </w:rPr>
            </w:pPr>
            <w:r w:rsidRPr="008918B2">
              <w:rPr>
                <w:rFonts w:cstheme="minorHAnsi"/>
                <w:sz w:val="20"/>
                <w:szCs w:val="20"/>
              </w:rPr>
              <w:t>.036</w:t>
            </w:r>
          </w:p>
        </w:tc>
      </w:tr>
      <w:tr w:rsidR="002A0648" w:rsidRPr="008918B2" w14:paraId="2B46C355" w14:textId="77777777" w:rsidTr="00A64CF2">
        <w:tc>
          <w:tcPr>
            <w:tcW w:w="0" w:type="auto"/>
          </w:tcPr>
          <w:p w14:paraId="773776D9" w14:textId="5D011E53" w:rsidR="002A0648" w:rsidRPr="008918B2" w:rsidRDefault="002A0648" w:rsidP="003E6200">
            <w:pPr>
              <w:pStyle w:val="NoSpacing"/>
              <w:rPr>
                <w:rFonts w:cstheme="minorHAnsi"/>
                <w:sz w:val="20"/>
                <w:szCs w:val="20"/>
              </w:rPr>
            </w:pPr>
            <w:r w:rsidRPr="008918B2">
              <w:rPr>
                <w:rFonts w:cstheme="minorHAnsi"/>
                <w:sz w:val="20"/>
                <w:szCs w:val="20"/>
              </w:rPr>
              <w:t>% African American</w:t>
            </w:r>
          </w:p>
        </w:tc>
        <w:tc>
          <w:tcPr>
            <w:tcW w:w="0" w:type="auto"/>
          </w:tcPr>
          <w:p w14:paraId="25D74C8F" w14:textId="46DF7924" w:rsidR="002A0648" w:rsidRPr="008918B2" w:rsidRDefault="00E537B9" w:rsidP="003E6200">
            <w:pPr>
              <w:pStyle w:val="NoSpacing"/>
              <w:rPr>
                <w:rFonts w:cstheme="minorHAnsi"/>
                <w:sz w:val="20"/>
                <w:szCs w:val="20"/>
              </w:rPr>
            </w:pPr>
            <w:r w:rsidRPr="008918B2">
              <w:rPr>
                <w:rFonts w:cstheme="minorHAnsi"/>
                <w:sz w:val="20"/>
                <w:szCs w:val="20"/>
              </w:rPr>
              <w:t xml:space="preserve">1.13 </w:t>
            </w:r>
          </w:p>
        </w:tc>
        <w:tc>
          <w:tcPr>
            <w:tcW w:w="0" w:type="auto"/>
          </w:tcPr>
          <w:p w14:paraId="4FA0C8D0" w14:textId="06373857" w:rsidR="002A0648" w:rsidRPr="008918B2" w:rsidRDefault="00F85A8A" w:rsidP="003E6200">
            <w:pPr>
              <w:pStyle w:val="NoSpacing"/>
              <w:rPr>
                <w:rFonts w:cstheme="minorHAnsi"/>
                <w:sz w:val="20"/>
                <w:szCs w:val="20"/>
              </w:rPr>
            </w:pPr>
            <w:r w:rsidRPr="008918B2">
              <w:rPr>
                <w:rFonts w:cstheme="minorHAnsi"/>
                <w:sz w:val="20"/>
                <w:szCs w:val="20"/>
              </w:rPr>
              <w:t>0.65</w:t>
            </w:r>
          </w:p>
        </w:tc>
        <w:tc>
          <w:tcPr>
            <w:tcW w:w="0" w:type="auto"/>
          </w:tcPr>
          <w:p w14:paraId="6644BC9C" w14:textId="5583AE7A" w:rsidR="002A0648" w:rsidRPr="008918B2" w:rsidRDefault="00F85A8A" w:rsidP="003E6200">
            <w:pPr>
              <w:pStyle w:val="NoSpacing"/>
              <w:rPr>
                <w:rFonts w:cstheme="minorHAnsi"/>
                <w:sz w:val="20"/>
                <w:szCs w:val="20"/>
              </w:rPr>
            </w:pPr>
            <w:r w:rsidRPr="008918B2">
              <w:rPr>
                <w:rFonts w:cstheme="minorHAnsi"/>
                <w:sz w:val="20"/>
                <w:szCs w:val="20"/>
              </w:rPr>
              <w:t>.080</w:t>
            </w:r>
          </w:p>
        </w:tc>
        <w:tc>
          <w:tcPr>
            <w:tcW w:w="0" w:type="auto"/>
          </w:tcPr>
          <w:p w14:paraId="76049FD5" w14:textId="44E2E73D" w:rsidR="002A0648" w:rsidRPr="008918B2" w:rsidRDefault="00F85A8A" w:rsidP="003E6200">
            <w:pPr>
              <w:pStyle w:val="NoSpacing"/>
              <w:rPr>
                <w:rFonts w:cstheme="minorHAnsi"/>
                <w:sz w:val="20"/>
                <w:szCs w:val="20"/>
              </w:rPr>
            </w:pPr>
            <w:r w:rsidRPr="008918B2">
              <w:rPr>
                <w:rFonts w:cstheme="minorHAnsi"/>
                <w:sz w:val="20"/>
                <w:szCs w:val="20"/>
              </w:rPr>
              <w:t>1.12</w:t>
            </w:r>
          </w:p>
        </w:tc>
        <w:tc>
          <w:tcPr>
            <w:tcW w:w="0" w:type="auto"/>
          </w:tcPr>
          <w:p w14:paraId="2A74B58D" w14:textId="06AD1A25" w:rsidR="002A0648" w:rsidRPr="008918B2" w:rsidRDefault="00F85A8A" w:rsidP="003E6200">
            <w:pPr>
              <w:pStyle w:val="NoSpacing"/>
              <w:rPr>
                <w:rFonts w:cstheme="minorHAnsi"/>
                <w:sz w:val="20"/>
                <w:szCs w:val="20"/>
              </w:rPr>
            </w:pPr>
            <w:r w:rsidRPr="008918B2">
              <w:rPr>
                <w:rFonts w:cstheme="minorHAnsi"/>
                <w:sz w:val="20"/>
                <w:szCs w:val="20"/>
              </w:rPr>
              <w:t>0.65</w:t>
            </w:r>
          </w:p>
        </w:tc>
        <w:tc>
          <w:tcPr>
            <w:tcW w:w="0" w:type="auto"/>
          </w:tcPr>
          <w:p w14:paraId="5A65AFC6" w14:textId="531D5ADE" w:rsidR="002A0648" w:rsidRPr="008918B2" w:rsidRDefault="00F85A8A" w:rsidP="003E6200">
            <w:pPr>
              <w:pStyle w:val="NoSpacing"/>
              <w:rPr>
                <w:rFonts w:cstheme="minorHAnsi"/>
                <w:sz w:val="20"/>
                <w:szCs w:val="20"/>
              </w:rPr>
            </w:pPr>
            <w:r w:rsidRPr="008918B2">
              <w:rPr>
                <w:rFonts w:cstheme="minorHAnsi"/>
                <w:sz w:val="20"/>
                <w:szCs w:val="20"/>
              </w:rPr>
              <w:t>.082</w:t>
            </w:r>
          </w:p>
        </w:tc>
        <w:tc>
          <w:tcPr>
            <w:tcW w:w="0" w:type="auto"/>
          </w:tcPr>
          <w:p w14:paraId="0A1518B3" w14:textId="09EC8618" w:rsidR="002A0648" w:rsidRPr="008918B2" w:rsidRDefault="00F85A8A" w:rsidP="003E6200">
            <w:pPr>
              <w:pStyle w:val="NoSpacing"/>
              <w:rPr>
                <w:rFonts w:cstheme="minorHAnsi"/>
                <w:sz w:val="20"/>
                <w:szCs w:val="20"/>
              </w:rPr>
            </w:pPr>
            <w:r w:rsidRPr="008918B2">
              <w:rPr>
                <w:rFonts w:cstheme="minorHAnsi"/>
                <w:sz w:val="20"/>
                <w:szCs w:val="20"/>
              </w:rPr>
              <w:t>1.09</w:t>
            </w:r>
          </w:p>
        </w:tc>
        <w:tc>
          <w:tcPr>
            <w:tcW w:w="0" w:type="auto"/>
          </w:tcPr>
          <w:p w14:paraId="66612F5E" w14:textId="0607BBE5" w:rsidR="002A0648" w:rsidRPr="008918B2" w:rsidRDefault="00F85A8A" w:rsidP="003E6200">
            <w:pPr>
              <w:pStyle w:val="NoSpacing"/>
              <w:rPr>
                <w:rFonts w:cstheme="minorHAnsi"/>
                <w:sz w:val="20"/>
                <w:szCs w:val="20"/>
              </w:rPr>
            </w:pPr>
            <w:r w:rsidRPr="008918B2">
              <w:rPr>
                <w:rFonts w:cstheme="minorHAnsi"/>
                <w:sz w:val="20"/>
                <w:szCs w:val="20"/>
              </w:rPr>
              <w:t>0.65</w:t>
            </w:r>
          </w:p>
        </w:tc>
        <w:tc>
          <w:tcPr>
            <w:tcW w:w="0" w:type="auto"/>
          </w:tcPr>
          <w:p w14:paraId="396306A9" w14:textId="0643E699" w:rsidR="002A0648" w:rsidRPr="008918B2" w:rsidRDefault="00F85A8A" w:rsidP="003E6200">
            <w:pPr>
              <w:pStyle w:val="NoSpacing"/>
              <w:rPr>
                <w:rFonts w:cstheme="minorHAnsi"/>
                <w:sz w:val="20"/>
                <w:szCs w:val="20"/>
              </w:rPr>
            </w:pPr>
            <w:r w:rsidRPr="008918B2">
              <w:rPr>
                <w:rFonts w:cstheme="minorHAnsi"/>
                <w:sz w:val="20"/>
                <w:szCs w:val="20"/>
              </w:rPr>
              <w:t>.094</w:t>
            </w:r>
          </w:p>
        </w:tc>
        <w:tc>
          <w:tcPr>
            <w:tcW w:w="0" w:type="auto"/>
          </w:tcPr>
          <w:p w14:paraId="27034F3F" w14:textId="6DBDBC33" w:rsidR="002A0648" w:rsidRPr="008918B2" w:rsidRDefault="00F85A8A" w:rsidP="003E6200">
            <w:pPr>
              <w:pStyle w:val="NoSpacing"/>
              <w:rPr>
                <w:rFonts w:cstheme="minorHAnsi"/>
                <w:sz w:val="20"/>
                <w:szCs w:val="20"/>
              </w:rPr>
            </w:pPr>
            <w:r w:rsidRPr="008918B2">
              <w:rPr>
                <w:rFonts w:cstheme="minorHAnsi"/>
                <w:sz w:val="20"/>
                <w:szCs w:val="20"/>
              </w:rPr>
              <w:t>1.07</w:t>
            </w:r>
          </w:p>
        </w:tc>
        <w:tc>
          <w:tcPr>
            <w:tcW w:w="0" w:type="auto"/>
          </w:tcPr>
          <w:p w14:paraId="4503F329" w14:textId="62EC1110" w:rsidR="002A0648" w:rsidRPr="008918B2" w:rsidRDefault="00F85A8A" w:rsidP="003E6200">
            <w:pPr>
              <w:pStyle w:val="NoSpacing"/>
              <w:rPr>
                <w:rFonts w:cstheme="minorHAnsi"/>
                <w:sz w:val="20"/>
                <w:szCs w:val="20"/>
              </w:rPr>
            </w:pPr>
            <w:r w:rsidRPr="008918B2">
              <w:rPr>
                <w:rFonts w:cstheme="minorHAnsi"/>
                <w:sz w:val="20"/>
                <w:szCs w:val="20"/>
              </w:rPr>
              <w:t>0.65</w:t>
            </w:r>
          </w:p>
        </w:tc>
        <w:tc>
          <w:tcPr>
            <w:tcW w:w="0" w:type="auto"/>
          </w:tcPr>
          <w:p w14:paraId="43944C7A" w14:textId="55ABC8E6" w:rsidR="002A0648" w:rsidRPr="008918B2" w:rsidRDefault="00F85A8A" w:rsidP="003E6200">
            <w:pPr>
              <w:pStyle w:val="NoSpacing"/>
              <w:rPr>
                <w:rFonts w:cstheme="minorHAnsi"/>
                <w:sz w:val="20"/>
                <w:szCs w:val="20"/>
              </w:rPr>
            </w:pPr>
            <w:r w:rsidRPr="008918B2">
              <w:rPr>
                <w:rFonts w:cstheme="minorHAnsi"/>
                <w:sz w:val="20"/>
                <w:szCs w:val="20"/>
              </w:rPr>
              <w:t>.091</w:t>
            </w:r>
          </w:p>
        </w:tc>
      </w:tr>
      <w:tr w:rsidR="002A0648" w:rsidRPr="008918B2" w14:paraId="1A6EA0F2" w14:textId="77777777" w:rsidTr="00A64CF2">
        <w:tc>
          <w:tcPr>
            <w:tcW w:w="0" w:type="auto"/>
          </w:tcPr>
          <w:p w14:paraId="429031D7" w14:textId="1253BA7C" w:rsidR="002A0648" w:rsidRPr="008918B2" w:rsidRDefault="00E461B9" w:rsidP="003E6200">
            <w:pPr>
              <w:pStyle w:val="NoSpacing"/>
              <w:rPr>
                <w:rFonts w:cstheme="minorHAnsi"/>
                <w:sz w:val="20"/>
                <w:szCs w:val="20"/>
              </w:rPr>
            </w:pPr>
            <w:r w:rsidRPr="008918B2">
              <w:rPr>
                <w:rFonts w:cstheme="minorHAnsi"/>
                <w:sz w:val="20"/>
                <w:szCs w:val="20"/>
              </w:rPr>
              <w:t xml:space="preserve">Off </w:t>
            </w:r>
            <w:r w:rsidRPr="008918B2">
              <w:rPr>
                <w:rFonts w:ascii="Cambria Math" w:hAnsi="Cambria Math" w:cs="Cambria Math"/>
                <w:sz w:val="20"/>
                <w:szCs w:val="20"/>
              </w:rPr>
              <w:t>⨯</w:t>
            </w:r>
            <w:r w:rsidRPr="008918B2">
              <w:rPr>
                <w:rFonts w:cstheme="minorHAnsi"/>
                <w:sz w:val="20"/>
                <w:szCs w:val="20"/>
              </w:rPr>
              <w:t xml:space="preserve"> Disorganization</w:t>
            </w:r>
          </w:p>
        </w:tc>
        <w:tc>
          <w:tcPr>
            <w:tcW w:w="0" w:type="auto"/>
          </w:tcPr>
          <w:p w14:paraId="30D4E012" w14:textId="1E3C4965" w:rsidR="002A0648" w:rsidRPr="008918B2" w:rsidRDefault="00E537B9" w:rsidP="003E6200">
            <w:pPr>
              <w:pStyle w:val="NoSpacing"/>
              <w:rPr>
                <w:rFonts w:cstheme="minorHAnsi"/>
                <w:sz w:val="20"/>
                <w:szCs w:val="20"/>
              </w:rPr>
            </w:pPr>
            <w:r w:rsidRPr="008918B2">
              <w:rPr>
                <w:rFonts w:cstheme="minorHAnsi"/>
                <w:sz w:val="20"/>
                <w:szCs w:val="20"/>
              </w:rPr>
              <w:t xml:space="preserve">– </w:t>
            </w:r>
          </w:p>
        </w:tc>
        <w:tc>
          <w:tcPr>
            <w:tcW w:w="0" w:type="auto"/>
          </w:tcPr>
          <w:p w14:paraId="71A4D9A5" w14:textId="09D85746" w:rsidR="002A0648" w:rsidRPr="008918B2" w:rsidRDefault="00F85A8A" w:rsidP="003E6200">
            <w:pPr>
              <w:pStyle w:val="NoSpacing"/>
              <w:rPr>
                <w:rFonts w:cstheme="minorHAnsi"/>
                <w:sz w:val="20"/>
                <w:szCs w:val="20"/>
              </w:rPr>
            </w:pPr>
            <w:r w:rsidRPr="008918B2">
              <w:rPr>
                <w:rFonts w:cstheme="minorHAnsi"/>
                <w:sz w:val="20"/>
                <w:szCs w:val="20"/>
              </w:rPr>
              <w:t>–</w:t>
            </w:r>
          </w:p>
        </w:tc>
        <w:tc>
          <w:tcPr>
            <w:tcW w:w="0" w:type="auto"/>
          </w:tcPr>
          <w:p w14:paraId="5C3E773D" w14:textId="38654222" w:rsidR="002A0648" w:rsidRPr="008918B2" w:rsidRDefault="00F85A8A" w:rsidP="003E6200">
            <w:pPr>
              <w:pStyle w:val="NoSpacing"/>
              <w:rPr>
                <w:rFonts w:cstheme="minorHAnsi"/>
                <w:sz w:val="20"/>
                <w:szCs w:val="20"/>
              </w:rPr>
            </w:pPr>
            <w:r w:rsidRPr="008918B2">
              <w:rPr>
                <w:rFonts w:cstheme="minorHAnsi"/>
                <w:sz w:val="20"/>
                <w:szCs w:val="20"/>
              </w:rPr>
              <w:t>–</w:t>
            </w:r>
          </w:p>
        </w:tc>
        <w:tc>
          <w:tcPr>
            <w:tcW w:w="0" w:type="auto"/>
          </w:tcPr>
          <w:p w14:paraId="6371595E" w14:textId="0378B2EC" w:rsidR="002A0648" w:rsidRPr="008918B2" w:rsidRDefault="00F85A8A" w:rsidP="003E6200">
            <w:pPr>
              <w:pStyle w:val="NoSpacing"/>
              <w:rPr>
                <w:rFonts w:cstheme="minorHAnsi"/>
                <w:sz w:val="20"/>
                <w:szCs w:val="20"/>
              </w:rPr>
            </w:pPr>
            <w:r w:rsidRPr="008918B2">
              <w:rPr>
                <w:rFonts w:cstheme="minorHAnsi"/>
                <w:sz w:val="20"/>
                <w:szCs w:val="20"/>
              </w:rPr>
              <w:t>0.02</w:t>
            </w:r>
          </w:p>
        </w:tc>
        <w:tc>
          <w:tcPr>
            <w:tcW w:w="0" w:type="auto"/>
          </w:tcPr>
          <w:p w14:paraId="0E7E4ECE" w14:textId="42EA086B" w:rsidR="002A0648" w:rsidRPr="008918B2" w:rsidRDefault="00F85A8A" w:rsidP="003E6200">
            <w:pPr>
              <w:pStyle w:val="NoSpacing"/>
              <w:rPr>
                <w:rFonts w:cstheme="minorHAnsi"/>
                <w:sz w:val="20"/>
                <w:szCs w:val="20"/>
              </w:rPr>
            </w:pPr>
            <w:r w:rsidRPr="008918B2">
              <w:rPr>
                <w:rFonts w:cstheme="minorHAnsi"/>
                <w:sz w:val="20"/>
                <w:szCs w:val="20"/>
              </w:rPr>
              <w:t>0.04</w:t>
            </w:r>
          </w:p>
        </w:tc>
        <w:tc>
          <w:tcPr>
            <w:tcW w:w="0" w:type="auto"/>
          </w:tcPr>
          <w:p w14:paraId="1EA1FEA5" w14:textId="6788B8FC" w:rsidR="002A0648" w:rsidRPr="008918B2" w:rsidRDefault="00F85A8A" w:rsidP="003E6200">
            <w:pPr>
              <w:pStyle w:val="NoSpacing"/>
              <w:rPr>
                <w:rFonts w:cstheme="minorHAnsi"/>
                <w:sz w:val="20"/>
                <w:szCs w:val="20"/>
              </w:rPr>
            </w:pPr>
            <w:r w:rsidRPr="008918B2">
              <w:rPr>
                <w:rFonts w:cstheme="minorHAnsi"/>
                <w:sz w:val="20"/>
                <w:szCs w:val="20"/>
              </w:rPr>
              <w:t>.556</w:t>
            </w:r>
          </w:p>
        </w:tc>
        <w:tc>
          <w:tcPr>
            <w:tcW w:w="0" w:type="auto"/>
          </w:tcPr>
          <w:p w14:paraId="47B2B032" w14:textId="74180E4C" w:rsidR="002A0648" w:rsidRPr="008918B2" w:rsidRDefault="00F85A8A" w:rsidP="003E6200">
            <w:pPr>
              <w:pStyle w:val="NoSpacing"/>
              <w:rPr>
                <w:rFonts w:cstheme="minorHAnsi"/>
                <w:sz w:val="20"/>
                <w:szCs w:val="20"/>
              </w:rPr>
            </w:pPr>
            <w:r w:rsidRPr="008918B2">
              <w:rPr>
                <w:rFonts w:cstheme="minorHAnsi"/>
                <w:sz w:val="20"/>
                <w:szCs w:val="20"/>
              </w:rPr>
              <w:t>–</w:t>
            </w:r>
          </w:p>
        </w:tc>
        <w:tc>
          <w:tcPr>
            <w:tcW w:w="0" w:type="auto"/>
          </w:tcPr>
          <w:p w14:paraId="2D1E471B" w14:textId="425D5346" w:rsidR="002A0648" w:rsidRPr="008918B2" w:rsidRDefault="00F85A8A" w:rsidP="003E6200">
            <w:pPr>
              <w:pStyle w:val="NoSpacing"/>
              <w:rPr>
                <w:rFonts w:cstheme="minorHAnsi"/>
                <w:sz w:val="20"/>
                <w:szCs w:val="20"/>
              </w:rPr>
            </w:pPr>
            <w:r w:rsidRPr="008918B2">
              <w:rPr>
                <w:rFonts w:cstheme="minorHAnsi"/>
                <w:sz w:val="20"/>
                <w:szCs w:val="20"/>
              </w:rPr>
              <w:t>–</w:t>
            </w:r>
          </w:p>
        </w:tc>
        <w:tc>
          <w:tcPr>
            <w:tcW w:w="0" w:type="auto"/>
          </w:tcPr>
          <w:p w14:paraId="7D9AA195" w14:textId="506C2A8C" w:rsidR="002A0648" w:rsidRPr="008918B2" w:rsidRDefault="00F85A8A" w:rsidP="003E6200">
            <w:pPr>
              <w:pStyle w:val="NoSpacing"/>
              <w:rPr>
                <w:rFonts w:cstheme="minorHAnsi"/>
                <w:sz w:val="20"/>
                <w:szCs w:val="20"/>
              </w:rPr>
            </w:pPr>
            <w:r w:rsidRPr="008918B2">
              <w:rPr>
                <w:rFonts w:cstheme="minorHAnsi"/>
                <w:sz w:val="20"/>
                <w:szCs w:val="20"/>
              </w:rPr>
              <w:t>–</w:t>
            </w:r>
          </w:p>
        </w:tc>
        <w:tc>
          <w:tcPr>
            <w:tcW w:w="0" w:type="auto"/>
          </w:tcPr>
          <w:p w14:paraId="3035DBF9" w14:textId="441C6195" w:rsidR="002A0648" w:rsidRPr="008918B2" w:rsidRDefault="00F85A8A" w:rsidP="003E6200">
            <w:pPr>
              <w:pStyle w:val="NoSpacing"/>
              <w:rPr>
                <w:rFonts w:cstheme="minorHAnsi"/>
                <w:sz w:val="20"/>
                <w:szCs w:val="20"/>
              </w:rPr>
            </w:pPr>
            <w:r w:rsidRPr="008918B2">
              <w:rPr>
                <w:rFonts w:cstheme="minorHAnsi"/>
                <w:sz w:val="20"/>
                <w:szCs w:val="20"/>
              </w:rPr>
              <w:t>–</w:t>
            </w:r>
          </w:p>
        </w:tc>
        <w:tc>
          <w:tcPr>
            <w:tcW w:w="0" w:type="auto"/>
          </w:tcPr>
          <w:p w14:paraId="1D44A944" w14:textId="321DC36B" w:rsidR="002A0648" w:rsidRPr="008918B2" w:rsidRDefault="00F85A8A" w:rsidP="003E6200">
            <w:pPr>
              <w:pStyle w:val="NoSpacing"/>
              <w:rPr>
                <w:rFonts w:cstheme="minorHAnsi"/>
                <w:sz w:val="20"/>
                <w:szCs w:val="20"/>
              </w:rPr>
            </w:pPr>
            <w:r w:rsidRPr="008918B2">
              <w:rPr>
                <w:rFonts w:cstheme="minorHAnsi"/>
                <w:sz w:val="20"/>
                <w:szCs w:val="20"/>
              </w:rPr>
              <w:t>–</w:t>
            </w:r>
          </w:p>
        </w:tc>
        <w:tc>
          <w:tcPr>
            <w:tcW w:w="0" w:type="auto"/>
          </w:tcPr>
          <w:p w14:paraId="6E1E45F4" w14:textId="1CC2262E" w:rsidR="002A0648" w:rsidRPr="008918B2" w:rsidRDefault="00F85A8A" w:rsidP="003E6200">
            <w:pPr>
              <w:pStyle w:val="NoSpacing"/>
              <w:rPr>
                <w:rFonts w:cstheme="minorHAnsi"/>
                <w:sz w:val="20"/>
                <w:szCs w:val="20"/>
              </w:rPr>
            </w:pPr>
            <w:r w:rsidRPr="008918B2">
              <w:rPr>
                <w:rFonts w:cstheme="minorHAnsi"/>
                <w:sz w:val="20"/>
                <w:szCs w:val="20"/>
              </w:rPr>
              <w:t>–</w:t>
            </w:r>
          </w:p>
        </w:tc>
      </w:tr>
      <w:tr w:rsidR="002A0648" w:rsidRPr="008918B2" w14:paraId="68205A30" w14:textId="77777777" w:rsidTr="00A64CF2">
        <w:tc>
          <w:tcPr>
            <w:tcW w:w="0" w:type="auto"/>
          </w:tcPr>
          <w:p w14:paraId="0BB8FE7F" w14:textId="779DE667" w:rsidR="002A0648" w:rsidRPr="008918B2" w:rsidRDefault="00E461B9" w:rsidP="003E6200">
            <w:pPr>
              <w:pStyle w:val="NoSpacing"/>
              <w:rPr>
                <w:rFonts w:cstheme="minorHAnsi"/>
                <w:sz w:val="20"/>
                <w:szCs w:val="20"/>
              </w:rPr>
            </w:pPr>
            <w:r w:rsidRPr="008918B2">
              <w:rPr>
                <w:rFonts w:cstheme="minorHAnsi"/>
                <w:sz w:val="20"/>
                <w:szCs w:val="20"/>
              </w:rPr>
              <w:t xml:space="preserve">Bar </w:t>
            </w:r>
            <w:r w:rsidRPr="008918B2">
              <w:rPr>
                <w:rFonts w:ascii="Cambria Math" w:hAnsi="Cambria Math" w:cs="Cambria Math"/>
                <w:sz w:val="20"/>
                <w:szCs w:val="20"/>
              </w:rPr>
              <w:t>⨯</w:t>
            </w:r>
            <w:r w:rsidRPr="008918B2">
              <w:rPr>
                <w:rFonts w:cstheme="minorHAnsi"/>
                <w:sz w:val="20"/>
                <w:szCs w:val="20"/>
              </w:rPr>
              <w:t xml:space="preserve"> Disorganization</w:t>
            </w:r>
          </w:p>
        </w:tc>
        <w:tc>
          <w:tcPr>
            <w:tcW w:w="0" w:type="auto"/>
          </w:tcPr>
          <w:p w14:paraId="530803B6" w14:textId="21EAA0BF" w:rsidR="002A0648" w:rsidRPr="008918B2" w:rsidRDefault="00E537B9" w:rsidP="003E6200">
            <w:pPr>
              <w:pStyle w:val="NoSpacing"/>
              <w:rPr>
                <w:rFonts w:cstheme="minorHAnsi"/>
                <w:sz w:val="20"/>
                <w:szCs w:val="20"/>
              </w:rPr>
            </w:pPr>
            <w:r w:rsidRPr="008918B2">
              <w:rPr>
                <w:rFonts w:cstheme="minorHAnsi"/>
                <w:sz w:val="20"/>
                <w:szCs w:val="20"/>
              </w:rPr>
              <w:t xml:space="preserve">– </w:t>
            </w:r>
          </w:p>
        </w:tc>
        <w:tc>
          <w:tcPr>
            <w:tcW w:w="0" w:type="auto"/>
          </w:tcPr>
          <w:p w14:paraId="75833215" w14:textId="4125927C" w:rsidR="002A0648" w:rsidRPr="008918B2" w:rsidRDefault="00F85A8A" w:rsidP="003E6200">
            <w:pPr>
              <w:pStyle w:val="NoSpacing"/>
              <w:rPr>
                <w:rFonts w:cstheme="minorHAnsi"/>
                <w:sz w:val="20"/>
                <w:szCs w:val="20"/>
              </w:rPr>
            </w:pPr>
            <w:r w:rsidRPr="008918B2">
              <w:rPr>
                <w:rFonts w:cstheme="minorHAnsi"/>
                <w:sz w:val="20"/>
                <w:szCs w:val="20"/>
              </w:rPr>
              <w:t>–</w:t>
            </w:r>
          </w:p>
        </w:tc>
        <w:tc>
          <w:tcPr>
            <w:tcW w:w="0" w:type="auto"/>
          </w:tcPr>
          <w:p w14:paraId="45254F15" w14:textId="7CB7064B" w:rsidR="002A0648" w:rsidRPr="008918B2" w:rsidRDefault="00F85A8A" w:rsidP="003E6200">
            <w:pPr>
              <w:pStyle w:val="NoSpacing"/>
              <w:rPr>
                <w:rFonts w:cstheme="minorHAnsi"/>
                <w:sz w:val="20"/>
                <w:szCs w:val="20"/>
              </w:rPr>
            </w:pPr>
            <w:r w:rsidRPr="008918B2">
              <w:rPr>
                <w:rFonts w:cstheme="minorHAnsi"/>
                <w:sz w:val="20"/>
                <w:szCs w:val="20"/>
              </w:rPr>
              <w:t>–</w:t>
            </w:r>
          </w:p>
        </w:tc>
        <w:tc>
          <w:tcPr>
            <w:tcW w:w="0" w:type="auto"/>
          </w:tcPr>
          <w:p w14:paraId="4357B16B" w14:textId="0D2AA1AA" w:rsidR="002A0648" w:rsidRPr="008918B2" w:rsidRDefault="00F85A8A" w:rsidP="003E6200">
            <w:pPr>
              <w:pStyle w:val="NoSpacing"/>
              <w:rPr>
                <w:rFonts w:cstheme="minorHAnsi"/>
                <w:sz w:val="20"/>
                <w:szCs w:val="20"/>
              </w:rPr>
            </w:pPr>
            <w:r w:rsidRPr="008918B2">
              <w:rPr>
                <w:rFonts w:cstheme="minorHAnsi"/>
                <w:sz w:val="20"/>
                <w:szCs w:val="20"/>
              </w:rPr>
              <w:t>–</w:t>
            </w:r>
          </w:p>
        </w:tc>
        <w:tc>
          <w:tcPr>
            <w:tcW w:w="0" w:type="auto"/>
          </w:tcPr>
          <w:p w14:paraId="163E3914" w14:textId="6D237755" w:rsidR="002A0648" w:rsidRPr="008918B2" w:rsidRDefault="00F85A8A" w:rsidP="003E6200">
            <w:pPr>
              <w:pStyle w:val="NoSpacing"/>
              <w:rPr>
                <w:rFonts w:cstheme="minorHAnsi"/>
                <w:sz w:val="20"/>
                <w:szCs w:val="20"/>
              </w:rPr>
            </w:pPr>
            <w:r w:rsidRPr="008918B2">
              <w:rPr>
                <w:rFonts w:cstheme="minorHAnsi"/>
                <w:sz w:val="20"/>
                <w:szCs w:val="20"/>
              </w:rPr>
              <w:t>–</w:t>
            </w:r>
          </w:p>
        </w:tc>
        <w:tc>
          <w:tcPr>
            <w:tcW w:w="0" w:type="auto"/>
          </w:tcPr>
          <w:p w14:paraId="6C207A9F" w14:textId="6D283322" w:rsidR="002A0648" w:rsidRPr="008918B2" w:rsidRDefault="00F85A8A" w:rsidP="003E6200">
            <w:pPr>
              <w:pStyle w:val="NoSpacing"/>
              <w:rPr>
                <w:rFonts w:cstheme="minorHAnsi"/>
                <w:sz w:val="20"/>
                <w:szCs w:val="20"/>
              </w:rPr>
            </w:pPr>
            <w:r w:rsidRPr="008918B2">
              <w:rPr>
                <w:rFonts w:cstheme="minorHAnsi"/>
                <w:sz w:val="20"/>
                <w:szCs w:val="20"/>
              </w:rPr>
              <w:t>–</w:t>
            </w:r>
          </w:p>
        </w:tc>
        <w:tc>
          <w:tcPr>
            <w:tcW w:w="0" w:type="auto"/>
          </w:tcPr>
          <w:p w14:paraId="350D151B" w14:textId="613D3FF5" w:rsidR="002A0648" w:rsidRPr="008918B2" w:rsidRDefault="00F85A8A" w:rsidP="003E6200">
            <w:pPr>
              <w:pStyle w:val="NoSpacing"/>
              <w:rPr>
                <w:rFonts w:cstheme="minorHAnsi"/>
                <w:sz w:val="20"/>
                <w:szCs w:val="20"/>
              </w:rPr>
            </w:pPr>
            <w:r w:rsidRPr="008918B2">
              <w:rPr>
                <w:rFonts w:cstheme="minorHAnsi"/>
                <w:sz w:val="20"/>
                <w:szCs w:val="20"/>
              </w:rPr>
              <w:t>0.03</w:t>
            </w:r>
          </w:p>
        </w:tc>
        <w:tc>
          <w:tcPr>
            <w:tcW w:w="0" w:type="auto"/>
          </w:tcPr>
          <w:p w14:paraId="51EF83A6" w14:textId="006145F5" w:rsidR="002A0648" w:rsidRPr="008918B2" w:rsidRDefault="00F85A8A" w:rsidP="003E6200">
            <w:pPr>
              <w:pStyle w:val="NoSpacing"/>
              <w:rPr>
                <w:rFonts w:cstheme="minorHAnsi"/>
                <w:sz w:val="20"/>
                <w:szCs w:val="20"/>
              </w:rPr>
            </w:pPr>
            <w:r w:rsidRPr="008918B2">
              <w:rPr>
                <w:rFonts w:cstheme="minorHAnsi"/>
                <w:sz w:val="20"/>
                <w:szCs w:val="20"/>
              </w:rPr>
              <w:t>0.04</w:t>
            </w:r>
          </w:p>
        </w:tc>
        <w:tc>
          <w:tcPr>
            <w:tcW w:w="0" w:type="auto"/>
          </w:tcPr>
          <w:p w14:paraId="6C9A6526" w14:textId="02D7B009" w:rsidR="002A0648" w:rsidRPr="008918B2" w:rsidRDefault="00F85A8A" w:rsidP="003E6200">
            <w:pPr>
              <w:pStyle w:val="NoSpacing"/>
              <w:rPr>
                <w:rFonts w:cstheme="minorHAnsi"/>
                <w:sz w:val="20"/>
                <w:szCs w:val="20"/>
              </w:rPr>
            </w:pPr>
            <w:r w:rsidRPr="008918B2">
              <w:rPr>
                <w:rFonts w:cstheme="minorHAnsi"/>
                <w:sz w:val="20"/>
                <w:szCs w:val="20"/>
              </w:rPr>
              <w:t>.459</w:t>
            </w:r>
          </w:p>
        </w:tc>
        <w:tc>
          <w:tcPr>
            <w:tcW w:w="0" w:type="auto"/>
          </w:tcPr>
          <w:p w14:paraId="7A274794" w14:textId="27F305A3" w:rsidR="002A0648" w:rsidRPr="008918B2" w:rsidRDefault="00F85A8A" w:rsidP="003E6200">
            <w:pPr>
              <w:pStyle w:val="NoSpacing"/>
              <w:rPr>
                <w:rFonts w:cstheme="minorHAnsi"/>
                <w:sz w:val="20"/>
                <w:szCs w:val="20"/>
              </w:rPr>
            </w:pPr>
            <w:r w:rsidRPr="008918B2">
              <w:rPr>
                <w:rFonts w:cstheme="minorHAnsi"/>
                <w:sz w:val="20"/>
                <w:szCs w:val="20"/>
              </w:rPr>
              <w:t>–</w:t>
            </w:r>
          </w:p>
        </w:tc>
        <w:tc>
          <w:tcPr>
            <w:tcW w:w="0" w:type="auto"/>
          </w:tcPr>
          <w:p w14:paraId="4FF204CE" w14:textId="2B39254C" w:rsidR="002A0648" w:rsidRPr="008918B2" w:rsidRDefault="00F85A8A" w:rsidP="003E6200">
            <w:pPr>
              <w:pStyle w:val="NoSpacing"/>
              <w:rPr>
                <w:rFonts w:cstheme="minorHAnsi"/>
                <w:sz w:val="20"/>
                <w:szCs w:val="20"/>
              </w:rPr>
            </w:pPr>
            <w:r w:rsidRPr="008918B2">
              <w:rPr>
                <w:rFonts w:cstheme="minorHAnsi"/>
                <w:sz w:val="20"/>
                <w:szCs w:val="20"/>
              </w:rPr>
              <w:t>–</w:t>
            </w:r>
          </w:p>
        </w:tc>
        <w:tc>
          <w:tcPr>
            <w:tcW w:w="0" w:type="auto"/>
          </w:tcPr>
          <w:p w14:paraId="12AF3F69" w14:textId="69BA5A67" w:rsidR="002A0648" w:rsidRPr="008918B2" w:rsidRDefault="00F85A8A" w:rsidP="003E6200">
            <w:pPr>
              <w:pStyle w:val="NoSpacing"/>
              <w:rPr>
                <w:rFonts w:cstheme="minorHAnsi"/>
                <w:sz w:val="20"/>
                <w:szCs w:val="20"/>
              </w:rPr>
            </w:pPr>
            <w:r w:rsidRPr="008918B2">
              <w:rPr>
                <w:rFonts w:cstheme="minorHAnsi"/>
                <w:sz w:val="20"/>
                <w:szCs w:val="20"/>
              </w:rPr>
              <w:t>–</w:t>
            </w:r>
          </w:p>
        </w:tc>
      </w:tr>
      <w:tr w:rsidR="002A0648" w:rsidRPr="008918B2" w14:paraId="47C2FE20" w14:textId="77777777" w:rsidTr="00A64CF2">
        <w:tc>
          <w:tcPr>
            <w:tcW w:w="0" w:type="auto"/>
          </w:tcPr>
          <w:p w14:paraId="6532A0E7" w14:textId="0B7A2F51" w:rsidR="002A0648" w:rsidRPr="008918B2" w:rsidRDefault="00B5794C" w:rsidP="003E6200">
            <w:pPr>
              <w:pStyle w:val="NoSpacing"/>
              <w:rPr>
                <w:rFonts w:cstheme="minorHAnsi"/>
                <w:sz w:val="20"/>
                <w:szCs w:val="20"/>
              </w:rPr>
            </w:pPr>
            <w:r w:rsidRPr="008918B2">
              <w:rPr>
                <w:rFonts w:cstheme="minorHAnsi"/>
                <w:sz w:val="20"/>
                <w:szCs w:val="20"/>
              </w:rPr>
              <w:t xml:space="preserve">Restaurant </w:t>
            </w:r>
            <w:r w:rsidRPr="008918B2">
              <w:rPr>
                <w:rFonts w:ascii="Cambria Math" w:hAnsi="Cambria Math" w:cs="Cambria Math"/>
                <w:sz w:val="20"/>
                <w:szCs w:val="20"/>
              </w:rPr>
              <w:t>⨯</w:t>
            </w:r>
            <w:r w:rsidRPr="008918B2">
              <w:rPr>
                <w:rFonts w:cstheme="minorHAnsi"/>
                <w:sz w:val="20"/>
                <w:szCs w:val="20"/>
              </w:rPr>
              <w:t xml:space="preserve"> Disorganization</w:t>
            </w:r>
          </w:p>
        </w:tc>
        <w:tc>
          <w:tcPr>
            <w:tcW w:w="0" w:type="auto"/>
          </w:tcPr>
          <w:p w14:paraId="62539E59" w14:textId="2A1543F6" w:rsidR="002A0648" w:rsidRPr="008918B2" w:rsidRDefault="006E2338" w:rsidP="003E6200">
            <w:pPr>
              <w:pStyle w:val="NoSpacing"/>
              <w:rPr>
                <w:rFonts w:cstheme="minorHAnsi"/>
                <w:sz w:val="20"/>
                <w:szCs w:val="20"/>
              </w:rPr>
            </w:pPr>
            <w:r w:rsidRPr="008918B2">
              <w:rPr>
                <w:rFonts w:cstheme="minorHAnsi"/>
                <w:sz w:val="20"/>
                <w:szCs w:val="20"/>
              </w:rPr>
              <w:t xml:space="preserve">– </w:t>
            </w:r>
          </w:p>
        </w:tc>
        <w:tc>
          <w:tcPr>
            <w:tcW w:w="0" w:type="auto"/>
          </w:tcPr>
          <w:p w14:paraId="3CEEB3C5" w14:textId="0CDD04C5" w:rsidR="002A0648" w:rsidRPr="008918B2" w:rsidRDefault="00F85A8A" w:rsidP="003E6200">
            <w:pPr>
              <w:pStyle w:val="NoSpacing"/>
              <w:rPr>
                <w:rFonts w:cstheme="minorHAnsi"/>
                <w:sz w:val="20"/>
                <w:szCs w:val="20"/>
              </w:rPr>
            </w:pPr>
            <w:r w:rsidRPr="008918B2">
              <w:rPr>
                <w:rFonts w:cstheme="minorHAnsi"/>
                <w:sz w:val="20"/>
                <w:szCs w:val="20"/>
              </w:rPr>
              <w:t>–</w:t>
            </w:r>
          </w:p>
        </w:tc>
        <w:tc>
          <w:tcPr>
            <w:tcW w:w="0" w:type="auto"/>
          </w:tcPr>
          <w:p w14:paraId="2C735493" w14:textId="247A8A59" w:rsidR="002A0648" w:rsidRPr="008918B2" w:rsidRDefault="00F85A8A" w:rsidP="003E6200">
            <w:pPr>
              <w:pStyle w:val="NoSpacing"/>
              <w:rPr>
                <w:rFonts w:cstheme="minorHAnsi"/>
                <w:sz w:val="20"/>
                <w:szCs w:val="20"/>
              </w:rPr>
            </w:pPr>
            <w:r w:rsidRPr="008918B2">
              <w:rPr>
                <w:rFonts w:cstheme="minorHAnsi"/>
                <w:sz w:val="20"/>
                <w:szCs w:val="20"/>
              </w:rPr>
              <w:t>–</w:t>
            </w:r>
          </w:p>
        </w:tc>
        <w:tc>
          <w:tcPr>
            <w:tcW w:w="0" w:type="auto"/>
          </w:tcPr>
          <w:p w14:paraId="5F80543B" w14:textId="192F93E9" w:rsidR="002A0648" w:rsidRPr="008918B2" w:rsidRDefault="00F85A8A" w:rsidP="003E6200">
            <w:pPr>
              <w:pStyle w:val="NoSpacing"/>
              <w:rPr>
                <w:rFonts w:cstheme="minorHAnsi"/>
                <w:sz w:val="20"/>
                <w:szCs w:val="20"/>
              </w:rPr>
            </w:pPr>
            <w:r w:rsidRPr="008918B2">
              <w:rPr>
                <w:rFonts w:cstheme="minorHAnsi"/>
                <w:sz w:val="20"/>
                <w:szCs w:val="20"/>
              </w:rPr>
              <w:t>–</w:t>
            </w:r>
          </w:p>
        </w:tc>
        <w:tc>
          <w:tcPr>
            <w:tcW w:w="0" w:type="auto"/>
          </w:tcPr>
          <w:p w14:paraId="592C4A8D" w14:textId="309F2FB4" w:rsidR="002A0648" w:rsidRPr="008918B2" w:rsidRDefault="00F85A8A" w:rsidP="003E6200">
            <w:pPr>
              <w:pStyle w:val="NoSpacing"/>
              <w:rPr>
                <w:rFonts w:cstheme="minorHAnsi"/>
                <w:sz w:val="20"/>
                <w:szCs w:val="20"/>
              </w:rPr>
            </w:pPr>
            <w:r w:rsidRPr="008918B2">
              <w:rPr>
                <w:rFonts w:cstheme="minorHAnsi"/>
                <w:sz w:val="20"/>
                <w:szCs w:val="20"/>
              </w:rPr>
              <w:t>–</w:t>
            </w:r>
          </w:p>
        </w:tc>
        <w:tc>
          <w:tcPr>
            <w:tcW w:w="0" w:type="auto"/>
          </w:tcPr>
          <w:p w14:paraId="1334EB60" w14:textId="3A432DE6" w:rsidR="002A0648" w:rsidRPr="008918B2" w:rsidRDefault="00F85A8A" w:rsidP="003E6200">
            <w:pPr>
              <w:pStyle w:val="NoSpacing"/>
              <w:rPr>
                <w:rFonts w:cstheme="minorHAnsi"/>
                <w:sz w:val="20"/>
                <w:szCs w:val="20"/>
              </w:rPr>
            </w:pPr>
            <w:r w:rsidRPr="008918B2">
              <w:rPr>
                <w:rFonts w:cstheme="minorHAnsi"/>
                <w:sz w:val="20"/>
                <w:szCs w:val="20"/>
              </w:rPr>
              <w:t>–</w:t>
            </w:r>
          </w:p>
        </w:tc>
        <w:tc>
          <w:tcPr>
            <w:tcW w:w="0" w:type="auto"/>
          </w:tcPr>
          <w:p w14:paraId="703687C8" w14:textId="2B0E2ED8" w:rsidR="002A0648" w:rsidRPr="008918B2" w:rsidRDefault="00F85A8A" w:rsidP="003E6200">
            <w:pPr>
              <w:pStyle w:val="NoSpacing"/>
              <w:rPr>
                <w:rFonts w:cstheme="minorHAnsi"/>
                <w:sz w:val="20"/>
                <w:szCs w:val="20"/>
              </w:rPr>
            </w:pPr>
            <w:r w:rsidRPr="008918B2">
              <w:rPr>
                <w:rFonts w:cstheme="minorHAnsi"/>
                <w:sz w:val="20"/>
                <w:szCs w:val="20"/>
              </w:rPr>
              <w:t>–</w:t>
            </w:r>
          </w:p>
        </w:tc>
        <w:tc>
          <w:tcPr>
            <w:tcW w:w="0" w:type="auto"/>
          </w:tcPr>
          <w:p w14:paraId="7703EF8D" w14:textId="41D875C3" w:rsidR="002A0648" w:rsidRPr="008918B2" w:rsidRDefault="00F85A8A" w:rsidP="003E6200">
            <w:pPr>
              <w:pStyle w:val="NoSpacing"/>
              <w:rPr>
                <w:rFonts w:cstheme="minorHAnsi"/>
                <w:sz w:val="20"/>
                <w:szCs w:val="20"/>
              </w:rPr>
            </w:pPr>
            <w:r w:rsidRPr="008918B2">
              <w:rPr>
                <w:rFonts w:cstheme="minorHAnsi"/>
                <w:sz w:val="20"/>
                <w:szCs w:val="20"/>
              </w:rPr>
              <w:t>–</w:t>
            </w:r>
          </w:p>
        </w:tc>
        <w:tc>
          <w:tcPr>
            <w:tcW w:w="0" w:type="auto"/>
          </w:tcPr>
          <w:p w14:paraId="6D09E3A3" w14:textId="15D1F022" w:rsidR="002A0648" w:rsidRPr="008918B2" w:rsidRDefault="00F85A8A" w:rsidP="003E6200">
            <w:pPr>
              <w:pStyle w:val="NoSpacing"/>
              <w:rPr>
                <w:rFonts w:cstheme="minorHAnsi"/>
                <w:sz w:val="20"/>
                <w:szCs w:val="20"/>
              </w:rPr>
            </w:pPr>
            <w:r w:rsidRPr="008918B2">
              <w:rPr>
                <w:rFonts w:cstheme="minorHAnsi"/>
                <w:sz w:val="20"/>
                <w:szCs w:val="20"/>
              </w:rPr>
              <w:t>–</w:t>
            </w:r>
          </w:p>
        </w:tc>
        <w:tc>
          <w:tcPr>
            <w:tcW w:w="0" w:type="auto"/>
          </w:tcPr>
          <w:p w14:paraId="2F6EE851" w14:textId="4DFC6193" w:rsidR="002A0648" w:rsidRPr="008918B2" w:rsidRDefault="00F85A8A" w:rsidP="003E6200">
            <w:pPr>
              <w:pStyle w:val="NoSpacing"/>
              <w:rPr>
                <w:rFonts w:cstheme="minorHAnsi"/>
                <w:sz w:val="20"/>
                <w:szCs w:val="20"/>
              </w:rPr>
            </w:pPr>
            <w:r w:rsidRPr="008918B2">
              <w:rPr>
                <w:rFonts w:cstheme="minorHAnsi"/>
                <w:sz w:val="20"/>
                <w:szCs w:val="20"/>
              </w:rPr>
              <w:t>0.02</w:t>
            </w:r>
          </w:p>
        </w:tc>
        <w:tc>
          <w:tcPr>
            <w:tcW w:w="0" w:type="auto"/>
          </w:tcPr>
          <w:p w14:paraId="4CD327E4" w14:textId="47575251" w:rsidR="002A0648" w:rsidRPr="008918B2" w:rsidRDefault="00F85A8A" w:rsidP="003E6200">
            <w:pPr>
              <w:pStyle w:val="NoSpacing"/>
              <w:rPr>
                <w:rFonts w:cstheme="minorHAnsi"/>
                <w:sz w:val="20"/>
                <w:szCs w:val="20"/>
              </w:rPr>
            </w:pPr>
            <w:r w:rsidRPr="008918B2">
              <w:rPr>
                <w:rFonts w:cstheme="minorHAnsi"/>
                <w:sz w:val="20"/>
                <w:szCs w:val="20"/>
              </w:rPr>
              <w:t>0.03</w:t>
            </w:r>
          </w:p>
        </w:tc>
        <w:tc>
          <w:tcPr>
            <w:tcW w:w="0" w:type="auto"/>
          </w:tcPr>
          <w:p w14:paraId="5BAE4612" w14:textId="5575D6B3" w:rsidR="002A0648" w:rsidRPr="008918B2" w:rsidRDefault="00F85A8A" w:rsidP="003E6200">
            <w:pPr>
              <w:pStyle w:val="NoSpacing"/>
              <w:rPr>
                <w:rFonts w:cstheme="minorHAnsi"/>
                <w:sz w:val="20"/>
                <w:szCs w:val="20"/>
              </w:rPr>
            </w:pPr>
            <w:r w:rsidRPr="008918B2">
              <w:rPr>
                <w:rFonts w:cstheme="minorHAnsi"/>
                <w:sz w:val="20"/>
                <w:szCs w:val="20"/>
              </w:rPr>
              <w:t>.399</w:t>
            </w:r>
          </w:p>
        </w:tc>
      </w:tr>
      <w:tr w:rsidR="002A0648" w:rsidRPr="008918B2" w14:paraId="4D0D4661" w14:textId="77777777" w:rsidTr="00A64CF2">
        <w:tc>
          <w:tcPr>
            <w:tcW w:w="0" w:type="auto"/>
          </w:tcPr>
          <w:p w14:paraId="7F002BD0" w14:textId="2E78656C" w:rsidR="002A0648" w:rsidRPr="008918B2" w:rsidRDefault="00B5794C" w:rsidP="003E6200">
            <w:pPr>
              <w:pStyle w:val="NoSpacing"/>
              <w:rPr>
                <w:rFonts w:cstheme="minorHAnsi"/>
                <w:sz w:val="20"/>
                <w:szCs w:val="20"/>
              </w:rPr>
            </w:pPr>
            <w:r w:rsidRPr="008918B2">
              <w:rPr>
                <w:rFonts w:cstheme="minorHAnsi"/>
                <w:sz w:val="20"/>
                <w:szCs w:val="20"/>
              </w:rPr>
              <w:t>Adjusted R</w:t>
            </w:r>
            <w:r w:rsidRPr="008918B2">
              <w:rPr>
                <w:rFonts w:cstheme="minorHAnsi"/>
                <w:sz w:val="20"/>
                <w:szCs w:val="20"/>
                <w:vertAlign w:val="superscript"/>
              </w:rPr>
              <w:t>2</w:t>
            </w:r>
          </w:p>
        </w:tc>
        <w:tc>
          <w:tcPr>
            <w:tcW w:w="0" w:type="auto"/>
          </w:tcPr>
          <w:p w14:paraId="449DC1EC" w14:textId="59A06A63" w:rsidR="002A0648" w:rsidRPr="008918B2" w:rsidRDefault="006E2338" w:rsidP="003E6200">
            <w:pPr>
              <w:pStyle w:val="NoSpacing"/>
              <w:rPr>
                <w:rFonts w:cstheme="minorHAnsi"/>
                <w:sz w:val="20"/>
                <w:szCs w:val="20"/>
              </w:rPr>
            </w:pPr>
            <w:r w:rsidRPr="008918B2">
              <w:rPr>
                <w:rFonts w:cstheme="minorHAnsi"/>
                <w:sz w:val="20"/>
                <w:szCs w:val="20"/>
              </w:rPr>
              <w:t xml:space="preserve">0.836 </w:t>
            </w:r>
          </w:p>
        </w:tc>
        <w:tc>
          <w:tcPr>
            <w:tcW w:w="0" w:type="auto"/>
          </w:tcPr>
          <w:p w14:paraId="73256235" w14:textId="77777777" w:rsidR="002A0648" w:rsidRPr="008918B2" w:rsidRDefault="002A0648" w:rsidP="003E6200">
            <w:pPr>
              <w:pStyle w:val="NoSpacing"/>
              <w:rPr>
                <w:rFonts w:cstheme="minorHAnsi"/>
                <w:sz w:val="20"/>
                <w:szCs w:val="20"/>
              </w:rPr>
            </w:pPr>
          </w:p>
        </w:tc>
        <w:tc>
          <w:tcPr>
            <w:tcW w:w="0" w:type="auto"/>
          </w:tcPr>
          <w:p w14:paraId="7C358589" w14:textId="77777777" w:rsidR="002A0648" w:rsidRPr="008918B2" w:rsidRDefault="002A0648" w:rsidP="003E6200">
            <w:pPr>
              <w:pStyle w:val="NoSpacing"/>
              <w:rPr>
                <w:rFonts w:cstheme="minorHAnsi"/>
                <w:sz w:val="20"/>
                <w:szCs w:val="20"/>
              </w:rPr>
            </w:pPr>
          </w:p>
        </w:tc>
        <w:tc>
          <w:tcPr>
            <w:tcW w:w="0" w:type="auto"/>
          </w:tcPr>
          <w:p w14:paraId="2C50C365" w14:textId="7A1E44E8" w:rsidR="002A0648" w:rsidRPr="008918B2" w:rsidRDefault="00276ED2" w:rsidP="003E6200">
            <w:pPr>
              <w:pStyle w:val="NoSpacing"/>
              <w:rPr>
                <w:rFonts w:cstheme="minorHAnsi"/>
                <w:sz w:val="20"/>
                <w:szCs w:val="20"/>
              </w:rPr>
            </w:pPr>
            <w:r w:rsidRPr="008918B2">
              <w:rPr>
                <w:rFonts w:cstheme="minorHAnsi"/>
                <w:sz w:val="20"/>
                <w:szCs w:val="20"/>
              </w:rPr>
              <w:t>0.837</w:t>
            </w:r>
          </w:p>
        </w:tc>
        <w:tc>
          <w:tcPr>
            <w:tcW w:w="0" w:type="auto"/>
          </w:tcPr>
          <w:p w14:paraId="3164BF73" w14:textId="77777777" w:rsidR="002A0648" w:rsidRPr="008918B2" w:rsidRDefault="002A0648" w:rsidP="003E6200">
            <w:pPr>
              <w:pStyle w:val="NoSpacing"/>
              <w:rPr>
                <w:rFonts w:cstheme="minorHAnsi"/>
                <w:sz w:val="20"/>
                <w:szCs w:val="20"/>
              </w:rPr>
            </w:pPr>
          </w:p>
        </w:tc>
        <w:tc>
          <w:tcPr>
            <w:tcW w:w="0" w:type="auto"/>
          </w:tcPr>
          <w:p w14:paraId="01117CBE" w14:textId="77777777" w:rsidR="002A0648" w:rsidRPr="008918B2" w:rsidRDefault="002A0648" w:rsidP="003E6200">
            <w:pPr>
              <w:pStyle w:val="NoSpacing"/>
              <w:rPr>
                <w:rFonts w:cstheme="minorHAnsi"/>
                <w:sz w:val="20"/>
                <w:szCs w:val="20"/>
              </w:rPr>
            </w:pPr>
          </w:p>
        </w:tc>
        <w:tc>
          <w:tcPr>
            <w:tcW w:w="0" w:type="auto"/>
          </w:tcPr>
          <w:p w14:paraId="16EB2FF6" w14:textId="00C522F7" w:rsidR="002A0648" w:rsidRPr="008918B2" w:rsidRDefault="00276ED2" w:rsidP="003E6200">
            <w:pPr>
              <w:pStyle w:val="NoSpacing"/>
              <w:rPr>
                <w:rFonts w:cstheme="minorHAnsi"/>
                <w:sz w:val="20"/>
                <w:szCs w:val="20"/>
              </w:rPr>
            </w:pPr>
            <w:r w:rsidRPr="008918B2">
              <w:rPr>
                <w:rFonts w:cstheme="minorHAnsi"/>
                <w:sz w:val="20"/>
                <w:szCs w:val="20"/>
              </w:rPr>
              <w:t>0.837</w:t>
            </w:r>
          </w:p>
        </w:tc>
        <w:tc>
          <w:tcPr>
            <w:tcW w:w="0" w:type="auto"/>
          </w:tcPr>
          <w:p w14:paraId="579BA6EA" w14:textId="77777777" w:rsidR="002A0648" w:rsidRPr="008918B2" w:rsidRDefault="002A0648" w:rsidP="003E6200">
            <w:pPr>
              <w:pStyle w:val="NoSpacing"/>
              <w:rPr>
                <w:rFonts w:cstheme="minorHAnsi"/>
                <w:sz w:val="20"/>
                <w:szCs w:val="20"/>
              </w:rPr>
            </w:pPr>
          </w:p>
        </w:tc>
        <w:tc>
          <w:tcPr>
            <w:tcW w:w="0" w:type="auto"/>
          </w:tcPr>
          <w:p w14:paraId="095F4D58" w14:textId="77777777" w:rsidR="002A0648" w:rsidRPr="008918B2" w:rsidRDefault="002A0648" w:rsidP="003E6200">
            <w:pPr>
              <w:pStyle w:val="NoSpacing"/>
              <w:rPr>
                <w:rFonts w:cstheme="minorHAnsi"/>
                <w:sz w:val="20"/>
                <w:szCs w:val="20"/>
              </w:rPr>
            </w:pPr>
          </w:p>
        </w:tc>
        <w:tc>
          <w:tcPr>
            <w:tcW w:w="0" w:type="auto"/>
          </w:tcPr>
          <w:p w14:paraId="2826DB2C" w14:textId="258AC98F" w:rsidR="002A0648" w:rsidRPr="008918B2" w:rsidRDefault="00276ED2" w:rsidP="003E6200">
            <w:pPr>
              <w:pStyle w:val="NoSpacing"/>
              <w:rPr>
                <w:rFonts w:cstheme="minorHAnsi"/>
                <w:sz w:val="20"/>
                <w:szCs w:val="20"/>
              </w:rPr>
            </w:pPr>
            <w:r w:rsidRPr="008918B2">
              <w:rPr>
                <w:rFonts w:cstheme="minorHAnsi"/>
                <w:sz w:val="20"/>
                <w:szCs w:val="20"/>
              </w:rPr>
              <w:t>0.838</w:t>
            </w:r>
          </w:p>
        </w:tc>
        <w:tc>
          <w:tcPr>
            <w:tcW w:w="0" w:type="auto"/>
          </w:tcPr>
          <w:p w14:paraId="75B2F548" w14:textId="77777777" w:rsidR="002A0648" w:rsidRPr="008918B2" w:rsidRDefault="002A0648" w:rsidP="003E6200">
            <w:pPr>
              <w:pStyle w:val="NoSpacing"/>
              <w:rPr>
                <w:rFonts w:cstheme="minorHAnsi"/>
                <w:sz w:val="20"/>
                <w:szCs w:val="20"/>
              </w:rPr>
            </w:pPr>
          </w:p>
        </w:tc>
        <w:tc>
          <w:tcPr>
            <w:tcW w:w="0" w:type="auto"/>
          </w:tcPr>
          <w:p w14:paraId="6D78C43D" w14:textId="77777777" w:rsidR="002A0648" w:rsidRPr="008918B2" w:rsidRDefault="002A0648" w:rsidP="003E6200">
            <w:pPr>
              <w:pStyle w:val="NoSpacing"/>
              <w:rPr>
                <w:rFonts w:cstheme="minorHAnsi"/>
                <w:sz w:val="20"/>
                <w:szCs w:val="20"/>
              </w:rPr>
            </w:pPr>
          </w:p>
        </w:tc>
      </w:tr>
      <w:tr w:rsidR="002A0648" w:rsidRPr="008918B2" w14:paraId="0DB7FD0B" w14:textId="77777777" w:rsidTr="00A64CF2">
        <w:tc>
          <w:tcPr>
            <w:tcW w:w="0" w:type="auto"/>
          </w:tcPr>
          <w:p w14:paraId="0E451B03" w14:textId="5BD79BA7" w:rsidR="002A0648" w:rsidRPr="008918B2" w:rsidRDefault="00B5794C" w:rsidP="003E6200">
            <w:pPr>
              <w:pStyle w:val="NoSpacing"/>
              <w:rPr>
                <w:rFonts w:cstheme="minorHAnsi"/>
                <w:i/>
                <w:iCs/>
                <w:sz w:val="20"/>
                <w:szCs w:val="20"/>
              </w:rPr>
            </w:pPr>
            <w:r w:rsidRPr="008918B2">
              <w:rPr>
                <w:rFonts w:cstheme="minorHAnsi"/>
                <w:i/>
                <w:iCs/>
                <w:sz w:val="20"/>
                <w:szCs w:val="20"/>
              </w:rPr>
              <w:t>ρ</w:t>
            </w:r>
          </w:p>
        </w:tc>
        <w:tc>
          <w:tcPr>
            <w:tcW w:w="0" w:type="auto"/>
          </w:tcPr>
          <w:p w14:paraId="4DAF9461" w14:textId="77777777" w:rsidR="006E2338" w:rsidRPr="008918B2" w:rsidRDefault="006E2338" w:rsidP="003E6200">
            <w:pPr>
              <w:pStyle w:val="NoSpacing"/>
              <w:rPr>
                <w:rFonts w:cstheme="minorHAnsi"/>
                <w:sz w:val="20"/>
                <w:szCs w:val="20"/>
              </w:rPr>
            </w:pPr>
            <w:r w:rsidRPr="008918B2">
              <w:rPr>
                <w:rFonts w:cstheme="minorHAnsi"/>
                <w:sz w:val="20"/>
                <w:szCs w:val="20"/>
              </w:rPr>
              <w:t>0.231</w:t>
            </w:r>
          </w:p>
          <w:p w14:paraId="0C2A0D2C" w14:textId="13D9E0F0" w:rsidR="002A0648" w:rsidRPr="008918B2" w:rsidRDefault="006E2338" w:rsidP="003E6200">
            <w:pPr>
              <w:pStyle w:val="NoSpacing"/>
              <w:rPr>
                <w:rFonts w:cstheme="minorHAnsi"/>
                <w:sz w:val="20"/>
                <w:szCs w:val="20"/>
              </w:rPr>
            </w:pPr>
            <w:r w:rsidRPr="008918B2">
              <w:rPr>
                <w:rFonts w:cstheme="minorHAnsi"/>
                <w:sz w:val="20"/>
                <w:szCs w:val="20"/>
              </w:rPr>
              <w:t xml:space="preserve">(p </w:t>
            </w:r>
            <w:r w:rsidR="00EB0FD4" w:rsidRPr="008918B2">
              <w:rPr>
                <w:rFonts w:cstheme="minorHAnsi"/>
                <w:sz w:val="20"/>
                <w:szCs w:val="20"/>
              </w:rPr>
              <w:t>=</w:t>
            </w:r>
            <w:r w:rsidRPr="008918B2">
              <w:rPr>
                <w:rFonts w:cstheme="minorHAnsi"/>
                <w:sz w:val="20"/>
                <w:szCs w:val="20"/>
              </w:rPr>
              <w:t xml:space="preserve"> .020)</w:t>
            </w:r>
          </w:p>
        </w:tc>
        <w:tc>
          <w:tcPr>
            <w:tcW w:w="0" w:type="auto"/>
          </w:tcPr>
          <w:p w14:paraId="4448049C" w14:textId="77777777" w:rsidR="002A0648" w:rsidRPr="008918B2" w:rsidRDefault="002A0648" w:rsidP="003E6200">
            <w:pPr>
              <w:pStyle w:val="NoSpacing"/>
              <w:rPr>
                <w:rFonts w:cstheme="minorHAnsi"/>
                <w:sz w:val="20"/>
                <w:szCs w:val="20"/>
              </w:rPr>
            </w:pPr>
          </w:p>
        </w:tc>
        <w:tc>
          <w:tcPr>
            <w:tcW w:w="0" w:type="auto"/>
          </w:tcPr>
          <w:p w14:paraId="19E5B448" w14:textId="77777777" w:rsidR="002A0648" w:rsidRPr="008918B2" w:rsidRDefault="002A0648" w:rsidP="003E6200">
            <w:pPr>
              <w:pStyle w:val="NoSpacing"/>
              <w:rPr>
                <w:rFonts w:cstheme="minorHAnsi"/>
                <w:sz w:val="20"/>
                <w:szCs w:val="20"/>
              </w:rPr>
            </w:pPr>
          </w:p>
        </w:tc>
        <w:tc>
          <w:tcPr>
            <w:tcW w:w="0" w:type="auto"/>
          </w:tcPr>
          <w:p w14:paraId="0D890DF7" w14:textId="77777777" w:rsidR="00A64CF2" w:rsidRPr="008918B2" w:rsidRDefault="00A64CF2" w:rsidP="003E6200">
            <w:pPr>
              <w:pStyle w:val="NoSpacing"/>
              <w:rPr>
                <w:rFonts w:cstheme="minorHAnsi"/>
                <w:sz w:val="20"/>
                <w:szCs w:val="20"/>
              </w:rPr>
            </w:pPr>
            <w:r w:rsidRPr="008918B2">
              <w:rPr>
                <w:rFonts w:cstheme="minorHAnsi"/>
                <w:sz w:val="20"/>
                <w:szCs w:val="20"/>
              </w:rPr>
              <w:t>0.226</w:t>
            </w:r>
          </w:p>
          <w:p w14:paraId="1C41FF4E" w14:textId="370437CD" w:rsidR="002A0648" w:rsidRPr="008918B2" w:rsidRDefault="00A64CF2" w:rsidP="003E6200">
            <w:pPr>
              <w:pStyle w:val="NoSpacing"/>
              <w:rPr>
                <w:rFonts w:cstheme="minorHAnsi"/>
                <w:sz w:val="20"/>
                <w:szCs w:val="20"/>
              </w:rPr>
            </w:pPr>
            <w:r w:rsidRPr="008918B2">
              <w:rPr>
                <w:rFonts w:cstheme="minorHAnsi"/>
                <w:sz w:val="20"/>
                <w:szCs w:val="20"/>
              </w:rPr>
              <w:t>(p = .024)</w:t>
            </w:r>
          </w:p>
        </w:tc>
        <w:tc>
          <w:tcPr>
            <w:tcW w:w="0" w:type="auto"/>
          </w:tcPr>
          <w:p w14:paraId="2AEC2250" w14:textId="77777777" w:rsidR="002A0648" w:rsidRPr="008918B2" w:rsidRDefault="002A0648" w:rsidP="003E6200">
            <w:pPr>
              <w:pStyle w:val="NoSpacing"/>
              <w:rPr>
                <w:rFonts w:cstheme="minorHAnsi"/>
                <w:sz w:val="20"/>
                <w:szCs w:val="20"/>
              </w:rPr>
            </w:pPr>
          </w:p>
        </w:tc>
        <w:tc>
          <w:tcPr>
            <w:tcW w:w="0" w:type="auto"/>
          </w:tcPr>
          <w:p w14:paraId="3FED1BC6" w14:textId="77777777" w:rsidR="002A0648" w:rsidRPr="008918B2" w:rsidRDefault="002A0648" w:rsidP="003E6200">
            <w:pPr>
              <w:pStyle w:val="NoSpacing"/>
              <w:rPr>
                <w:rFonts w:cstheme="minorHAnsi"/>
                <w:sz w:val="20"/>
                <w:szCs w:val="20"/>
              </w:rPr>
            </w:pPr>
          </w:p>
        </w:tc>
        <w:tc>
          <w:tcPr>
            <w:tcW w:w="0" w:type="auto"/>
          </w:tcPr>
          <w:p w14:paraId="582D505F" w14:textId="77777777" w:rsidR="00A64CF2" w:rsidRPr="008918B2" w:rsidRDefault="00A64CF2" w:rsidP="003E6200">
            <w:pPr>
              <w:pStyle w:val="NoSpacing"/>
              <w:rPr>
                <w:rFonts w:cstheme="minorHAnsi"/>
                <w:sz w:val="20"/>
                <w:szCs w:val="20"/>
              </w:rPr>
            </w:pPr>
            <w:r w:rsidRPr="008918B2">
              <w:rPr>
                <w:rFonts w:cstheme="minorHAnsi"/>
                <w:sz w:val="20"/>
                <w:szCs w:val="20"/>
              </w:rPr>
              <w:t>0.234</w:t>
            </w:r>
          </w:p>
          <w:p w14:paraId="064F4410" w14:textId="32F9DEA4" w:rsidR="002A0648" w:rsidRPr="008918B2" w:rsidRDefault="00A64CF2" w:rsidP="003E6200">
            <w:pPr>
              <w:pStyle w:val="NoSpacing"/>
              <w:rPr>
                <w:rFonts w:cstheme="minorHAnsi"/>
                <w:sz w:val="20"/>
                <w:szCs w:val="20"/>
              </w:rPr>
            </w:pPr>
            <w:r w:rsidRPr="008918B2">
              <w:rPr>
                <w:rFonts w:cstheme="minorHAnsi"/>
                <w:sz w:val="20"/>
                <w:szCs w:val="20"/>
              </w:rPr>
              <w:t>(p = .018)</w:t>
            </w:r>
          </w:p>
        </w:tc>
        <w:tc>
          <w:tcPr>
            <w:tcW w:w="0" w:type="auto"/>
          </w:tcPr>
          <w:p w14:paraId="29F2D814" w14:textId="77777777" w:rsidR="002A0648" w:rsidRPr="008918B2" w:rsidRDefault="002A0648" w:rsidP="003E6200">
            <w:pPr>
              <w:pStyle w:val="NoSpacing"/>
              <w:rPr>
                <w:rFonts w:cstheme="minorHAnsi"/>
                <w:sz w:val="20"/>
                <w:szCs w:val="20"/>
              </w:rPr>
            </w:pPr>
          </w:p>
        </w:tc>
        <w:tc>
          <w:tcPr>
            <w:tcW w:w="0" w:type="auto"/>
          </w:tcPr>
          <w:p w14:paraId="64584EEE" w14:textId="77777777" w:rsidR="002A0648" w:rsidRPr="008918B2" w:rsidRDefault="002A0648" w:rsidP="003E6200">
            <w:pPr>
              <w:pStyle w:val="NoSpacing"/>
              <w:rPr>
                <w:rFonts w:cstheme="minorHAnsi"/>
                <w:sz w:val="20"/>
                <w:szCs w:val="20"/>
              </w:rPr>
            </w:pPr>
          </w:p>
        </w:tc>
        <w:tc>
          <w:tcPr>
            <w:tcW w:w="0" w:type="auto"/>
          </w:tcPr>
          <w:p w14:paraId="61F4E5E2" w14:textId="77777777" w:rsidR="00276ED2" w:rsidRPr="008918B2" w:rsidRDefault="00276ED2" w:rsidP="003E6200">
            <w:pPr>
              <w:pStyle w:val="NoSpacing"/>
              <w:rPr>
                <w:rFonts w:cstheme="minorHAnsi"/>
                <w:sz w:val="20"/>
                <w:szCs w:val="20"/>
              </w:rPr>
            </w:pPr>
            <w:r w:rsidRPr="008918B2">
              <w:rPr>
                <w:rFonts w:cstheme="minorHAnsi"/>
                <w:sz w:val="20"/>
                <w:szCs w:val="20"/>
              </w:rPr>
              <w:t>0.247</w:t>
            </w:r>
          </w:p>
          <w:p w14:paraId="2AD8EE3C" w14:textId="0B2402CB" w:rsidR="002A0648" w:rsidRPr="008918B2" w:rsidRDefault="00276ED2" w:rsidP="003E6200">
            <w:pPr>
              <w:pStyle w:val="NoSpacing"/>
              <w:rPr>
                <w:rFonts w:cstheme="minorHAnsi"/>
                <w:sz w:val="20"/>
                <w:szCs w:val="20"/>
              </w:rPr>
            </w:pPr>
            <w:r w:rsidRPr="008918B2">
              <w:rPr>
                <w:rFonts w:cstheme="minorHAnsi"/>
                <w:sz w:val="20"/>
                <w:szCs w:val="20"/>
              </w:rPr>
              <w:t>(p = .014)</w:t>
            </w:r>
          </w:p>
        </w:tc>
        <w:tc>
          <w:tcPr>
            <w:tcW w:w="0" w:type="auto"/>
          </w:tcPr>
          <w:p w14:paraId="5F382B3E" w14:textId="77777777" w:rsidR="002A0648" w:rsidRPr="008918B2" w:rsidRDefault="002A0648" w:rsidP="003E6200">
            <w:pPr>
              <w:pStyle w:val="NoSpacing"/>
              <w:rPr>
                <w:rFonts w:cstheme="minorHAnsi"/>
                <w:sz w:val="20"/>
                <w:szCs w:val="20"/>
              </w:rPr>
            </w:pPr>
          </w:p>
        </w:tc>
        <w:tc>
          <w:tcPr>
            <w:tcW w:w="0" w:type="auto"/>
          </w:tcPr>
          <w:p w14:paraId="08DFD340" w14:textId="77777777" w:rsidR="002A0648" w:rsidRPr="008918B2" w:rsidRDefault="002A0648" w:rsidP="003E6200">
            <w:pPr>
              <w:pStyle w:val="NoSpacing"/>
              <w:rPr>
                <w:rFonts w:cstheme="minorHAnsi"/>
                <w:sz w:val="20"/>
                <w:szCs w:val="20"/>
              </w:rPr>
            </w:pPr>
          </w:p>
        </w:tc>
      </w:tr>
      <w:tr w:rsidR="002A0648" w:rsidRPr="008918B2" w14:paraId="7FA75990" w14:textId="77777777" w:rsidTr="00A64CF2">
        <w:tc>
          <w:tcPr>
            <w:tcW w:w="0" w:type="auto"/>
          </w:tcPr>
          <w:p w14:paraId="622CA81F" w14:textId="596BA2FD" w:rsidR="002A0648" w:rsidRPr="008918B2" w:rsidRDefault="00CB0447" w:rsidP="003E6200">
            <w:pPr>
              <w:pStyle w:val="NoSpacing"/>
              <w:rPr>
                <w:rFonts w:cstheme="minorHAnsi"/>
                <w:sz w:val="20"/>
                <w:szCs w:val="20"/>
              </w:rPr>
            </w:pPr>
            <w:r w:rsidRPr="008918B2">
              <w:rPr>
                <w:rFonts w:cstheme="minorHAnsi"/>
                <w:sz w:val="20"/>
                <w:szCs w:val="20"/>
              </w:rPr>
              <w:t>Standard error</w:t>
            </w:r>
          </w:p>
        </w:tc>
        <w:tc>
          <w:tcPr>
            <w:tcW w:w="0" w:type="auto"/>
          </w:tcPr>
          <w:p w14:paraId="663AAA2A" w14:textId="22EA6BA2" w:rsidR="002A0648" w:rsidRPr="008918B2" w:rsidRDefault="006E2338" w:rsidP="003E6200">
            <w:pPr>
              <w:pStyle w:val="NoSpacing"/>
              <w:rPr>
                <w:rFonts w:cstheme="minorHAnsi"/>
                <w:sz w:val="20"/>
                <w:szCs w:val="20"/>
              </w:rPr>
            </w:pPr>
            <w:r w:rsidRPr="008918B2">
              <w:rPr>
                <w:rFonts w:cstheme="minorHAnsi"/>
                <w:sz w:val="20"/>
                <w:szCs w:val="20"/>
              </w:rPr>
              <w:t xml:space="preserve">.695 </w:t>
            </w:r>
          </w:p>
        </w:tc>
        <w:tc>
          <w:tcPr>
            <w:tcW w:w="0" w:type="auto"/>
          </w:tcPr>
          <w:p w14:paraId="739F0597" w14:textId="77777777" w:rsidR="002A0648" w:rsidRPr="008918B2" w:rsidRDefault="002A0648" w:rsidP="003E6200">
            <w:pPr>
              <w:pStyle w:val="NoSpacing"/>
              <w:rPr>
                <w:rFonts w:cstheme="minorHAnsi"/>
                <w:sz w:val="20"/>
                <w:szCs w:val="20"/>
              </w:rPr>
            </w:pPr>
          </w:p>
        </w:tc>
        <w:tc>
          <w:tcPr>
            <w:tcW w:w="0" w:type="auto"/>
          </w:tcPr>
          <w:p w14:paraId="36A6671F" w14:textId="77777777" w:rsidR="002A0648" w:rsidRPr="008918B2" w:rsidRDefault="002A0648" w:rsidP="003E6200">
            <w:pPr>
              <w:pStyle w:val="NoSpacing"/>
              <w:rPr>
                <w:rFonts w:cstheme="minorHAnsi"/>
                <w:sz w:val="20"/>
                <w:szCs w:val="20"/>
              </w:rPr>
            </w:pPr>
          </w:p>
        </w:tc>
        <w:tc>
          <w:tcPr>
            <w:tcW w:w="0" w:type="auto"/>
          </w:tcPr>
          <w:p w14:paraId="28CECE14" w14:textId="162FEB50" w:rsidR="002A0648" w:rsidRPr="008918B2" w:rsidRDefault="00A64CF2" w:rsidP="003E6200">
            <w:pPr>
              <w:pStyle w:val="NoSpacing"/>
              <w:rPr>
                <w:rFonts w:cstheme="minorHAnsi"/>
                <w:sz w:val="20"/>
                <w:szCs w:val="20"/>
              </w:rPr>
            </w:pPr>
            <w:r w:rsidRPr="008918B2">
              <w:rPr>
                <w:rFonts w:cstheme="minorHAnsi"/>
                <w:sz w:val="20"/>
                <w:szCs w:val="20"/>
              </w:rPr>
              <w:t>.693</w:t>
            </w:r>
          </w:p>
        </w:tc>
        <w:tc>
          <w:tcPr>
            <w:tcW w:w="0" w:type="auto"/>
          </w:tcPr>
          <w:p w14:paraId="20C4A97D" w14:textId="77777777" w:rsidR="002A0648" w:rsidRPr="008918B2" w:rsidRDefault="002A0648" w:rsidP="003E6200">
            <w:pPr>
              <w:pStyle w:val="NoSpacing"/>
              <w:rPr>
                <w:rFonts w:cstheme="minorHAnsi"/>
                <w:sz w:val="20"/>
                <w:szCs w:val="20"/>
              </w:rPr>
            </w:pPr>
          </w:p>
        </w:tc>
        <w:tc>
          <w:tcPr>
            <w:tcW w:w="0" w:type="auto"/>
          </w:tcPr>
          <w:p w14:paraId="33A6DA2E" w14:textId="77777777" w:rsidR="002A0648" w:rsidRPr="008918B2" w:rsidRDefault="002A0648" w:rsidP="003E6200">
            <w:pPr>
              <w:pStyle w:val="NoSpacing"/>
              <w:rPr>
                <w:rFonts w:cstheme="minorHAnsi"/>
                <w:sz w:val="20"/>
                <w:szCs w:val="20"/>
              </w:rPr>
            </w:pPr>
          </w:p>
        </w:tc>
        <w:tc>
          <w:tcPr>
            <w:tcW w:w="0" w:type="auto"/>
          </w:tcPr>
          <w:p w14:paraId="230CF247" w14:textId="24F1456F" w:rsidR="002A0648" w:rsidRPr="008918B2" w:rsidRDefault="00A64CF2" w:rsidP="003E6200">
            <w:pPr>
              <w:pStyle w:val="NoSpacing"/>
              <w:rPr>
                <w:rFonts w:cstheme="minorHAnsi"/>
                <w:sz w:val="20"/>
                <w:szCs w:val="20"/>
              </w:rPr>
            </w:pPr>
            <w:r w:rsidRPr="008918B2">
              <w:rPr>
                <w:rFonts w:cstheme="minorHAnsi"/>
                <w:sz w:val="20"/>
                <w:szCs w:val="20"/>
              </w:rPr>
              <w:t>.692</w:t>
            </w:r>
          </w:p>
        </w:tc>
        <w:tc>
          <w:tcPr>
            <w:tcW w:w="0" w:type="auto"/>
          </w:tcPr>
          <w:p w14:paraId="42B73FEC" w14:textId="77777777" w:rsidR="002A0648" w:rsidRPr="008918B2" w:rsidRDefault="002A0648" w:rsidP="003E6200">
            <w:pPr>
              <w:pStyle w:val="NoSpacing"/>
              <w:rPr>
                <w:rFonts w:cstheme="minorHAnsi"/>
                <w:sz w:val="20"/>
                <w:szCs w:val="20"/>
              </w:rPr>
            </w:pPr>
          </w:p>
        </w:tc>
        <w:tc>
          <w:tcPr>
            <w:tcW w:w="0" w:type="auto"/>
          </w:tcPr>
          <w:p w14:paraId="0B1C0812" w14:textId="77777777" w:rsidR="002A0648" w:rsidRPr="008918B2" w:rsidRDefault="002A0648" w:rsidP="003E6200">
            <w:pPr>
              <w:pStyle w:val="NoSpacing"/>
              <w:rPr>
                <w:rFonts w:cstheme="minorHAnsi"/>
                <w:sz w:val="20"/>
                <w:szCs w:val="20"/>
              </w:rPr>
            </w:pPr>
          </w:p>
        </w:tc>
        <w:tc>
          <w:tcPr>
            <w:tcW w:w="0" w:type="auto"/>
          </w:tcPr>
          <w:p w14:paraId="4D6E4B04" w14:textId="64BBD6D9" w:rsidR="002A0648" w:rsidRPr="008918B2" w:rsidRDefault="00A64CF2" w:rsidP="003E6200">
            <w:pPr>
              <w:pStyle w:val="NoSpacing"/>
              <w:rPr>
                <w:rFonts w:cstheme="minorHAnsi"/>
                <w:sz w:val="20"/>
                <w:szCs w:val="20"/>
              </w:rPr>
            </w:pPr>
            <w:r w:rsidRPr="008918B2">
              <w:rPr>
                <w:rFonts w:cstheme="minorHAnsi"/>
                <w:sz w:val="20"/>
                <w:szCs w:val="20"/>
              </w:rPr>
              <w:t>.690</w:t>
            </w:r>
          </w:p>
        </w:tc>
        <w:tc>
          <w:tcPr>
            <w:tcW w:w="0" w:type="auto"/>
          </w:tcPr>
          <w:p w14:paraId="1B40C64D" w14:textId="77777777" w:rsidR="002A0648" w:rsidRPr="008918B2" w:rsidRDefault="002A0648" w:rsidP="003E6200">
            <w:pPr>
              <w:pStyle w:val="NoSpacing"/>
              <w:rPr>
                <w:rFonts w:cstheme="minorHAnsi"/>
                <w:sz w:val="20"/>
                <w:szCs w:val="20"/>
              </w:rPr>
            </w:pPr>
          </w:p>
        </w:tc>
        <w:tc>
          <w:tcPr>
            <w:tcW w:w="0" w:type="auto"/>
          </w:tcPr>
          <w:p w14:paraId="1F043664" w14:textId="77777777" w:rsidR="002A0648" w:rsidRPr="008918B2" w:rsidRDefault="002A0648" w:rsidP="003E6200">
            <w:pPr>
              <w:pStyle w:val="NoSpacing"/>
              <w:rPr>
                <w:rFonts w:cstheme="minorHAnsi"/>
                <w:sz w:val="20"/>
                <w:szCs w:val="20"/>
              </w:rPr>
            </w:pPr>
          </w:p>
        </w:tc>
      </w:tr>
      <w:tr w:rsidR="00415C3F" w:rsidRPr="008918B2" w14:paraId="617CDB02" w14:textId="77777777" w:rsidTr="00A64CF2">
        <w:tc>
          <w:tcPr>
            <w:tcW w:w="0" w:type="auto"/>
          </w:tcPr>
          <w:p w14:paraId="41E3F7EE" w14:textId="6D758EF1" w:rsidR="00415C3F" w:rsidRPr="008918B2" w:rsidRDefault="00CB0447" w:rsidP="003E6200">
            <w:pPr>
              <w:pStyle w:val="NoSpacing"/>
              <w:rPr>
                <w:rFonts w:cstheme="minorHAnsi"/>
                <w:sz w:val="20"/>
                <w:szCs w:val="20"/>
              </w:rPr>
            </w:pPr>
            <w:r w:rsidRPr="008918B2">
              <w:rPr>
                <w:rFonts w:cstheme="minorHAnsi"/>
                <w:sz w:val="20"/>
                <w:szCs w:val="20"/>
              </w:rPr>
              <w:t>Breusch–Pagan</w:t>
            </w:r>
          </w:p>
        </w:tc>
        <w:tc>
          <w:tcPr>
            <w:tcW w:w="0" w:type="auto"/>
          </w:tcPr>
          <w:p w14:paraId="6E359285" w14:textId="77777777" w:rsidR="00EB0FD4" w:rsidRPr="008918B2" w:rsidRDefault="00EB0FD4" w:rsidP="003E6200">
            <w:pPr>
              <w:pStyle w:val="NoSpacing"/>
              <w:rPr>
                <w:rFonts w:cstheme="minorHAnsi"/>
                <w:sz w:val="20"/>
                <w:szCs w:val="20"/>
              </w:rPr>
            </w:pPr>
            <w:r w:rsidRPr="008918B2">
              <w:rPr>
                <w:rFonts w:cstheme="minorHAnsi"/>
                <w:sz w:val="20"/>
                <w:szCs w:val="20"/>
              </w:rPr>
              <w:t>10.591</w:t>
            </w:r>
          </w:p>
          <w:p w14:paraId="61AB41EC" w14:textId="38CE30A7" w:rsidR="00415C3F" w:rsidRPr="008918B2" w:rsidRDefault="00EB0FD4" w:rsidP="003E6200">
            <w:pPr>
              <w:pStyle w:val="NoSpacing"/>
              <w:rPr>
                <w:rFonts w:cstheme="minorHAnsi"/>
                <w:sz w:val="20"/>
                <w:szCs w:val="20"/>
              </w:rPr>
            </w:pPr>
            <w:r w:rsidRPr="008918B2">
              <w:rPr>
                <w:rFonts w:cstheme="minorHAnsi"/>
                <w:sz w:val="20"/>
                <w:szCs w:val="20"/>
              </w:rPr>
              <w:t>(p = .157)</w:t>
            </w:r>
          </w:p>
        </w:tc>
        <w:tc>
          <w:tcPr>
            <w:tcW w:w="0" w:type="auto"/>
          </w:tcPr>
          <w:p w14:paraId="020CDA1F" w14:textId="77777777" w:rsidR="00415C3F" w:rsidRPr="008918B2" w:rsidRDefault="00415C3F" w:rsidP="003E6200">
            <w:pPr>
              <w:pStyle w:val="NoSpacing"/>
              <w:rPr>
                <w:rFonts w:cstheme="minorHAnsi"/>
                <w:sz w:val="20"/>
                <w:szCs w:val="20"/>
              </w:rPr>
            </w:pPr>
          </w:p>
        </w:tc>
        <w:tc>
          <w:tcPr>
            <w:tcW w:w="0" w:type="auto"/>
          </w:tcPr>
          <w:p w14:paraId="42189381" w14:textId="77777777" w:rsidR="00415C3F" w:rsidRPr="008918B2" w:rsidRDefault="00415C3F" w:rsidP="003E6200">
            <w:pPr>
              <w:pStyle w:val="NoSpacing"/>
              <w:rPr>
                <w:rFonts w:cstheme="minorHAnsi"/>
                <w:sz w:val="20"/>
                <w:szCs w:val="20"/>
              </w:rPr>
            </w:pPr>
          </w:p>
        </w:tc>
        <w:tc>
          <w:tcPr>
            <w:tcW w:w="0" w:type="auto"/>
          </w:tcPr>
          <w:p w14:paraId="3C71FBDF" w14:textId="77777777" w:rsidR="00A64CF2" w:rsidRPr="008918B2" w:rsidRDefault="00A64CF2" w:rsidP="003E6200">
            <w:pPr>
              <w:pStyle w:val="NoSpacing"/>
              <w:rPr>
                <w:rFonts w:cstheme="minorHAnsi"/>
                <w:sz w:val="20"/>
                <w:szCs w:val="20"/>
              </w:rPr>
            </w:pPr>
            <w:r w:rsidRPr="008918B2">
              <w:rPr>
                <w:rFonts w:cstheme="minorHAnsi"/>
                <w:sz w:val="20"/>
                <w:szCs w:val="20"/>
              </w:rPr>
              <w:t>12.010</w:t>
            </w:r>
          </w:p>
          <w:p w14:paraId="43DF9734" w14:textId="55D95A41" w:rsidR="00415C3F" w:rsidRPr="008918B2" w:rsidRDefault="00A64CF2" w:rsidP="003E6200">
            <w:pPr>
              <w:pStyle w:val="NoSpacing"/>
              <w:rPr>
                <w:rFonts w:cstheme="minorHAnsi"/>
                <w:sz w:val="20"/>
                <w:szCs w:val="20"/>
              </w:rPr>
            </w:pPr>
            <w:r w:rsidRPr="008918B2">
              <w:rPr>
                <w:rFonts w:cstheme="minorHAnsi"/>
                <w:sz w:val="20"/>
                <w:szCs w:val="20"/>
              </w:rPr>
              <w:t>(p = .111)</w:t>
            </w:r>
          </w:p>
        </w:tc>
        <w:tc>
          <w:tcPr>
            <w:tcW w:w="0" w:type="auto"/>
          </w:tcPr>
          <w:p w14:paraId="73B8807A" w14:textId="77777777" w:rsidR="00415C3F" w:rsidRPr="008918B2" w:rsidRDefault="00415C3F" w:rsidP="003E6200">
            <w:pPr>
              <w:pStyle w:val="NoSpacing"/>
              <w:rPr>
                <w:rFonts w:cstheme="minorHAnsi"/>
                <w:sz w:val="20"/>
                <w:szCs w:val="20"/>
              </w:rPr>
            </w:pPr>
          </w:p>
        </w:tc>
        <w:tc>
          <w:tcPr>
            <w:tcW w:w="0" w:type="auto"/>
          </w:tcPr>
          <w:p w14:paraId="0825B951" w14:textId="77777777" w:rsidR="00415C3F" w:rsidRPr="008918B2" w:rsidRDefault="00415C3F" w:rsidP="003E6200">
            <w:pPr>
              <w:pStyle w:val="NoSpacing"/>
              <w:rPr>
                <w:rFonts w:cstheme="minorHAnsi"/>
                <w:sz w:val="20"/>
                <w:szCs w:val="20"/>
              </w:rPr>
            </w:pPr>
          </w:p>
        </w:tc>
        <w:tc>
          <w:tcPr>
            <w:tcW w:w="0" w:type="auto"/>
          </w:tcPr>
          <w:p w14:paraId="4A993860" w14:textId="77777777" w:rsidR="00A64CF2" w:rsidRPr="008918B2" w:rsidRDefault="00A64CF2" w:rsidP="003E6200">
            <w:pPr>
              <w:pStyle w:val="NoSpacing"/>
              <w:rPr>
                <w:rFonts w:cstheme="minorHAnsi"/>
                <w:sz w:val="20"/>
                <w:szCs w:val="20"/>
              </w:rPr>
            </w:pPr>
            <w:r w:rsidRPr="008918B2">
              <w:rPr>
                <w:rFonts w:cstheme="minorHAnsi"/>
                <w:sz w:val="20"/>
                <w:szCs w:val="20"/>
              </w:rPr>
              <w:t>11.531</w:t>
            </w:r>
          </w:p>
          <w:p w14:paraId="2A43089B" w14:textId="1C66339C" w:rsidR="00415C3F" w:rsidRPr="008918B2" w:rsidRDefault="00A64CF2" w:rsidP="003E6200">
            <w:pPr>
              <w:pStyle w:val="NoSpacing"/>
              <w:rPr>
                <w:rFonts w:cstheme="minorHAnsi"/>
                <w:sz w:val="20"/>
                <w:szCs w:val="20"/>
              </w:rPr>
            </w:pPr>
            <w:r w:rsidRPr="008918B2">
              <w:rPr>
                <w:rFonts w:cstheme="minorHAnsi"/>
                <w:sz w:val="20"/>
                <w:szCs w:val="20"/>
              </w:rPr>
              <w:t>(p = .173)</w:t>
            </w:r>
          </w:p>
        </w:tc>
        <w:tc>
          <w:tcPr>
            <w:tcW w:w="0" w:type="auto"/>
          </w:tcPr>
          <w:p w14:paraId="68ADF447" w14:textId="77777777" w:rsidR="00415C3F" w:rsidRPr="008918B2" w:rsidRDefault="00415C3F" w:rsidP="003E6200">
            <w:pPr>
              <w:pStyle w:val="NoSpacing"/>
              <w:rPr>
                <w:rFonts w:cstheme="minorHAnsi"/>
                <w:sz w:val="20"/>
                <w:szCs w:val="20"/>
              </w:rPr>
            </w:pPr>
          </w:p>
        </w:tc>
        <w:tc>
          <w:tcPr>
            <w:tcW w:w="0" w:type="auto"/>
          </w:tcPr>
          <w:p w14:paraId="74813D0E" w14:textId="77777777" w:rsidR="00415C3F" w:rsidRPr="008918B2" w:rsidRDefault="00415C3F" w:rsidP="003E6200">
            <w:pPr>
              <w:pStyle w:val="NoSpacing"/>
              <w:rPr>
                <w:rFonts w:cstheme="minorHAnsi"/>
                <w:sz w:val="20"/>
                <w:szCs w:val="20"/>
              </w:rPr>
            </w:pPr>
          </w:p>
        </w:tc>
        <w:tc>
          <w:tcPr>
            <w:tcW w:w="0" w:type="auto"/>
          </w:tcPr>
          <w:p w14:paraId="12B0CFC6" w14:textId="77777777" w:rsidR="00A64CF2" w:rsidRPr="008918B2" w:rsidRDefault="00A64CF2" w:rsidP="003E6200">
            <w:pPr>
              <w:pStyle w:val="NoSpacing"/>
              <w:rPr>
                <w:rFonts w:cstheme="minorHAnsi"/>
                <w:sz w:val="20"/>
                <w:szCs w:val="20"/>
              </w:rPr>
            </w:pPr>
            <w:r w:rsidRPr="008918B2">
              <w:rPr>
                <w:rFonts w:cstheme="minorHAnsi"/>
                <w:sz w:val="20"/>
                <w:szCs w:val="20"/>
              </w:rPr>
              <w:t>12.282</w:t>
            </w:r>
          </w:p>
          <w:p w14:paraId="1D102631" w14:textId="241F8AC4" w:rsidR="00415C3F" w:rsidRPr="008918B2" w:rsidRDefault="00A64CF2" w:rsidP="003E6200">
            <w:pPr>
              <w:pStyle w:val="NoSpacing"/>
              <w:rPr>
                <w:rFonts w:cstheme="minorHAnsi"/>
                <w:sz w:val="20"/>
                <w:szCs w:val="20"/>
              </w:rPr>
            </w:pPr>
            <w:r w:rsidRPr="008918B2">
              <w:rPr>
                <w:rFonts w:cstheme="minorHAnsi"/>
                <w:sz w:val="20"/>
                <w:szCs w:val="20"/>
              </w:rPr>
              <w:t>(p = .139)</w:t>
            </w:r>
          </w:p>
        </w:tc>
        <w:tc>
          <w:tcPr>
            <w:tcW w:w="0" w:type="auto"/>
          </w:tcPr>
          <w:p w14:paraId="0F95F30E" w14:textId="77777777" w:rsidR="00415C3F" w:rsidRPr="008918B2" w:rsidRDefault="00415C3F" w:rsidP="003E6200">
            <w:pPr>
              <w:pStyle w:val="NoSpacing"/>
              <w:rPr>
                <w:rFonts w:cstheme="minorHAnsi"/>
                <w:sz w:val="20"/>
                <w:szCs w:val="20"/>
              </w:rPr>
            </w:pPr>
          </w:p>
        </w:tc>
        <w:tc>
          <w:tcPr>
            <w:tcW w:w="0" w:type="auto"/>
          </w:tcPr>
          <w:p w14:paraId="069A1DFB" w14:textId="77777777" w:rsidR="00415C3F" w:rsidRPr="008918B2" w:rsidRDefault="00415C3F" w:rsidP="003E6200">
            <w:pPr>
              <w:pStyle w:val="NoSpacing"/>
              <w:rPr>
                <w:rFonts w:cstheme="minorHAnsi"/>
                <w:sz w:val="20"/>
                <w:szCs w:val="20"/>
              </w:rPr>
            </w:pPr>
          </w:p>
        </w:tc>
      </w:tr>
    </w:tbl>
    <w:p w14:paraId="0D64F2FB" w14:textId="77777777" w:rsidR="00E807ED" w:rsidRPr="00923FF9" w:rsidRDefault="00E807ED" w:rsidP="00923FF9"/>
    <w:p w14:paraId="677C22CC" w14:textId="151B6542" w:rsidR="00923FF9" w:rsidRDefault="00923FF9" w:rsidP="00D616F1">
      <w:pPr>
        <w:spacing w:after="0"/>
      </w:pPr>
      <w:r w:rsidRPr="00923FF9">
        <w:rPr>
          <w:b/>
          <w:bCs/>
        </w:rPr>
        <w:t>Table 4.</w:t>
      </w:r>
      <w:r w:rsidRPr="00923FF9">
        <w:t> OLS Regression Results for Aggravated Assault Density Regressed on Outlet Type, Social Organization, Control Variables, and Interaction Terms for Bloomington Block Groups (</w:t>
      </w:r>
      <m:oMath>
        <m:r>
          <w:rPr>
            <w:rFonts w:ascii="Cambria Math" w:hAnsi="Cambria Math"/>
          </w:rPr>
          <m:t>n</m:t>
        </m:r>
        <m:r>
          <w:rPr>
            <w:rFonts w:ascii="Cambria Math" w:hAnsi="Cambria Math"/>
          </w:rPr>
          <m:t> = 65)</m:t>
        </m:r>
      </m:oMath>
      <w:r w:rsidRPr="00923FF9">
        <w:t>.</w:t>
      </w:r>
    </w:p>
    <w:tbl>
      <w:tblPr>
        <w:tblStyle w:val="TableGrid"/>
        <w:tblW w:w="0" w:type="auto"/>
        <w:tblLook w:val="04A0" w:firstRow="1" w:lastRow="0" w:firstColumn="1" w:lastColumn="0" w:noHBand="0" w:noVBand="1"/>
      </w:tblPr>
      <w:tblGrid>
        <w:gridCol w:w="2006"/>
        <w:gridCol w:w="874"/>
        <w:gridCol w:w="571"/>
        <w:gridCol w:w="571"/>
        <w:gridCol w:w="874"/>
        <w:gridCol w:w="571"/>
        <w:gridCol w:w="571"/>
        <w:gridCol w:w="874"/>
        <w:gridCol w:w="571"/>
        <w:gridCol w:w="571"/>
        <w:gridCol w:w="874"/>
        <w:gridCol w:w="571"/>
        <w:gridCol w:w="571"/>
      </w:tblGrid>
      <w:tr w:rsidR="003C06BA" w:rsidRPr="008918B2" w14:paraId="2AA2E57A" w14:textId="77777777" w:rsidTr="00AC1748">
        <w:tc>
          <w:tcPr>
            <w:tcW w:w="0" w:type="auto"/>
          </w:tcPr>
          <w:p w14:paraId="632CEF5C" w14:textId="77777777" w:rsidR="00877555" w:rsidRPr="008918B2" w:rsidRDefault="00877555" w:rsidP="00D616F1">
            <w:pPr>
              <w:pStyle w:val="NoSpacing"/>
              <w:rPr>
                <w:rFonts w:cstheme="minorHAnsi"/>
                <w:sz w:val="20"/>
                <w:szCs w:val="20"/>
              </w:rPr>
            </w:pPr>
          </w:p>
        </w:tc>
        <w:tc>
          <w:tcPr>
            <w:tcW w:w="0" w:type="auto"/>
          </w:tcPr>
          <w:p w14:paraId="4DE78579" w14:textId="3D79DDE1" w:rsidR="00877555" w:rsidRPr="008918B2" w:rsidRDefault="00877555" w:rsidP="00D616F1">
            <w:pPr>
              <w:pStyle w:val="NoSpacing"/>
              <w:rPr>
                <w:rFonts w:cstheme="minorHAnsi"/>
                <w:sz w:val="20"/>
                <w:szCs w:val="20"/>
              </w:rPr>
            </w:pPr>
            <w:r w:rsidRPr="008918B2">
              <w:rPr>
                <w:rFonts w:cstheme="minorHAnsi"/>
                <w:sz w:val="20"/>
                <w:szCs w:val="20"/>
              </w:rPr>
              <w:t xml:space="preserve">Model </w:t>
            </w:r>
            <w:r w:rsidR="003D4069" w:rsidRPr="008918B2">
              <w:rPr>
                <w:rFonts w:cstheme="minorHAnsi"/>
                <w:sz w:val="20"/>
                <w:szCs w:val="20"/>
              </w:rPr>
              <w:t>5</w:t>
            </w:r>
          </w:p>
        </w:tc>
        <w:tc>
          <w:tcPr>
            <w:tcW w:w="0" w:type="auto"/>
          </w:tcPr>
          <w:p w14:paraId="45F83FC2" w14:textId="77777777" w:rsidR="00877555" w:rsidRPr="008918B2" w:rsidRDefault="00877555" w:rsidP="00D616F1">
            <w:pPr>
              <w:pStyle w:val="NoSpacing"/>
              <w:rPr>
                <w:rFonts w:cstheme="minorHAnsi"/>
                <w:sz w:val="20"/>
                <w:szCs w:val="20"/>
              </w:rPr>
            </w:pPr>
          </w:p>
        </w:tc>
        <w:tc>
          <w:tcPr>
            <w:tcW w:w="0" w:type="auto"/>
          </w:tcPr>
          <w:p w14:paraId="5FB2D648" w14:textId="77777777" w:rsidR="00877555" w:rsidRPr="008918B2" w:rsidRDefault="00877555" w:rsidP="00D616F1">
            <w:pPr>
              <w:pStyle w:val="NoSpacing"/>
              <w:rPr>
                <w:rFonts w:cstheme="minorHAnsi"/>
                <w:sz w:val="20"/>
                <w:szCs w:val="20"/>
              </w:rPr>
            </w:pPr>
          </w:p>
        </w:tc>
        <w:tc>
          <w:tcPr>
            <w:tcW w:w="0" w:type="auto"/>
          </w:tcPr>
          <w:p w14:paraId="6AD37C11" w14:textId="02C78453" w:rsidR="00877555" w:rsidRPr="008918B2" w:rsidRDefault="00877555" w:rsidP="00D616F1">
            <w:pPr>
              <w:pStyle w:val="NoSpacing"/>
              <w:rPr>
                <w:rFonts w:cstheme="minorHAnsi"/>
                <w:sz w:val="20"/>
                <w:szCs w:val="20"/>
              </w:rPr>
            </w:pPr>
            <w:r w:rsidRPr="008918B2">
              <w:rPr>
                <w:rFonts w:cstheme="minorHAnsi"/>
                <w:sz w:val="20"/>
                <w:szCs w:val="20"/>
              </w:rPr>
              <w:t xml:space="preserve">Model </w:t>
            </w:r>
            <w:r w:rsidR="003D4069" w:rsidRPr="008918B2">
              <w:rPr>
                <w:rFonts w:cstheme="minorHAnsi"/>
                <w:sz w:val="20"/>
                <w:szCs w:val="20"/>
              </w:rPr>
              <w:t>6</w:t>
            </w:r>
          </w:p>
        </w:tc>
        <w:tc>
          <w:tcPr>
            <w:tcW w:w="0" w:type="auto"/>
          </w:tcPr>
          <w:p w14:paraId="4E4B984D" w14:textId="77777777" w:rsidR="00877555" w:rsidRPr="008918B2" w:rsidRDefault="00877555" w:rsidP="00D616F1">
            <w:pPr>
              <w:pStyle w:val="NoSpacing"/>
              <w:rPr>
                <w:rFonts w:cstheme="minorHAnsi"/>
                <w:sz w:val="20"/>
                <w:szCs w:val="20"/>
              </w:rPr>
            </w:pPr>
          </w:p>
        </w:tc>
        <w:tc>
          <w:tcPr>
            <w:tcW w:w="0" w:type="auto"/>
          </w:tcPr>
          <w:p w14:paraId="451EB330" w14:textId="77777777" w:rsidR="00877555" w:rsidRPr="008918B2" w:rsidRDefault="00877555" w:rsidP="00D616F1">
            <w:pPr>
              <w:pStyle w:val="NoSpacing"/>
              <w:rPr>
                <w:rFonts w:cstheme="minorHAnsi"/>
                <w:sz w:val="20"/>
                <w:szCs w:val="20"/>
              </w:rPr>
            </w:pPr>
          </w:p>
        </w:tc>
        <w:tc>
          <w:tcPr>
            <w:tcW w:w="0" w:type="auto"/>
          </w:tcPr>
          <w:p w14:paraId="45CD23E2" w14:textId="23B062E4" w:rsidR="00877555" w:rsidRPr="008918B2" w:rsidRDefault="00877555" w:rsidP="00D616F1">
            <w:pPr>
              <w:pStyle w:val="NoSpacing"/>
              <w:rPr>
                <w:rFonts w:cstheme="minorHAnsi"/>
                <w:sz w:val="20"/>
                <w:szCs w:val="20"/>
              </w:rPr>
            </w:pPr>
            <w:r w:rsidRPr="008918B2">
              <w:rPr>
                <w:rFonts w:cstheme="minorHAnsi"/>
                <w:sz w:val="20"/>
                <w:szCs w:val="20"/>
              </w:rPr>
              <w:t xml:space="preserve">Model </w:t>
            </w:r>
            <w:r w:rsidR="003D4069" w:rsidRPr="008918B2">
              <w:rPr>
                <w:rFonts w:cstheme="minorHAnsi"/>
                <w:sz w:val="20"/>
                <w:szCs w:val="20"/>
              </w:rPr>
              <w:t>7</w:t>
            </w:r>
          </w:p>
        </w:tc>
        <w:tc>
          <w:tcPr>
            <w:tcW w:w="0" w:type="auto"/>
          </w:tcPr>
          <w:p w14:paraId="69E68112" w14:textId="77777777" w:rsidR="00877555" w:rsidRPr="008918B2" w:rsidRDefault="00877555" w:rsidP="00D616F1">
            <w:pPr>
              <w:pStyle w:val="NoSpacing"/>
              <w:rPr>
                <w:rFonts w:cstheme="minorHAnsi"/>
                <w:sz w:val="20"/>
                <w:szCs w:val="20"/>
              </w:rPr>
            </w:pPr>
          </w:p>
        </w:tc>
        <w:tc>
          <w:tcPr>
            <w:tcW w:w="0" w:type="auto"/>
          </w:tcPr>
          <w:p w14:paraId="4AF285ED" w14:textId="77777777" w:rsidR="00877555" w:rsidRPr="008918B2" w:rsidRDefault="00877555" w:rsidP="00D616F1">
            <w:pPr>
              <w:pStyle w:val="NoSpacing"/>
              <w:rPr>
                <w:rFonts w:cstheme="minorHAnsi"/>
                <w:sz w:val="20"/>
                <w:szCs w:val="20"/>
              </w:rPr>
            </w:pPr>
          </w:p>
        </w:tc>
        <w:tc>
          <w:tcPr>
            <w:tcW w:w="0" w:type="auto"/>
          </w:tcPr>
          <w:p w14:paraId="5508AEA3" w14:textId="4F904FFA" w:rsidR="00877555" w:rsidRPr="008918B2" w:rsidRDefault="00877555" w:rsidP="00D616F1">
            <w:pPr>
              <w:pStyle w:val="NoSpacing"/>
              <w:rPr>
                <w:rFonts w:cstheme="minorHAnsi"/>
                <w:sz w:val="20"/>
                <w:szCs w:val="20"/>
              </w:rPr>
            </w:pPr>
            <w:r w:rsidRPr="008918B2">
              <w:rPr>
                <w:rFonts w:cstheme="minorHAnsi"/>
                <w:sz w:val="20"/>
                <w:szCs w:val="20"/>
              </w:rPr>
              <w:t xml:space="preserve">Model </w:t>
            </w:r>
            <w:r w:rsidR="003D4069" w:rsidRPr="008918B2">
              <w:rPr>
                <w:rFonts w:cstheme="minorHAnsi"/>
                <w:sz w:val="20"/>
                <w:szCs w:val="20"/>
              </w:rPr>
              <w:t>8</w:t>
            </w:r>
          </w:p>
        </w:tc>
        <w:tc>
          <w:tcPr>
            <w:tcW w:w="0" w:type="auto"/>
          </w:tcPr>
          <w:p w14:paraId="49207F60" w14:textId="77777777" w:rsidR="00877555" w:rsidRPr="008918B2" w:rsidRDefault="00877555" w:rsidP="00D616F1">
            <w:pPr>
              <w:pStyle w:val="NoSpacing"/>
              <w:rPr>
                <w:rFonts w:cstheme="minorHAnsi"/>
                <w:sz w:val="20"/>
                <w:szCs w:val="20"/>
              </w:rPr>
            </w:pPr>
          </w:p>
        </w:tc>
        <w:tc>
          <w:tcPr>
            <w:tcW w:w="0" w:type="auto"/>
          </w:tcPr>
          <w:p w14:paraId="7EC36FBF" w14:textId="77777777" w:rsidR="00877555" w:rsidRPr="008918B2" w:rsidRDefault="00877555" w:rsidP="00D616F1">
            <w:pPr>
              <w:pStyle w:val="NoSpacing"/>
              <w:rPr>
                <w:rFonts w:cstheme="minorHAnsi"/>
                <w:sz w:val="20"/>
                <w:szCs w:val="20"/>
              </w:rPr>
            </w:pPr>
          </w:p>
        </w:tc>
      </w:tr>
      <w:tr w:rsidR="003C06BA" w:rsidRPr="008918B2" w14:paraId="6BE1DB8C" w14:textId="77777777" w:rsidTr="00AC1748">
        <w:tc>
          <w:tcPr>
            <w:tcW w:w="0" w:type="auto"/>
          </w:tcPr>
          <w:p w14:paraId="464A5329" w14:textId="77777777" w:rsidR="00877555" w:rsidRPr="008918B2" w:rsidRDefault="00877555" w:rsidP="00D616F1">
            <w:pPr>
              <w:pStyle w:val="NoSpacing"/>
              <w:rPr>
                <w:rFonts w:cstheme="minorHAnsi"/>
                <w:sz w:val="20"/>
                <w:szCs w:val="20"/>
              </w:rPr>
            </w:pPr>
          </w:p>
        </w:tc>
        <w:tc>
          <w:tcPr>
            <w:tcW w:w="0" w:type="auto"/>
          </w:tcPr>
          <w:p w14:paraId="2C651D91" w14:textId="77777777" w:rsidR="00877555" w:rsidRPr="008918B2" w:rsidRDefault="00877555" w:rsidP="00D616F1">
            <w:pPr>
              <w:pStyle w:val="NoSpacing"/>
              <w:rPr>
                <w:rFonts w:cstheme="minorHAnsi"/>
                <w:i/>
                <w:iCs/>
                <w:sz w:val="20"/>
                <w:szCs w:val="20"/>
              </w:rPr>
            </w:pPr>
            <w:r w:rsidRPr="008918B2">
              <w:rPr>
                <w:rFonts w:cstheme="minorHAnsi"/>
                <w:i/>
                <w:iCs/>
                <w:sz w:val="20"/>
                <w:szCs w:val="20"/>
              </w:rPr>
              <w:t>b</w:t>
            </w:r>
          </w:p>
        </w:tc>
        <w:tc>
          <w:tcPr>
            <w:tcW w:w="0" w:type="auto"/>
          </w:tcPr>
          <w:p w14:paraId="3E2C1D11" w14:textId="77777777" w:rsidR="00877555" w:rsidRPr="008918B2" w:rsidRDefault="00877555" w:rsidP="00D616F1">
            <w:pPr>
              <w:pStyle w:val="NoSpacing"/>
              <w:rPr>
                <w:rFonts w:cstheme="minorHAnsi"/>
                <w:i/>
                <w:iCs/>
                <w:sz w:val="20"/>
                <w:szCs w:val="20"/>
              </w:rPr>
            </w:pPr>
            <w:r w:rsidRPr="008918B2">
              <w:rPr>
                <w:rFonts w:cstheme="minorHAnsi"/>
                <w:i/>
                <w:iCs/>
                <w:sz w:val="20"/>
                <w:szCs w:val="20"/>
              </w:rPr>
              <w:t>SE</w:t>
            </w:r>
          </w:p>
        </w:tc>
        <w:tc>
          <w:tcPr>
            <w:tcW w:w="0" w:type="auto"/>
          </w:tcPr>
          <w:p w14:paraId="3D63E367" w14:textId="77777777" w:rsidR="00877555" w:rsidRPr="008918B2" w:rsidRDefault="00877555" w:rsidP="00D616F1">
            <w:pPr>
              <w:pStyle w:val="NoSpacing"/>
              <w:rPr>
                <w:rFonts w:cstheme="minorHAnsi"/>
                <w:i/>
                <w:iCs/>
                <w:sz w:val="20"/>
                <w:szCs w:val="20"/>
              </w:rPr>
            </w:pPr>
            <w:r w:rsidRPr="008918B2">
              <w:rPr>
                <w:rFonts w:cstheme="minorHAnsi"/>
                <w:i/>
                <w:iCs/>
                <w:sz w:val="20"/>
                <w:szCs w:val="20"/>
              </w:rPr>
              <w:t>p</w:t>
            </w:r>
          </w:p>
        </w:tc>
        <w:tc>
          <w:tcPr>
            <w:tcW w:w="0" w:type="auto"/>
          </w:tcPr>
          <w:p w14:paraId="3C17B22C" w14:textId="77777777" w:rsidR="00877555" w:rsidRPr="008918B2" w:rsidRDefault="00877555" w:rsidP="00D616F1">
            <w:pPr>
              <w:pStyle w:val="NoSpacing"/>
              <w:rPr>
                <w:rFonts w:cstheme="minorHAnsi"/>
                <w:i/>
                <w:iCs/>
                <w:sz w:val="20"/>
                <w:szCs w:val="20"/>
              </w:rPr>
            </w:pPr>
            <w:r w:rsidRPr="008918B2">
              <w:rPr>
                <w:rFonts w:cstheme="minorHAnsi"/>
                <w:i/>
                <w:iCs/>
                <w:sz w:val="20"/>
                <w:szCs w:val="20"/>
              </w:rPr>
              <w:t>b</w:t>
            </w:r>
          </w:p>
        </w:tc>
        <w:tc>
          <w:tcPr>
            <w:tcW w:w="0" w:type="auto"/>
          </w:tcPr>
          <w:p w14:paraId="741B0DF5" w14:textId="77777777" w:rsidR="00877555" w:rsidRPr="008918B2" w:rsidRDefault="00877555" w:rsidP="00D616F1">
            <w:pPr>
              <w:pStyle w:val="NoSpacing"/>
              <w:rPr>
                <w:rFonts w:cstheme="minorHAnsi"/>
                <w:i/>
                <w:iCs/>
                <w:sz w:val="20"/>
                <w:szCs w:val="20"/>
              </w:rPr>
            </w:pPr>
            <w:r w:rsidRPr="008918B2">
              <w:rPr>
                <w:rFonts w:cstheme="minorHAnsi"/>
                <w:i/>
                <w:iCs/>
                <w:sz w:val="20"/>
                <w:szCs w:val="20"/>
              </w:rPr>
              <w:t>SE</w:t>
            </w:r>
          </w:p>
        </w:tc>
        <w:tc>
          <w:tcPr>
            <w:tcW w:w="0" w:type="auto"/>
          </w:tcPr>
          <w:p w14:paraId="4CF37740" w14:textId="77777777" w:rsidR="00877555" w:rsidRPr="008918B2" w:rsidRDefault="00877555" w:rsidP="00D616F1">
            <w:pPr>
              <w:pStyle w:val="NoSpacing"/>
              <w:rPr>
                <w:rFonts w:cstheme="minorHAnsi"/>
                <w:i/>
                <w:iCs/>
                <w:sz w:val="20"/>
                <w:szCs w:val="20"/>
              </w:rPr>
            </w:pPr>
            <w:r w:rsidRPr="008918B2">
              <w:rPr>
                <w:rFonts w:cstheme="minorHAnsi"/>
                <w:i/>
                <w:iCs/>
                <w:sz w:val="20"/>
                <w:szCs w:val="20"/>
              </w:rPr>
              <w:t>p</w:t>
            </w:r>
          </w:p>
        </w:tc>
        <w:tc>
          <w:tcPr>
            <w:tcW w:w="0" w:type="auto"/>
          </w:tcPr>
          <w:p w14:paraId="3332A6D8" w14:textId="77777777" w:rsidR="00877555" w:rsidRPr="008918B2" w:rsidRDefault="00877555" w:rsidP="00D616F1">
            <w:pPr>
              <w:pStyle w:val="NoSpacing"/>
              <w:rPr>
                <w:rFonts w:cstheme="minorHAnsi"/>
                <w:i/>
                <w:iCs/>
                <w:sz w:val="20"/>
                <w:szCs w:val="20"/>
              </w:rPr>
            </w:pPr>
            <w:r w:rsidRPr="008918B2">
              <w:rPr>
                <w:rFonts w:cstheme="minorHAnsi"/>
                <w:i/>
                <w:iCs/>
                <w:sz w:val="20"/>
                <w:szCs w:val="20"/>
              </w:rPr>
              <w:t>b</w:t>
            </w:r>
          </w:p>
        </w:tc>
        <w:tc>
          <w:tcPr>
            <w:tcW w:w="0" w:type="auto"/>
          </w:tcPr>
          <w:p w14:paraId="39378915" w14:textId="77777777" w:rsidR="00877555" w:rsidRPr="008918B2" w:rsidRDefault="00877555" w:rsidP="00D616F1">
            <w:pPr>
              <w:pStyle w:val="NoSpacing"/>
              <w:rPr>
                <w:rFonts w:cstheme="minorHAnsi"/>
                <w:i/>
                <w:iCs/>
                <w:sz w:val="20"/>
                <w:szCs w:val="20"/>
              </w:rPr>
            </w:pPr>
            <w:r w:rsidRPr="008918B2">
              <w:rPr>
                <w:rFonts w:cstheme="minorHAnsi"/>
                <w:i/>
                <w:iCs/>
                <w:sz w:val="20"/>
                <w:szCs w:val="20"/>
              </w:rPr>
              <w:t>SE</w:t>
            </w:r>
          </w:p>
        </w:tc>
        <w:tc>
          <w:tcPr>
            <w:tcW w:w="0" w:type="auto"/>
          </w:tcPr>
          <w:p w14:paraId="2292B197" w14:textId="77777777" w:rsidR="00877555" w:rsidRPr="008918B2" w:rsidRDefault="00877555" w:rsidP="00D616F1">
            <w:pPr>
              <w:pStyle w:val="NoSpacing"/>
              <w:rPr>
                <w:rFonts w:cstheme="minorHAnsi"/>
                <w:i/>
                <w:iCs/>
                <w:sz w:val="20"/>
                <w:szCs w:val="20"/>
              </w:rPr>
            </w:pPr>
            <w:r w:rsidRPr="008918B2">
              <w:rPr>
                <w:rFonts w:cstheme="minorHAnsi"/>
                <w:i/>
                <w:iCs/>
                <w:sz w:val="20"/>
                <w:szCs w:val="20"/>
              </w:rPr>
              <w:t>p</w:t>
            </w:r>
          </w:p>
        </w:tc>
        <w:tc>
          <w:tcPr>
            <w:tcW w:w="0" w:type="auto"/>
          </w:tcPr>
          <w:p w14:paraId="70B3A1DA" w14:textId="77777777" w:rsidR="00877555" w:rsidRPr="008918B2" w:rsidRDefault="00877555" w:rsidP="00D616F1">
            <w:pPr>
              <w:pStyle w:val="NoSpacing"/>
              <w:rPr>
                <w:rFonts w:cstheme="minorHAnsi"/>
                <w:i/>
                <w:iCs/>
                <w:sz w:val="20"/>
                <w:szCs w:val="20"/>
              </w:rPr>
            </w:pPr>
            <w:r w:rsidRPr="008918B2">
              <w:rPr>
                <w:rFonts w:cstheme="minorHAnsi"/>
                <w:i/>
                <w:iCs/>
                <w:sz w:val="20"/>
                <w:szCs w:val="20"/>
              </w:rPr>
              <w:t>b</w:t>
            </w:r>
          </w:p>
        </w:tc>
        <w:tc>
          <w:tcPr>
            <w:tcW w:w="0" w:type="auto"/>
          </w:tcPr>
          <w:p w14:paraId="36552AA5" w14:textId="77777777" w:rsidR="00877555" w:rsidRPr="008918B2" w:rsidRDefault="00877555" w:rsidP="00D616F1">
            <w:pPr>
              <w:pStyle w:val="NoSpacing"/>
              <w:rPr>
                <w:rFonts w:cstheme="minorHAnsi"/>
                <w:i/>
                <w:iCs/>
                <w:sz w:val="20"/>
                <w:szCs w:val="20"/>
              </w:rPr>
            </w:pPr>
            <w:r w:rsidRPr="008918B2">
              <w:rPr>
                <w:rFonts w:cstheme="minorHAnsi"/>
                <w:i/>
                <w:iCs/>
                <w:sz w:val="20"/>
                <w:szCs w:val="20"/>
              </w:rPr>
              <w:t>SE</w:t>
            </w:r>
          </w:p>
        </w:tc>
        <w:tc>
          <w:tcPr>
            <w:tcW w:w="0" w:type="auto"/>
          </w:tcPr>
          <w:p w14:paraId="7C51DEEB" w14:textId="77777777" w:rsidR="00877555" w:rsidRPr="008918B2" w:rsidRDefault="00877555" w:rsidP="00D616F1">
            <w:pPr>
              <w:pStyle w:val="NoSpacing"/>
              <w:rPr>
                <w:rFonts w:cstheme="minorHAnsi"/>
                <w:i/>
                <w:iCs/>
                <w:sz w:val="20"/>
                <w:szCs w:val="20"/>
              </w:rPr>
            </w:pPr>
            <w:r w:rsidRPr="008918B2">
              <w:rPr>
                <w:rFonts w:cstheme="minorHAnsi"/>
                <w:i/>
                <w:iCs/>
                <w:sz w:val="20"/>
                <w:szCs w:val="20"/>
              </w:rPr>
              <w:t>p</w:t>
            </w:r>
          </w:p>
        </w:tc>
      </w:tr>
      <w:tr w:rsidR="003C06BA" w:rsidRPr="008918B2" w14:paraId="64BE5A1E" w14:textId="77777777" w:rsidTr="00AC1748">
        <w:tc>
          <w:tcPr>
            <w:tcW w:w="0" w:type="auto"/>
          </w:tcPr>
          <w:p w14:paraId="52B08591" w14:textId="77777777" w:rsidR="00877555" w:rsidRPr="008918B2" w:rsidRDefault="00877555" w:rsidP="00D616F1">
            <w:pPr>
              <w:pStyle w:val="NoSpacing"/>
              <w:rPr>
                <w:rFonts w:cstheme="minorHAnsi"/>
                <w:sz w:val="20"/>
                <w:szCs w:val="20"/>
              </w:rPr>
            </w:pPr>
            <w:r w:rsidRPr="008918B2">
              <w:rPr>
                <w:rFonts w:cstheme="minorHAnsi"/>
                <w:sz w:val="20"/>
                <w:szCs w:val="20"/>
              </w:rPr>
              <w:t>Constant</w:t>
            </w:r>
          </w:p>
        </w:tc>
        <w:tc>
          <w:tcPr>
            <w:tcW w:w="0" w:type="auto"/>
          </w:tcPr>
          <w:p w14:paraId="5900E151" w14:textId="05655C0C" w:rsidR="00877555" w:rsidRPr="008918B2" w:rsidRDefault="00934DB8" w:rsidP="00D616F1">
            <w:pPr>
              <w:pStyle w:val="NoSpacing"/>
              <w:rPr>
                <w:rFonts w:cstheme="minorHAnsi"/>
                <w:sz w:val="20"/>
                <w:szCs w:val="20"/>
              </w:rPr>
            </w:pPr>
            <w:r w:rsidRPr="008918B2">
              <w:rPr>
                <w:rFonts w:cstheme="minorHAnsi"/>
                <w:sz w:val="20"/>
                <w:szCs w:val="20"/>
              </w:rPr>
              <w:t xml:space="preserve">–0.72 </w:t>
            </w:r>
          </w:p>
        </w:tc>
        <w:tc>
          <w:tcPr>
            <w:tcW w:w="0" w:type="auto"/>
          </w:tcPr>
          <w:p w14:paraId="11D0D1DF" w14:textId="1C88F9A0" w:rsidR="00877555" w:rsidRPr="008918B2" w:rsidRDefault="00193491" w:rsidP="00D616F1">
            <w:pPr>
              <w:pStyle w:val="NoSpacing"/>
              <w:rPr>
                <w:rFonts w:cstheme="minorHAnsi"/>
                <w:sz w:val="20"/>
                <w:szCs w:val="20"/>
              </w:rPr>
            </w:pPr>
            <w:r w:rsidRPr="008918B2">
              <w:rPr>
                <w:rFonts w:cstheme="minorHAnsi"/>
                <w:sz w:val="20"/>
                <w:szCs w:val="20"/>
              </w:rPr>
              <w:t>1.13</w:t>
            </w:r>
          </w:p>
        </w:tc>
        <w:tc>
          <w:tcPr>
            <w:tcW w:w="0" w:type="auto"/>
          </w:tcPr>
          <w:p w14:paraId="13100BA4" w14:textId="0189BFCF" w:rsidR="00877555" w:rsidRPr="008918B2" w:rsidRDefault="00193491" w:rsidP="00D616F1">
            <w:pPr>
              <w:pStyle w:val="NoSpacing"/>
              <w:rPr>
                <w:rFonts w:cstheme="minorHAnsi"/>
                <w:sz w:val="20"/>
                <w:szCs w:val="20"/>
              </w:rPr>
            </w:pPr>
            <w:r w:rsidRPr="008918B2">
              <w:rPr>
                <w:rFonts w:cstheme="minorHAnsi"/>
                <w:sz w:val="20"/>
                <w:szCs w:val="20"/>
              </w:rPr>
              <w:t>.525</w:t>
            </w:r>
          </w:p>
        </w:tc>
        <w:tc>
          <w:tcPr>
            <w:tcW w:w="0" w:type="auto"/>
          </w:tcPr>
          <w:p w14:paraId="699B4BD2" w14:textId="5C0C5F61" w:rsidR="00877555" w:rsidRPr="008918B2" w:rsidRDefault="00193491" w:rsidP="00D616F1">
            <w:pPr>
              <w:pStyle w:val="NoSpacing"/>
              <w:rPr>
                <w:rFonts w:cstheme="minorHAnsi"/>
                <w:sz w:val="20"/>
                <w:szCs w:val="20"/>
              </w:rPr>
            </w:pPr>
            <w:r w:rsidRPr="008918B2">
              <w:rPr>
                <w:rFonts w:cstheme="minorHAnsi"/>
                <w:sz w:val="20"/>
                <w:szCs w:val="20"/>
              </w:rPr>
              <w:t>–0.72</w:t>
            </w:r>
          </w:p>
        </w:tc>
        <w:tc>
          <w:tcPr>
            <w:tcW w:w="0" w:type="auto"/>
          </w:tcPr>
          <w:p w14:paraId="05B8AECE" w14:textId="19022A39" w:rsidR="00877555" w:rsidRPr="008918B2" w:rsidRDefault="00193491" w:rsidP="00D616F1">
            <w:pPr>
              <w:pStyle w:val="NoSpacing"/>
              <w:rPr>
                <w:rFonts w:cstheme="minorHAnsi"/>
                <w:sz w:val="20"/>
                <w:szCs w:val="20"/>
              </w:rPr>
            </w:pPr>
            <w:r w:rsidRPr="008918B2">
              <w:rPr>
                <w:rFonts w:cstheme="minorHAnsi"/>
                <w:sz w:val="20"/>
                <w:szCs w:val="20"/>
              </w:rPr>
              <w:t>1.14</w:t>
            </w:r>
          </w:p>
        </w:tc>
        <w:tc>
          <w:tcPr>
            <w:tcW w:w="0" w:type="auto"/>
          </w:tcPr>
          <w:p w14:paraId="1916BD73" w14:textId="799334F3" w:rsidR="00877555" w:rsidRPr="008918B2" w:rsidRDefault="00193491" w:rsidP="00D616F1">
            <w:pPr>
              <w:pStyle w:val="NoSpacing"/>
              <w:rPr>
                <w:rFonts w:cstheme="minorHAnsi"/>
                <w:sz w:val="20"/>
                <w:szCs w:val="20"/>
              </w:rPr>
            </w:pPr>
            <w:r w:rsidRPr="008918B2">
              <w:rPr>
                <w:rFonts w:cstheme="minorHAnsi"/>
                <w:sz w:val="20"/>
                <w:szCs w:val="20"/>
              </w:rPr>
              <w:t>.532</w:t>
            </w:r>
          </w:p>
        </w:tc>
        <w:tc>
          <w:tcPr>
            <w:tcW w:w="0" w:type="auto"/>
          </w:tcPr>
          <w:p w14:paraId="186EA97D" w14:textId="206CA24B" w:rsidR="00877555" w:rsidRPr="008918B2" w:rsidRDefault="00193491" w:rsidP="00D616F1">
            <w:pPr>
              <w:pStyle w:val="NoSpacing"/>
              <w:rPr>
                <w:rFonts w:cstheme="minorHAnsi"/>
                <w:sz w:val="20"/>
                <w:szCs w:val="20"/>
              </w:rPr>
            </w:pPr>
            <w:r w:rsidRPr="008918B2">
              <w:rPr>
                <w:rFonts w:cstheme="minorHAnsi"/>
                <w:sz w:val="20"/>
                <w:szCs w:val="20"/>
              </w:rPr>
              <w:t>–0.72</w:t>
            </w:r>
          </w:p>
        </w:tc>
        <w:tc>
          <w:tcPr>
            <w:tcW w:w="0" w:type="auto"/>
          </w:tcPr>
          <w:p w14:paraId="6868E98A" w14:textId="4E73AB55" w:rsidR="00877555" w:rsidRPr="008918B2" w:rsidRDefault="00193491" w:rsidP="00D616F1">
            <w:pPr>
              <w:pStyle w:val="NoSpacing"/>
              <w:rPr>
                <w:rFonts w:cstheme="minorHAnsi"/>
                <w:sz w:val="20"/>
                <w:szCs w:val="20"/>
              </w:rPr>
            </w:pPr>
            <w:r w:rsidRPr="008918B2">
              <w:rPr>
                <w:rFonts w:cstheme="minorHAnsi"/>
                <w:sz w:val="20"/>
                <w:szCs w:val="20"/>
              </w:rPr>
              <w:t>1.14</w:t>
            </w:r>
          </w:p>
        </w:tc>
        <w:tc>
          <w:tcPr>
            <w:tcW w:w="0" w:type="auto"/>
          </w:tcPr>
          <w:p w14:paraId="1BD437C4" w14:textId="7474992C" w:rsidR="00877555" w:rsidRPr="008918B2" w:rsidRDefault="00193491" w:rsidP="00D616F1">
            <w:pPr>
              <w:pStyle w:val="NoSpacing"/>
              <w:rPr>
                <w:rFonts w:cstheme="minorHAnsi"/>
                <w:sz w:val="20"/>
                <w:szCs w:val="20"/>
              </w:rPr>
            </w:pPr>
            <w:r w:rsidRPr="008918B2">
              <w:rPr>
                <w:rFonts w:cstheme="minorHAnsi"/>
                <w:sz w:val="20"/>
                <w:szCs w:val="20"/>
              </w:rPr>
              <w:t>.525</w:t>
            </w:r>
          </w:p>
        </w:tc>
        <w:tc>
          <w:tcPr>
            <w:tcW w:w="0" w:type="auto"/>
          </w:tcPr>
          <w:p w14:paraId="376C0B82" w14:textId="3B1BF3DF" w:rsidR="00877555" w:rsidRPr="008918B2" w:rsidRDefault="00193491" w:rsidP="00D616F1">
            <w:pPr>
              <w:pStyle w:val="NoSpacing"/>
              <w:rPr>
                <w:rFonts w:cstheme="minorHAnsi"/>
                <w:sz w:val="20"/>
                <w:szCs w:val="20"/>
              </w:rPr>
            </w:pPr>
            <w:r w:rsidRPr="008918B2">
              <w:rPr>
                <w:rFonts w:cstheme="minorHAnsi"/>
                <w:sz w:val="20"/>
                <w:szCs w:val="20"/>
              </w:rPr>
              <w:t>–0.73</w:t>
            </w:r>
          </w:p>
        </w:tc>
        <w:tc>
          <w:tcPr>
            <w:tcW w:w="0" w:type="auto"/>
          </w:tcPr>
          <w:p w14:paraId="470241A2" w14:textId="49C4FC39" w:rsidR="00877555" w:rsidRPr="008918B2" w:rsidRDefault="00193491" w:rsidP="00D616F1">
            <w:pPr>
              <w:pStyle w:val="NoSpacing"/>
              <w:rPr>
                <w:rFonts w:cstheme="minorHAnsi"/>
                <w:sz w:val="20"/>
                <w:szCs w:val="20"/>
              </w:rPr>
            </w:pPr>
            <w:r w:rsidRPr="008918B2">
              <w:rPr>
                <w:rFonts w:cstheme="minorHAnsi"/>
                <w:sz w:val="20"/>
                <w:szCs w:val="20"/>
              </w:rPr>
              <w:t>1.13</w:t>
            </w:r>
          </w:p>
        </w:tc>
        <w:tc>
          <w:tcPr>
            <w:tcW w:w="0" w:type="auto"/>
          </w:tcPr>
          <w:p w14:paraId="3C9CC1AA" w14:textId="4E48464D" w:rsidR="00877555" w:rsidRPr="008918B2" w:rsidRDefault="00193491" w:rsidP="00D616F1">
            <w:pPr>
              <w:pStyle w:val="NoSpacing"/>
              <w:rPr>
                <w:rFonts w:cstheme="minorHAnsi"/>
                <w:sz w:val="20"/>
                <w:szCs w:val="20"/>
              </w:rPr>
            </w:pPr>
            <w:r w:rsidRPr="008918B2">
              <w:rPr>
                <w:rFonts w:cstheme="minorHAnsi"/>
                <w:sz w:val="20"/>
                <w:szCs w:val="20"/>
              </w:rPr>
              <w:t>.522</w:t>
            </w:r>
          </w:p>
        </w:tc>
      </w:tr>
      <w:tr w:rsidR="003C06BA" w:rsidRPr="008918B2" w14:paraId="47D8D0F1" w14:textId="77777777" w:rsidTr="00AC1748">
        <w:tc>
          <w:tcPr>
            <w:tcW w:w="0" w:type="auto"/>
          </w:tcPr>
          <w:p w14:paraId="7594160C" w14:textId="77777777" w:rsidR="00877555" w:rsidRPr="008918B2" w:rsidRDefault="00877555" w:rsidP="00D616F1">
            <w:pPr>
              <w:pStyle w:val="NoSpacing"/>
              <w:rPr>
                <w:rFonts w:cstheme="minorHAnsi"/>
                <w:sz w:val="20"/>
                <w:szCs w:val="20"/>
              </w:rPr>
            </w:pPr>
            <w:r w:rsidRPr="008918B2">
              <w:rPr>
                <w:rFonts w:cstheme="minorHAnsi"/>
                <w:sz w:val="20"/>
                <w:szCs w:val="20"/>
              </w:rPr>
              <w:t>Ln off-</w:t>
            </w:r>
            <w:proofErr w:type="gramStart"/>
            <w:r w:rsidRPr="008918B2">
              <w:rPr>
                <w:rFonts w:cstheme="minorHAnsi"/>
                <w:sz w:val="20"/>
                <w:szCs w:val="20"/>
              </w:rPr>
              <w:t>premise</w:t>
            </w:r>
            <w:proofErr w:type="gramEnd"/>
          </w:p>
        </w:tc>
        <w:tc>
          <w:tcPr>
            <w:tcW w:w="0" w:type="auto"/>
          </w:tcPr>
          <w:p w14:paraId="4D1ED2CE" w14:textId="49E24713" w:rsidR="00877555" w:rsidRPr="008918B2" w:rsidRDefault="00980C41" w:rsidP="00D616F1">
            <w:pPr>
              <w:pStyle w:val="NoSpacing"/>
              <w:rPr>
                <w:rFonts w:cstheme="minorHAnsi"/>
                <w:sz w:val="20"/>
                <w:szCs w:val="20"/>
              </w:rPr>
            </w:pPr>
            <w:r w:rsidRPr="008918B2">
              <w:rPr>
                <w:rFonts w:cstheme="minorHAnsi"/>
                <w:sz w:val="20"/>
                <w:szCs w:val="20"/>
              </w:rPr>
              <w:t xml:space="preserve">0.53 </w:t>
            </w:r>
          </w:p>
        </w:tc>
        <w:tc>
          <w:tcPr>
            <w:tcW w:w="0" w:type="auto"/>
          </w:tcPr>
          <w:p w14:paraId="3289F9D6" w14:textId="08CD8E4E" w:rsidR="00877555" w:rsidRPr="008918B2" w:rsidRDefault="00193491" w:rsidP="00D616F1">
            <w:pPr>
              <w:pStyle w:val="NoSpacing"/>
              <w:rPr>
                <w:rFonts w:cstheme="minorHAnsi"/>
                <w:sz w:val="20"/>
                <w:szCs w:val="20"/>
              </w:rPr>
            </w:pPr>
            <w:r w:rsidRPr="008918B2">
              <w:rPr>
                <w:rFonts w:cstheme="minorHAnsi"/>
                <w:sz w:val="20"/>
                <w:szCs w:val="20"/>
              </w:rPr>
              <w:t>0.18</w:t>
            </w:r>
          </w:p>
        </w:tc>
        <w:tc>
          <w:tcPr>
            <w:tcW w:w="0" w:type="auto"/>
          </w:tcPr>
          <w:p w14:paraId="724247C7" w14:textId="37E24756" w:rsidR="00877555" w:rsidRPr="008918B2" w:rsidRDefault="00193491" w:rsidP="00D616F1">
            <w:pPr>
              <w:pStyle w:val="NoSpacing"/>
              <w:rPr>
                <w:rFonts w:cstheme="minorHAnsi"/>
                <w:sz w:val="20"/>
                <w:szCs w:val="20"/>
              </w:rPr>
            </w:pPr>
            <w:r w:rsidRPr="008918B2">
              <w:rPr>
                <w:rFonts w:cstheme="minorHAnsi"/>
                <w:sz w:val="20"/>
                <w:szCs w:val="20"/>
              </w:rPr>
              <w:t>.004</w:t>
            </w:r>
          </w:p>
        </w:tc>
        <w:tc>
          <w:tcPr>
            <w:tcW w:w="0" w:type="auto"/>
          </w:tcPr>
          <w:p w14:paraId="73C8909B" w14:textId="24C8FEBF" w:rsidR="00877555" w:rsidRPr="008918B2" w:rsidRDefault="00193491" w:rsidP="00D616F1">
            <w:pPr>
              <w:pStyle w:val="NoSpacing"/>
              <w:rPr>
                <w:rFonts w:cstheme="minorHAnsi"/>
                <w:sz w:val="20"/>
                <w:szCs w:val="20"/>
              </w:rPr>
            </w:pPr>
            <w:r w:rsidRPr="008918B2">
              <w:rPr>
                <w:rFonts w:cstheme="minorHAnsi"/>
                <w:sz w:val="20"/>
                <w:szCs w:val="20"/>
              </w:rPr>
              <w:t>0.53</w:t>
            </w:r>
          </w:p>
        </w:tc>
        <w:tc>
          <w:tcPr>
            <w:tcW w:w="0" w:type="auto"/>
          </w:tcPr>
          <w:p w14:paraId="70607920" w14:textId="683FAA4F" w:rsidR="00877555" w:rsidRPr="008918B2" w:rsidRDefault="00193491" w:rsidP="00D616F1">
            <w:pPr>
              <w:pStyle w:val="NoSpacing"/>
              <w:rPr>
                <w:rFonts w:cstheme="minorHAnsi"/>
                <w:sz w:val="20"/>
                <w:szCs w:val="20"/>
              </w:rPr>
            </w:pPr>
            <w:r w:rsidRPr="008918B2">
              <w:rPr>
                <w:rFonts w:cstheme="minorHAnsi"/>
                <w:sz w:val="20"/>
                <w:szCs w:val="20"/>
              </w:rPr>
              <w:t>0.19</w:t>
            </w:r>
          </w:p>
        </w:tc>
        <w:tc>
          <w:tcPr>
            <w:tcW w:w="0" w:type="auto"/>
          </w:tcPr>
          <w:p w14:paraId="4013B357" w14:textId="5B6110AA" w:rsidR="00877555" w:rsidRPr="008918B2" w:rsidRDefault="00193491" w:rsidP="00D616F1">
            <w:pPr>
              <w:pStyle w:val="NoSpacing"/>
              <w:rPr>
                <w:rFonts w:cstheme="minorHAnsi"/>
                <w:sz w:val="20"/>
                <w:szCs w:val="20"/>
              </w:rPr>
            </w:pPr>
            <w:r w:rsidRPr="008918B2">
              <w:rPr>
                <w:rFonts w:cstheme="minorHAnsi"/>
                <w:sz w:val="20"/>
                <w:szCs w:val="20"/>
              </w:rPr>
              <w:t>.007</w:t>
            </w:r>
          </w:p>
        </w:tc>
        <w:tc>
          <w:tcPr>
            <w:tcW w:w="0" w:type="auto"/>
          </w:tcPr>
          <w:p w14:paraId="4ED3EE0A" w14:textId="5FC785EA" w:rsidR="00877555" w:rsidRPr="008918B2" w:rsidRDefault="00193491" w:rsidP="00D616F1">
            <w:pPr>
              <w:pStyle w:val="NoSpacing"/>
              <w:rPr>
                <w:rFonts w:cstheme="minorHAnsi"/>
                <w:sz w:val="20"/>
                <w:szCs w:val="20"/>
              </w:rPr>
            </w:pPr>
            <w:r w:rsidRPr="008918B2">
              <w:rPr>
                <w:rFonts w:cstheme="minorHAnsi"/>
                <w:sz w:val="20"/>
                <w:szCs w:val="20"/>
              </w:rPr>
              <w:t>0.53</w:t>
            </w:r>
          </w:p>
        </w:tc>
        <w:tc>
          <w:tcPr>
            <w:tcW w:w="0" w:type="auto"/>
          </w:tcPr>
          <w:p w14:paraId="335FE2E1" w14:textId="163A597C" w:rsidR="00877555" w:rsidRPr="008918B2" w:rsidRDefault="00193491" w:rsidP="00D616F1">
            <w:pPr>
              <w:pStyle w:val="NoSpacing"/>
              <w:rPr>
                <w:rFonts w:cstheme="minorHAnsi"/>
                <w:sz w:val="20"/>
                <w:szCs w:val="20"/>
              </w:rPr>
            </w:pPr>
            <w:r w:rsidRPr="008918B2">
              <w:rPr>
                <w:rFonts w:cstheme="minorHAnsi"/>
                <w:sz w:val="20"/>
                <w:szCs w:val="20"/>
              </w:rPr>
              <w:t>0.18</w:t>
            </w:r>
          </w:p>
        </w:tc>
        <w:tc>
          <w:tcPr>
            <w:tcW w:w="0" w:type="auto"/>
          </w:tcPr>
          <w:p w14:paraId="008FA523" w14:textId="2A8AB05C" w:rsidR="00877555" w:rsidRPr="008918B2" w:rsidRDefault="00193491" w:rsidP="00D616F1">
            <w:pPr>
              <w:pStyle w:val="NoSpacing"/>
              <w:rPr>
                <w:rFonts w:cstheme="minorHAnsi"/>
                <w:sz w:val="20"/>
                <w:szCs w:val="20"/>
              </w:rPr>
            </w:pPr>
            <w:r w:rsidRPr="008918B2">
              <w:rPr>
                <w:rFonts w:cstheme="minorHAnsi"/>
                <w:sz w:val="20"/>
                <w:szCs w:val="20"/>
              </w:rPr>
              <w:t>.005</w:t>
            </w:r>
          </w:p>
        </w:tc>
        <w:tc>
          <w:tcPr>
            <w:tcW w:w="0" w:type="auto"/>
          </w:tcPr>
          <w:p w14:paraId="21BEE990" w14:textId="071A1B7C" w:rsidR="00877555" w:rsidRPr="008918B2" w:rsidRDefault="00193491" w:rsidP="00D616F1">
            <w:pPr>
              <w:pStyle w:val="NoSpacing"/>
              <w:rPr>
                <w:rFonts w:cstheme="minorHAnsi"/>
                <w:sz w:val="20"/>
                <w:szCs w:val="20"/>
              </w:rPr>
            </w:pPr>
            <w:r w:rsidRPr="008918B2">
              <w:rPr>
                <w:rFonts w:cstheme="minorHAnsi"/>
                <w:sz w:val="20"/>
                <w:szCs w:val="20"/>
              </w:rPr>
              <w:t>0.52</w:t>
            </w:r>
          </w:p>
        </w:tc>
        <w:tc>
          <w:tcPr>
            <w:tcW w:w="0" w:type="auto"/>
          </w:tcPr>
          <w:p w14:paraId="3412F57B" w14:textId="3F90E6B9" w:rsidR="00877555" w:rsidRPr="008918B2" w:rsidRDefault="00193491" w:rsidP="00D616F1">
            <w:pPr>
              <w:pStyle w:val="NoSpacing"/>
              <w:rPr>
                <w:rFonts w:cstheme="minorHAnsi"/>
                <w:sz w:val="20"/>
                <w:szCs w:val="20"/>
              </w:rPr>
            </w:pPr>
            <w:r w:rsidRPr="008918B2">
              <w:rPr>
                <w:rFonts w:cstheme="minorHAnsi"/>
                <w:sz w:val="20"/>
                <w:szCs w:val="20"/>
              </w:rPr>
              <w:t>0.18</w:t>
            </w:r>
          </w:p>
        </w:tc>
        <w:tc>
          <w:tcPr>
            <w:tcW w:w="0" w:type="auto"/>
          </w:tcPr>
          <w:p w14:paraId="56604F8E" w14:textId="0C29E568" w:rsidR="00877555" w:rsidRPr="008918B2" w:rsidRDefault="00193491" w:rsidP="00D616F1">
            <w:pPr>
              <w:pStyle w:val="NoSpacing"/>
              <w:rPr>
                <w:rFonts w:cstheme="minorHAnsi"/>
                <w:sz w:val="20"/>
                <w:szCs w:val="20"/>
              </w:rPr>
            </w:pPr>
            <w:r w:rsidRPr="008918B2">
              <w:rPr>
                <w:rFonts w:cstheme="minorHAnsi"/>
                <w:sz w:val="20"/>
                <w:szCs w:val="20"/>
              </w:rPr>
              <w:t>.006</w:t>
            </w:r>
          </w:p>
        </w:tc>
      </w:tr>
      <w:tr w:rsidR="003C06BA" w:rsidRPr="008918B2" w14:paraId="2194991B" w14:textId="77777777" w:rsidTr="00AC1748">
        <w:tc>
          <w:tcPr>
            <w:tcW w:w="0" w:type="auto"/>
          </w:tcPr>
          <w:p w14:paraId="63D48152" w14:textId="77777777" w:rsidR="00877555" w:rsidRPr="008918B2" w:rsidRDefault="00877555" w:rsidP="00D616F1">
            <w:pPr>
              <w:pStyle w:val="NoSpacing"/>
              <w:rPr>
                <w:rFonts w:cstheme="minorHAnsi"/>
                <w:sz w:val="20"/>
                <w:szCs w:val="20"/>
              </w:rPr>
            </w:pPr>
            <w:r w:rsidRPr="008918B2">
              <w:rPr>
                <w:rFonts w:cstheme="minorHAnsi"/>
                <w:sz w:val="20"/>
                <w:szCs w:val="20"/>
              </w:rPr>
              <w:t>Ln restaurant</w:t>
            </w:r>
          </w:p>
        </w:tc>
        <w:tc>
          <w:tcPr>
            <w:tcW w:w="0" w:type="auto"/>
          </w:tcPr>
          <w:p w14:paraId="6A720379" w14:textId="21F44D37" w:rsidR="00877555" w:rsidRPr="008918B2" w:rsidRDefault="00980C41" w:rsidP="00D616F1">
            <w:pPr>
              <w:pStyle w:val="NoSpacing"/>
              <w:rPr>
                <w:rFonts w:cstheme="minorHAnsi"/>
                <w:sz w:val="20"/>
                <w:szCs w:val="20"/>
              </w:rPr>
            </w:pPr>
            <w:r w:rsidRPr="008918B2">
              <w:rPr>
                <w:rFonts w:cstheme="minorHAnsi"/>
                <w:sz w:val="20"/>
                <w:szCs w:val="20"/>
              </w:rPr>
              <w:t xml:space="preserve">–0.32 </w:t>
            </w:r>
          </w:p>
        </w:tc>
        <w:tc>
          <w:tcPr>
            <w:tcW w:w="0" w:type="auto"/>
          </w:tcPr>
          <w:p w14:paraId="32FC2D3F" w14:textId="3442FB64" w:rsidR="00877555" w:rsidRPr="008918B2" w:rsidRDefault="00193491" w:rsidP="00D616F1">
            <w:pPr>
              <w:pStyle w:val="NoSpacing"/>
              <w:rPr>
                <w:rFonts w:cstheme="minorHAnsi"/>
                <w:sz w:val="20"/>
                <w:szCs w:val="20"/>
              </w:rPr>
            </w:pPr>
            <w:r w:rsidRPr="008918B2">
              <w:rPr>
                <w:rFonts w:cstheme="minorHAnsi"/>
                <w:sz w:val="20"/>
                <w:szCs w:val="20"/>
              </w:rPr>
              <w:t>0.16</w:t>
            </w:r>
          </w:p>
        </w:tc>
        <w:tc>
          <w:tcPr>
            <w:tcW w:w="0" w:type="auto"/>
          </w:tcPr>
          <w:p w14:paraId="0F60A022" w14:textId="008AB9B2" w:rsidR="00877555" w:rsidRPr="008918B2" w:rsidRDefault="00193491" w:rsidP="00D616F1">
            <w:pPr>
              <w:pStyle w:val="NoSpacing"/>
              <w:rPr>
                <w:rFonts w:cstheme="minorHAnsi"/>
                <w:sz w:val="20"/>
                <w:szCs w:val="20"/>
              </w:rPr>
            </w:pPr>
            <w:r w:rsidRPr="008918B2">
              <w:rPr>
                <w:rFonts w:cstheme="minorHAnsi"/>
                <w:sz w:val="20"/>
                <w:szCs w:val="20"/>
              </w:rPr>
              <w:t>.054</w:t>
            </w:r>
          </w:p>
        </w:tc>
        <w:tc>
          <w:tcPr>
            <w:tcW w:w="0" w:type="auto"/>
          </w:tcPr>
          <w:p w14:paraId="08EBEE74" w14:textId="6202D21E" w:rsidR="00877555" w:rsidRPr="008918B2" w:rsidRDefault="00193491" w:rsidP="00D616F1">
            <w:pPr>
              <w:pStyle w:val="NoSpacing"/>
              <w:rPr>
                <w:rFonts w:cstheme="minorHAnsi"/>
                <w:sz w:val="20"/>
                <w:szCs w:val="20"/>
              </w:rPr>
            </w:pPr>
            <w:r w:rsidRPr="008918B2">
              <w:rPr>
                <w:rFonts w:cstheme="minorHAnsi"/>
                <w:sz w:val="20"/>
                <w:szCs w:val="20"/>
              </w:rPr>
              <w:t>–0.32</w:t>
            </w:r>
          </w:p>
        </w:tc>
        <w:tc>
          <w:tcPr>
            <w:tcW w:w="0" w:type="auto"/>
          </w:tcPr>
          <w:p w14:paraId="5E279129" w14:textId="70391D7F" w:rsidR="00877555" w:rsidRPr="008918B2" w:rsidRDefault="00193491" w:rsidP="00D616F1">
            <w:pPr>
              <w:pStyle w:val="NoSpacing"/>
              <w:rPr>
                <w:rFonts w:cstheme="minorHAnsi"/>
                <w:sz w:val="20"/>
                <w:szCs w:val="20"/>
              </w:rPr>
            </w:pPr>
            <w:r w:rsidRPr="008918B2">
              <w:rPr>
                <w:rFonts w:cstheme="minorHAnsi"/>
                <w:sz w:val="20"/>
                <w:szCs w:val="20"/>
              </w:rPr>
              <w:t>0.16</w:t>
            </w:r>
          </w:p>
        </w:tc>
        <w:tc>
          <w:tcPr>
            <w:tcW w:w="0" w:type="auto"/>
          </w:tcPr>
          <w:p w14:paraId="2EF8B480" w14:textId="6FF9B32D" w:rsidR="00877555" w:rsidRPr="008918B2" w:rsidRDefault="00193491" w:rsidP="00D616F1">
            <w:pPr>
              <w:pStyle w:val="NoSpacing"/>
              <w:rPr>
                <w:rFonts w:cstheme="minorHAnsi"/>
                <w:sz w:val="20"/>
                <w:szCs w:val="20"/>
              </w:rPr>
            </w:pPr>
            <w:r w:rsidRPr="008918B2">
              <w:rPr>
                <w:rFonts w:cstheme="minorHAnsi"/>
                <w:sz w:val="20"/>
                <w:szCs w:val="20"/>
              </w:rPr>
              <w:t>.057</w:t>
            </w:r>
          </w:p>
        </w:tc>
        <w:tc>
          <w:tcPr>
            <w:tcW w:w="0" w:type="auto"/>
          </w:tcPr>
          <w:p w14:paraId="16316DD7" w14:textId="3C772C77" w:rsidR="00877555" w:rsidRPr="008918B2" w:rsidRDefault="00193491" w:rsidP="00D616F1">
            <w:pPr>
              <w:pStyle w:val="NoSpacing"/>
              <w:rPr>
                <w:rFonts w:cstheme="minorHAnsi"/>
                <w:sz w:val="20"/>
                <w:szCs w:val="20"/>
              </w:rPr>
            </w:pPr>
            <w:r w:rsidRPr="008918B2">
              <w:rPr>
                <w:rFonts w:cstheme="minorHAnsi"/>
                <w:sz w:val="20"/>
                <w:szCs w:val="20"/>
              </w:rPr>
              <w:t>–0.33</w:t>
            </w:r>
          </w:p>
        </w:tc>
        <w:tc>
          <w:tcPr>
            <w:tcW w:w="0" w:type="auto"/>
          </w:tcPr>
          <w:p w14:paraId="014F94B2" w14:textId="34657326" w:rsidR="00877555" w:rsidRPr="008918B2" w:rsidRDefault="00193491" w:rsidP="00D616F1">
            <w:pPr>
              <w:pStyle w:val="NoSpacing"/>
              <w:rPr>
                <w:rFonts w:cstheme="minorHAnsi"/>
                <w:sz w:val="20"/>
                <w:szCs w:val="20"/>
              </w:rPr>
            </w:pPr>
            <w:r w:rsidRPr="008918B2">
              <w:rPr>
                <w:rFonts w:cstheme="minorHAnsi"/>
                <w:sz w:val="20"/>
                <w:szCs w:val="20"/>
              </w:rPr>
              <w:t>0.16</w:t>
            </w:r>
          </w:p>
        </w:tc>
        <w:tc>
          <w:tcPr>
            <w:tcW w:w="0" w:type="auto"/>
          </w:tcPr>
          <w:p w14:paraId="65081DFE" w14:textId="71158DAE" w:rsidR="00877555" w:rsidRPr="008918B2" w:rsidRDefault="00193491" w:rsidP="00D616F1">
            <w:pPr>
              <w:pStyle w:val="NoSpacing"/>
              <w:rPr>
                <w:rFonts w:cstheme="minorHAnsi"/>
                <w:sz w:val="20"/>
                <w:szCs w:val="20"/>
              </w:rPr>
            </w:pPr>
            <w:r w:rsidRPr="008918B2">
              <w:rPr>
                <w:rFonts w:cstheme="minorHAnsi"/>
                <w:sz w:val="20"/>
                <w:szCs w:val="20"/>
              </w:rPr>
              <w:t>.055</w:t>
            </w:r>
          </w:p>
        </w:tc>
        <w:tc>
          <w:tcPr>
            <w:tcW w:w="0" w:type="auto"/>
          </w:tcPr>
          <w:p w14:paraId="0373955C" w14:textId="235CDC6C" w:rsidR="00877555" w:rsidRPr="008918B2" w:rsidRDefault="00193491" w:rsidP="00D616F1">
            <w:pPr>
              <w:pStyle w:val="NoSpacing"/>
              <w:rPr>
                <w:rFonts w:cstheme="minorHAnsi"/>
                <w:sz w:val="20"/>
                <w:szCs w:val="20"/>
              </w:rPr>
            </w:pPr>
            <w:r w:rsidRPr="008918B2">
              <w:rPr>
                <w:rFonts w:cstheme="minorHAnsi"/>
                <w:sz w:val="20"/>
                <w:szCs w:val="20"/>
              </w:rPr>
              <w:t>–0.29</w:t>
            </w:r>
          </w:p>
        </w:tc>
        <w:tc>
          <w:tcPr>
            <w:tcW w:w="0" w:type="auto"/>
          </w:tcPr>
          <w:p w14:paraId="0435A193" w14:textId="46A29EA3" w:rsidR="00877555" w:rsidRPr="008918B2" w:rsidRDefault="00193491" w:rsidP="00D616F1">
            <w:pPr>
              <w:pStyle w:val="NoSpacing"/>
              <w:rPr>
                <w:rFonts w:cstheme="minorHAnsi"/>
                <w:sz w:val="20"/>
                <w:szCs w:val="20"/>
              </w:rPr>
            </w:pPr>
            <w:r w:rsidRPr="008918B2">
              <w:rPr>
                <w:rFonts w:cstheme="minorHAnsi"/>
                <w:sz w:val="20"/>
                <w:szCs w:val="20"/>
              </w:rPr>
              <w:t>0.18</w:t>
            </w:r>
          </w:p>
        </w:tc>
        <w:tc>
          <w:tcPr>
            <w:tcW w:w="0" w:type="auto"/>
          </w:tcPr>
          <w:p w14:paraId="18842BE4" w14:textId="43DFA63B" w:rsidR="00877555" w:rsidRPr="008918B2" w:rsidRDefault="00193491" w:rsidP="00D616F1">
            <w:pPr>
              <w:pStyle w:val="NoSpacing"/>
              <w:rPr>
                <w:rFonts w:cstheme="minorHAnsi"/>
                <w:sz w:val="20"/>
                <w:szCs w:val="20"/>
              </w:rPr>
            </w:pPr>
            <w:r w:rsidRPr="008918B2">
              <w:rPr>
                <w:rFonts w:cstheme="minorHAnsi"/>
                <w:sz w:val="20"/>
                <w:szCs w:val="20"/>
              </w:rPr>
              <w:t>.108</w:t>
            </w:r>
          </w:p>
        </w:tc>
      </w:tr>
      <w:tr w:rsidR="003C06BA" w:rsidRPr="008918B2" w14:paraId="7092BEB1" w14:textId="77777777" w:rsidTr="00AC1748">
        <w:tc>
          <w:tcPr>
            <w:tcW w:w="0" w:type="auto"/>
          </w:tcPr>
          <w:p w14:paraId="5CC25B07" w14:textId="77777777" w:rsidR="00877555" w:rsidRPr="008918B2" w:rsidRDefault="00877555" w:rsidP="00D616F1">
            <w:pPr>
              <w:pStyle w:val="NoSpacing"/>
              <w:rPr>
                <w:rFonts w:cstheme="minorHAnsi"/>
                <w:sz w:val="20"/>
                <w:szCs w:val="20"/>
              </w:rPr>
            </w:pPr>
            <w:r w:rsidRPr="008918B2">
              <w:rPr>
                <w:rFonts w:cstheme="minorHAnsi"/>
                <w:sz w:val="20"/>
                <w:szCs w:val="20"/>
              </w:rPr>
              <w:t>Ln bar</w:t>
            </w:r>
          </w:p>
        </w:tc>
        <w:tc>
          <w:tcPr>
            <w:tcW w:w="0" w:type="auto"/>
          </w:tcPr>
          <w:p w14:paraId="272AFA8E" w14:textId="1C0310A4" w:rsidR="00877555" w:rsidRPr="008918B2" w:rsidRDefault="00980C41" w:rsidP="00D616F1">
            <w:pPr>
              <w:pStyle w:val="NoSpacing"/>
              <w:rPr>
                <w:rFonts w:cstheme="minorHAnsi"/>
                <w:sz w:val="20"/>
                <w:szCs w:val="20"/>
              </w:rPr>
            </w:pPr>
            <w:r w:rsidRPr="008918B2">
              <w:rPr>
                <w:rFonts w:cstheme="minorHAnsi"/>
                <w:sz w:val="20"/>
                <w:szCs w:val="20"/>
              </w:rPr>
              <w:t xml:space="preserve">0.42 </w:t>
            </w:r>
          </w:p>
        </w:tc>
        <w:tc>
          <w:tcPr>
            <w:tcW w:w="0" w:type="auto"/>
          </w:tcPr>
          <w:p w14:paraId="36DAD95A" w14:textId="3CA229F0" w:rsidR="00877555" w:rsidRPr="008918B2" w:rsidRDefault="00193491" w:rsidP="00D616F1">
            <w:pPr>
              <w:pStyle w:val="NoSpacing"/>
              <w:rPr>
                <w:rFonts w:cstheme="minorHAnsi"/>
                <w:sz w:val="20"/>
                <w:szCs w:val="20"/>
              </w:rPr>
            </w:pPr>
            <w:r w:rsidRPr="008918B2">
              <w:rPr>
                <w:rFonts w:cstheme="minorHAnsi"/>
                <w:sz w:val="20"/>
                <w:szCs w:val="20"/>
              </w:rPr>
              <w:t>0.22</w:t>
            </w:r>
          </w:p>
        </w:tc>
        <w:tc>
          <w:tcPr>
            <w:tcW w:w="0" w:type="auto"/>
          </w:tcPr>
          <w:p w14:paraId="04D11B47" w14:textId="522BE402" w:rsidR="00877555" w:rsidRPr="008918B2" w:rsidRDefault="00193491" w:rsidP="00D616F1">
            <w:pPr>
              <w:pStyle w:val="NoSpacing"/>
              <w:rPr>
                <w:rFonts w:cstheme="minorHAnsi"/>
                <w:sz w:val="20"/>
                <w:szCs w:val="20"/>
              </w:rPr>
            </w:pPr>
            <w:r w:rsidRPr="008918B2">
              <w:rPr>
                <w:rFonts w:cstheme="minorHAnsi"/>
                <w:sz w:val="20"/>
                <w:szCs w:val="20"/>
              </w:rPr>
              <w:t>.059</w:t>
            </w:r>
          </w:p>
        </w:tc>
        <w:tc>
          <w:tcPr>
            <w:tcW w:w="0" w:type="auto"/>
          </w:tcPr>
          <w:p w14:paraId="65103481" w14:textId="1D816534" w:rsidR="00877555" w:rsidRPr="008918B2" w:rsidRDefault="00193491" w:rsidP="00D616F1">
            <w:pPr>
              <w:pStyle w:val="NoSpacing"/>
              <w:rPr>
                <w:rFonts w:cstheme="minorHAnsi"/>
                <w:sz w:val="20"/>
                <w:szCs w:val="20"/>
              </w:rPr>
            </w:pPr>
            <w:r w:rsidRPr="008918B2">
              <w:rPr>
                <w:rFonts w:cstheme="minorHAnsi"/>
                <w:sz w:val="20"/>
                <w:szCs w:val="20"/>
              </w:rPr>
              <w:t>0.42</w:t>
            </w:r>
          </w:p>
        </w:tc>
        <w:tc>
          <w:tcPr>
            <w:tcW w:w="0" w:type="auto"/>
          </w:tcPr>
          <w:p w14:paraId="39BB1E2B" w14:textId="33002CE9" w:rsidR="00877555" w:rsidRPr="008918B2" w:rsidRDefault="00193491" w:rsidP="00D616F1">
            <w:pPr>
              <w:pStyle w:val="NoSpacing"/>
              <w:rPr>
                <w:rFonts w:cstheme="minorHAnsi"/>
                <w:sz w:val="20"/>
                <w:szCs w:val="20"/>
              </w:rPr>
            </w:pPr>
            <w:r w:rsidRPr="008918B2">
              <w:rPr>
                <w:rFonts w:cstheme="minorHAnsi"/>
                <w:sz w:val="20"/>
                <w:szCs w:val="20"/>
              </w:rPr>
              <w:t>0.23</w:t>
            </w:r>
          </w:p>
        </w:tc>
        <w:tc>
          <w:tcPr>
            <w:tcW w:w="0" w:type="auto"/>
          </w:tcPr>
          <w:p w14:paraId="5A812146" w14:textId="27C24480" w:rsidR="00877555" w:rsidRPr="008918B2" w:rsidRDefault="00193491" w:rsidP="00D616F1">
            <w:pPr>
              <w:pStyle w:val="NoSpacing"/>
              <w:rPr>
                <w:rFonts w:cstheme="minorHAnsi"/>
                <w:sz w:val="20"/>
                <w:szCs w:val="20"/>
              </w:rPr>
            </w:pPr>
            <w:r w:rsidRPr="008918B2">
              <w:rPr>
                <w:rFonts w:cstheme="minorHAnsi"/>
                <w:sz w:val="20"/>
                <w:szCs w:val="20"/>
              </w:rPr>
              <w:t>.073</w:t>
            </w:r>
          </w:p>
        </w:tc>
        <w:tc>
          <w:tcPr>
            <w:tcW w:w="0" w:type="auto"/>
          </w:tcPr>
          <w:p w14:paraId="26E6697A" w14:textId="4D65021D" w:rsidR="00877555" w:rsidRPr="008918B2" w:rsidRDefault="00193491" w:rsidP="00D616F1">
            <w:pPr>
              <w:pStyle w:val="NoSpacing"/>
              <w:rPr>
                <w:rFonts w:cstheme="minorHAnsi"/>
                <w:sz w:val="20"/>
                <w:szCs w:val="20"/>
              </w:rPr>
            </w:pPr>
            <w:r w:rsidRPr="008918B2">
              <w:rPr>
                <w:rFonts w:cstheme="minorHAnsi"/>
                <w:sz w:val="20"/>
                <w:szCs w:val="20"/>
              </w:rPr>
              <w:t>0.48</w:t>
            </w:r>
          </w:p>
        </w:tc>
        <w:tc>
          <w:tcPr>
            <w:tcW w:w="0" w:type="auto"/>
          </w:tcPr>
          <w:p w14:paraId="70692823" w14:textId="2B7A0DAB" w:rsidR="00877555" w:rsidRPr="008918B2" w:rsidRDefault="00193491" w:rsidP="00D616F1">
            <w:pPr>
              <w:pStyle w:val="NoSpacing"/>
              <w:rPr>
                <w:rFonts w:cstheme="minorHAnsi"/>
                <w:sz w:val="20"/>
                <w:szCs w:val="20"/>
              </w:rPr>
            </w:pPr>
            <w:r w:rsidRPr="008918B2">
              <w:rPr>
                <w:rFonts w:cstheme="minorHAnsi"/>
                <w:sz w:val="20"/>
                <w:szCs w:val="20"/>
              </w:rPr>
              <w:t>0.34</w:t>
            </w:r>
          </w:p>
        </w:tc>
        <w:tc>
          <w:tcPr>
            <w:tcW w:w="0" w:type="auto"/>
          </w:tcPr>
          <w:p w14:paraId="0D35B71C" w14:textId="44DBE7D0" w:rsidR="00877555" w:rsidRPr="008918B2" w:rsidRDefault="00193491" w:rsidP="00D616F1">
            <w:pPr>
              <w:pStyle w:val="NoSpacing"/>
              <w:rPr>
                <w:rFonts w:cstheme="minorHAnsi"/>
                <w:sz w:val="20"/>
                <w:szCs w:val="20"/>
              </w:rPr>
            </w:pPr>
            <w:r w:rsidRPr="008918B2">
              <w:rPr>
                <w:rFonts w:cstheme="minorHAnsi"/>
                <w:sz w:val="20"/>
                <w:szCs w:val="20"/>
              </w:rPr>
              <w:t>.169</w:t>
            </w:r>
          </w:p>
        </w:tc>
        <w:tc>
          <w:tcPr>
            <w:tcW w:w="0" w:type="auto"/>
          </w:tcPr>
          <w:p w14:paraId="60BE7254" w14:textId="45BCD460" w:rsidR="00877555" w:rsidRPr="008918B2" w:rsidRDefault="00193491" w:rsidP="00D616F1">
            <w:pPr>
              <w:pStyle w:val="NoSpacing"/>
              <w:rPr>
                <w:rFonts w:cstheme="minorHAnsi"/>
                <w:sz w:val="20"/>
                <w:szCs w:val="20"/>
              </w:rPr>
            </w:pPr>
            <w:r w:rsidRPr="008918B2">
              <w:rPr>
                <w:rFonts w:cstheme="minorHAnsi"/>
                <w:sz w:val="20"/>
                <w:szCs w:val="20"/>
              </w:rPr>
              <w:t>0.46</w:t>
            </w:r>
          </w:p>
        </w:tc>
        <w:tc>
          <w:tcPr>
            <w:tcW w:w="0" w:type="auto"/>
          </w:tcPr>
          <w:p w14:paraId="0534F376" w14:textId="0674D432" w:rsidR="00877555" w:rsidRPr="008918B2" w:rsidRDefault="00193491" w:rsidP="00D616F1">
            <w:pPr>
              <w:pStyle w:val="NoSpacing"/>
              <w:rPr>
                <w:rFonts w:cstheme="minorHAnsi"/>
                <w:sz w:val="20"/>
                <w:szCs w:val="20"/>
              </w:rPr>
            </w:pPr>
            <w:r w:rsidRPr="008918B2">
              <w:rPr>
                <w:rFonts w:cstheme="minorHAnsi"/>
                <w:sz w:val="20"/>
                <w:szCs w:val="20"/>
              </w:rPr>
              <w:t>0.23</w:t>
            </w:r>
          </w:p>
        </w:tc>
        <w:tc>
          <w:tcPr>
            <w:tcW w:w="0" w:type="auto"/>
          </w:tcPr>
          <w:p w14:paraId="5B6C9B68" w14:textId="7879F63B" w:rsidR="00877555" w:rsidRPr="008918B2" w:rsidRDefault="00193491" w:rsidP="00D616F1">
            <w:pPr>
              <w:pStyle w:val="NoSpacing"/>
              <w:rPr>
                <w:rFonts w:cstheme="minorHAnsi"/>
                <w:sz w:val="20"/>
                <w:szCs w:val="20"/>
              </w:rPr>
            </w:pPr>
            <w:r w:rsidRPr="008918B2">
              <w:rPr>
                <w:rFonts w:cstheme="minorHAnsi"/>
                <w:sz w:val="20"/>
                <w:szCs w:val="20"/>
              </w:rPr>
              <w:t>.052</w:t>
            </w:r>
          </w:p>
        </w:tc>
      </w:tr>
      <w:tr w:rsidR="003C06BA" w:rsidRPr="008918B2" w14:paraId="0B5FA626" w14:textId="77777777" w:rsidTr="00AC1748">
        <w:tc>
          <w:tcPr>
            <w:tcW w:w="0" w:type="auto"/>
          </w:tcPr>
          <w:p w14:paraId="48AA8B4E" w14:textId="77777777" w:rsidR="00877555" w:rsidRPr="008918B2" w:rsidRDefault="00877555" w:rsidP="00D616F1">
            <w:pPr>
              <w:pStyle w:val="NoSpacing"/>
              <w:rPr>
                <w:rFonts w:cstheme="minorHAnsi"/>
                <w:sz w:val="20"/>
                <w:szCs w:val="20"/>
              </w:rPr>
            </w:pPr>
            <w:r w:rsidRPr="008918B2">
              <w:rPr>
                <w:rFonts w:cstheme="minorHAnsi"/>
                <w:sz w:val="20"/>
                <w:szCs w:val="20"/>
              </w:rPr>
              <w:t>Disorganization</w:t>
            </w:r>
          </w:p>
        </w:tc>
        <w:tc>
          <w:tcPr>
            <w:tcW w:w="0" w:type="auto"/>
          </w:tcPr>
          <w:p w14:paraId="51AF04AE" w14:textId="516F0964" w:rsidR="00877555" w:rsidRPr="008918B2" w:rsidRDefault="00980C41" w:rsidP="00D616F1">
            <w:pPr>
              <w:pStyle w:val="NoSpacing"/>
              <w:rPr>
                <w:rFonts w:cstheme="minorHAnsi"/>
                <w:sz w:val="20"/>
                <w:szCs w:val="20"/>
              </w:rPr>
            </w:pPr>
            <w:r w:rsidRPr="008918B2">
              <w:rPr>
                <w:rFonts w:cstheme="minorHAnsi"/>
                <w:sz w:val="20"/>
                <w:szCs w:val="20"/>
              </w:rPr>
              <w:t xml:space="preserve">0.08 </w:t>
            </w:r>
          </w:p>
        </w:tc>
        <w:tc>
          <w:tcPr>
            <w:tcW w:w="0" w:type="auto"/>
          </w:tcPr>
          <w:p w14:paraId="42535CC7" w14:textId="2BC82549" w:rsidR="00877555" w:rsidRPr="008918B2" w:rsidRDefault="00193491" w:rsidP="00D616F1">
            <w:pPr>
              <w:pStyle w:val="NoSpacing"/>
              <w:rPr>
                <w:rFonts w:cstheme="minorHAnsi"/>
                <w:sz w:val="20"/>
                <w:szCs w:val="20"/>
              </w:rPr>
            </w:pPr>
            <w:r w:rsidRPr="008918B2">
              <w:rPr>
                <w:rFonts w:cstheme="minorHAnsi"/>
                <w:sz w:val="20"/>
                <w:szCs w:val="20"/>
              </w:rPr>
              <w:t>0.06</w:t>
            </w:r>
          </w:p>
        </w:tc>
        <w:tc>
          <w:tcPr>
            <w:tcW w:w="0" w:type="auto"/>
          </w:tcPr>
          <w:p w14:paraId="131B28C5" w14:textId="3B201253" w:rsidR="00877555" w:rsidRPr="008918B2" w:rsidRDefault="00193491" w:rsidP="00D616F1">
            <w:pPr>
              <w:pStyle w:val="NoSpacing"/>
              <w:rPr>
                <w:rFonts w:cstheme="minorHAnsi"/>
                <w:sz w:val="20"/>
                <w:szCs w:val="20"/>
              </w:rPr>
            </w:pPr>
            <w:r w:rsidRPr="008918B2">
              <w:rPr>
                <w:rFonts w:cstheme="minorHAnsi"/>
                <w:sz w:val="20"/>
                <w:szCs w:val="20"/>
              </w:rPr>
              <w:t>.208</w:t>
            </w:r>
          </w:p>
        </w:tc>
        <w:tc>
          <w:tcPr>
            <w:tcW w:w="0" w:type="auto"/>
          </w:tcPr>
          <w:p w14:paraId="13F7C551" w14:textId="2A7D190D" w:rsidR="00877555" w:rsidRPr="008918B2" w:rsidRDefault="00193491" w:rsidP="00D616F1">
            <w:pPr>
              <w:pStyle w:val="NoSpacing"/>
              <w:rPr>
                <w:rFonts w:cstheme="minorHAnsi"/>
                <w:sz w:val="20"/>
                <w:szCs w:val="20"/>
              </w:rPr>
            </w:pPr>
            <w:r w:rsidRPr="008918B2">
              <w:rPr>
                <w:rFonts w:cstheme="minorHAnsi"/>
                <w:sz w:val="20"/>
                <w:szCs w:val="20"/>
              </w:rPr>
              <w:t>0.07</w:t>
            </w:r>
          </w:p>
        </w:tc>
        <w:tc>
          <w:tcPr>
            <w:tcW w:w="0" w:type="auto"/>
          </w:tcPr>
          <w:p w14:paraId="23596D4C" w14:textId="58F776CF" w:rsidR="00877555" w:rsidRPr="008918B2" w:rsidRDefault="00193491" w:rsidP="00D616F1">
            <w:pPr>
              <w:pStyle w:val="NoSpacing"/>
              <w:rPr>
                <w:rFonts w:cstheme="minorHAnsi"/>
                <w:sz w:val="20"/>
                <w:szCs w:val="20"/>
              </w:rPr>
            </w:pPr>
            <w:r w:rsidRPr="008918B2">
              <w:rPr>
                <w:rFonts w:cstheme="minorHAnsi"/>
                <w:sz w:val="20"/>
                <w:szCs w:val="20"/>
              </w:rPr>
              <w:t>0.07</w:t>
            </w:r>
          </w:p>
        </w:tc>
        <w:tc>
          <w:tcPr>
            <w:tcW w:w="0" w:type="auto"/>
          </w:tcPr>
          <w:p w14:paraId="38C2D147" w14:textId="536D8F7F" w:rsidR="00877555" w:rsidRPr="008918B2" w:rsidRDefault="00193491" w:rsidP="00D616F1">
            <w:pPr>
              <w:pStyle w:val="NoSpacing"/>
              <w:rPr>
                <w:rFonts w:cstheme="minorHAnsi"/>
                <w:sz w:val="20"/>
                <w:szCs w:val="20"/>
              </w:rPr>
            </w:pPr>
            <w:r w:rsidRPr="008918B2">
              <w:rPr>
                <w:rFonts w:cstheme="minorHAnsi"/>
                <w:sz w:val="20"/>
                <w:szCs w:val="20"/>
              </w:rPr>
              <w:t>.292</w:t>
            </w:r>
          </w:p>
        </w:tc>
        <w:tc>
          <w:tcPr>
            <w:tcW w:w="0" w:type="auto"/>
          </w:tcPr>
          <w:p w14:paraId="24E37460" w14:textId="483EAD56" w:rsidR="00877555" w:rsidRPr="008918B2" w:rsidRDefault="00193491" w:rsidP="00D616F1">
            <w:pPr>
              <w:pStyle w:val="NoSpacing"/>
              <w:rPr>
                <w:rFonts w:cstheme="minorHAnsi"/>
                <w:sz w:val="20"/>
                <w:szCs w:val="20"/>
              </w:rPr>
            </w:pPr>
            <w:r w:rsidRPr="008918B2">
              <w:rPr>
                <w:rFonts w:cstheme="minorHAnsi"/>
                <w:sz w:val="20"/>
                <w:szCs w:val="20"/>
              </w:rPr>
              <w:t>0.08</w:t>
            </w:r>
          </w:p>
        </w:tc>
        <w:tc>
          <w:tcPr>
            <w:tcW w:w="0" w:type="auto"/>
          </w:tcPr>
          <w:p w14:paraId="44F449B6" w14:textId="203160E2" w:rsidR="00877555" w:rsidRPr="008918B2" w:rsidRDefault="00193491" w:rsidP="00D616F1">
            <w:pPr>
              <w:pStyle w:val="NoSpacing"/>
              <w:rPr>
                <w:rFonts w:cstheme="minorHAnsi"/>
                <w:sz w:val="20"/>
                <w:szCs w:val="20"/>
              </w:rPr>
            </w:pPr>
            <w:r w:rsidRPr="008918B2">
              <w:rPr>
                <w:rFonts w:cstheme="minorHAnsi"/>
                <w:sz w:val="20"/>
                <w:szCs w:val="20"/>
              </w:rPr>
              <w:t>0.06</w:t>
            </w:r>
          </w:p>
        </w:tc>
        <w:tc>
          <w:tcPr>
            <w:tcW w:w="0" w:type="auto"/>
          </w:tcPr>
          <w:p w14:paraId="6ABCA5DA" w14:textId="04977938" w:rsidR="00877555" w:rsidRPr="008918B2" w:rsidRDefault="00193491" w:rsidP="00D616F1">
            <w:pPr>
              <w:pStyle w:val="NoSpacing"/>
              <w:rPr>
                <w:rFonts w:cstheme="minorHAnsi"/>
                <w:sz w:val="20"/>
                <w:szCs w:val="20"/>
              </w:rPr>
            </w:pPr>
            <w:r w:rsidRPr="008918B2">
              <w:rPr>
                <w:rFonts w:cstheme="minorHAnsi"/>
                <w:sz w:val="20"/>
                <w:szCs w:val="20"/>
              </w:rPr>
              <w:t>.212</w:t>
            </w:r>
          </w:p>
        </w:tc>
        <w:tc>
          <w:tcPr>
            <w:tcW w:w="0" w:type="auto"/>
          </w:tcPr>
          <w:p w14:paraId="62339B1F" w14:textId="7375D2BB" w:rsidR="00877555" w:rsidRPr="008918B2" w:rsidRDefault="00193491" w:rsidP="00D616F1">
            <w:pPr>
              <w:pStyle w:val="NoSpacing"/>
              <w:rPr>
                <w:rFonts w:cstheme="minorHAnsi"/>
                <w:sz w:val="20"/>
                <w:szCs w:val="20"/>
              </w:rPr>
            </w:pPr>
            <w:r w:rsidRPr="008918B2">
              <w:rPr>
                <w:rFonts w:cstheme="minorHAnsi"/>
                <w:sz w:val="20"/>
                <w:szCs w:val="20"/>
              </w:rPr>
              <w:t>0.10</w:t>
            </w:r>
          </w:p>
        </w:tc>
        <w:tc>
          <w:tcPr>
            <w:tcW w:w="0" w:type="auto"/>
          </w:tcPr>
          <w:p w14:paraId="70D2E8EC" w14:textId="541C580A" w:rsidR="00877555" w:rsidRPr="008918B2" w:rsidRDefault="00193491" w:rsidP="00D616F1">
            <w:pPr>
              <w:pStyle w:val="NoSpacing"/>
              <w:rPr>
                <w:rFonts w:cstheme="minorHAnsi"/>
                <w:sz w:val="20"/>
                <w:szCs w:val="20"/>
              </w:rPr>
            </w:pPr>
            <w:r w:rsidRPr="008918B2">
              <w:rPr>
                <w:rFonts w:cstheme="minorHAnsi"/>
                <w:sz w:val="20"/>
                <w:szCs w:val="20"/>
              </w:rPr>
              <w:t>0.07</w:t>
            </w:r>
          </w:p>
        </w:tc>
        <w:tc>
          <w:tcPr>
            <w:tcW w:w="0" w:type="auto"/>
          </w:tcPr>
          <w:p w14:paraId="663E9ED1" w14:textId="6DF87C88" w:rsidR="00877555" w:rsidRPr="008918B2" w:rsidRDefault="00193491" w:rsidP="00D616F1">
            <w:pPr>
              <w:pStyle w:val="NoSpacing"/>
              <w:rPr>
                <w:rFonts w:cstheme="minorHAnsi"/>
                <w:sz w:val="20"/>
                <w:szCs w:val="20"/>
              </w:rPr>
            </w:pPr>
            <w:r w:rsidRPr="008918B2">
              <w:rPr>
                <w:rFonts w:cstheme="minorHAnsi"/>
                <w:sz w:val="20"/>
                <w:szCs w:val="20"/>
              </w:rPr>
              <w:t>.186</w:t>
            </w:r>
          </w:p>
        </w:tc>
      </w:tr>
      <w:tr w:rsidR="003C06BA" w:rsidRPr="008918B2" w14:paraId="32EA04E2" w14:textId="77777777" w:rsidTr="00AC1748">
        <w:tc>
          <w:tcPr>
            <w:tcW w:w="0" w:type="auto"/>
          </w:tcPr>
          <w:p w14:paraId="76DED184" w14:textId="5F3091BA" w:rsidR="00877555" w:rsidRPr="008918B2" w:rsidRDefault="00877555" w:rsidP="00D616F1">
            <w:pPr>
              <w:pStyle w:val="NoSpacing"/>
              <w:rPr>
                <w:rFonts w:cstheme="minorHAnsi"/>
                <w:sz w:val="20"/>
                <w:szCs w:val="20"/>
              </w:rPr>
            </w:pPr>
            <w:r w:rsidRPr="008918B2">
              <w:rPr>
                <w:rFonts w:cstheme="minorHAnsi"/>
                <w:sz w:val="20"/>
                <w:szCs w:val="20"/>
              </w:rPr>
              <w:t xml:space="preserve">Ln control </w:t>
            </w:r>
            <w:r w:rsidR="009B5AE3" w:rsidRPr="008918B2">
              <w:rPr>
                <w:rFonts w:cstheme="minorHAnsi"/>
                <w:sz w:val="20"/>
                <w:szCs w:val="20"/>
              </w:rPr>
              <w:t>aggravated</w:t>
            </w:r>
          </w:p>
        </w:tc>
        <w:tc>
          <w:tcPr>
            <w:tcW w:w="0" w:type="auto"/>
          </w:tcPr>
          <w:p w14:paraId="5D189BC1" w14:textId="71F2918D" w:rsidR="00877555" w:rsidRPr="008918B2" w:rsidRDefault="00980C41" w:rsidP="00D616F1">
            <w:pPr>
              <w:pStyle w:val="NoSpacing"/>
              <w:rPr>
                <w:rFonts w:cstheme="minorHAnsi"/>
                <w:sz w:val="20"/>
                <w:szCs w:val="20"/>
              </w:rPr>
            </w:pPr>
            <w:r w:rsidRPr="008918B2">
              <w:rPr>
                <w:rFonts w:cstheme="minorHAnsi"/>
                <w:sz w:val="20"/>
                <w:szCs w:val="20"/>
              </w:rPr>
              <w:t xml:space="preserve">0.39 </w:t>
            </w:r>
          </w:p>
        </w:tc>
        <w:tc>
          <w:tcPr>
            <w:tcW w:w="0" w:type="auto"/>
          </w:tcPr>
          <w:p w14:paraId="141C1D0C" w14:textId="01C6D480" w:rsidR="00877555" w:rsidRPr="008918B2" w:rsidRDefault="00193491" w:rsidP="00D616F1">
            <w:pPr>
              <w:pStyle w:val="NoSpacing"/>
              <w:rPr>
                <w:rFonts w:cstheme="minorHAnsi"/>
                <w:sz w:val="20"/>
                <w:szCs w:val="20"/>
              </w:rPr>
            </w:pPr>
            <w:r w:rsidRPr="008918B2">
              <w:rPr>
                <w:rFonts w:cstheme="minorHAnsi"/>
                <w:sz w:val="20"/>
                <w:szCs w:val="20"/>
              </w:rPr>
              <w:t>0.14</w:t>
            </w:r>
          </w:p>
        </w:tc>
        <w:tc>
          <w:tcPr>
            <w:tcW w:w="0" w:type="auto"/>
          </w:tcPr>
          <w:p w14:paraId="15931859" w14:textId="07B970B9" w:rsidR="00877555" w:rsidRPr="008918B2" w:rsidRDefault="00193491" w:rsidP="00D616F1">
            <w:pPr>
              <w:pStyle w:val="NoSpacing"/>
              <w:rPr>
                <w:rFonts w:cstheme="minorHAnsi"/>
                <w:sz w:val="20"/>
                <w:szCs w:val="20"/>
              </w:rPr>
            </w:pPr>
            <w:r w:rsidRPr="008918B2">
              <w:rPr>
                <w:rFonts w:cstheme="minorHAnsi"/>
                <w:sz w:val="20"/>
                <w:szCs w:val="20"/>
              </w:rPr>
              <w:t>.006</w:t>
            </w:r>
          </w:p>
        </w:tc>
        <w:tc>
          <w:tcPr>
            <w:tcW w:w="0" w:type="auto"/>
          </w:tcPr>
          <w:p w14:paraId="4719D0A5" w14:textId="73C452AE" w:rsidR="00877555" w:rsidRPr="008918B2" w:rsidRDefault="00193491" w:rsidP="00D616F1">
            <w:pPr>
              <w:pStyle w:val="NoSpacing"/>
              <w:rPr>
                <w:rFonts w:cstheme="minorHAnsi"/>
                <w:sz w:val="20"/>
                <w:szCs w:val="20"/>
              </w:rPr>
            </w:pPr>
            <w:r w:rsidRPr="008918B2">
              <w:rPr>
                <w:rFonts w:cstheme="minorHAnsi"/>
                <w:sz w:val="20"/>
                <w:szCs w:val="20"/>
              </w:rPr>
              <w:t>0.39</w:t>
            </w:r>
          </w:p>
        </w:tc>
        <w:tc>
          <w:tcPr>
            <w:tcW w:w="0" w:type="auto"/>
          </w:tcPr>
          <w:p w14:paraId="44661A44" w14:textId="650B8692" w:rsidR="00877555" w:rsidRPr="008918B2" w:rsidRDefault="00193491" w:rsidP="00D616F1">
            <w:pPr>
              <w:pStyle w:val="NoSpacing"/>
              <w:rPr>
                <w:rFonts w:cstheme="minorHAnsi"/>
                <w:sz w:val="20"/>
                <w:szCs w:val="20"/>
              </w:rPr>
            </w:pPr>
            <w:r w:rsidRPr="008918B2">
              <w:rPr>
                <w:rFonts w:cstheme="minorHAnsi"/>
                <w:sz w:val="20"/>
                <w:szCs w:val="20"/>
              </w:rPr>
              <w:t>0.14</w:t>
            </w:r>
          </w:p>
        </w:tc>
        <w:tc>
          <w:tcPr>
            <w:tcW w:w="0" w:type="auto"/>
          </w:tcPr>
          <w:p w14:paraId="1C0A71C1" w14:textId="3301A10B" w:rsidR="00877555" w:rsidRPr="008918B2" w:rsidRDefault="00193491" w:rsidP="00D616F1">
            <w:pPr>
              <w:pStyle w:val="NoSpacing"/>
              <w:rPr>
                <w:rFonts w:cstheme="minorHAnsi"/>
                <w:sz w:val="20"/>
                <w:szCs w:val="20"/>
              </w:rPr>
            </w:pPr>
            <w:r w:rsidRPr="008918B2">
              <w:rPr>
                <w:rFonts w:cstheme="minorHAnsi"/>
                <w:sz w:val="20"/>
                <w:szCs w:val="20"/>
              </w:rPr>
              <w:t>.007</w:t>
            </w:r>
          </w:p>
        </w:tc>
        <w:tc>
          <w:tcPr>
            <w:tcW w:w="0" w:type="auto"/>
          </w:tcPr>
          <w:p w14:paraId="57BAC4CA" w14:textId="0B8F234B" w:rsidR="00877555" w:rsidRPr="008918B2" w:rsidRDefault="00193491" w:rsidP="00D616F1">
            <w:pPr>
              <w:pStyle w:val="NoSpacing"/>
              <w:rPr>
                <w:rFonts w:cstheme="minorHAnsi"/>
                <w:sz w:val="20"/>
                <w:szCs w:val="20"/>
              </w:rPr>
            </w:pPr>
            <w:r w:rsidRPr="008918B2">
              <w:rPr>
                <w:rFonts w:cstheme="minorHAnsi"/>
                <w:sz w:val="20"/>
                <w:szCs w:val="20"/>
              </w:rPr>
              <w:t>0.39</w:t>
            </w:r>
          </w:p>
        </w:tc>
        <w:tc>
          <w:tcPr>
            <w:tcW w:w="0" w:type="auto"/>
          </w:tcPr>
          <w:p w14:paraId="331C64C2" w14:textId="3C7B7217" w:rsidR="00877555" w:rsidRPr="008918B2" w:rsidRDefault="00193491" w:rsidP="00D616F1">
            <w:pPr>
              <w:pStyle w:val="NoSpacing"/>
              <w:rPr>
                <w:rFonts w:cstheme="minorHAnsi"/>
                <w:sz w:val="20"/>
                <w:szCs w:val="20"/>
              </w:rPr>
            </w:pPr>
            <w:r w:rsidRPr="008918B2">
              <w:rPr>
                <w:rFonts w:cstheme="minorHAnsi"/>
                <w:sz w:val="20"/>
                <w:szCs w:val="20"/>
              </w:rPr>
              <w:t>0.14</w:t>
            </w:r>
          </w:p>
        </w:tc>
        <w:tc>
          <w:tcPr>
            <w:tcW w:w="0" w:type="auto"/>
          </w:tcPr>
          <w:p w14:paraId="6352251D" w14:textId="6A0B6CEF" w:rsidR="00877555" w:rsidRPr="008918B2" w:rsidRDefault="00193491" w:rsidP="00D616F1">
            <w:pPr>
              <w:pStyle w:val="NoSpacing"/>
              <w:rPr>
                <w:rFonts w:cstheme="minorHAnsi"/>
                <w:sz w:val="20"/>
                <w:szCs w:val="20"/>
              </w:rPr>
            </w:pPr>
            <w:r w:rsidRPr="008918B2">
              <w:rPr>
                <w:rFonts w:cstheme="minorHAnsi"/>
                <w:sz w:val="20"/>
                <w:szCs w:val="20"/>
              </w:rPr>
              <w:t>.007</w:t>
            </w:r>
          </w:p>
        </w:tc>
        <w:tc>
          <w:tcPr>
            <w:tcW w:w="0" w:type="auto"/>
          </w:tcPr>
          <w:p w14:paraId="6166C40B" w14:textId="42BDD09E" w:rsidR="00877555" w:rsidRPr="008918B2" w:rsidRDefault="00193491" w:rsidP="00D616F1">
            <w:pPr>
              <w:pStyle w:val="NoSpacing"/>
              <w:rPr>
                <w:rFonts w:cstheme="minorHAnsi"/>
                <w:sz w:val="20"/>
                <w:szCs w:val="20"/>
              </w:rPr>
            </w:pPr>
            <w:r w:rsidRPr="008918B2">
              <w:rPr>
                <w:rFonts w:cstheme="minorHAnsi"/>
                <w:sz w:val="20"/>
                <w:szCs w:val="20"/>
              </w:rPr>
              <w:t>0.38</w:t>
            </w:r>
          </w:p>
        </w:tc>
        <w:tc>
          <w:tcPr>
            <w:tcW w:w="0" w:type="auto"/>
          </w:tcPr>
          <w:p w14:paraId="3E7BB329" w14:textId="67A3A93A" w:rsidR="00877555" w:rsidRPr="008918B2" w:rsidRDefault="00193491" w:rsidP="00D616F1">
            <w:pPr>
              <w:pStyle w:val="NoSpacing"/>
              <w:rPr>
                <w:rFonts w:cstheme="minorHAnsi"/>
                <w:sz w:val="20"/>
                <w:szCs w:val="20"/>
              </w:rPr>
            </w:pPr>
            <w:r w:rsidRPr="008918B2">
              <w:rPr>
                <w:rFonts w:cstheme="minorHAnsi"/>
                <w:sz w:val="20"/>
                <w:szCs w:val="20"/>
              </w:rPr>
              <w:t>0.14</w:t>
            </w:r>
          </w:p>
        </w:tc>
        <w:tc>
          <w:tcPr>
            <w:tcW w:w="0" w:type="auto"/>
          </w:tcPr>
          <w:p w14:paraId="2A950B94" w14:textId="07A18957" w:rsidR="00877555" w:rsidRPr="008918B2" w:rsidRDefault="00193491" w:rsidP="00D616F1">
            <w:pPr>
              <w:pStyle w:val="NoSpacing"/>
              <w:rPr>
                <w:rFonts w:cstheme="minorHAnsi"/>
                <w:sz w:val="20"/>
                <w:szCs w:val="20"/>
              </w:rPr>
            </w:pPr>
            <w:r w:rsidRPr="008918B2">
              <w:rPr>
                <w:rFonts w:cstheme="minorHAnsi"/>
                <w:sz w:val="20"/>
                <w:szCs w:val="20"/>
              </w:rPr>
              <w:t>.008</w:t>
            </w:r>
          </w:p>
        </w:tc>
      </w:tr>
      <w:tr w:rsidR="00193491" w:rsidRPr="008918B2" w14:paraId="4C5E50FD" w14:textId="77777777" w:rsidTr="00AC1748">
        <w:tc>
          <w:tcPr>
            <w:tcW w:w="0" w:type="auto"/>
          </w:tcPr>
          <w:p w14:paraId="56CA1CF4" w14:textId="77777777" w:rsidR="00877555" w:rsidRPr="008918B2" w:rsidRDefault="00877555" w:rsidP="00D616F1">
            <w:pPr>
              <w:pStyle w:val="NoSpacing"/>
              <w:rPr>
                <w:rFonts w:cstheme="minorHAnsi"/>
                <w:sz w:val="20"/>
                <w:szCs w:val="20"/>
              </w:rPr>
            </w:pPr>
            <w:r w:rsidRPr="008918B2">
              <w:rPr>
                <w:rFonts w:cstheme="minorHAnsi"/>
                <w:sz w:val="20"/>
                <w:szCs w:val="20"/>
              </w:rPr>
              <w:t>Population density</w:t>
            </w:r>
          </w:p>
        </w:tc>
        <w:tc>
          <w:tcPr>
            <w:tcW w:w="0" w:type="auto"/>
          </w:tcPr>
          <w:p w14:paraId="22C5A817" w14:textId="2EA28393" w:rsidR="00877555" w:rsidRPr="008918B2" w:rsidRDefault="0004431C" w:rsidP="00D616F1">
            <w:pPr>
              <w:pStyle w:val="NoSpacing"/>
              <w:rPr>
                <w:rFonts w:cstheme="minorHAnsi"/>
                <w:sz w:val="20"/>
                <w:szCs w:val="20"/>
              </w:rPr>
            </w:pPr>
            <w:r w:rsidRPr="008918B2">
              <w:rPr>
                <w:rFonts w:cstheme="minorHAnsi"/>
                <w:sz w:val="20"/>
                <w:szCs w:val="20"/>
              </w:rPr>
              <w:t xml:space="preserve">0.23 </w:t>
            </w:r>
          </w:p>
        </w:tc>
        <w:tc>
          <w:tcPr>
            <w:tcW w:w="0" w:type="auto"/>
          </w:tcPr>
          <w:p w14:paraId="13CE3FF8" w14:textId="2B9E5C5F" w:rsidR="00877555" w:rsidRPr="008918B2" w:rsidRDefault="00193491" w:rsidP="00D616F1">
            <w:pPr>
              <w:pStyle w:val="NoSpacing"/>
              <w:rPr>
                <w:rFonts w:cstheme="minorHAnsi"/>
                <w:sz w:val="20"/>
                <w:szCs w:val="20"/>
              </w:rPr>
            </w:pPr>
            <w:r w:rsidRPr="008918B2">
              <w:rPr>
                <w:rFonts w:cstheme="minorHAnsi"/>
                <w:sz w:val="20"/>
                <w:szCs w:val="20"/>
              </w:rPr>
              <w:t>0.14</w:t>
            </w:r>
          </w:p>
        </w:tc>
        <w:tc>
          <w:tcPr>
            <w:tcW w:w="0" w:type="auto"/>
          </w:tcPr>
          <w:p w14:paraId="6A78B6C0" w14:textId="1FB41BAE" w:rsidR="00877555" w:rsidRPr="008918B2" w:rsidRDefault="00193491" w:rsidP="00D616F1">
            <w:pPr>
              <w:pStyle w:val="NoSpacing"/>
              <w:rPr>
                <w:rFonts w:cstheme="minorHAnsi"/>
                <w:sz w:val="20"/>
                <w:szCs w:val="20"/>
              </w:rPr>
            </w:pPr>
            <w:r w:rsidRPr="008918B2">
              <w:rPr>
                <w:rFonts w:cstheme="minorHAnsi"/>
                <w:sz w:val="20"/>
                <w:szCs w:val="20"/>
              </w:rPr>
              <w:t>.115</w:t>
            </w:r>
          </w:p>
        </w:tc>
        <w:tc>
          <w:tcPr>
            <w:tcW w:w="0" w:type="auto"/>
          </w:tcPr>
          <w:p w14:paraId="3407E3A7" w14:textId="1F3E27B9" w:rsidR="00877555" w:rsidRPr="008918B2" w:rsidRDefault="00193491" w:rsidP="00D616F1">
            <w:pPr>
              <w:pStyle w:val="NoSpacing"/>
              <w:rPr>
                <w:rFonts w:cstheme="minorHAnsi"/>
                <w:sz w:val="20"/>
                <w:szCs w:val="20"/>
              </w:rPr>
            </w:pPr>
            <w:r w:rsidRPr="008918B2">
              <w:rPr>
                <w:rFonts w:cstheme="minorHAnsi"/>
                <w:sz w:val="20"/>
                <w:szCs w:val="20"/>
              </w:rPr>
              <w:t>0.23</w:t>
            </w:r>
          </w:p>
        </w:tc>
        <w:tc>
          <w:tcPr>
            <w:tcW w:w="0" w:type="auto"/>
          </w:tcPr>
          <w:p w14:paraId="2DB559D5" w14:textId="55856A6D" w:rsidR="00877555" w:rsidRPr="008918B2" w:rsidRDefault="00193491" w:rsidP="00D616F1">
            <w:pPr>
              <w:pStyle w:val="NoSpacing"/>
              <w:rPr>
                <w:rFonts w:cstheme="minorHAnsi"/>
                <w:sz w:val="20"/>
                <w:szCs w:val="20"/>
              </w:rPr>
            </w:pPr>
            <w:r w:rsidRPr="008918B2">
              <w:rPr>
                <w:rFonts w:cstheme="minorHAnsi"/>
                <w:sz w:val="20"/>
                <w:szCs w:val="20"/>
              </w:rPr>
              <w:t>0.14</w:t>
            </w:r>
          </w:p>
        </w:tc>
        <w:tc>
          <w:tcPr>
            <w:tcW w:w="0" w:type="auto"/>
          </w:tcPr>
          <w:p w14:paraId="214403E4" w14:textId="6A788CEF" w:rsidR="00877555" w:rsidRPr="008918B2" w:rsidRDefault="00193491" w:rsidP="00D616F1">
            <w:pPr>
              <w:pStyle w:val="NoSpacing"/>
              <w:rPr>
                <w:rFonts w:cstheme="minorHAnsi"/>
                <w:sz w:val="20"/>
                <w:szCs w:val="20"/>
              </w:rPr>
            </w:pPr>
            <w:r w:rsidRPr="008918B2">
              <w:rPr>
                <w:rFonts w:cstheme="minorHAnsi"/>
                <w:sz w:val="20"/>
                <w:szCs w:val="20"/>
              </w:rPr>
              <w:t>.120</w:t>
            </w:r>
          </w:p>
        </w:tc>
        <w:tc>
          <w:tcPr>
            <w:tcW w:w="0" w:type="auto"/>
          </w:tcPr>
          <w:p w14:paraId="49560E8E" w14:textId="744AE554" w:rsidR="00877555" w:rsidRPr="008918B2" w:rsidRDefault="00193491" w:rsidP="00D616F1">
            <w:pPr>
              <w:pStyle w:val="NoSpacing"/>
              <w:rPr>
                <w:rFonts w:cstheme="minorHAnsi"/>
                <w:sz w:val="20"/>
                <w:szCs w:val="20"/>
              </w:rPr>
            </w:pPr>
            <w:r w:rsidRPr="008918B2">
              <w:rPr>
                <w:rFonts w:cstheme="minorHAnsi"/>
                <w:sz w:val="20"/>
                <w:szCs w:val="20"/>
              </w:rPr>
              <w:t>0.23</w:t>
            </w:r>
          </w:p>
        </w:tc>
        <w:tc>
          <w:tcPr>
            <w:tcW w:w="0" w:type="auto"/>
          </w:tcPr>
          <w:p w14:paraId="0579376E" w14:textId="3FD56EB2" w:rsidR="00877555" w:rsidRPr="008918B2" w:rsidRDefault="00193491" w:rsidP="00D616F1">
            <w:pPr>
              <w:pStyle w:val="NoSpacing"/>
              <w:rPr>
                <w:rFonts w:cstheme="minorHAnsi"/>
                <w:sz w:val="20"/>
                <w:szCs w:val="20"/>
              </w:rPr>
            </w:pPr>
            <w:r w:rsidRPr="008918B2">
              <w:rPr>
                <w:rFonts w:cstheme="minorHAnsi"/>
                <w:sz w:val="20"/>
                <w:szCs w:val="20"/>
              </w:rPr>
              <w:t>0.14</w:t>
            </w:r>
          </w:p>
        </w:tc>
        <w:tc>
          <w:tcPr>
            <w:tcW w:w="0" w:type="auto"/>
          </w:tcPr>
          <w:p w14:paraId="16502246" w14:textId="04B16AE4" w:rsidR="00877555" w:rsidRPr="008918B2" w:rsidRDefault="00193491" w:rsidP="00D616F1">
            <w:pPr>
              <w:pStyle w:val="NoSpacing"/>
              <w:rPr>
                <w:rFonts w:cstheme="minorHAnsi"/>
                <w:sz w:val="20"/>
                <w:szCs w:val="20"/>
              </w:rPr>
            </w:pPr>
            <w:r w:rsidRPr="008918B2">
              <w:rPr>
                <w:rFonts w:cstheme="minorHAnsi"/>
                <w:sz w:val="20"/>
                <w:szCs w:val="20"/>
              </w:rPr>
              <w:t>.117</w:t>
            </w:r>
          </w:p>
        </w:tc>
        <w:tc>
          <w:tcPr>
            <w:tcW w:w="0" w:type="auto"/>
          </w:tcPr>
          <w:p w14:paraId="1B3F8A75" w14:textId="7430F6A8" w:rsidR="00877555" w:rsidRPr="008918B2" w:rsidRDefault="00193491" w:rsidP="00D616F1">
            <w:pPr>
              <w:pStyle w:val="NoSpacing"/>
              <w:rPr>
                <w:rFonts w:cstheme="minorHAnsi"/>
                <w:sz w:val="20"/>
                <w:szCs w:val="20"/>
              </w:rPr>
            </w:pPr>
            <w:r w:rsidRPr="008918B2">
              <w:rPr>
                <w:rFonts w:cstheme="minorHAnsi"/>
                <w:sz w:val="20"/>
                <w:szCs w:val="20"/>
              </w:rPr>
              <w:t>0.23</w:t>
            </w:r>
          </w:p>
        </w:tc>
        <w:tc>
          <w:tcPr>
            <w:tcW w:w="0" w:type="auto"/>
          </w:tcPr>
          <w:p w14:paraId="6FAF78BA" w14:textId="4D711152" w:rsidR="00877555" w:rsidRPr="008918B2" w:rsidRDefault="00193491" w:rsidP="00D616F1">
            <w:pPr>
              <w:pStyle w:val="NoSpacing"/>
              <w:rPr>
                <w:rFonts w:cstheme="minorHAnsi"/>
                <w:sz w:val="20"/>
                <w:szCs w:val="20"/>
              </w:rPr>
            </w:pPr>
            <w:r w:rsidRPr="008918B2">
              <w:rPr>
                <w:rFonts w:cstheme="minorHAnsi"/>
                <w:sz w:val="20"/>
                <w:szCs w:val="20"/>
              </w:rPr>
              <w:t>0.14</w:t>
            </w:r>
          </w:p>
        </w:tc>
        <w:tc>
          <w:tcPr>
            <w:tcW w:w="0" w:type="auto"/>
          </w:tcPr>
          <w:p w14:paraId="39B769B0" w14:textId="37909036" w:rsidR="00877555" w:rsidRPr="008918B2" w:rsidRDefault="00193491" w:rsidP="00D616F1">
            <w:pPr>
              <w:pStyle w:val="NoSpacing"/>
              <w:rPr>
                <w:rFonts w:cstheme="minorHAnsi"/>
                <w:sz w:val="20"/>
                <w:szCs w:val="20"/>
              </w:rPr>
            </w:pPr>
            <w:r w:rsidRPr="008918B2">
              <w:rPr>
                <w:rFonts w:cstheme="minorHAnsi"/>
                <w:sz w:val="20"/>
                <w:szCs w:val="20"/>
              </w:rPr>
              <w:t>.116</w:t>
            </w:r>
          </w:p>
        </w:tc>
      </w:tr>
      <w:tr w:rsidR="00193491" w:rsidRPr="008918B2" w14:paraId="18C3FC53" w14:textId="77777777" w:rsidTr="00AC1748">
        <w:tc>
          <w:tcPr>
            <w:tcW w:w="0" w:type="auto"/>
          </w:tcPr>
          <w:p w14:paraId="5955E1C2" w14:textId="77777777" w:rsidR="00877555" w:rsidRPr="008918B2" w:rsidRDefault="00877555" w:rsidP="00D616F1">
            <w:pPr>
              <w:pStyle w:val="NoSpacing"/>
              <w:rPr>
                <w:rFonts w:cstheme="minorHAnsi"/>
                <w:sz w:val="20"/>
                <w:szCs w:val="20"/>
              </w:rPr>
            </w:pPr>
            <w:r w:rsidRPr="008918B2">
              <w:rPr>
                <w:rFonts w:cstheme="minorHAnsi"/>
                <w:sz w:val="20"/>
                <w:szCs w:val="20"/>
              </w:rPr>
              <w:t>% African American</w:t>
            </w:r>
          </w:p>
        </w:tc>
        <w:tc>
          <w:tcPr>
            <w:tcW w:w="0" w:type="auto"/>
          </w:tcPr>
          <w:p w14:paraId="4EC2C63D" w14:textId="5CEA55E9" w:rsidR="00877555" w:rsidRPr="008918B2" w:rsidRDefault="0004431C" w:rsidP="00D616F1">
            <w:pPr>
              <w:pStyle w:val="NoSpacing"/>
              <w:rPr>
                <w:rFonts w:cstheme="minorHAnsi"/>
                <w:sz w:val="20"/>
                <w:szCs w:val="20"/>
              </w:rPr>
            </w:pPr>
            <w:r w:rsidRPr="008918B2">
              <w:rPr>
                <w:rFonts w:cstheme="minorHAnsi"/>
                <w:sz w:val="20"/>
                <w:szCs w:val="20"/>
              </w:rPr>
              <w:t xml:space="preserve">0.74 </w:t>
            </w:r>
          </w:p>
        </w:tc>
        <w:tc>
          <w:tcPr>
            <w:tcW w:w="0" w:type="auto"/>
          </w:tcPr>
          <w:p w14:paraId="213BE82E" w14:textId="24EEC435" w:rsidR="00877555" w:rsidRPr="008918B2" w:rsidRDefault="00193491" w:rsidP="00D616F1">
            <w:pPr>
              <w:pStyle w:val="NoSpacing"/>
              <w:rPr>
                <w:rFonts w:cstheme="minorHAnsi"/>
                <w:sz w:val="20"/>
                <w:szCs w:val="20"/>
              </w:rPr>
            </w:pPr>
            <w:r w:rsidRPr="008918B2">
              <w:rPr>
                <w:rFonts w:cstheme="minorHAnsi"/>
                <w:sz w:val="20"/>
                <w:szCs w:val="20"/>
              </w:rPr>
              <w:t>0.99</w:t>
            </w:r>
          </w:p>
        </w:tc>
        <w:tc>
          <w:tcPr>
            <w:tcW w:w="0" w:type="auto"/>
          </w:tcPr>
          <w:p w14:paraId="1246F445" w14:textId="68331FF4" w:rsidR="00877555" w:rsidRPr="008918B2" w:rsidRDefault="00193491" w:rsidP="00D616F1">
            <w:pPr>
              <w:pStyle w:val="NoSpacing"/>
              <w:rPr>
                <w:rFonts w:cstheme="minorHAnsi"/>
                <w:sz w:val="20"/>
                <w:szCs w:val="20"/>
              </w:rPr>
            </w:pPr>
            <w:r w:rsidRPr="008918B2">
              <w:rPr>
                <w:rFonts w:cstheme="minorHAnsi"/>
                <w:sz w:val="20"/>
                <w:szCs w:val="20"/>
              </w:rPr>
              <w:t>.463</w:t>
            </w:r>
          </w:p>
        </w:tc>
        <w:tc>
          <w:tcPr>
            <w:tcW w:w="0" w:type="auto"/>
          </w:tcPr>
          <w:p w14:paraId="4715C073" w14:textId="1897ACEE" w:rsidR="00877555" w:rsidRPr="008918B2" w:rsidRDefault="00193491" w:rsidP="00D616F1">
            <w:pPr>
              <w:pStyle w:val="NoSpacing"/>
              <w:rPr>
                <w:rFonts w:cstheme="minorHAnsi"/>
                <w:sz w:val="20"/>
                <w:szCs w:val="20"/>
              </w:rPr>
            </w:pPr>
            <w:r w:rsidRPr="008918B2">
              <w:rPr>
                <w:rFonts w:cstheme="minorHAnsi"/>
                <w:sz w:val="20"/>
                <w:szCs w:val="20"/>
              </w:rPr>
              <w:t>0.73</w:t>
            </w:r>
          </w:p>
        </w:tc>
        <w:tc>
          <w:tcPr>
            <w:tcW w:w="0" w:type="auto"/>
          </w:tcPr>
          <w:p w14:paraId="2884DD43" w14:textId="0D336EFC" w:rsidR="00877555" w:rsidRPr="008918B2" w:rsidRDefault="00193491" w:rsidP="00D616F1">
            <w:pPr>
              <w:pStyle w:val="NoSpacing"/>
              <w:rPr>
                <w:rFonts w:cstheme="minorHAnsi"/>
                <w:sz w:val="20"/>
                <w:szCs w:val="20"/>
              </w:rPr>
            </w:pPr>
            <w:r w:rsidRPr="008918B2">
              <w:rPr>
                <w:rFonts w:cstheme="minorHAnsi"/>
                <w:sz w:val="20"/>
                <w:szCs w:val="20"/>
              </w:rPr>
              <w:t>1.00</w:t>
            </w:r>
          </w:p>
        </w:tc>
        <w:tc>
          <w:tcPr>
            <w:tcW w:w="0" w:type="auto"/>
          </w:tcPr>
          <w:p w14:paraId="0C2912E2" w14:textId="13EEA205" w:rsidR="00877555" w:rsidRPr="008918B2" w:rsidRDefault="00193491" w:rsidP="00D616F1">
            <w:pPr>
              <w:pStyle w:val="NoSpacing"/>
              <w:rPr>
                <w:rFonts w:cstheme="minorHAnsi"/>
                <w:sz w:val="20"/>
                <w:szCs w:val="20"/>
              </w:rPr>
            </w:pPr>
            <w:r w:rsidRPr="008918B2">
              <w:rPr>
                <w:rFonts w:cstheme="minorHAnsi"/>
                <w:sz w:val="20"/>
                <w:szCs w:val="20"/>
              </w:rPr>
              <w:t>.467</w:t>
            </w:r>
          </w:p>
        </w:tc>
        <w:tc>
          <w:tcPr>
            <w:tcW w:w="0" w:type="auto"/>
          </w:tcPr>
          <w:p w14:paraId="1EC61CC7" w14:textId="2534B6CC" w:rsidR="00877555" w:rsidRPr="008918B2" w:rsidRDefault="00193491" w:rsidP="00D616F1">
            <w:pPr>
              <w:pStyle w:val="NoSpacing"/>
              <w:rPr>
                <w:rFonts w:cstheme="minorHAnsi"/>
                <w:sz w:val="20"/>
                <w:szCs w:val="20"/>
              </w:rPr>
            </w:pPr>
            <w:r w:rsidRPr="008918B2">
              <w:rPr>
                <w:rFonts w:cstheme="minorHAnsi"/>
                <w:sz w:val="20"/>
                <w:szCs w:val="20"/>
              </w:rPr>
              <w:t>0.76</w:t>
            </w:r>
          </w:p>
        </w:tc>
        <w:tc>
          <w:tcPr>
            <w:tcW w:w="0" w:type="auto"/>
          </w:tcPr>
          <w:p w14:paraId="314ACC5F" w14:textId="5D2FD1CD" w:rsidR="00877555" w:rsidRPr="008918B2" w:rsidRDefault="00193491" w:rsidP="00D616F1">
            <w:pPr>
              <w:pStyle w:val="NoSpacing"/>
              <w:rPr>
                <w:rFonts w:cstheme="minorHAnsi"/>
                <w:sz w:val="20"/>
                <w:szCs w:val="20"/>
              </w:rPr>
            </w:pPr>
            <w:r w:rsidRPr="008918B2">
              <w:rPr>
                <w:rFonts w:cstheme="minorHAnsi"/>
                <w:sz w:val="20"/>
                <w:szCs w:val="20"/>
              </w:rPr>
              <w:t>1.00</w:t>
            </w:r>
          </w:p>
        </w:tc>
        <w:tc>
          <w:tcPr>
            <w:tcW w:w="0" w:type="auto"/>
          </w:tcPr>
          <w:p w14:paraId="1D8F1654" w14:textId="735FF0AC" w:rsidR="00877555" w:rsidRPr="008918B2" w:rsidRDefault="00193491" w:rsidP="00D616F1">
            <w:pPr>
              <w:pStyle w:val="NoSpacing"/>
              <w:rPr>
                <w:rFonts w:cstheme="minorHAnsi"/>
                <w:sz w:val="20"/>
                <w:szCs w:val="20"/>
              </w:rPr>
            </w:pPr>
            <w:r w:rsidRPr="008918B2">
              <w:rPr>
                <w:rFonts w:cstheme="minorHAnsi"/>
                <w:sz w:val="20"/>
                <w:szCs w:val="20"/>
              </w:rPr>
              <w:t>.453</w:t>
            </w:r>
          </w:p>
        </w:tc>
        <w:tc>
          <w:tcPr>
            <w:tcW w:w="0" w:type="auto"/>
          </w:tcPr>
          <w:p w14:paraId="155868BD" w14:textId="0C505342" w:rsidR="00877555" w:rsidRPr="008918B2" w:rsidRDefault="00193491" w:rsidP="00D616F1">
            <w:pPr>
              <w:pStyle w:val="NoSpacing"/>
              <w:rPr>
                <w:rFonts w:cstheme="minorHAnsi"/>
                <w:sz w:val="20"/>
                <w:szCs w:val="20"/>
              </w:rPr>
            </w:pPr>
            <w:r w:rsidRPr="008918B2">
              <w:rPr>
                <w:rFonts w:cstheme="minorHAnsi"/>
                <w:sz w:val="20"/>
                <w:szCs w:val="20"/>
              </w:rPr>
              <w:t>0.81</w:t>
            </w:r>
          </w:p>
        </w:tc>
        <w:tc>
          <w:tcPr>
            <w:tcW w:w="0" w:type="auto"/>
          </w:tcPr>
          <w:p w14:paraId="7BB6D46D" w14:textId="03E4FCD2" w:rsidR="00877555" w:rsidRPr="008918B2" w:rsidRDefault="00193491" w:rsidP="00D616F1">
            <w:pPr>
              <w:pStyle w:val="NoSpacing"/>
              <w:rPr>
                <w:rFonts w:cstheme="minorHAnsi"/>
                <w:sz w:val="20"/>
                <w:szCs w:val="20"/>
              </w:rPr>
            </w:pPr>
            <w:r w:rsidRPr="008918B2">
              <w:rPr>
                <w:rFonts w:cstheme="minorHAnsi"/>
                <w:sz w:val="20"/>
                <w:szCs w:val="20"/>
              </w:rPr>
              <w:t>1.00</w:t>
            </w:r>
          </w:p>
        </w:tc>
        <w:tc>
          <w:tcPr>
            <w:tcW w:w="0" w:type="auto"/>
          </w:tcPr>
          <w:p w14:paraId="30005B86" w14:textId="7E25E49B" w:rsidR="00877555" w:rsidRPr="008918B2" w:rsidRDefault="00193491" w:rsidP="00D616F1">
            <w:pPr>
              <w:pStyle w:val="NoSpacing"/>
              <w:rPr>
                <w:rFonts w:cstheme="minorHAnsi"/>
                <w:sz w:val="20"/>
                <w:szCs w:val="20"/>
              </w:rPr>
            </w:pPr>
            <w:r w:rsidRPr="008918B2">
              <w:rPr>
                <w:rFonts w:cstheme="minorHAnsi"/>
                <w:sz w:val="20"/>
                <w:szCs w:val="20"/>
              </w:rPr>
              <w:t>.426</w:t>
            </w:r>
          </w:p>
        </w:tc>
      </w:tr>
      <w:tr w:rsidR="00193491" w:rsidRPr="008918B2" w14:paraId="2AC5C1F9" w14:textId="77777777" w:rsidTr="00AC1748">
        <w:tc>
          <w:tcPr>
            <w:tcW w:w="0" w:type="auto"/>
          </w:tcPr>
          <w:p w14:paraId="31B3AB0F" w14:textId="77777777" w:rsidR="00877555" w:rsidRPr="008918B2" w:rsidRDefault="00877555" w:rsidP="00D616F1">
            <w:pPr>
              <w:pStyle w:val="NoSpacing"/>
              <w:rPr>
                <w:rFonts w:cstheme="minorHAnsi"/>
                <w:sz w:val="20"/>
                <w:szCs w:val="20"/>
              </w:rPr>
            </w:pPr>
            <w:r w:rsidRPr="008918B2">
              <w:rPr>
                <w:rFonts w:cstheme="minorHAnsi"/>
                <w:sz w:val="20"/>
                <w:szCs w:val="20"/>
              </w:rPr>
              <w:t xml:space="preserve">Off </w:t>
            </w:r>
            <w:r w:rsidRPr="008918B2">
              <w:rPr>
                <w:rFonts w:ascii="Cambria Math" w:hAnsi="Cambria Math" w:cs="Cambria Math"/>
                <w:sz w:val="20"/>
                <w:szCs w:val="20"/>
              </w:rPr>
              <w:t>⨯</w:t>
            </w:r>
            <w:r w:rsidRPr="008918B2">
              <w:rPr>
                <w:rFonts w:cstheme="minorHAnsi"/>
                <w:sz w:val="20"/>
                <w:szCs w:val="20"/>
              </w:rPr>
              <w:t xml:space="preserve"> Disorganization</w:t>
            </w:r>
          </w:p>
        </w:tc>
        <w:tc>
          <w:tcPr>
            <w:tcW w:w="0" w:type="auto"/>
          </w:tcPr>
          <w:p w14:paraId="54B62D0C" w14:textId="5BDDE931" w:rsidR="00877555" w:rsidRPr="008918B2" w:rsidRDefault="0004431C" w:rsidP="00D616F1">
            <w:pPr>
              <w:pStyle w:val="NoSpacing"/>
              <w:rPr>
                <w:rFonts w:cstheme="minorHAnsi"/>
                <w:sz w:val="20"/>
                <w:szCs w:val="20"/>
              </w:rPr>
            </w:pPr>
            <w:r w:rsidRPr="008918B2">
              <w:rPr>
                <w:rFonts w:cstheme="minorHAnsi"/>
                <w:sz w:val="20"/>
                <w:szCs w:val="20"/>
              </w:rPr>
              <w:t xml:space="preserve">– </w:t>
            </w:r>
          </w:p>
        </w:tc>
        <w:tc>
          <w:tcPr>
            <w:tcW w:w="0" w:type="auto"/>
          </w:tcPr>
          <w:p w14:paraId="6BEB13F4" w14:textId="6B47E553" w:rsidR="00877555" w:rsidRPr="008918B2" w:rsidRDefault="00193491" w:rsidP="00D616F1">
            <w:pPr>
              <w:pStyle w:val="NoSpacing"/>
              <w:rPr>
                <w:rFonts w:cstheme="minorHAnsi"/>
                <w:sz w:val="20"/>
                <w:szCs w:val="20"/>
              </w:rPr>
            </w:pPr>
            <w:r w:rsidRPr="008918B2">
              <w:rPr>
                <w:rFonts w:cstheme="minorHAnsi"/>
                <w:sz w:val="20"/>
                <w:szCs w:val="20"/>
              </w:rPr>
              <w:t>–</w:t>
            </w:r>
          </w:p>
        </w:tc>
        <w:tc>
          <w:tcPr>
            <w:tcW w:w="0" w:type="auto"/>
          </w:tcPr>
          <w:p w14:paraId="34695561" w14:textId="2D6ED49E" w:rsidR="00877555" w:rsidRPr="008918B2" w:rsidRDefault="00193491" w:rsidP="00D616F1">
            <w:pPr>
              <w:pStyle w:val="NoSpacing"/>
              <w:rPr>
                <w:rFonts w:cstheme="minorHAnsi"/>
                <w:sz w:val="20"/>
                <w:szCs w:val="20"/>
              </w:rPr>
            </w:pPr>
            <w:r w:rsidRPr="008918B2">
              <w:rPr>
                <w:rFonts w:cstheme="minorHAnsi"/>
                <w:sz w:val="20"/>
                <w:szCs w:val="20"/>
              </w:rPr>
              <w:t>–</w:t>
            </w:r>
          </w:p>
        </w:tc>
        <w:tc>
          <w:tcPr>
            <w:tcW w:w="0" w:type="auto"/>
          </w:tcPr>
          <w:p w14:paraId="47FD26B5" w14:textId="17FCAE48" w:rsidR="00877555" w:rsidRPr="008918B2" w:rsidRDefault="00193491" w:rsidP="00D616F1">
            <w:pPr>
              <w:pStyle w:val="NoSpacing"/>
              <w:rPr>
                <w:rFonts w:cstheme="minorHAnsi"/>
                <w:sz w:val="20"/>
                <w:szCs w:val="20"/>
              </w:rPr>
            </w:pPr>
            <w:r w:rsidRPr="008918B2">
              <w:rPr>
                <w:rFonts w:cstheme="minorHAnsi"/>
                <w:sz w:val="20"/>
                <w:szCs w:val="20"/>
              </w:rPr>
              <w:t>0.00</w:t>
            </w:r>
          </w:p>
        </w:tc>
        <w:tc>
          <w:tcPr>
            <w:tcW w:w="0" w:type="auto"/>
          </w:tcPr>
          <w:p w14:paraId="55C2B7A2" w14:textId="173D2906" w:rsidR="00877555" w:rsidRPr="008918B2" w:rsidRDefault="00193491" w:rsidP="00D616F1">
            <w:pPr>
              <w:pStyle w:val="NoSpacing"/>
              <w:rPr>
                <w:rFonts w:cstheme="minorHAnsi"/>
                <w:sz w:val="20"/>
                <w:szCs w:val="20"/>
              </w:rPr>
            </w:pPr>
            <w:r w:rsidRPr="008918B2">
              <w:rPr>
                <w:rFonts w:cstheme="minorHAnsi"/>
                <w:sz w:val="20"/>
                <w:szCs w:val="20"/>
              </w:rPr>
              <w:t>0.06</w:t>
            </w:r>
          </w:p>
        </w:tc>
        <w:tc>
          <w:tcPr>
            <w:tcW w:w="0" w:type="auto"/>
          </w:tcPr>
          <w:p w14:paraId="2A0B9F70" w14:textId="535E4164" w:rsidR="00877555" w:rsidRPr="008918B2" w:rsidRDefault="00193491" w:rsidP="00D616F1">
            <w:pPr>
              <w:pStyle w:val="NoSpacing"/>
              <w:rPr>
                <w:rFonts w:cstheme="minorHAnsi"/>
                <w:sz w:val="20"/>
                <w:szCs w:val="20"/>
              </w:rPr>
            </w:pPr>
            <w:r w:rsidRPr="008918B2">
              <w:rPr>
                <w:rFonts w:cstheme="minorHAnsi"/>
                <w:sz w:val="20"/>
                <w:szCs w:val="20"/>
              </w:rPr>
              <w:t>.964</w:t>
            </w:r>
          </w:p>
        </w:tc>
        <w:tc>
          <w:tcPr>
            <w:tcW w:w="0" w:type="auto"/>
          </w:tcPr>
          <w:p w14:paraId="1AF06082" w14:textId="4C7C5C70" w:rsidR="00877555" w:rsidRPr="008918B2" w:rsidRDefault="00193491" w:rsidP="00D616F1">
            <w:pPr>
              <w:pStyle w:val="NoSpacing"/>
              <w:rPr>
                <w:rFonts w:cstheme="minorHAnsi"/>
                <w:sz w:val="20"/>
                <w:szCs w:val="20"/>
              </w:rPr>
            </w:pPr>
            <w:r w:rsidRPr="008918B2">
              <w:rPr>
                <w:rFonts w:cstheme="minorHAnsi"/>
                <w:sz w:val="20"/>
                <w:szCs w:val="20"/>
              </w:rPr>
              <w:t>–</w:t>
            </w:r>
          </w:p>
        </w:tc>
        <w:tc>
          <w:tcPr>
            <w:tcW w:w="0" w:type="auto"/>
          </w:tcPr>
          <w:p w14:paraId="12B32662" w14:textId="451B302F" w:rsidR="00877555" w:rsidRPr="008918B2" w:rsidRDefault="00193491" w:rsidP="00D616F1">
            <w:pPr>
              <w:pStyle w:val="NoSpacing"/>
              <w:rPr>
                <w:rFonts w:cstheme="minorHAnsi"/>
                <w:sz w:val="20"/>
                <w:szCs w:val="20"/>
              </w:rPr>
            </w:pPr>
            <w:r w:rsidRPr="008918B2">
              <w:rPr>
                <w:rFonts w:cstheme="minorHAnsi"/>
                <w:sz w:val="20"/>
                <w:szCs w:val="20"/>
              </w:rPr>
              <w:t>–</w:t>
            </w:r>
          </w:p>
        </w:tc>
        <w:tc>
          <w:tcPr>
            <w:tcW w:w="0" w:type="auto"/>
          </w:tcPr>
          <w:p w14:paraId="7DD43831" w14:textId="11C06B22" w:rsidR="00877555" w:rsidRPr="008918B2" w:rsidRDefault="00193491" w:rsidP="00D616F1">
            <w:pPr>
              <w:pStyle w:val="NoSpacing"/>
              <w:rPr>
                <w:rFonts w:cstheme="minorHAnsi"/>
                <w:sz w:val="20"/>
                <w:szCs w:val="20"/>
              </w:rPr>
            </w:pPr>
            <w:r w:rsidRPr="008918B2">
              <w:rPr>
                <w:rFonts w:cstheme="minorHAnsi"/>
                <w:sz w:val="20"/>
                <w:szCs w:val="20"/>
              </w:rPr>
              <w:t>–</w:t>
            </w:r>
          </w:p>
        </w:tc>
        <w:tc>
          <w:tcPr>
            <w:tcW w:w="0" w:type="auto"/>
          </w:tcPr>
          <w:p w14:paraId="517CB1A7" w14:textId="6A9393A3" w:rsidR="00877555" w:rsidRPr="008918B2" w:rsidRDefault="00193491" w:rsidP="00D616F1">
            <w:pPr>
              <w:pStyle w:val="NoSpacing"/>
              <w:rPr>
                <w:rFonts w:cstheme="minorHAnsi"/>
                <w:sz w:val="20"/>
                <w:szCs w:val="20"/>
              </w:rPr>
            </w:pPr>
            <w:r w:rsidRPr="008918B2">
              <w:rPr>
                <w:rFonts w:cstheme="minorHAnsi"/>
                <w:sz w:val="20"/>
                <w:szCs w:val="20"/>
              </w:rPr>
              <w:t>–</w:t>
            </w:r>
          </w:p>
        </w:tc>
        <w:tc>
          <w:tcPr>
            <w:tcW w:w="0" w:type="auto"/>
          </w:tcPr>
          <w:p w14:paraId="37B82544" w14:textId="1DF576A5" w:rsidR="00877555" w:rsidRPr="008918B2" w:rsidRDefault="00193491" w:rsidP="00D616F1">
            <w:pPr>
              <w:pStyle w:val="NoSpacing"/>
              <w:rPr>
                <w:rFonts w:cstheme="minorHAnsi"/>
                <w:sz w:val="20"/>
                <w:szCs w:val="20"/>
              </w:rPr>
            </w:pPr>
            <w:r w:rsidRPr="008918B2">
              <w:rPr>
                <w:rFonts w:cstheme="minorHAnsi"/>
                <w:sz w:val="20"/>
                <w:szCs w:val="20"/>
              </w:rPr>
              <w:t>–</w:t>
            </w:r>
          </w:p>
        </w:tc>
        <w:tc>
          <w:tcPr>
            <w:tcW w:w="0" w:type="auto"/>
          </w:tcPr>
          <w:p w14:paraId="2E7A7420" w14:textId="1503BD0E" w:rsidR="00877555" w:rsidRPr="008918B2" w:rsidRDefault="00193491" w:rsidP="00D616F1">
            <w:pPr>
              <w:pStyle w:val="NoSpacing"/>
              <w:rPr>
                <w:rFonts w:cstheme="minorHAnsi"/>
                <w:sz w:val="20"/>
                <w:szCs w:val="20"/>
              </w:rPr>
            </w:pPr>
            <w:r w:rsidRPr="008918B2">
              <w:rPr>
                <w:rFonts w:cstheme="minorHAnsi"/>
                <w:sz w:val="20"/>
                <w:szCs w:val="20"/>
              </w:rPr>
              <w:t>–</w:t>
            </w:r>
          </w:p>
        </w:tc>
      </w:tr>
      <w:tr w:rsidR="00193491" w:rsidRPr="008918B2" w14:paraId="73D8C7D5" w14:textId="77777777" w:rsidTr="00AC1748">
        <w:tc>
          <w:tcPr>
            <w:tcW w:w="0" w:type="auto"/>
          </w:tcPr>
          <w:p w14:paraId="7FAF38D5" w14:textId="77777777" w:rsidR="00877555" w:rsidRPr="008918B2" w:rsidRDefault="00877555" w:rsidP="00D616F1">
            <w:pPr>
              <w:pStyle w:val="NoSpacing"/>
              <w:rPr>
                <w:rFonts w:cstheme="minorHAnsi"/>
                <w:sz w:val="20"/>
                <w:szCs w:val="20"/>
              </w:rPr>
            </w:pPr>
            <w:r w:rsidRPr="008918B2">
              <w:rPr>
                <w:rFonts w:cstheme="minorHAnsi"/>
                <w:sz w:val="20"/>
                <w:szCs w:val="20"/>
              </w:rPr>
              <w:t xml:space="preserve">Bar </w:t>
            </w:r>
            <w:r w:rsidRPr="008918B2">
              <w:rPr>
                <w:rFonts w:ascii="Cambria Math" w:hAnsi="Cambria Math" w:cs="Cambria Math"/>
                <w:sz w:val="20"/>
                <w:szCs w:val="20"/>
              </w:rPr>
              <w:t>⨯</w:t>
            </w:r>
            <w:r w:rsidRPr="008918B2">
              <w:rPr>
                <w:rFonts w:cstheme="minorHAnsi"/>
                <w:sz w:val="20"/>
                <w:szCs w:val="20"/>
              </w:rPr>
              <w:t xml:space="preserve"> Disorganization</w:t>
            </w:r>
          </w:p>
        </w:tc>
        <w:tc>
          <w:tcPr>
            <w:tcW w:w="0" w:type="auto"/>
          </w:tcPr>
          <w:p w14:paraId="0024393F" w14:textId="7FC2AFFA" w:rsidR="00877555" w:rsidRPr="008918B2" w:rsidRDefault="0004431C" w:rsidP="00D616F1">
            <w:pPr>
              <w:pStyle w:val="NoSpacing"/>
              <w:rPr>
                <w:rFonts w:cstheme="minorHAnsi"/>
                <w:sz w:val="20"/>
                <w:szCs w:val="20"/>
              </w:rPr>
            </w:pPr>
            <w:r w:rsidRPr="008918B2">
              <w:rPr>
                <w:rFonts w:cstheme="minorHAnsi"/>
                <w:sz w:val="20"/>
                <w:szCs w:val="20"/>
              </w:rPr>
              <w:t xml:space="preserve">– </w:t>
            </w:r>
          </w:p>
        </w:tc>
        <w:tc>
          <w:tcPr>
            <w:tcW w:w="0" w:type="auto"/>
          </w:tcPr>
          <w:p w14:paraId="08B4CEBA" w14:textId="12F8E010" w:rsidR="00877555" w:rsidRPr="008918B2" w:rsidRDefault="00193491" w:rsidP="00D616F1">
            <w:pPr>
              <w:pStyle w:val="NoSpacing"/>
              <w:rPr>
                <w:rFonts w:cstheme="minorHAnsi"/>
                <w:sz w:val="20"/>
                <w:szCs w:val="20"/>
              </w:rPr>
            </w:pPr>
            <w:r w:rsidRPr="008918B2">
              <w:rPr>
                <w:rFonts w:cstheme="minorHAnsi"/>
                <w:sz w:val="20"/>
                <w:szCs w:val="20"/>
              </w:rPr>
              <w:t>–</w:t>
            </w:r>
          </w:p>
        </w:tc>
        <w:tc>
          <w:tcPr>
            <w:tcW w:w="0" w:type="auto"/>
          </w:tcPr>
          <w:p w14:paraId="1B6B68D3" w14:textId="406F4B0C" w:rsidR="00877555" w:rsidRPr="008918B2" w:rsidRDefault="00193491" w:rsidP="00D616F1">
            <w:pPr>
              <w:pStyle w:val="NoSpacing"/>
              <w:rPr>
                <w:rFonts w:cstheme="minorHAnsi"/>
                <w:sz w:val="20"/>
                <w:szCs w:val="20"/>
              </w:rPr>
            </w:pPr>
            <w:r w:rsidRPr="008918B2">
              <w:rPr>
                <w:rFonts w:cstheme="minorHAnsi"/>
                <w:sz w:val="20"/>
                <w:szCs w:val="20"/>
              </w:rPr>
              <w:t>–</w:t>
            </w:r>
          </w:p>
        </w:tc>
        <w:tc>
          <w:tcPr>
            <w:tcW w:w="0" w:type="auto"/>
          </w:tcPr>
          <w:p w14:paraId="02A131CD" w14:textId="24105351" w:rsidR="00877555" w:rsidRPr="008918B2" w:rsidRDefault="00193491" w:rsidP="00D616F1">
            <w:pPr>
              <w:pStyle w:val="NoSpacing"/>
              <w:rPr>
                <w:rFonts w:cstheme="minorHAnsi"/>
                <w:sz w:val="20"/>
                <w:szCs w:val="20"/>
              </w:rPr>
            </w:pPr>
            <w:r w:rsidRPr="008918B2">
              <w:rPr>
                <w:rFonts w:cstheme="minorHAnsi"/>
                <w:sz w:val="20"/>
                <w:szCs w:val="20"/>
              </w:rPr>
              <w:t>–</w:t>
            </w:r>
          </w:p>
        </w:tc>
        <w:tc>
          <w:tcPr>
            <w:tcW w:w="0" w:type="auto"/>
          </w:tcPr>
          <w:p w14:paraId="7D0030D1" w14:textId="4046F0B1" w:rsidR="00877555" w:rsidRPr="008918B2" w:rsidRDefault="00193491" w:rsidP="00D616F1">
            <w:pPr>
              <w:pStyle w:val="NoSpacing"/>
              <w:rPr>
                <w:rFonts w:cstheme="minorHAnsi"/>
                <w:sz w:val="20"/>
                <w:szCs w:val="20"/>
              </w:rPr>
            </w:pPr>
            <w:r w:rsidRPr="008918B2">
              <w:rPr>
                <w:rFonts w:cstheme="minorHAnsi"/>
                <w:sz w:val="20"/>
                <w:szCs w:val="20"/>
              </w:rPr>
              <w:t>–</w:t>
            </w:r>
          </w:p>
        </w:tc>
        <w:tc>
          <w:tcPr>
            <w:tcW w:w="0" w:type="auto"/>
          </w:tcPr>
          <w:p w14:paraId="0B5DB1FD" w14:textId="144DF8C6" w:rsidR="00877555" w:rsidRPr="008918B2" w:rsidRDefault="00193491" w:rsidP="00D616F1">
            <w:pPr>
              <w:pStyle w:val="NoSpacing"/>
              <w:rPr>
                <w:rFonts w:cstheme="minorHAnsi"/>
                <w:sz w:val="20"/>
                <w:szCs w:val="20"/>
              </w:rPr>
            </w:pPr>
            <w:r w:rsidRPr="008918B2">
              <w:rPr>
                <w:rFonts w:cstheme="minorHAnsi"/>
                <w:sz w:val="20"/>
                <w:szCs w:val="20"/>
              </w:rPr>
              <w:t>–</w:t>
            </w:r>
          </w:p>
        </w:tc>
        <w:tc>
          <w:tcPr>
            <w:tcW w:w="0" w:type="auto"/>
          </w:tcPr>
          <w:p w14:paraId="2481E0A6" w14:textId="6AE605C0" w:rsidR="00877555" w:rsidRPr="008918B2" w:rsidRDefault="00193491" w:rsidP="00D616F1">
            <w:pPr>
              <w:pStyle w:val="NoSpacing"/>
              <w:rPr>
                <w:rFonts w:cstheme="minorHAnsi"/>
                <w:sz w:val="20"/>
                <w:szCs w:val="20"/>
              </w:rPr>
            </w:pPr>
            <w:r w:rsidRPr="008918B2">
              <w:rPr>
                <w:rFonts w:cstheme="minorHAnsi"/>
                <w:sz w:val="20"/>
                <w:szCs w:val="20"/>
              </w:rPr>
              <w:t>–0.01</w:t>
            </w:r>
          </w:p>
        </w:tc>
        <w:tc>
          <w:tcPr>
            <w:tcW w:w="0" w:type="auto"/>
          </w:tcPr>
          <w:p w14:paraId="2593FA73" w14:textId="35D8F87D" w:rsidR="00877555" w:rsidRPr="008918B2" w:rsidRDefault="00193491" w:rsidP="00D616F1">
            <w:pPr>
              <w:pStyle w:val="NoSpacing"/>
              <w:rPr>
                <w:rFonts w:cstheme="minorHAnsi"/>
                <w:sz w:val="20"/>
                <w:szCs w:val="20"/>
              </w:rPr>
            </w:pPr>
            <w:r w:rsidRPr="008918B2">
              <w:rPr>
                <w:rFonts w:cstheme="minorHAnsi"/>
                <w:sz w:val="20"/>
                <w:szCs w:val="20"/>
              </w:rPr>
              <w:t>0.06</w:t>
            </w:r>
          </w:p>
        </w:tc>
        <w:tc>
          <w:tcPr>
            <w:tcW w:w="0" w:type="auto"/>
          </w:tcPr>
          <w:p w14:paraId="38FBE5D2" w14:textId="29780EAD" w:rsidR="00877555" w:rsidRPr="008918B2" w:rsidRDefault="00193491" w:rsidP="00D616F1">
            <w:pPr>
              <w:pStyle w:val="NoSpacing"/>
              <w:rPr>
                <w:rFonts w:cstheme="minorHAnsi"/>
                <w:sz w:val="20"/>
                <w:szCs w:val="20"/>
              </w:rPr>
            </w:pPr>
            <w:r w:rsidRPr="008918B2">
              <w:rPr>
                <w:rFonts w:cstheme="minorHAnsi"/>
                <w:sz w:val="20"/>
                <w:szCs w:val="20"/>
              </w:rPr>
              <w:t>.820</w:t>
            </w:r>
          </w:p>
        </w:tc>
        <w:tc>
          <w:tcPr>
            <w:tcW w:w="0" w:type="auto"/>
          </w:tcPr>
          <w:p w14:paraId="32AC6D2D" w14:textId="326F2699" w:rsidR="00877555" w:rsidRPr="008918B2" w:rsidRDefault="00193491" w:rsidP="00D616F1">
            <w:pPr>
              <w:pStyle w:val="NoSpacing"/>
              <w:rPr>
                <w:rFonts w:cstheme="minorHAnsi"/>
                <w:sz w:val="20"/>
                <w:szCs w:val="20"/>
              </w:rPr>
            </w:pPr>
            <w:r w:rsidRPr="008918B2">
              <w:rPr>
                <w:rFonts w:cstheme="minorHAnsi"/>
                <w:sz w:val="20"/>
                <w:szCs w:val="20"/>
              </w:rPr>
              <w:t>–</w:t>
            </w:r>
          </w:p>
        </w:tc>
        <w:tc>
          <w:tcPr>
            <w:tcW w:w="0" w:type="auto"/>
          </w:tcPr>
          <w:p w14:paraId="1BE5208E" w14:textId="79A3B98C" w:rsidR="00877555" w:rsidRPr="008918B2" w:rsidRDefault="00193491" w:rsidP="00D616F1">
            <w:pPr>
              <w:pStyle w:val="NoSpacing"/>
              <w:rPr>
                <w:rFonts w:cstheme="minorHAnsi"/>
                <w:sz w:val="20"/>
                <w:szCs w:val="20"/>
              </w:rPr>
            </w:pPr>
            <w:r w:rsidRPr="008918B2">
              <w:rPr>
                <w:rFonts w:cstheme="minorHAnsi"/>
                <w:sz w:val="20"/>
                <w:szCs w:val="20"/>
              </w:rPr>
              <w:t>–</w:t>
            </w:r>
          </w:p>
        </w:tc>
        <w:tc>
          <w:tcPr>
            <w:tcW w:w="0" w:type="auto"/>
          </w:tcPr>
          <w:p w14:paraId="401EACD2" w14:textId="6333BE6A" w:rsidR="00877555" w:rsidRPr="008918B2" w:rsidRDefault="00193491" w:rsidP="00D616F1">
            <w:pPr>
              <w:pStyle w:val="NoSpacing"/>
              <w:rPr>
                <w:rFonts w:cstheme="minorHAnsi"/>
                <w:sz w:val="20"/>
                <w:szCs w:val="20"/>
              </w:rPr>
            </w:pPr>
            <w:r w:rsidRPr="008918B2">
              <w:rPr>
                <w:rFonts w:cstheme="minorHAnsi"/>
                <w:sz w:val="20"/>
                <w:szCs w:val="20"/>
              </w:rPr>
              <w:t>–</w:t>
            </w:r>
          </w:p>
        </w:tc>
      </w:tr>
      <w:tr w:rsidR="00193491" w:rsidRPr="008918B2" w14:paraId="638AD678" w14:textId="77777777" w:rsidTr="00AC1748">
        <w:tc>
          <w:tcPr>
            <w:tcW w:w="0" w:type="auto"/>
          </w:tcPr>
          <w:p w14:paraId="5E772486" w14:textId="77777777" w:rsidR="00877555" w:rsidRPr="008918B2" w:rsidRDefault="00877555" w:rsidP="00D616F1">
            <w:pPr>
              <w:pStyle w:val="NoSpacing"/>
              <w:rPr>
                <w:rFonts w:cstheme="minorHAnsi"/>
                <w:sz w:val="20"/>
                <w:szCs w:val="20"/>
              </w:rPr>
            </w:pPr>
            <w:r w:rsidRPr="008918B2">
              <w:rPr>
                <w:rFonts w:cstheme="minorHAnsi"/>
                <w:sz w:val="20"/>
                <w:szCs w:val="20"/>
              </w:rPr>
              <w:t xml:space="preserve">Restaurant </w:t>
            </w:r>
            <w:r w:rsidRPr="008918B2">
              <w:rPr>
                <w:rFonts w:ascii="Cambria Math" w:hAnsi="Cambria Math" w:cs="Cambria Math"/>
                <w:sz w:val="20"/>
                <w:szCs w:val="20"/>
              </w:rPr>
              <w:t>⨯</w:t>
            </w:r>
            <w:r w:rsidRPr="008918B2">
              <w:rPr>
                <w:rFonts w:cstheme="minorHAnsi"/>
                <w:sz w:val="20"/>
                <w:szCs w:val="20"/>
              </w:rPr>
              <w:t xml:space="preserve"> Disorganization</w:t>
            </w:r>
          </w:p>
        </w:tc>
        <w:tc>
          <w:tcPr>
            <w:tcW w:w="0" w:type="auto"/>
          </w:tcPr>
          <w:p w14:paraId="1BC1031F" w14:textId="1BD65931" w:rsidR="00877555" w:rsidRPr="008918B2" w:rsidRDefault="00204583" w:rsidP="00D616F1">
            <w:pPr>
              <w:pStyle w:val="NoSpacing"/>
              <w:rPr>
                <w:rFonts w:cstheme="minorHAnsi"/>
                <w:sz w:val="20"/>
                <w:szCs w:val="20"/>
              </w:rPr>
            </w:pPr>
            <w:r w:rsidRPr="008918B2">
              <w:rPr>
                <w:rFonts w:cstheme="minorHAnsi"/>
                <w:sz w:val="20"/>
                <w:szCs w:val="20"/>
              </w:rPr>
              <w:t xml:space="preserve">– </w:t>
            </w:r>
          </w:p>
        </w:tc>
        <w:tc>
          <w:tcPr>
            <w:tcW w:w="0" w:type="auto"/>
          </w:tcPr>
          <w:p w14:paraId="56A178F4" w14:textId="158A75C1" w:rsidR="00877555" w:rsidRPr="008918B2" w:rsidRDefault="008C315B" w:rsidP="00D616F1">
            <w:pPr>
              <w:pStyle w:val="NoSpacing"/>
              <w:rPr>
                <w:rFonts w:cstheme="minorHAnsi"/>
                <w:sz w:val="20"/>
                <w:szCs w:val="20"/>
              </w:rPr>
            </w:pPr>
            <w:r w:rsidRPr="008918B2">
              <w:rPr>
                <w:rFonts w:cstheme="minorHAnsi"/>
                <w:sz w:val="20"/>
                <w:szCs w:val="20"/>
              </w:rPr>
              <w:t>–</w:t>
            </w:r>
          </w:p>
        </w:tc>
        <w:tc>
          <w:tcPr>
            <w:tcW w:w="0" w:type="auto"/>
          </w:tcPr>
          <w:p w14:paraId="0BAA076E" w14:textId="75F295CD" w:rsidR="00877555" w:rsidRPr="008918B2" w:rsidRDefault="008C315B" w:rsidP="00D616F1">
            <w:pPr>
              <w:pStyle w:val="NoSpacing"/>
              <w:rPr>
                <w:rFonts w:cstheme="minorHAnsi"/>
                <w:sz w:val="20"/>
                <w:szCs w:val="20"/>
              </w:rPr>
            </w:pPr>
            <w:r w:rsidRPr="008918B2">
              <w:rPr>
                <w:rFonts w:cstheme="minorHAnsi"/>
                <w:sz w:val="20"/>
                <w:szCs w:val="20"/>
              </w:rPr>
              <w:t>–</w:t>
            </w:r>
          </w:p>
        </w:tc>
        <w:tc>
          <w:tcPr>
            <w:tcW w:w="0" w:type="auto"/>
          </w:tcPr>
          <w:p w14:paraId="14EBB1D3" w14:textId="30D58405" w:rsidR="00877555" w:rsidRPr="008918B2" w:rsidRDefault="008C315B" w:rsidP="00D616F1">
            <w:pPr>
              <w:pStyle w:val="NoSpacing"/>
              <w:rPr>
                <w:rFonts w:cstheme="minorHAnsi"/>
                <w:sz w:val="20"/>
                <w:szCs w:val="20"/>
              </w:rPr>
            </w:pPr>
            <w:r w:rsidRPr="008918B2">
              <w:rPr>
                <w:rFonts w:cstheme="minorHAnsi"/>
                <w:sz w:val="20"/>
                <w:szCs w:val="20"/>
              </w:rPr>
              <w:t>–</w:t>
            </w:r>
          </w:p>
        </w:tc>
        <w:tc>
          <w:tcPr>
            <w:tcW w:w="0" w:type="auto"/>
          </w:tcPr>
          <w:p w14:paraId="31119B3C" w14:textId="7595BE19" w:rsidR="00877555" w:rsidRPr="008918B2" w:rsidRDefault="008C315B" w:rsidP="00D616F1">
            <w:pPr>
              <w:pStyle w:val="NoSpacing"/>
              <w:rPr>
                <w:rFonts w:cstheme="minorHAnsi"/>
                <w:sz w:val="20"/>
                <w:szCs w:val="20"/>
              </w:rPr>
            </w:pPr>
            <w:r w:rsidRPr="008918B2">
              <w:rPr>
                <w:rFonts w:cstheme="minorHAnsi"/>
                <w:sz w:val="20"/>
                <w:szCs w:val="20"/>
              </w:rPr>
              <w:t>–</w:t>
            </w:r>
          </w:p>
        </w:tc>
        <w:tc>
          <w:tcPr>
            <w:tcW w:w="0" w:type="auto"/>
          </w:tcPr>
          <w:p w14:paraId="0B7D0D63" w14:textId="1FCD072A" w:rsidR="00877555" w:rsidRPr="008918B2" w:rsidRDefault="008C315B" w:rsidP="00D616F1">
            <w:pPr>
              <w:pStyle w:val="NoSpacing"/>
              <w:rPr>
                <w:rFonts w:cstheme="minorHAnsi"/>
                <w:sz w:val="20"/>
                <w:szCs w:val="20"/>
              </w:rPr>
            </w:pPr>
            <w:r w:rsidRPr="008918B2">
              <w:rPr>
                <w:rFonts w:cstheme="minorHAnsi"/>
                <w:sz w:val="20"/>
                <w:szCs w:val="20"/>
              </w:rPr>
              <w:t>–</w:t>
            </w:r>
          </w:p>
        </w:tc>
        <w:tc>
          <w:tcPr>
            <w:tcW w:w="0" w:type="auto"/>
          </w:tcPr>
          <w:p w14:paraId="57775878" w14:textId="7EF30AE5" w:rsidR="00877555" w:rsidRPr="008918B2" w:rsidRDefault="008C315B" w:rsidP="00D616F1">
            <w:pPr>
              <w:pStyle w:val="NoSpacing"/>
              <w:rPr>
                <w:rFonts w:cstheme="minorHAnsi"/>
                <w:sz w:val="20"/>
                <w:szCs w:val="20"/>
              </w:rPr>
            </w:pPr>
            <w:r w:rsidRPr="008918B2">
              <w:rPr>
                <w:rFonts w:cstheme="minorHAnsi"/>
                <w:sz w:val="20"/>
                <w:szCs w:val="20"/>
              </w:rPr>
              <w:t>–</w:t>
            </w:r>
          </w:p>
        </w:tc>
        <w:tc>
          <w:tcPr>
            <w:tcW w:w="0" w:type="auto"/>
          </w:tcPr>
          <w:p w14:paraId="1889D4B4" w14:textId="15672353" w:rsidR="00877555" w:rsidRPr="008918B2" w:rsidRDefault="008C315B" w:rsidP="00D616F1">
            <w:pPr>
              <w:pStyle w:val="NoSpacing"/>
              <w:rPr>
                <w:rFonts w:cstheme="minorHAnsi"/>
                <w:sz w:val="20"/>
                <w:szCs w:val="20"/>
              </w:rPr>
            </w:pPr>
            <w:r w:rsidRPr="008918B2">
              <w:rPr>
                <w:rFonts w:cstheme="minorHAnsi"/>
                <w:sz w:val="20"/>
                <w:szCs w:val="20"/>
              </w:rPr>
              <w:t>–</w:t>
            </w:r>
          </w:p>
        </w:tc>
        <w:tc>
          <w:tcPr>
            <w:tcW w:w="0" w:type="auto"/>
          </w:tcPr>
          <w:p w14:paraId="7AB1C073" w14:textId="71C4C43C" w:rsidR="00877555" w:rsidRPr="008918B2" w:rsidRDefault="008C315B" w:rsidP="00D616F1">
            <w:pPr>
              <w:pStyle w:val="NoSpacing"/>
              <w:rPr>
                <w:rFonts w:cstheme="minorHAnsi"/>
                <w:sz w:val="20"/>
                <w:szCs w:val="20"/>
              </w:rPr>
            </w:pPr>
            <w:r w:rsidRPr="008918B2">
              <w:rPr>
                <w:rFonts w:cstheme="minorHAnsi"/>
                <w:sz w:val="20"/>
                <w:szCs w:val="20"/>
              </w:rPr>
              <w:t>–</w:t>
            </w:r>
          </w:p>
        </w:tc>
        <w:tc>
          <w:tcPr>
            <w:tcW w:w="0" w:type="auto"/>
          </w:tcPr>
          <w:p w14:paraId="1030EB6C" w14:textId="09287B7B" w:rsidR="00877555" w:rsidRPr="008918B2" w:rsidRDefault="00E65B59" w:rsidP="00D616F1">
            <w:pPr>
              <w:pStyle w:val="NoSpacing"/>
              <w:rPr>
                <w:rFonts w:cstheme="minorHAnsi"/>
                <w:sz w:val="20"/>
                <w:szCs w:val="20"/>
              </w:rPr>
            </w:pPr>
            <w:r w:rsidRPr="008918B2">
              <w:rPr>
                <w:rFonts w:cstheme="minorHAnsi"/>
                <w:sz w:val="20"/>
                <w:szCs w:val="20"/>
              </w:rPr>
              <w:t>–</w:t>
            </w:r>
            <w:r w:rsidR="008C315B" w:rsidRPr="008918B2">
              <w:rPr>
                <w:rFonts w:cstheme="minorHAnsi"/>
                <w:sz w:val="20"/>
                <w:szCs w:val="20"/>
              </w:rPr>
              <w:t>0.02</w:t>
            </w:r>
          </w:p>
        </w:tc>
        <w:tc>
          <w:tcPr>
            <w:tcW w:w="0" w:type="auto"/>
          </w:tcPr>
          <w:p w14:paraId="3FC45A96" w14:textId="6F8FAB66" w:rsidR="00877555" w:rsidRPr="008918B2" w:rsidRDefault="008C315B" w:rsidP="00D616F1">
            <w:pPr>
              <w:pStyle w:val="NoSpacing"/>
              <w:rPr>
                <w:rFonts w:cstheme="minorHAnsi"/>
                <w:sz w:val="20"/>
                <w:szCs w:val="20"/>
              </w:rPr>
            </w:pPr>
            <w:r w:rsidRPr="008918B2">
              <w:rPr>
                <w:rFonts w:cstheme="minorHAnsi"/>
                <w:sz w:val="20"/>
                <w:szCs w:val="20"/>
              </w:rPr>
              <w:t>0.04</w:t>
            </w:r>
          </w:p>
        </w:tc>
        <w:tc>
          <w:tcPr>
            <w:tcW w:w="0" w:type="auto"/>
          </w:tcPr>
          <w:p w14:paraId="6AD409DA" w14:textId="542D36FE" w:rsidR="00877555" w:rsidRPr="008918B2" w:rsidRDefault="008C315B" w:rsidP="00D616F1">
            <w:pPr>
              <w:pStyle w:val="NoSpacing"/>
              <w:rPr>
                <w:rFonts w:cstheme="minorHAnsi"/>
                <w:sz w:val="20"/>
                <w:szCs w:val="20"/>
              </w:rPr>
            </w:pPr>
            <w:r w:rsidRPr="008918B2">
              <w:rPr>
                <w:rFonts w:cstheme="minorHAnsi"/>
                <w:sz w:val="20"/>
                <w:szCs w:val="20"/>
              </w:rPr>
              <w:t>.607</w:t>
            </w:r>
          </w:p>
        </w:tc>
      </w:tr>
      <w:tr w:rsidR="00193491" w:rsidRPr="008918B2" w14:paraId="21BD811B" w14:textId="77777777" w:rsidTr="00AC1748">
        <w:tc>
          <w:tcPr>
            <w:tcW w:w="0" w:type="auto"/>
          </w:tcPr>
          <w:p w14:paraId="6052B78C" w14:textId="655364D5" w:rsidR="00877555" w:rsidRPr="008918B2" w:rsidRDefault="00877555" w:rsidP="00D616F1">
            <w:pPr>
              <w:pStyle w:val="NoSpacing"/>
              <w:rPr>
                <w:rFonts w:cstheme="minorHAnsi"/>
                <w:sz w:val="20"/>
                <w:szCs w:val="20"/>
              </w:rPr>
            </w:pPr>
            <w:r w:rsidRPr="008918B2">
              <w:rPr>
                <w:rFonts w:cstheme="minorHAnsi"/>
                <w:sz w:val="20"/>
                <w:szCs w:val="20"/>
              </w:rPr>
              <w:t>R</w:t>
            </w:r>
            <w:r w:rsidRPr="008918B2">
              <w:rPr>
                <w:rFonts w:cstheme="minorHAnsi"/>
                <w:sz w:val="20"/>
                <w:szCs w:val="20"/>
                <w:vertAlign w:val="superscript"/>
              </w:rPr>
              <w:t>2</w:t>
            </w:r>
          </w:p>
        </w:tc>
        <w:tc>
          <w:tcPr>
            <w:tcW w:w="0" w:type="auto"/>
          </w:tcPr>
          <w:p w14:paraId="60585CA9" w14:textId="63D9AFF0" w:rsidR="00877555" w:rsidRPr="008918B2" w:rsidRDefault="00204583" w:rsidP="00D616F1">
            <w:pPr>
              <w:pStyle w:val="NoSpacing"/>
              <w:rPr>
                <w:rFonts w:cstheme="minorHAnsi"/>
                <w:sz w:val="20"/>
                <w:szCs w:val="20"/>
              </w:rPr>
            </w:pPr>
            <w:r w:rsidRPr="008918B2">
              <w:rPr>
                <w:rFonts w:cstheme="minorHAnsi"/>
                <w:sz w:val="20"/>
                <w:szCs w:val="20"/>
              </w:rPr>
              <w:t xml:space="preserve">.53 </w:t>
            </w:r>
          </w:p>
        </w:tc>
        <w:tc>
          <w:tcPr>
            <w:tcW w:w="0" w:type="auto"/>
          </w:tcPr>
          <w:p w14:paraId="38E7A154" w14:textId="77777777" w:rsidR="00877555" w:rsidRPr="008918B2" w:rsidRDefault="00877555" w:rsidP="00D616F1">
            <w:pPr>
              <w:pStyle w:val="NoSpacing"/>
              <w:rPr>
                <w:rFonts w:cstheme="minorHAnsi"/>
                <w:sz w:val="20"/>
                <w:szCs w:val="20"/>
              </w:rPr>
            </w:pPr>
          </w:p>
        </w:tc>
        <w:tc>
          <w:tcPr>
            <w:tcW w:w="0" w:type="auto"/>
          </w:tcPr>
          <w:p w14:paraId="2924D681" w14:textId="77777777" w:rsidR="00877555" w:rsidRPr="008918B2" w:rsidRDefault="00877555" w:rsidP="00D616F1">
            <w:pPr>
              <w:pStyle w:val="NoSpacing"/>
              <w:rPr>
                <w:rFonts w:cstheme="minorHAnsi"/>
                <w:sz w:val="20"/>
                <w:szCs w:val="20"/>
              </w:rPr>
            </w:pPr>
          </w:p>
        </w:tc>
        <w:tc>
          <w:tcPr>
            <w:tcW w:w="0" w:type="auto"/>
          </w:tcPr>
          <w:p w14:paraId="0545D52E" w14:textId="313F8765" w:rsidR="00877555" w:rsidRPr="008918B2" w:rsidRDefault="00E65B59" w:rsidP="00D616F1">
            <w:pPr>
              <w:pStyle w:val="NoSpacing"/>
              <w:rPr>
                <w:rFonts w:cstheme="minorHAnsi"/>
                <w:sz w:val="20"/>
                <w:szCs w:val="20"/>
              </w:rPr>
            </w:pPr>
            <w:r w:rsidRPr="008918B2">
              <w:rPr>
                <w:rFonts w:cstheme="minorHAnsi"/>
                <w:sz w:val="20"/>
                <w:szCs w:val="20"/>
              </w:rPr>
              <w:t>.53</w:t>
            </w:r>
          </w:p>
        </w:tc>
        <w:tc>
          <w:tcPr>
            <w:tcW w:w="0" w:type="auto"/>
          </w:tcPr>
          <w:p w14:paraId="630FEFAB" w14:textId="77777777" w:rsidR="00877555" w:rsidRPr="008918B2" w:rsidRDefault="00877555" w:rsidP="00D616F1">
            <w:pPr>
              <w:pStyle w:val="NoSpacing"/>
              <w:rPr>
                <w:rFonts w:cstheme="minorHAnsi"/>
                <w:sz w:val="20"/>
                <w:szCs w:val="20"/>
              </w:rPr>
            </w:pPr>
          </w:p>
        </w:tc>
        <w:tc>
          <w:tcPr>
            <w:tcW w:w="0" w:type="auto"/>
          </w:tcPr>
          <w:p w14:paraId="756A6888" w14:textId="77777777" w:rsidR="00877555" w:rsidRPr="008918B2" w:rsidRDefault="00877555" w:rsidP="00D616F1">
            <w:pPr>
              <w:pStyle w:val="NoSpacing"/>
              <w:rPr>
                <w:rFonts w:cstheme="minorHAnsi"/>
                <w:sz w:val="20"/>
                <w:szCs w:val="20"/>
              </w:rPr>
            </w:pPr>
          </w:p>
        </w:tc>
        <w:tc>
          <w:tcPr>
            <w:tcW w:w="0" w:type="auto"/>
          </w:tcPr>
          <w:p w14:paraId="0E391B73" w14:textId="3BFE3614" w:rsidR="00877555" w:rsidRPr="008918B2" w:rsidRDefault="00E65B59" w:rsidP="00D616F1">
            <w:pPr>
              <w:pStyle w:val="NoSpacing"/>
              <w:rPr>
                <w:rFonts w:cstheme="minorHAnsi"/>
                <w:sz w:val="20"/>
                <w:szCs w:val="20"/>
              </w:rPr>
            </w:pPr>
            <w:r w:rsidRPr="008918B2">
              <w:rPr>
                <w:rFonts w:cstheme="minorHAnsi"/>
                <w:sz w:val="20"/>
                <w:szCs w:val="20"/>
              </w:rPr>
              <w:t>.53</w:t>
            </w:r>
          </w:p>
        </w:tc>
        <w:tc>
          <w:tcPr>
            <w:tcW w:w="0" w:type="auto"/>
          </w:tcPr>
          <w:p w14:paraId="3FDECFF0" w14:textId="77777777" w:rsidR="00877555" w:rsidRPr="008918B2" w:rsidRDefault="00877555" w:rsidP="00D616F1">
            <w:pPr>
              <w:pStyle w:val="NoSpacing"/>
              <w:rPr>
                <w:rFonts w:cstheme="minorHAnsi"/>
                <w:sz w:val="20"/>
                <w:szCs w:val="20"/>
              </w:rPr>
            </w:pPr>
          </w:p>
        </w:tc>
        <w:tc>
          <w:tcPr>
            <w:tcW w:w="0" w:type="auto"/>
          </w:tcPr>
          <w:p w14:paraId="61DBF6C3" w14:textId="77777777" w:rsidR="00877555" w:rsidRPr="008918B2" w:rsidRDefault="00877555" w:rsidP="00D616F1">
            <w:pPr>
              <w:pStyle w:val="NoSpacing"/>
              <w:rPr>
                <w:rFonts w:cstheme="minorHAnsi"/>
                <w:sz w:val="20"/>
                <w:szCs w:val="20"/>
              </w:rPr>
            </w:pPr>
          </w:p>
        </w:tc>
        <w:tc>
          <w:tcPr>
            <w:tcW w:w="0" w:type="auto"/>
          </w:tcPr>
          <w:p w14:paraId="4E96891B" w14:textId="480AA884" w:rsidR="00877555" w:rsidRPr="008918B2" w:rsidRDefault="00E65B59" w:rsidP="00D616F1">
            <w:pPr>
              <w:pStyle w:val="NoSpacing"/>
              <w:rPr>
                <w:rFonts w:cstheme="minorHAnsi"/>
                <w:sz w:val="20"/>
                <w:szCs w:val="20"/>
              </w:rPr>
            </w:pPr>
            <w:r w:rsidRPr="008918B2">
              <w:rPr>
                <w:rFonts w:cstheme="minorHAnsi"/>
                <w:sz w:val="20"/>
                <w:szCs w:val="20"/>
              </w:rPr>
              <w:t>.53</w:t>
            </w:r>
          </w:p>
        </w:tc>
        <w:tc>
          <w:tcPr>
            <w:tcW w:w="0" w:type="auto"/>
          </w:tcPr>
          <w:p w14:paraId="0016AABA" w14:textId="77777777" w:rsidR="00877555" w:rsidRPr="008918B2" w:rsidRDefault="00877555" w:rsidP="00D616F1">
            <w:pPr>
              <w:pStyle w:val="NoSpacing"/>
              <w:rPr>
                <w:rFonts w:cstheme="minorHAnsi"/>
                <w:sz w:val="20"/>
                <w:szCs w:val="20"/>
              </w:rPr>
            </w:pPr>
          </w:p>
        </w:tc>
        <w:tc>
          <w:tcPr>
            <w:tcW w:w="0" w:type="auto"/>
          </w:tcPr>
          <w:p w14:paraId="00A053DA" w14:textId="77777777" w:rsidR="00877555" w:rsidRPr="008918B2" w:rsidRDefault="00877555" w:rsidP="00D616F1">
            <w:pPr>
              <w:pStyle w:val="NoSpacing"/>
              <w:rPr>
                <w:rFonts w:cstheme="minorHAnsi"/>
                <w:sz w:val="20"/>
                <w:szCs w:val="20"/>
              </w:rPr>
            </w:pPr>
          </w:p>
        </w:tc>
      </w:tr>
      <w:tr w:rsidR="00193491" w:rsidRPr="008918B2" w14:paraId="3229C146" w14:textId="77777777" w:rsidTr="00AC1748">
        <w:tc>
          <w:tcPr>
            <w:tcW w:w="0" w:type="auto"/>
          </w:tcPr>
          <w:p w14:paraId="6063B7C3" w14:textId="77777777" w:rsidR="00877555" w:rsidRPr="008918B2" w:rsidRDefault="00877555" w:rsidP="00D616F1">
            <w:pPr>
              <w:pStyle w:val="NoSpacing"/>
              <w:rPr>
                <w:rFonts w:cstheme="minorHAnsi"/>
                <w:sz w:val="20"/>
                <w:szCs w:val="20"/>
              </w:rPr>
            </w:pPr>
            <w:r w:rsidRPr="008918B2">
              <w:rPr>
                <w:rFonts w:cstheme="minorHAnsi"/>
                <w:sz w:val="20"/>
                <w:szCs w:val="20"/>
              </w:rPr>
              <w:t>Standard error</w:t>
            </w:r>
          </w:p>
        </w:tc>
        <w:tc>
          <w:tcPr>
            <w:tcW w:w="0" w:type="auto"/>
          </w:tcPr>
          <w:p w14:paraId="6C8D9911" w14:textId="6A1C6F09" w:rsidR="00877555" w:rsidRPr="008918B2" w:rsidRDefault="00204583" w:rsidP="00D616F1">
            <w:pPr>
              <w:pStyle w:val="NoSpacing"/>
              <w:rPr>
                <w:rFonts w:cstheme="minorHAnsi"/>
                <w:sz w:val="20"/>
                <w:szCs w:val="20"/>
              </w:rPr>
            </w:pPr>
            <w:r w:rsidRPr="008918B2">
              <w:rPr>
                <w:rFonts w:cstheme="minorHAnsi"/>
                <w:sz w:val="20"/>
                <w:szCs w:val="20"/>
              </w:rPr>
              <w:t xml:space="preserve">1.062 </w:t>
            </w:r>
          </w:p>
        </w:tc>
        <w:tc>
          <w:tcPr>
            <w:tcW w:w="0" w:type="auto"/>
          </w:tcPr>
          <w:p w14:paraId="0F360A3B" w14:textId="77777777" w:rsidR="00877555" w:rsidRPr="008918B2" w:rsidRDefault="00877555" w:rsidP="00D616F1">
            <w:pPr>
              <w:pStyle w:val="NoSpacing"/>
              <w:rPr>
                <w:rFonts w:cstheme="minorHAnsi"/>
                <w:sz w:val="20"/>
                <w:szCs w:val="20"/>
              </w:rPr>
            </w:pPr>
          </w:p>
        </w:tc>
        <w:tc>
          <w:tcPr>
            <w:tcW w:w="0" w:type="auto"/>
          </w:tcPr>
          <w:p w14:paraId="27332006" w14:textId="77777777" w:rsidR="00877555" w:rsidRPr="008918B2" w:rsidRDefault="00877555" w:rsidP="00D616F1">
            <w:pPr>
              <w:pStyle w:val="NoSpacing"/>
              <w:rPr>
                <w:rFonts w:cstheme="minorHAnsi"/>
                <w:sz w:val="20"/>
                <w:szCs w:val="20"/>
              </w:rPr>
            </w:pPr>
          </w:p>
        </w:tc>
        <w:tc>
          <w:tcPr>
            <w:tcW w:w="0" w:type="auto"/>
          </w:tcPr>
          <w:p w14:paraId="6F604E8F" w14:textId="5FDCA0B5" w:rsidR="00877555" w:rsidRPr="008918B2" w:rsidRDefault="00E65B59" w:rsidP="00D616F1">
            <w:pPr>
              <w:pStyle w:val="NoSpacing"/>
              <w:rPr>
                <w:rFonts w:cstheme="minorHAnsi"/>
                <w:sz w:val="20"/>
                <w:szCs w:val="20"/>
              </w:rPr>
            </w:pPr>
            <w:r w:rsidRPr="008918B2">
              <w:rPr>
                <w:rFonts w:cstheme="minorHAnsi"/>
                <w:sz w:val="20"/>
                <w:szCs w:val="20"/>
              </w:rPr>
              <w:t>1.070</w:t>
            </w:r>
          </w:p>
        </w:tc>
        <w:tc>
          <w:tcPr>
            <w:tcW w:w="0" w:type="auto"/>
          </w:tcPr>
          <w:p w14:paraId="5CB2AF9F" w14:textId="77777777" w:rsidR="00877555" w:rsidRPr="008918B2" w:rsidRDefault="00877555" w:rsidP="00D616F1">
            <w:pPr>
              <w:pStyle w:val="NoSpacing"/>
              <w:rPr>
                <w:rFonts w:cstheme="minorHAnsi"/>
                <w:sz w:val="20"/>
                <w:szCs w:val="20"/>
              </w:rPr>
            </w:pPr>
          </w:p>
        </w:tc>
        <w:tc>
          <w:tcPr>
            <w:tcW w:w="0" w:type="auto"/>
          </w:tcPr>
          <w:p w14:paraId="4E084159" w14:textId="77777777" w:rsidR="00877555" w:rsidRPr="008918B2" w:rsidRDefault="00877555" w:rsidP="00D616F1">
            <w:pPr>
              <w:pStyle w:val="NoSpacing"/>
              <w:rPr>
                <w:rFonts w:cstheme="minorHAnsi"/>
                <w:sz w:val="20"/>
                <w:szCs w:val="20"/>
              </w:rPr>
            </w:pPr>
          </w:p>
        </w:tc>
        <w:tc>
          <w:tcPr>
            <w:tcW w:w="0" w:type="auto"/>
          </w:tcPr>
          <w:p w14:paraId="2DBFE453" w14:textId="667B4D89" w:rsidR="00877555" w:rsidRPr="008918B2" w:rsidRDefault="00E65B59" w:rsidP="00D616F1">
            <w:pPr>
              <w:pStyle w:val="NoSpacing"/>
              <w:rPr>
                <w:rFonts w:cstheme="minorHAnsi"/>
                <w:sz w:val="20"/>
                <w:szCs w:val="20"/>
              </w:rPr>
            </w:pPr>
            <w:r w:rsidRPr="008918B2">
              <w:rPr>
                <w:rFonts w:cstheme="minorHAnsi"/>
                <w:sz w:val="20"/>
                <w:szCs w:val="20"/>
              </w:rPr>
              <w:t>1.070</w:t>
            </w:r>
          </w:p>
        </w:tc>
        <w:tc>
          <w:tcPr>
            <w:tcW w:w="0" w:type="auto"/>
          </w:tcPr>
          <w:p w14:paraId="35A71AB2" w14:textId="77777777" w:rsidR="00877555" w:rsidRPr="008918B2" w:rsidRDefault="00877555" w:rsidP="00D616F1">
            <w:pPr>
              <w:pStyle w:val="NoSpacing"/>
              <w:rPr>
                <w:rFonts w:cstheme="minorHAnsi"/>
                <w:sz w:val="20"/>
                <w:szCs w:val="20"/>
              </w:rPr>
            </w:pPr>
          </w:p>
        </w:tc>
        <w:tc>
          <w:tcPr>
            <w:tcW w:w="0" w:type="auto"/>
          </w:tcPr>
          <w:p w14:paraId="66B7F0A2" w14:textId="77777777" w:rsidR="00877555" w:rsidRPr="008918B2" w:rsidRDefault="00877555" w:rsidP="00D616F1">
            <w:pPr>
              <w:pStyle w:val="NoSpacing"/>
              <w:rPr>
                <w:rFonts w:cstheme="minorHAnsi"/>
                <w:sz w:val="20"/>
                <w:szCs w:val="20"/>
              </w:rPr>
            </w:pPr>
          </w:p>
        </w:tc>
        <w:tc>
          <w:tcPr>
            <w:tcW w:w="0" w:type="auto"/>
          </w:tcPr>
          <w:p w14:paraId="39976C1D" w14:textId="6C660F8D" w:rsidR="00877555" w:rsidRPr="008918B2" w:rsidRDefault="00E65B59" w:rsidP="00D616F1">
            <w:pPr>
              <w:pStyle w:val="NoSpacing"/>
              <w:rPr>
                <w:rFonts w:cstheme="minorHAnsi"/>
                <w:sz w:val="20"/>
                <w:szCs w:val="20"/>
              </w:rPr>
            </w:pPr>
            <w:r w:rsidRPr="008918B2">
              <w:rPr>
                <w:rFonts w:cstheme="minorHAnsi"/>
                <w:sz w:val="20"/>
                <w:szCs w:val="20"/>
              </w:rPr>
              <w:t>1.068</w:t>
            </w:r>
          </w:p>
        </w:tc>
        <w:tc>
          <w:tcPr>
            <w:tcW w:w="0" w:type="auto"/>
          </w:tcPr>
          <w:p w14:paraId="011B78A5" w14:textId="77777777" w:rsidR="00877555" w:rsidRPr="008918B2" w:rsidRDefault="00877555" w:rsidP="00D616F1">
            <w:pPr>
              <w:pStyle w:val="NoSpacing"/>
              <w:rPr>
                <w:rFonts w:cstheme="minorHAnsi"/>
                <w:sz w:val="20"/>
                <w:szCs w:val="20"/>
              </w:rPr>
            </w:pPr>
          </w:p>
        </w:tc>
        <w:tc>
          <w:tcPr>
            <w:tcW w:w="0" w:type="auto"/>
          </w:tcPr>
          <w:p w14:paraId="15EFF8D5" w14:textId="77777777" w:rsidR="00877555" w:rsidRPr="008918B2" w:rsidRDefault="00877555" w:rsidP="00D616F1">
            <w:pPr>
              <w:pStyle w:val="NoSpacing"/>
              <w:rPr>
                <w:rFonts w:cstheme="minorHAnsi"/>
                <w:sz w:val="20"/>
                <w:szCs w:val="20"/>
              </w:rPr>
            </w:pPr>
          </w:p>
        </w:tc>
      </w:tr>
      <w:tr w:rsidR="003C06BA" w:rsidRPr="008918B2" w14:paraId="27663BE0" w14:textId="77777777" w:rsidTr="00AC1748">
        <w:tc>
          <w:tcPr>
            <w:tcW w:w="0" w:type="auto"/>
          </w:tcPr>
          <w:p w14:paraId="06E85AC2" w14:textId="77777777" w:rsidR="00877555" w:rsidRPr="008918B2" w:rsidRDefault="00877555" w:rsidP="00D616F1">
            <w:pPr>
              <w:pStyle w:val="NoSpacing"/>
              <w:rPr>
                <w:rFonts w:cstheme="minorHAnsi"/>
                <w:sz w:val="20"/>
                <w:szCs w:val="20"/>
              </w:rPr>
            </w:pPr>
            <w:r w:rsidRPr="008918B2">
              <w:rPr>
                <w:rFonts w:cstheme="minorHAnsi"/>
                <w:sz w:val="20"/>
                <w:szCs w:val="20"/>
              </w:rPr>
              <w:t>Breusch–Pagan</w:t>
            </w:r>
          </w:p>
        </w:tc>
        <w:tc>
          <w:tcPr>
            <w:tcW w:w="0" w:type="auto"/>
          </w:tcPr>
          <w:p w14:paraId="22004A03" w14:textId="77777777" w:rsidR="00204583" w:rsidRPr="008918B2" w:rsidRDefault="00204583" w:rsidP="00D616F1">
            <w:pPr>
              <w:pStyle w:val="NoSpacing"/>
              <w:rPr>
                <w:rFonts w:cstheme="minorHAnsi"/>
                <w:sz w:val="20"/>
                <w:szCs w:val="20"/>
              </w:rPr>
            </w:pPr>
            <w:r w:rsidRPr="008918B2">
              <w:rPr>
                <w:rFonts w:cstheme="minorHAnsi"/>
                <w:sz w:val="20"/>
                <w:szCs w:val="20"/>
              </w:rPr>
              <w:t>13.528</w:t>
            </w:r>
          </w:p>
          <w:p w14:paraId="4C01F047" w14:textId="3B6D3985" w:rsidR="00877555" w:rsidRPr="008918B2" w:rsidRDefault="00204583" w:rsidP="00D616F1">
            <w:pPr>
              <w:pStyle w:val="NoSpacing"/>
              <w:rPr>
                <w:rFonts w:cstheme="minorHAnsi"/>
                <w:sz w:val="20"/>
                <w:szCs w:val="20"/>
              </w:rPr>
            </w:pPr>
            <w:r w:rsidRPr="008918B2">
              <w:rPr>
                <w:rFonts w:cstheme="minorHAnsi"/>
                <w:sz w:val="20"/>
                <w:szCs w:val="20"/>
              </w:rPr>
              <w:t xml:space="preserve">(p </w:t>
            </w:r>
            <w:r w:rsidR="00E65B59" w:rsidRPr="008918B2">
              <w:rPr>
                <w:rFonts w:cstheme="minorHAnsi"/>
                <w:sz w:val="20"/>
                <w:szCs w:val="20"/>
              </w:rPr>
              <w:t>=</w:t>
            </w:r>
            <w:r w:rsidRPr="008918B2">
              <w:rPr>
                <w:rFonts w:cstheme="minorHAnsi"/>
                <w:sz w:val="20"/>
                <w:szCs w:val="20"/>
              </w:rPr>
              <w:t xml:space="preserve"> .060)</w:t>
            </w:r>
          </w:p>
        </w:tc>
        <w:tc>
          <w:tcPr>
            <w:tcW w:w="0" w:type="auto"/>
          </w:tcPr>
          <w:p w14:paraId="016BBBE9" w14:textId="77777777" w:rsidR="00877555" w:rsidRPr="008918B2" w:rsidRDefault="00877555" w:rsidP="00D616F1">
            <w:pPr>
              <w:pStyle w:val="NoSpacing"/>
              <w:rPr>
                <w:rFonts w:cstheme="minorHAnsi"/>
                <w:sz w:val="20"/>
                <w:szCs w:val="20"/>
              </w:rPr>
            </w:pPr>
          </w:p>
        </w:tc>
        <w:tc>
          <w:tcPr>
            <w:tcW w:w="0" w:type="auto"/>
          </w:tcPr>
          <w:p w14:paraId="1D1488DA" w14:textId="77777777" w:rsidR="00877555" w:rsidRPr="008918B2" w:rsidRDefault="00877555" w:rsidP="00D616F1">
            <w:pPr>
              <w:pStyle w:val="NoSpacing"/>
              <w:rPr>
                <w:rFonts w:cstheme="minorHAnsi"/>
                <w:sz w:val="20"/>
                <w:szCs w:val="20"/>
              </w:rPr>
            </w:pPr>
          </w:p>
        </w:tc>
        <w:tc>
          <w:tcPr>
            <w:tcW w:w="0" w:type="auto"/>
          </w:tcPr>
          <w:p w14:paraId="713EF37C" w14:textId="77777777" w:rsidR="00E65B59" w:rsidRPr="008918B2" w:rsidRDefault="00E65B59" w:rsidP="00D616F1">
            <w:pPr>
              <w:pStyle w:val="NoSpacing"/>
              <w:rPr>
                <w:rFonts w:cstheme="minorHAnsi"/>
                <w:sz w:val="20"/>
                <w:szCs w:val="20"/>
              </w:rPr>
            </w:pPr>
            <w:r w:rsidRPr="008918B2">
              <w:rPr>
                <w:rFonts w:cstheme="minorHAnsi"/>
                <w:sz w:val="20"/>
                <w:szCs w:val="20"/>
              </w:rPr>
              <w:t>14.378</w:t>
            </w:r>
          </w:p>
          <w:p w14:paraId="2E9AB4F3" w14:textId="712E1092" w:rsidR="00877555" w:rsidRPr="008918B2" w:rsidRDefault="00E65B59" w:rsidP="00D616F1">
            <w:pPr>
              <w:pStyle w:val="NoSpacing"/>
              <w:rPr>
                <w:rFonts w:cstheme="minorHAnsi"/>
                <w:sz w:val="20"/>
                <w:szCs w:val="20"/>
              </w:rPr>
            </w:pPr>
            <w:r w:rsidRPr="008918B2">
              <w:rPr>
                <w:rFonts w:cstheme="minorHAnsi"/>
                <w:sz w:val="20"/>
                <w:szCs w:val="20"/>
              </w:rPr>
              <w:t>(p = .072)</w:t>
            </w:r>
          </w:p>
        </w:tc>
        <w:tc>
          <w:tcPr>
            <w:tcW w:w="0" w:type="auto"/>
          </w:tcPr>
          <w:p w14:paraId="001C95C3" w14:textId="77777777" w:rsidR="00877555" w:rsidRPr="008918B2" w:rsidRDefault="00877555" w:rsidP="00D616F1">
            <w:pPr>
              <w:pStyle w:val="NoSpacing"/>
              <w:rPr>
                <w:rFonts w:cstheme="minorHAnsi"/>
                <w:sz w:val="20"/>
                <w:szCs w:val="20"/>
              </w:rPr>
            </w:pPr>
          </w:p>
        </w:tc>
        <w:tc>
          <w:tcPr>
            <w:tcW w:w="0" w:type="auto"/>
          </w:tcPr>
          <w:p w14:paraId="63AA1841" w14:textId="77777777" w:rsidR="00877555" w:rsidRPr="008918B2" w:rsidRDefault="00877555" w:rsidP="00D616F1">
            <w:pPr>
              <w:pStyle w:val="NoSpacing"/>
              <w:rPr>
                <w:rFonts w:cstheme="minorHAnsi"/>
                <w:sz w:val="20"/>
                <w:szCs w:val="20"/>
              </w:rPr>
            </w:pPr>
          </w:p>
        </w:tc>
        <w:tc>
          <w:tcPr>
            <w:tcW w:w="0" w:type="auto"/>
          </w:tcPr>
          <w:p w14:paraId="0F9D5EC3" w14:textId="77777777" w:rsidR="00E65B59" w:rsidRPr="008918B2" w:rsidRDefault="00E65B59" w:rsidP="00D616F1">
            <w:pPr>
              <w:pStyle w:val="NoSpacing"/>
              <w:rPr>
                <w:rFonts w:cstheme="minorHAnsi"/>
                <w:sz w:val="20"/>
                <w:szCs w:val="20"/>
              </w:rPr>
            </w:pPr>
            <w:r w:rsidRPr="008918B2">
              <w:rPr>
                <w:rFonts w:cstheme="minorHAnsi"/>
                <w:sz w:val="20"/>
                <w:szCs w:val="20"/>
              </w:rPr>
              <w:t>15.515</w:t>
            </w:r>
          </w:p>
          <w:p w14:paraId="0AC540E6" w14:textId="25695D5F" w:rsidR="00877555" w:rsidRPr="008918B2" w:rsidRDefault="00E65B59" w:rsidP="00D616F1">
            <w:pPr>
              <w:pStyle w:val="NoSpacing"/>
              <w:rPr>
                <w:rFonts w:cstheme="minorHAnsi"/>
                <w:sz w:val="20"/>
                <w:szCs w:val="20"/>
              </w:rPr>
            </w:pPr>
            <w:r w:rsidRPr="008918B2">
              <w:rPr>
                <w:rFonts w:cstheme="minorHAnsi"/>
                <w:sz w:val="20"/>
                <w:szCs w:val="20"/>
              </w:rPr>
              <w:t>(p = .049)</w:t>
            </w:r>
          </w:p>
        </w:tc>
        <w:tc>
          <w:tcPr>
            <w:tcW w:w="0" w:type="auto"/>
          </w:tcPr>
          <w:p w14:paraId="4C576AF4" w14:textId="77777777" w:rsidR="00877555" w:rsidRPr="008918B2" w:rsidRDefault="00877555" w:rsidP="00D616F1">
            <w:pPr>
              <w:pStyle w:val="NoSpacing"/>
              <w:rPr>
                <w:rFonts w:cstheme="minorHAnsi"/>
                <w:sz w:val="20"/>
                <w:szCs w:val="20"/>
              </w:rPr>
            </w:pPr>
          </w:p>
        </w:tc>
        <w:tc>
          <w:tcPr>
            <w:tcW w:w="0" w:type="auto"/>
          </w:tcPr>
          <w:p w14:paraId="50AF03B5" w14:textId="77777777" w:rsidR="00877555" w:rsidRPr="008918B2" w:rsidRDefault="00877555" w:rsidP="00D616F1">
            <w:pPr>
              <w:pStyle w:val="NoSpacing"/>
              <w:rPr>
                <w:rFonts w:cstheme="minorHAnsi"/>
                <w:sz w:val="20"/>
                <w:szCs w:val="20"/>
              </w:rPr>
            </w:pPr>
          </w:p>
        </w:tc>
        <w:tc>
          <w:tcPr>
            <w:tcW w:w="0" w:type="auto"/>
          </w:tcPr>
          <w:p w14:paraId="173E21FE" w14:textId="77777777" w:rsidR="00E65B59" w:rsidRPr="008918B2" w:rsidRDefault="00E65B59" w:rsidP="00D616F1">
            <w:pPr>
              <w:pStyle w:val="NoSpacing"/>
              <w:rPr>
                <w:rFonts w:cstheme="minorHAnsi"/>
                <w:sz w:val="20"/>
                <w:szCs w:val="20"/>
              </w:rPr>
            </w:pPr>
            <w:r w:rsidRPr="008918B2">
              <w:rPr>
                <w:rFonts w:cstheme="minorHAnsi"/>
                <w:sz w:val="20"/>
                <w:szCs w:val="20"/>
              </w:rPr>
              <w:t>13.683</w:t>
            </w:r>
          </w:p>
          <w:p w14:paraId="33CC428E" w14:textId="45AAC95E" w:rsidR="00877555" w:rsidRPr="008918B2" w:rsidRDefault="00E65B59" w:rsidP="00D616F1">
            <w:pPr>
              <w:pStyle w:val="NoSpacing"/>
              <w:rPr>
                <w:rFonts w:cstheme="minorHAnsi"/>
                <w:sz w:val="20"/>
                <w:szCs w:val="20"/>
              </w:rPr>
            </w:pPr>
            <w:r w:rsidRPr="008918B2">
              <w:rPr>
                <w:rFonts w:cstheme="minorHAnsi"/>
                <w:sz w:val="20"/>
                <w:szCs w:val="20"/>
              </w:rPr>
              <w:t>(p = .090)</w:t>
            </w:r>
          </w:p>
        </w:tc>
        <w:tc>
          <w:tcPr>
            <w:tcW w:w="0" w:type="auto"/>
          </w:tcPr>
          <w:p w14:paraId="3E2210DC" w14:textId="77777777" w:rsidR="00877555" w:rsidRPr="008918B2" w:rsidRDefault="00877555" w:rsidP="00D616F1">
            <w:pPr>
              <w:pStyle w:val="NoSpacing"/>
              <w:rPr>
                <w:rFonts w:cstheme="minorHAnsi"/>
                <w:sz w:val="20"/>
                <w:szCs w:val="20"/>
              </w:rPr>
            </w:pPr>
          </w:p>
        </w:tc>
        <w:tc>
          <w:tcPr>
            <w:tcW w:w="0" w:type="auto"/>
          </w:tcPr>
          <w:p w14:paraId="3BEDA881" w14:textId="77777777" w:rsidR="00877555" w:rsidRPr="008918B2" w:rsidRDefault="00877555" w:rsidP="00D616F1">
            <w:pPr>
              <w:pStyle w:val="NoSpacing"/>
              <w:rPr>
                <w:rFonts w:cstheme="minorHAnsi"/>
                <w:sz w:val="20"/>
                <w:szCs w:val="20"/>
              </w:rPr>
            </w:pPr>
          </w:p>
        </w:tc>
      </w:tr>
    </w:tbl>
    <w:p w14:paraId="613CD6B1" w14:textId="77777777" w:rsidR="003E6200" w:rsidRPr="003E6200" w:rsidRDefault="003E6200" w:rsidP="003E6200">
      <w:r w:rsidRPr="003E6200">
        <w:rPr>
          <w:i/>
          <w:iCs/>
        </w:rPr>
        <w:t>Note</w:t>
      </w:r>
      <w:r w:rsidRPr="003E6200">
        <w:t>. OLS ¼ ordinary least squares.</w:t>
      </w:r>
    </w:p>
    <w:p w14:paraId="4F57E117" w14:textId="3F0FFB9C" w:rsidR="003C06BA" w:rsidRDefault="003C06BA" w:rsidP="003C06BA">
      <w:r w:rsidRPr="00923FF9">
        <w:t>Table 4 shows the results of model estimation for aggravated assaults. Model 5 shows that the direct effect of off-</w:t>
      </w:r>
      <w:proofErr w:type="gramStart"/>
      <w:r w:rsidRPr="00923FF9">
        <w:t>premise</w:t>
      </w:r>
      <w:proofErr w:type="gramEnd"/>
      <w:r w:rsidRPr="00923FF9">
        <w:t xml:space="preserve"> alcohol outlet density on aggravated assault density is positive and significant </w:t>
      </w:r>
      <m:oMath>
        <m:r>
          <w:rPr>
            <w:rFonts w:ascii="Cambria Math" w:hAnsi="Cambria Math"/>
          </w:rPr>
          <m:t>(</m:t>
        </m:r>
        <m:r>
          <w:rPr>
            <w:rFonts w:ascii="Cambria Math" w:hAnsi="Cambria Math"/>
          </w:rPr>
          <m:t>p</m:t>
        </m:r>
        <m:r>
          <w:rPr>
            <w:rFonts w:ascii="Cambria Math" w:hAnsi="Cambria Math"/>
          </w:rPr>
          <m:t> = .004)</m:t>
        </m:r>
      </m:oMath>
      <w:r w:rsidRPr="00923FF9">
        <w:t xml:space="preserve">. Additionally, the direct effect of social disorganization on aggravated assaults is nonsignificant </w:t>
      </w:r>
      <m:oMath>
        <m:r>
          <w:rPr>
            <w:rFonts w:ascii="Cambria Math" w:hAnsi="Cambria Math"/>
          </w:rPr>
          <m:t>(</m:t>
        </m:r>
        <m:r>
          <w:rPr>
            <w:rFonts w:ascii="Cambria Math" w:hAnsi="Cambria Math"/>
          </w:rPr>
          <m:t>p</m:t>
        </m:r>
        <m:r>
          <w:rPr>
            <w:rFonts w:ascii="Cambria Math" w:hAnsi="Cambria Math"/>
          </w:rPr>
          <m:t> = .208)</m:t>
        </m:r>
      </m:oMath>
      <w:r w:rsidRPr="00923FF9">
        <w:t>.</w:t>
      </w:r>
    </w:p>
    <w:p w14:paraId="2DE518A1" w14:textId="2F89FE4F" w:rsidR="00923FF9" w:rsidRPr="00923FF9" w:rsidRDefault="00923FF9" w:rsidP="00923FF9">
      <w:r w:rsidRPr="00923FF9">
        <w:t xml:space="preserve">The effects of the density of alcohol-serving restaurants on aggravated assaults are negative and statistically significant </w:t>
      </w:r>
      <m:oMath>
        <m:r>
          <w:rPr>
            <w:rFonts w:ascii="Cambria Math" w:hAnsi="Cambria Math"/>
          </w:rPr>
          <m:t>(</m:t>
        </m:r>
        <m:r>
          <w:rPr>
            <w:rFonts w:ascii="Cambria Math" w:hAnsi="Cambria Math"/>
          </w:rPr>
          <m:t>p</m:t>
        </m:r>
        <m:r>
          <w:rPr>
            <w:rFonts w:ascii="Cambria Math" w:hAnsi="Cambria Math"/>
          </w:rPr>
          <m:t> = .054)</m:t>
        </m:r>
      </m:oMath>
      <w:r w:rsidRPr="00923FF9">
        <w:t xml:space="preserve">, and the effects of bars on aggravated assaults are positive and statistically significant </w:t>
      </w:r>
      <m:oMath>
        <m:r>
          <w:rPr>
            <w:rFonts w:ascii="Cambria Math" w:hAnsi="Cambria Math"/>
          </w:rPr>
          <m:t>(</m:t>
        </m:r>
        <m:r>
          <w:rPr>
            <w:rFonts w:ascii="Cambria Math" w:hAnsi="Cambria Math"/>
          </w:rPr>
          <m:t>p</m:t>
        </m:r>
        <m:r>
          <w:rPr>
            <w:rFonts w:ascii="Cambria Math" w:hAnsi="Cambria Math"/>
          </w:rPr>
          <m:t> = .059)</m:t>
        </m:r>
      </m:oMath>
      <w:r w:rsidRPr="00923FF9">
        <w:t>. Models 6–8 show that none of the interaction terms of social disorganization with each outlet type are statistically significant. The direct effect of off-</w:t>
      </w:r>
      <w:proofErr w:type="gramStart"/>
      <w:r w:rsidRPr="00923FF9">
        <w:t>premise</w:t>
      </w:r>
      <w:proofErr w:type="gramEnd"/>
      <w:r w:rsidRPr="00923FF9">
        <w:t xml:space="preserve"> outlet density on aggravated assault density remains significant (</w:t>
      </w:r>
      <m:oMath>
        <m:r>
          <w:rPr>
            <w:rFonts w:ascii="Cambria Math" w:hAnsi="Cambria Math"/>
          </w:rPr>
          <m:t>p</m:t>
        </m:r>
        <m:r>
          <w:rPr>
            <w:rFonts w:ascii="Cambria Math" w:hAnsi="Cambria Math"/>
          </w:rPr>
          <m:t> = .007</m:t>
        </m:r>
      </m:oMath>
      <w:r w:rsidRPr="00923FF9">
        <w:t>, </w:t>
      </w:r>
      <m:oMath>
        <m:r>
          <w:rPr>
            <w:rFonts w:ascii="Cambria Math" w:hAnsi="Cambria Math"/>
          </w:rPr>
          <m:t>p</m:t>
        </m:r>
        <m:r>
          <w:rPr>
            <w:rFonts w:ascii="Cambria Math" w:hAnsi="Cambria Math"/>
          </w:rPr>
          <m:t> = .005</m:t>
        </m:r>
      </m:oMath>
      <w:r w:rsidRPr="00923FF9">
        <w:t>, and </w:t>
      </w:r>
      <m:oMath>
        <m:r>
          <w:rPr>
            <w:rFonts w:ascii="Cambria Math" w:hAnsi="Cambria Math"/>
          </w:rPr>
          <m:t>p</m:t>
        </m:r>
        <m:r>
          <w:rPr>
            <w:rFonts w:ascii="Cambria Math" w:hAnsi="Cambria Math"/>
          </w:rPr>
          <m:t> = .006</m:t>
        </m:r>
      </m:oMath>
      <w:r w:rsidRPr="00923FF9">
        <w:t>), when we control for the interaction effect of social organization and different types of alcohol outlets on aggravated assault density. Additionally, the direct effect of restaurants on aggravated assault density remains negative and borderline significant (</w:t>
      </w:r>
      <m:oMath>
        <m:r>
          <w:rPr>
            <w:rFonts w:ascii="Cambria Math" w:hAnsi="Cambria Math"/>
          </w:rPr>
          <m:t>p</m:t>
        </m:r>
        <m:r>
          <w:rPr>
            <w:rFonts w:ascii="Cambria Math" w:hAnsi="Cambria Math"/>
          </w:rPr>
          <m:t> = .057</m:t>
        </m:r>
      </m:oMath>
      <w:r w:rsidRPr="00923FF9">
        <w:t xml:space="preserve"> and </w:t>
      </w:r>
      <m:oMath>
        <m:r>
          <w:rPr>
            <w:rFonts w:ascii="Cambria Math" w:hAnsi="Cambria Math"/>
          </w:rPr>
          <m:t>p</m:t>
        </m:r>
        <m:r>
          <w:rPr>
            <w:rFonts w:ascii="Cambria Math" w:hAnsi="Cambria Math"/>
          </w:rPr>
          <m:t> = .055</m:t>
        </m:r>
      </m:oMath>
      <w:r w:rsidRPr="00923FF9">
        <w:t>), when we control for the interaction effect of off-</w:t>
      </w:r>
      <w:proofErr w:type="gramStart"/>
      <w:r w:rsidRPr="00923FF9">
        <w:t>premise</w:t>
      </w:r>
      <w:proofErr w:type="gramEnd"/>
      <w:r w:rsidRPr="00923FF9">
        <w:t xml:space="preserve"> outlets and social disorganization, and the interaction effect of bars and social disorganization. The effect of restaurants on aggravated assault density becomes nonsignificant (</w:t>
      </w:r>
      <m:oMath>
        <m:r>
          <w:rPr>
            <w:rFonts w:ascii="Cambria Math" w:hAnsi="Cambria Math"/>
          </w:rPr>
          <m:t>p</m:t>
        </m:r>
        <m:r>
          <w:rPr>
            <w:rFonts w:ascii="Cambria Math" w:hAnsi="Cambria Math"/>
          </w:rPr>
          <m:t> = .108</m:t>
        </m:r>
      </m:oMath>
      <w:r w:rsidRPr="00923FF9">
        <w:t xml:space="preserve">) when we control for the interaction effect of restaurants and social disorganization on the aggravated assault density. The results are similar for the effect of bars on aggravated assault density. Specifically, the effect of bars on aggravated assault density is nonsignificant </w:t>
      </w:r>
      <m:oMath>
        <m:r>
          <w:rPr>
            <w:rFonts w:ascii="Cambria Math" w:hAnsi="Cambria Math"/>
          </w:rPr>
          <m:t>(</m:t>
        </m:r>
        <m:r>
          <w:rPr>
            <w:rFonts w:ascii="Cambria Math" w:hAnsi="Cambria Math"/>
          </w:rPr>
          <m:t>p</m:t>
        </m:r>
        <m:r>
          <w:rPr>
            <w:rFonts w:ascii="Cambria Math" w:hAnsi="Cambria Math"/>
          </w:rPr>
          <m:t> = .169)</m:t>
        </m:r>
      </m:oMath>
      <w:r w:rsidRPr="00923FF9">
        <w:t xml:space="preserve"> when we control for the interaction effect of bars and social disorganization on aggravated assault density but remains borderline significant when we control for the other two interaction terms (off-</w:t>
      </w:r>
      <w:proofErr w:type="gramStart"/>
      <w:r w:rsidRPr="00923FF9">
        <w:t>premise</w:t>
      </w:r>
      <w:proofErr w:type="gramEnd"/>
      <w:r w:rsidRPr="00923FF9">
        <w:t xml:space="preserve"> and social disorganization and restaurants and social disorganization), with </w:t>
      </w:r>
      <w:r w:rsidRPr="00923FF9">
        <w:rPr>
          <w:i/>
          <w:iCs/>
        </w:rPr>
        <w:t>p</w:t>
      </w:r>
      <w:r w:rsidRPr="00923FF9">
        <w:t> values of .073 and .052, respectively. The </w:t>
      </w:r>
      <w:r w:rsidRPr="00923FF9">
        <w:rPr>
          <w:i/>
          <w:iCs/>
        </w:rPr>
        <w:t>R</w:t>
      </w:r>
      <w:r w:rsidRPr="00923FF9">
        <w:rPr>
          <w:vertAlign w:val="superscript"/>
        </w:rPr>
        <w:t>2</w:t>
      </w:r>
      <w:r w:rsidRPr="00923FF9">
        <w:t> values show that Models 5–8 explain approximately 53% of the variance in aggravated assault density by alcohol outlets and the control variables for Bloomington block groups. Additionally, we tested for heteroscedasticity in error terms, and Breusch–Pagan test reported in the models described above suggests that heteroscedasticity is not a serious problem for the specified models, except for Model 7. We removed the variable for the aggravated assault density for prior levels (2004/2005), and observed that the results of the models remained stable (i.e., off-</w:t>
      </w:r>
      <w:proofErr w:type="gramStart"/>
      <w:r w:rsidRPr="00923FF9">
        <w:t>premise</w:t>
      </w:r>
      <w:proofErr w:type="gramEnd"/>
      <w:r w:rsidRPr="00923FF9">
        <w:t xml:space="preserve"> outlets remained significant), while heteroscedasticity was no longer an issue. We concluded that since the dependent variable is highly correlated with the control variable for prior levels of aggravated assault density (2004/2005), the heteroscedasticity in the final models is not a threat to the stability of these models, and thus we specified the Model 7 as it is reported in the Table 4 below.</w:t>
      </w:r>
    </w:p>
    <w:p w14:paraId="48EEAFC8" w14:textId="77777777" w:rsidR="00923FF9" w:rsidRPr="00923FF9" w:rsidRDefault="00923FF9" w:rsidP="00923FF9">
      <w:r w:rsidRPr="00923FF9">
        <w:lastRenderedPageBreak/>
        <w:t>Taken together, these findings provide evidence in partial support of the first hypothesis. Model 1 indicates that the density of restaurants is positively and significantly associated with the simple assault density, and that the density of off-</w:t>
      </w:r>
      <w:proofErr w:type="gramStart"/>
      <w:r w:rsidRPr="00923FF9">
        <w:t>premise</w:t>
      </w:r>
      <w:proofErr w:type="gramEnd"/>
      <w:r w:rsidRPr="00923FF9">
        <w:t xml:space="preserve"> outlets and the density of bars are not statistically associated with the simple assault density. In addition, Model 5 suggests that the direct effect of off-</w:t>
      </w:r>
      <w:proofErr w:type="gramStart"/>
      <w:r w:rsidRPr="00923FF9">
        <w:t>premise</w:t>
      </w:r>
      <w:proofErr w:type="gramEnd"/>
      <w:r w:rsidRPr="00923FF9">
        <w:t xml:space="preserve"> alcohol outlet density on aggravated assault density is positive and significant, and that the effects of the density of alcohol-serving restaurants on aggravated assaults are negative and statistically significant and the effects of bars on aggravated assaults are positive and statistically significant.</w:t>
      </w:r>
    </w:p>
    <w:p w14:paraId="07DA5697" w14:textId="77777777" w:rsidR="00923FF9" w:rsidRPr="00923FF9" w:rsidRDefault="00923FF9" w:rsidP="00923FF9">
      <w:r w:rsidRPr="00923FF9">
        <w:t>In terms of the second hypothesis that there exists a positive association between social disorganization and assault density, Models 1 and 5 suggest no evidence of such associations. In fact, both models show that social disorganization has no statistically significant association with either simple or aggravated assault density. Finally, Models 2–4 and 6–8 show no support of the last hypothesis and suggest that social disorganization does not condition the effects of alcohol outlet density on either simple or aggravated assault density.</w:t>
      </w:r>
    </w:p>
    <w:p w14:paraId="5E38848B" w14:textId="77777777" w:rsidR="00923FF9" w:rsidRPr="00923FF9" w:rsidRDefault="00923FF9" w:rsidP="00DD7390">
      <w:pPr>
        <w:pStyle w:val="Heading2"/>
      </w:pPr>
      <w:r w:rsidRPr="00923FF9">
        <w:t>Alcohol Outlet Density, Land Use, and Assault</w:t>
      </w:r>
    </w:p>
    <w:p w14:paraId="3941B059" w14:textId="77777777" w:rsidR="00923FF9" w:rsidRPr="00923FF9" w:rsidRDefault="00923FF9" w:rsidP="00923FF9">
      <w:r w:rsidRPr="00923FF9">
        <w:t>While our results from the previous section found no moderating effect of social disorganization on the relationship between alcohol outlets and assaults, recent research has also shown that in large cities land use can moderate the association between alcohol outlet density and violence. In this section, we explore the possibility of this association in a large college town, and we do so by presenting results for total outlet density only, instead of each type of alcohol outlet, as looking at the latter would provide 42 interaction term models (3 outlet types, 7 land use types, 2 assault types).</w:t>
      </w:r>
    </w:p>
    <w:p w14:paraId="281716BB" w14:textId="5AC0FA55" w:rsidR="00923FF9" w:rsidRDefault="00923FF9" w:rsidP="00923FF9">
      <w:r w:rsidRPr="00923FF9">
        <w:t xml:space="preserve">Table 5 displays the results of model estimation of the direct effects of alcohol outlet density and land use on simple and aggravated assault density. Model 1 shows that there is a positive and significant direct effect of alcohol outlet density on simple assault density </w:t>
      </w:r>
      <m:oMath>
        <m:r>
          <w:rPr>
            <w:rFonts w:ascii="Cambria Math" w:hAnsi="Cambria Math"/>
          </w:rPr>
          <m:t>(</m:t>
        </m:r>
        <m:r>
          <w:rPr>
            <w:rFonts w:ascii="Cambria Math" w:hAnsi="Cambria Math"/>
          </w:rPr>
          <m:t>p</m:t>
        </m:r>
        <m:r>
          <w:rPr>
            <w:rFonts w:ascii="Cambria Math" w:hAnsi="Cambria Math"/>
          </w:rPr>
          <m:t> = .015)</m:t>
        </m:r>
      </m:oMath>
      <w:r w:rsidRPr="00923FF9">
        <w:t xml:space="preserve">. None of the seven land use variables have a significant direct effect on simple assault density. In terms of aggravated assault density, Model 2 suggests that there is a positive and significant direct effect of alcohol outlet density on aggravated assault density </w:t>
      </w:r>
      <m:oMath>
        <m:r>
          <w:rPr>
            <w:rFonts w:ascii="Cambria Math" w:hAnsi="Cambria Math"/>
          </w:rPr>
          <m:t>(</m:t>
        </m:r>
        <m:r>
          <w:rPr>
            <w:rFonts w:ascii="Cambria Math" w:hAnsi="Cambria Math"/>
          </w:rPr>
          <m:t>p</m:t>
        </m:r>
        <m:r>
          <w:rPr>
            <w:rFonts w:ascii="Cambria Math" w:hAnsi="Cambria Math"/>
          </w:rPr>
          <m:t> = .013)</m:t>
        </m:r>
      </m:oMath>
      <w:r w:rsidRPr="00923FF9">
        <w:t xml:space="preserve">. Additionally, Model 2 also suggests that there is a positive and significant association between mobile housing land use and aggravated assault density </w:t>
      </w:r>
      <m:oMath>
        <m:r>
          <w:rPr>
            <w:rFonts w:ascii="Cambria Math" w:hAnsi="Cambria Math"/>
          </w:rPr>
          <m:t>(</m:t>
        </m:r>
        <m:r>
          <w:rPr>
            <w:rFonts w:ascii="Cambria Math" w:hAnsi="Cambria Math"/>
          </w:rPr>
          <m:t>p</m:t>
        </m:r>
        <m:r>
          <w:rPr>
            <w:rFonts w:ascii="Cambria Math" w:hAnsi="Cambria Math"/>
          </w:rPr>
          <m:t> = .080)</m:t>
        </m:r>
      </m:oMath>
      <w:r w:rsidRPr="00923FF9">
        <w:t xml:space="preserve">, and between residential high-density land use and aggravated assault density </w:t>
      </w:r>
      <m:oMath>
        <m:r>
          <w:rPr>
            <w:rFonts w:ascii="Cambria Math" w:hAnsi="Cambria Math"/>
          </w:rPr>
          <m:t>(</m:t>
        </m:r>
        <m:r>
          <w:rPr>
            <w:rFonts w:ascii="Cambria Math" w:hAnsi="Cambria Math"/>
          </w:rPr>
          <m:t>p</m:t>
        </m:r>
        <m:r>
          <w:rPr>
            <w:rFonts w:ascii="Cambria Math" w:hAnsi="Cambria Math"/>
          </w:rPr>
          <m:t> = .025)</m:t>
        </m:r>
      </m:oMath>
      <w:r w:rsidRPr="00923FF9">
        <w:t xml:space="preserve">. A borderline significant association between commercial general land use and aggravated assault density also exists </w:t>
      </w:r>
      <m:oMath>
        <m:r>
          <w:rPr>
            <w:rFonts w:ascii="Cambria Math" w:hAnsi="Cambria Math"/>
          </w:rPr>
          <m:t>(</m:t>
        </m:r>
        <m:r>
          <w:rPr>
            <w:rFonts w:ascii="Cambria Math" w:hAnsi="Cambria Math"/>
          </w:rPr>
          <m:t>p</m:t>
        </m:r>
        <m:r>
          <w:rPr>
            <w:rFonts w:ascii="Cambria Math" w:hAnsi="Cambria Math"/>
          </w:rPr>
          <m:t> = .111)</m:t>
        </m:r>
      </m:oMath>
      <w:r w:rsidRPr="00923FF9">
        <w:t>. The remaining four land use variables (i.e., commercial arterial, residential multifamily, and residential single family) were statistically nonsignificant for the aggravated assault density model.</w:t>
      </w:r>
    </w:p>
    <w:p w14:paraId="3BBDC831" w14:textId="6AA9FC39" w:rsidR="00AB4C8A" w:rsidRPr="00AB4C8A" w:rsidRDefault="00923FF9" w:rsidP="00626E6C">
      <w:pPr>
        <w:spacing w:after="0"/>
      </w:pPr>
      <w:r w:rsidRPr="00923FF9">
        <w:rPr>
          <w:b/>
          <w:bCs/>
        </w:rPr>
        <w:t>Table 5.</w:t>
      </w:r>
      <w:r w:rsidRPr="00923FF9">
        <w:t xml:space="preserve"> Simple and Aggravated Assault Density Regressed on Alcohol Outlet Density, Land Use, and Control Variables for Bloomington Block Groups </w:t>
      </w:r>
      <m:oMath>
        <m:r>
          <w:rPr>
            <w:rFonts w:ascii="Cambria Math" w:hAnsi="Cambria Math"/>
          </w:rPr>
          <m:t>(</m:t>
        </m:r>
        <m:r>
          <w:rPr>
            <w:rFonts w:ascii="Cambria Math" w:hAnsi="Cambria Math"/>
          </w:rPr>
          <m:t>n</m:t>
        </m:r>
        <m:r>
          <w:rPr>
            <w:rFonts w:ascii="Cambria Math" w:hAnsi="Cambria Math"/>
          </w:rPr>
          <m:t> = 65)</m:t>
        </m:r>
      </m:oMath>
      <w:r w:rsidRPr="00923FF9">
        <w:t>.</w:t>
      </w:r>
    </w:p>
    <w:tbl>
      <w:tblPr>
        <w:tblStyle w:val="TableGrid"/>
        <w:tblW w:w="0" w:type="auto"/>
        <w:tblLook w:val="0020" w:firstRow="1" w:lastRow="0" w:firstColumn="0" w:lastColumn="0" w:noHBand="0" w:noVBand="0"/>
      </w:tblPr>
      <w:tblGrid>
        <w:gridCol w:w="2932"/>
        <w:gridCol w:w="2050"/>
        <w:gridCol w:w="672"/>
        <w:gridCol w:w="571"/>
        <w:gridCol w:w="2429"/>
        <w:gridCol w:w="672"/>
        <w:gridCol w:w="571"/>
      </w:tblGrid>
      <w:tr w:rsidR="001749AD" w:rsidRPr="003E7CAC" w14:paraId="76513628" w14:textId="77777777" w:rsidTr="00704AB6">
        <w:trPr>
          <w:trHeight w:val="362"/>
        </w:trPr>
        <w:tc>
          <w:tcPr>
            <w:tcW w:w="0" w:type="auto"/>
          </w:tcPr>
          <w:p w14:paraId="7AB5E434" w14:textId="77777777" w:rsidR="001749AD" w:rsidRPr="003E7CAC" w:rsidRDefault="001749AD" w:rsidP="00AB4C8A">
            <w:pPr>
              <w:pStyle w:val="NoSpacing"/>
              <w:rPr>
                <w:rFonts w:cstheme="minorHAnsi"/>
                <w:sz w:val="20"/>
                <w:szCs w:val="20"/>
              </w:rPr>
            </w:pPr>
          </w:p>
        </w:tc>
        <w:tc>
          <w:tcPr>
            <w:tcW w:w="0" w:type="auto"/>
          </w:tcPr>
          <w:p w14:paraId="29CF7A59" w14:textId="77777777" w:rsidR="001749AD" w:rsidRPr="003E7CAC" w:rsidRDefault="001749AD" w:rsidP="002D01EF">
            <w:pPr>
              <w:pStyle w:val="NoSpacing"/>
              <w:rPr>
                <w:rFonts w:cstheme="minorHAnsi"/>
                <w:sz w:val="20"/>
                <w:szCs w:val="20"/>
              </w:rPr>
            </w:pPr>
            <w:r w:rsidRPr="003E7CAC">
              <w:rPr>
                <w:rFonts w:cstheme="minorHAnsi"/>
                <w:sz w:val="20"/>
                <w:szCs w:val="20"/>
              </w:rPr>
              <w:t>Simple Assault Density</w:t>
            </w:r>
          </w:p>
          <w:p w14:paraId="2F008804" w14:textId="04A853DA" w:rsidR="001749AD" w:rsidRPr="003E7CAC" w:rsidRDefault="001749AD" w:rsidP="00AB4C8A">
            <w:pPr>
              <w:pStyle w:val="NoSpacing"/>
              <w:rPr>
                <w:rFonts w:cstheme="minorHAnsi"/>
                <w:sz w:val="20"/>
                <w:szCs w:val="20"/>
              </w:rPr>
            </w:pPr>
            <w:r w:rsidRPr="003E7CAC">
              <w:rPr>
                <w:rFonts w:cstheme="minorHAnsi"/>
                <w:sz w:val="20"/>
                <w:szCs w:val="20"/>
              </w:rPr>
              <w:t>Model 1</w:t>
            </w:r>
          </w:p>
        </w:tc>
        <w:tc>
          <w:tcPr>
            <w:tcW w:w="0" w:type="auto"/>
          </w:tcPr>
          <w:p w14:paraId="426ED54C" w14:textId="5343A087" w:rsidR="001749AD" w:rsidRPr="003E7CAC" w:rsidRDefault="001749AD" w:rsidP="00AB4C8A">
            <w:pPr>
              <w:pStyle w:val="NoSpacing"/>
              <w:rPr>
                <w:rFonts w:cstheme="minorHAnsi"/>
                <w:i/>
                <w:iCs/>
                <w:sz w:val="20"/>
                <w:szCs w:val="20"/>
              </w:rPr>
            </w:pPr>
          </w:p>
        </w:tc>
        <w:tc>
          <w:tcPr>
            <w:tcW w:w="0" w:type="auto"/>
          </w:tcPr>
          <w:p w14:paraId="30F9A844" w14:textId="5D0CE896" w:rsidR="001749AD" w:rsidRPr="003E7CAC" w:rsidRDefault="001749AD" w:rsidP="00AB4C8A">
            <w:pPr>
              <w:pStyle w:val="NoSpacing"/>
              <w:rPr>
                <w:rFonts w:cstheme="minorHAnsi"/>
                <w:i/>
                <w:iCs/>
                <w:w w:val="99"/>
                <w:sz w:val="20"/>
                <w:szCs w:val="20"/>
              </w:rPr>
            </w:pPr>
          </w:p>
        </w:tc>
        <w:tc>
          <w:tcPr>
            <w:tcW w:w="0" w:type="auto"/>
          </w:tcPr>
          <w:p w14:paraId="40B2FB1F" w14:textId="77777777" w:rsidR="001749AD" w:rsidRPr="003E7CAC" w:rsidRDefault="001749AD" w:rsidP="002D01EF">
            <w:pPr>
              <w:pStyle w:val="NoSpacing"/>
              <w:rPr>
                <w:rFonts w:cstheme="minorHAnsi"/>
                <w:sz w:val="20"/>
                <w:szCs w:val="20"/>
              </w:rPr>
            </w:pPr>
            <w:r w:rsidRPr="003E7CAC">
              <w:rPr>
                <w:rFonts w:cstheme="minorHAnsi"/>
                <w:sz w:val="20"/>
                <w:szCs w:val="20"/>
              </w:rPr>
              <w:t>Aggravated Assault Density</w:t>
            </w:r>
          </w:p>
          <w:p w14:paraId="78A20BD7" w14:textId="2F316C81" w:rsidR="001749AD" w:rsidRPr="003E7CAC" w:rsidRDefault="001749AD" w:rsidP="00AB4C8A">
            <w:pPr>
              <w:pStyle w:val="NoSpacing"/>
              <w:rPr>
                <w:rFonts w:cstheme="minorHAnsi"/>
                <w:sz w:val="20"/>
                <w:szCs w:val="20"/>
              </w:rPr>
            </w:pPr>
            <w:r w:rsidRPr="003E7CAC">
              <w:rPr>
                <w:rFonts w:cstheme="minorHAnsi"/>
                <w:sz w:val="20"/>
                <w:szCs w:val="20"/>
              </w:rPr>
              <w:t>Model 2</w:t>
            </w:r>
          </w:p>
        </w:tc>
        <w:tc>
          <w:tcPr>
            <w:tcW w:w="0" w:type="auto"/>
          </w:tcPr>
          <w:p w14:paraId="7BAD3668" w14:textId="11F19E8E" w:rsidR="001749AD" w:rsidRPr="003E7CAC" w:rsidRDefault="001749AD" w:rsidP="00AB4C8A">
            <w:pPr>
              <w:pStyle w:val="NoSpacing"/>
              <w:rPr>
                <w:rFonts w:cstheme="minorHAnsi"/>
                <w:i/>
                <w:iCs/>
                <w:sz w:val="20"/>
                <w:szCs w:val="20"/>
              </w:rPr>
            </w:pPr>
          </w:p>
        </w:tc>
        <w:tc>
          <w:tcPr>
            <w:tcW w:w="0" w:type="auto"/>
          </w:tcPr>
          <w:p w14:paraId="3F0D2500" w14:textId="48A58BD1" w:rsidR="001749AD" w:rsidRPr="003E7CAC" w:rsidRDefault="001749AD" w:rsidP="00AB4C8A">
            <w:pPr>
              <w:pStyle w:val="NoSpacing"/>
              <w:rPr>
                <w:rFonts w:cstheme="minorHAnsi"/>
                <w:i/>
                <w:iCs/>
                <w:w w:val="99"/>
                <w:sz w:val="20"/>
                <w:szCs w:val="20"/>
              </w:rPr>
            </w:pPr>
          </w:p>
        </w:tc>
      </w:tr>
      <w:tr w:rsidR="001749AD" w:rsidRPr="003E7CAC" w14:paraId="5CE36E4A" w14:textId="77777777" w:rsidTr="00704AB6">
        <w:trPr>
          <w:trHeight w:val="303"/>
        </w:trPr>
        <w:tc>
          <w:tcPr>
            <w:tcW w:w="0" w:type="auto"/>
          </w:tcPr>
          <w:p w14:paraId="24978F79" w14:textId="70F41765" w:rsidR="001749AD" w:rsidRPr="003E7CAC" w:rsidRDefault="001749AD" w:rsidP="00AB4C8A">
            <w:pPr>
              <w:pStyle w:val="NoSpacing"/>
              <w:rPr>
                <w:rFonts w:cstheme="minorHAnsi"/>
                <w:i/>
                <w:iCs/>
                <w:sz w:val="20"/>
                <w:szCs w:val="20"/>
              </w:rPr>
            </w:pPr>
          </w:p>
        </w:tc>
        <w:tc>
          <w:tcPr>
            <w:tcW w:w="0" w:type="auto"/>
          </w:tcPr>
          <w:p w14:paraId="6567E102" w14:textId="625BA0BA" w:rsidR="001749AD" w:rsidRPr="003E7CAC" w:rsidRDefault="001749AD" w:rsidP="00AB4C8A">
            <w:pPr>
              <w:pStyle w:val="NoSpacing"/>
              <w:rPr>
                <w:rFonts w:cstheme="minorHAnsi"/>
                <w:i/>
                <w:iCs/>
                <w:w w:val="95"/>
                <w:sz w:val="20"/>
                <w:szCs w:val="20"/>
              </w:rPr>
            </w:pPr>
            <w:r w:rsidRPr="003E7CAC">
              <w:rPr>
                <w:rFonts w:cstheme="minorHAnsi"/>
                <w:i/>
                <w:iCs/>
                <w:w w:val="95"/>
                <w:sz w:val="20"/>
                <w:szCs w:val="20"/>
              </w:rPr>
              <w:t>b</w:t>
            </w:r>
          </w:p>
        </w:tc>
        <w:tc>
          <w:tcPr>
            <w:tcW w:w="0" w:type="auto"/>
          </w:tcPr>
          <w:p w14:paraId="5D2FF193" w14:textId="6B50F6CB" w:rsidR="001749AD" w:rsidRPr="003E7CAC" w:rsidRDefault="001749AD" w:rsidP="00AB4C8A">
            <w:pPr>
              <w:pStyle w:val="NoSpacing"/>
              <w:rPr>
                <w:rFonts w:cstheme="minorHAnsi"/>
                <w:i/>
                <w:iCs/>
                <w:sz w:val="20"/>
                <w:szCs w:val="20"/>
              </w:rPr>
            </w:pPr>
            <w:r w:rsidRPr="003E7CAC">
              <w:rPr>
                <w:rFonts w:cstheme="minorHAnsi"/>
                <w:i/>
                <w:iCs/>
                <w:sz w:val="20"/>
                <w:szCs w:val="20"/>
              </w:rPr>
              <w:t>SE</w:t>
            </w:r>
          </w:p>
        </w:tc>
        <w:tc>
          <w:tcPr>
            <w:tcW w:w="0" w:type="auto"/>
          </w:tcPr>
          <w:p w14:paraId="13538B2B" w14:textId="2850BDB1" w:rsidR="001749AD" w:rsidRPr="003E7CAC" w:rsidRDefault="001749AD" w:rsidP="00AB4C8A">
            <w:pPr>
              <w:pStyle w:val="NoSpacing"/>
              <w:rPr>
                <w:rFonts w:cstheme="minorHAnsi"/>
                <w:i/>
                <w:iCs/>
                <w:sz w:val="20"/>
                <w:szCs w:val="20"/>
              </w:rPr>
            </w:pPr>
            <w:r w:rsidRPr="003E7CAC">
              <w:rPr>
                <w:rFonts w:cstheme="minorHAnsi"/>
                <w:i/>
                <w:iCs/>
                <w:sz w:val="20"/>
                <w:szCs w:val="20"/>
              </w:rPr>
              <w:t>P</w:t>
            </w:r>
          </w:p>
        </w:tc>
        <w:tc>
          <w:tcPr>
            <w:tcW w:w="0" w:type="auto"/>
          </w:tcPr>
          <w:p w14:paraId="57278B59" w14:textId="4FAC3593" w:rsidR="001749AD" w:rsidRPr="003E7CAC" w:rsidRDefault="001749AD" w:rsidP="00AB4C8A">
            <w:pPr>
              <w:pStyle w:val="NoSpacing"/>
              <w:rPr>
                <w:rFonts w:cstheme="minorHAnsi"/>
                <w:i/>
                <w:iCs/>
                <w:sz w:val="20"/>
                <w:szCs w:val="20"/>
              </w:rPr>
            </w:pPr>
            <w:r w:rsidRPr="003E7CAC">
              <w:rPr>
                <w:rFonts w:cstheme="minorHAnsi"/>
                <w:i/>
                <w:iCs/>
                <w:sz w:val="20"/>
                <w:szCs w:val="20"/>
              </w:rPr>
              <w:t>b</w:t>
            </w:r>
          </w:p>
        </w:tc>
        <w:tc>
          <w:tcPr>
            <w:tcW w:w="0" w:type="auto"/>
          </w:tcPr>
          <w:p w14:paraId="2319C115" w14:textId="76695887" w:rsidR="001749AD" w:rsidRPr="003E7CAC" w:rsidRDefault="001749AD" w:rsidP="00AB4C8A">
            <w:pPr>
              <w:pStyle w:val="NoSpacing"/>
              <w:rPr>
                <w:rFonts w:cstheme="minorHAnsi"/>
                <w:i/>
                <w:iCs/>
                <w:sz w:val="20"/>
                <w:szCs w:val="20"/>
              </w:rPr>
            </w:pPr>
            <w:r w:rsidRPr="003E7CAC">
              <w:rPr>
                <w:rFonts w:cstheme="minorHAnsi"/>
                <w:i/>
                <w:iCs/>
                <w:sz w:val="20"/>
                <w:szCs w:val="20"/>
              </w:rPr>
              <w:t>SE</w:t>
            </w:r>
          </w:p>
        </w:tc>
        <w:tc>
          <w:tcPr>
            <w:tcW w:w="0" w:type="auto"/>
          </w:tcPr>
          <w:p w14:paraId="2E10FDC0" w14:textId="427621DD" w:rsidR="001749AD" w:rsidRPr="003E7CAC" w:rsidRDefault="001749AD" w:rsidP="00AB4C8A">
            <w:pPr>
              <w:pStyle w:val="NoSpacing"/>
              <w:rPr>
                <w:rFonts w:cstheme="minorHAnsi"/>
                <w:i/>
                <w:iCs/>
                <w:sz w:val="20"/>
                <w:szCs w:val="20"/>
              </w:rPr>
            </w:pPr>
            <w:r w:rsidRPr="003E7CAC">
              <w:rPr>
                <w:rFonts w:cstheme="minorHAnsi"/>
                <w:i/>
                <w:iCs/>
                <w:sz w:val="20"/>
                <w:szCs w:val="20"/>
              </w:rPr>
              <w:t>p</w:t>
            </w:r>
          </w:p>
        </w:tc>
      </w:tr>
      <w:tr w:rsidR="001749AD" w:rsidRPr="003E7CAC" w14:paraId="6357BC7C" w14:textId="77777777" w:rsidTr="00704AB6">
        <w:trPr>
          <w:trHeight w:val="303"/>
        </w:trPr>
        <w:tc>
          <w:tcPr>
            <w:tcW w:w="0" w:type="auto"/>
          </w:tcPr>
          <w:p w14:paraId="20F3419F" w14:textId="5F326B4F" w:rsidR="001749AD" w:rsidRPr="003E7CAC" w:rsidRDefault="001749AD" w:rsidP="00AB4C8A">
            <w:pPr>
              <w:pStyle w:val="NoSpacing"/>
              <w:rPr>
                <w:rFonts w:cstheme="minorHAnsi"/>
                <w:sz w:val="20"/>
                <w:szCs w:val="20"/>
              </w:rPr>
            </w:pPr>
            <w:r w:rsidRPr="003E7CAC">
              <w:rPr>
                <w:rFonts w:cstheme="minorHAnsi"/>
                <w:sz w:val="20"/>
                <w:szCs w:val="20"/>
              </w:rPr>
              <w:t>Ln total outlet density</w:t>
            </w:r>
          </w:p>
        </w:tc>
        <w:tc>
          <w:tcPr>
            <w:tcW w:w="0" w:type="auto"/>
          </w:tcPr>
          <w:p w14:paraId="2F292237" w14:textId="0449CACF" w:rsidR="001749AD" w:rsidRPr="003E7CAC" w:rsidRDefault="001749AD" w:rsidP="00AB4C8A">
            <w:pPr>
              <w:pStyle w:val="NoSpacing"/>
              <w:rPr>
                <w:rFonts w:cstheme="minorHAnsi"/>
                <w:w w:val="95"/>
                <w:sz w:val="20"/>
                <w:szCs w:val="20"/>
              </w:rPr>
            </w:pPr>
            <w:r w:rsidRPr="003E7CAC">
              <w:rPr>
                <w:rFonts w:cstheme="minorHAnsi"/>
                <w:w w:val="95"/>
                <w:sz w:val="20"/>
                <w:szCs w:val="20"/>
              </w:rPr>
              <w:t>0.206</w:t>
            </w:r>
          </w:p>
        </w:tc>
        <w:tc>
          <w:tcPr>
            <w:tcW w:w="0" w:type="auto"/>
          </w:tcPr>
          <w:p w14:paraId="58126D53" w14:textId="38BB4D1B" w:rsidR="001749AD" w:rsidRPr="003E7CAC" w:rsidRDefault="001749AD" w:rsidP="00AB4C8A">
            <w:pPr>
              <w:pStyle w:val="NoSpacing"/>
              <w:rPr>
                <w:rFonts w:cstheme="minorHAnsi"/>
                <w:sz w:val="20"/>
                <w:szCs w:val="20"/>
              </w:rPr>
            </w:pPr>
            <w:r w:rsidRPr="003E7CAC">
              <w:rPr>
                <w:rFonts w:cstheme="minorHAnsi"/>
                <w:sz w:val="20"/>
                <w:szCs w:val="20"/>
              </w:rPr>
              <w:t>0.085</w:t>
            </w:r>
          </w:p>
        </w:tc>
        <w:tc>
          <w:tcPr>
            <w:tcW w:w="0" w:type="auto"/>
          </w:tcPr>
          <w:p w14:paraId="55F8DEB8" w14:textId="4A5B0AA3" w:rsidR="001749AD" w:rsidRPr="003E7CAC" w:rsidRDefault="001749AD" w:rsidP="00AB4C8A">
            <w:pPr>
              <w:pStyle w:val="NoSpacing"/>
              <w:rPr>
                <w:rFonts w:cstheme="minorHAnsi"/>
                <w:sz w:val="20"/>
                <w:szCs w:val="20"/>
              </w:rPr>
            </w:pPr>
            <w:r w:rsidRPr="003E7CAC">
              <w:rPr>
                <w:rFonts w:cstheme="minorHAnsi"/>
                <w:sz w:val="20"/>
                <w:szCs w:val="20"/>
              </w:rPr>
              <w:t>.015</w:t>
            </w:r>
          </w:p>
        </w:tc>
        <w:tc>
          <w:tcPr>
            <w:tcW w:w="0" w:type="auto"/>
          </w:tcPr>
          <w:p w14:paraId="59A8B889" w14:textId="6CB1D7A3" w:rsidR="001749AD" w:rsidRPr="003E7CAC" w:rsidRDefault="001749AD" w:rsidP="00AB4C8A">
            <w:pPr>
              <w:pStyle w:val="NoSpacing"/>
              <w:rPr>
                <w:rFonts w:cstheme="minorHAnsi"/>
                <w:sz w:val="20"/>
                <w:szCs w:val="20"/>
              </w:rPr>
            </w:pPr>
            <w:r w:rsidRPr="003E7CAC">
              <w:rPr>
                <w:rFonts w:cstheme="minorHAnsi"/>
                <w:sz w:val="20"/>
                <w:szCs w:val="20"/>
              </w:rPr>
              <w:t>0.332</w:t>
            </w:r>
          </w:p>
        </w:tc>
        <w:tc>
          <w:tcPr>
            <w:tcW w:w="0" w:type="auto"/>
          </w:tcPr>
          <w:p w14:paraId="38BC3F01" w14:textId="680AECDD" w:rsidR="001749AD" w:rsidRPr="003E7CAC" w:rsidRDefault="001749AD" w:rsidP="00AB4C8A">
            <w:pPr>
              <w:pStyle w:val="NoSpacing"/>
              <w:rPr>
                <w:rFonts w:cstheme="minorHAnsi"/>
                <w:sz w:val="20"/>
                <w:szCs w:val="20"/>
              </w:rPr>
            </w:pPr>
            <w:r w:rsidRPr="003E7CAC">
              <w:rPr>
                <w:rFonts w:cstheme="minorHAnsi"/>
                <w:sz w:val="20"/>
                <w:szCs w:val="20"/>
              </w:rPr>
              <w:t>0.129</w:t>
            </w:r>
          </w:p>
        </w:tc>
        <w:tc>
          <w:tcPr>
            <w:tcW w:w="0" w:type="auto"/>
          </w:tcPr>
          <w:p w14:paraId="28C9DE09" w14:textId="1B40C238" w:rsidR="001749AD" w:rsidRPr="003E7CAC" w:rsidRDefault="001749AD" w:rsidP="00AB4C8A">
            <w:pPr>
              <w:pStyle w:val="NoSpacing"/>
              <w:rPr>
                <w:rFonts w:cstheme="minorHAnsi"/>
                <w:sz w:val="20"/>
                <w:szCs w:val="20"/>
              </w:rPr>
            </w:pPr>
            <w:r w:rsidRPr="003E7CAC">
              <w:rPr>
                <w:rFonts w:cstheme="minorHAnsi"/>
                <w:sz w:val="20"/>
                <w:szCs w:val="20"/>
              </w:rPr>
              <w:t>.013</w:t>
            </w:r>
          </w:p>
        </w:tc>
      </w:tr>
      <w:tr w:rsidR="001749AD" w:rsidRPr="003E7CAC" w14:paraId="69FDA3BD" w14:textId="77777777" w:rsidTr="00704AB6">
        <w:trPr>
          <w:trHeight w:val="209"/>
        </w:trPr>
        <w:tc>
          <w:tcPr>
            <w:tcW w:w="0" w:type="auto"/>
          </w:tcPr>
          <w:p w14:paraId="1C0AE7EC" w14:textId="77777777" w:rsidR="001749AD" w:rsidRPr="003E7CAC" w:rsidRDefault="001749AD" w:rsidP="00AB4C8A">
            <w:pPr>
              <w:pStyle w:val="NoSpacing"/>
              <w:rPr>
                <w:rFonts w:cstheme="minorHAnsi"/>
                <w:sz w:val="20"/>
                <w:szCs w:val="20"/>
              </w:rPr>
            </w:pPr>
            <w:r w:rsidRPr="003E7CAC">
              <w:rPr>
                <w:rFonts w:cstheme="minorHAnsi"/>
                <w:sz w:val="20"/>
                <w:szCs w:val="20"/>
              </w:rPr>
              <w:t>Land use variables</w:t>
            </w:r>
          </w:p>
        </w:tc>
        <w:tc>
          <w:tcPr>
            <w:tcW w:w="0" w:type="auto"/>
          </w:tcPr>
          <w:p w14:paraId="697016CF" w14:textId="77777777" w:rsidR="001749AD" w:rsidRPr="003E7CAC" w:rsidRDefault="001749AD" w:rsidP="00AB4C8A">
            <w:pPr>
              <w:pStyle w:val="NoSpacing"/>
              <w:rPr>
                <w:rFonts w:cstheme="minorHAnsi"/>
                <w:sz w:val="20"/>
                <w:szCs w:val="20"/>
              </w:rPr>
            </w:pPr>
          </w:p>
        </w:tc>
        <w:tc>
          <w:tcPr>
            <w:tcW w:w="0" w:type="auto"/>
          </w:tcPr>
          <w:p w14:paraId="0C27E762" w14:textId="77777777" w:rsidR="001749AD" w:rsidRPr="003E7CAC" w:rsidRDefault="001749AD" w:rsidP="00AB4C8A">
            <w:pPr>
              <w:pStyle w:val="NoSpacing"/>
              <w:rPr>
                <w:rFonts w:cstheme="minorHAnsi"/>
                <w:sz w:val="20"/>
                <w:szCs w:val="20"/>
              </w:rPr>
            </w:pPr>
          </w:p>
        </w:tc>
        <w:tc>
          <w:tcPr>
            <w:tcW w:w="0" w:type="auto"/>
          </w:tcPr>
          <w:p w14:paraId="71E44874" w14:textId="77777777" w:rsidR="001749AD" w:rsidRPr="003E7CAC" w:rsidRDefault="001749AD" w:rsidP="00AB4C8A">
            <w:pPr>
              <w:pStyle w:val="NoSpacing"/>
              <w:rPr>
                <w:rFonts w:cstheme="minorHAnsi"/>
                <w:sz w:val="20"/>
                <w:szCs w:val="20"/>
              </w:rPr>
            </w:pPr>
          </w:p>
        </w:tc>
        <w:tc>
          <w:tcPr>
            <w:tcW w:w="0" w:type="auto"/>
          </w:tcPr>
          <w:p w14:paraId="260598DB" w14:textId="77777777" w:rsidR="001749AD" w:rsidRPr="003E7CAC" w:rsidRDefault="001749AD" w:rsidP="00AB4C8A">
            <w:pPr>
              <w:pStyle w:val="NoSpacing"/>
              <w:rPr>
                <w:rFonts w:cstheme="minorHAnsi"/>
                <w:sz w:val="20"/>
                <w:szCs w:val="20"/>
              </w:rPr>
            </w:pPr>
          </w:p>
        </w:tc>
        <w:tc>
          <w:tcPr>
            <w:tcW w:w="0" w:type="auto"/>
          </w:tcPr>
          <w:p w14:paraId="3FC5C2A7" w14:textId="77777777" w:rsidR="001749AD" w:rsidRPr="003E7CAC" w:rsidRDefault="001749AD" w:rsidP="00AB4C8A">
            <w:pPr>
              <w:pStyle w:val="NoSpacing"/>
              <w:rPr>
                <w:rFonts w:cstheme="minorHAnsi"/>
                <w:sz w:val="20"/>
                <w:szCs w:val="20"/>
              </w:rPr>
            </w:pPr>
          </w:p>
        </w:tc>
        <w:tc>
          <w:tcPr>
            <w:tcW w:w="0" w:type="auto"/>
          </w:tcPr>
          <w:p w14:paraId="20C96A3F" w14:textId="77777777" w:rsidR="001749AD" w:rsidRPr="003E7CAC" w:rsidRDefault="001749AD" w:rsidP="00AB4C8A">
            <w:pPr>
              <w:pStyle w:val="NoSpacing"/>
              <w:rPr>
                <w:rFonts w:cstheme="minorHAnsi"/>
                <w:sz w:val="20"/>
                <w:szCs w:val="20"/>
              </w:rPr>
            </w:pPr>
          </w:p>
        </w:tc>
      </w:tr>
      <w:tr w:rsidR="001749AD" w:rsidRPr="003E7CAC" w14:paraId="62ABC199" w14:textId="77777777" w:rsidTr="00704AB6">
        <w:trPr>
          <w:trHeight w:val="209"/>
        </w:trPr>
        <w:tc>
          <w:tcPr>
            <w:tcW w:w="0" w:type="auto"/>
          </w:tcPr>
          <w:p w14:paraId="427F73FC" w14:textId="77777777" w:rsidR="001749AD" w:rsidRPr="003E7CAC" w:rsidRDefault="001749AD" w:rsidP="00C368B5">
            <w:pPr>
              <w:pStyle w:val="NoSpacing"/>
              <w:ind w:left="334"/>
              <w:rPr>
                <w:rFonts w:cstheme="minorHAnsi"/>
                <w:sz w:val="20"/>
                <w:szCs w:val="20"/>
              </w:rPr>
            </w:pPr>
            <w:r w:rsidRPr="003E7CAC">
              <w:rPr>
                <w:rFonts w:cstheme="minorHAnsi"/>
                <w:sz w:val="20"/>
                <w:szCs w:val="20"/>
              </w:rPr>
              <w:t>Ln Commercial arterial</w:t>
            </w:r>
          </w:p>
        </w:tc>
        <w:tc>
          <w:tcPr>
            <w:tcW w:w="0" w:type="auto"/>
          </w:tcPr>
          <w:p w14:paraId="2E915AB9" w14:textId="77777777" w:rsidR="001749AD" w:rsidRPr="003E7CAC" w:rsidRDefault="001749AD" w:rsidP="00AB4C8A">
            <w:pPr>
              <w:pStyle w:val="NoSpacing"/>
              <w:rPr>
                <w:rFonts w:cstheme="minorHAnsi"/>
                <w:w w:val="95"/>
                <w:sz w:val="20"/>
                <w:szCs w:val="20"/>
              </w:rPr>
            </w:pPr>
            <w:r w:rsidRPr="003E7CAC">
              <w:rPr>
                <w:rFonts w:cstheme="minorHAnsi"/>
                <w:w w:val="95"/>
                <w:sz w:val="20"/>
                <w:szCs w:val="20"/>
              </w:rPr>
              <w:t>0.093</w:t>
            </w:r>
          </w:p>
        </w:tc>
        <w:tc>
          <w:tcPr>
            <w:tcW w:w="0" w:type="auto"/>
          </w:tcPr>
          <w:p w14:paraId="19522C53" w14:textId="77777777" w:rsidR="001749AD" w:rsidRPr="003E7CAC" w:rsidRDefault="001749AD" w:rsidP="00AB4C8A">
            <w:pPr>
              <w:pStyle w:val="NoSpacing"/>
              <w:rPr>
                <w:rFonts w:cstheme="minorHAnsi"/>
                <w:sz w:val="20"/>
                <w:szCs w:val="20"/>
              </w:rPr>
            </w:pPr>
            <w:r w:rsidRPr="003E7CAC">
              <w:rPr>
                <w:rFonts w:cstheme="minorHAnsi"/>
                <w:sz w:val="20"/>
                <w:szCs w:val="20"/>
              </w:rPr>
              <w:t>0.152</w:t>
            </w:r>
          </w:p>
        </w:tc>
        <w:tc>
          <w:tcPr>
            <w:tcW w:w="0" w:type="auto"/>
          </w:tcPr>
          <w:p w14:paraId="007B19B7" w14:textId="77777777" w:rsidR="001749AD" w:rsidRPr="003E7CAC" w:rsidRDefault="001749AD" w:rsidP="00AB4C8A">
            <w:pPr>
              <w:pStyle w:val="NoSpacing"/>
              <w:rPr>
                <w:rFonts w:cstheme="minorHAnsi"/>
                <w:sz w:val="20"/>
                <w:szCs w:val="20"/>
              </w:rPr>
            </w:pPr>
            <w:r w:rsidRPr="003E7CAC">
              <w:rPr>
                <w:rFonts w:cstheme="minorHAnsi"/>
                <w:sz w:val="20"/>
                <w:szCs w:val="20"/>
              </w:rPr>
              <w:t>.540</w:t>
            </w:r>
          </w:p>
        </w:tc>
        <w:tc>
          <w:tcPr>
            <w:tcW w:w="0" w:type="auto"/>
          </w:tcPr>
          <w:p w14:paraId="533E91EC" w14:textId="77777777" w:rsidR="001749AD" w:rsidRPr="003E7CAC" w:rsidRDefault="001749AD" w:rsidP="00AB4C8A">
            <w:pPr>
              <w:pStyle w:val="NoSpacing"/>
              <w:rPr>
                <w:rFonts w:cstheme="minorHAnsi"/>
                <w:sz w:val="20"/>
                <w:szCs w:val="20"/>
              </w:rPr>
            </w:pPr>
            <w:r w:rsidRPr="003E7CAC">
              <w:rPr>
                <w:rFonts w:cstheme="minorHAnsi"/>
                <w:sz w:val="20"/>
                <w:szCs w:val="20"/>
              </w:rPr>
              <w:t>0.089</w:t>
            </w:r>
          </w:p>
        </w:tc>
        <w:tc>
          <w:tcPr>
            <w:tcW w:w="0" w:type="auto"/>
          </w:tcPr>
          <w:p w14:paraId="2270ED3B" w14:textId="77777777" w:rsidR="001749AD" w:rsidRPr="003E7CAC" w:rsidRDefault="001749AD" w:rsidP="00AB4C8A">
            <w:pPr>
              <w:pStyle w:val="NoSpacing"/>
              <w:rPr>
                <w:rFonts w:cstheme="minorHAnsi"/>
                <w:sz w:val="20"/>
                <w:szCs w:val="20"/>
              </w:rPr>
            </w:pPr>
            <w:r w:rsidRPr="003E7CAC">
              <w:rPr>
                <w:rFonts w:cstheme="minorHAnsi"/>
                <w:sz w:val="20"/>
                <w:szCs w:val="20"/>
              </w:rPr>
              <w:t>0.240</w:t>
            </w:r>
          </w:p>
        </w:tc>
        <w:tc>
          <w:tcPr>
            <w:tcW w:w="0" w:type="auto"/>
          </w:tcPr>
          <w:p w14:paraId="6149AE2C" w14:textId="77777777" w:rsidR="001749AD" w:rsidRPr="003E7CAC" w:rsidRDefault="001749AD" w:rsidP="00AB4C8A">
            <w:pPr>
              <w:pStyle w:val="NoSpacing"/>
              <w:rPr>
                <w:rFonts w:cstheme="minorHAnsi"/>
                <w:sz w:val="20"/>
                <w:szCs w:val="20"/>
              </w:rPr>
            </w:pPr>
            <w:r w:rsidRPr="003E7CAC">
              <w:rPr>
                <w:rFonts w:cstheme="minorHAnsi"/>
                <w:sz w:val="20"/>
                <w:szCs w:val="20"/>
              </w:rPr>
              <w:t>.713</w:t>
            </w:r>
          </w:p>
        </w:tc>
      </w:tr>
      <w:tr w:rsidR="001749AD" w:rsidRPr="003E7CAC" w14:paraId="01552967" w14:textId="77777777" w:rsidTr="00704AB6">
        <w:trPr>
          <w:trHeight w:val="209"/>
        </w:trPr>
        <w:tc>
          <w:tcPr>
            <w:tcW w:w="0" w:type="auto"/>
          </w:tcPr>
          <w:p w14:paraId="722EEED5" w14:textId="77777777" w:rsidR="001749AD" w:rsidRPr="003E7CAC" w:rsidRDefault="001749AD" w:rsidP="00C368B5">
            <w:pPr>
              <w:pStyle w:val="NoSpacing"/>
              <w:ind w:left="334"/>
              <w:rPr>
                <w:rFonts w:cstheme="minorHAnsi"/>
                <w:sz w:val="20"/>
                <w:szCs w:val="20"/>
              </w:rPr>
            </w:pPr>
            <w:r w:rsidRPr="003E7CAC">
              <w:rPr>
                <w:rFonts w:cstheme="minorHAnsi"/>
                <w:sz w:val="20"/>
                <w:szCs w:val="20"/>
              </w:rPr>
              <w:t>Ln Commercial general</w:t>
            </w:r>
          </w:p>
        </w:tc>
        <w:tc>
          <w:tcPr>
            <w:tcW w:w="0" w:type="auto"/>
          </w:tcPr>
          <w:p w14:paraId="0D8D62EF" w14:textId="77777777" w:rsidR="001749AD" w:rsidRPr="003E7CAC" w:rsidRDefault="001749AD" w:rsidP="00AB4C8A">
            <w:pPr>
              <w:pStyle w:val="NoSpacing"/>
              <w:rPr>
                <w:rFonts w:cstheme="minorHAnsi"/>
                <w:w w:val="95"/>
                <w:sz w:val="20"/>
                <w:szCs w:val="20"/>
              </w:rPr>
            </w:pPr>
            <w:r w:rsidRPr="003E7CAC">
              <w:rPr>
                <w:rFonts w:cstheme="minorHAnsi"/>
                <w:w w:val="95"/>
                <w:sz w:val="20"/>
                <w:szCs w:val="20"/>
              </w:rPr>
              <w:t>–0.060</w:t>
            </w:r>
          </w:p>
        </w:tc>
        <w:tc>
          <w:tcPr>
            <w:tcW w:w="0" w:type="auto"/>
          </w:tcPr>
          <w:p w14:paraId="0419208D" w14:textId="77777777" w:rsidR="001749AD" w:rsidRPr="003E7CAC" w:rsidRDefault="001749AD" w:rsidP="00AB4C8A">
            <w:pPr>
              <w:pStyle w:val="NoSpacing"/>
              <w:rPr>
                <w:rFonts w:cstheme="minorHAnsi"/>
                <w:sz w:val="20"/>
                <w:szCs w:val="20"/>
              </w:rPr>
            </w:pPr>
            <w:r w:rsidRPr="003E7CAC">
              <w:rPr>
                <w:rFonts w:cstheme="minorHAnsi"/>
                <w:sz w:val="20"/>
                <w:szCs w:val="20"/>
              </w:rPr>
              <w:t>0.151</w:t>
            </w:r>
          </w:p>
        </w:tc>
        <w:tc>
          <w:tcPr>
            <w:tcW w:w="0" w:type="auto"/>
          </w:tcPr>
          <w:p w14:paraId="53027DC4" w14:textId="77777777" w:rsidR="001749AD" w:rsidRPr="003E7CAC" w:rsidRDefault="001749AD" w:rsidP="00AB4C8A">
            <w:pPr>
              <w:pStyle w:val="NoSpacing"/>
              <w:rPr>
                <w:rFonts w:cstheme="minorHAnsi"/>
                <w:sz w:val="20"/>
                <w:szCs w:val="20"/>
              </w:rPr>
            </w:pPr>
            <w:r w:rsidRPr="003E7CAC">
              <w:rPr>
                <w:rFonts w:cstheme="minorHAnsi"/>
                <w:sz w:val="20"/>
                <w:szCs w:val="20"/>
              </w:rPr>
              <w:t>.695</w:t>
            </w:r>
          </w:p>
        </w:tc>
        <w:tc>
          <w:tcPr>
            <w:tcW w:w="0" w:type="auto"/>
          </w:tcPr>
          <w:p w14:paraId="02BF6131" w14:textId="77777777" w:rsidR="001749AD" w:rsidRPr="003E7CAC" w:rsidRDefault="001749AD" w:rsidP="00AB4C8A">
            <w:pPr>
              <w:pStyle w:val="NoSpacing"/>
              <w:rPr>
                <w:rFonts w:cstheme="minorHAnsi"/>
                <w:sz w:val="20"/>
                <w:szCs w:val="20"/>
              </w:rPr>
            </w:pPr>
            <w:r w:rsidRPr="003E7CAC">
              <w:rPr>
                <w:rFonts w:cstheme="minorHAnsi"/>
                <w:sz w:val="20"/>
                <w:szCs w:val="20"/>
              </w:rPr>
              <w:t>–0.385</w:t>
            </w:r>
          </w:p>
        </w:tc>
        <w:tc>
          <w:tcPr>
            <w:tcW w:w="0" w:type="auto"/>
          </w:tcPr>
          <w:p w14:paraId="030043A3" w14:textId="77777777" w:rsidR="001749AD" w:rsidRPr="003E7CAC" w:rsidRDefault="001749AD" w:rsidP="00AB4C8A">
            <w:pPr>
              <w:pStyle w:val="NoSpacing"/>
              <w:rPr>
                <w:rFonts w:cstheme="minorHAnsi"/>
                <w:sz w:val="20"/>
                <w:szCs w:val="20"/>
              </w:rPr>
            </w:pPr>
            <w:r w:rsidRPr="003E7CAC">
              <w:rPr>
                <w:rFonts w:cstheme="minorHAnsi"/>
                <w:sz w:val="20"/>
                <w:szCs w:val="20"/>
              </w:rPr>
              <w:t>0.237</w:t>
            </w:r>
          </w:p>
        </w:tc>
        <w:tc>
          <w:tcPr>
            <w:tcW w:w="0" w:type="auto"/>
          </w:tcPr>
          <w:p w14:paraId="3C2F657C" w14:textId="77777777" w:rsidR="001749AD" w:rsidRPr="003E7CAC" w:rsidRDefault="001749AD" w:rsidP="00AB4C8A">
            <w:pPr>
              <w:pStyle w:val="NoSpacing"/>
              <w:rPr>
                <w:rFonts w:cstheme="minorHAnsi"/>
                <w:sz w:val="20"/>
                <w:szCs w:val="20"/>
              </w:rPr>
            </w:pPr>
            <w:r w:rsidRPr="003E7CAC">
              <w:rPr>
                <w:rFonts w:cstheme="minorHAnsi"/>
                <w:sz w:val="20"/>
                <w:szCs w:val="20"/>
              </w:rPr>
              <w:t>.111</w:t>
            </w:r>
          </w:p>
        </w:tc>
      </w:tr>
      <w:tr w:rsidR="001749AD" w:rsidRPr="003E7CAC" w14:paraId="24E1A62E" w14:textId="77777777" w:rsidTr="00704AB6">
        <w:trPr>
          <w:trHeight w:val="209"/>
        </w:trPr>
        <w:tc>
          <w:tcPr>
            <w:tcW w:w="0" w:type="auto"/>
          </w:tcPr>
          <w:p w14:paraId="3B21FAB5" w14:textId="77777777" w:rsidR="001749AD" w:rsidRPr="003E7CAC" w:rsidRDefault="001749AD" w:rsidP="00C368B5">
            <w:pPr>
              <w:pStyle w:val="NoSpacing"/>
              <w:ind w:left="334"/>
              <w:rPr>
                <w:rFonts w:cstheme="minorHAnsi"/>
                <w:sz w:val="20"/>
                <w:szCs w:val="20"/>
              </w:rPr>
            </w:pPr>
            <w:r w:rsidRPr="003E7CAC">
              <w:rPr>
                <w:rFonts w:cstheme="minorHAnsi"/>
                <w:sz w:val="20"/>
                <w:szCs w:val="20"/>
              </w:rPr>
              <w:t>Ln Industrial general</w:t>
            </w:r>
          </w:p>
        </w:tc>
        <w:tc>
          <w:tcPr>
            <w:tcW w:w="0" w:type="auto"/>
          </w:tcPr>
          <w:p w14:paraId="219BC4A1" w14:textId="77777777" w:rsidR="001749AD" w:rsidRPr="003E7CAC" w:rsidRDefault="001749AD" w:rsidP="00AB4C8A">
            <w:pPr>
              <w:pStyle w:val="NoSpacing"/>
              <w:rPr>
                <w:rFonts w:cstheme="minorHAnsi"/>
                <w:w w:val="95"/>
                <w:sz w:val="20"/>
                <w:szCs w:val="20"/>
              </w:rPr>
            </w:pPr>
            <w:r w:rsidRPr="003E7CAC">
              <w:rPr>
                <w:rFonts w:cstheme="minorHAnsi"/>
                <w:w w:val="95"/>
                <w:sz w:val="20"/>
                <w:szCs w:val="20"/>
              </w:rPr>
              <w:t>–0.025</w:t>
            </w:r>
          </w:p>
        </w:tc>
        <w:tc>
          <w:tcPr>
            <w:tcW w:w="0" w:type="auto"/>
          </w:tcPr>
          <w:p w14:paraId="6FD30F61" w14:textId="77777777" w:rsidR="001749AD" w:rsidRPr="003E7CAC" w:rsidRDefault="001749AD" w:rsidP="00AB4C8A">
            <w:pPr>
              <w:pStyle w:val="NoSpacing"/>
              <w:rPr>
                <w:rFonts w:cstheme="minorHAnsi"/>
                <w:sz w:val="20"/>
                <w:szCs w:val="20"/>
              </w:rPr>
            </w:pPr>
            <w:r w:rsidRPr="003E7CAC">
              <w:rPr>
                <w:rFonts w:cstheme="minorHAnsi"/>
                <w:sz w:val="20"/>
                <w:szCs w:val="20"/>
              </w:rPr>
              <w:t>0.139</w:t>
            </w:r>
          </w:p>
        </w:tc>
        <w:tc>
          <w:tcPr>
            <w:tcW w:w="0" w:type="auto"/>
          </w:tcPr>
          <w:p w14:paraId="0F01F39A" w14:textId="77777777" w:rsidR="001749AD" w:rsidRPr="003E7CAC" w:rsidRDefault="001749AD" w:rsidP="00AB4C8A">
            <w:pPr>
              <w:pStyle w:val="NoSpacing"/>
              <w:rPr>
                <w:rFonts w:cstheme="minorHAnsi"/>
                <w:sz w:val="20"/>
                <w:szCs w:val="20"/>
              </w:rPr>
            </w:pPr>
            <w:r w:rsidRPr="003E7CAC">
              <w:rPr>
                <w:rFonts w:cstheme="minorHAnsi"/>
                <w:sz w:val="20"/>
                <w:szCs w:val="20"/>
              </w:rPr>
              <w:t>.858</w:t>
            </w:r>
          </w:p>
        </w:tc>
        <w:tc>
          <w:tcPr>
            <w:tcW w:w="0" w:type="auto"/>
          </w:tcPr>
          <w:p w14:paraId="4EA03F5E" w14:textId="77777777" w:rsidR="001749AD" w:rsidRPr="003E7CAC" w:rsidRDefault="001749AD" w:rsidP="00AB4C8A">
            <w:pPr>
              <w:pStyle w:val="NoSpacing"/>
              <w:rPr>
                <w:rFonts w:cstheme="minorHAnsi"/>
                <w:sz w:val="20"/>
                <w:szCs w:val="20"/>
              </w:rPr>
            </w:pPr>
            <w:r w:rsidRPr="003E7CAC">
              <w:rPr>
                <w:rFonts w:cstheme="minorHAnsi"/>
                <w:sz w:val="20"/>
                <w:szCs w:val="20"/>
              </w:rPr>
              <w:t>0.087</w:t>
            </w:r>
          </w:p>
        </w:tc>
        <w:tc>
          <w:tcPr>
            <w:tcW w:w="0" w:type="auto"/>
          </w:tcPr>
          <w:p w14:paraId="74ABE3C5" w14:textId="77777777" w:rsidR="001749AD" w:rsidRPr="003E7CAC" w:rsidRDefault="001749AD" w:rsidP="00AB4C8A">
            <w:pPr>
              <w:pStyle w:val="NoSpacing"/>
              <w:rPr>
                <w:rFonts w:cstheme="minorHAnsi"/>
                <w:sz w:val="20"/>
                <w:szCs w:val="20"/>
              </w:rPr>
            </w:pPr>
            <w:r w:rsidRPr="003E7CAC">
              <w:rPr>
                <w:rFonts w:cstheme="minorHAnsi"/>
                <w:sz w:val="20"/>
                <w:szCs w:val="20"/>
              </w:rPr>
              <w:t>0.220</w:t>
            </w:r>
          </w:p>
        </w:tc>
        <w:tc>
          <w:tcPr>
            <w:tcW w:w="0" w:type="auto"/>
          </w:tcPr>
          <w:p w14:paraId="014DE89E" w14:textId="77777777" w:rsidR="001749AD" w:rsidRPr="003E7CAC" w:rsidRDefault="001749AD" w:rsidP="00AB4C8A">
            <w:pPr>
              <w:pStyle w:val="NoSpacing"/>
              <w:rPr>
                <w:rFonts w:cstheme="minorHAnsi"/>
                <w:sz w:val="20"/>
                <w:szCs w:val="20"/>
              </w:rPr>
            </w:pPr>
            <w:r w:rsidRPr="003E7CAC">
              <w:rPr>
                <w:rFonts w:cstheme="minorHAnsi"/>
                <w:sz w:val="20"/>
                <w:szCs w:val="20"/>
              </w:rPr>
              <w:t>.693</w:t>
            </w:r>
          </w:p>
        </w:tc>
      </w:tr>
      <w:tr w:rsidR="001749AD" w:rsidRPr="003E7CAC" w14:paraId="65CF58DD" w14:textId="77777777" w:rsidTr="00704AB6">
        <w:trPr>
          <w:trHeight w:val="209"/>
        </w:trPr>
        <w:tc>
          <w:tcPr>
            <w:tcW w:w="0" w:type="auto"/>
          </w:tcPr>
          <w:p w14:paraId="7FB0EFB3" w14:textId="77777777" w:rsidR="001749AD" w:rsidRPr="003E7CAC" w:rsidRDefault="001749AD" w:rsidP="00C368B5">
            <w:pPr>
              <w:pStyle w:val="NoSpacing"/>
              <w:ind w:left="334"/>
              <w:rPr>
                <w:rFonts w:cstheme="minorHAnsi"/>
                <w:sz w:val="20"/>
                <w:szCs w:val="20"/>
              </w:rPr>
            </w:pPr>
            <w:r w:rsidRPr="003E7CAC">
              <w:rPr>
                <w:rFonts w:cstheme="minorHAnsi"/>
                <w:sz w:val="20"/>
                <w:szCs w:val="20"/>
              </w:rPr>
              <w:t>Ln Mobile housing</w:t>
            </w:r>
          </w:p>
        </w:tc>
        <w:tc>
          <w:tcPr>
            <w:tcW w:w="0" w:type="auto"/>
          </w:tcPr>
          <w:p w14:paraId="41E8AC30" w14:textId="77777777" w:rsidR="001749AD" w:rsidRPr="003E7CAC" w:rsidRDefault="001749AD" w:rsidP="00AB4C8A">
            <w:pPr>
              <w:pStyle w:val="NoSpacing"/>
              <w:rPr>
                <w:rFonts w:cstheme="minorHAnsi"/>
                <w:w w:val="95"/>
                <w:sz w:val="20"/>
                <w:szCs w:val="20"/>
              </w:rPr>
            </w:pPr>
            <w:r w:rsidRPr="003E7CAC">
              <w:rPr>
                <w:rFonts w:cstheme="minorHAnsi"/>
                <w:w w:val="95"/>
                <w:sz w:val="20"/>
                <w:szCs w:val="20"/>
              </w:rPr>
              <w:t>0.215</w:t>
            </w:r>
          </w:p>
        </w:tc>
        <w:tc>
          <w:tcPr>
            <w:tcW w:w="0" w:type="auto"/>
          </w:tcPr>
          <w:p w14:paraId="16227CF0" w14:textId="77777777" w:rsidR="001749AD" w:rsidRPr="003E7CAC" w:rsidRDefault="001749AD" w:rsidP="00AB4C8A">
            <w:pPr>
              <w:pStyle w:val="NoSpacing"/>
              <w:rPr>
                <w:rFonts w:cstheme="minorHAnsi"/>
                <w:sz w:val="20"/>
                <w:szCs w:val="20"/>
              </w:rPr>
            </w:pPr>
            <w:r w:rsidRPr="003E7CAC">
              <w:rPr>
                <w:rFonts w:cstheme="minorHAnsi"/>
                <w:sz w:val="20"/>
                <w:szCs w:val="20"/>
              </w:rPr>
              <w:t>0.163</w:t>
            </w:r>
          </w:p>
        </w:tc>
        <w:tc>
          <w:tcPr>
            <w:tcW w:w="0" w:type="auto"/>
          </w:tcPr>
          <w:p w14:paraId="441FD250" w14:textId="77777777" w:rsidR="001749AD" w:rsidRPr="003E7CAC" w:rsidRDefault="001749AD" w:rsidP="00AB4C8A">
            <w:pPr>
              <w:pStyle w:val="NoSpacing"/>
              <w:rPr>
                <w:rFonts w:cstheme="minorHAnsi"/>
                <w:sz w:val="20"/>
                <w:szCs w:val="20"/>
              </w:rPr>
            </w:pPr>
            <w:r w:rsidRPr="003E7CAC">
              <w:rPr>
                <w:rFonts w:cstheme="minorHAnsi"/>
                <w:sz w:val="20"/>
                <w:szCs w:val="20"/>
              </w:rPr>
              <w:t>.187</w:t>
            </w:r>
          </w:p>
        </w:tc>
        <w:tc>
          <w:tcPr>
            <w:tcW w:w="0" w:type="auto"/>
          </w:tcPr>
          <w:p w14:paraId="4AEB1C01" w14:textId="77777777" w:rsidR="001749AD" w:rsidRPr="003E7CAC" w:rsidRDefault="001749AD" w:rsidP="00AB4C8A">
            <w:pPr>
              <w:pStyle w:val="NoSpacing"/>
              <w:rPr>
                <w:rFonts w:cstheme="minorHAnsi"/>
                <w:sz w:val="20"/>
                <w:szCs w:val="20"/>
              </w:rPr>
            </w:pPr>
            <w:r w:rsidRPr="003E7CAC">
              <w:rPr>
                <w:rFonts w:cstheme="minorHAnsi"/>
                <w:sz w:val="20"/>
                <w:szCs w:val="20"/>
              </w:rPr>
              <w:t>0.454</w:t>
            </w:r>
          </w:p>
        </w:tc>
        <w:tc>
          <w:tcPr>
            <w:tcW w:w="0" w:type="auto"/>
          </w:tcPr>
          <w:p w14:paraId="389E37BE" w14:textId="77777777" w:rsidR="001749AD" w:rsidRPr="003E7CAC" w:rsidRDefault="001749AD" w:rsidP="00AB4C8A">
            <w:pPr>
              <w:pStyle w:val="NoSpacing"/>
              <w:rPr>
                <w:rFonts w:cstheme="minorHAnsi"/>
                <w:sz w:val="20"/>
                <w:szCs w:val="20"/>
              </w:rPr>
            </w:pPr>
            <w:r w:rsidRPr="003E7CAC">
              <w:rPr>
                <w:rFonts w:cstheme="minorHAnsi"/>
                <w:sz w:val="20"/>
                <w:szCs w:val="20"/>
              </w:rPr>
              <w:t>0.255</w:t>
            </w:r>
          </w:p>
        </w:tc>
        <w:tc>
          <w:tcPr>
            <w:tcW w:w="0" w:type="auto"/>
          </w:tcPr>
          <w:p w14:paraId="28CD44A6" w14:textId="77777777" w:rsidR="001749AD" w:rsidRPr="003E7CAC" w:rsidRDefault="001749AD" w:rsidP="00AB4C8A">
            <w:pPr>
              <w:pStyle w:val="NoSpacing"/>
              <w:rPr>
                <w:rFonts w:cstheme="minorHAnsi"/>
                <w:sz w:val="20"/>
                <w:szCs w:val="20"/>
              </w:rPr>
            </w:pPr>
            <w:r w:rsidRPr="003E7CAC">
              <w:rPr>
                <w:rFonts w:cstheme="minorHAnsi"/>
                <w:sz w:val="20"/>
                <w:szCs w:val="20"/>
              </w:rPr>
              <w:t>.080</w:t>
            </w:r>
          </w:p>
        </w:tc>
      </w:tr>
      <w:tr w:rsidR="001749AD" w:rsidRPr="003E7CAC" w14:paraId="5A4D3DCD" w14:textId="77777777" w:rsidTr="00704AB6">
        <w:trPr>
          <w:trHeight w:val="209"/>
        </w:trPr>
        <w:tc>
          <w:tcPr>
            <w:tcW w:w="0" w:type="auto"/>
          </w:tcPr>
          <w:p w14:paraId="5E90F7D7" w14:textId="77777777" w:rsidR="001749AD" w:rsidRPr="003E7CAC" w:rsidRDefault="001749AD" w:rsidP="00C368B5">
            <w:pPr>
              <w:pStyle w:val="NoSpacing"/>
              <w:ind w:left="334"/>
              <w:rPr>
                <w:rFonts w:cstheme="minorHAnsi"/>
                <w:sz w:val="20"/>
                <w:szCs w:val="20"/>
              </w:rPr>
            </w:pPr>
            <w:r w:rsidRPr="003E7CAC">
              <w:rPr>
                <w:rFonts w:cstheme="minorHAnsi"/>
                <w:sz w:val="20"/>
                <w:szCs w:val="20"/>
              </w:rPr>
              <w:t>Ln Residential high density</w:t>
            </w:r>
          </w:p>
        </w:tc>
        <w:tc>
          <w:tcPr>
            <w:tcW w:w="0" w:type="auto"/>
          </w:tcPr>
          <w:p w14:paraId="7A80DFF9" w14:textId="77777777" w:rsidR="001749AD" w:rsidRPr="003E7CAC" w:rsidRDefault="001749AD" w:rsidP="00AB4C8A">
            <w:pPr>
              <w:pStyle w:val="NoSpacing"/>
              <w:rPr>
                <w:rFonts w:cstheme="minorHAnsi"/>
                <w:w w:val="95"/>
                <w:sz w:val="20"/>
                <w:szCs w:val="20"/>
              </w:rPr>
            </w:pPr>
            <w:r w:rsidRPr="003E7CAC">
              <w:rPr>
                <w:rFonts w:cstheme="minorHAnsi"/>
                <w:w w:val="95"/>
                <w:sz w:val="20"/>
                <w:szCs w:val="20"/>
              </w:rPr>
              <w:t>0.107</w:t>
            </w:r>
          </w:p>
        </w:tc>
        <w:tc>
          <w:tcPr>
            <w:tcW w:w="0" w:type="auto"/>
          </w:tcPr>
          <w:p w14:paraId="3D1D50BD" w14:textId="77777777" w:rsidR="001749AD" w:rsidRPr="003E7CAC" w:rsidRDefault="001749AD" w:rsidP="00AB4C8A">
            <w:pPr>
              <w:pStyle w:val="NoSpacing"/>
              <w:rPr>
                <w:rFonts w:cstheme="minorHAnsi"/>
                <w:sz w:val="20"/>
                <w:szCs w:val="20"/>
              </w:rPr>
            </w:pPr>
            <w:r w:rsidRPr="003E7CAC">
              <w:rPr>
                <w:rFonts w:cstheme="minorHAnsi"/>
                <w:sz w:val="20"/>
                <w:szCs w:val="20"/>
              </w:rPr>
              <w:t>0.139</w:t>
            </w:r>
          </w:p>
        </w:tc>
        <w:tc>
          <w:tcPr>
            <w:tcW w:w="0" w:type="auto"/>
          </w:tcPr>
          <w:p w14:paraId="28AF311D" w14:textId="77777777" w:rsidR="001749AD" w:rsidRPr="003E7CAC" w:rsidRDefault="001749AD" w:rsidP="00AB4C8A">
            <w:pPr>
              <w:pStyle w:val="NoSpacing"/>
              <w:rPr>
                <w:rFonts w:cstheme="minorHAnsi"/>
                <w:sz w:val="20"/>
                <w:szCs w:val="20"/>
              </w:rPr>
            </w:pPr>
            <w:r w:rsidRPr="003E7CAC">
              <w:rPr>
                <w:rFonts w:cstheme="minorHAnsi"/>
                <w:sz w:val="20"/>
                <w:szCs w:val="20"/>
              </w:rPr>
              <w:t>.442</w:t>
            </w:r>
          </w:p>
        </w:tc>
        <w:tc>
          <w:tcPr>
            <w:tcW w:w="0" w:type="auto"/>
          </w:tcPr>
          <w:p w14:paraId="50C6ADFE" w14:textId="77777777" w:rsidR="001749AD" w:rsidRPr="003E7CAC" w:rsidRDefault="001749AD" w:rsidP="00AB4C8A">
            <w:pPr>
              <w:pStyle w:val="NoSpacing"/>
              <w:rPr>
                <w:rFonts w:cstheme="minorHAnsi"/>
                <w:sz w:val="20"/>
                <w:szCs w:val="20"/>
              </w:rPr>
            </w:pPr>
            <w:r w:rsidRPr="003E7CAC">
              <w:rPr>
                <w:rFonts w:cstheme="minorHAnsi"/>
                <w:sz w:val="20"/>
                <w:szCs w:val="20"/>
              </w:rPr>
              <w:t>0.487</w:t>
            </w:r>
          </w:p>
        </w:tc>
        <w:tc>
          <w:tcPr>
            <w:tcW w:w="0" w:type="auto"/>
          </w:tcPr>
          <w:p w14:paraId="710DCB47" w14:textId="77777777" w:rsidR="001749AD" w:rsidRPr="003E7CAC" w:rsidRDefault="001749AD" w:rsidP="00AB4C8A">
            <w:pPr>
              <w:pStyle w:val="NoSpacing"/>
              <w:rPr>
                <w:rFonts w:cstheme="minorHAnsi"/>
                <w:sz w:val="20"/>
                <w:szCs w:val="20"/>
              </w:rPr>
            </w:pPr>
            <w:r w:rsidRPr="003E7CAC">
              <w:rPr>
                <w:rFonts w:cstheme="minorHAnsi"/>
                <w:sz w:val="20"/>
                <w:szCs w:val="20"/>
              </w:rPr>
              <w:t>0.210</w:t>
            </w:r>
          </w:p>
        </w:tc>
        <w:tc>
          <w:tcPr>
            <w:tcW w:w="0" w:type="auto"/>
          </w:tcPr>
          <w:p w14:paraId="393C531C" w14:textId="77777777" w:rsidR="001749AD" w:rsidRPr="003E7CAC" w:rsidRDefault="001749AD" w:rsidP="00AB4C8A">
            <w:pPr>
              <w:pStyle w:val="NoSpacing"/>
              <w:rPr>
                <w:rFonts w:cstheme="minorHAnsi"/>
                <w:sz w:val="20"/>
                <w:szCs w:val="20"/>
              </w:rPr>
            </w:pPr>
            <w:r w:rsidRPr="003E7CAC">
              <w:rPr>
                <w:rFonts w:cstheme="minorHAnsi"/>
                <w:sz w:val="20"/>
                <w:szCs w:val="20"/>
              </w:rPr>
              <w:t>.025</w:t>
            </w:r>
          </w:p>
        </w:tc>
      </w:tr>
      <w:tr w:rsidR="001749AD" w:rsidRPr="003E7CAC" w14:paraId="6CBEE0F7" w14:textId="77777777" w:rsidTr="00704AB6">
        <w:trPr>
          <w:trHeight w:val="209"/>
        </w:trPr>
        <w:tc>
          <w:tcPr>
            <w:tcW w:w="0" w:type="auto"/>
          </w:tcPr>
          <w:p w14:paraId="6048B923" w14:textId="77777777" w:rsidR="001749AD" w:rsidRPr="003E7CAC" w:rsidRDefault="001749AD" w:rsidP="00C368B5">
            <w:pPr>
              <w:pStyle w:val="NoSpacing"/>
              <w:ind w:left="334"/>
              <w:rPr>
                <w:rFonts w:cstheme="minorHAnsi"/>
                <w:sz w:val="20"/>
                <w:szCs w:val="20"/>
              </w:rPr>
            </w:pPr>
            <w:r w:rsidRPr="003E7CAC">
              <w:rPr>
                <w:rFonts w:cstheme="minorHAnsi"/>
                <w:sz w:val="20"/>
                <w:szCs w:val="20"/>
              </w:rPr>
              <w:t>Ln Residential multifamily</w:t>
            </w:r>
          </w:p>
        </w:tc>
        <w:tc>
          <w:tcPr>
            <w:tcW w:w="0" w:type="auto"/>
          </w:tcPr>
          <w:p w14:paraId="60F3617C" w14:textId="77777777" w:rsidR="001749AD" w:rsidRPr="003E7CAC" w:rsidRDefault="001749AD" w:rsidP="00AB4C8A">
            <w:pPr>
              <w:pStyle w:val="NoSpacing"/>
              <w:rPr>
                <w:rFonts w:cstheme="minorHAnsi"/>
                <w:w w:val="95"/>
                <w:sz w:val="20"/>
                <w:szCs w:val="20"/>
              </w:rPr>
            </w:pPr>
            <w:r w:rsidRPr="003E7CAC">
              <w:rPr>
                <w:rFonts w:cstheme="minorHAnsi"/>
                <w:w w:val="95"/>
                <w:sz w:val="20"/>
                <w:szCs w:val="20"/>
              </w:rPr>
              <w:t>–0.011</w:t>
            </w:r>
          </w:p>
        </w:tc>
        <w:tc>
          <w:tcPr>
            <w:tcW w:w="0" w:type="auto"/>
          </w:tcPr>
          <w:p w14:paraId="73EFAFDB" w14:textId="77777777" w:rsidR="001749AD" w:rsidRPr="003E7CAC" w:rsidRDefault="001749AD" w:rsidP="00AB4C8A">
            <w:pPr>
              <w:pStyle w:val="NoSpacing"/>
              <w:rPr>
                <w:rFonts w:cstheme="minorHAnsi"/>
                <w:sz w:val="20"/>
                <w:szCs w:val="20"/>
              </w:rPr>
            </w:pPr>
            <w:r w:rsidRPr="003E7CAC">
              <w:rPr>
                <w:rFonts w:cstheme="minorHAnsi"/>
                <w:sz w:val="20"/>
                <w:szCs w:val="20"/>
              </w:rPr>
              <w:t>0.178</w:t>
            </w:r>
          </w:p>
        </w:tc>
        <w:tc>
          <w:tcPr>
            <w:tcW w:w="0" w:type="auto"/>
          </w:tcPr>
          <w:p w14:paraId="4D3A4E48" w14:textId="77777777" w:rsidR="001749AD" w:rsidRPr="003E7CAC" w:rsidRDefault="001749AD" w:rsidP="00AB4C8A">
            <w:pPr>
              <w:pStyle w:val="NoSpacing"/>
              <w:rPr>
                <w:rFonts w:cstheme="minorHAnsi"/>
                <w:sz w:val="20"/>
                <w:szCs w:val="20"/>
              </w:rPr>
            </w:pPr>
            <w:r w:rsidRPr="003E7CAC">
              <w:rPr>
                <w:rFonts w:cstheme="minorHAnsi"/>
                <w:sz w:val="20"/>
                <w:szCs w:val="20"/>
              </w:rPr>
              <w:t>.949</w:t>
            </w:r>
          </w:p>
        </w:tc>
        <w:tc>
          <w:tcPr>
            <w:tcW w:w="0" w:type="auto"/>
          </w:tcPr>
          <w:p w14:paraId="570D69A6" w14:textId="77777777" w:rsidR="001749AD" w:rsidRPr="003E7CAC" w:rsidRDefault="001749AD" w:rsidP="00AB4C8A">
            <w:pPr>
              <w:pStyle w:val="NoSpacing"/>
              <w:rPr>
                <w:rFonts w:cstheme="minorHAnsi"/>
                <w:sz w:val="20"/>
                <w:szCs w:val="20"/>
              </w:rPr>
            </w:pPr>
            <w:r w:rsidRPr="003E7CAC">
              <w:rPr>
                <w:rFonts w:cstheme="minorHAnsi"/>
                <w:sz w:val="20"/>
                <w:szCs w:val="20"/>
              </w:rPr>
              <w:t>0.011</w:t>
            </w:r>
          </w:p>
        </w:tc>
        <w:tc>
          <w:tcPr>
            <w:tcW w:w="0" w:type="auto"/>
          </w:tcPr>
          <w:p w14:paraId="389AF878" w14:textId="77777777" w:rsidR="001749AD" w:rsidRPr="003E7CAC" w:rsidRDefault="001749AD" w:rsidP="00AB4C8A">
            <w:pPr>
              <w:pStyle w:val="NoSpacing"/>
              <w:rPr>
                <w:rFonts w:cstheme="minorHAnsi"/>
                <w:sz w:val="20"/>
                <w:szCs w:val="20"/>
              </w:rPr>
            </w:pPr>
            <w:r w:rsidRPr="003E7CAC">
              <w:rPr>
                <w:rFonts w:cstheme="minorHAnsi"/>
                <w:sz w:val="20"/>
                <w:szCs w:val="20"/>
              </w:rPr>
              <w:t>0.272</w:t>
            </w:r>
          </w:p>
        </w:tc>
        <w:tc>
          <w:tcPr>
            <w:tcW w:w="0" w:type="auto"/>
          </w:tcPr>
          <w:p w14:paraId="2C3AF467" w14:textId="77777777" w:rsidR="001749AD" w:rsidRPr="003E7CAC" w:rsidRDefault="001749AD" w:rsidP="00AB4C8A">
            <w:pPr>
              <w:pStyle w:val="NoSpacing"/>
              <w:rPr>
                <w:rFonts w:cstheme="minorHAnsi"/>
                <w:sz w:val="20"/>
                <w:szCs w:val="20"/>
              </w:rPr>
            </w:pPr>
            <w:r w:rsidRPr="003E7CAC">
              <w:rPr>
                <w:rFonts w:cstheme="minorHAnsi"/>
                <w:sz w:val="20"/>
                <w:szCs w:val="20"/>
              </w:rPr>
              <w:t>.968</w:t>
            </w:r>
          </w:p>
        </w:tc>
      </w:tr>
      <w:tr w:rsidR="001749AD" w:rsidRPr="003E7CAC" w14:paraId="11F559CF" w14:textId="77777777" w:rsidTr="00704AB6">
        <w:trPr>
          <w:trHeight w:val="194"/>
        </w:trPr>
        <w:tc>
          <w:tcPr>
            <w:tcW w:w="0" w:type="auto"/>
          </w:tcPr>
          <w:p w14:paraId="71C963DB" w14:textId="77777777" w:rsidR="001749AD" w:rsidRPr="003E7CAC" w:rsidRDefault="001749AD" w:rsidP="00C368B5">
            <w:pPr>
              <w:pStyle w:val="NoSpacing"/>
              <w:ind w:left="334"/>
              <w:rPr>
                <w:rFonts w:cstheme="minorHAnsi"/>
                <w:sz w:val="20"/>
                <w:szCs w:val="20"/>
              </w:rPr>
            </w:pPr>
            <w:r w:rsidRPr="003E7CAC">
              <w:rPr>
                <w:rFonts w:cstheme="minorHAnsi"/>
                <w:sz w:val="20"/>
                <w:szCs w:val="20"/>
              </w:rPr>
              <w:t>Ln Residential single family</w:t>
            </w:r>
          </w:p>
        </w:tc>
        <w:tc>
          <w:tcPr>
            <w:tcW w:w="0" w:type="auto"/>
          </w:tcPr>
          <w:p w14:paraId="5608B9C6" w14:textId="77777777" w:rsidR="001749AD" w:rsidRPr="003E7CAC" w:rsidRDefault="001749AD" w:rsidP="00AB4C8A">
            <w:pPr>
              <w:pStyle w:val="NoSpacing"/>
              <w:rPr>
                <w:rFonts w:cstheme="minorHAnsi"/>
                <w:w w:val="95"/>
                <w:sz w:val="20"/>
                <w:szCs w:val="20"/>
              </w:rPr>
            </w:pPr>
            <w:r w:rsidRPr="003E7CAC">
              <w:rPr>
                <w:rFonts w:cstheme="minorHAnsi"/>
                <w:w w:val="95"/>
                <w:sz w:val="20"/>
                <w:szCs w:val="20"/>
              </w:rPr>
              <w:t>–0.095</w:t>
            </w:r>
          </w:p>
        </w:tc>
        <w:tc>
          <w:tcPr>
            <w:tcW w:w="0" w:type="auto"/>
          </w:tcPr>
          <w:p w14:paraId="27CBCC74" w14:textId="77777777" w:rsidR="001749AD" w:rsidRPr="003E7CAC" w:rsidRDefault="001749AD" w:rsidP="00AB4C8A">
            <w:pPr>
              <w:pStyle w:val="NoSpacing"/>
              <w:rPr>
                <w:rFonts w:cstheme="minorHAnsi"/>
                <w:sz w:val="20"/>
                <w:szCs w:val="20"/>
              </w:rPr>
            </w:pPr>
            <w:r w:rsidRPr="003E7CAC">
              <w:rPr>
                <w:rFonts w:cstheme="minorHAnsi"/>
                <w:sz w:val="20"/>
                <w:szCs w:val="20"/>
              </w:rPr>
              <w:t>0.179</w:t>
            </w:r>
          </w:p>
        </w:tc>
        <w:tc>
          <w:tcPr>
            <w:tcW w:w="0" w:type="auto"/>
          </w:tcPr>
          <w:p w14:paraId="506F4AB7" w14:textId="77777777" w:rsidR="001749AD" w:rsidRPr="003E7CAC" w:rsidRDefault="001749AD" w:rsidP="00AB4C8A">
            <w:pPr>
              <w:pStyle w:val="NoSpacing"/>
              <w:rPr>
                <w:rFonts w:cstheme="minorHAnsi"/>
                <w:sz w:val="20"/>
                <w:szCs w:val="20"/>
              </w:rPr>
            </w:pPr>
            <w:r w:rsidRPr="003E7CAC">
              <w:rPr>
                <w:rFonts w:cstheme="minorHAnsi"/>
                <w:sz w:val="20"/>
                <w:szCs w:val="20"/>
              </w:rPr>
              <w:t>.596</w:t>
            </w:r>
          </w:p>
        </w:tc>
        <w:tc>
          <w:tcPr>
            <w:tcW w:w="0" w:type="auto"/>
          </w:tcPr>
          <w:p w14:paraId="7DCAB94C" w14:textId="77777777" w:rsidR="001749AD" w:rsidRPr="003E7CAC" w:rsidRDefault="001749AD" w:rsidP="00AB4C8A">
            <w:pPr>
              <w:pStyle w:val="NoSpacing"/>
              <w:rPr>
                <w:rFonts w:cstheme="minorHAnsi"/>
                <w:sz w:val="20"/>
                <w:szCs w:val="20"/>
              </w:rPr>
            </w:pPr>
            <w:r w:rsidRPr="003E7CAC">
              <w:rPr>
                <w:rFonts w:cstheme="minorHAnsi"/>
                <w:sz w:val="20"/>
                <w:szCs w:val="20"/>
              </w:rPr>
              <w:t>0.382</w:t>
            </w:r>
          </w:p>
        </w:tc>
        <w:tc>
          <w:tcPr>
            <w:tcW w:w="0" w:type="auto"/>
          </w:tcPr>
          <w:p w14:paraId="6533979C" w14:textId="77777777" w:rsidR="001749AD" w:rsidRPr="003E7CAC" w:rsidRDefault="001749AD" w:rsidP="00AB4C8A">
            <w:pPr>
              <w:pStyle w:val="NoSpacing"/>
              <w:rPr>
                <w:rFonts w:cstheme="minorHAnsi"/>
                <w:sz w:val="20"/>
                <w:szCs w:val="20"/>
              </w:rPr>
            </w:pPr>
            <w:r w:rsidRPr="003E7CAC">
              <w:rPr>
                <w:rFonts w:cstheme="minorHAnsi"/>
                <w:sz w:val="20"/>
                <w:szCs w:val="20"/>
              </w:rPr>
              <w:t>0.264</w:t>
            </w:r>
          </w:p>
        </w:tc>
        <w:tc>
          <w:tcPr>
            <w:tcW w:w="0" w:type="auto"/>
          </w:tcPr>
          <w:p w14:paraId="074C3762" w14:textId="77777777" w:rsidR="001749AD" w:rsidRPr="003E7CAC" w:rsidRDefault="001749AD" w:rsidP="00AB4C8A">
            <w:pPr>
              <w:pStyle w:val="NoSpacing"/>
              <w:rPr>
                <w:rFonts w:cstheme="minorHAnsi"/>
                <w:sz w:val="20"/>
                <w:szCs w:val="20"/>
              </w:rPr>
            </w:pPr>
            <w:r w:rsidRPr="003E7CAC">
              <w:rPr>
                <w:rFonts w:cstheme="minorHAnsi"/>
                <w:sz w:val="20"/>
                <w:szCs w:val="20"/>
              </w:rPr>
              <w:t>.154</w:t>
            </w:r>
          </w:p>
        </w:tc>
      </w:tr>
      <w:tr w:rsidR="001749AD" w:rsidRPr="003E7CAC" w14:paraId="34B49D58" w14:textId="77777777" w:rsidTr="00704AB6">
        <w:trPr>
          <w:trHeight w:val="208"/>
        </w:trPr>
        <w:tc>
          <w:tcPr>
            <w:tcW w:w="0" w:type="auto"/>
          </w:tcPr>
          <w:p w14:paraId="0C831E50" w14:textId="77777777" w:rsidR="001749AD" w:rsidRPr="003E7CAC" w:rsidRDefault="001749AD" w:rsidP="00AB4C8A">
            <w:pPr>
              <w:pStyle w:val="NoSpacing"/>
              <w:rPr>
                <w:rFonts w:cstheme="minorHAnsi"/>
                <w:sz w:val="20"/>
                <w:szCs w:val="20"/>
              </w:rPr>
            </w:pPr>
            <w:r w:rsidRPr="003E7CAC">
              <w:rPr>
                <w:rFonts w:cstheme="minorHAnsi"/>
                <w:sz w:val="20"/>
                <w:szCs w:val="20"/>
              </w:rPr>
              <w:t>Controls</w:t>
            </w:r>
          </w:p>
        </w:tc>
        <w:tc>
          <w:tcPr>
            <w:tcW w:w="0" w:type="auto"/>
          </w:tcPr>
          <w:p w14:paraId="1D2E9AD0" w14:textId="77777777" w:rsidR="001749AD" w:rsidRPr="003E7CAC" w:rsidRDefault="001749AD" w:rsidP="00AB4C8A">
            <w:pPr>
              <w:pStyle w:val="NoSpacing"/>
              <w:rPr>
                <w:rFonts w:cstheme="minorHAnsi"/>
                <w:sz w:val="20"/>
                <w:szCs w:val="20"/>
              </w:rPr>
            </w:pPr>
          </w:p>
        </w:tc>
        <w:tc>
          <w:tcPr>
            <w:tcW w:w="0" w:type="auto"/>
          </w:tcPr>
          <w:p w14:paraId="1FF5D66F" w14:textId="77777777" w:rsidR="001749AD" w:rsidRPr="003E7CAC" w:rsidRDefault="001749AD" w:rsidP="00AB4C8A">
            <w:pPr>
              <w:pStyle w:val="NoSpacing"/>
              <w:rPr>
                <w:rFonts w:cstheme="minorHAnsi"/>
                <w:sz w:val="20"/>
                <w:szCs w:val="20"/>
              </w:rPr>
            </w:pPr>
          </w:p>
        </w:tc>
        <w:tc>
          <w:tcPr>
            <w:tcW w:w="0" w:type="auto"/>
          </w:tcPr>
          <w:p w14:paraId="353034FF" w14:textId="77777777" w:rsidR="001749AD" w:rsidRPr="003E7CAC" w:rsidRDefault="001749AD" w:rsidP="00AB4C8A">
            <w:pPr>
              <w:pStyle w:val="NoSpacing"/>
              <w:rPr>
                <w:rFonts w:cstheme="minorHAnsi"/>
                <w:sz w:val="20"/>
                <w:szCs w:val="20"/>
              </w:rPr>
            </w:pPr>
          </w:p>
        </w:tc>
        <w:tc>
          <w:tcPr>
            <w:tcW w:w="0" w:type="auto"/>
          </w:tcPr>
          <w:p w14:paraId="31FEAF65" w14:textId="77777777" w:rsidR="001749AD" w:rsidRPr="003E7CAC" w:rsidRDefault="001749AD" w:rsidP="00AB4C8A">
            <w:pPr>
              <w:pStyle w:val="NoSpacing"/>
              <w:rPr>
                <w:rFonts w:cstheme="minorHAnsi"/>
                <w:sz w:val="20"/>
                <w:szCs w:val="20"/>
              </w:rPr>
            </w:pPr>
          </w:p>
        </w:tc>
        <w:tc>
          <w:tcPr>
            <w:tcW w:w="0" w:type="auto"/>
          </w:tcPr>
          <w:p w14:paraId="129B906F" w14:textId="77777777" w:rsidR="001749AD" w:rsidRPr="003E7CAC" w:rsidRDefault="001749AD" w:rsidP="00AB4C8A">
            <w:pPr>
              <w:pStyle w:val="NoSpacing"/>
              <w:rPr>
                <w:rFonts w:cstheme="minorHAnsi"/>
                <w:sz w:val="20"/>
                <w:szCs w:val="20"/>
              </w:rPr>
            </w:pPr>
          </w:p>
        </w:tc>
        <w:tc>
          <w:tcPr>
            <w:tcW w:w="0" w:type="auto"/>
          </w:tcPr>
          <w:p w14:paraId="7500A486" w14:textId="77777777" w:rsidR="001749AD" w:rsidRPr="003E7CAC" w:rsidRDefault="001749AD" w:rsidP="00AB4C8A">
            <w:pPr>
              <w:pStyle w:val="NoSpacing"/>
              <w:rPr>
                <w:rFonts w:cstheme="minorHAnsi"/>
                <w:sz w:val="20"/>
                <w:szCs w:val="20"/>
              </w:rPr>
            </w:pPr>
          </w:p>
        </w:tc>
      </w:tr>
      <w:tr w:rsidR="001749AD" w:rsidRPr="003E7CAC" w14:paraId="23C54821" w14:textId="77777777" w:rsidTr="00704AB6">
        <w:trPr>
          <w:trHeight w:val="208"/>
        </w:trPr>
        <w:tc>
          <w:tcPr>
            <w:tcW w:w="0" w:type="auto"/>
          </w:tcPr>
          <w:p w14:paraId="1E7E7869" w14:textId="5BD6A0C5" w:rsidR="001749AD" w:rsidRPr="003E7CAC" w:rsidRDefault="001749AD" w:rsidP="00420D01">
            <w:pPr>
              <w:pStyle w:val="NoSpacing"/>
              <w:ind w:left="334"/>
              <w:rPr>
                <w:rFonts w:cstheme="minorHAnsi"/>
                <w:sz w:val="20"/>
                <w:szCs w:val="20"/>
              </w:rPr>
            </w:pPr>
            <w:r w:rsidRPr="003E7CAC">
              <w:rPr>
                <w:rFonts w:cstheme="minorHAnsi"/>
                <w:sz w:val="20"/>
                <w:szCs w:val="20"/>
              </w:rPr>
              <w:t>Social disorganization</w:t>
            </w:r>
          </w:p>
        </w:tc>
        <w:tc>
          <w:tcPr>
            <w:tcW w:w="0" w:type="auto"/>
          </w:tcPr>
          <w:p w14:paraId="74DE0BBD" w14:textId="113BDCA7" w:rsidR="001749AD" w:rsidRPr="003E7CAC" w:rsidRDefault="001749AD" w:rsidP="00AB4C8A">
            <w:pPr>
              <w:pStyle w:val="NoSpacing"/>
              <w:rPr>
                <w:rFonts w:cstheme="minorHAnsi"/>
                <w:sz w:val="20"/>
                <w:szCs w:val="20"/>
              </w:rPr>
            </w:pPr>
            <w:r w:rsidRPr="003E7CAC">
              <w:rPr>
                <w:rFonts w:cstheme="minorHAnsi"/>
                <w:sz w:val="20"/>
                <w:szCs w:val="20"/>
              </w:rPr>
              <w:t xml:space="preserve">–0.023 </w:t>
            </w:r>
          </w:p>
        </w:tc>
        <w:tc>
          <w:tcPr>
            <w:tcW w:w="0" w:type="auto"/>
          </w:tcPr>
          <w:p w14:paraId="05754953" w14:textId="408CA745" w:rsidR="001749AD" w:rsidRPr="003E7CAC" w:rsidRDefault="001749AD" w:rsidP="00AB4C8A">
            <w:pPr>
              <w:pStyle w:val="NoSpacing"/>
              <w:rPr>
                <w:rFonts w:cstheme="minorHAnsi"/>
                <w:sz w:val="20"/>
                <w:szCs w:val="20"/>
              </w:rPr>
            </w:pPr>
            <w:r w:rsidRPr="003E7CAC">
              <w:rPr>
                <w:rFonts w:cstheme="minorHAnsi"/>
                <w:sz w:val="20"/>
                <w:szCs w:val="20"/>
              </w:rPr>
              <w:t>0.041</w:t>
            </w:r>
          </w:p>
        </w:tc>
        <w:tc>
          <w:tcPr>
            <w:tcW w:w="0" w:type="auto"/>
          </w:tcPr>
          <w:p w14:paraId="7F8AABC6" w14:textId="38A9F59D" w:rsidR="001749AD" w:rsidRPr="003E7CAC" w:rsidRDefault="001749AD" w:rsidP="00AB4C8A">
            <w:pPr>
              <w:pStyle w:val="NoSpacing"/>
              <w:rPr>
                <w:rFonts w:cstheme="minorHAnsi"/>
                <w:sz w:val="20"/>
                <w:szCs w:val="20"/>
              </w:rPr>
            </w:pPr>
            <w:r w:rsidRPr="003E7CAC">
              <w:rPr>
                <w:rFonts w:cstheme="minorHAnsi"/>
                <w:sz w:val="20"/>
                <w:szCs w:val="20"/>
              </w:rPr>
              <w:t>.580</w:t>
            </w:r>
          </w:p>
        </w:tc>
        <w:tc>
          <w:tcPr>
            <w:tcW w:w="0" w:type="auto"/>
          </w:tcPr>
          <w:p w14:paraId="64DE2FB1" w14:textId="376E5484" w:rsidR="001749AD" w:rsidRPr="003E7CAC" w:rsidRDefault="001749AD" w:rsidP="00AB4C8A">
            <w:pPr>
              <w:pStyle w:val="NoSpacing"/>
              <w:rPr>
                <w:rFonts w:cstheme="minorHAnsi"/>
                <w:sz w:val="20"/>
                <w:szCs w:val="20"/>
              </w:rPr>
            </w:pPr>
            <w:r w:rsidRPr="003E7CAC">
              <w:rPr>
                <w:rFonts w:cstheme="minorHAnsi"/>
                <w:sz w:val="20"/>
                <w:szCs w:val="20"/>
              </w:rPr>
              <w:t>0.083</w:t>
            </w:r>
          </w:p>
        </w:tc>
        <w:tc>
          <w:tcPr>
            <w:tcW w:w="0" w:type="auto"/>
          </w:tcPr>
          <w:p w14:paraId="3AD87743" w14:textId="0432C243" w:rsidR="001749AD" w:rsidRPr="003E7CAC" w:rsidRDefault="001749AD" w:rsidP="00AB4C8A">
            <w:pPr>
              <w:pStyle w:val="NoSpacing"/>
              <w:rPr>
                <w:rFonts w:cstheme="minorHAnsi"/>
                <w:sz w:val="20"/>
                <w:szCs w:val="20"/>
              </w:rPr>
            </w:pPr>
            <w:r w:rsidRPr="003E7CAC">
              <w:rPr>
                <w:rFonts w:cstheme="minorHAnsi"/>
                <w:sz w:val="20"/>
                <w:szCs w:val="20"/>
              </w:rPr>
              <w:t>0.062</w:t>
            </w:r>
          </w:p>
        </w:tc>
        <w:tc>
          <w:tcPr>
            <w:tcW w:w="0" w:type="auto"/>
          </w:tcPr>
          <w:p w14:paraId="1D6416A4" w14:textId="48967F79" w:rsidR="001749AD" w:rsidRPr="003E7CAC" w:rsidRDefault="001749AD" w:rsidP="00AB4C8A">
            <w:pPr>
              <w:pStyle w:val="NoSpacing"/>
              <w:rPr>
                <w:rFonts w:cstheme="minorHAnsi"/>
                <w:sz w:val="20"/>
                <w:szCs w:val="20"/>
              </w:rPr>
            </w:pPr>
            <w:r w:rsidRPr="003E7CAC">
              <w:rPr>
                <w:rFonts w:cstheme="minorHAnsi"/>
                <w:sz w:val="20"/>
                <w:szCs w:val="20"/>
              </w:rPr>
              <w:t>.192</w:t>
            </w:r>
          </w:p>
        </w:tc>
      </w:tr>
      <w:tr w:rsidR="001749AD" w:rsidRPr="003E7CAC" w14:paraId="6590A7DF" w14:textId="77777777" w:rsidTr="00704AB6">
        <w:trPr>
          <w:trHeight w:val="208"/>
        </w:trPr>
        <w:tc>
          <w:tcPr>
            <w:tcW w:w="0" w:type="auto"/>
          </w:tcPr>
          <w:p w14:paraId="2F6D1A47" w14:textId="22D070FE" w:rsidR="001749AD" w:rsidRPr="003E7CAC" w:rsidRDefault="001749AD" w:rsidP="00420D01">
            <w:pPr>
              <w:pStyle w:val="NoSpacing"/>
              <w:ind w:left="334"/>
              <w:rPr>
                <w:rFonts w:cstheme="minorHAnsi"/>
                <w:sz w:val="20"/>
                <w:szCs w:val="20"/>
              </w:rPr>
            </w:pPr>
            <w:r w:rsidRPr="003E7CAC">
              <w:rPr>
                <w:rFonts w:cstheme="minorHAnsi"/>
                <w:sz w:val="20"/>
                <w:szCs w:val="20"/>
              </w:rPr>
              <w:lastRenderedPageBreak/>
              <w:t>Ln population density</w:t>
            </w:r>
          </w:p>
        </w:tc>
        <w:tc>
          <w:tcPr>
            <w:tcW w:w="0" w:type="auto"/>
          </w:tcPr>
          <w:p w14:paraId="0795EC6A" w14:textId="62E73A66" w:rsidR="001749AD" w:rsidRPr="003E7CAC" w:rsidRDefault="001749AD" w:rsidP="00AB4C8A">
            <w:pPr>
              <w:pStyle w:val="NoSpacing"/>
              <w:rPr>
                <w:rFonts w:cstheme="minorHAnsi"/>
                <w:sz w:val="20"/>
                <w:szCs w:val="20"/>
              </w:rPr>
            </w:pPr>
            <w:r w:rsidRPr="003E7CAC">
              <w:rPr>
                <w:rFonts w:cstheme="minorHAnsi"/>
                <w:sz w:val="20"/>
                <w:szCs w:val="20"/>
              </w:rPr>
              <w:t xml:space="preserve">0.185 </w:t>
            </w:r>
          </w:p>
        </w:tc>
        <w:tc>
          <w:tcPr>
            <w:tcW w:w="0" w:type="auto"/>
          </w:tcPr>
          <w:p w14:paraId="1D9B5116" w14:textId="5BB84095" w:rsidR="001749AD" w:rsidRPr="003E7CAC" w:rsidRDefault="001749AD" w:rsidP="00AB4C8A">
            <w:pPr>
              <w:pStyle w:val="NoSpacing"/>
              <w:rPr>
                <w:rFonts w:cstheme="minorHAnsi"/>
                <w:sz w:val="20"/>
                <w:szCs w:val="20"/>
              </w:rPr>
            </w:pPr>
            <w:r w:rsidRPr="003E7CAC">
              <w:rPr>
                <w:rFonts w:cstheme="minorHAnsi"/>
                <w:sz w:val="20"/>
                <w:szCs w:val="20"/>
              </w:rPr>
              <w:t>0.103</w:t>
            </w:r>
          </w:p>
        </w:tc>
        <w:tc>
          <w:tcPr>
            <w:tcW w:w="0" w:type="auto"/>
          </w:tcPr>
          <w:p w14:paraId="6A8283C5" w14:textId="4F7BA595" w:rsidR="001749AD" w:rsidRPr="003E7CAC" w:rsidRDefault="001749AD" w:rsidP="00AB4C8A">
            <w:pPr>
              <w:pStyle w:val="NoSpacing"/>
              <w:rPr>
                <w:rFonts w:cstheme="minorHAnsi"/>
                <w:sz w:val="20"/>
                <w:szCs w:val="20"/>
              </w:rPr>
            </w:pPr>
            <w:r w:rsidRPr="003E7CAC">
              <w:rPr>
                <w:rFonts w:cstheme="minorHAnsi"/>
                <w:sz w:val="20"/>
                <w:szCs w:val="20"/>
              </w:rPr>
              <w:t>.071</w:t>
            </w:r>
          </w:p>
        </w:tc>
        <w:tc>
          <w:tcPr>
            <w:tcW w:w="0" w:type="auto"/>
          </w:tcPr>
          <w:p w14:paraId="7D62F316" w14:textId="7B4CC6E9" w:rsidR="001749AD" w:rsidRPr="003E7CAC" w:rsidRDefault="001749AD" w:rsidP="00AB4C8A">
            <w:pPr>
              <w:pStyle w:val="NoSpacing"/>
              <w:rPr>
                <w:rFonts w:cstheme="minorHAnsi"/>
                <w:sz w:val="20"/>
                <w:szCs w:val="20"/>
              </w:rPr>
            </w:pPr>
            <w:r w:rsidRPr="003E7CAC">
              <w:rPr>
                <w:rFonts w:cstheme="minorHAnsi"/>
                <w:sz w:val="20"/>
                <w:szCs w:val="20"/>
              </w:rPr>
              <w:t>0.166</w:t>
            </w:r>
          </w:p>
        </w:tc>
        <w:tc>
          <w:tcPr>
            <w:tcW w:w="0" w:type="auto"/>
          </w:tcPr>
          <w:p w14:paraId="58148901" w14:textId="0C54E18D" w:rsidR="001749AD" w:rsidRPr="003E7CAC" w:rsidRDefault="001749AD" w:rsidP="00AB4C8A">
            <w:pPr>
              <w:pStyle w:val="NoSpacing"/>
              <w:rPr>
                <w:rFonts w:cstheme="minorHAnsi"/>
                <w:sz w:val="20"/>
                <w:szCs w:val="20"/>
              </w:rPr>
            </w:pPr>
            <w:r w:rsidRPr="003E7CAC">
              <w:rPr>
                <w:rFonts w:cstheme="minorHAnsi"/>
                <w:sz w:val="20"/>
                <w:szCs w:val="20"/>
              </w:rPr>
              <w:t>0.158</w:t>
            </w:r>
          </w:p>
        </w:tc>
        <w:tc>
          <w:tcPr>
            <w:tcW w:w="0" w:type="auto"/>
          </w:tcPr>
          <w:p w14:paraId="26D8C880" w14:textId="7EDEAA45" w:rsidR="001749AD" w:rsidRPr="003E7CAC" w:rsidRDefault="001749AD" w:rsidP="00AB4C8A">
            <w:pPr>
              <w:pStyle w:val="NoSpacing"/>
              <w:rPr>
                <w:rFonts w:cstheme="minorHAnsi"/>
                <w:sz w:val="20"/>
                <w:szCs w:val="20"/>
              </w:rPr>
            </w:pPr>
            <w:r w:rsidRPr="003E7CAC">
              <w:rPr>
                <w:rFonts w:cstheme="minorHAnsi"/>
                <w:sz w:val="20"/>
                <w:szCs w:val="20"/>
              </w:rPr>
              <w:t>.299</w:t>
            </w:r>
          </w:p>
        </w:tc>
      </w:tr>
      <w:tr w:rsidR="001749AD" w:rsidRPr="003E7CAC" w14:paraId="69917362" w14:textId="77777777" w:rsidTr="00704AB6">
        <w:trPr>
          <w:trHeight w:val="208"/>
        </w:trPr>
        <w:tc>
          <w:tcPr>
            <w:tcW w:w="0" w:type="auto"/>
          </w:tcPr>
          <w:p w14:paraId="388AB1BB" w14:textId="59CFB355" w:rsidR="001749AD" w:rsidRPr="003E7CAC" w:rsidRDefault="001749AD" w:rsidP="00420D01">
            <w:pPr>
              <w:pStyle w:val="NoSpacing"/>
              <w:ind w:left="334"/>
              <w:rPr>
                <w:rFonts w:cstheme="minorHAnsi"/>
                <w:sz w:val="20"/>
                <w:szCs w:val="20"/>
              </w:rPr>
            </w:pPr>
            <w:r w:rsidRPr="003E7CAC">
              <w:rPr>
                <w:rFonts w:cstheme="minorHAnsi"/>
                <w:sz w:val="20"/>
                <w:szCs w:val="20"/>
              </w:rPr>
              <w:t>Ln % African American</w:t>
            </w:r>
          </w:p>
        </w:tc>
        <w:tc>
          <w:tcPr>
            <w:tcW w:w="0" w:type="auto"/>
          </w:tcPr>
          <w:p w14:paraId="3BD124FB" w14:textId="1F7D4147" w:rsidR="001749AD" w:rsidRPr="003E7CAC" w:rsidRDefault="001749AD" w:rsidP="00AB4C8A">
            <w:pPr>
              <w:pStyle w:val="NoSpacing"/>
              <w:rPr>
                <w:rFonts w:cstheme="minorHAnsi"/>
                <w:sz w:val="20"/>
                <w:szCs w:val="20"/>
              </w:rPr>
            </w:pPr>
            <w:r w:rsidRPr="003E7CAC">
              <w:rPr>
                <w:rFonts w:cstheme="minorHAnsi"/>
                <w:sz w:val="20"/>
                <w:szCs w:val="20"/>
              </w:rPr>
              <w:t xml:space="preserve">0.881 </w:t>
            </w:r>
          </w:p>
        </w:tc>
        <w:tc>
          <w:tcPr>
            <w:tcW w:w="0" w:type="auto"/>
          </w:tcPr>
          <w:p w14:paraId="6184870D" w14:textId="233E038E" w:rsidR="001749AD" w:rsidRPr="003E7CAC" w:rsidRDefault="001749AD" w:rsidP="00AB4C8A">
            <w:pPr>
              <w:pStyle w:val="NoSpacing"/>
              <w:rPr>
                <w:rFonts w:cstheme="minorHAnsi"/>
                <w:sz w:val="20"/>
                <w:szCs w:val="20"/>
              </w:rPr>
            </w:pPr>
            <w:r w:rsidRPr="003E7CAC">
              <w:rPr>
                <w:rFonts w:cstheme="minorHAnsi"/>
                <w:sz w:val="20"/>
                <w:szCs w:val="20"/>
              </w:rPr>
              <w:t>0.691</w:t>
            </w:r>
          </w:p>
        </w:tc>
        <w:tc>
          <w:tcPr>
            <w:tcW w:w="0" w:type="auto"/>
          </w:tcPr>
          <w:p w14:paraId="343DDDB5" w14:textId="66700CF1" w:rsidR="001749AD" w:rsidRPr="003E7CAC" w:rsidRDefault="001749AD" w:rsidP="00AB4C8A">
            <w:pPr>
              <w:pStyle w:val="NoSpacing"/>
              <w:rPr>
                <w:rFonts w:cstheme="minorHAnsi"/>
                <w:sz w:val="20"/>
                <w:szCs w:val="20"/>
              </w:rPr>
            </w:pPr>
            <w:r w:rsidRPr="003E7CAC">
              <w:rPr>
                <w:rFonts w:cstheme="minorHAnsi"/>
                <w:sz w:val="20"/>
                <w:szCs w:val="20"/>
              </w:rPr>
              <w:t>.202</w:t>
            </w:r>
          </w:p>
        </w:tc>
        <w:tc>
          <w:tcPr>
            <w:tcW w:w="0" w:type="auto"/>
          </w:tcPr>
          <w:p w14:paraId="798607F8" w14:textId="085F120E" w:rsidR="001749AD" w:rsidRPr="003E7CAC" w:rsidRDefault="001749AD" w:rsidP="00AB4C8A">
            <w:pPr>
              <w:pStyle w:val="NoSpacing"/>
              <w:rPr>
                <w:rFonts w:cstheme="minorHAnsi"/>
                <w:sz w:val="20"/>
                <w:szCs w:val="20"/>
              </w:rPr>
            </w:pPr>
            <w:r w:rsidRPr="003E7CAC">
              <w:rPr>
                <w:rFonts w:cstheme="minorHAnsi"/>
                <w:sz w:val="20"/>
                <w:szCs w:val="20"/>
              </w:rPr>
              <w:t>0.917</w:t>
            </w:r>
          </w:p>
        </w:tc>
        <w:tc>
          <w:tcPr>
            <w:tcW w:w="0" w:type="auto"/>
          </w:tcPr>
          <w:p w14:paraId="25ECA20B" w14:textId="7A0FAF23" w:rsidR="001749AD" w:rsidRPr="003E7CAC" w:rsidRDefault="001749AD" w:rsidP="00AB4C8A">
            <w:pPr>
              <w:pStyle w:val="NoSpacing"/>
              <w:rPr>
                <w:rFonts w:cstheme="minorHAnsi"/>
                <w:sz w:val="20"/>
                <w:szCs w:val="20"/>
              </w:rPr>
            </w:pPr>
            <w:r w:rsidRPr="003E7CAC">
              <w:rPr>
                <w:rFonts w:cstheme="minorHAnsi"/>
                <w:sz w:val="20"/>
                <w:szCs w:val="20"/>
              </w:rPr>
              <w:t>1.086</w:t>
            </w:r>
          </w:p>
        </w:tc>
        <w:tc>
          <w:tcPr>
            <w:tcW w:w="0" w:type="auto"/>
          </w:tcPr>
          <w:p w14:paraId="021137AC" w14:textId="707EBC1D" w:rsidR="001749AD" w:rsidRPr="003E7CAC" w:rsidRDefault="001749AD" w:rsidP="00AB4C8A">
            <w:pPr>
              <w:pStyle w:val="NoSpacing"/>
              <w:rPr>
                <w:rFonts w:cstheme="minorHAnsi"/>
                <w:sz w:val="20"/>
                <w:szCs w:val="20"/>
              </w:rPr>
            </w:pPr>
            <w:r w:rsidRPr="003E7CAC">
              <w:rPr>
                <w:rFonts w:cstheme="minorHAnsi"/>
                <w:sz w:val="20"/>
                <w:szCs w:val="20"/>
              </w:rPr>
              <w:t>.403</w:t>
            </w:r>
          </w:p>
        </w:tc>
      </w:tr>
      <w:tr w:rsidR="001749AD" w:rsidRPr="003E7CAC" w14:paraId="7B0D71C9" w14:textId="77777777" w:rsidTr="00704AB6">
        <w:trPr>
          <w:trHeight w:val="208"/>
        </w:trPr>
        <w:tc>
          <w:tcPr>
            <w:tcW w:w="0" w:type="auto"/>
          </w:tcPr>
          <w:p w14:paraId="2CD13C51" w14:textId="3A75557D" w:rsidR="001749AD" w:rsidRPr="003E7CAC" w:rsidRDefault="001749AD" w:rsidP="00420D01">
            <w:pPr>
              <w:pStyle w:val="NoSpacing"/>
              <w:ind w:left="334"/>
              <w:rPr>
                <w:rFonts w:cstheme="minorHAnsi"/>
                <w:sz w:val="20"/>
                <w:szCs w:val="20"/>
              </w:rPr>
            </w:pPr>
            <w:r w:rsidRPr="003E7CAC">
              <w:rPr>
                <w:rFonts w:cstheme="minorHAnsi"/>
                <w:sz w:val="20"/>
                <w:szCs w:val="20"/>
              </w:rPr>
              <w:t>Ln control simple assault</w:t>
            </w:r>
          </w:p>
        </w:tc>
        <w:tc>
          <w:tcPr>
            <w:tcW w:w="0" w:type="auto"/>
          </w:tcPr>
          <w:p w14:paraId="7203B1E2" w14:textId="12E87F7B" w:rsidR="001749AD" w:rsidRPr="003E7CAC" w:rsidRDefault="001749AD" w:rsidP="00AB4C8A">
            <w:pPr>
              <w:pStyle w:val="NoSpacing"/>
              <w:rPr>
                <w:rFonts w:cstheme="minorHAnsi"/>
                <w:sz w:val="20"/>
                <w:szCs w:val="20"/>
              </w:rPr>
            </w:pPr>
            <w:r w:rsidRPr="003E7CAC">
              <w:rPr>
                <w:rFonts w:cstheme="minorHAnsi"/>
                <w:sz w:val="20"/>
                <w:szCs w:val="20"/>
              </w:rPr>
              <w:t xml:space="preserve">0.688 </w:t>
            </w:r>
          </w:p>
        </w:tc>
        <w:tc>
          <w:tcPr>
            <w:tcW w:w="0" w:type="auto"/>
          </w:tcPr>
          <w:p w14:paraId="12CC2FBA" w14:textId="7C6F3F3D" w:rsidR="001749AD" w:rsidRPr="003E7CAC" w:rsidRDefault="003E7CAC" w:rsidP="00AB4C8A">
            <w:pPr>
              <w:pStyle w:val="NoSpacing"/>
              <w:rPr>
                <w:rFonts w:cstheme="minorHAnsi"/>
                <w:sz w:val="20"/>
                <w:szCs w:val="20"/>
              </w:rPr>
            </w:pPr>
            <w:r w:rsidRPr="003E7CAC">
              <w:rPr>
                <w:rFonts w:cstheme="minorHAnsi"/>
                <w:sz w:val="20"/>
                <w:szCs w:val="20"/>
              </w:rPr>
              <w:t>0.080</w:t>
            </w:r>
          </w:p>
        </w:tc>
        <w:tc>
          <w:tcPr>
            <w:tcW w:w="0" w:type="auto"/>
          </w:tcPr>
          <w:p w14:paraId="3E4FB987" w14:textId="72D62904" w:rsidR="001749AD" w:rsidRPr="003E7CAC" w:rsidRDefault="003E7CAC" w:rsidP="00AB4C8A">
            <w:pPr>
              <w:pStyle w:val="NoSpacing"/>
              <w:rPr>
                <w:rFonts w:cstheme="minorHAnsi"/>
                <w:sz w:val="20"/>
                <w:szCs w:val="20"/>
              </w:rPr>
            </w:pPr>
            <w:r w:rsidRPr="003E7CAC">
              <w:rPr>
                <w:rFonts w:cstheme="minorHAnsi"/>
                <w:sz w:val="20"/>
                <w:szCs w:val="20"/>
              </w:rPr>
              <w:t>.000</w:t>
            </w:r>
          </w:p>
        </w:tc>
        <w:tc>
          <w:tcPr>
            <w:tcW w:w="0" w:type="auto"/>
          </w:tcPr>
          <w:p w14:paraId="2E6C53DF" w14:textId="769452B8" w:rsidR="001749AD" w:rsidRPr="003E7CAC" w:rsidRDefault="001749AD" w:rsidP="00AB4C8A">
            <w:pPr>
              <w:pStyle w:val="NoSpacing"/>
              <w:rPr>
                <w:rFonts w:cstheme="minorHAnsi"/>
                <w:sz w:val="20"/>
                <w:szCs w:val="20"/>
              </w:rPr>
            </w:pPr>
            <w:r w:rsidRPr="003E7CAC">
              <w:rPr>
                <w:rFonts w:cstheme="minorHAnsi"/>
                <w:sz w:val="20"/>
                <w:szCs w:val="20"/>
              </w:rPr>
              <w:t>–</w:t>
            </w:r>
          </w:p>
        </w:tc>
        <w:tc>
          <w:tcPr>
            <w:tcW w:w="0" w:type="auto"/>
          </w:tcPr>
          <w:p w14:paraId="0CDA4E8F" w14:textId="7FF497F4" w:rsidR="001749AD" w:rsidRPr="003E7CAC" w:rsidRDefault="001749AD" w:rsidP="00AB4C8A">
            <w:pPr>
              <w:pStyle w:val="NoSpacing"/>
              <w:rPr>
                <w:rFonts w:cstheme="minorHAnsi"/>
                <w:sz w:val="20"/>
                <w:szCs w:val="20"/>
              </w:rPr>
            </w:pPr>
            <w:r w:rsidRPr="003E7CAC">
              <w:rPr>
                <w:rFonts w:cstheme="minorHAnsi"/>
                <w:sz w:val="20"/>
                <w:szCs w:val="20"/>
              </w:rPr>
              <w:t>–</w:t>
            </w:r>
          </w:p>
        </w:tc>
        <w:tc>
          <w:tcPr>
            <w:tcW w:w="0" w:type="auto"/>
          </w:tcPr>
          <w:p w14:paraId="2E046E6F" w14:textId="4DC24768" w:rsidR="001749AD" w:rsidRPr="003E7CAC" w:rsidRDefault="001749AD" w:rsidP="00AB4C8A">
            <w:pPr>
              <w:pStyle w:val="NoSpacing"/>
              <w:rPr>
                <w:rFonts w:cstheme="minorHAnsi"/>
                <w:sz w:val="20"/>
                <w:szCs w:val="20"/>
              </w:rPr>
            </w:pPr>
            <w:r w:rsidRPr="003E7CAC">
              <w:rPr>
                <w:rFonts w:cstheme="minorHAnsi"/>
                <w:sz w:val="20"/>
                <w:szCs w:val="20"/>
              </w:rPr>
              <w:t>–</w:t>
            </w:r>
          </w:p>
        </w:tc>
      </w:tr>
      <w:tr w:rsidR="001749AD" w:rsidRPr="003E7CAC" w14:paraId="60D18E6B" w14:textId="77777777" w:rsidTr="00704AB6">
        <w:trPr>
          <w:trHeight w:val="208"/>
        </w:trPr>
        <w:tc>
          <w:tcPr>
            <w:tcW w:w="0" w:type="auto"/>
          </w:tcPr>
          <w:p w14:paraId="6F37D398" w14:textId="66D72735" w:rsidR="001749AD" w:rsidRPr="003E7CAC" w:rsidRDefault="001749AD" w:rsidP="00420D01">
            <w:pPr>
              <w:pStyle w:val="NoSpacing"/>
              <w:ind w:left="334"/>
              <w:rPr>
                <w:rFonts w:cstheme="minorHAnsi"/>
                <w:sz w:val="20"/>
                <w:szCs w:val="20"/>
              </w:rPr>
            </w:pPr>
            <w:r w:rsidRPr="003E7CAC">
              <w:rPr>
                <w:rFonts w:cstheme="minorHAnsi"/>
                <w:sz w:val="20"/>
                <w:szCs w:val="20"/>
              </w:rPr>
              <w:t>Ln control aggravated assault</w:t>
            </w:r>
          </w:p>
        </w:tc>
        <w:tc>
          <w:tcPr>
            <w:tcW w:w="0" w:type="auto"/>
          </w:tcPr>
          <w:p w14:paraId="4BBD7131" w14:textId="77E455D4" w:rsidR="001749AD" w:rsidRPr="003E7CAC" w:rsidRDefault="001749AD" w:rsidP="00AB4C8A">
            <w:pPr>
              <w:pStyle w:val="NoSpacing"/>
              <w:rPr>
                <w:rFonts w:cstheme="minorHAnsi"/>
                <w:sz w:val="20"/>
                <w:szCs w:val="20"/>
              </w:rPr>
            </w:pPr>
            <w:r w:rsidRPr="003E7CAC">
              <w:rPr>
                <w:rFonts w:cstheme="minorHAnsi"/>
                <w:sz w:val="20"/>
                <w:szCs w:val="20"/>
              </w:rPr>
              <w:t xml:space="preserve">– </w:t>
            </w:r>
          </w:p>
        </w:tc>
        <w:tc>
          <w:tcPr>
            <w:tcW w:w="0" w:type="auto"/>
          </w:tcPr>
          <w:p w14:paraId="3DAC521F" w14:textId="0DBDAD44" w:rsidR="001749AD" w:rsidRPr="003E7CAC" w:rsidRDefault="003E7CAC" w:rsidP="00AB4C8A">
            <w:pPr>
              <w:pStyle w:val="NoSpacing"/>
              <w:rPr>
                <w:rFonts w:cstheme="minorHAnsi"/>
                <w:sz w:val="20"/>
                <w:szCs w:val="20"/>
              </w:rPr>
            </w:pPr>
            <w:r w:rsidRPr="003E7CAC">
              <w:rPr>
                <w:rFonts w:cstheme="minorHAnsi"/>
                <w:sz w:val="20"/>
                <w:szCs w:val="20"/>
              </w:rPr>
              <w:t>–</w:t>
            </w:r>
          </w:p>
        </w:tc>
        <w:tc>
          <w:tcPr>
            <w:tcW w:w="0" w:type="auto"/>
          </w:tcPr>
          <w:p w14:paraId="16D749A1" w14:textId="4464DE1F" w:rsidR="001749AD" w:rsidRPr="003E7CAC" w:rsidRDefault="003E7CAC" w:rsidP="00AB4C8A">
            <w:pPr>
              <w:pStyle w:val="NoSpacing"/>
              <w:rPr>
                <w:rFonts w:cstheme="minorHAnsi"/>
                <w:sz w:val="20"/>
                <w:szCs w:val="20"/>
              </w:rPr>
            </w:pPr>
            <w:r w:rsidRPr="003E7CAC">
              <w:rPr>
                <w:rFonts w:cstheme="minorHAnsi"/>
                <w:sz w:val="20"/>
                <w:szCs w:val="20"/>
              </w:rPr>
              <w:t>–</w:t>
            </w:r>
          </w:p>
        </w:tc>
        <w:tc>
          <w:tcPr>
            <w:tcW w:w="0" w:type="auto"/>
          </w:tcPr>
          <w:p w14:paraId="46280986" w14:textId="2D6CA0E1" w:rsidR="001749AD" w:rsidRPr="003E7CAC" w:rsidRDefault="003E7CAC" w:rsidP="00AB4C8A">
            <w:pPr>
              <w:pStyle w:val="NoSpacing"/>
              <w:rPr>
                <w:rFonts w:cstheme="minorHAnsi"/>
                <w:sz w:val="20"/>
                <w:szCs w:val="20"/>
              </w:rPr>
            </w:pPr>
            <w:r w:rsidRPr="003E7CAC">
              <w:rPr>
                <w:rFonts w:cstheme="minorHAnsi"/>
                <w:sz w:val="20"/>
                <w:szCs w:val="20"/>
              </w:rPr>
              <w:t>0.416</w:t>
            </w:r>
          </w:p>
        </w:tc>
        <w:tc>
          <w:tcPr>
            <w:tcW w:w="0" w:type="auto"/>
          </w:tcPr>
          <w:p w14:paraId="09022A88" w14:textId="77C1F3B2" w:rsidR="001749AD" w:rsidRPr="003E7CAC" w:rsidRDefault="003E7CAC" w:rsidP="00AB4C8A">
            <w:pPr>
              <w:pStyle w:val="NoSpacing"/>
              <w:rPr>
                <w:rFonts w:cstheme="minorHAnsi"/>
                <w:sz w:val="20"/>
                <w:szCs w:val="20"/>
              </w:rPr>
            </w:pPr>
            <w:r w:rsidRPr="003E7CAC">
              <w:rPr>
                <w:rFonts w:cstheme="minorHAnsi"/>
                <w:sz w:val="20"/>
                <w:szCs w:val="20"/>
              </w:rPr>
              <w:t>0.138</w:t>
            </w:r>
          </w:p>
        </w:tc>
        <w:tc>
          <w:tcPr>
            <w:tcW w:w="0" w:type="auto"/>
          </w:tcPr>
          <w:p w14:paraId="33265682" w14:textId="61ADD86C" w:rsidR="001749AD" w:rsidRPr="003E7CAC" w:rsidRDefault="003E7CAC" w:rsidP="00AB4C8A">
            <w:pPr>
              <w:pStyle w:val="NoSpacing"/>
              <w:rPr>
                <w:rFonts w:cstheme="minorHAnsi"/>
                <w:sz w:val="20"/>
                <w:szCs w:val="20"/>
              </w:rPr>
            </w:pPr>
            <w:r w:rsidRPr="003E7CAC">
              <w:rPr>
                <w:rFonts w:cstheme="minorHAnsi"/>
                <w:sz w:val="20"/>
                <w:szCs w:val="20"/>
              </w:rPr>
              <w:t>.004</w:t>
            </w:r>
          </w:p>
        </w:tc>
      </w:tr>
      <w:tr w:rsidR="001749AD" w:rsidRPr="003E7CAC" w14:paraId="67080D14" w14:textId="77777777" w:rsidTr="00704AB6">
        <w:trPr>
          <w:trHeight w:val="208"/>
        </w:trPr>
        <w:tc>
          <w:tcPr>
            <w:tcW w:w="0" w:type="auto"/>
          </w:tcPr>
          <w:p w14:paraId="3062804F" w14:textId="6330752A" w:rsidR="001749AD" w:rsidRPr="003E7CAC" w:rsidRDefault="001749AD" w:rsidP="00420D01">
            <w:pPr>
              <w:pStyle w:val="NoSpacing"/>
              <w:ind w:left="334"/>
              <w:rPr>
                <w:rFonts w:cstheme="minorHAnsi"/>
                <w:sz w:val="20"/>
                <w:szCs w:val="20"/>
              </w:rPr>
            </w:pPr>
            <w:r w:rsidRPr="003E7CAC">
              <w:rPr>
                <w:rFonts w:cstheme="minorHAnsi"/>
                <w:sz w:val="20"/>
                <w:szCs w:val="20"/>
              </w:rPr>
              <w:t>Rho—Simple assault density</w:t>
            </w:r>
          </w:p>
        </w:tc>
        <w:tc>
          <w:tcPr>
            <w:tcW w:w="0" w:type="auto"/>
          </w:tcPr>
          <w:p w14:paraId="4DE12932" w14:textId="1D992727" w:rsidR="001749AD" w:rsidRPr="003E7CAC" w:rsidRDefault="001749AD" w:rsidP="00AB4C8A">
            <w:pPr>
              <w:pStyle w:val="NoSpacing"/>
              <w:rPr>
                <w:rFonts w:cstheme="minorHAnsi"/>
                <w:sz w:val="20"/>
                <w:szCs w:val="20"/>
              </w:rPr>
            </w:pPr>
            <w:r w:rsidRPr="003E7CAC">
              <w:rPr>
                <w:rFonts w:cstheme="minorHAnsi"/>
                <w:sz w:val="20"/>
                <w:szCs w:val="20"/>
              </w:rPr>
              <w:t xml:space="preserve">0.214 </w:t>
            </w:r>
          </w:p>
        </w:tc>
        <w:tc>
          <w:tcPr>
            <w:tcW w:w="0" w:type="auto"/>
          </w:tcPr>
          <w:p w14:paraId="51F63C7A" w14:textId="177FBD17" w:rsidR="001749AD" w:rsidRPr="003E7CAC" w:rsidRDefault="003E7CAC" w:rsidP="00AB4C8A">
            <w:pPr>
              <w:pStyle w:val="NoSpacing"/>
              <w:rPr>
                <w:rFonts w:cstheme="minorHAnsi"/>
                <w:sz w:val="20"/>
                <w:szCs w:val="20"/>
              </w:rPr>
            </w:pPr>
            <w:r w:rsidRPr="003E7CAC">
              <w:rPr>
                <w:rFonts w:cstheme="minorHAnsi"/>
                <w:sz w:val="20"/>
                <w:szCs w:val="20"/>
              </w:rPr>
              <w:t>0.100</w:t>
            </w:r>
          </w:p>
        </w:tc>
        <w:tc>
          <w:tcPr>
            <w:tcW w:w="0" w:type="auto"/>
          </w:tcPr>
          <w:p w14:paraId="6E7B01F0" w14:textId="0F341060" w:rsidR="001749AD" w:rsidRPr="003E7CAC" w:rsidRDefault="003E7CAC" w:rsidP="00AB4C8A">
            <w:pPr>
              <w:pStyle w:val="NoSpacing"/>
              <w:rPr>
                <w:rFonts w:cstheme="minorHAnsi"/>
                <w:sz w:val="20"/>
                <w:szCs w:val="20"/>
              </w:rPr>
            </w:pPr>
            <w:r w:rsidRPr="003E7CAC">
              <w:rPr>
                <w:rFonts w:cstheme="minorHAnsi"/>
                <w:sz w:val="20"/>
                <w:szCs w:val="20"/>
              </w:rPr>
              <w:t>.033</w:t>
            </w:r>
          </w:p>
        </w:tc>
        <w:tc>
          <w:tcPr>
            <w:tcW w:w="0" w:type="auto"/>
          </w:tcPr>
          <w:p w14:paraId="0C62035B" w14:textId="1D2F71E4" w:rsidR="001749AD" w:rsidRPr="003E7CAC" w:rsidRDefault="003E7CAC" w:rsidP="00AB4C8A">
            <w:pPr>
              <w:pStyle w:val="NoSpacing"/>
              <w:rPr>
                <w:rFonts w:cstheme="minorHAnsi"/>
                <w:sz w:val="20"/>
                <w:szCs w:val="20"/>
              </w:rPr>
            </w:pPr>
            <w:r w:rsidRPr="003E7CAC">
              <w:rPr>
                <w:rFonts w:cstheme="minorHAnsi"/>
                <w:sz w:val="20"/>
                <w:szCs w:val="20"/>
              </w:rPr>
              <w:t>–</w:t>
            </w:r>
          </w:p>
        </w:tc>
        <w:tc>
          <w:tcPr>
            <w:tcW w:w="0" w:type="auto"/>
          </w:tcPr>
          <w:p w14:paraId="27275FAD" w14:textId="79BFC49C" w:rsidR="001749AD" w:rsidRPr="003E7CAC" w:rsidRDefault="003E7CAC" w:rsidP="00AB4C8A">
            <w:pPr>
              <w:pStyle w:val="NoSpacing"/>
              <w:rPr>
                <w:rFonts w:cstheme="minorHAnsi"/>
                <w:sz w:val="20"/>
                <w:szCs w:val="20"/>
              </w:rPr>
            </w:pPr>
            <w:r w:rsidRPr="003E7CAC">
              <w:rPr>
                <w:rFonts w:cstheme="minorHAnsi"/>
                <w:sz w:val="20"/>
                <w:szCs w:val="20"/>
              </w:rPr>
              <w:t>–</w:t>
            </w:r>
          </w:p>
        </w:tc>
        <w:tc>
          <w:tcPr>
            <w:tcW w:w="0" w:type="auto"/>
          </w:tcPr>
          <w:p w14:paraId="2C8E3806" w14:textId="580FF8CA" w:rsidR="001749AD" w:rsidRPr="003E7CAC" w:rsidRDefault="003E7CAC" w:rsidP="00AB4C8A">
            <w:pPr>
              <w:pStyle w:val="NoSpacing"/>
              <w:rPr>
                <w:rFonts w:cstheme="minorHAnsi"/>
                <w:sz w:val="20"/>
                <w:szCs w:val="20"/>
              </w:rPr>
            </w:pPr>
            <w:r w:rsidRPr="003E7CAC">
              <w:rPr>
                <w:rFonts w:cstheme="minorHAnsi"/>
                <w:sz w:val="20"/>
                <w:szCs w:val="20"/>
              </w:rPr>
              <w:t>–</w:t>
            </w:r>
          </w:p>
        </w:tc>
      </w:tr>
      <w:tr w:rsidR="001749AD" w:rsidRPr="003E7CAC" w14:paraId="3757B660" w14:textId="77777777" w:rsidTr="00704AB6">
        <w:trPr>
          <w:trHeight w:val="208"/>
        </w:trPr>
        <w:tc>
          <w:tcPr>
            <w:tcW w:w="0" w:type="auto"/>
          </w:tcPr>
          <w:p w14:paraId="07E764B6" w14:textId="6BDDB89E" w:rsidR="001749AD" w:rsidRPr="003E7CAC" w:rsidRDefault="001749AD" w:rsidP="00420D01">
            <w:pPr>
              <w:pStyle w:val="NoSpacing"/>
              <w:ind w:left="334"/>
              <w:rPr>
                <w:rFonts w:cstheme="minorHAnsi"/>
                <w:sz w:val="20"/>
                <w:szCs w:val="20"/>
              </w:rPr>
            </w:pPr>
            <w:r w:rsidRPr="003E7CAC">
              <w:rPr>
                <w:rFonts w:cstheme="minorHAnsi"/>
                <w:sz w:val="20"/>
                <w:szCs w:val="20"/>
              </w:rPr>
              <w:t>Intercept</w:t>
            </w:r>
          </w:p>
        </w:tc>
        <w:tc>
          <w:tcPr>
            <w:tcW w:w="0" w:type="auto"/>
          </w:tcPr>
          <w:p w14:paraId="530F4C9E" w14:textId="2497FA50" w:rsidR="001749AD" w:rsidRPr="003E7CAC" w:rsidRDefault="001749AD" w:rsidP="00AB4C8A">
            <w:pPr>
              <w:pStyle w:val="NoSpacing"/>
              <w:rPr>
                <w:rFonts w:cstheme="minorHAnsi"/>
                <w:sz w:val="20"/>
                <w:szCs w:val="20"/>
              </w:rPr>
            </w:pPr>
            <w:r w:rsidRPr="003E7CAC">
              <w:rPr>
                <w:rFonts w:cstheme="minorHAnsi"/>
                <w:sz w:val="20"/>
                <w:szCs w:val="20"/>
              </w:rPr>
              <w:t xml:space="preserve">–1.408 </w:t>
            </w:r>
          </w:p>
        </w:tc>
        <w:tc>
          <w:tcPr>
            <w:tcW w:w="0" w:type="auto"/>
          </w:tcPr>
          <w:p w14:paraId="0CFB3393" w14:textId="756A8FF3" w:rsidR="001749AD" w:rsidRPr="003E7CAC" w:rsidRDefault="003E7CAC" w:rsidP="00AB4C8A">
            <w:pPr>
              <w:pStyle w:val="NoSpacing"/>
              <w:rPr>
                <w:rFonts w:cstheme="minorHAnsi"/>
                <w:sz w:val="20"/>
                <w:szCs w:val="20"/>
              </w:rPr>
            </w:pPr>
            <w:r w:rsidRPr="003E7CAC">
              <w:rPr>
                <w:rFonts w:cstheme="minorHAnsi"/>
                <w:sz w:val="20"/>
                <w:szCs w:val="20"/>
              </w:rPr>
              <w:t>0.839</w:t>
            </w:r>
          </w:p>
        </w:tc>
        <w:tc>
          <w:tcPr>
            <w:tcW w:w="0" w:type="auto"/>
          </w:tcPr>
          <w:p w14:paraId="1BF650A4" w14:textId="6C4AD84F" w:rsidR="001749AD" w:rsidRPr="003E7CAC" w:rsidRDefault="003E7CAC" w:rsidP="00AB4C8A">
            <w:pPr>
              <w:pStyle w:val="NoSpacing"/>
              <w:rPr>
                <w:rFonts w:cstheme="minorHAnsi"/>
                <w:sz w:val="20"/>
                <w:szCs w:val="20"/>
              </w:rPr>
            </w:pPr>
            <w:r w:rsidRPr="003E7CAC">
              <w:rPr>
                <w:rFonts w:cstheme="minorHAnsi"/>
                <w:sz w:val="20"/>
                <w:szCs w:val="20"/>
              </w:rPr>
              <w:t>.093</w:t>
            </w:r>
          </w:p>
        </w:tc>
        <w:tc>
          <w:tcPr>
            <w:tcW w:w="0" w:type="auto"/>
          </w:tcPr>
          <w:p w14:paraId="00DFE000" w14:textId="3B86AACB" w:rsidR="001749AD" w:rsidRPr="003E7CAC" w:rsidRDefault="003E7CAC" w:rsidP="00AB4C8A">
            <w:pPr>
              <w:pStyle w:val="NoSpacing"/>
              <w:rPr>
                <w:rFonts w:cstheme="minorHAnsi"/>
                <w:sz w:val="20"/>
                <w:szCs w:val="20"/>
              </w:rPr>
            </w:pPr>
            <w:r w:rsidRPr="003E7CAC">
              <w:rPr>
                <w:rFonts w:cstheme="minorHAnsi"/>
                <w:sz w:val="20"/>
                <w:szCs w:val="20"/>
              </w:rPr>
              <w:t>–0.858</w:t>
            </w:r>
          </w:p>
        </w:tc>
        <w:tc>
          <w:tcPr>
            <w:tcW w:w="0" w:type="auto"/>
          </w:tcPr>
          <w:p w14:paraId="27A104F1" w14:textId="4C62700B" w:rsidR="001749AD" w:rsidRPr="003E7CAC" w:rsidRDefault="003E7CAC" w:rsidP="00AB4C8A">
            <w:pPr>
              <w:pStyle w:val="NoSpacing"/>
              <w:rPr>
                <w:rFonts w:cstheme="minorHAnsi"/>
                <w:sz w:val="20"/>
                <w:szCs w:val="20"/>
              </w:rPr>
            </w:pPr>
            <w:r w:rsidRPr="003E7CAC">
              <w:rPr>
                <w:rFonts w:cstheme="minorHAnsi"/>
                <w:sz w:val="20"/>
                <w:szCs w:val="20"/>
              </w:rPr>
              <w:t>1.274</w:t>
            </w:r>
          </w:p>
        </w:tc>
        <w:tc>
          <w:tcPr>
            <w:tcW w:w="0" w:type="auto"/>
          </w:tcPr>
          <w:p w14:paraId="67475A15" w14:textId="36EC5EBD" w:rsidR="001749AD" w:rsidRPr="003E7CAC" w:rsidRDefault="003E7CAC" w:rsidP="00AB4C8A">
            <w:pPr>
              <w:pStyle w:val="NoSpacing"/>
              <w:rPr>
                <w:rFonts w:cstheme="minorHAnsi"/>
                <w:sz w:val="20"/>
                <w:szCs w:val="20"/>
              </w:rPr>
            </w:pPr>
            <w:r w:rsidRPr="003E7CAC">
              <w:rPr>
                <w:rFonts w:cstheme="minorHAnsi"/>
                <w:sz w:val="20"/>
                <w:szCs w:val="20"/>
              </w:rPr>
              <w:t>.504</w:t>
            </w:r>
          </w:p>
        </w:tc>
      </w:tr>
      <w:tr w:rsidR="001749AD" w:rsidRPr="003E7CAC" w14:paraId="3B4C9CEC" w14:textId="77777777" w:rsidTr="00704AB6">
        <w:trPr>
          <w:trHeight w:val="208"/>
        </w:trPr>
        <w:tc>
          <w:tcPr>
            <w:tcW w:w="0" w:type="auto"/>
          </w:tcPr>
          <w:p w14:paraId="712442F1" w14:textId="5C257930" w:rsidR="001749AD" w:rsidRPr="003E7CAC" w:rsidRDefault="001749AD" w:rsidP="00AB4C8A">
            <w:pPr>
              <w:pStyle w:val="NoSpacing"/>
              <w:rPr>
                <w:rFonts w:cstheme="minorHAnsi"/>
                <w:sz w:val="20"/>
                <w:szCs w:val="20"/>
              </w:rPr>
            </w:pPr>
            <w:r w:rsidRPr="003E7CAC">
              <w:rPr>
                <w:rFonts w:cstheme="minorHAnsi"/>
                <w:sz w:val="20"/>
                <w:szCs w:val="20"/>
              </w:rPr>
              <w:t>R</w:t>
            </w:r>
            <w:r w:rsidRPr="003E7CAC">
              <w:rPr>
                <w:rFonts w:cstheme="minorHAnsi"/>
                <w:sz w:val="20"/>
                <w:szCs w:val="20"/>
                <w:vertAlign w:val="superscript"/>
              </w:rPr>
              <w:t>2</w:t>
            </w:r>
          </w:p>
        </w:tc>
        <w:tc>
          <w:tcPr>
            <w:tcW w:w="0" w:type="auto"/>
          </w:tcPr>
          <w:p w14:paraId="1728FCEE" w14:textId="0066762C" w:rsidR="001749AD" w:rsidRPr="003E7CAC" w:rsidRDefault="001749AD" w:rsidP="00AB4C8A">
            <w:pPr>
              <w:pStyle w:val="NoSpacing"/>
              <w:rPr>
                <w:rFonts w:cstheme="minorHAnsi"/>
                <w:sz w:val="20"/>
                <w:szCs w:val="20"/>
              </w:rPr>
            </w:pPr>
          </w:p>
        </w:tc>
        <w:tc>
          <w:tcPr>
            <w:tcW w:w="0" w:type="auto"/>
          </w:tcPr>
          <w:p w14:paraId="1A7C0729" w14:textId="75D01527" w:rsidR="001749AD" w:rsidRPr="003E7CAC" w:rsidRDefault="003E7CAC" w:rsidP="00AB4C8A">
            <w:pPr>
              <w:pStyle w:val="NoSpacing"/>
              <w:rPr>
                <w:rFonts w:cstheme="minorHAnsi"/>
                <w:sz w:val="20"/>
                <w:szCs w:val="20"/>
              </w:rPr>
            </w:pPr>
            <w:r w:rsidRPr="003E7CAC">
              <w:rPr>
                <w:rFonts w:cstheme="minorHAnsi"/>
                <w:sz w:val="20"/>
                <w:szCs w:val="20"/>
              </w:rPr>
              <w:t>.84</w:t>
            </w:r>
          </w:p>
        </w:tc>
        <w:tc>
          <w:tcPr>
            <w:tcW w:w="0" w:type="auto"/>
          </w:tcPr>
          <w:p w14:paraId="232B7B6D" w14:textId="77777777" w:rsidR="001749AD" w:rsidRPr="003E7CAC" w:rsidRDefault="001749AD" w:rsidP="00AB4C8A">
            <w:pPr>
              <w:pStyle w:val="NoSpacing"/>
              <w:rPr>
                <w:rFonts w:cstheme="minorHAnsi"/>
                <w:sz w:val="20"/>
                <w:szCs w:val="20"/>
              </w:rPr>
            </w:pPr>
          </w:p>
        </w:tc>
        <w:tc>
          <w:tcPr>
            <w:tcW w:w="0" w:type="auto"/>
          </w:tcPr>
          <w:p w14:paraId="406E7C5E" w14:textId="77777777" w:rsidR="001749AD" w:rsidRPr="003E7CAC" w:rsidRDefault="001749AD" w:rsidP="00AB4C8A">
            <w:pPr>
              <w:pStyle w:val="NoSpacing"/>
              <w:rPr>
                <w:rFonts w:cstheme="minorHAnsi"/>
                <w:sz w:val="20"/>
                <w:szCs w:val="20"/>
              </w:rPr>
            </w:pPr>
          </w:p>
        </w:tc>
        <w:tc>
          <w:tcPr>
            <w:tcW w:w="0" w:type="auto"/>
          </w:tcPr>
          <w:p w14:paraId="69A5F58B" w14:textId="10BBB911" w:rsidR="001749AD" w:rsidRPr="003E7CAC" w:rsidRDefault="003E7CAC" w:rsidP="00AB4C8A">
            <w:pPr>
              <w:pStyle w:val="NoSpacing"/>
              <w:rPr>
                <w:rFonts w:cstheme="minorHAnsi"/>
                <w:sz w:val="20"/>
                <w:szCs w:val="20"/>
              </w:rPr>
            </w:pPr>
            <w:r w:rsidRPr="003E7CAC">
              <w:rPr>
                <w:rFonts w:cstheme="minorHAnsi"/>
                <w:sz w:val="20"/>
                <w:szCs w:val="20"/>
              </w:rPr>
              <w:t>.57</w:t>
            </w:r>
          </w:p>
        </w:tc>
        <w:tc>
          <w:tcPr>
            <w:tcW w:w="0" w:type="auto"/>
          </w:tcPr>
          <w:p w14:paraId="1EC9B5B5" w14:textId="77777777" w:rsidR="001749AD" w:rsidRPr="003E7CAC" w:rsidRDefault="001749AD" w:rsidP="00AB4C8A">
            <w:pPr>
              <w:pStyle w:val="NoSpacing"/>
              <w:rPr>
                <w:rFonts w:cstheme="minorHAnsi"/>
                <w:sz w:val="20"/>
                <w:szCs w:val="20"/>
              </w:rPr>
            </w:pPr>
          </w:p>
        </w:tc>
      </w:tr>
    </w:tbl>
    <w:p w14:paraId="10050BC5" w14:textId="77777777" w:rsidR="00AB4C8A" w:rsidRPr="00AB4C8A" w:rsidRDefault="00AB4C8A" w:rsidP="00AB4C8A">
      <w:pPr>
        <w:kinsoku w:val="0"/>
        <w:overflowPunct w:val="0"/>
        <w:autoSpaceDE w:val="0"/>
        <w:autoSpaceDN w:val="0"/>
        <w:adjustRightInd w:val="0"/>
        <w:spacing w:after="0" w:line="240" w:lineRule="auto"/>
        <w:rPr>
          <w:rFonts w:ascii="Gill Sans MT" w:hAnsi="Gill Sans MT" w:cs="Gill Sans MT"/>
          <w:sz w:val="20"/>
          <w:szCs w:val="20"/>
        </w:rPr>
      </w:pPr>
    </w:p>
    <w:p w14:paraId="36050C26" w14:textId="25E48BA5" w:rsidR="00923FF9" w:rsidRPr="00923FF9" w:rsidRDefault="00923FF9" w:rsidP="00923FF9">
      <w:r w:rsidRPr="00923FF9">
        <w:t>Table 6 summarizes the interaction effects because it was necessary to estimate several models to test the various interaction terms. All moderating effects shown in Table 6 were adjusted for social disorganization, all other land use types, population density, percentage African American, and spatial autocorrelation (when necessary). The results show that the strength of the association between alcohol outlet density and assault was not conditioned by land use, as none of the 14 interaction terms were significant.</w:t>
      </w:r>
    </w:p>
    <w:p w14:paraId="60EC68A0" w14:textId="76512B0C" w:rsidR="00923FF9" w:rsidRPr="00923FF9" w:rsidRDefault="00923FF9" w:rsidP="00626E6C">
      <w:pPr>
        <w:spacing w:after="0"/>
      </w:pPr>
      <w:r w:rsidRPr="00923FF9">
        <w:rPr>
          <w:b/>
          <w:bCs/>
        </w:rPr>
        <w:t>Table 6.</w:t>
      </w:r>
      <w:r w:rsidRPr="00923FF9">
        <w:t xml:space="preserve"> Summary of Interaction </w:t>
      </w:r>
      <w:proofErr w:type="spellStart"/>
      <w:r w:rsidRPr="00923FF9">
        <w:t>Effects.</w:t>
      </w:r>
      <w:r w:rsidRPr="00923FF9">
        <w:rPr>
          <w:vertAlign w:val="superscript"/>
        </w:rPr>
        <w:t>a</w:t>
      </w:r>
      <w:proofErr w:type="spellEnd"/>
    </w:p>
    <w:tbl>
      <w:tblPr>
        <w:tblStyle w:val="TableGrid"/>
        <w:tblW w:w="0" w:type="auto"/>
        <w:tblLook w:val="04A0" w:firstRow="1" w:lastRow="0" w:firstColumn="1" w:lastColumn="0" w:noHBand="0" w:noVBand="1"/>
      </w:tblPr>
      <w:tblGrid>
        <w:gridCol w:w="3327"/>
        <w:gridCol w:w="1817"/>
        <w:gridCol w:w="2235"/>
      </w:tblGrid>
      <w:tr w:rsidR="00626E6C" w:rsidRPr="004D3468" w14:paraId="083FDB27" w14:textId="77777777" w:rsidTr="005B5CD7">
        <w:tc>
          <w:tcPr>
            <w:tcW w:w="0" w:type="auto"/>
          </w:tcPr>
          <w:p w14:paraId="13278689" w14:textId="77777777" w:rsidR="00626E6C" w:rsidRPr="004D3468" w:rsidRDefault="00626E6C" w:rsidP="004D3468">
            <w:pPr>
              <w:pStyle w:val="NoSpacing"/>
            </w:pPr>
          </w:p>
        </w:tc>
        <w:tc>
          <w:tcPr>
            <w:tcW w:w="0" w:type="auto"/>
          </w:tcPr>
          <w:p w14:paraId="6E60E75F" w14:textId="6573D1D9" w:rsidR="00626E6C" w:rsidRPr="004D3468" w:rsidRDefault="00DE218A" w:rsidP="004D3468">
            <w:pPr>
              <w:pStyle w:val="NoSpacing"/>
            </w:pPr>
            <w:r w:rsidRPr="004D3468">
              <w:t xml:space="preserve">Simple Assaults, </w:t>
            </w:r>
            <w:r w:rsidRPr="004D3468">
              <w:rPr>
                <w:i/>
                <w:iCs/>
              </w:rPr>
              <w:t>p</w:t>
            </w:r>
          </w:p>
        </w:tc>
        <w:tc>
          <w:tcPr>
            <w:tcW w:w="0" w:type="auto"/>
          </w:tcPr>
          <w:p w14:paraId="16990ACB" w14:textId="25F2F5B8" w:rsidR="00626E6C" w:rsidRPr="004D3468" w:rsidRDefault="005A4A7B" w:rsidP="004D3468">
            <w:pPr>
              <w:pStyle w:val="NoSpacing"/>
            </w:pPr>
            <w:r w:rsidRPr="004D3468">
              <w:t xml:space="preserve">Aggravated Assaults, </w:t>
            </w:r>
            <w:r w:rsidRPr="004D3468">
              <w:rPr>
                <w:i/>
                <w:iCs/>
              </w:rPr>
              <w:t>p</w:t>
            </w:r>
          </w:p>
        </w:tc>
      </w:tr>
      <w:tr w:rsidR="00626E6C" w:rsidRPr="004D3468" w14:paraId="142212E9" w14:textId="77777777" w:rsidTr="005B5CD7">
        <w:tc>
          <w:tcPr>
            <w:tcW w:w="0" w:type="auto"/>
          </w:tcPr>
          <w:p w14:paraId="14C70CA3" w14:textId="5E9B5EF3" w:rsidR="00626E6C" w:rsidRPr="004D3468" w:rsidRDefault="005A4A7B" w:rsidP="004D3468">
            <w:pPr>
              <w:pStyle w:val="NoSpacing"/>
            </w:pPr>
            <w:r w:rsidRPr="004D3468">
              <w:t xml:space="preserve">Outlets </w:t>
            </w:r>
            <w:r w:rsidR="004D3468">
              <w:rPr>
                <w:rFonts w:ascii="Cambria Math" w:hAnsi="Cambria Math"/>
              </w:rPr>
              <w:t>⨯</w:t>
            </w:r>
            <w:r w:rsidRPr="004D3468">
              <w:t xml:space="preserve"> Commercial Arterial </w:t>
            </w:r>
          </w:p>
        </w:tc>
        <w:tc>
          <w:tcPr>
            <w:tcW w:w="0" w:type="auto"/>
          </w:tcPr>
          <w:p w14:paraId="333C75CC" w14:textId="09968A0A" w:rsidR="00626E6C" w:rsidRPr="004D3468" w:rsidRDefault="004D3468" w:rsidP="004D3468">
            <w:pPr>
              <w:pStyle w:val="NoSpacing"/>
            </w:pPr>
            <w:r w:rsidRPr="004D3468">
              <w:t>.270</w:t>
            </w:r>
          </w:p>
        </w:tc>
        <w:tc>
          <w:tcPr>
            <w:tcW w:w="0" w:type="auto"/>
          </w:tcPr>
          <w:p w14:paraId="317FEFDF" w14:textId="043B5CEB" w:rsidR="00626E6C" w:rsidRPr="004D3468" w:rsidRDefault="004D3468" w:rsidP="004D3468">
            <w:pPr>
              <w:pStyle w:val="NoSpacing"/>
            </w:pPr>
            <w:r w:rsidRPr="004D3468">
              <w:t>.779</w:t>
            </w:r>
          </w:p>
        </w:tc>
      </w:tr>
      <w:tr w:rsidR="00626E6C" w:rsidRPr="004D3468" w14:paraId="6A8DD744" w14:textId="77777777" w:rsidTr="005B5CD7">
        <w:tc>
          <w:tcPr>
            <w:tcW w:w="0" w:type="auto"/>
          </w:tcPr>
          <w:p w14:paraId="7A3C2066" w14:textId="547F2A8B" w:rsidR="00626E6C" w:rsidRPr="004D3468" w:rsidRDefault="005A4A7B" w:rsidP="004D3468">
            <w:pPr>
              <w:pStyle w:val="NoSpacing"/>
            </w:pPr>
            <w:r w:rsidRPr="004D3468">
              <w:t xml:space="preserve">Outlets </w:t>
            </w:r>
            <w:r w:rsidR="004D3468">
              <w:rPr>
                <w:rFonts w:ascii="Cambria Math" w:hAnsi="Cambria Math"/>
              </w:rPr>
              <w:t>⨯</w:t>
            </w:r>
            <w:r w:rsidRPr="004D3468">
              <w:t xml:space="preserve"> Commercial General </w:t>
            </w:r>
          </w:p>
        </w:tc>
        <w:tc>
          <w:tcPr>
            <w:tcW w:w="0" w:type="auto"/>
          </w:tcPr>
          <w:p w14:paraId="6FB3EC40" w14:textId="2D8FEC24" w:rsidR="00626E6C" w:rsidRPr="004D3468" w:rsidRDefault="004D3468" w:rsidP="004D3468">
            <w:pPr>
              <w:pStyle w:val="NoSpacing"/>
            </w:pPr>
            <w:r w:rsidRPr="004D3468">
              <w:t>.330</w:t>
            </w:r>
          </w:p>
        </w:tc>
        <w:tc>
          <w:tcPr>
            <w:tcW w:w="0" w:type="auto"/>
          </w:tcPr>
          <w:p w14:paraId="647B558C" w14:textId="10CD80D8" w:rsidR="00626E6C" w:rsidRPr="004D3468" w:rsidRDefault="004D3468" w:rsidP="004D3468">
            <w:pPr>
              <w:pStyle w:val="NoSpacing"/>
            </w:pPr>
            <w:r w:rsidRPr="004D3468">
              <w:t>.369</w:t>
            </w:r>
          </w:p>
        </w:tc>
      </w:tr>
      <w:tr w:rsidR="00626E6C" w:rsidRPr="004D3468" w14:paraId="13799026" w14:textId="77777777" w:rsidTr="005B5CD7">
        <w:tc>
          <w:tcPr>
            <w:tcW w:w="0" w:type="auto"/>
          </w:tcPr>
          <w:p w14:paraId="5E882BC2" w14:textId="31F49103" w:rsidR="00626E6C" w:rsidRPr="004D3468" w:rsidRDefault="005A4A7B" w:rsidP="004D3468">
            <w:pPr>
              <w:pStyle w:val="NoSpacing"/>
            </w:pPr>
            <w:r w:rsidRPr="004D3468">
              <w:t xml:space="preserve">Outlets </w:t>
            </w:r>
            <w:r w:rsidR="004D3468">
              <w:rPr>
                <w:rFonts w:ascii="Cambria Math" w:hAnsi="Cambria Math"/>
              </w:rPr>
              <w:t>⨯</w:t>
            </w:r>
            <w:r w:rsidRPr="004D3468">
              <w:t xml:space="preserve"> Industrial General </w:t>
            </w:r>
          </w:p>
        </w:tc>
        <w:tc>
          <w:tcPr>
            <w:tcW w:w="0" w:type="auto"/>
          </w:tcPr>
          <w:p w14:paraId="2903AC70" w14:textId="0E6BEEFE" w:rsidR="00626E6C" w:rsidRPr="004D3468" w:rsidRDefault="004D3468" w:rsidP="004D3468">
            <w:pPr>
              <w:pStyle w:val="NoSpacing"/>
            </w:pPr>
            <w:r w:rsidRPr="004D3468">
              <w:t>.685</w:t>
            </w:r>
          </w:p>
        </w:tc>
        <w:tc>
          <w:tcPr>
            <w:tcW w:w="0" w:type="auto"/>
          </w:tcPr>
          <w:p w14:paraId="0CFAFAF0" w14:textId="129F04D1" w:rsidR="00626E6C" w:rsidRPr="004D3468" w:rsidRDefault="004D3468" w:rsidP="004D3468">
            <w:pPr>
              <w:pStyle w:val="NoSpacing"/>
            </w:pPr>
            <w:r w:rsidRPr="004D3468">
              <w:t>.209</w:t>
            </w:r>
          </w:p>
        </w:tc>
      </w:tr>
      <w:tr w:rsidR="00626E6C" w:rsidRPr="004D3468" w14:paraId="7D46376C" w14:textId="77777777" w:rsidTr="005B5CD7">
        <w:tc>
          <w:tcPr>
            <w:tcW w:w="0" w:type="auto"/>
          </w:tcPr>
          <w:p w14:paraId="399BB5CE" w14:textId="4822EC8E" w:rsidR="00626E6C" w:rsidRPr="004D3468" w:rsidRDefault="005A4A7B" w:rsidP="004D3468">
            <w:pPr>
              <w:pStyle w:val="NoSpacing"/>
            </w:pPr>
            <w:r w:rsidRPr="004D3468">
              <w:t xml:space="preserve">Outlets </w:t>
            </w:r>
            <w:r w:rsidR="004D3468">
              <w:rPr>
                <w:rFonts w:ascii="Cambria Math" w:hAnsi="Cambria Math"/>
              </w:rPr>
              <w:t>⨯</w:t>
            </w:r>
            <w:r w:rsidRPr="004D3468">
              <w:t xml:space="preserve"> Mobile Housing </w:t>
            </w:r>
          </w:p>
        </w:tc>
        <w:tc>
          <w:tcPr>
            <w:tcW w:w="0" w:type="auto"/>
          </w:tcPr>
          <w:p w14:paraId="259A7BED" w14:textId="7ED9E045" w:rsidR="00626E6C" w:rsidRPr="004D3468" w:rsidRDefault="004D3468" w:rsidP="004D3468">
            <w:pPr>
              <w:pStyle w:val="NoSpacing"/>
            </w:pPr>
            <w:r w:rsidRPr="004D3468">
              <w:t>.283</w:t>
            </w:r>
          </w:p>
        </w:tc>
        <w:tc>
          <w:tcPr>
            <w:tcW w:w="0" w:type="auto"/>
          </w:tcPr>
          <w:p w14:paraId="3290EFA4" w14:textId="1A6F30B8" w:rsidR="00626E6C" w:rsidRPr="004D3468" w:rsidRDefault="004D3468" w:rsidP="004D3468">
            <w:pPr>
              <w:pStyle w:val="NoSpacing"/>
            </w:pPr>
            <w:r w:rsidRPr="004D3468">
              <w:t>.473</w:t>
            </w:r>
          </w:p>
        </w:tc>
      </w:tr>
      <w:tr w:rsidR="00626E6C" w:rsidRPr="004D3468" w14:paraId="36A1D28E" w14:textId="77777777" w:rsidTr="005B5CD7">
        <w:tc>
          <w:tcPr>
            <w:tcW w:w="0" w:type="auto"/>
          </w:tcPr>
          <w:p w14:paraId="09C92A11" w14:textId="6E9BB4DF" w:rsidR="00626E6C" w:rsidRPr="004D3468" w:rsidRDefault="00454BFA" w:rsidP="004D3468">
            <w:pPr>
              <w:pStyle w:val="NoSpacing"/>
            </w:pPr>
            <w:r w:rsidRPr="004D3468">
              <w:t xml:space="preserve">Outlets </w:t>
            </w:r>
            <w:r w:rsidR="004D3468">
              <w:rPr>
                <w:rFonts w:ascii="Cambria Math" w:hAnsi="Cambria Math"/>
              </w:rPr>
              <w:t>⨯</w:t>
            </w:r>
            <w:r w:rsidRPr="004D3468">
              <w:t xml:space="preserve"> Residential High Density </w:t>
            </w:r>
          </w:p>
        </w:tc>
        <w:tc>
          <w:tcPr>
            <w:tcW w:w="0" w:type="auto"/>
          </w:tcPr>
          <w:p w14:paraId="055F7D29" w14:textId="6676BCA1" w:rsidR="00626E6C" w:rsidRPr="004D3468" w:rsidRDefault="004D3468" w:rsidP="004D3468">
            <w:pPr>
              <w:pStyle w:val="NoSpacing"/>
            </w:pPr>
            <w:r w:rsidRPr="004D3468">
              <w:t>.394</w:t>
            </w:r>
          </w:p>
        </w:tc>
        <w:tc>
          <w:tcPr>
            <w:tcW w:w="0" w:type="auto"/>
          </w:tcPr>
          <w:p w14:paraId="3B513D1A" w14:textId="730C29C8" w:rsidR="00626E6C" w:rsidRPr="004D3468" w:rsidRDefault="004D3468" w:rsidP="004D3468">
            <w:pPr>
              <w:pStyle w:val="NoSpacing"/>
            </w:pPr>
            <w:r w:rsidRPr="004D3468">
              <w:t>.620</w:t>
            </w:r>
          </w:p>
        </w:tc>
      </w:tr>
      <w:tr w:rsidR="00626E6C" w:rsidRPr="004D3468" w14:paraId="62673828" w14:textId="77777777" w:rsidTr="005B5CD7">
        <w:tc>
          <w:tcPr>
            <w:tcW w:w="0" w:type="auto"/>
          </w:tcPr>
          <w:p w14:paraId="79176FB1" w14:textId="7BA0E931" w:rsidR="00626E6C" w:rsidRPr="004D3468" w:rsidRDefault="00454BFA" w:rsidP="004D3468">
            <w:pPr>
              <w:pStyle w:val="NoSpacing"/>
            </w:pPr>
            <w:r w:rsidRPr="004D3468">
              <w:t xml:space="preserve">Outlets </w:t>
            </w:r>
            <w:r w:rsidR="004D3468">
              <w:rPr>
                <w:rFonts w:ascii="Cambria Math" w:hAnsi="Cambria Math"/>
              </w:rPr>
              <w:t>⨯</w:t>
            </w:r>
            <w:r w:rsidRPr="004D3468">
              <w:t xml:space="preserve"> Residential Multifamily </w:t>
            </w:r>
          </w:p>
        </w:tc>
        <w:tc>
          <w:tcPr>
            <w:tcW w:w="0" w:type="auto"/>
          </w:tcPr>
          <w:p w14:paraId="1324DEE7" w14:textId="671EFA01" w:rsidR="00626E6C" w:rsidRPr="004D3468" w:rsidRDefault="004D3468" w:rsidP="004D3468">
            <w:pPr>
              <w:pStyle w:val="NoSpacing"/>
            </w:pPr>
            <w:r w:rsidRPr="004D3468">
              <w:t>.277</w:t>
            </w:r>
          </w:p>
        </w:tc>
        <w:tc>
          <w:tcPr>
            <w:tcW w:w="0" w:type="auto"/>
          </w:tcPr>
          <w:p w14:paraId="0887F24D" w14:textId="57264701" w:rsidR="00626E6C" w:rsidRPr="004D3468" w:rsidRDefault="004D3468" w:rsidP="004D3468">
            <w:pPr>
              <w:pStyle w:val="NoSpacing"/>
            </w:pPr>
            <w:r w:rsidRPr="004D3468">
              <w:t>.623</w:t>
            </w:r>
          </w:p>
        </w:tc>
      </w:tr>
      <w:tr w:rsidR="00626E6C" w:rsidRPr="004D3468" w14:paraId="2D6663F2" w14:textId="77777777" w:rsidTr="005B5CD7">
        <w:tc>
          <w:tcPr>
            <w:tcW w:w="0" w:type="auto"/>
          </w:tcPr>
          <w:p w14:paraId="2CE23B9C" w14:textId="5603D7CB" w:rsidR="00626E6C" w:rsidRPr="004D3468" w:rsidRDefault="00454BFA" w:rsidP="004D3468">
            <w:pPr>
              <w:pStyle w:val="NoSpacing"/>
            </w:pPr>
            <w:r w:rsidRPr="004D3468">
              <w:t xml:space="preserve">Outlets </w:t>
            </w:r>
            <w:r w:rsidR="004D3468">
              <w:rPr>
                <w:rFonts w:ascii="Cambria Math" w:hAnsi="Cambria Math"/>
              </w:rPr>
              <w:t>⨯</w:t>
            </w:r>
            <w:r w:rsidRPr="004D3468">
              <w:t xml:space="preserve"> Residential Single Family </w:t>
            </w:r>
          </w:p>
        </w:tc>
        <w:tc>
          <w:tcPr>
            <w:tcW w:w="0" w:type="auto"/>
          </w:tcPr>
          <w:p w14:paraId="7E15AAC8" w14:textId="6C7A59D7" w:rsidR="00626E6C" w:rsidRPr="004D3468" w:rsidRDefault="004D3468" w:rsidP="004D3468">
            <w:pPr>
              <w:pStyle w:val="NoSpacing"/>
            </w:pPr>
            <w:r w:rsidRPr="004D3468">
              <w:t>.898</w:t>
            </w:r>
          </w:p>
        </w:tc>
        <w:tc>
          <w:tcPr>
            <w:tcW w:w="0" w:type="auto"/>
          </w:tcPr>
          <w:p w14:paraId="2045B611" w14:textId="716DB20C" w:rsidR="00626E6C" w:rsidRPr="004D3468" w:rsidRDefault="004D3468" w:rsidP="004D3468">
            <w:pPr>
              <w:pStyle w:val="NoSpacing"/>
            </w:pPr>
            <w:r w:rsidRPr="004D3468">
              <w:t>.454</w:t>
            </w:r>
          </w:p>
        </w:tc>
      </w:tr>
    </w:tbl>
    <w:p w14:paraId="5CCBABD4" w14:textId="2E6C13D5" w:rsidR="00415F07" w:rsidRPr="004D3468" w:rsidRDefault="00454BFA" w:rsidP="004D3468">
      <w:pPr>
        <w:pStyle w:val="NoSpacing"/>
      </w:pPr>
      <w:r w:rsidRPr="004D3468">
        <w:t xml:space="preserve">Note. </w:t>
      </w:r>
      <w:proofErr w:type="spellStart"/>
      <w:r w:rsidRPr="004D3468">
        <w:rPr>
          <w:vertAlign w:val="superscript"/>
        </w:rPr>
        <w:t>a</w:t>
      </w:r>
      <w:r w:rsidRPr="004D3468">
        <w:t>As</w:t>
      </w:r>
      <w:proofErr w:type="spellEnd"/>
      <w:r w:rsidRPr="004D3468">
        <w:t xml:space="preserve"> in Table 2 above, each model also included outlet density, each of the land use variables, and controls for social</w:t>
      </w:r>
      <w:r w:rsidR="004D3468">
        <w:t xml:space="preserve"> </w:t>
      </w:r>
      <w:r w:rsidRPr="004D3468">
        <w:t>disorganization, population density, prior levels of assaults, and spatial autocorrelation.</w:t>
      </w:r>
    </w:p>
    <w:p w14:paraId="52D80FC0" w14:textId="77777777" w:rsidR="004D3468" w:rsidRDefault="004D3468" w:rsidP="00923FF9"/>
    <w:p w14:paraId="612496F7" w14:textId="6599849F" w:rsidR="00923FF9" w:rsidRPr="00923FF9" w:rsidRDefault="00923FF9" w:rsidP="00923FF9">
      <w:r w:rsidRPr="00923FF9">
        <w:t xml:space="preserve">As with social disorganization, the results of the models described in Tables 5 and 6 show support for the first hypothesis. Models 1 and 2 suggest that there is a positive association between alcohol outlet density and both simple and aggravated assault density, when controlling for several land use variables. However, as can be seen in Table 6, there is no evidence that there is support for the fourth hypothesis; land use does not condition the effects of alcohol outlet density on assault density. The third hypothesis was exploratory in </w:t>
      </w:r>
      <w:proofErr w:type="gramStart"/>
      <w:r w:rsidRPr="00923FF9">
        <w:t>nature</w:t>
      </w:r>
      <w:proofErr w:type="gramEnd"/>
      <w:r w:rsidRPr="00923FF9">
        <w:t xml:space="preserve"> and we found that none of the land use types have a direct effect on simple assault density, and that there is a positive and significant association between mobile housing land use and aggravated assault density </w:t>
      </w:r>
      <m:oMath>
        <m:r>
          <w:rPr>
            <w:rFonts w:ascii="Cambria Math" w:hAnsi="Cambria Math"/>
          </w:rPr>
          <m:t>(</m:t>
        </m:r>
        <m:r>
          <w:rPr>
            <w:rFonts w:ascii="Cambria Math" w:hAnsi="Cambria Math"/>
          </w:rPr>
          <m:t>p</m:t>
        </m:r>
        <m:r>
          <w:rPr>
            <w:rFonts w:ascii="Cambria Math" w:hAnsi="Cambria Math"/>
          </w:rPr>
          <m:t> = .080)</m:t>
        </m:r>
      </m:oMath>
      <w:r w:rsidRPr="00923FF9">
        <w:t>, and between residential high-density land use and aggravated assault density.</w:t>
      </w:r>
    </w:p>
    <w:p w14:paraId="53C071AC" w14:textId="77777777" w:rsidR="00923FF9" w:rsidRPr="00923FF9" w:rsidRDefault="00923FF9" w:rsidP="001C5585">
      <w:pPr>
        <w:pStyle w:val="Heading1"/>
      </w:pPr>
      <w:bookmarkStart w:id="7" w:name="_i27"/>
      <w:bookmarkEnd w:id="7"/>
      <w:r w:rsidRPr="00923FF9">
        <w:t>Discussion</w:t>
      </w:r>
    </w:p>
    <w:p w14:paraId="18D5BB90" w14:textId="4C3C0657" w:rsidR="00923FF9" w:rsidRPr="00923FF9" w:rsidRDefault="00923FF9" w:rsidP="00923FF9">
      <w:r w:rsidRPr="00923FF9">
        <w:t>The results of the spatial regression and OLS models described above suggest that in a large college town, the relationship between different outlet types and assault density is not moderated by community organization. Surprisingly, in fact, social organization also showed no direct effect on simple assault density and aggravated assault density. In terms of the effects of outlet density on assault, however, our results were consistent with several prior studies, as the direct effects of outlets on assault density held even when controlling for the social disorganization index and other structural covariates. Recent research has shown that social organization moderates the relationship between alcohol outlets and assaults in a large urban city (Pridemore &amp; Grubesic, 2012b), and here we discuss two possible explanations for the difference in the findings between a large urban city and a smaller town whose economy is driven by the presence of a major state university.</w:t>
      </w:r>
    </w:p>
    <w:p w14:paraId="5A894240" w14:textId="3AB0051F" w:rsidR="00923FF9" w:rsidRPr="00923FF9" w:rsidRDefault="00923FF9" w:rsidP="00923FF9">
      <w:r w:rsidRPr="00923FF9">
        <w:t>One possible explanation is associated with the </w:t>
      </w:r>
      <w:r w:rsidRPr="00923FF9">
        <w:rPr>
          <w:i/>
          <w:iCs/>
        </w:rPr>
        <w:t>quantity</w:t>
      </w:r>
      <w:r w:rsidRPr="00923FF9">
        <w:t xml:space="preserve"> of social disorganization. That is, the level of social disorganization in a college town like Bloomington, relative to the urban areas that have been the subject of </w:t>
      </w:r>
      <w:r w:rsidRPr="00923FF9">
        <w:lastRenderedPageBreak/>
        <w:t>most empirical studies thus far, may not reach the levels of social disorganization in urban cities. In urban cities, the disorganization in neighborhoods characterized by deep and entrenched poverty, frequent movement of residents, high proportions of single-parent households, and high levels of ethnic heterogeneity may be much greater on average than in disorganized neighborhoods in smaller cities and towns. If so, this greater level of disorganization might not allow neighborhood residents to be able to implement limitations on alcohol availability. For example, recent work by Nielsen et al. (2010) found that lower levels of community organization were associated with a higher density of alcohol outlets in San Diego County. In socially disorganized urban areas, a greater density of outlets might serve as an attractor of community members at higher risk of criminal activity and of community outsiders. Additionally, higher levels of social disorganization may allow for the use of alcohol outlets as locations for many types of deviance like prostitution and drug sales (Alaniz et al., 1998), which can further damage collective efficacy (Sampson &amp; Raudenbush, 1999) and the ability of neighborhoods to exert social control. In smaller cities and college towns like Bloomington, while social disorganization may vary across the city, it is likely not as strong as in some urban areas, thus it may not exert influence over the strength of the outlet–assault association. The results otherwise hint at this explanation, as social disorganization itself does not exhibit a direct effect on simple and aggravated assault density in Bloomington. This is consistent with recent research that shows no association between social disorganization and violence in rural areas (Kaylen &amp; Pridemore, 2011). In terms of our earlier discussion of how social disorganization may influence the outlet–violence association, the quantity of neighborhood social disorganization in college towns may not be so strong as to severely disrupt influence over outlet patrons, outlet management, and city officials that police or otherwise regulate outlets.</w:t>
      </w:r>
    </w:p>
    <w:p w14:paraId="5EBF8144" w14:textId="77777777" w:rsidR="00923FF9" w:rsidRPr="00923FF9" w:rsidRDefault="00923FF9" w:rsidP="00923FF9">
      <w:r w:rsidRPr="00923FF9">
        <w:t>Another possible explanation for the failure of social disorganization to moderate the impact of alcohol outlet density on violence in our sample is related to the </w:t>
      </w:r>
      <w:r w:rsidRPr="00923FF9">
        <w:rPr>
          <w:i/>
          <w:iCs/>
        </w:rPr>
        <w:t>quality</w:t>
      </w:r>
      <w:r w:rsidRPr="00923FF9">
        <w:t> of social disorganization in a college town, even a large one like Bloomington, relative to urban areas. That is, in a college town like Bloomington, due to the traditional variables comprising social disorganization a certain proportion of socially disorganized block groups will be those where college students live. The presence of college students—many of whom could be considered poor (as they are employed on a part-time basis or not employed at all), who move in and out of their residences on a yearly basis, and who come from different ethnic backgrounds in the context of a university setting where diversity is generally more valued relative to most other social spaces—creates a qualitatively different type of social disorganization that may be less damaging than traditional social disorganization, even when gauged by the metrics of the latter. In a college town setting, the experience of poverty, not knowing one’s neighbors, and having people of different ethnicity around could be much different than the experience of poverty, residential instability, female-headed-households, and ethnic heterogeneity in a neighborhood in a large city. Subsequently, social disorganization in a college town may be qualitatively different from social disorganization in a large city (or in a noncollege town or city, for that matter) and thus not exert the same debilitating direct effects on violence and, in the case of this study, indirect effects via influence on the outlet–assault association.</w:t>
      </w:r>
    </w:p>
    <w:p w14:paraId="73CEFCBE" w14:textId="77777777" w:rsidR="00923FF9" w:rsidRPr="00923FF9" w:rsidRDefault="00923FF9" w:rsidP="00923FF9">
      <w:proofErr w:type="gramStart"/>
      <w:r w:rsidRPr="00923FF9">
        <w:t>Similar to</w:t>
      </w:r>
      <w:proofErr w:type="gramEnd"/>
      <w:r w:rsidRPr="00923FF9">
        <w:t xml:space="preserve"> our findings for social disorganization, the results of spatial regression and the OLS models show that in a large college town like Bloomington the relationship between alcohol outlet density and assault density is not moderated by land use. Also </w:t>
      </w:r>
      <w:proofErr w:type="gramStart"/>
      <w:r w:rsidRPr="00923FF9">
        <w:t>similar to</w:t>
      </w:r>
      <w:proofErr w:type="gramEnd"/>
      <w:r w:rsidRPr="00923FF9">
        <w:t xml:space="preserve"> our findings for social disorganization, land use exhibited few direct effects on assault density. Again, though, the density of alcohol outlets remained positively and significantly associated with simple and aggravated assault density even when controlling for land use and other structural covariates within block groups. The findings from the models including the interaction terms left no doubt: none of the 14 interaction terms for outlets and land uses were significant.</w:t>
      </w:r>
    </w:p>
    <w:p w14:paraId="66C30C91" w14:textId="6B4FEFA0" w:rsidR="00923FF9" w:rsidRPr="00923FF9" w:rsidRDefault="00923FF9" w:rsidP="00923FF9">
      <w:r w:rsidRPr="00923FF9">
        <w:t xml:space="preserve">Again, these findings from a large college town are different from the conclusions drawn from a recent study by Pridemore and Grubesic (2012b) who found that in the large urban city of Cincinnati, Ohio, several land use types were directly associated with violence rates and, just as importantly, moderated the association between </w:t>
      </w:r>
      <w:r w:rsidRPr="00923FF9">
        <w:lastRenderedPageBreak/>
        <w:t>alcohol outlets and assaults. There are a few reasons why land use may have a moderating effect on the relationship between alcohol outlets and assaults in a large urban city but not in a college town.</w:t>
      </w:r>
    </w:p>
    <w:p w14:paraId="63C60724" w14:textId="682EB50B" w:rsidR="00923FF9" w:rsidRPr="00923FF9" w:rsidRDefault="00923FF9" w:rsidP="00923FF9">
      <w:r w:rsidRPr="00923FF9">
        <w:t xml:space="preserve">First, in a commercial area of an urban city, there may be an increased volume of people who congregate there at </w:t>
      </w:r>
      <w:proofErr w:type="gramStart"/>
      <w:r w:rsidRPr="00923FF9">
        <w:t>day time</w:t>
      </w:r>
      <w:proofErr w:type="gramEnd"/>
      <w:r w:rsidRPr="00923FF9">
        <w:t xml:space="preserve"> for shopping, working, or entertainment, and thus we would expect to have an increased availability of “vulnerable targets” and a greater presence of “motivated offenders” (Cohen &amp; Felson, 1979). However, in Bloomington, commercial areas are limited to relatively small pockets that are surrounded by residential areas, so that the frequent movement of individuals across different land use areas may explain why land use does not moderate the effect of alcohol outlets on assaults.</w:t>
      </w:r>
    </w:p>
    <w:p w14:paraId="3F0CE292" w14:textId="77777777" w:rsidR="00923FF9" w:rsidRPr="00923FF9" w:rsidRDefault="00923FF9" w:rsidP="00923FF9">
      <w:r w:rsidRPr="00923FF9">
        <w:t xml:space="preserve">Second, when residents leave their households and expose themselves to “motivated offenders” they may be equally likely to be assaulted in residential areas as they are in nonresidential areas because in a small town the presence of guardians may be similar in residential relative to nonresidential areas. In residential areas of small towns, people know each other and are familiar with the everyday activities of their fellow community members. Thus, even though some people leave their residential areas in the pursuit of their daily activities, some people may be still present in the residential areas and could be on the lookout for any unusual activity when their neighbor is away from their residence. Additionally, in nonresidential areas of small cities there may exist a movement of individuals across the nonresidential areas on their way to the grocery store, movies, bars, or work. This may especially be the case in college towns as nonresidential areas tend to border residential areas, as such individuals can compensate for the movement of employees out of nonresidential areas at </w:t>
      </w:r>
      <w:proofErr w:type="gramStart"/>
      <w:r w:rsidRPr="00923FF9">
        <w:t>night time</w:t>
      </w:r>
      <w:proofErr w:type="gramEnd"/>
      <w:r w:rsidRPr="00923FF9">
        <w:t>.</w:t>
      </w:r>
    </w:p>
    <w:p w14:paraId="6C5CC37E" w14:textId="77777777" w:rsidR="00923FF9" w:rsidRPr="00923FF9" w:rsidRDefault="00923FF9" w:rsidP="001C5585">
      <w:pPr>
        <w:pStyle w:val="Heading2"/>
      </w:pPr>
      <w:r w:rsidRPr="00923FF9">
        <w:t>Limitations of the Current Study</w:t>
      </w:r>
    </w:p>
    <w:p w14:paraId="3DC4AB6A" w14:textId="7F9EE1A4" w:rsidR="00923FF9" w:rsidRPr="00923FF9" w:rsidRDefault="00923FF9" w:rsidP="00923FF9">
      <w:r w:rsidRPr="00923FF9">
        <w:t xml:space="preserve">There are a few key limitations of the analyses in this study. First, we used data based on police records of those assaults that are </w:t>
      </w:r>
      <w:proofErr w:type="gramStart"/>
      <w:r w:rsidRPr="00923FF9">
        <w:t>actually reported</w:t>
      </w:r>
      <w:proofErr w:type="gramEnd"/>
      <w:r w:rsidRPr="00923FF9">
        <w:t xml:space="preserve"> to the police. A large proportion of simple assaults go unreported, and even many serious aggravated assaults are not reported to police. If police recording procedures are similar across units of analysis, which is likely the case as the data are recorded and provided by one recording office that is a part of Bloomington Police Department, this may present less of a problem. This still leaves the problem of differential reporting to police, however. Research by </w:t>
      </w:r>
      <w:proofErr w:type="spellStart"/>
      <w:r w:rsidRPr="00923FF9">
        <w:t>Baumer</w:t>
      </w:r>
      <w:proofErr w:type="spellEnd"/>
      <w:r w:rsidRPr="00923FF9">
        <w:t xml:space="preserve"> (2002) shows that socioeconomic disadvantage does not influence reporting aggravated assaults to the police. He did find that there was differential reporting of simple assaults to police by socioeconomic disadvantage, however, and this could have an influence on results based on police data.</w:t>
      </w:r>
    </w:p>
    <w:p w14:paraId="3CF0D80D" w14:textId="29F47E8F" w:rsidR="00923FF9" w:rsidRPr="00923FF9" w:rsidRDefault="00923FF9" w:rsidP="00923FF9">
      <w:r w:rsidRPr="00923FF9">
        <w:t>A second limitation is associated with the major independent variables used for the analysis. While total outlet density, as well as the density of off-</w:t>
      </w:r>
      <w:proofErr w:type="gramStart"/>
      <w:r w:rsidRPr="00923FF9">
        <w:t>premise</w:t>
      </w:r>
      <w:proofErr w:type="gramEnd"/>
      <w:r w:rsidRPr="00923FF9">
        <w:t xml:space="preserve"> outlets, restaurants, and bars, is a commonly used proxy for measuring the influence of alcohol on violence, it does not provide the volume of alcohol sold or consumed within block groups. Such data are unavailable, however, as they are proprietary in nature. Additionally, this proxy also fails to </w:t>
      </w:r>
      <w:proofErr w:type="gramStart"/>
      <w:r w:rsidRPr="00923FF9">
        <w:t>take into account</w:t>
      </w:r>
      <w:proofErr w:type="gramEnd"/>
      <w:r w:rsidRPr="00923FF9">
        <w:t xml:space="preserve"> other characteristics of outlets that may be associated with differential risk of assault (e.g., the location of the outlet, the shelf space devoted to alcoholic beverages, whether the outlet sells single serve beverages, lighting and upkeep within and outside the outlet, the ratio of male to female employees, the ratio of employees to patrons, etc.). While there has been considerable research on the characteristics of bars that are associated with greater levels of violence (Graham, Bernards, Osgood, Homel, &amp; Purcell, 2005; Graham et al., 2006; Lugo, 2008), there has been little of this type of research on off-</w:t>
      </w:r>
      <w:proofErr w:type="gramStart"/>
      <w:r w:rsidRPr="00923FF9">
        <w:t>premise</w:t>
      </w:r>
      <w:proofErr w:type="gramEnd"/>
      <w:r w:rsidRPr="00923FF9">
        <w:t xml:space="preserve"> outlets.</w:t>
      </w:r>
    </w:p>
    <w:p w14:paraId="7E9D3CB1" w14:textId="77777777" w:rsidR="00923FF9" w:rsidRPr="00923FF9" w:rsidRDefault="00923FF9" w:rsidP="00923FF9">
      <w:r w:rsidRPr="00923FF9">
        <w:t xml:space="preserve">Another limitation is related to measures specific to social disorganization and land use in college towns and smaller cities. First, we used the LDI to measure the degree of social disorganization of Bloomington block groups. While this index is commonly used in structural studies of violence, thus far it has been used only in analyses using larger study areas (e.g., usually large cities). Thus, little is known about whether this index can </w:t>
      </w:r>
      <w:r w:rsidRPr="00923FF9">
        <w:lastRenderedPageBreak/>
        <w:t>appropriately capture the degree of social disorganization in smaller cities. Additionally, measuring the level of social disorganization as the percentage of ethnic heterogeneity within a block group may be problematic, as its opposite, severe racial segregation, has been shown to be associated with violence in large cities. That is, severe racial segregation in urban cities is associated with social disorganization and is related to local rates of crime and violence. In small cities like Bloomington, a certain proportion of segregation may not be along racial lines but may occur with segregation of students. This qualitatively different type of segregation is unlikely to have the same type of effect on assaults in college towns and smaller cities, relative to large urban cities.</w:t>
      </w:r>
    </w:p>
    <w:p w14:paraId="712E4790" w14:textId="01AD3CC5" w:rsidR="00923FF9" w:rsidRPr="00923FF9" w:rsidRDefault="00923FF9" w:rsidP="00923FF9">
      <w:r w:rsidRPr="00923FF9">
        <w:t xml:space="preserve">A final main limitation has to do with the measures of land use. Given that few studies have examined the interaction between alcohol outlet density and land use (for exceptions, see Pridemore &amp; Grubesic, 2012c; Stucky &amp; </w:t>
      </w:r>
      <w:proofErr w:type="spellStart"/>
      <w:r w:rsidRPr="00923FF9">
        <w:t>Ottensmann</w:t>
      </w:r>
      <w:proofErr w:type="spellEnd"/>
      <w:r w:rsidRPr="00923FF9">
        <w:t xml:space="preserve">, 2009), and none using a college town or small city, this part of the study was purposely exploratory in </w:t>
      </w:r>
      <w:proofErr w:type="gramStart"/>
      <w:r w:rsidRPr="00923FF9">
        <w:t>nature</w:t>
      </w:r>
      <w:proofErr w:type="gramEnd"/>
      <w:r w:rsidRPr="00923FF9">
        <w:t xml:space="preserve"> and it is thus difficult to compare the results of this part of the study to the results of prior studies. In this study, we focused less on how specific land use types influenced the association between alcohol outlet density and violence and more on whether such moderating effects existed. Doing so gives a limited picture of the effect of different types of land use on the relationship between alcohol outlets and assaults as it does not allow for comparison of results across studies. Future research should not only explore more carefully the moderating effects of individual land use types but also how particular types of land use (e.g., residential multifamily, residential high density, mobile housing) may condition the effect of alcohol outlet density on alcohol-related problems in local communities.</w:t>
      </w:r>
    </w:p>
    <w:p w14:paraId="177C437F" w14:textId="77777777" w:rsidR="00923FF9" w:rsidRPr="00923FF9" w:rsidRDefault="00923FF9" w:rsidP="001C5585">
      <w:pPr>
        <w:pStyle w:val="Heading1"/>
      </w:pPr>
      <w:bookmarkStart w:id="8" w:name="_i29"/>
      <w:bookmarkEnd w:id="8"/>
      <w:r w:rsidRPr="00923FF9">
        <w:t>Conclusion</w:t>
      </w:r>
    </w:p>
    <w:p w14:paraId="15360D12" w14:textId="77777777" w:rsidR="00923FF9" w:rsidRPr="00923FF9" w:rsidRDefault="00923FF9" w:rsidP="00923FF9">
      <w:r w:rsidRPr="00923FF9">
        <w:t>Using Bloomington, Indiana, block groups as the unit of analysis we found consistent associations between assault density and total, off-</w:t>
      </w:r>
      <w:proofErr w:type="gramStart"/>
      <w:r w:rsidRPr="00923FF9">
        <w:t>premise</w:t>
      </w:r>
      <w:proofErr w:type="gramEnd"/>
      <w:r w:rsidRPr="00923FF9">
        <w:t>, bar, and alcohol-serving restaurant outlet density. We found no association between social disorganization and simple assault, between social disorganization and aggravated assault, and only limited evidence of direct effects of land use on violence. Unlike recent studies of larger urban areas, we found that the relationship between alcohol outlet density and assault density is moderated by neither social disorganization nor land use patterns. At least as it relates to our study area and sample, then, the conclusion to be drawn is that structural characteristics like social disorganization and land use may have less influence on violence, and on the association with violence of other structural characteristics, in a college town and smaller cities than they do in large urban areas.</w:t>
      </w:r>
    </w:p>
    <w:p w14:paraId="55A02C47" w14:textId="77777777" w:rsidR="00923FF9" w:rsidRPr="00923FF9" w:rsidRDefault="00923FF9" w:rsidP="00923FF9">
      <w:r w:rsidRPr="00923FF9">
        <w:t>As for social disorganization, we suggested that one reason for this might be that the level, or </w:t>
      </w:r>
      <w:r w:rsidRPr="00923FF9">
        <w:rPr>
          <w:i/>
          <w:iCs/>
        </w:rPr>
        <w:t>quantity</w:t>
      </w:r>
      <w:r w:rsidRPr="00923FF9">
        <w:t>, of social disorganization outside large urban areas may not reach the level of social disorganization in a large city. A second reason for this difference might be that the </w:t>
      </w:r>
      <w:r w:rsidRPr="00923FF9">
        <w:rPr>
          <w:i/>
          <w:iCs/>
        </w:rPr>
        <w:t>quality</w:t>
      </w:r>
      <w:r w:rsidRPr="00923FF9">
        <w:t xml:space="preserve"> of social disorganization in college towns may be different from that of a large urban city. For example, the presence of college students—many of whom could be considered poor, who move in and out of their residences on a yearly basis, and who come from different ethnic backgrounds—creates a qualitatively different type of social disorganization that may be less damaging than the traditional social disorganization we normally envision when examining large urban areas. The ecology of socially disorganized block groups may appear </w:t>
      </w:r>
      <w:proofErr w:type="gramStart"/>
      <w:r w:rsidRPr="00923FF9">
        <w:t>grimmer</w:t>
      </w:r>
      <w:proofErr w:type="gramEnd"/>
      <w:r w:rsidRPr="00923FF9">
        <w:t xml:space="preserve"> and many more times magnified in an urban city relative to the ecology of socially disorganized block groups in a college town, even a larger one like Bloomington. Walking through a socially disorganized neighborhood in a college town or smaller city may be a very different experience than doing so in a socially disorganized neighborhood in a large urban city.</w:t>
      </w:r>
    </w:p>
    <w:p w14:paraId="7CCF773B" w14:textId="77777777" w:rsidR="00923FF9" w:rsidRPr="00923FF9" w:rsidRDefault="00923FF9" w:rsidP="00923FF9">
      <w:r w:rsidRPr="00923FF9">
        <w:t xml:space="preserve">In sum, the lack of a moderating effect of social disorganization and of land use on the relationship between alcohol outlets and assaults in a large college town suggests that there may be something in the structure of smaller cities and towns, and the routine activities of individuals who live in a college town, that are different than that which would be found in a large urban city. Future research should examine other nonurban settings for the moderating effect of social disorganization and land use on the relationship between alcohol outlets and </w:t>
      </w:r>
      <w:r w:rsidRPr="00923FF9">
        <w:lastRenderedPageBreak/>
        <w:t>assaults to tell us whether the lack of moderating effect found in this study is unique to our study area in a large college town or whether it is characteristic of smaller cities and towns more generally.</w:t>
      </w:r>
    </w:p>
    <w:p w14:paraId="3E1E11AA" w14:textId="77777777" w:rsidR="00923FF9" w:rsidRPr="00923FF9" w:rsidRDefault="00923FF9" w:rsidP="001C5585">
      <w:pPr>
        <w:pStyle w:val="Heading3"/>
      </w:pPr>
      <w:bookmarkStart w:id="9" w:name="_backmatter_ack"/>
      <w:bookmarkEnd w:id="9"/>
      <w:r w:rsidRPr="00923FF9">
        <w:t>Acknowledgments</w:t>
      </w:r>
    </w:p>
    <w:p w14:paraId="22986AB8" w14:textId="77777777" w:rsidR="00923FF9" w:rsidRPr="00923FF9" w:rsidRDefault="00923FF9" w:rsidP="00923FF9">
      <w:r w:rsidRPr="00923FF9">
        <w:t>The authors thank Tony H. Grubesic, Richard Spano, William Oliver, and Robert Nash Parker for their critiques of earlier drafts of this manuscript. They also thank the City of Bloomington, the Bloomington Police Department, and the Indiana Alcohol and Tobacco Commission for providing them with the data for this research.</w:t>
      </w:r>
    </w:p>
    <w:p w14:paraId="4C42E504" w14:textId="77777777" w:rsidR="00923FF9" w:rsidRPr="00923FF9" w:rsidRDefault="00923FF9" w:rsidP="00923FF9">
      <w:r w:rsidRPr="00923FF9">
        <w:rPr>
          <w:rStyle w:val="Heading3Char"/>
        </w:rPr>
        <w:t>Declaration of Conflicting Interests</w:t>
      </w:r>
      <w:r w:rsidRPr="00923FF9">
        <w:rPr>
          <w:rStyle w:val="Heading3Char"/>
        </w:rPr>
        <w:br/>
      </w:r>
      <w:r w:rsidRPr="00923FF9">
        <w:t>The authors declared no potential conflicts of interest with respect to the research, authorship, and/or publication of this article.</w:t>
      </w:r>
    </w:p>
    <w:p w14:paraId="3D58B1EE" w14:textId="77777777" w:rsidR="00923FF9" w:rsidRPr="00923FF9" w:rsidRDefault="00923FF9" w:rsidP="00923FF9">
      <w:r w:rsidRPr="00923FF9">
        <w:rPr>
          <w:rStyle w:val="Heading3Char"/>
        </w:rPr>
        <w:t>Funding</w:t>
      </w:r>
      <w:r w:rsidRPr="00923FF9">
        <w:br/>
        <w:t>The authors disclosed receipt of the following financial support for the research, authorship, and/or publication of this article: This research was supported by a grant awarded to the second author by Indiana University’s Faculty Research Support Program and administered by the Office of the Vice Provost for Research.</w:t>
      </w:r>
    </w:p>
    <w:p w14:paraId="0EAECB62" w14:textId="77777777" w:rsidR="00923FF9" w:rsidRPr="00923FF9" w:rsidRDefault="00923FF9" w:rsidP="006D431A">
      <w:pPr>
        <w:pStyle w:val="Heading1"/>
      </w:pPr>
      <w:bookmarkStart w:id="10" w:name="_i31"/>
      <w:bookmarkEnd w:id="10"/>
      <w:r w:rsidRPr="00923FF9">
        <w:t>References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7E5124" w:rsidRPr="00923FF9" w14:paraId="6FC0B368" w14:textId="77777777" w:rsidTr="007E5124">
        <w:tc>
          <w:tcPr>
            <w:tcW w:w="0" w:type="auto"/>
            <w:hideMark/>
          </w:tcPr>
          <w:p w14:paraId="4D05BA16" w14:textId="68475C09" w:rsidR="007E5124" w:rsidRPr="00923FF9" w:rsidRDefault="007E5124" w:rsidP="007E5124">
            <w:pPr>
              <w:ind w:left="700" w:hanging="700"/>
            </w:pPr>
            <w:r w:rsidRPr="00923FF9">
              <w:t>Alaniz, M. L., Cartmill, R. S., Parker, R. N. (1998). Immigrants and violence: The importance of neighborhood context. Hispanic Journal of Behavioral Sciences, 20, 155–174.</w:t>
            </w:r>
          </w:p>
        </w:tc>
      </w:tr>
      <w:tr w:rsidR="007E5124" w:rsidRPr="00923FF9" w14:paraId="2AF5DDB7" w14:textId="77777777" w:rsidTr="007E5124">
        <w:tc>
          <w:tcPr>
            <w:tcW w:w="0" w:type="auto"/>
            <w:hideMark/>
          </w:tcPr>
          <w:p w14:paraId="528A9EAB" w14:textId="4DFD1C46" w:rsidR="007E5124" w:rsidRPr="00923FF9" w:rsidRDefault="007E5124" w:rsidP="007E5124">
            <w:pPr>
              <w:ind w:left="700" w:hanging="700"/>
            </w:pPr>
            <w:proofErr w:type="spellStart"/>
            <w:r w:rsidRPr="00923FF9">
              <w:t>Anselin</w:t>
            </w:r>
            <w:proofErr w:type="spellEnd"/>
            <w:r w:rsidRPr="00923FF9">
              <w:t>, L. (1988). Spatial econometrics: Methods and models. London, England: Kluwer.</w:t>
            </w:r>
          </w:p>
        </w:tc>
      </w:tr>
      <w:tr w:rsidR="007E5124" w:rsidRPr="00923FF9" w14:paraId="6312E376" w14:textId="77777777" w:rsidTr="007E5124">
        <w:tc>
          <w:tcPr>
            <w:tcW w:w="0" w:type="auto"/>
            <w:hideMark/>
          </w:tcPr>
          <w:p w14:paraId="00C36553" w14:textId="74EA3270" w:rsidR="007E5124" w:rsidRPr="00923FF9" w:rsidRDefault="007E5124" w:rsidP="007E5124">
            <w:pPr>
              <w:ind w:left="700" w:hanging="700"/>
            </w:pPr>
            <w:proofErr w:type="spellStart"/>
            <w:r w:rsidRPr="00923FF9">
              <w:t>Anselin</w:t>
            </w:r>
            <w:proofErr w:type="spellEnd"/>
            <w:r w:rsidRPr="00923FF9">
              <w:t xml:space="preserve">, L., </w:t>
            </w:r>
            <w:proofErr w:type="spellStart"/>
            <w:r w:rsidRPr="00923FF9">
              <w:t>Bera</w:t>
            </w:r>
            <w:proofErr w:type="spellEnd"/>
            <w:r w:rsidRPr="00923FF9">
              <w:t>, A. K. (1998). Spatial dependence in linear regression models with an introduction to spatial econometrics. In Ullah, A., Giles, D. (Eds.), Handbook of applied economic statistics (pp. 237–289). New York, NY: Marcel Dekker.</w:t>
            </w:r>
          </w:p>
        </w:tc>
      </w:tr>
      <w:tr w:rsidR="007E5124" w:rsidRPr="00923FF9" w14:paraId="1B5C8979" w14:textId="77777777" w:rsidTr="007E5124">
        <w:tc>
          <w:tcPr>
            <w:tcW w:w="0" w:type="auto"/>
            <w:hideMark/>
          </w:tcPr>
          <w:p w14:paraId="5719FF1B" w14:textId="4C142F3B" w:rsidR="007E5124" w:rsidRPr="00923FF9" w:rsidRDefault="007E5124" w:rsidP="007E5124">
            <w:pPr>
              <w:ind w:left="700" w:hanging="700"/>
            </w:pPr>
            <w:proofErr w:type="spellStart"/>
            <w:r w:rsidRPr="00923FF9">
              <w:t>Baumer</w:t>
            </w:r>
            <w:proofErr w:type="spellEnd"/>
            <w:r w:rsidRPr="00923FF9">
              <w:t>, E. (2002). Neighborhood disadvantage and police notification by victims of violence. Criminology, 40, 579–616.</w:t>
            </w:r>
          </w:p>
        </w:tc>
      </w:tr>
      <w:tr w:rsidR="007E5124" w:rsidRPr="00923FF9" w14:paraId="7283E947" w14:textId="77777777" w:rsidTr="007E5124">
        <w:tc>
          <w:tcPr>
            <w:tcW w:w="0" w:type="auto"/>
            <w:hideMark/>
          </w:tcPr>
          <w:p w14:paraId="36D70913" w14:textId="39B5463E" w:rsidR="007E5124" w:rsidRPr="00923FF9" w:rsidRDefault="007E5124" w:rsidP="007E5124">
            <w:pPr>
              <w:ind w:left="700" w:hanging="700"/>
            </w:pPr>
            <w:r w:rsidRPr="00923FF9">
              <w:t xml:space="preserve">Block, R. L., Block, C. R. (1995). Space, </w:t>
            </w:r>
            <w:proofErr w:type="gramStart"/>
            <w:r w:rsidRPr="00923FF9">
              <w:t>place</w:t>
            </w:r>
            <w:proofErr w:type="gramEnd"/>
            <w:r w:rsidRPr="00923FF9">
              <w:t xml:space="preserve"> and crime: Hot spot areas and hot places of liquor-related crime. In Eck, J. E., Weisburd, D. (Eds.), Crime and place (pp. 145–183). Monsey, NY: Willow Tree Press.</w:t>
            </w:r>
          </w:p>
        </w:tc>
      </w:tr>
      <w:tr w:rsidR="007E5124" w:rsidRPr="00923FF9" w14:paraId="4C830E7D" w14:textId="77777777" w:rsidTr="007E5124">
        <w:tc>
          <w:tcPr>
            <w:tcW w:w="0" w:type="auto"/>
            <w:hideMark/>
          </w:tcPr>
          <w:p w14:paraId="4961EB0C" w14:textId="07080F28" w:rsidR="007E5124" w:rsidRPr="00923FF9" w:rsidRDefault="007E5124" w:rsidP="007E5124">
            <w:pPr>
              <w:ind w:left="700" w:hanging="700"/>
            </w:pPr>
            <w:proofErr w:type="spellStart"/>
            <w:r w:rsidRPr="00923FF9">
              <w:t>Branas</w:t>
            </w:r>
            <w:proofErr w:type="spellEnd"/>
            <w:r w:rsidRPr="00923FF9">
              <w:t>, C. C., Elliott, M. R., Richmond, T. S., Culhane, D. P., Wiebe, D. J. (2009). Alcohol consumption, alcohol outlets, and the risk of being assaulted with a gun. Alcoholism: Clinical and Experimental Research, 33, 906–915.</w:t>
            </w:r>
          </w:p>
        </w:tc>
      </w:tr>
      <w:tr w:rsidR="007E5124" w:rsidRPr="00923FF9" w14:paraId="0C2B6418" w14:textId="77777777" w:rsidTr="007E5124">
        <w:tc>
          <w:tcPr>
            <w:tcW w:w="0" w:type="auto"/>
            <w:hideMark/>
          </w:tcPr>
          <w:p w14:paraId="76CC06BC" w14:textId="6BB85658" w:rsidR="007E5124" w:rsidRPr="00923FF9" w:rsidRDefault="007E5124" w:rsidP="007E5124">
            <w:pPr>
              <w:ind w:left="700" w:hanging="700"/>
            </w:pPr>
            <w:r w:rsidRPr="00923FF9">
              <w:t xml:space="preserve">Britt, H. R., Carlin, B., Toomey, T., </w:t>
            </w:r>
            <w:proofErr w:type="spellStart"/>
            <w:r w:rsidRPr="00923FF9">
              <w:t>Wagenaar</w:t>
            </w:r>
            <w:proofErr w:type="spellEnd"/>
            <w:r w:rsidRPr="00923FF9">
              <w:t>, A. (2005). Neighborhood level spatial analysis of the relationship between alcohol outlet density and criminal violence. Environmental and Ecological Statistics, 12, 411–426.</w:t>
            </w:r>
          </w:p>
        </w:tc>
      </w:tr>
      <w:tr w:rsidR="007E5124" w:rsidRPr="00923FF9" w14:paraId="64E0705F" w14:textId="77777777" w:rsidTr="007E5124">
        <w:tc>
          <w:tcPr>
            <w:tcW w:w="0" w:type="auto"/>
            <w:hideMark/>
          </w:tcPr>
          <w:p w14:paraId="1DA88419" w14:textId="3217C0C7" w:rsidR="007E5124" w:rsidRPr="00923FF9" w:rsidRDefault="007E5124" w:rsidP="007E5124">
            <w:pPr>
              <w:ind w:left="700" w:hanging="700"/>
            </w:pPr>
            <w:r w:rsidRPr="00923FF9">
              <w:t xml:space="preserve">Browning, C. R., Byron, R. A., Calder, C. A., </w:t>
            </w:r>
            <w:proofErr w:type="spellStart"/>
            <w:r w:rsidRPr="00923FF9">
              <w:t>Krivo</w:t>
            </w:r>
            <w:proofErr w:type="spellEnd"/>
            <w:r w:rsidRPr="00923FF9">
              <w:t>, L. J., Kwan, M., Yong Lee, J., Peterson, R. D. (2010). Commercial density, residential concentration, and crime: Land use patterns and violence in neighborhood context. Journal of Research in Crime and Delinquency, 47, 329–357.</w:t>
            </w:r>
          </w:p>
        </w:tc>
      </w:tr>
      <w:tr w:rsidR="007E5124" w:rsidRPr="00923FF9" w14:paraId="2A79C7DC" w14:textId="77777777" w:rsidTr="007E5124">
        <w:tc>
          <w:tcPr>
            <w:tcW w:w="0" w:type="auto"/>
            <w:hideMark/>
          </w:tcPr>
          <w:p w14:paraId="0A98FEF6" w14:textId="027FA867" w:rsidR="007E5124" w:rsidRPr="00923FF9" w:rsidRDefault="007E5124" w:rsidP="007E5124">
            <w:pPr>
              <w:ind w:left="700" w:hanging="700"/>
            </w:pPr>
            <w:r w:rsidRPr="00923FF9">
              <w:t xml:space="preserve">Cahill, M. E. (2005). Geographies of urban crime: An intraurban study of crime in </w:t>
            </w:r>
            <w:proofErr w:type="spellStart"/>
            <w:r w:rsidRPr="00923FF9">
              <w:t>nashville</w:t>
            </w:r>
            <w:proofErr w:type="spellEnd"/>
            <w:r w:rsidRPr="00923FF9">
              <w:t>, Tn; Portland, OR; and Tucson, AZ. Washington, DC: U.S. Department of Justice.</w:t>
            </w:r>
          </w:p>
        </w:tc>
      </w:tr>
      <w:tr w:rsidR="007E5124" w:rsidRPr="00923FF9" w14:paraId="2C955B3E" w14:textId="77777777" w:rsidTr="007E5124">
        <w:tc>
          <w:tcPr>
            <w:tcW w:w="0" w:type="auto"/>
            <w:hideMark/>
          </w:tcPr>
          <w:p w14:paraId="7AD08543" w14:textId="24E227D3" w:rsidR="007E5124" w:rsidRPr="00923FF9" w:rsidRDefault="007E5124" w:rsidP="007E5124">
            <w:pPr>
              <w:ind w:left="700" w:hanging="700"/>
            </w:pPr>
            <w:r w:rsidRPr="00923FF9">
              <w:t>Cohen, L. E., Felson, M. (1979). Social change and crime rate trends: A routine activities approach. American Sociological Review, 44, 588–608.</w:t>
            </w:r>
          </w:p>
        </w:tc>
      </w:tr>
      <w:tr w:rsidR="007E5124" w:rsidRPr="00923FF9" w14:paraId="45C7AAA5" w14:textId="77777777" w:rsidTr="007E5124">
        <w:tc>
          <w:tcPr>
            <w:tcW w:w="0" w:type="auto"/>
            <w:hideMark/>
          </w:tcPr>
          <w:p w14:paraId="3D42C68C" w14:textId="7261CAE1" w:rsidR="007E5124" w:rsidRPr="00923FF9" w:rsidRDefault="007E5124" w:rsidP="007E5124">
            <w:pPr>
              <w:ind w:left="700" w:hanging="700"/>
            </w:pPr>
            <w:r w:rsidRPr="00923FF9">
              <w:t xml:space="preserve">Costanza, S. E., Bankston, W. B., </w:t>
            </w:r>
            <w:proofErr w:type="spellStart"/>
            <w:r w:rsidRPr="00923FF9">
              <w:t>Shihadeh</w:t>
            </w:r>
            <w:proofErr w:type="spellEnd"/>
            <w:r w:rsidRPr="00923FF9">
              <w:t>, E. (2001). Alcohol availability and violent crime rates: A spatial analysis. Journal of Crime &amp; Justice, 24, 71–83.</w:t>
            </w:r>
          </w:p>
        </w:tc>
      </w:tr>
      <w:tr w:rsidR="007E5124" w:rsidRPr="00923FF9" w14:paraId="1FF23A64" w14:textId="77777777" w:rsidTr="007E5124">
        <w:tc>
          <w:tcPr>
            <w:tcW w:w="0" w:type="auto"/>
            <w:hideMark/>
          </w:tcPr>
          <w:p w14:paraId="7E085001" w14:textId="54980F03" w:rsidR="007E5124" w:rsidRPr="00923FF9" w:rsidRDefault="007E5124" w:rsidP="007E5124">
            <w:pPr>
              <w:ind w:left="700" w:hanging="700"/>
            </w:pPr>
            <w:r w:rsidRPr="00923FF9">
              <w:t>Gibbs, J. P., Erickson, M. L. (1976). Crime rates of American cities in an ecological context. The American Journal of Sociology, 82, 605–620.</w:t>
            </w:r>
          </w:p>
        </w:tc>
      </w:tr>
      <w:tr w:rsidR="007E5124" w:rsidRPr="00923FF9" w14:paraId="344ABA4D" w14:textId="77777777" w:rsidTr="007E5124">
        <w:tc>
          <w:tcPr>
            <w:tcW w:w="0" w:type="auto"/>
            <w:hideMark/>
          </w:tcPr>
          <w:p w14:paraId="7ACD628D" w14:textId="08EDD4E4" w:rsidR="007E5124" w:rsidRPr="00923FF9" w:rsidRDefault="007E5124" w:rsidP="007E5124">
            <w:pPr>
              <w:ind w:left="700" w:hanging="700"/>
            </w:pPr>
            <w:r w:rsidRPr="00923FF9">
              <w:t xml:space="preserve">Gorman, D. M., Speer, P. W., Gruenewald, P. J., </w:t>
            </w:r>
            <w:proofErr w:type="spellStart"/>
            <w:r w:rsidRPr="00923FF9">
              <w:t>Labouvie</w:t>
            </w:r>
            <w:proofErr w:type="spellEnd"/>
            <w:r w:rsidRPr="00923FF9">
              <w:t>, E. W. (2001). Spatial dynamics of alcohol availability, neighborhood structure and violent crime. Journal of Studies on Alcohol and Drugs, 62, 628–636.</w:t>
            </w:r>
          </w:p>
        </w:tc>
      </w:tr>
      <w:tr w:rsidR="007E5124" w:rsidRPr="00923FF9" w14:paraId="5B738F26" w14:textId="77777777" w:rsidTr="007E5124">
        <w:tc>
          <w:tcPr>
            <w:tcW w:w="0" w:type="auto"/>
            <w:hideMark/>
          </w:tcPr>
          <w:p w14:paraId="236E59B1" w14:textId="37CDC238" w:rsidR="007E5124" w:rsidRPr="00923FF9" w:rsidRDefault="007E5124" w:rsidP="007E5124">
            <w:pPr>
              <w:ind w:left="700" w:hanging="700"/>
            </w:pPr>
            <w:r w:rsidRPr="00923FF9">
              <w:t xml:space="preserve">Gorman, D. M., Speer, P. W., </w:t>
            </w:r>
            <w:proofErr w:type="spellStart"/>
            <w:r w:rsidRPr="00923FF9">
              <w:t>Labouvie</w:t>
            </w:r>
            <w:proofErr w:type="spellEnd"/>
            <w:r w:rsidRPr="00923FF9">
              <w:t xml:space="preserve">, E. W., </w:t>
            </w:r>
            <w:proofErr w:type="spellStart"/>
            <w:r w:rsidRPr="00923FF9">
              <w:t>Subaiya</w:t>
            </w:r>
            <w:proofErr w:type="spellEnd"/>
            <w:r w:rsidRPr="00923FF9">
              <w:t>, A. P. (1998). Risk of assaultive violence and alcohol availability in New Jersey. American Journal of Public Health, 88, 97–100.</w:t>
            </w:r>
          </w:p>
        </w:tc>
      </w:tr>
      <w:tr w:rsidR="007E5124" w:rsidRPr="00923FF9" w14:paraId="4DA7E4C0" w14:textId="77777777" w:rsidTr="007E5124">
        <w:tc>
          <w:tcPr>
            <w:tcW w:w="0" w:type="auto"/>
            <w:hideMark/>
          </w:tcPr>
          <w:p w14:paraId="797D0EA6" w14:textId="56F0EB1E" w:rsidR="007E5124" w:rsidRPr="00923FF9" w:rsidRDefault="007E5124" w:rsidP="007E5124">
            <w:pPr>
              <w:ind w:left="700" w:hanging="700"/>
            </w:pPr>
            <w:r w:rsidRPr="00923FF9">
              <w:lastRenderedPageBreak/>
              <w:t xml:space="preserve">Graham, K., </w:t>
            </w:r>
            <w:proofErr w:type="spellStart"/>
            <w:r w:rsidRPr="00923FF9">
              <w:t>Bernards</w:t>
            </w:r>
            <w:proofErr w:type="spellEnd"/>
            <w:r w:rsidRPr="00923FF9">
              <w:t xml:space="preserve">, S., Osgood, D. W., </w:t>
            </w:r>
            <w:proofErr w:type="spellStart"/>
            <w:r w:rsidRPr="00923FF9">
              <w:t>Homel</w:t>
            </w:r>
            <w:proofErr w:type="spellEnd"/>
            <w:r w:rsidRPr="00923FF9">
              <w:t>, R., Purcell, J. (2005). Guardians and handlers: The role of bar staff in preventing and managing aggression. Addiction, 100, 755–766.</w:t>
            </w:r>
          </w:p>
        </w:tc>
      </w:tr>
      <w:tr w:rsidR="007E5124" w:rsidRPr="00923FF9" w14:paraId="3F941AC9" w14:textId="77777777" w:rsidTr="007E5124">
        <w:tc>
          <w:tcPr>
            <w:tcW w:w="0" w:type="auto"/>
            <w:hideMark/>
          </w:tcPr>
          <w:p w14:paraId="27172FDE" w14:textId="1EAAC0A9" w:rsidR="007E5124" w:rsidRPr="00923FF9" w:rsidRDefault="007E5124" w:rsidP="007E5124">
            <w:pPr>
              <w:ind w:left="700" w:hanging="700"/>
            </w:pPr>
            <w:r w:rsidRPr="00923FF9">
              <w:t xml:space="preserve">Graham, K., Tremblay, P. F., Wells, S., </w:t>
            </w:r>
            <w:proofErr w:type="spellStart"/>
            <w:r w:rsidRPr="00923FF9">
              <w:t>Pernanen</w:t>
            </w:r>
            <w:proofErr w:type="spellEnd"/>
            <w:r w:rsidRPr="00923FF9">
              <w:t xml:space="preserve">, K., Purcell, J., </w:t>
            </w:r>
            <w:proofErr w:type="spellStart"/>
            <w:r w:rsidRPr="00923FF9">
              <w:t>Jelley</w:t>
            </w:r>
            <w:proofErr w:type="spellEnd"/>
            <w:r w:rsidRPr="00923FF9">
              <w:t xml:space="preserve">, J. (2006). Harm and intent and the nature of aggressive behavior: Measuring </w:t>
            </w:r>
            <w:proofErr w:type="gramStart"/>
            <w:r w:rsidRPr="00923FF9">
              <w:t>naturally-occurring</w:t>
            </w:r>
            <w:proofErr w:type="gramEnd"/>
            <w:r w:rsidRPr="00923FF9">
              <w:t xml:space="preserve"> aggression in barroom settings. Assessment, 13, 280–296.</w:t>
            </w:r>
          </w:p>
        </w:tc>
      </w:tr>
      <w:tr w:rsidR="007E5124" w:rsidRPr="00923FF9" w14:paraId="75FB17F1" w14:textId="77777777" w:rsidTr="007E5124">
        <w:tc>
          <w:tcPr>
            <w:tcW w:w="0" w:type="auto"/>
            <w:hideMark/>
          </w:tcPr>
          <w:p w14:paraId="196FED9B" w14:textId="52AB3EAC" w:rsidR="007E5124" w:rsidRPr="00923FF9" w:rsidRDefault="007E5124" w:rsidP="007E5124">
            <w:pPr>
              <w:ind w:left="700" w:hanging="700"/>
            </w:pPr>
            <w:r w:rsidRPr="00923FF9">
              <w:t>Green, J., Plant, M. A. (2007). Bad bars: A review of risk factors. Journal of Substance Use, 12, 157–189.</w:t>
            </w:r>
          </w:p>
        </w:tc>
      </w:tr>
      <w:tr w:rsidR="007E5124" w:rsidRPr="00923FF9" w14:paraId="552C1568" w14:textId="77777777" w:rsidTr="007E5124">
        <w:tc>
          <w:tcPr>
            <w:tcW w:w="0" w:type="auto"/>
            <w:hideMark/>
          </w:tcPr>
          <w:p w14:paraId="578CF1FB" w14:textId="03113C42" w:rsidR="007E5124" w:rsidRPr="00923FF9" w:rsidRDefault="007E5124" w:rsidP="007E5124">
            <w:pPr>
              <w:ind w:left="700" w:hanging="700"/>
            </w:pPr>
            <w:r w:rsidRPr="00923FF9">
              <w:t xml:space="preserve">Grubesic, T., </w:t>
            </w:r>
            <w:proofErr w:type="spellStart"/>
            <w:r w:rsidRPr="00923FF9">
              <w:t>Pridemore</w:t>
            </w:r>
            <w:proofErr w:type="spellEnd"/>
            <w:r w:rsidRPr="00923FF9">
              <w:t>, W. A. (2011). Using proximity analysis and spatial cluster detection to better understand the association between agglomerations of alcohol outlets and clusters of violence. International Journal of Health Geographics, 10, 30.</w:t>
            </w:r>
          </w:p>
        </w:tc>
      </w:tr>
      <w:tr w:rsidR="007E5124" w:rsidRPr="00923FF9" w14:paraId="74652F33" w14:textId="77777777" w:rsidTr="007E5124">
        <w:tc>
          <w:tcPr>
            <w:tcW w:w="0" w:type="auto"/>
            <w:hideMark/>
          </w:tcPr>
          <w:p w14:paraId="7948AEC2" w14:textId="785B84E3" w:rsidR="007E5124" w:rsidRPr="00923FF9" w:rsidRDefault="007E5124" w:rsidP="007E5124">
            <w:pPr>
              <w:ind w:left="700" w:hanging="700"/>
            </w:pPr>
            <w:r w:rsidRPr="00923FF9">
              <w:t xml:space="preserve">Gruenewald, P. J., </w:t>
            </w:r>
            <w:proofErr w:type="spellStart"/>
            <w:r w:rsidRPr="00923FF9">
              <w:t>Freisthler</w:t>
            </w:r>
            <w:proofErr w:type="spellEnd"/>
            <w:r w:rsidRPr="00923FF9">
              <w:t xml:space="preserve">, B., Remer, L., </w:t>
            </w:r>
            <w:proofErr w:type="spellStart"/>
            <w:r w:rsidRPr="00923FF9">
              <w:t>LaScala</w:t>
            </w:r>
            <w:proofErr w:type="spellEnd"/>
            <w:r w:rsidRPr="00923FF9">
              <w:t xml:space="preserve">, E. A., </w:t>
            </w:r>
            <w:proofErr w:type="spellStart"/>
            <w:r w:rsidRPr="00923FF9">
              <w:t>Treno</w:t>
            </w:r>
            <w:proofErr w:type="spellEnd"/>
            <w:r w:rsidRPr="00923FF9">
              <w:t>, A. (2006). Ecological models of alcohol outlets and violent assaults: Crime potentials and geospatial analysis. Addiction, 101, 666–677.</w:t>
            </w:r>
          </w:p>
        </w:tc>
      </w:tr>
      <w:tr w:rsidR="007E5124" w:rsidRPr="00923FF9" w14:paraId="47F75763" w14:textId="77777777" w:rsidTr="007E5124">
        <w:tc>
          <w:tcPr>
            <w:tcW w:w="0" w:type="auto"/>
            <w:hideMark/>
          </w:tcPr>
          <w:p w14:paraId="59485BD1" w14:textId="498F612B" w:rsidR="007E5124" w:rsidRPr="00923FF9" w:rsidRDefault="007E5124" w:rsidP="007E5124">
            <w:pPr>
              <w:ind w:left="700" w:hanging="700"/>
            </w:pPr>
            <w:r w:rsidRPr="00923FF9">
              <w:t>Gruenewald, P. J., Remer, L. (2006). Changes in outlet densities affect violence rates. Alcoholism: Clinical and Experimental Research, 30, 1184–1193.</w:t>
            </w:r>
          </w:p>
        </w:tc>
      </w:tr>
      <w:tr w:rsidR="007E5124" w:rsidRPr="00923FF9" w14:paraId="5854638A" w14:textId="77777777" w:rsidTr="007E5124">
        <w:tc>
          <w:tcPr>
            <w:tcW w:w="0" w:type="auto"/>
            <w:hideMark/>
          </w:tcPr>
          <w:p w14:paraId="6F562EF5" w14:textId="7897FD2A" w:rsidR="007E5124" w:rsidRPr="00923FF9" w:rsidRDefault="007E5124" w:rsidP="007E5124">
            <w:pPr>
              <w:ind w:left="700" w:hanging="700"/>
            </w:pPr>
            <w:r w:rsidRPr="00923FF9">
              <w:t>Hildebrand, G. H., Mace, A. (1950). The employment multiplier in an expanding industrial market: Los Angeles County, 1940–1947. The Review of Economics and Statistics, 32, 241–249.</w:t>
            </w:r>
          </w:p>
        </w:tc>
      </w:tr>
      <w:tr w:rsidR="007E5124" w:rsidRPr="00923FF9" w14:paraId="1DDDE3DA" w14:textId="77777777" w:rsidTr="007E5124">
        <w:tc>
          <w:tcPr>
            <w:tcW w:w="0" w:type="auto"/>
            <w:hideMark/>
          </w:tcPr>
          <w:p w14:paraId="36EC2F43" w14:textId="074C7EB9" w:rsidR="007E5124" w:rsidRPr="00923FF9" w:rsidRDefault="007E5124" w:rsidP="007E5124">
            <w:pPr>
              <w:ind w:left="700" w:hanging="700"/>
            </w:pPr>
            <w:r w:rsidRPr="00923FF9">
              <w:t>Hirschfield, A., Bowers, K. J. (1997). The development of a social, demographic and land use profiler for areas of high crime. The British Journal of Criminology, 37, 103–120.</w:t>
            </w:r>
          </w:p>
        </w:tc>
      </w:tr>
      <w:tr w:rsidR="007E5124" w:rsidRPr="00923FF9" w14:paraId="6FA5900D" w14:textId="77777777" w:rsidTr="007E5124">
        <w:tc>
          <w:tcPr>
            <w:tcW w:w="0" w:type="auto"/>
            <w:hideMark/>
          </w:tcPr>
          <w:p w14:paraId="64A02B2F" w14:textId="03D067D3" w:rsidR="007E5124" w:rsidRPr="00923FF9" w:rsidRDefault="007E5124" w:rsidP="007E5124">
            <w:pPr>
              <w:ind w:left="700" w:hanging="700"/>
            </w:pPr>
            <w:r w:rsidRPr="00923FF9">
              <w:t>Iceland, J., Steinmetz, E. (2003). The effects of using census block groups instead of census tracts when examining residential housing patterns. Retrieved from U.S. Census Bureau website: http://www.census.gov/hhes/www/housing/resseg/pdf/unit_of_analysis.pdf</w:t>
            </w:r>
          </w:p>
        </w:tc>
      </w:tr>
      <w:tr w:rsidR="007E5124" w:rsidRPr="00923FF9" w14:paraId="729070A9" w14:textId="77777777" w:rsidTr="007E5124">
        <w:tc>
          <w:tcPr>
            <w:tcW w:w="0" w:type="auto"/>
            <w:hideMark/>
          </w:tcPr>
          <w:p w14:paraId="1BA06005" w14:textId="03ACC961" w:rsidR="007E5124" w:rsidRPr="00923FF9" w:rsidRDefault="007E5124" w:rsidP="007E5124">
            <w:pPr>
              <w:ind w:left="700" w:hanging="700"/>
            </w:pPr>
            <w:r w:rsidRPr="00923FF9">
              <w:t>Jacobs, J. (1961). The death and life of great American cities. New York, NY: Random House</w:t>
            </w:r>
          </w:p>
        </w:tc>
      </w:tr>
      <w:tr w:rsidR="007E5124" w:rsidRPr="00923FF9" w14:paraId="5362185B" w14:textId="77777777" w:rsidTr="007E5124">
        <w:tc>
          <w:tcPr>
            <w:tcW w:w="0" w:type="auto"/>
            <w:hideMark/>
          </w:tcPr>
          <w:p w14:paraId="0BC3034B" w14:textId="058A34B3" w:rsidR="007E5124" w:rsidRPr="00923FF9" w:rsidRDefault="007E5124" w:rsidP="007E5124">
            <w:pPr>
              <w:ind w:left="700" w:hanging="700"/>
            </w:pPr>
            <w:r w:rsidRPr="00923FF9">
              <w:t xml:space="preserve">Kaylen, M. T., </w:t>
            </w:r>
            <w:proofErr w:type="spellStart"/>
            <w:r w:rsidRPr="00923FF9">
              <w:t>Pridemore</w:t>
            </w:r>
            <w:proofErr w:type="spellEnd"/>
            <w:r w:rsidRPr="00923FF9">
              <w:t>, W. A., (2011). A reassessment of the association between social disorganization and youth violence in rural areas. Social Science Quarterly, 92, 978–1001.</w:t>
            </w:r>
          </w:p>
        </w:tc>
      </w:tr>
      <w:tr w:rsidR="007E5124" w:rsidRPr="00923FF9" w14:paraId="0F95AF86" w14:textId="77777777" w:rsidTr="007E5124">
        <w:tc>
          <w:tcPr>
            <w:tcW w:w="0" w:type="auto"/>
            <w:hideMark/>
          </w:tcPr>
          <w:p w14:paraId="72C8774D" w14:textId="78BDA50C" w:rsidR="007E5124" w:rsidRPr="00923FF9" w:rsidRDefault="007E5124" w:rsidP="007E5124">
            <w:pPr>
              <w:ind w:left="700" w:hanging="700"/>
            </w:pPr>
            <w:r w:rsidRPr="00923FF9">
              <w:t xml:space="preserve">Klingemann, H., </w:t>
            </w:r>
            <w:proofErr w:type="spellStart"/>
            <w:r w:rsidRPr="00923FF9">
              <w:t>Gmel</w:t>
            </w:r>
            <w:proofErr w:type="spellEnd"/>
            <w:r w:rsidRPr="00923FF9">
              <w:t>, G. (Eds.) (2001). Mapping the social consequences of alcohol consumption. Dordrecht, Netherlands: Kluwer Academic Publishers.</w:t>
            </w:r>
          </w:p>
        </w:tc>
      </w:tr>
      <w:tr w:rsidR="007E5124" w:rsidRPr="00923FF9" w14:paraId="1B1AA1F2" w14:textId="77777777" w:rsidTr="007E5124">
        <w:tc>
          <w:tcPr>
            <w:tcW w:w="0" w:type="auto"/>
            <w:hideMark/>
          </w:tcPr>
          <w:p w14:paraId="69A286CF" w14:textId="3DDDF0EE" w:rsidR="007E5124" w:rsidRPr="00923FF9" w:rsidRDefault="007E5124" w:rsidP="007E5124">
            <w:pPr>
              <w:ind w:left="700" w:hanging="700"/>
            </w:pPr>
            <w:proofErr w:type="spellStart"/>
            <w:r w:rsidRPr="00923FF9">
              <w:t>Laranjeira</w:t>
            </w:r>
            <w:proofErr w:type="spellEnd"/>
            <w:r w:rsidRPr="00923FF9">
              <w:t xml:space="preserve">, R., </w:t>
            </w:r>
            <w:proofErr w:type="spellStart"/>
            <w:r w:rsidRPr="00923FF9">
              <w:t>Hinkly</w:t>
            </w:r>
            <w:proofErr w:type="spellEnd"/>
            <w:r w:rsidRPr="00923FF9">
              <w:t xml:space="preserve">, D. (2002). Evaluation of alcohol outlet density and its </w:t>
            </w:r>
            <w:proofErr w:type="gramStart"/>
            <w:r w:rsidRPr="00923FF9">
              <w:t>relation</w:t>
            </w:r>
            <w:proofErr w:type="gramEnd"/>
            <w:r w:rsidRPr="00923FF9">
              <w:t xml:space="preserve"> with violence. </w:t>
            </w:r>
            <w:proofErr w:type="spellStart"/>
            <w:r w:rsidRPr="00923FF9">
              <w:t>Revista</w:t>
            </w:r>
            <w:proofErr w:type="spellEnd"/>
            <w:r w:rsidRPr="00923FF9">
              <w:t xml:space="preserve"> de </w:t>
            </w:r>
            <w:proofErr w:type="spellStart"/>
            <w:r w:rsidRPr="00923FF9">
              <w:t>Saude</w:t>
            </w:r>
            <w:proofErr w:type="spellEnd"/>
            <w:r w:rsidRPr="00923FF9">
              <w:t xml:space="preserve"> Publica, 36, 455–461.</w:t>
            </w:r>
          </w:p>
        </w:tc>
      </w:tr>
      <w:tr w:rsidR="007E5124" w:rsidRPr="00923FF9" w14:paraId="3F4B31D0" w14:textId="77777777" w:rsidTr="007E5124">
        <w:tc>
          <w:tcPr>
            <w:tcW w:w="0" w:type="auto"/>
            <w:hideMark/>
          </w:tcPr>
          <w:p w14:paraId="6B4B355D" w14:textId="443149F5" w:rsidR="007E5124" w:rsidRPr="00923FF9" w:rsidRDefault="007E5124" w:rsidP="007E5124">
            <w:pPr>
              <w:ind w:left="700" w:hanging="700"/>
            </w:pPr>
            <w:r w:rsidRPr="00923FF9">
              <w:t>Levine, H. G. (1984). The alcohol problem in America: From temperance to alcoholism. British Journal of Addiction, 79, 109–119.</w:t>
            </w:r>
          </w:p>
        </w:tc>
      </w:tr>
      <w:tr w:rsidR="007E5124" w:rsidRPr="00923FF9" w14:paraId="330EF9B7" w14:textId="77777777" w:rsidTr="007E5124">
        <w:tc>
          <w:tcPr>
            <w:tcW w:w="0" w:type="auto"/>
            <w:hideMark/>
          </w:tcPr>
          <w:p w14:paraId="0E461E8F" w14:textId="63A62D1D" w:rsidR="007E5124" w:rsidRPr="00923FF9" w:rsidRDefault="007E5124" w:rsidP="007E5124">
            <w:pPr>
              <w:ind w:left="700" w:hanging="700"/>
            </w:pPr>
            <w:proofErr w:type="spellStart"/>
            <w:r w:rsidRPr="00923FF9">
              <w:t>Lieberson</w:t>
            </w:r>
            <w:proofErr w:type="spellEnd"/>
            <w:r w:rsidRPr="00923FF9">
              <w:t>, S. (1969). Measuring population diversity. American Sociological Review, 34(6), 850–862.</w:t>
            </w:r>
          </w:p>
        </w:tc>
      </w:tr>
      <w:tr w:rsidR="007E5124" w:rsidRPr="00923FF9" w14:paraId="7ABC4528" w14:textId="77777777" w:rsidTr="007E5124">
        <w:tc>
          <w:tcPr>
            <w:tcW w:w="0" w:type="auto"/>
            <w:hideMark/>
          </w:tcPr>
          <w:p w14:paraId="728F339F" w14:textId="7441E360" w:rsidR="007E5124" w:rsidRPr="00923FF9" w:rsidRDefault="007E5124" w:rsidP="007E5124">
            <w:pPr>
              <w:ind w:left="700" w:hanging="700"/>
            </w:pPr>
            <w:r w:rsidRPr="00923FF9">
              <w:t>Lipton, R., Gruenewald, P. (2002). The spatial dynamics of violence and alcohol outlets. Journal of Studies on Alcohol, 41, 468–485.</w:t>
            </w:r>
          </w:p>
        </w:tc>
      </w:tr>
      <w:tr w:rsidR="007E5124" w:rsidRPr="00923FF9" w14:paraId="04858CDE" w14:textId="77777777" w:rsidTr="007E5124">
        <w:tc>
          <w:tcPr>
            <w:tcW w:w="0" w:type="auto"/>
            <w:hideMark/>
          </w:tcPr>
          <w:p w14:paraId="30C4AF4B" w14:textId="32A8D98D" w:rsidR="007E5124" w:rsidRPr="00923FF9" w:rsidRDefault="007E5124" w:rsidP="007E5124">
            <w:pPr>
              <w:ind w:left="700" w:hanging="700"/>
            </w:pPr>
            <w:r w:rsidRPr="00923FF9">
              <w:t>Livingston, M. (2008a). Alcohol outlet density and assault: A spatial analysis. Addiction, 103, 619–628.</w:t>
            </w:r>
          </w:p>
        </w:tc>
      </w:tr>
      <w:tr w:rsidR="007E5124" w:rsidRPr="00923FF9" w14:paraId="5D9AEAC0" w14:textId="77777777" w:rsidTr="007E5124">
        <w:tc>
          <w:tcPr>
            <w:tcW w:w="0" w:type="auto"/>
            <w:hideMark/>
          </w:tcPr>
          <w:p w14:paraId="0B8A8EF4" w14:textId="5EDDD6FD" w:rsidR="007E5124" w:rsidRPr="00923FF9" w:rsidRDefault="007E5124" w:rsidP="007E5124">
            <w:pPr>
              <w:ind w:left="700" w:hanging="700"/>
            </w:pPr>
            <w:r w:rsidRPr="00923FF9">
              <w:t>Livingston, M. (2008b). A longitudinal analysis of alcohol outlet density and assault. Alcoholism: Clinical and Experimental Research, 32, 1074–1079.</w:t>
            </w:r>
          </w:p>
        </w:tc>
      </w:tr>
      <w:tr w:rsidR="007E5124" w:rsidRPr="00923FF9" w14:paraId="3BBD371C" w14:textId="77777777" w:rsidTr="007E5124">
        <w:tc>
          <w:tcPr>
            <w:tcW w:w="0" w:type="auto"/>
            <w:hideMark/>
          </w:tcPr>
          <w:p w14:paraId="2F827B34" w14:textId="3B4F5816" w:rsidR="007E5124" w:rsidRPr="00923FF9" w:rsidRDefault="007E5124" w:rsidP="007E5124">
            <w:pPr>
              <w:ind w:left="700" w:hanging="700"/>
            </w:pPr>
            <w:r w:rsidRPr="00923FF9">
              <w:t>Lockwood, D. (2007). Mapping crime in Savannah: Social disadvantage, land use, and violent crimes reported to the police. Social Science Computer Review, 25, 194–209.</w:t>
            </w:r>
          </w:p>
        </w:tc>
      </w:tr>
      <w:tr w:rsidR="007E5124" w:rsidRPr="00923FF9" w14:paraId="0B74886A" w14:textId="77777777" w:rsidTr="007E5124">
        <w:tc>
          <w:tcPr>
            <w:tcW w:w="0" w:type="auto"/>
            <w:hideMark/>
          </w:tcPr>
          <w:p w14:paraId="458B48CC" w14:textId="7D35D08D" w:rsidR="007E5124" w:rsidRPr="00923FF9" w:rsidRDefault="007E5124" w:rsidP="007E5124">
            <w:pPr>
              <w:ind w:left="700" w:hanging="700"/>
            </w:pPr>
            <w:r w:rsidRPr="00923FF9">
              <w:t>Lugo, W. (2008). Alcohol and crime: Beyond density. Security Journal, 21, 229–245.</w:t>
            </w:r>
          </w:p>
        </w:tc>
      </w:tr>
      <w:tr w:rsidR="007E5124" w:rsidRPr="00923FF9" w14:paraId="25264E43" w14:textId="77777777" w:rsidTr="007E5124">
        <w:tc>
          <w:tcPr>
            <w:tcW w:w="0" w:type="auto"/>
            <w:hideMark/>
          </w:tcPr>
          <w:p w14:paraId="7C6AB81E" w14:textId="1ADF77FB" w:rsidR="007E5124" w:rsidRPr="00923FF9" w:rsidRDefault="007E5124" w:rsidP="007E5124">
            <w:pPr>
              <w:ind w:left="700" w:hanging="700"/>
            </w:pPr>
            <w:r w:rsidRPr="00923FF9">
              <w:t>Millar, A. B., Gruenewald, P. J. (1997). Use of spatial models for community program evaluation of changes in alcohol outlet distribution. Addiction, 92, 273–284.</w:t>
            </w:r>
          </w:p>
        </w:tc>
      </w:tr>
      <w:tr w:rsidR="007E5124" w:rsidRPr="00923FF9" w14:paraId="3715EBA9" w14:textId="77777777" w:rsidTr="007E5124">
        <w:tc>
          <w:tcPr>
            <w:tcW w:w="0" w:type="auto"/>
            <w:hideMark/>
          </w:tcPr>
          <w:p w14:paraId="6F80B112" w14:textId="295B3E6F" w:rsidR="007E5124" w:rsidRPr="00923FF9" w:rsidRDefault="007E5124" w:rsidP="007E5124">
            <w:pPr>
              <w:ind w:left="700" w:hanging="700"/>
            </w:pPr>
            <w:r w:rsidRPr="00923FF9">
              <w:t xml:space="preserve">Murray, R. K., </w:t>
            </w:r>
            <w:proofErr w:type="spellStart"/>
            <w:r w:rsidRPr="00923FF9">
              <w:t>Roncek</w:t>
            </w:r>
            <w:proofErr w:type="spellEnd"/>
            <w:r w:rsidRPr="00923FF9">
              <w:t>, D. W. (2008). Measuring diffusion of assaults around bars through radius and adjacency techniques. Criminal Justice Review, 33, 199–220.</w:t>
            </w:r>
          </w:p>
        </w:tc>
      </w:tr>
      <w:tr w:rsidR="007E5124" w:rsidRPr="00923FF9" w14:paraId="2CDA6421" w14:textId="77777777" w:rsidTr="007E5124">
        <w:tc>
          <w:tcPr>
            <w:tcW w:w="0" w:type="auto"/>
            <w:hideMark/>
          </w:tcPr>
          <w:p w14:paraId="45641DDC" w14:textId="79F62A6E" w:rsidR="007E5124" w:rsidRPr="00923FF9" w:rsidRDefault="007E5124" w:rsidP="007E5124">
            <w:pPr>
              <w:ind w:left="700" w:hanging="700"/>
            </w:pPr>
            <w:r w:rsidRPr="00923FF9">
              <w:t>Nielsen, A. L., Hill, T. D., French, M. T., Hernandez, M. N. (2010). Racial/ethnic composition, social disorganization, and offsite alcohol availability in San Diego County, California. Social Science Research, 39, 165–175.</w:t>
            </w:r>
          </w:p>
        </w:tc>
      </w:tr>
      <w:tr w:rsidR="007E5124" w:rsidRPr="00923FF9" w14:paraId="57860605" w14:textId="77777777" w:rsidTr="007E5124">
        <w:tc>
          <w:tcPr>
            <w:tcW w:w="0" w:type="auto"/>
            <w:hideMark/>
          </w:tcPr>
          <w:p w14:paraId="5C5582C1" w14:textId="3BC0D318" w:rsidR="007E5124" w:rsidRPr="00923FF9" w:rsidRDefault="007E5124" w:rsidP="007E5124">
            <w:pPr>
              <w:ind w:left="700" w:hanging="700"/>
            </w:pPr>
            <w:proofErr w:type="spellStart"/>
            <w:r w:rsidRPr="00923FF9">
              <w:t>Norström</w:t>
            </w:r>
            <w:proofErr w:type="spellEnd"/>
            <w:r w:rsidRPr="00923FF9">
              <w:t>, T. (2000). Outlet density and criminal violence in Norway, 1960–1995. Journal of Studies on Alcohol and Drugs, 61, 907–911.</w:t>
            </w:r>
          </w:p>
        </w:tc>
      </w:tr>
      <w:tr w:rsidR="007E5124" w:rsidRPr="00923FF9" w14:paraId="701995C9" w14:textId="77777777" w:rsidTr="007E5124">
        <w:tc>
          <w:tcPr>
            <w:tcW w:w="0" w:type="auto"/>
            <w:hideMark/>
          </w:tcPr>
          <w:p w14:paraId="2D033BCB" w14:textId="534FB022" w:rsidR="007E5124" w:rsidRPr="00923FF9" w:rsidRDefault="007E5124" w:rsidP="007E5124">
            <w:pPr>
              <w:ind w:left="700" w:hanging="700"/>
            </w:pPr>
            <w:r w:rsidRPr="00923FF9">
              <w:t xml:space="preserve">Parker, D. A., </w:t>
            </w:r>
            <w:proofErr w:type="spellStart"/>
            <w:r w:rsidRPr="00923FF9">
              <w:t>Wolz</w:t>
            </w:r>
            <w:proofErr w:type="spellEnd"/>
            <w:r w:rsidRPr="00923FF9">
              <w:t>, M. W. (1979). Alcohol problems and the availability of alcohol. Alcohol Clinical Experimental Research, 3, 309–312.</w:t>
            </w:r>
          </w:p>
        </w:tc>
      </w:tr>
      <w:tr w:rsidR="007E5124" w:rsidRPr="00923FF9" w14:paraId="34C5BC8B" w14:textId="77777777" w:rsidTr="007E5124">
        <w:tc>
          <w:tcPr>
            <w:tcW w:w="0" w:type="auto"/>
            <w:hideMark/>
          </w:tcPr>
          <w:p w14:paraId="2FE30F11" w14:textId="1F590624" w:rsidR="007E5124" w:rsidRPr="00923FF9" w:rsidRDefault="007E5124" w:rsidP="007E5124">
            <w:pPr>
              <w:ind w:left="700" w:hanging="700"/>
            </w:pPr>
            <w:r w:rsidRPr="00923FF9">
              <w:lastRenderedPageBreak/>
              <w:t xml:space="preserve">Parker, R. N., </w:t>
            </w:r>
            <w:proofErr w:type="spellStart"/>
            <w:r w:rsidRPr="00923FF9">
              <w:t>Rebhun</w:t>
            </w:r>
            <w:proofErr w:type="spellEnd"/>
            <w:r w:rsidRPr="00923FF9">
              <w:t>, L.-A. (1995). Alcohol and homicide: A deadly combination of two American traditions. Albany: State University of New York Press.</w:t>
            </w:r>
          </w:p>
        </w:tc>
      </w:tr>
      <w:tr w:rsidR="007E5124" w:rsidRPr="00923FF9" w14:paraId="7BEB66BE" w14:textId="77777777" w:rsidTr="007E5124">
        <w:tc>
          <w:tcPr>
            <w:tcW w:w="0" w:type="auto"/>
            <w:hideMark/>
          </w:tcPr>
          <w:p w14:paraId="189A8BA1" w14:textId="6578632E" w:rsidR="007E5124" w:rsidRPr="00923FF9" w:rsidRDefault="007E5124" w:rsidP="007E5124">
            <w:pPr>
              <w:ind w:left="700" w:hanging="700"/>
            </w:pPr>
            <w:proofErr w:type="spellStart"/>
            <w:r w:rsidRPr="00923FF9">
              <w:t>Piat</w:t>
            </w:r>
            <w:proofErr w:type="spellEnd"/>
            <w:r w:rsidRPr="00923FF9">
              <w:t xml:space="preserve">, M. (2000). The NIMBY phenomenon: Community residents’ concerns about housing for deinstitutionalized people. Health and Social Work, 25, 127–138.  </w:t>
            </w:r>
          </w:p>
        </w:tc>
      </w:tr>
      <w:tr w:rsidR="007E5124" w:rsidRPr="00923FF9" w14:paraId="2E9F588C" w14:textId="77777777" w:rsidTr="007E5124">
        <w:tc>
          <w:tcPr>
            <w:tcW w:w="0" w:type="auto"/>
            <w:hideMark/>
          </w:tcPr>
          <w:p w14:paraId="76E447B1" w14:textId="5EA301D6" w:rsidR="007E5124" w:rsidRPr="00923FF9" w:rsidRDefault="007E5124" w:rsidP="007E5124">
            <w:pPr>
              <w:ind w:left="700" w:hanging="700"/>
            </w:pPr>
            <w:r w:rsidRPr="00923FF9">
              <w:t xml:space="preserve">Pollack, C. E., </w:t>
            </w:r>
            <w:proofErr w:type="spellStart"/>
            <w:r w:rsidRPr="00923FF9">
              <w:t>Cubbin</w:t>
            </w:r>
            <w:proofErr w:type="spellEnd"/>
            <w:r w:rsidRPr="00923FF9">
              <w:t xml:space="preserve">, C., </w:t>
            </w:r>
            <w:proofErr w:type="spellStart"/>
            <w:r w:rsidRPr="00923FF9">
              <w:t>Ahn</w:t>
            </w:r>
            <w:proofErr w:type="spellEnd"/>
            <w:r w:rsidRPr="00923FF9">
              <w:t xml:space="preserve">, D., </w:t>
            </w:r>
            <w:proofErr w:type="spellStart"/>
            <w:r w:rsidRPr="00923FF9">
              <w:t>Winkleby</w:t>
            </w:r>
            <w:proofErr w:type="spellEnd"/>
            <w:r w:rsidRPr="00923FF9">
              <w:t>, M. (2005). Neighborhood deprivation and alcohol consumption: Does the availability of alcohol play a role? International Journal of Epidemiology, 34, 772–780.</w:t>
            </w:r>
          </w:p>
        </w:tc>
      </w:tr>
      <w:tr w:rsidR="007E5124" w:rsidRPr="00923FF9" w14:paraId="452C24E7" w14:textId="77777777" w:rsidTr="007E5124">
        <w:tc>
          <w:tcPr>
            <w:tcW w:w="0" w:type="auto"/>
            <w:hideMark/>
          </w:tcPr>
          <w:p w14:paraId="14957813" w14:textId="13594410" w:rsidR="007E5124" w:rsidRPr="00923FF9" w:rsidRDefault="007E5124" w:rsidP="007E5124">
            <w:pPr>
              <w:ind w:left="700" w:hanging="700"/>
            </w:pPr>
            <w:proofErr w:type="spellStart"/>
            <w:r w:rsidRPr="00923FF9">
              <w:t>Pridemore</w:t>
            </w:r>
            <w:proofErr w:type="spellEnd"/>
            <w:r w:rsidRPr="00923FF9">
              <w:t>, W. A., Grubesic, T. (2012a). Alcohol outlets and community levels of interpersonal violence: Spatial density, type of outlet, and seriousness of assault. Journal of Research in Crime and Delinquency. Retrieved from http://dx.doi.org/10.1177/0022427810397952</w:t>
            </w:r>
          </w:p>
        </w:tc>
      </w:tr>
      <w:tr w:rsidR="007E5124" w:rsidRPr="00923FF9" w14:paraId="5F06EC78" w14:textId="77777777" w:rsidTr="007E5124">
        <w:tc>
          <w:tcPr>
            <w:tcW w:w="0" w:type="auto"/>
            <w:hideMark/>
          </w:tcPr>
          <w:p w14:paraId="4B7EEAEA" w14:textId="4BE4D241" w:rsidR="007E5124" w:rsidRPr="00923FF9" w:rsidRDefault="007E5124" w:rsidP="007E5124">
            <w:pPr>
              <w:ind w:left="700" w:hanging="700"/>
            </w:pPr>
            <w:proofErr w:type="spellStart"/>
            <w:r w:rsidRPr="00923FF9">
              <w:t>Pridemore</w:t>
            </w:r>
            <w:proofErr w:type="spellEnd"/>
            <w:r w:rsidRPr="00923FF9">
              <w:t>, W. A., Grubesic, T. (2012b). Community organization moderates the effect of alcohol outlet density on violence. British Journal of Sociology.</w:t>
            </w:r>
          </w:p>
        </w:tc>
      </w:tr>
      <w:tr w:rsidR="007E5124" w:rsidRPr="00923FF9" w14:paraId="3CC2C603" w14:textId="77777777" w:rsidTr="007E5124">
        <w:tc>
          <w:tcPr>
            <w:tcW w:w="0" w:type="auto"/>
            <w:hideMark/>
          </w:tcPr>
          <w:p w14:paraId="6CB6D2D2" w14:textId="367CBBB1" w:rsidR="007E5124" w:rsidRPr="00923FF9" w:rsidRDefault="007E5124" w:rsidP="007E5124">
            <w:pPr>
              <w:ind w:left="700" w:hanging="700"/>
            </w:pPr>
            <w:proofErr w:type="spellStart"/>
            <w:r w:rsidRPr="00923FF9">
              <w:t>Pridemore</w:t>
            </w:r>
            <w:proofErr w:type="spellEnd"/>
            <w:r w:rsidRPr="00923FF9">
              <w:t>, W. A., Grubesic, T. (2012c). A spatial analysis of the moderating effects of land use on the association between alcohol outlet density and violence in urban areas. Drug and Alcohol Review, 31, 385–393.</w:t>
            </w:r>
          </w:p>
        </w:tc>
      </w:tr>
      <w:tr w:rsidR="007E5124" w:rsidRPr="00923FF9" w14:paraId="3475F450" w14:textId="77777777" w:rsidTr="007E5124">
        <w:tc>
          <w:tcPr>
            <w:tcW w:w="0" w:type="auto"/>
            <w:hideMark/>
          </w:tcPr>
          <w:p w14:paraId="5B57055F" w14:textId="192C4705" w:rsidR="007E5124" w:rsidRPr="00923FF9" w:rsidRDefault="007E5124" w:rsidP="007E5124">
            <w:pPr>
              <w:ind w:left="700" w:hanging="700"/>
            </w:pPr>
            <w:r w:rsidRPr="00923FF9">
              <w:t>Reid, R. J., Hughey, J., Peterson, N. A. (2003). Generalizing the alcohol outlet-assaultive violence link: Evidence from a U.S. midwestern city. Substance Use &amp; Misuse, 38, 1971–1982.</w:t>
            </w:r>
          </w:p>
        </w:tc>
      </w:tr>
      <w:tr w:rsidR="007E5124" w:rsidRPr="00923FF9" w14:paraId="679CF015" w14:textId="77777777" w:rsidTr="007E5124">
        <w:tc>
          <w:tcPr>
            <w:tcW w:w="0" w:type="auto"/>
            <w:hideMark/>
          </w:tcPr>
          <w:p w14:paraId="1AF94370" w14:textId="4A0986B6" w:rsidR="007E5124" w:rsidRPr="00923FF9" w:rsidRDefault="007E5124" w:rsidP="007E5124">
            <w:pPr>
              <w:ind w:left="700" w:hanging="700"/>
            </w:pPr>
            <w:r w:rsidRPr="00923FF9">
              <w:t xml:space="preserve">Roman, C. G., Reid, S., </w:t>
            </w:r>
            <w:proofErr w:type="spellStart"/>
            <w:r w:rsidRPr="00923FF9">
              <w:t>Bhati</w:t>
            </w:r>
            <w:proofErr w:type="spellEnd"/>
            <w:r w:rsidRPr="00923FF9">
              <w:t>, A., Tereshchenko, B. (2008). Alcohol outlets as attractors of violence and disorder: A closer look at the neighborhood environment. Retrieved December 1, 2009, from http://www.urban.org/publications/411663.html</w:t>
            </w:r>
          </w:p>
        </w:tc>
      </w:tr>
      <w:tr w:rsidR="007E5124" w:rsidRPr="00923FF9" w14:paraId="3917566C" w14:textId="77777777" w:rsidTr="007E5124">
        <w:tc>
          <w:tcPr>
            <w:tcW w:w="0" w:type="auto"/>
            <w:hideMark/>
          </w:tcPr>
          <w:p w14:paraId="5DE519B0" w14:textId="56BDBF82" w:rsidR="007E5124" w:rsidRPr="00923FF9" w:rsidRDefault="007E5124" w:rsidP="007E5124">
            <w:pPr>
              <w:ind w:left="700" w:hanging="700"/>
            </w:pPr>
            <w:proofErr w:type="spellStart"/>
            <w:r w:rsidRPr="00923FF9">
              <w:t>Roncek</w:t>
            </w:r>
            <w:proofErr w:type="spellEnd"/>
            <w:r w:rsidRPr="00923FF9">
              <w:t>, D. W., Meier, P. A. (1991). Bars, blocks, and crimes revisited: Linking the theory of routine activities to the empiricism of “hot spots”. Criminology, 29, 725–753.</w:t>
            </w:r>
          </w:p>
        </w:tc>
      </w:tr>
      <w:tr w:rsidR="007E5124" w:rsidRPr="00923FF9" w14:paraId="25837FF4" w14:textId="77777777" w:rsidTr="007E5124">
        <w:tc>
          <w:tcPr>
            <w:tcW w:w="0" w:type="auto"/>
            <w:hideMark/>
          </w:tcPr>
          <w:p w14:paraId="3B9A322B" w14:textId="2F38F7E6" w:rsidR="007E5124" w:rsidRPr="00923FF9" w:rsidRDefault="007E5124" w:rsidP="007E5124">
            <w:pPr>
              <w:ind w:left="700" w:hanging="700"/>
            </w:pPr>
            <w:proofErr w:type="spellStart"/>
            <w:r w:rsidRPr="00923FF9">
              <w:t>Roncek</w:t>
            </w:r>
            <w:proofErr w:type="spellEnd"/>
            <w:r w:rsidRPr="00923FF9">
              <w:t>, D. W., Montgomery, A. (1995). Spatial autocorrelation revisited: Conceptual underpinning and practical guidelines for the use of the generalized potential as a remedy for spatial autocorrelation in large samples. In C. R. Block &amp; M. Dabdoub (Eds.), Crime Analysis through Computer Mapping (pp. 99–110). Washington, D.C.: Police Executive Research Forum.</w:t>
            </w:r>
          </w:p>
        </w:tc>
      </w:tr>
      <w:tr w:rsidR="007E5124" w:rsidRPr="00923FF9" w14:paraId="3E9F75B2" w14:textId="77777777" w:rsidTr="007E5124">
        <w:tc>
          <w:tcPr>
            <w:tcW w:w="0" w:type="auto"/>
            <w:hideMark/>
          </w:tcPr>
          <w:p w14:paraId="6B80934A" w14:textId="7C16023D" w:rsidR="007E5124" w:rsidRPr="00923FF9" w:rsidRDefault="007E5124" w:rsidP="007E5124">
            <w:pPr>
              <w:ind w:left="700" w:hanging="700"/>
            </w:pPr>
            <w:proofErr w:type="spellStart"/>
            <w:r w:rsidRPr="00923FF9">
              <w:t>Roncek</w:t>
            </w:r>
            <w:proofErr w:type="spellEnd"/>
            <w:r w:rsidRPr="00923FF9">
              <w:t xml:space="preserve">, D. W., </w:t>
            </w:r>
            <w:proofErr w:type="spellStart"/>
            <w:r w:rsidRPr="00923FF9">
              <w:t>Pravatiner</w:t>
            </w:r>
            <w:proofErr w:type="spellEnd"/>
            <w:r w:rsidRPr="00923FF9">
              <w:t>, M. A. (1989). Additional evidence that taverns enhance nearby crime. Sociology and Social Research, 73, 185–188.</w:t>
            </w:r>
          </w:p>
        </w:tc>
      </w:tr>
      <w:tr w:rsidR="007E5124" w:rsidRPr="00923FF9" w14:paraId="66F32F89" w14:textId="77777777" w:rsidTr="007E5124">
        <w:tc>
          <w:tcPr>
            <w:tcW w:w="0" w:type="auto"/>
            <w:hideMark/>
          </w:tcPr>
          <w:p w14:paraId="1AD13537" w14:textId="73482F47" w:rsidR="007E5124" w:rsidRPr="00923FF9" w:rsidRDefault="007E5124" w:rsidP="007E5124">
            <w:pPr>
              <w:ind w:left="700" w:hanging="700"/>
            </w:pPr>
            <w:r w:rsidRPr="00923FF9">
              <w:t>Sampson, R. J., Groves, W. B. (1989). Community structure and crime: Testing social-disorganization theory. The American Journal of Sociology, 94, 774–802.</w:t>
            </w:r>
          </w:p>
        </w:tc>
      </w:tr>
      <w:tr w:rsidR="007E5124" w:rsidRPr="00923FF9" w14:paraId="7950F213" w14:textId="77777777" w:rsidTr="007E5124">
        <w:tc>
          <w:tcPr>
            <w:tcW w:w="0" w:type="auto"/>
            <w:hideMark/>
          </w:tcPr>
          <w:p w14:paraId="2898646A" w14:textId="22C1DC1D" w:rsidR="007E5124" w:rsidRPr="00923FF9" w:rsidRDefault="007E5124" w:rsidP="007E5124">
            <w:pPr>
              <w:ind w:left="700" w:hanging="700"/>
            </w:pPr>
            <w:r w:rsidRPr="00923FF9">
              <w:t>Sampson, R. J., Raudenbush, S. W. (1999). Systematic social observation of public spaces: A new look at disorder in urban neighborhoods. American Journal of Sociology, 105, 603–651.</w:t>
            </w:r>
          </w:p>
        </w:tc>
      </w:tr>
      <w:tr w:rsidR="007E5124" w:rsidRPr="00923FF9" w14:paraId="3F6F6911" w14:textId="77777777" w:rsidTr="007E5124">
        <w:tc>
          <w:tcPr>
            <w:tcW w:w="0" w:type="auto"/>
            <w:hideMark/>
          </w:tcPr>
          <w:p w14:paraId="7A7A4329" w14:textId="3E94BE81" w:rsidR="007E5124" w:rsidRPr="00923FF9" w:rsidRDefault="007E5124" w:rsidP="007E5124">
            <w:pPr>
              <w:ind w:left="700" w:hanging="700"/>
            </w:pPr>
            <w:r w:rsidRPr="00923FF9">
              <w:t>Sampson, R. J., Raudenbush, S. W., Earls, F. (1997). Neighborhoods and violent crime: A multilevel study of collective efficacy. Science, 277, 918–924.</w:t>
            </w:r>
          </w:p>
        </w:tc>
      </w:tr>
      <w:tr w:rsidR="007E5124" w:rsidRPr="00923FF9" w14:paraId="1C9D4E97" w14:textId="77777777" w:rsidTr="007E5124">
        <w:tc>
          <w:tcPr>
            <w:tcW w:w="0" w:type="auto"/>
            <w:hideMark/>
          </w:tcPr>
          <w:p w14:paraId="4978067A" w14:textId="57F405CA" w:rsidR="007E5124" w:rsidRPr="00923FF9" w:rsidRDefault="007E5124" w:rsidP="007E5124">
            <w:pPr>
              <w:ind w:left="700" w:hanging="700"/>
            </w:pPr>
            <w:r w:rsidRPr="00923FF9">
              <w:t>Scribner, R., Cohen, D., Kaplan, S., Allen, S. H. (1999). Alcohol availability and homicide in New Orleans: Conceptual considerations for small area analysis of the effect of alcohol outlet density. Journal of Studies on Alcohol, 60, 310–316.</w:t>
            </w:r>
          </w:p>
        </w:tc>
      </w:tr>
      <w:tr w:rsidR="007E5124" w:rsidRPr="00923FF9" w14:paraId="2E71946D" w14:textId="77777777" w:rsidTr="007E5124">
        <w:tc>
          <w:tcPr>
            <w:tcW w:w="0" w:type="auto"/>
            <w:hideMark/>
          </w:tcPr>
          <w:p w14:paraId="04684026" w14:textId="535937F9" w:rsidR="007E5124" w:rsidRPr="00923FF9" w:rsidRDefault="007E5124" w:rsidP="007E5124">
            <w:pPr>
              <w:ind w:left="700" w:hanging="700"/>
            </w:pPr>
            <w:r w:rsidRPr="00923FF9">
              <w:t xml:space="preserve">Scribner, R., MacKinnon, D. P., Dwyer, J. H. (1995). The risk of assaultive violence and alcohol availability in </w:t>
            </w:r>
            <w:proofErr w:type="gramStart"/>
            <w:r w:rsidRPr="00923FF9">
              <w:t>Los Angeles county</w:t>
            </w:r>
            <w:proofErr w:type="gramEnd"/>
            <w:r w:rsidRPr="00923FF9">
              <w:t>. American Journal of Public Health, 85, 335–340.</w:t>
            </w:r>
          </w:p>
        </w:tc>
      </w:tr>
      <w:tr w:rsidR="007E5124" w:rsidRPr="00923FF9" w14:paraId="3B9D9AC8" w14:textId="77777777" w:rsidTr="007E5124">
        <w:tc>
          <w:tcPr>
            <w:tcW w:w="0" w:type="auto"/>
            <w:hideMark/>
          </w:tcPr>
          <w:p w14:paraId="541EC5F8" w14:textId="17900D02" w:rsidR="007E5124" w:rsidRPr="00923FF9" w:rsidRDefault="007E5124" w:rsidP="007E5124">
            <w:pPr>
              <w:ind w:left="700" w:hanging="700"/>
            </w:pPr>
            <w:r w:rsidRPr="00923FF9">
              <w:t xml:space="preserve">Scribner, R. A., Mason, K. E., Simonsen, N. R., Theall, K., </w:t>
            </w:r>
            <w:proofErr w:type="spellStart"/>
            <w:r w:rsidRPr="00923FF9">
              <w:t>Chotalia</w:t>
            </w:r>
            <w:proofErr w:type="spellEnd"/>
            <w:r w:rsidRPr="00923FF9">
              <w:t>, J., Johnson, S. … DeJong, W. (2010). An ecological analysis of alcohol-outlet density and campus-reported violence at 32 U.S. colleges. Journal of Studies on Alcohol and Drugs, 71, 184–191.</w:t>
            </w:r>
          </w:p>
        </w:tc>
      </w:tr>
      <w:tr w:rsidR="007E5124" w:rsidRPr="00923FF9" w14:paraId="29CCDBDA" w14:textId="77777777" w:rsidTr="007E5124">
        <w:tc>
          <w:tcPr>
            <w:tcW w:w="0" w:type="auto"/>
            <w:hideMark/>
          </w:tcPr>
          <w:p w14:paraId="514A4884" w14:textId="4BC1BD78" w:rsidR="007E5124" w:rsidRPr="00923FF9" w:rsidRDefault="007E5124" w:rsidP="007E5124">
            <w:pPr>
              <w:ind w:left="700" w:hanging="700"/>
            </w:pPr>
            <w:r w:rsidRPr="00923FF9">
              <w:t>Shaw, C. R., McKay, H. D. (1942). Juvenile delinquency and urban areas. Chicago, IL: University of Chicago Press.</w:t>
            </w:r>
          </w:p>
        </w:tc>
      </w:tr>
      <w:tr w:rsidR="007E5124" w:rsidRPr="00923FF9" w14:paraId="0A007A5C" w14:textId="77777777" w:rsidTr="007E5124">
        <w:tc>
          <w:tcPr>
            <w:tcW w:w="0" w:type="auto"/>
            <w:hideMark/>
          </w:tcPr>
          <w:p w14:paraId="15FC456F" w14:textId="70D64885" w:rsidR="007E5124" w:rsidRPr="00923FF9" w:rsidRDefault="007E5124" w:rsidP="007E5124">
            <w:pPr>
              <w:ind w:left="700" w:hanging="700"/>
            </w:pPr>
            <w:r w:rsidRPr="00923FF9">
              <w:t>Shook, N. J., Gerrity, D. A., Jurich, J., Segrist, A. E. (2000). Courtship violence among college students: A comparison of verbally and physically abusive couples. Journal of Family Violence, 15, 1–22.</w:t>
            </w:r>
          </w:p>
        </w:tc>
      </w:tr>
      <w:tr w:rsidR="007E5124" w:rsidRPr="00923FF9" w14:paraId="2E204A5F" w14:textId="77777777" w:rsidTr="007E5124">
        <w:tc>
          <w:tcPr>
            <w:tcW w:w="0" w:type="auto"/>
            <w:hideMark/>
          </w:tcPr>
          <w:p w14:paraId="0C442A88" w14:textId="780EA890" w:rsidR="007E5124" w:rsidRPr="00923FF9" w:rsidRDefault="007E5124" w:rsidP="007E5124">
            <w:pPr>
              <w:ind w:left="700" w:hanging="700"/>
            </w:pPr>
            <w:r w:rsidRPr="00923FF9">
              <w:t xml:space="preserve">Smeaton, G. L., </w:t>
            </w:r>
            <w:proofErr w:type="spellStart"/>
            <w:r w:rsidRPr="00923FF9">
              <w:t>Josiam</w:t>
            </w:r>
            <w:proofErr w:type="spellEnd"/>
            <w:r w:rsidRPr="00923FF9">
              <w:t>, B. M., Dietrich, U. C. (1998). College students’ binge drinking at a beach-front destination during spring break. Journal of American College Health, 46, 247–254.</w:t>
            </w:r>
          </w:p>
        </w:tc>
      </w:tr>
      <w:tr w:rsidR="007E5124" w:rsidRPr="00923FF9" w14:paraId="7603AC95" w14:textId="77777777" w:rsidTr="007E5124">
        <w:tc>
          <w:tcPr>
            <w:tcW w:w="0" w:type="auto"/>
            <w:hideMark/>
          </w:tcPr>
          <w:p w14:paraId="0E2D2C28" w14:textId="782A8CAA" w:rsidR="007E5124" w:rsidRPr="00923FF9" w:rsidRDefault="007E5124" w:rsidP="007E5124">
            <w:pPr>
              <w:ind w:left="700" w:hanging="700"/>
            </w:pPr>
            <w:r w:rsidRPr="00923FF9">
              <w:t>Snowden, A. J., Pridemore, W. A. (2008). The 2003 Slovenian alcohol policy: Background, supporters, and opponents. Contemporary Drug Problems, 35, 5–36.</w:t>
            </w:r>
          </w:p>
        </w:tc>
      </w:tr>
      <w:tr w:rsidR="007E5124" w:rsidRPr="00923FF9" w14:paraId="55EE9A36" w14:textId="77777777" w:rsidTr="007E5124">
        <w:tc>
          <w:tcPr>
            <w:tcW w:w="0" w:type="auto"/>
            <w:hideMark/>
          </w:tcPr>
          <w:p w14:paraId="49301DA8" w14:textId="3970326E" w:rsidR="007E5124" w:rsidRPr="00923FF9" w:rsidRDefault="007E5124" w:rsidP="007E5124">
            <w:pPr>
              <w:ind w:left="700" w:hanging="700"/>
            </w:pPr>
            <w:r w:rsidRPr="00923FF9">
              <w:lastRenderedPageBreak/>
              <w:t>Stevenson, R. J., Lind, B., Weatherburn, D. (1999). The relationship between alcohol sales and assault in New South Wales, Australia. Addiction, 94, 397–410.</w:t>
            </w:r>
          </w:p>
        </w:tc>
      </w:tr>
      <w:tr w:rsidR="007E5124" w:rsidRPr="00923FF9" w14:paraId="2A0E95AE" w14:textId="77777777" w:rsidTr="007E5124">
        <w:tc>
          <w:tcPr>
            <w:tcW w:w="0" w:type="auto"/>
            <w:hideMark/>
          </w:tcPr>
          <w:p w14:paraId="342C7EF0" w14:textId="487E18E7" w:rsidR="007E5124" w:rsidRPr="00923FF9" w:rsidRDefault="007E5124" w:rsidP="007E5124">
            <w:pPr>
              <w:ind w:left="700" w:hanging="700"/>
            </w:pPr>
            <w:r w:rsidRPr="00923FF9">
              <w:t xml:space="preserve">Stucky, T. D., </w:t>
            </w:r>
            <w:proofErr w:type="spellStart"/>
            <w:r w:rsidRPr="00923FF9">
              <w:t>Ottensmann</w:t>
            </w:r>
            <w:proofErr w:type="spellEnd"/>
            <w:r w:rsidRPr="00923FF9">
              <w:t>, J. R. (2009). Land use and violent crime. Criminology, 47, 1223–1264.</w:t>
            </w:r>
          </w:p>
        </w:tc>
      </w:tr>
      <w:tr w:rsidR="007E5124" w:rsidRPr="00923FF9" w14:paraId="6A1247C5" w14:textId="77777777" w:rsidTr="007E5124">
        <w:tc>
          <w:tcPr>
            <w:tcW w:w="0" w:type="auto"/>
            <w:hideMark/>
          </w:tcPr>
          <w:p w14:paraId="21DB0317" w14:textId="5EFFA48E" w:rsidR="007E5124" w:rsidRPr="00923FF9" w:rsidRDefault="007E5124" w:rsidP="007E5124">
            <w:pPr>
              <w:ind w:left="700" w:hanging="700"/>
            </w:pPr>
            <w:r w:rsidRPr="00923FF9">
              <w:t>Taylor, R. B., Koons, B. A., Kurtz, E. M., Greene, J. R., Perkins, D. D. (1995). Street blocks with more nonresidential land use have more physical deterioration: Evidence from Baltimore and Philadelphia. Urban Affairs Review, 31, 20–136.</w:t>
            </w:r>
          </w:p>
        </w:tc>
      </w:tr>
      <w:tr w:rsidR="007E5124" w:rsidRPr="00923FF9" w14:paraId="548C7F77" w14:textId="77777777" w:rsidTr="007E5124">
        <w:tc>
          <w:tcPr>
            <w:tcW w:w="0" w:type="auto"/>
            <w:hideMark/>
          </w:tcPr>
          <w:p w14:paraId="2923915E" w14:textId="22CDC5BD" w:rsidR="007E5124" w:rsidRPr="00923FF9" w:rsidRDefault="007E5124" w:rsidP="007E5124">
            <w:pPr>
              <w:ind w:left="700" w:hanging="700"/>
            </w:pPr>
            <w:r w:rsidRPr="00923FF9">
              <w:t>Tobler, W. R. (1970). A computer movie simulating urban growth in the Detroit region. Economic Geography, 46, 234–240.</w:t>
            </w:r>
          </w:p>
        </w:tc>
      </w:tr>
      <w:tr w:rsidR="007E5124" w:rsidRPr="00923FF9" w14:paraId="5CDECCDD" w14:textId="77777777" w:rsidTr="007E5124">
        <w:tc>
          <w:tcPr>
            <w:tcW w:w="0" w:type="auto"/>
            <w:hideMark/>
          </w:tcPr>
          <w:p w14:paraId="04A584A8" w14:textId="6F419E91" w:rsidR="007E5124" w:rsidRPr="00923FF9" w:rsidRDefault="007E5124" w:rsidP="007E5124">
            <w:pPr>
              <w:ind w:left="700" w:hanging="700"/>
            </w:pPr>
            <w:r w:rsidRPr="00923FF9">
              <w:t xml:space="preserve">U.S. Census </w:t>
            </w:r>
            <w:proofErr w:type="gramStart"/>
            <w:r w:rsidRPr="00923FF9">
              <w:t>Bureau .</w:t>
            </w:r>
            <w:proofErr w:type="gramEnd"/>
            <w:r w:rsidRPr="00923FF9">
              <w:t xml:space="preserve"> (2000). American Fact Finder. Retrieved February 14, 2010, from http://www.census.gov/main/www/cen2000.html</w:t>
            </w:r>
          </w:p>
        </w:tc>
      </w:tr>
      <w:tr w:rsidR="007E5124" w:rsidRPr="00923FF9" w14:paraId="76EA4B31" w14:textId="77777777" w:rsidTr="007E5124">
        <w:tc>
          <w:tcPr>
            <w:tcW w:w="0" w:type="auto"/>
            <w:hideMark/>
          </w:tcPr>
          <w:p w14:paraId="2B4AFD75" w14:textId="1D026E3A" w:rsidR="007E5124" w:rsidRPr="00923FF9" w:rsidRDefault="007E5124" w:rsidP="007E5124">
            <w:pPr>
              <w:ind w:left="700" w:hanging="700"/>
            </w:pPr>
            <w:r w:rsidRPr="00923FF9">
              <w:t>Wechsler, H., Kuo, M., Lee, H., Dowdall, G. W. (2000). Environmental correlates of underage alcohol use and related problems of college students. American Journal of Preventive Medicine, 19, 24–29.</w:t>
            </w:r>
          </w:p>
        </w:tc>
      </w:tr>
      <w:tr w:rsidR="007E5124" w:rsidRPr="00923FF9" w14:paraId="43AA8ACE" w14:textId="77777777" w:rsidTr="007E5124">
        <w:tc>
          <w:tcPr>
            <w:tcW w:w="0" w:type="auto"/>
            <w:hideMark/>
          </w:tcPr>
          <w:p w14:paraId="668CD3E9" w14:textId="58D02789" w:rsidR="007E5124" w:rsidRPr="00923FF9" w:rsidRDefault="007E5124" w:rsidP="007E5124">
            <w:pPr>
              <w:ind w:left="700" w:hanging="700"/>
            </w:pPr>
            <w:r w:rsidRPr="00923FF9">
              <w:t>Wechsler, H., Nelson, T. F. (2001). Binge drinking and the American college students: What’s five drinks? Psychology of Addictive Behaviors, 15, 287–291.</w:t>
            </w:r>
          </w:p>
        </w:tc>
      </w:tr>
      <w:tr w:rsidR="007E5124" w:rsidRPr="00923FF9" w14:paraId="0FD4A6B7" w14:textId="77777777" w:rsidTr="007E5124">
        <w:tc>
          <w:tcPr>
            <w:tcW w:w="0" w:type="auto"/>
            <w:hideMark/>
          </w:tcPr>
          <w:p w14:paraId="164929C8" w14:textId="405E661C" w:rsidR="007E5124" w:rsidRPr="00923FF9" w:rsidRDefault="007E5124" w:rsidP="007E5124">
            <w:pPr>
              <w:ind w:left="700" w:hanging="700"/>
            </w:pPr>
            <w:r w:rsidRPr="00923FF9">
              <w:t xml:space="preserve">Wechsler, H., Nelson, T. F. (2008). What we have learned from the </w:t>
            </w:r>
            <w:proofErr w:type="spellStart"/>
            <w:r w:rsidRPr="00923FF9">
              <w:t>harvard</w:t>
            </w:r>
            <w:proofErr w:type="spellEnd"/>
            <w:r w:rsidRPr="00923FF9">
              <w:t xml:space="preserve"> school of public health college alcohol study: Focusing attention on college student alcohol consumption and the environmental conditions that promote it. Journal of Studies on Alcohol and Drugs, 69, 481–490.</w:t>
            </w:r>
          </w:p>
        </w:tc>
      </w:tr>
      <w:tr w:rsidR="007E5124" w:rsidRPr="00923FF9" w14:paraId="6D78A398" w14:textId="77777777" w:rsidTr="007E5124">
        <w:tc>
          <w:tcPr>
            <w:tcW w:w="0" w:type="auto"/>
            <w:hideMark/>
          </w:tcPr>
          <w:p w14:paraId="2396DBBD" w14:textId="0A3B7C81" w:rsidR="007E5124" w:rsidRPr="00923FF9" w:rsidRDefault="007E5124" w:rsidP="007E5124">
            <w:pPr>
              <w:ind w:left="700" w:hanging="700"/>
            </w:pPr>
            <w:r w:rsidRPr="00923FF9">
              <w:t>Wolfgang, M. E., Strohm, R. B. (1956). The relationship between alcohol and criminal homicide. Quarterly Journal of Studies on Alcohol, 17, 411–425.</w:t>
            </w:r>
          </w:p>
        </w:tc>
      </w:tr>
      <w:tr w:rsidR="007E5124" w:rsidRPr="00923FF9" w14:paraId="3A6FD44A" w14:textId="77777777" w:rsidTr="007E5124">
        <w:tc>
          <w:tcPr>
            <w:tcW w:w="0" w:type="auto"/>
            <w:hideMark/>
          </w:tcPr>
          <w:p w14:paraId="66CF5153" w14:textId="1FE7FDD5" w:rsidR="007E5124" w:rsidRPr="00923FF9" w:rsidRDefault="007E5124" w:rsidP="007E5124">
            <w:pPr>
              <w:ind w:left="700" w:hanging="700"/>
            </w:pPr>
            <w:r w:rsidRPr="00923FF9">
              <w:t>Zhu, L., Gorman, D. M., Horel, S. (2004). Alcohol outlet density and violence: A geospatial analysis. Alcohol &amp; Alcoholism, 39, 369–375.</w:t>
            </w:r>
          </w:p>
        </w:tc>
      </w:tr>
    </w:tbl>
    <w:p w14:paraId="51A1F319" w14:textId="77777777" w:rsidR="00923FF9" w:rsidRPr="00946FBA" w:rsidRDefault="00923FF9" w:rsidP="00946FBA"/>
    <w:p w14:paraId="16B6CE2C" w14:textId="77777777" w:rsidR="00414591" w:rsidRPr="006F33A4" w:rsidRDefault="00414591" w:rsidP="000A7622">
      <w:pPr>
        <w:rPr>
          <w:rFonts w:cstheme="minorHAnsi"/>
        </w:rPr>
      </w:pPr>
    </w:p>
    <w:sectPr w:rsidR="00414591" w:rsidRPr="006F33A4" w:rsidSect="003C06BA">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B43ED2"/>
    <w:multiLevelType w:val="multilevel"/>
    <w:tmpl w:val="66D45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53585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9D7TorF6NINMfnK6ltOyAvieuE3txk5NVIlyQYeay4vUU5R4xNZQ3+U3I3tJi6zlLtaAnYTVfURBFwNg+9Au+g==" w:salt="BweT/3a/45bXIa3HSF9K9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3C04"/>
    <w:rsid w:val="00014F38"/>
    <w:rsid w:val="00015DA3"/>
    <w:rsid w:val="000233C1"/>
    <w:rsid w:val="00024048"/>
    <w:rsid w:val="00026BC7"/>
    <w:rsid w:val="0003036D"/>
    <w:rsid w:val="00034205"/>
    <w:rsid w:val="00035704"/>
    <w:rsid w:val="00041C27"/>
    <w:rsid w:val="000437DE"/>
    <w:rsid w:val="00043C8E"/>
    <w:rsid w:val="0004431C"/>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62D9"/>
    <w:rsid w:val="0009632E"/>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2618C"/>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73E03"/>
    <w:rsid w:val="001749AD"/>
    <w:rsid w:val="0018114F"/>
    <w:rsid w:val="00181ADF"/>
    <w:rsid w:val="00183A38"/>
    <w:rsid w:val="001854EA"/>
    <w:rsid w:val="00185C26"/>
    <w:rsid w:val="00193491"/>
    <w:rsid w:val="00196C7C"/>
    <w:rsid w:val="001A1C71"/>
    <w:rsid w:val="001A1DF4"/>
    <w:rsid w:val="001A34C4"/>
    <w:rsid w:val="001B6E76"/>
    <w:rsid w:val="001C3A3F"/>
    <w:rsid w:val="001C5585"/>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4583"/>
    <w:rsid w:val="00206486"/>
    <w:rsid w:val="002064E1"/>
    <w:rsid w:val="00206CC8"/>
    <w:rsid w:val="00211422"/>
    <w:rsid w:val="00212109"/>
    <w:rsid w:val="00224240"/>
    <w:rsid w:val="00226FA2"/>
    <w:rsid w:val="0024134B"/>
    <w:rsid w:val="00247D92"/>
    <w:rsid w:val="00251132"/>
    <w:rsid w:val="002535DF"/>
    <w:rsid w:val="002558EB"/>
    <w:rsid w:val="00255AFD"/>
    <w:rsid w:val="00255B43"/>
    <w:rsid w:val="00255BDC"/>
    <w:rsid w:val="00255BEA"/>
    <w:rsid w:val="00261403"/>
    <w:rsid w:val="00261F59"/>
    <w:rsid w:val="00272AF4"/>
    <w:rsid w:val="00276C06"/>
    <w:rsid w:val="00276ED2"/>
    <w:rsid w:val="00280198"/>
    <w:rsid w:val="00282094"/>
    <w:rsid w:val="0028315B"/>
    <w:rsid w:val="002843BC"/>
    <w:rsid w:val="00284A84"/>
    <w:rsid w:val="0029129F"/>
    <w:rsid w:val="00296B90"/>
    <w:rsid w:val="00297296"/>
    <w:rsid w:val="002A0648"/>
    <w:rsid w:val="002A0668"/>
    <w:rsid w:val="002A307C"/>
    <w:rsid w:val="002A6B8B"/>
    <w:rsid w:val="002A7FBB"/>
    <w:rsid w:val="002B1ED8"/>
    <w:rsid w:val="002B45EC"/>
    <w:rsid w:val="002B62C6"/>
    <w:rsid w:val="002C17A7"/>
    <w:rsid w:val="002C2DA5"/>
    <w:rsid w:val="002C4714"/>
    <w:rsid w:val="002C6160"/>
    <w:rsid w:val="002D01EF"/>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2EBB"/>
    <w:rsid w:val="003A437A"/>
    <w:rsid w:val="003A503E"/>
    <w:rsid w:val="003A6039"/>
    <w:rsid w:val="003B07CC"/>
    <w:rsid w:val="003B47FA"/>
    <w:rsid w:val="003B6208"/>
    <w:rsid w:val="003B7F8F"/>
    <w:rsid w:val="003C06BA"/>
    <w:rsid w:val="003C4172"/>
    <w:rsid w:val="003C437D"/>
    <w:rsid w:val="003C4456"/>
    <w:rsid w:val="003D3301"/>
    <w:rsid w:val="003D4069"/>
    <w:rsid w:val="003D4641"/>
    <w:rsid w:val="003E05B7"/>
    <w:rsid w:val="003E0C0A"/>
    <w:rsid w:val="003E43C4"/>
    <w:rsid w:val="003E6200"/>
    <w:rsid w:val="003E6CFF"/>
    <w:rsid w:val="003E7CAC"/>
    <w:rsid w:val="004010E3"/>
    <w:rsid w:val="004055B8"/>
    <w:rsid w:val="004062FE"/>
    <w:rsid w:val="0040709D"/>
    <w:rsid w:val="004122F9"/>
    <w:rsid w:val="004124D3"/>
    <w:rsid w:val="004139BA"/>
    <w:rsid w:val="00414591"/>
    <w:rsid w:val="00415C3F"/>
    <w:rsid w:val="00415F07"/>
    <w:rsid w:val="00420D01"/>
    <w:rsid w:val="00421CBC"/>
    <w:rsid w:val="0043008C"/>
    <w:rsid w:val="00430B91"/>
    <w:rsid w:val="004374EF"/>
    <w:rsid w:val="00440F61"/>
    <w:rsid w:val="004441CB"/>
    <w:rsid w:val="0044640D"/>
    <w:rsid w:val="00450DB8"/>
    <w:rsid w:val="00453D2C"/>
    <w:rsid w:val="00454851"/>
    <w:rsid w:val="00454BFA"/>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1940"/>
    <w:rsid w:val="004B2226"/>
    <w:rsid w:val="004B6BED"/>
    <w:rsid w:val="004B77C2"/>
    <w:rsid w:val="004C0B3D"/>
    <w:rsid w:val="004C2D7B"/>
    <w:rsid w:val="004C45D2"/>
    <w:rsid w:val="004C5EEF"/>
    <w:rsid w:val="004D118A"/>
    <w:rsid w:val="004D1CB9"/>
    <w:rsid w:val="004D21C9"/>
    <w:rsid w:val="004D3468"/>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0347"/>
    <w:rsid w:val="00596593"/>
    <w:rsid w:val="00596A35"/>
    <w:rsid w:val="0059756B"/>
    <w:rsid w:val="005979CD"/>
    <w:rsid w:val="005A12F0"/>
    <w:rsid w:val="005A4A7B"/>
    <w:rsid w:val="005A5291"/>
    <w:rsid w:val="005A6FD1"/>
    <w:rsid w:val="005B08F1"/>
    <w:rsid w:val="005B47BC"/>
    <w:rsid w:val="005B5CD7"/>
    <w:rsid w:val="005C00EC"/>
    <w:rsid w:val="005C15C9"/>
    <w:rsid w:val="005C308F"/>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6E6C"/>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64DF"/>
    <w:rsid w:val="006A712D"/>
    <w:rsid w:val="006A7B71"/>
    <w:rsid w:val="006B20FD"/>
    <w:rsid w:val="006B3B2B"/>
    <w:rsid w:val="006C024E"/>
    <w:rsid w:val="006C7ED1"/>
    <w:rsid w:val="006D431A"/>
    <w:rsid w:val="006D75E1"/>
    <w:rsid w:val="006D7670"/>
    <w:rsid w:val="006E10F4"/>
    <w:rsid w:val="006E10FD"/>
    <w:rsid w:val="006E2338"/>
    <w:rsid w:val="006E2996"/>
    <w:rsid w:val="006E2EEC"/>
    <w:rsid w:val="006E471E"/>
    <w:rsid w:val="006E4859"/>
    <w:rsid w:val="006F24E3"/>
    <w:rsid w:val="00704AB6"/>
    <w:rsid w:val="007065D3"/>
    <w:rsid w:val="007071B1"/>
    <w:rsid w:val="00707EC1"/>
    <w:rsid w:val="00710582"/>
    <w:rsid w:val="00714EE9"/>
    <w:rsid w:val="007246B0"/>
    <w:rsid w:val="007258CB"/>
    <w:rsid w:val="00730E29"/>
    <w:rsid w:val="00732FF6"/>
    <w:rsid w:val="00735393"/>
    <w:rsid w:val="00745E32"/>
    <w:rsid w:val="007466F7"/>
    <w:rsid w:val="00757D89"/>
    <w:rsid w:val="0076165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7A94"/>
    <w:rsid w:val="007D25DB"/>
    <w:rsid w:val="007D51E8"/>
    <w:rsid w:val="007D655B"/>
    <w:rsid w:val="007D762B"/>
    <w:rsid w:val="007D7C64"/>
    <w:rsid w:val="007E2E07"/>
    <w:rsid w:val="007E491C"/>
    <w:rsid w:val="007E5124"/>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555"/>
    <w:rsid w:val="0087796C"/>
    <w:rsid w:val="00880932"/>
    <w:rsid w:val="008825B5"/>
    <w:rsid w:val="00885E74"/>
    <w:rsid w:val="00886B14"/>
    <w:rsid w:val="008918B2"/>
    <w:rsid w:val="008927F4"/>
    <w:rsid w:val="00893B58"/>
    <w:rsid w:val="00894E4C"/>
    <w:rsid w:val="0089642A"/>
    <w:rsid w:val="008A1743"/>
    <w:rsid w:val="008A23DD"/>
    <w:rsid w:val="008A6C51"/>
    <w:rsid w:val="008B15CF"/>
    <w:rsid w:val="008B2242"/>
    <w:rsid w:val="008B4AD1"/>
    <w:rsid w:val="008B6D93"/>
    <w:rsid w:val="008B7AF1"/>
    <w:rsid w:val="008C315B"/>
    <w:rsid w:val="008C3543"/>
    <w:rsid w:val="008D0690"/>
    <w:rsid w:val="008D0F0D"/>
    <w:rsid w:val="008D0FF2"/>
    <w:rsid w:val="008D14D6"/>
    <w:rsid w:val="008D1D7F"/>
    <w:rsid w:val="008D3526"/>
    <w:rsid w:val="008E3911"/>
    <w:rsid w:val="008F0401"/>
    <w:rsid w:val="008F04C1"/>
    <w:rsid w:val="008F2457"/>
    <w:rsid w:val="008F252A"/>
    <w:rsid w:val="008F6AFD"/>
    <w:rsid w:val="008F7645"/>
    <w:rsid w:val="0090248F"/>
    <w:rsid w:val="00902F25"/>
    <w:rsid w:val="0090407E"/>
    <w:rsid w:val="00905334"/>
    <w:rsid w:val="00907ABB"/>
    <w:rsid w:val="00911307"/>
    <w:rsid w:val="00912ECB"/>
    <w:rsid w:val="00915110"/>
    <w:rsid w:val="009151B5"/>
    <w:rsid w:val="00916ADA"/>
    <w:rsid w:val="00916C64"/>
    <w:rsid w:val="00923FF9"/>
    <w:rsid w:val="00925107"/>
    <w:rsid w:val="00925421"/>
    <w:rsid w:val="009267EE"/>
    <w:rsid w:val="00927998"/>
    <w:rsid w:val="00932185"/>
    <w:rsid w:val="009346E4"/>
    <w:rsid w:val="00934DB8"/>
    <w:rsid w:val="00935F23"/>
    <w:rsid w:val="009372D8"/>
    <w:rsid w:val="00937D12"/>
    <w:rsid w:val="00940ED2"/>
    <w:rsid w:val="00946997"/>
    <w:rsid w:val="00946FBA"/>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0C41"/>
    <w:rsid w:val="00982217"/>
    <w:rsid w:val="00984B39"/>
    <w:rsid w:val="00986A83"/>
    <w:rsid w:val="00990645"/>
    <w:rsid w:val="009A130B"/>
    <w:rsid w:val="009A2639"/>
    <w:rsid w:val="009A397F"/>
    <w:rsid w:val="009B4F83"/>
    <w:rsid w:val="009B5AE3"/>
    <w:rsid w:val="009B6983"/>
    <w:rsid w:val="009C5450"/>
    <w:rsid w:val="009C5716"/>
    <w:rsid w:val="009D316A"/>
    <w:rsid w:val="009D3527"/>
    <w:rsid w:val="009D5368"/>
    <w:rsid w:val="009D54DF"/>
    <w:rsid w:val="009E56AC"/>
    <w:rsid w:val="009E56AF"/>
    <w:rsid w:val="009E678D"/>
    <w:rsid w:val="009F0FDA"/>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4CF2"/>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B4C8A"/>
    <w:rsid w:val="00AC0052"/>
    <w:rsid w:val="00AC04D6"/>
    <w:rsid w:val="00AD0685"/>
    <w:rsid w:val="00AD38C1"/>
    <w:rsid w:val="00AD5A78"/>
    <w:rsid w:val="00AE1517"/>
    <w:rsid w:val="00AE4078"/>
    <w:rsid w:val="00AE4230"/>
    <w:rsid w:val="00AE5450"/>
    <w:rsid w:val="00AE69D7"/>
    <w:rsid w:val="00AE71AA"/>
    <w:rsid w:val="00AE731D"/>
    <w:rsid w:val="00AF1374"/>
    <w:rsid w:val="00AF1E8A"/>
    <w:rsid w:val="00AF2DE8"/>
    <w:rsid w:val="00AF5947"/>
    <w:rsid w:val="00AF692A"/>
    <w:rsid w:val="00AF6D69"/>
    <w:rsid w:val="00AF7626"/>
    <w:rsid w:val="00B00123"/>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5794C"/>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1DB5"/>
    <w:rsid w:val="00B927D2"/>
    <w:rsid w:val="00B935A4"/>
    <w:rsid w:val="00B945E5"/>
    <w:rsid w:val="00B9636B"/>
    <w:rsid w:val="00B974AD"/>
    <w:rsid w:val="00BA13A0"/>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368B5"/>
    <w:rsid w:val="00C41A64"/>
    <w:rsid w:val="00C45F73"/>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95EF0"/>
    <w:rsid w:val="00CA1C19"/>
    <w:rsid w:val="00CA204D"/>
    <w:rsid w:val="00CA2E14"/>
    <w:rsid w:val="00CA60CD"/>
    <w:rsid w:val="00CB0447"/>
    <w:rsid w:val="00CB10E9"/>
    <w:rsid w:val="00CB11D6"/>
    <w:rsid w:val="00CB5475"/>
    <w:rsid w:val="00CB665E"/>
    <w:rsid w:val="00CB6E09"/>
    <w:rsid w:val="00CC09A7"/>
    <w:rsid w:val="00CC0FD9"/>
    <w:rsid w:val="00CC1F8F"/>
    <w:rsid w:val="00CD139B"/>
    <w:rsid w:val="00CD5E59"/>
    <w:rsid w:val="00CD7831"/>
    <w:rsid w:val="00CE05D4"/>
    <w:rsid w:val="00CE4712"/>
    <w:rsid w:val="00CE55BA"/>
    <w:rsid w:val="00CF53EE"/>
    <w:rsid w:val="00D01E5B"/>
    <w:rsid w:val="00D02378"/>
    <w:rsid w:val="00D02BE9"/>
    <w:rsid w:val="00D101DD"/>
    <w:rsid w:val="00D14423"/>
    <w:rsid w:val="00D14C8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926"/>
    <w:rsid w:val="00D616F1"/>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3AAD"/>
    <w:rsid w:val="00DB4233"/>
    <w:rsid w:val="00DB5097"/>
    <w:rsid w:val="00DB7476"/>
    <w:rsid w:val="00DC4F7C"/>
    <w:rsid w:val="00DC7134"/>
    <w:rsid w:val="00DC7C2C"/>
    <w:rsid w:val="00DD2256"/>
    <w:rsid w:val="00DD4B55"/>
    <w:rsid w:val="00DD5871"/>
    <w:rsid w:val="00DD7390"/>
    <w:rsid w:val="00DE218A"/>
    <w:rsid w:val="00DE2F66"/>
    <w:rsid w:val="00DE4173"/>
    <w:rsid w:val="00DE4592"/>
    <w:rsid w:val="00DF6125"/>
    <w:rsid w:val="00E05532"/>
    <w:rsid w:val="00E13E05"/>
    <w:rsid w:val="00E15784"/>
    <w:rsid w:val="00E16734"/>
    <w:rsid w:val="00E1761F"/>
    <w:rsid w:val="00E179BE"/>
    <w:rsid w:val="00E20401"/>
    <w:rsid w:val="00E264D8"/>
    <w:rsid w:val="00E319F9"/>
    <w:rsid w:val="00E331C7"/>
    <w:rsid w:val="00E35240"/>
    <w:rsid w:val="00E36E18"/>
    <w:rsid w:val="00E37099"/>
    <w:rsid w:val="00E40A15"/>
    <w:rsid w:val="00E40CCE"/>
    <w:rsid w:val="00E43654"/>
    <w:rsid w:val="00E459FA"/>
    <w:rsid w:val="00E45A4B"/>
    <w:rsid w:val="00E461B9"/>
    <w:rsid w:val="00E46996"/>
    <w:rsid w:val="00E50522"/>
    <w:rsid w:val="00E52F87"/>
    <w:rsid w:val="00E537B9"/>
    <w:rsid w:val="00E6120D"/>
    <w:rsid w:val="00E61D06"/>
    <w:rsid w:val="00E65B59"/>
    <w:rsid w:val="00E7043E"/>
    <w:rsid w:val="00E747D9"/>
    <w:rsid w:val="00E75D5D"/>
    <w:rsid w:val="00E766CA"/>
    <w:rsid w:val="00E77709"/>
    <w:rsid w:val="00E807ED"/>
    <w:rsid w:val="00E81F85"/>
    <w:rsid w:val="00E8413D"/>
    <w:rsid w:val="00E84C2A"/>
    <w:rsid w:val="00E90CA1"/>
    <w:rsid w:val="00E91D25"/>
    <w:rsid w:val="00E95F4D"/>
    <w:rsid w:val="00E97067"/>
    <w:rsid w:val="00EA15E8"/>
    <w:rsid w:val="00EA6E8E"/>
    <w:rsid w:val="00EA7978"/>
    <w:rsid w:val="00EA7D19"/>
    <w:rsid w:val="00EB0FD4"/>
    <w:rsid w:val="00EB7F70"/>
    <w:rsid w:val="00EC4C2A"/>
    <w:rsid w:val="00EC6764"/>
    <w:rsid w:val="00EC726F"/>
    <w:rsid w:val="00EC7743"/>
    <w:rsid w:val="00EC7B8C"/>
    <w:rsid w:val="00ED1938"/>
    <w:rsid w:val="00ED2540"/>
    <w:rsid w:val="00ED48A6"/>
    <w:rsid w:val="00ED521A"/>
    <w:rsid w:val="00EE1F48"/>
    <w:rsid w:val="00EE3A4B"/>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19E"/>
    <w:rsid w:val="00F65D8A"/>
    <w:rsid w:val="00F74422"/>
    <w:rsid w:val="00F76222"/>
    <w:rsid w:val="00F83712"/>
    <w:rsid w:val="00F85A8A"/>
    <w:rsid w:val="00F86BEC"/>
    <w:rsid w:val="00F9447B"/>
    <w:rsid w:val="00F944E0"/>
    <w:rsid w:val="00F95C39"/>
    <w:rsid w:val="00FA115C"/>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4583"/>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923FF9"/>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923FF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
    <w:name w:val="kwd"/>
    <w:basedOn w:val="DefaultParagraphFont"/>
    <w:rsid w:val="00923FF9"/>
  </w:style>
  <w:style w:type="character" w:styleId="Hyperlink">
    <w:name w:val="Hyperlink"/>
    <w:basedOn w:val="DefaultParagraphFont"/>
    <w:uiPriority w:val="99"/>
    <w:unhideWhenUsed/>
    <w:rsid w:val="00923FF9"/>
    <w:rPr>
      <w:color w:val="0000FF"/>
      <w:u w:val="single"/>
    </w:rPr>
  </w:style>
  <w:style w:type="character" w:styleId="FollowedHyperlink">
    <w:name w:val="FollowedHyperlink"/>
    <w:basedOn w:val="DefaultParagraphFont"/>
    <w:uiPriority w:val="99"/>
    <w:semiHidden/>
    <w:unhideWhenUsed/>
    <w:rsid w:val="00923FF9"/>
    <w:rPr>
      <w:color w:val="800080"/>
      <w:u w:val="single"/>
    </w:rPr>
  </w:style>
  <w:style w:type="character" w:customStyle="1" w:styleId="mathjaxpreview">
    <w:name w:val="mathjax_preview"/>
    <w:basedOn w:val="DefaultParagraphFont"/>
    <w:rsid w:val="00923FF9"/>
  </w:style>
  <w:style w:type="character" w:customStyle="1" w:styleId="mathjax">
    <w:name w:val="mathjax"/>
    <w:basedOn w:val="DefaultParagraphFont"/>
    <w:rsid w:val="00923FF9"/>
  </w:style>
  <w:style w:type="character" w:customStyle="1" w:styleId="math">
    <w:name w:val="math"/>
    <w:basedOn w:val="DefaultParagraphFont"/>
    <w:rsid w:val="00923FF9"/>
  </w:style>
  <w:style w:type="character" w:customStyle="1" w:styleId="mrow">
    <w:name w:val="mrow"/>
    <w:basedOn w:val="DefaultParagraphFont"/>
    <w:rsid w:val="00923FF9"/>
  </w:style>
  <w:style w:type="character" w:customStyle="1" w:styleId="mfenced">
    <w:name w:val="mfenced"/>
    <w:basedOn w:val="DefaultParagraphFont"/>
    <w:rsid w:val="00923FF9"/>
  </w:style>
  <w:style w:type="character" w:customStyle="1" w:styleId="mo">
    <w:name w:val="mo"/>
    <w:basedOn w:val="DefaultParagraphFont"/>
    <w:rsid w:val="00923FF9"/>
  </w:style>
  <w:style w:type="character" w:customStyle="1" w:styleId="mn">
    <w:name w:val="mn"/>
    <w:basedOn w:val="DefaultParagraphFont"/>
    <w:rsid w:val="00923FF9"/>
  </w:style>
  <w:style w:type="character" w:customStyle="1" w:styleId="munderover">
    <w:name w:val="munderover"/>
    <w:basedOn w:val="DefaultParagraphFont"/>
    <w:rsid w:val="00923FF9"/>
  </w:style>
  <w:style w:type="character" w:customStyle="1" w:styleId="mi">
    <w:name w:val="mi"/>
    <w:basedOn w:val="DefaultParagraphFont"/>
    <w:rsid w:val="00923FF9"/>
  </w:style>
  <w:style w:type="character" w:customStyle="1" w:styleId="msubsup">
    <w:name w:val="msubsup"/>
    <w:basedOn w:val="DefaultParagraphFont"/>
    <w:rsid w:val="00923FF9"/>
  </w:style>
  <w:style w:type="character" w:customStyle="1" w:styleId="mjxassistivemathml">
    <w:name w:val="mjx_assistive_mathml"/>
    <w:basedOn w:val="DefaultParagraphFont"/>
    <w:rsid w:val="00923FF9"/>
  </w:style>
  <w:style w:type="character" w:customStyle="1" w:styleId="mtext">
    <w:name w:val="mtext"/>
    <w:basedOn w:val="DefaultParagraphFont"/>
    <w:rsid w:val="00923FF9"/>
  </w:style>
  <w:style w:type="character" w:customStyle="1" w:styleId="mfrac">
    <w:name w:val="mfrac"/>
    <w:basedOn w:val="DefaultParagraphFont"/>
    <w:rsid w:val="00923FF9"/>
  </w:style>
  <w:style w:type="character" w:customStyle="1" w:styleId="captionlabel">
    <w:name w:val="captionlabel"/>
    <w:basedOn w:val="DefaultParagraphFont"/>
    <w:rsid w:val="00923FF9"/>
  </w:style>
  <w:style w:type="character" w:customStyle="1" w:styleId="nlmfn">
    <w:name w:val="nlm_fn"/>
    <w:basedOn w:val="DefaultParagraphFont"/>
    <w:rsid w:val="00923FF9"/>
  </w:style>
  <w:style w:type="character" w:customStyle="1" w:styleId="fn-label">
    <w:name w:val="fn-label"/>
    <w:basedOn w:val="DefaultParagraphFont"/>
    <w:rsid w:val="00923FF9"/>
  </w:style>
  <w:style w:type="character" w:customStyle="1" w:styleId="nlmyear">
    <w:name w:val="nlm_year"/>
    <w:basedOn w:val="DefaultParagraphFont"/>
    <w:rsid w:val="00923FF9"/>
  </w:style>
  <w:style w:type="character" w:customStyle="1" w:styleId="nlmarticle-title">
    <w:name w:val="nlm_article-title"/>
    <w:basedOn w:val="DefaultParagraphFont"/>
    <w:rsid w:val="00923FF9"/>
  </w:style>
  <w:style w:type="character" w:customStyle="1" w:styleId="nlmfpage">
    <w:name w:val="nlm_fpage"/>
    <w:basedOn w:val="DefaultParagraphFont"/>
    <w:rsid w:val="00923FF9"/>
  </w:style>
  <w:style w:type="character" w:customStyle="1" w:styleId="nlmlpage">
    <w:name w:val="nlm_lpage"/>
    <w:basedOn w:val="DefaultParagraphFont"/>
    <w:rsid w:val="00923FF9"/>
  </w:style>
  <w:style w:type="character" w:customStyle="1" w:styleId="ref-google">
    <w:name w:val="ref-google"/>
    <w:basedOn w:val="DefaultParagraphFont"/>
    <w:rsid w:val="00923FF9"/>
  </w:style>
  <w:style w:type="character" w:customStyle="1" w:styleId="ref-xlink">
    <w:name w:val="ref-xlink"/>
    <w:basedOn w:val="DefaultParagraphFont"/>
    <w:rsid w:val="00923FF9"/>
  </w:style>
  <w:style w:type="character" w:customStyle="1" w:styleId="ref-sfxlink">
    <w:name w:val="ref-sfxlink"/>
    <w:basedOn w:val="DefaultParagraphFont"/>
    <w:rsid w:val="00923FF9"/>
  </w:style>
  <w:style w:type="character" w:customStyle="1" w:styleId="nlmpublisher-loc">
    <w:name w:val="nlm_publisher-loc"/>
    <w:basedOn w:val="DefaultParagraphFont"/>
    <w:rsid w:val="00923FF9"/>
  </w:style>
  <w:style w:type="character" w:customStyle="1" w:styleId="nlmpublisher-name">
    <w:name w:val="nlm_publisher-name"/>
    <w:basedOn w:val="DefaultParagraphFont"/>
    <w:rsid w:val="00923FF9"/>
  </w:style>
  <w:style w:type="character" w:styleId="UnresolvedMention">
    <w:name w:val="Unresolved Mention"/>
    <w:basedOn w:val="DefaultParagraphFont"/>
    <w:uiPriority w:val="99"/>
    <w:semiHidden/>
    <w:unhideWhenUsed/>
    <w:rsid w:val="00923FF9"/>
    <w:rPr>
      <w:color w:val="605E5C"/>
      <w:shd w:val="clear" w:color="auto" w:fill="E1DFDD"/>
    </w:rPr>
  </w:style>
  <w:style w:type="paragraph" w:styleId="BodyText">
    <w:name w:val="Body Text"/>
    <w:basedOn w:val="Normal"/>
    <w:link w:val="BodyTextChar"/>
    <w:uiPriority w:val="99"/>
    <w:semiHidden/>
    <w:unhideWhenUsed/>
    <w:rsid w:val="00AB4C8A"/>
    <w:pPr>
      <w:spacing w:after="120"/>
    </w:pPr>
  </w:style>
  <w:style w:type="character" w:customStyle="1" w:styleId="BodyTextChar">
    <w:name w:val="Body Text Char"/>
    <w:basedOn w:val="DefaultParagraphFont"/>
    <w:link w:val="BodyText"/>
    <w:uiPriority w:val="99"/>
    <w:semiHidden/>
    <w:rsid w:val="00AB4C8A"/>
  </w:style>
  <w:style w:type="paragraph" w:customStyle="1" w:styleId="TableParagraph">
    <w:name w:val="Table Paragraph"/>
    <w:basedOn w:val="Normal"/>
    <w:uiPriority w:val="1"/>
    <w:qFormat/>
    <w:rsid w:val="00AB4C8A"/>
    <w:pPr>
      <w:autoSpaceDE w:val="0"/>
      <w:autoSpaceDN w:val="0"/>
      <w:adjustRightInd w:val="0"/>
      <w:spacing w:after="0" w:line="189" w:lineRule="exact"/>
      <w:jc w:val="center"/>
    </w:pPr>
    <w:rPr>
      <w:rFonts w:ascii="Gill Sans MT" w:hAnsi="Gill Sans MT" w:cs="Gill Sans M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417897">
      <w:bodyDiv w:val="1"/>
      <w:marLeft w:val="0"/>
      <w:marRight w:val="0"/>
      <w:marTop w:val="0"/>
      <w:marBottom w:val="0"/>
      <w:divBdr>
        <w:top w:val="none" w:sz="0" w:space="0" w:color="auto"/>
        <w:left w:val="none" w:sz="0" w:space="0" w:color="auto"/>
        <w:bottom w:val="none" w:sz="0" w:space="0" w:color="auto"/>
        <w:right w:val="none" w:sz="0" w:space="0" w:color="auto"/>
      </w:divBdr>
      <w:divsChild>
        <w:div w:id="750927514">
          <w:marLeft w:val="0"/>
          <w:marRight w:val="0"/>
          <w:marTop w:val="75"/>
          <w:marBottom w:val="0"/>
          <w:divBdr>
            <w:top w:val="none" w:sz="0" w:space="0" w:color="auto"/>
            <w:left w:val="none" w:sz="0" w:space="0" w:color="auto"/>
            <w:bottom w:val="none" w:sz="0" w:space="0" w:color="auto"/>
            <w:right w:val="none" w:sz="0" w:space="0" w:color="auto"/>
          </w:divBdr>
          <w:divsChild>
            <w:div w:id="53477633">
              <w:marLeft w:val="0"/>
              <w:marRight w:val="0"/>
              <w:marTop w:val="0"/>
              <w:marBottom w:val="0"/>
              <w:divBdr>
                <w:top w:val="none" w:sz="0" w:space="0" w:color="auto"/>
                <w:left w:val="none" w:sz="0" w:space="0" w:color="auto"/>
                <w:bottom w:val="none" w:sz="0" w:space="0" w:color="auto"/>
                <w:right w:val="none" w:sz="0" w:space="0" w:color="auto"/>
              </w:divBdr>
            </w:div>
            <w:div w:id="103232210">
              <w:marLeft w:val="0"/>
              <w:marRight w:val="0"/>
              <w:marTop w:val="0"/>
              <w:marBottom w:val="0"/>
              <w:divBdr>
                <w:top w:val="none" w:sz="0" w:space="0" w:color="auto"/>
                <w:left w:val="none" w:sz="0" w:space="0" w:color="auto"/>
                <w:bottom w:val="none" w:sz="0" w:space="0" w:color="auto"/>
                <w:right w:val="none" w:sz="0" w:space="0" w:color="auto"/>
              </w:divBdr>
            </w:div>
          </w:divsChild>
        </w:div>
        <w:div w:id="964384897">
          <w:marLeft w:val="0"/>
          <w:marRight w:val="0"/>
          <w:marTop w:val="0"/>
          <w:marBottom w:val="150"/>
          <w:divBdr>
            <w:top w:val="none" w:sz="0" w:space="0" w:color="auto"/>
            <w:left w:val="none" w:sz="0" w:space="0" w:color="auto"/>
            <w:bottom w:val="single" w:sz="6" w:space="0" w:color="CCCCCC"/>
            <w:right w:val="none" w:sz="0" w:space="0" w:color="auto"/>
          </w:divBdr>
          <w:divsChild>
            <w:div w:id="145977920">
              <w:marLeft w:val="300"/>
              <w:marRight w:val="0"/>
              <w:marTop w:val="0"/>
              <w:marBottom w:val="450"/>
              <w:divBdr>
                <w:top w:val="none" w:sz="0" w:space="0" w:color="auto"/>
                <w:left w:val="none" w:sz="0" w:space="0" w:color="auto"/>
                <w:bottom w:val="none" w:sz="0" w:space="0" w:color="auto"/>
                <w:right w:val="none" w:sz="0" w:space="0" w:color="auto"/>
              </w:divBdr>
              <w:divsChild>
                <w:div w:id="91882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705923">
          <w:marLeft w:val="0"/>
          <w:marRight w:val="0"/>
          <w:marTop w:val="0"/>
          <w:marBottom w:val="0"/>
          <w:divBdr>
            <w:top w:val="none" w:sz="0" w:space="0" w:color="auto"/>
            <w:left w:val="none" w:sz="0" w:space="0" w:color="auto"/>
            <w:bottom w:val="none" w:sz="0" w:space="0" w:color="auto"/>
            <w:right w:val="none" w:sz="0" w:space="0" w:color="auto"/>
          </w:divBdr>
          <w:divsChild>
            <w:div w:id="1109472071">
              <w:marLeft w:val="0"/>
              <w:marRight w:val="0"/>
              <w:marTop w:val="0"/>
              <w:marBottom w:val="0"/>
              <w:divBdr>
                <w:top w:val="none" w:sz="0" w:space="0" w:color="auto"/>
                <w:left w:val="none" w:sz="0" w:space="0" w:color="auto"/>
                <w:bottom w:val="none" w:sz="0" w:space="0" w:color="auto"/>
                <w:right w:val="none" w:sz="0" w:space="0" w:color="auto"/>
              </w:divBdr>
              <w:divsChild>
                <w:div w:id="1835678702">
                  <w:marLeft w:val="0"/>
                  <w:marRight w:val="0"/>
                  <w:marTop w:val="0"/>
                  <w:marBottom w:val="0"/>
                  <w:divBdr>
                    <w:top w:val="none" w:sz="0" w:space="0" w:color="auto"/>
                    <w:left w:val="none" w:sz="0" w:space="0" w:color="auto"/>
                    <w:bottom w:val="none" w:sz="0" w:space="0" w:color="auto"/>
                    <w:right w:val="none" w:sz="0" w:space="0" w:color="auto"/>
                  </w:divBdr>
                </w:div>
              </w:divsChild>
            </w:div>
            <w:div w:id="1109590585">
              <w:marLeft w:val="0"/>
              <w:marRight w:val="0"/>
              <w:marTop w:val="0"/>
              <w:marBottom w:val="0"/>
              <w:divBdr>
                <w:top w:val="none" w:sz="0" w:space="0" w:color="auto"/>
                <w:left w:val="none" w:sz="0" w:space="0" w:color="auto"/>
                <w:bottom w:val="none" w:sz="0" w:space="0" w:color="auto"/>
                <w:right w:val="none" w:sz="0" w:space="0" w:color="auto"/>
              </w:divBdr>
              <w:divsChild>
                <w:div w:id="1205756987">
                  <w:marLeft w:val="0"/>
                  <w:marRight w:val="0"/>
                  <w:marTop w:val="0"/>
                  <w:marBottom w:val="0"/>
                  <w:divBdr>
                    <w:top w:val="none" w:sz="0" w:space="0" w:color="auto"/>
                    <w:left w:val="none" w:sz="0" w:space="0" w:color="auto"/>
                    <w:bottom w:val="none" w:sz="0" w:space="0" w:color="auto"/>
                    <w:right w:val="none" w:sz="0" w:space="0" w:color="auto"/>
                  </w:divBdr>
                </w:div>
                <w:div w:id="1411271819">
                  <w:marLeft w:val="0"/>
                  <w:marRight w:val="0"/>
                  <w:marTop w:val="0"/>
                  <w:marBottom w:val="0"/>
                  <w:divBdr>
                    <w:top w:val="none" w:sz="0" w:space="0" w:color="auto"/>
                    <w:left w:val="none" w:sz="0" w:space="0" w:color="auto"/>
                    <w:bottom w:val="none" w:sz="0" w:space="0" w:color="auto"/>
                    <w:right w:val="none" w:sz="0" w:space="0" w:color="auto"/>
                  </w:divBdr>
                  <w:divsChild>
                    <w:div w:id="1156068334">
                      <w:marLeft w:val="300"/>
                      <w:marRight w:val="0"/>
                      <w:marTop w:val="0"/>
                      <w:marBottom w:val="0"/>
                      <w:divBdr>
                        <w:top w:val="none" w:sz="0" w:space="0" w:color="auto"/>
                        <w:left w:val="none" w:sz="0" w:space="0" w:color="auto"/>
                        <w:bottom w:val="none" w:sz="0" w:space="0" w:color="auto"/>
                        <w:right w:val="none" w:sz="0" w:space="0" w:color="auto"/>
                      </w:divBdr>
                    </w:div>
                  </w:divsChild>
                </w:div>
                <w:div w:id="782726238">
                  <w:marLeft w:val="0"/>
                  <w:marRight w:val="0"/>
                  <w:marTop w:val="0"/>
                  <w:marBottom w:val="0"/>
                  <w:divBdr>
                    <w:top w:val="none" w:sz="0" w:space="0" w:color="auto"/>
                    <w:left w:val="none" w:sz="0" w:space="0" w:color="auto"/>
                    <w:bottom w:val="none" w:sz="0" w:space="0" w:color="auto"/>
                    <w:right w:val="none" w:sz="0" w:space="0" w:color="auto"/>
                  </w:divBdr>
                  <w:divsChild>
                    <w:div w:id="517819709">
                      <w:marLeft w:val="300"/>
                      <w:marRight w:val="0"/>
                      <w:marTop w:val="0"/>
                      <w:marBottom w:val="0"/>
                      <w:divBdr>
                        <w:top w:val="none" w:sz="0" w:space="0" w:color="auto"/>
                        <w:left w:val="none" w:sz="0" w:space="0" w:color="auto"/>
                        <w:bottom w:val="none" w:sz="0" w:space="0" w:color="auto"/>
                        <w:right w:val="none" w:sz="0" w:space="0" w:color="auto"/>
                      </w:divBdr>
                    </w:div>
                  </w:divsChild>
                </w:div>
                <w:div w:id="1590187740">
                  <w:marLeft w:val="0"/>
                  <w:marRight w:val="0"/>
                  <w:marTop w:val="0"/>
                  <w:marBottom w:val="0"/>
                  <w:divBdr>
                    <w:top w:val="none" w:sz="0" w:space="0" w:color="auto"/>
                    <w:left w:val="none" w:sz="0" w:space="0" w:color="auto"/>
                    <w:bottom w:val="none" w:sz="0" w:space="0" w:color="auto"/>
                    <w:right w:val="none" w:sz="0" w:space="0" w:color="auto"/>
                  </w:divBdr>
                  <w:divsChild>
                    <w:div w:id="1966348969">
                      <w:marLeft w:val="300"/>
                      <w:marRight w:val="0"/>
                      <w:marTop w:val="0"/>
                      <w:marBottom w:val="0"/>
                      <w:divBdr>
                        <w:top w:val="none" w:sz="0" w:space="0" w:color="auto"/>
                        <w:left w:val="none" w:sz="0" w:space="0" w:color="auto"/>
                        <w:bottom w:val="none" w:sz="0" w:space="0" w:color="auto"/>
                        <w:right w:val="none" w:sz="0" w:space="0" w:color="auto"/>
                      </w:divBdr>
                    </w:div>
                  </w:divsChild>
                </w:div>
                <w:div w:id="816724494">
                  <w:marLeft w:val="0"/>
                  <w:marRight w:val="0"/>
                  <w:marTop w:val="0"/>
                  <w:marBottom w:val="0"/>
                  <w:divBdr>
                    <w:top w:val="none" w:sz="0" w:space="0" w:color="auto"/>
                    <w:left w:val="none" w:sz="0" w:space="0" w:color="auto"/>
                    <w:bottom w:val="none" w:sz="0" w:space="0" w:color="auto"/>
                    <w:right w:val="none" w:sz="0" w:space="0" w:color="auto"/>
                  </w:divBdr>
                  <w:divsChild>
                    <w:div w:id="156776351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6163911">
              <w:marLeft w:val="0"/>
              <w:marRight w:val="0"/>
              <w:marTop w:val="0"/>
              <w:marBottom w:val="0"/>
              <w:divBdr>
                <w:top w:val="none" w:sz="0" w:space="0" w:color="auto"/>
                <w:left w:val="none" w:sz="0" w:space="0" w:color="auto"/>
                <w:bottom w:val="none" w:sz="0" w:space="0" w:color="auto"/>
                <w:right w:val="none" w:sz="0" w:space="0" w:color="auto"/>
              </w:divBdr>
              <w:divsChild>
                <w:div w:id="1569146973">
                  <w:marLeft w:val="0"/>
                  <w:marRight w:val="0"/>
                  <w:marTop w:val="0"/>
                  <w:marBottom w:val="0"/>
                  <w:divBdr>
                    <w:top w:val="none" w:sz="0" w:space="0" w:color="auto"/>
                    <w:left w:val="none" w:sz="0" w:space="0" w:color="auto"/>
                    <w:bottom w:val="none" w:sz="0" w:space="0" w:color="auto"/>
                    <w:right w:val="none" w:sz="0" w:space="0" w:color="auto"/>
                  </w:divBdr>
                </w:div>
                <w:div w:id="545216309">
                  <w:marLeft w:val="0"/>
                  <w:marRight w:val="0"/>
                  <w:marTop w:val="0"/>
                  <w:marBottom w:val="0"/>
                  <w:divBdr>
                    <w:top w:val="none" w:sz="0" w:space="0" w:color="auto"/>
                    <w:left w:val="none" w:sz="0" w:space="0" w:color="auto"/>
                    <w:bottom w:val="none" w:sz="0" w:space="0" w:color="auto"/>
                    <w:right w:val="none" w:sz="0" w:space="0" w:color="auto"/>
                  </w:divBdr>
                  <w:divsChild>
                    <w:div w:id="884680106">
                      <w:marLeft w:val="300"/>
                      <w:marRight w:val="0"/>
                      <w:marTop w:val="0"/>
                      <w:marBottom w:val="0"/>
                      <w:divBdr>
                        <w:top w:val="none" w:sz="0" w:space="0" w:color="auto"/>
                        <w:left w:val="none" w:sz="0" w:space="0" w:color="auto"/>
                        <w:bottom w:val="none" w:sz="0" w:space="0" w:color="auto"/>
                        <w:right w:val="none" w:sz="0" w:space="0" w:color="auto"/>
                      </w:divBdr>
                    </w:div>
                    <w:div w:id="1997607310">
                      <w:marLeft w:val="0"/>
                      <w:marRight w:val="0"/>
                      <w:marTop w:val="0"/>
                      <w:marBottom w:val="0"/>
                      <w:divBdr>
                        <w:top w:val="none" w:sz="0" w:space="0" w:color="auto"/>
                        <w:left w:val="none" w:sz="0" w:space="0" w:color="auto"/>
                        <w:bottom w:val="none" w:sz="0" w:space="0" w:color="auto"/>
                        <w:right w:val="none" w:sz="0" w:space="0" w:color="auto"/>
                      </w:divBdr>
                      <w:divsChild>
                        <w:div w:id="200291368">
                          <w:marLeft w:val="300"/>
                          <w:marRight w:val="0"/>
                          <w:marTop w:val="0"/>
                          <w:marBottom w:val="0"/>
                          <w:divBdr>
                            <w:top w:val="none" w:sz="0" w:space="0" w:color="auto"/>
                            <w:left w:val="none" w:sz="0" w:space="0" w:color="auto"/>
                            <w:bottom w:val="none" w:sz="0" w:space="0" w:color="auto"/>
                            <w:right w:val="none" w:sz="0" w:space="0" w:color="auto"/>
                          </w:divBdr>
                        </w:div>
                      </w:divsChild>
                    </w:div>
                    <w:div w:id="1802771575">
                      <w:marLeft w:val="0"/>
                      <w:marRight w:val="0"/>
                      <w:marTop w:val="0"/>
                      <w:marBottom w:val="0"/>
                      <w:divBdr>
                        <w:top w:val="none" w:sz="0" w:space="0" w:color="auto"/>
                        <w:left w:val="none" w:sz="0" w:space="0" w:color="auto"/>
                        <w:bottom w:val="none" w:sz="0" w:space="0" w:color="auto"/>
                        <w:right w:val="none" w:sz="0" w:space="0" w:color="auto"/>
                      </w:divBdr>
                      <w:divsChild>
                        <w:div w:id="30652153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007559789">
                  <w:marLeft w:val="0"/>
                  <w:marRight w:val="0"/>
                  <w:marTop w:val="0"/>
                  <w:marBottom w:val="0"/>
                  <w:divBdr>
                    <w:top w:val="none" w:sz="0" w:space="0" w:color="auto"/>
                    <w:left w:val="none" w:sz="0" w:space="0" w:color="auto"/>
                    <w:bottom w:val="none" w:sz="0" w:space="0" w:color="auto"/>
                    <w:right w:val="none" w:sz="0" w:space="0" w:color="auto"/>
                  </w:divBdr>
                  <w:divsChild>
                    <w:div w:id="571358722">
                      <w:marLeft w:val="300"/>
                      <w:marRight w:val="0"/>
                      <w:marTop w:val="0"/>
                      <w:marBottom w:val="0"/>
                      <w:divBdr>
                        <w:top w:val="none" w:sz="0" w:space="0" w:color="auto"/>
                        <w:left w:val="none" w:sz="0" w:space="0" w:color="auto"/>
                        <w:bottom w:val="none" w:sz="0" w:space="0" w:color="auto"/>
                        <w:right w:val="none" w:sz="0" w:space="0" w:color="auto"/>
                      </w:divBdr>
                    </w:div>
                    <w:div w:id="2024898441">
                      <w:marLeft w:val="0"/>
                      <w:marRight w:val="0"/>
                      <w:marTop w:val="0"/>
                      <w:marBottom w:val="0"/>
                      <w:divBdr>
                        <w:top w:val="none" w:sz="0" w:space="0" w:color="auto"/>
                        <w:left w:val="none" w:sz="0" w:space="0" w:color="auto"/>
                        <w:bottom w:val="none" w:sz="0" w:space="0" w:color="auto"/>
                        <w:right w:val="none" w:sz="0" w:space="0" w:color="auto"/>
                      </w:divBdr>
                      <w:divsChild>
                        <w:div w:id="2129201862">
                          <w:marLeft w:val="300"/>
                          <w:marRight w:val="0"/>
                          <w:marTop w:val="0"/>
                          <w:marBottom w:val="0"/>
                          <w:divBdr>
                            <w:top w:val="none" w:sz="0" w:space="0" w:color="auto"/>
                            <w:left w:val="none" w:sz="0" w:space="0" w:color="auto"/>
                            <w:bottom w:val="none" w:sz="0" w:space="0" w:color="auto"/>
                            <w:right w:val="none" w:sz="0" w:space="0" w:color="auto"/>
                          </w:divBdr>
                        </w:div>
                      </w:divsChild>
                    </w:div>
                    <w:div w:id="926227773">
                      <w:marLeft w:val="0"/>
                      <w:marRight w:val="0"/>
                      <w:marTop w:val="0"/>
                      <w:marBottom w:val="0"/>
                      <w:divBdr>
                        <w:top w:val="none" w:sz="0" w:space="0" w:color="auto"/>
                        <w:left w:val="none" w:sz="0" w:space="0" w:color="auto"/>
                        <w:bottom w:val="none" w:sz="0" w:space="0" w:color="auto"/>
                        <w:right w:val="none" w:sz="0" w:space="0" w:color="auto"/>
                      </w:divBdr>
                      <w:divsChild>
                        <w:div w:id="11968441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567725">
              <w:marLeft w:val="0"/>
              <w:marRight w:val="0"/>
              <w:marTop w:val="0"/>
              <w:marBottom w:val="0"/>
              <w:divBdr>
                <w:top w:val="none" w:sz="0" w:space="0" w:color="auto"/>
                <w:left w:val="none" w:sz="0" w:space="0" w:color="auto"/>
                <w:bottom w:val="none" w:sz="0" w:space="0" w:color="auto"/>
                <w:right w:val="none" w:sz="0" w:space="0" w:color="auto"/>
              </w:divBdr>
              <w:divsChild>
                <w:div w:id="2098745118">
                  <w:marLeft w:val="0"/>
                  <w:marRight w:val="0"/>
                  <w:marTop w:val="0"/>
                  <w:marBottom w:val="0"/>
                  <w:divBdr>
                    <w:top w:val="none" w:sz="0" w:space="0" w:color="auto"/>
                    <w:left w:val="none" w:sz="0" w:space="0" w:color="auto"/>
                    <w:bottom w:val="none" w:sz="0" w:space="0" w:color="auto"/>
                    <w:right w:val="none" w:sz="0" w:space="0" w:color="auto"/>
                  </w:divBdr>
                </w:div>
              </w:divsChild>
            </w:div>
            <w:div w:id="328412621">
              <w:marLeft w:val="0"/>
              <w:marRight w:val="0"/>
              <w:marTop w:val="0"/>
              <w:marBottom w:val="0"/>
              <w:divBdr>
                <w:top w:val="none" w:sz="0" w:space="0" w:color="auto"/>
                <w:left w:val="none" w:sz="0" w:space="0" w:color="auto"/>
                <w:bottom w:val="none" w:sz="0" w:space="0" w:color="auto"/>
                <w:right w:val="none" w:sz="0" w:space="0" w:color="auto"/>
              </w:divBdr>
              <w:divsChild>
                <w:div w:id="1307122043">
                  <w:marLeft w:val="0"/>
                  <w:marRight w:val="0"/>
                  <w:marTop w:val="0"/>
                  <w:marBottom w:val="0"/>
                  <w:divBdr>
                    <w:top w:val="none" w:sz="0" w:space="0" w:color="auto"/>
                    <w:left w:val="none" w:sz="0" w:space="0" w:color="auto"/>
                    <w:bottom w:val="none" w:sz="0" w:space="0" w:color="auto"/>
                    <w:right w:val="none" w:sz="0" w:space="0" w:color="auto"/>
                  </w:divBdr>
                </w:div>
                <w:div w:id="1068382733">
                  <w:marLeft w:val="0"/>
                  <w:marRight w:val="0"/>
                  <w:marTop w:val="0"/>
                  <w:marBottom w:val="0"/>
                  <w:divBdr>
                    <w:top w:val="none" w:sz="0" w:space="0" w:color="auto"/>
                    <w:left w:val="none" w:sz="0" w:space="0" w:color="auto"/>
                    <w:bottom w:val="none" w:sz="0" w:space="0" w:color="auto"/>
                    <w:right w:val="none" w:sz="0" w:space="0" w:color="auto"/>
                  </w:divBdr>
                  <w:divsChild>
                    <w:div w:id="462118759">
                      <w:marLeft w:val="300"/>
                      <w:marRight w:val="0"/>
                      <w:marTop w:val="0"/>
                      <w:marBottom w:val="0"/>
                      <w:divBdr>
                        <w:top w:val="none" w:sz="0" w:space="0" w:color="auto"/>
                        <w:left w:val="none" w:sz="0" w:space="0" w:color="auto"/>
                        <w:bottom w:val="none" w:sz="0" w:space="0" w:color="auto"/>
                        <w:right w:val="none" w:sz="0" w:space="0" w:color="auto"/>
                      </w:divBdr>
                    </w:div>
                    <w:div w:id="321087374">
                      <w:marLeft w:val="0"/>
                      <w:marRight w:val="0"/>
                      <w:marTop w:val="0"/>
                      <w:marBottom w:val="0"/>
                      <w:divBdr>
                        <w:top w:val="none" w:sz="0" w:space="0" w:color="auto"/>
                        <w:left w:val="none" w:sz="0" w:space="0" w:color="auto"/>
                        <w:bottom w:val="none" w:sz="0" w:space="0" w:color="auto"/>
                        <w:right w:val="none" w:sz="0" w:space="0" w:color="auto"/>
                      </w:divBdr>
                    </w:div>
                    <w:div w:id="1349793661">
                      <w:marLeft w:val="0"/>
                      <w:marRight w:val="0"/>
                      <w:marTop w:val="0"/>
                      <w:marBottom w:val="0"/>
                      <w:divBdr>
                        <w:top w:val="none" w:sz="0" w:space="0" w:color="auto"/>
                        <w:left w:val="none" w:sz="0" w:space="0" w:color="auto"/>
                        <w:bottom w:val="none" w:sz="0" w:space="0" w:color="auto"/>
                        <w:right w:val="none" w:sz="0" w:space="0" w:color="auto"/>
                      </w:divBdr>
                    </w:div>
                    <w:div w:id="2060935966">
                      <w:marLeft w:val="375"/>
                      <w:marRight w:val="375"/>
                      <w:marTop w:val="0"/>
                      <w:marBottom w:val="0"/>
                      <w:divBdr>
                        <w:top w:val="none" w:sz="0" w:space="0" w:color="auto"/>
                        <w:left w:val="none" w:sz="0" w:space="0" w:color="auto"/>
                        <w:bottom w:val="none" w:sz="0" w:space="0" w:color="auto"/>
                        <w:right w:val="none" w:sz="0" w:space="0" w:color="auto"/>
                      </w:divBdr>
                      <w:divsChild>
                        <w:div w:id="2009406921">
                          <w:marLeft w:val="0"/>
                          <w:marRight w:val="0"/>
                          <w:marTop w:val="0"/>
                          <w:marBottom w:val="0"/>
                          <w:divBdr>
                            <w:top w:val="none" w:sz="0" w:space="0" w:color="auto"/>
                            <w:left w:val="none" w:sz="0" w:space="0" w:color="auto"/>
                            <w:bottom w:val="none" w:sz="0" w:space="0" w:color="auto"/>
                            <w:right w:val="none" w:sz="0" w:space="0" w:color="auto"/>
                          </w:divBdr>
                        </w:div>
                        <w:div w:id="896429754">
                          <w:marLeft w:val="0"/>
                          <w:marRight w:val="0"/>
                          <w:marTop w:val="150"/>
                          <w:marBottom w:val="0"/>
                          <w:divBdr>
                            <w:top w:val="none" w:sz="0" w:space="0" w:color="auto"/>
                            <w:left w:val="none" w:sz="0" w:space="0" w:color="auto"/>
                            <w:bottom w:val="none" w:sz="0" w:space="0" w:color="auto"/>
                            <w:right w:val="none" w:sz="0" w:space="0" w:color="auto"/>
                          </w:divBdr>
                        </w:div>
                      </w:divsChild>
                    </w:div>
                    <w:div w:id="201794580">
                      <w:marLeft w:val="0"/>
                      <w:marRight w:val="0"/>
                      <w:marTop w:val="0"/>
                      <w:marBottom w:val="0"/>
                      <w:divBdr>
                        <w:top w:val="none" w:sz="0" w:space="0" w:color="auto"/>
                        <w:left w:val="none" w:sz="0" w:space="0" w:color="auto"/>
                        <w:bottom w:val="none" w:sz="0" w:space="0" w:color="auto"/>
                        <w:right w:val="none" w:sz="0" w:space="0" w:color="auto"/>
                      </w:divBdr>
                    </w:div>
                    <w:div w:id="877085482">
                      <w:marLeft w:val="0"/>
                      <w:marRight w:val="0"/>
                      <w:marTop w:val="0"/>
                      <w:marBottom w:val="0"/>
                      <w:divBdr>
                        <w:top w:val="none" w:sz="0" w:space="0" w:color="auto"/>
                        <w:left w:val="none" w:sz="0" w:space="0" w:color="auto"/>
                        <w:bottom w:val="none" w:sz="0" w:space="0" w:color="auto"/>
                        <w:right w:val="none" w:sz="0" w:space="0" w:color="auto"/>
                      </w:divBdr>
                    </w:div>
                    <w:div w:id="1467119740">
                      <w:marLeft w:val="375"/>
                      <w:marRight w:val="375"/>
                      <w:marTop w:val="0"/>
                      <w:marBottom w:val="0"/>
                      <w:divBdr>
                        <w:top w:val="none" w:sz="0" w:space="0" w:color="auto"/>
                        <w:left w:val="none" w:sz="0" w:space="0" w:color="auto"/>
                        <w:bottom w:val="none" w:sz="0" w:space="0" w:color="auto"/>
                        <w:right w:val="none" w:sz="0" w:space="0" w:color="auto"/>
                      </w:divBdr>
                      <w:divsChild>
                        <w:div w:id="456686536">
                          <w:marLeft w:val="0"/>
                          <w:marRight w:val="0"/>
                          <w:marTop w:val="0"/>
                          <w:marBottom w:val="0"/>
                          <w:divBdr>
                            <w:top w:val="none" w:sz="0" w:space="0" w:color="auto"/>
                            <w:left w:val="none" w:sz="0" w:space="0" w:color="auto"/>
                            <w:bottom w:val="none" w:sz="0" w:space="0" w:color="auto"/>
                            <w:right w:val="none" w:sz="0" w:space="0" w:color="auto"/>
                          </w:divBdr>
                        </w:div>
                        <w:div w:id="1740403916">
                          <w:marLeft w:val="0"/>
                          <w:marRight w:val="0"/>
                          <w:marTop w:val="150"/>
                          <w:marBottom w:val="0"/>
                          <w:divBdr>
                            <w:top w:val="none" w:sz="0" w:space="0" w:color="auto"/>
                            <w:left w:val="none" w:sz="0" w:space="0" w:color="auto"/>
                            <w:bottom w:val="none" w:sz="0" w:space="0" w:color="auto"/>
                            <w:right w:val="none" w:sz="0" w:space="0" w:color="auto"/>
                          </w:divBdr>
                        </w:div>
                      </w:divsChild>
                    </w:div>
                    <w:div w:id="1747459578">
                      <w:marLeft w:val="0"/>
                      <w:marRight w:val="0"/>
                      <w:marTop w:val="0"/>
                      <w:marBottom w:val="0"/>
                      <w:divBdr>
                        <w:top w:val="none" w:sz="0" w:space="0" w:color="auto"/>
                        <w:left w:val="none" w:sz="0" w:space="0" w:color="auto"/>
                        <w:bottom w:val="none" w:sz="0" w:space="0" w:color="auto"/>
                        <w:right w:val="none" w:sz="0" w:space="0" w:color="auto"/>
                      </w:divBdr>
                    </w:div>
                    <w:div w:id="307782581">
                      <w:marLeft w:val="0"/>
                      <w:marRight w:val="0"/>
                      <w:marTop w:val="0"/>
                      <w:marBottom w:val="0"/>
                      <w:divBdr>
                        <w:top w:val="none" w:sz="0" w:space="0" w:color="auto"/>
                        <w:left w:val="none" w:sz="0" w:space="0" w:color="auto"/>
                        <w:bottom w:val="none" w:sz="0" w:space="0" w:color="auto"/>
                        <w:right w:val="none" w:sz="0" w:space="0" w:color="auto"/>
                      </w:divBdr>
                    </w:div>
                    <w:div w:id="570385859">
                      <w:marLeft w:val="375"/>
                      <w:marRight w:val="375"/>
                      <w:marTop w:val="0"/>
                      <w:marBottom w:val="0"/>
                      <w:divBdr>
                        <w:top w:val="none" w:sz="0" w:space="0" w:color="auto"/>
                        <w:left w:val="none" w:sz="0" w:space="0" w:color="auto"/>
                        <w:bottom w:val="none" w:sz="0" w:space="0" w:color="auto"/>
                        <w:right w:val="none" w:sz="0" w:space="0" w:color="auto"/>
                      </w:divBdr>
                      <w:divsChild>
                        <w:div w:id="498086605">
                          <w:marLeft w:val="0"/>
                          <w:marRight w:val="0"/>
                          <w:marTop w:val="0"/>
                          <w:marBottom w:val="0"/>
                          <w:divBdr>
                            <w:top w:val="none" w:sz="0" w:space="0" w:color="auto"/>
                            <w:left w:val="none" w:sz="0" w:space="0" w:color="auto"/>
                            <w:bottom w:val="none" w:sz="0" w:space="0" w:color="auto"/>
                            <w:right w:val="none" w:sz="0" w:space="0" w:color="auto"/>
                          </w:divBdr>
                        </w:div>
                        <w:div w:id="44372247">
                          <w:marLeft w:val="0"/>
                          <w:marRight w:val="0"/>
                          <w:marTop w:val="150"/>
                          <w:marBottom w:val="0"/>
                          <w:divBdr>
                            <w:top w:val="none" w:sz="0" w:space="0" w:color="auto"/>
                            <w:left w:val="none" w:sz="0" w:space="0" w:color="auto"/>
                            <w:bottom w:val="none" w:sz="0" w:space="0" w:color="auto"/>
                            <w:right w:val="none" w:sz="0" w:space="0" w:color="auto"/>
                          </w:divBdr>
                        </w:div>
                      </w:divsChild>
                    </w:div>
                    <w:div w:id="586770735">
                      <w:marLeft w:val="0"/>
                      <w:marRight w:val="0"/>
                      <w:marTop w:val="0"/>
                      <w:marBottom w:val="0"/>
                      <w:divBdr>
                        <w:top w:val="none" w:sz="0" w:space="0" w:color="auto"/>
                        <w:left w:val="none" w:sz="0" w:space="0" w:color="auto"/>
                        <w:bottom w:val="none" w:sz="0" w:space="0" w:color="auto"/>
                        <w:right w:val="none" w:sz="0" w:space="0" w:color="auto"/>
                      </w:divBdr>
                    </w:div>
                    <w:div w:id="1497070286">
                      <w:marLeft w:val="0"/>
                      <w:marRight w:val="0"/>
                      <w:marTop w:val="0"/>
                      <w:marBottom w:val="0"/>
                      <w:divBdr>
                        <w:top w:val="none" w:sz="0" w:space="0" w:color="auto"/>
                        <w:left w:val="none" w:sz="0" w:space="0" w:color="auto"/>
                        <w:bottom w:val="none" w:sz="0" w:space="0" w:color="auto"/>
                        <w:right w:val="none" w:sz="0" w:space="0" w:color="auto"/>
                      </w:divBdr>
                    </w:div>
                    <w:div w:id="1020818395">
                      <w:marLeft w:val="375"/>
                      <w:marRight w:val="375"/>
                      <w:marTop w:val="0"/>
                      <w:marBottom w:val="0"/>
                      <w:divBdr>
                        <w:top w:val="none" w:sz="0" w:space="0" w:color="auto"/>
                        <w:left w:val="none" w:sz="0" w:space="0" w:color="auto"/>
                        <w:bottom w:val="none" w:sz="0" w:space="0" w:color="auto"/>
                        <w:right w:val="none" w:sz="0" w:space="0" w:color="auto"/>
                      </w:divBdr>
                      <w:divsChild>
                        <w:div w:id="1944457296">
                          <w:marLeft w:val="0"/>
                          <w:marRight w:val="0"/>
                          <w:marTop w:val="0"/>
                          <w:marBottom w:val="0"/>
                          <w:divBdr>
                            <w:top w:val="none" w:sz="0" w:space="0" w:color="auto"/>
                            <w:left w:val="none" w:sz="0" w:space="0" w:color="auto"/>
                            <w:bottom w:val="none" w:sz="0" w:space="0" w:color="auto"/>
                            <w:right w:val="none" w:sz="0" w:space="0" w:color="auto"/>
                          </w:divBdr>
                        </w:div>
                        <w:div w:id="173365158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109738766">
                  <w:marLeft w:val="0"/>
                  <w:marRight w:val="0"/>
                  <w:marTop w:val="0"/>
                  <w:marBottom w:val="0"/>
                  <w:divBdr>
                    <w:top w:val="none" w:sz="0" w:space="0" w:color="auto"/>
                    <w:left w:val="none" w:sz="0" w:space="0" w:color="auto"/>
                    <w:bottom w:val="none" w:sz="0" w:space="0" w:color="auto"/>
                    <w:right w:val="none" w:sz="0" w:space="0" w:color="auto"/>
                  </w:divBdr>
                  <w:divsChild>
                    <w:div w:id="421876040">
                      <w:marLeft w:val="300"/>
                      <w:marRight w:val="0"/>
                      <w:marTop w:val="0"/>
                      <w:marBottom w:val="0"/>
                      <w:divBdr>
                        <w:top w:val="none" w:sz="0" w:space="0" w:color="auto"/>
                        <w:left w:val="none" w:sz="0" w:space="0" w:color="auto"/>
                        <w:bottom w:val="none" w:sz="0" w:space="0" w:color="auto"/>
                        <w:right w:val="none" w:sz="0" w:space="0" w:color="auto"/>
                      </w:divBdr>
                    </w:div>
                    <w:div w:id="1232227993">
                      <w:marLeft w:val="0"/>
                      <w:marRight w:val="0"/>
                      <w:marTop w:val="0"/>
                      <w:marBottom w:val="0"/>
                      <w:divBdr>
                        <w:top w:val="none" w:sz="0" w:space="0" w:color="auto"/>
                        <w:left w:val="none" w:sz="0" w:space="0" w:color="auto"/>
                        <w:bottom w:val="none" w:sz="0" w:space="0" w:color="auto"/>
                        <w:right w:val="none" w:sz="0" w:space="0" w:color="auto"/>
                      </w:divBdr>
                    </w:div>
                    <w:div w:id="1436169478">
                      <w:marLeft w:val="0"/>
                      <w:marRight w:val="0"/>
                      <w:marTop w:val="0"/>
                      <w:marBottom w:val="0"/>
                      <w:divBdr>
                        <w:top w:val="none" w:sz="0" w:space="0" w:color="auto"/>
                        <w:left w:val="none" w:sz="0" w:space="0" w:color="auto"/>
                        <w:bottom w:val="none" w:sz="0" w:space="0" w:color="auto"/>
                        <w:right w:val="none" w:sz="0" w:space="0" w:color="auto"/>
                      </w:divBdr>
                    </w:div>
                    <w:div w:id="1377048222">
                      <w:marLeft w:val="375"/>
                      <w:marRight w:val="375"/>
                      <w:marTop w:val="0"/>
                      <w:marBottom w:val="0"/>
                      <w:divBdr>
                        <w:top w:val="none" w:sz="0" w:space="0" w:color="auto"/>
                        <w:left w:val="none" w:sz="0" w:space="0" w:color="auto"/>
                        <w:bottom w:val="none" w:sz="0" w:space="0" w:color="auto"/>
                        <w:right w:val="none" w:sz="0" w:space="0" w:color="auto"/>
                      </w:divBdr>
                      <w:divsChild>
                        <w:div w:id="1460142887">
                          <w:marLeft w:val="0"/>
                          <w:marRight w:val="0"/>
                          <w:marTop w:val="0"/>
                          <w:marBottom w:val="0"/>
                          <w:divBdr>
                            <w:top w:val="none" w:sz="0" w:space="0" w:color="auto"/>
                            <w:left w:val="none" w:sz="0" w:space="0" w:color="auto"/>
                            <w:bottom w:val="none" w:sz="0" w:space="0" w:color="auto"/>
                            <w:right w:val="none" w:sz="0" w:space="0" w:color="auto"/>
                          </w:divBdr>
                        </w:div>
                        <w:div w:id="79257272">
                          <w:marLeft w:val="0"/>
                          <w:marRight w:val="0"/>
                          <w:marTop w:val="150"/>
                          <w:marBottom w:val="0"/>
                          <w:divBdr>
                            <w:top w:val="none" w:sz="0" w:space="0" w:color="auto"/>
                            <w:left w:val="none" w:sz="0" w:space="0" w:color="auto"/>
                            <w:bottom w:val="none" w:sz="0" w:space="0" w:color="auto"/>
                            <w:right w:val="none" w:sz="0" w:space="0" w:color="auto"/>
                          </w:divBdr>
                        </w:div>
                      </w:divsChild>
                    </w:div>
                    <w:div w:id="1071343684">
                      <w:marLeft w:val="0"/>
                      <w:marRight w:val="0"/>
                      <w:marTop w:val="0"/>
                      <w:marBottom w:val="0"/>
                      <w:divBdr>
                        <w:top w:val="none" w:sz="0" w:space="0" w:color="auto"/>
                        <w:left w:val="none" w:sz="0" w:space="0" w:color="auto"/>
                        <w:bottom w:val="none" w:sz="0" w:space="0" w:color="auto"/>
                        <w:right w:val="none" w:sz="0" w:space="0" w:color="auto"/>
                      </w:divBdr>
                    </w:div>
                    <w:div w:id="642656648">
                      <w:marLeft w:val="0"/>
                      <w:marRight w:val="0"/>
                      <w:marTop w:val="0"/>
                      <w:marBottom w:val="0"/>
                      <w:divBdr>
                        <w:top w:val="none" w:sz="0" w:space="0" w:color="auto"/>
                        <w:left w:val="none" w:sz="0" w:space="0" w:color="auto"/>
                        <w:bottom w:val="none" w:sz="0" w:space="0" w:color="auto"/>
                        <w:right w:val="none" w:sz="0" w:space="0" w:color="auto"/>
                      </w:divBdr>
                    </w:div>
                    <w:div w:id="1318075266">
                      <w:marLeft w:val="375"/>
                      <w:marRight w:val="375"/>
                      <w:marTop w:val="0"/>
                      <w:marBottom w:val="0"/>
                      <w:divBdr>
                        <w:top w:val="none" w:sz="0" w:space="0" w:color="auto"/>
                        <w:left w:val="none" w:sz="0" w:space="0" w:color="auto"/>
                        <w:bottom w:val="none" w:sz="0" w:space="0" w:color="auto"/>
                        <w:right w:val="none" w:sz="0" w:space="0" w:color="auto"/>
                      </w:divBdr>
                      <w:divsChild>
                        <w:div w:id="1545212477">
                          <w:marLeft w:val="0"/>
                          <w:marRight w:val="0"/>
                          <w:marTop w:val="0"/>
                          <w:marBottom w:val="0"/>
                          <w:divBdr>
                            <w:top w:val="none" w:sz="0" w:space="0" w:color="auto"/>
                            <w:left w:val="none" w:sz="0" w:space="0" w:color="auto"/>
                            <w:bottom w:val="none" w:sz="0" w:space="0" w:color="auto"/>
                            <w:right w:val="none" w:sz="0" w:space="0" w:color="auto"/>
                          </w:divBdr>
                        </w:div>
                        <w:div w:id="129132574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749425959">
              <w:marLeft w:val="0"/>
              <w:marRight w:val="0"/>
              <w:marTop w:val="0"/>
              <w:marBottom w:val="0"/>
              <w:divBdr>
                <w:top w:val="none" w:sz="0" w:space="0" w:color="auto"/>
                <w:left w:val="none" w:sz="0" w:space="0" w:color="auto"/>
                <w:bottom w:val="none" w:sz="0" w:space="0" w:color="auto"/>
                <w:right w:val="none" w:sz="0" w:space="0" w:color="auto"/>
              </w:divBdr>
              <w:divsChild>
                <w:div w:id="915628786">
                  <w:marLeft w:val="0"/>
                  <w:marRight w:val="0"/>
                  <w:marTop w:val="0"/>
                  <w:marBottom w:val="0"/>
                  <w:divBdr>
                    <w:top w:val="none" w:sz="0" w:space="0" w:color="auto"/>
                    <w:left w:val="none" w:sz="0" w:space="0" w:color="auto"/>
                    <w:bottom w:val="none" w:sz="0" w:space="0" w:color="auto"/>
                    <w:right w:val="none" w:sz="0" w:space="0" w:color="auto"/>
                  </w:divBdr>
                </w:div>
                <w:div w:id="1786004220">
                  <w:marLeft w:val="0"/>
                  <w:marRight w:val="0"/>
                  <w:marTop w:val="0"/>
                  <w:marBottom w:val="0"/>
                  <w:divBdr>
                    <w:top w:val="none" w:sz="0" w:space="0" w:color="auto"/>
                    <w:left w:val="none" w:sz="0" w:space="0" w:color="auto"/>
                    <w:bottom w:val="none" w:sz="0" w:space="0" w:color="auto"/>
                    <w:right w:val="none" w:sz="0" w:space="0" w:color="auto"/>
                  </w:divBdr>
                  <w:divsChild>
                    <w:div w:id="9116806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13598272">
              <w:marLeft w:val="0"/>
              <w:marRight w:val="0"/>
              <w:marTop w:val="0"/>
              <w:marBottom w:val="0"/>
              <w:divBdr>
                <w:top w:val="none" w:sz="0" w:space="0" w:color="auto"/>
                <w:left w:val="none" w:sz="0" w:space="0" w:color="auto"/>
                <w:bottom w:val="none" w:sz="0" w:space="0" w:color="auto"/>
                <w:right w:val="none" w:sz="0" w:space="0" w:color="auto"/>
              </w:divBdr>
              <w:divsChild>
                <w:div w:id="828522837">
                  <w:marLeft w:val="0"/>
                  <w:marRight w:val="0"/>
                  <w:marTop w:val="0"/>
                  <w:marBottom w:val="0"/>
                  <w:divBdr>
                    <w:top w:val="none" w:sz="0" w:space="0" w:color="auto"/>
                    <w:left w:val="none" w:sz="0" w:space="0" w:color="auto"/>
                    <w:bottom w:val="none" w:sz="0" w:space="0" w:color="auto"/>
                    <w:right w:val="none" w:sz="0" w:space="0" w:color="auto"/>
                  </w:divBdr>
                </w:div>
              </w:divsChild>
            </w:div>
            <w:div w:id="713849016">
              <w:marLeft w:val="0"/>
              <w:marRight w:val="0"/>
              <w:marTop w:val="0"/>
              <w:marBottom w:val="0"/>
              <w:divBdr>
                <w:top w:val="none" w:sz="0" w:space="0" w:color="auto"/>
                <w:left w:val="none" w:sz="0" w:space="0" w:color="auto"/>
                <w:bottom w:val="none" w:sz="0" w:space="0" w:color="auto"/>
                <w:right w:val="none" w:sz="0" w:space="0" w:color="auto"/>
              </w:divBdr>
              <w:divsChild>
                <w:div w:id="1417049778">
                  <w:marLeft w:val="0"/>
                  <w:marRight w:val="0"/>
                  <w:marTop w:val="0"/>
                  <w:marBottom w:val="0"/>
                  <w:divBdr>
                    <w:top w:val="none" w:sz="0" w:space="0" w:color="auto"/>
                    <w:left w:val="none" w:sz="0" w:space="0" w:color="auto"/>
                    <w:bottom w:val="none" w:sz="0" w:space="0" w:color="auto"/>
                    <w:right w:val="none" w:sz="0" w:space="0" w:color="auto"/>
                  </w:divBdr>
                </w:div>
              </w:divsChild>
            </w:div>
            <w:div w:id="1385522579">
              <w:marLeft w:val="0"/>
              <w:marRight w:val="0"/>
              <w:marTop w:val="0"/>
              <w:marBottom w:val="0"/>
              <w:divBdr>
                <w:top w:val="none" w:sz="0" w:space="0" w:color="auto"/>
                <w:left w:val="none" w:sz="0" w:space="0" w:color="auto"/>
                <w:bottom w:val="none" w:sz="0" w:space="0" w:color="auto"/>
                <w:right w:val="none" w:sz="0" w:space="0" w:color="auto"/>
              </w:divBdr>
            </w:div>
            <w:div w:id="1372880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77/0734016812467198"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21</Pages>
  <Words>12011</Words>
  <Characters>68468</Characters>
  <Application>Microsoft Office Word</Application>
  <DocSecurity>8</DocSecurity>
  <Lines>570</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73</cp:revision>
  <dcterms:created xsi:type="dcterms:W3CDTF">2022-08-25T16:54:00Z</dcterms:created>
  <dcterms:modified xsi:type="dcterms:W3CDTF">2022-08-26T14:30:00Z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