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0EC7B08B" w:rsidR="000A7622" w:rsidRPr="00C04F25" w:rsidRDefault="00502B17"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F3FC14" w:rsidR="000A7622" w:rsidRPr="00C83B56" w:rsidRDefault="000A7622" w:rsidP="00D14423">
      <w:pPr>
        <w:rPr>
          <w:rFonts w:cstheme="minorHAnsi"/>
          <w:sz w:val="24"/>
          <w:szCs w:val="24"/>
        </w:rPr>
      </w:pPr>
      <w:r w:rsidRPr="00C83B56">
        <w:rPr>
          <w:rFonts w:cstheme="minorHAnsi"/>
          <w:i/>
          <w:sz w:val="24"/>
          <w:szCs w:val="24"/>
          <w:lang w:val="fr-FR"/>
        </w:rPr>
        <w:t>Journal</w:t>
      </w:r>
      <w:r w:rsidR="005C2F6C">
        <w:rPr>
          <w:rFonts w:cstheme="minorHAnsi"/>
          <w:i/>
          <w:sz w:val="24"/>
          <w:szCs w:val="24"/>
          <w:lang w:val="fr-FR"/>
        </w:rPr>
        <w:t xml:space="preserve"> of </w:t>
      </w:r>
      <w:proofErr w:type="spellStart"/>
      <w:r w:rsidR="005C2F6C">
        <w:rPr>
          <w:rFonts w:cstheme="minorHAnsi"/>
          <w:i/>
          <w:sz w:val="24"/>
          <w:szCs w:val="24"/>
          <w:lang w:val="fr-FR"/>
        </w:rPr>
        <w:t>Applied</w:t>
      </w:r>
      <w:proofErr w:type="spellEnd"/>
      <w:r w:rsidR="005C2F6C">
        <w:rPr>
          <w:rFonts w:cstheme="minorHAnsi"/>
          <w:i/>
          <w:sz w:val="24"/>
          <w:szCs w:val="24"/>
          <w:lang w:val="fr-FR"/>
        </w:rPr>
        <w:t xml:space="preserve"> </w:t>
      </w:r>
      <w:proofErr w:type="spellStart"/>
      <w:r w:rsidR="005C2F6C">
        <w:rPr>
          <w:rFonts w:cstheme="minorHAnsi"/>
          <w:i/>
          <w:sz w:val="24"/>
          <w:szCs w:val="24"/>
          <w:lang w:val="fr-FR"/>
        </w:rPr>
        <w:t>Microbiology</w:t>
      </w:r>
      <w:proofErr w:type="spellEnd"/>
      <w:r w:rsidRPr="00C83B56">
        <w:rPr>
          <w:rFonts w:cstheme="minorHAnsi"/>
          <w:sz w:val="24"/>
          <w:szCs w:val="24"/>
          <w:lang w:val="fr-FR"/>
        </w:rPr>
        <w:t xml:space="preserve">, Vol. </w:t>
      </w:r>
      <w:r w:rsidR="005C2F6C">
        <w:rPr>
          <w:rFonts w:cstheme="minorHAnsi"/>
          <w:sz w:val="24"/>
          <w:szCs w:val="24"/>
          <w:lang w:val="fr-FR"/>
        </w:rPr>
        <w:t>126</w:t>
      </w:r>
      <w:r w:rsidRPr="00C83B56">
        <w:rPr>
          <w:rFonts w:cstheme="minorHAnsi"/>
          <w:sz w:val="24"/>
          <w:szCs w:val="24"/>
          <w:lang w:val="fr-FR"/>
        </w:rPr>
        <w:t xml:space="preserve">, No. </w:t>
      </w:r>
      <w:r w:rsidR="005C2F6C">
        <w:rPr>
          <w:rFonts w:cstheme="minorHAnsi"/>
          <w:sz w:val="24"/>
          <w:szCs w:val="24"/>
          <w:lang w:val="fr-FR"/>
        </w:rPr>
        <w:t>3</w:t>
      </w:r>
      <w:r w:rsidRPr="00C83B56">
        <w:rPr>
          <w:rFonts w:cstheme="minorHAnsi"/>
          <w:sz w:val="24"/>
          <w:szCs w:val="24"/>
          <w:lang w:val="fr-FR"/>
        </w:rPr>
        <w:t xml:space="preserve"> (</w:t>
      </w:r>
      <w:r w:rsidR="005C2F6C">
        <w:rPr>
          <w:rFonts w:cstheme="minorHAnsi"/>
          <w:sz w:val="24"/>
          <w:szCs w:val="24"/>
          <w:lang w:val="fr-FR"/>
        </w:rPr>
        <w:t>March 2019</w:t>
      </w:r>
      <w:proofErr w:type="gramStart"/>
      <w:r w:rsidRPr="00C83B56">
        <w:rPr>
          <w:rFonts w:cstheme="minorHAnsi"/>
          <w:sz w:val="24"/>
          <w:szCs w:val="24"/>
          <w:lang w:val="fr-FR"/>
        </w:rPr>
        <w:t>):</w:t>
      </w:r>
      <w:proofErr w:type="gramEnd"/>
      <w:r w:rsidRPr="00C83B56">
        <w:rPr>
          <w:rFonts w:cstheme="minorHAnsi"/>
          <w:sz w:val="24"/>
          <w:szCs w:val="24"/>
          <w:lang w:val="fr-FR"/>
        </w:rPr>
        <w:t xml:space="preserve"> </w:t>
      </w:r>
      <w:r w:rsidR="005C2F6C">
        <w:rPr>
          <w:rFonts w:cstheme="minorHAnsi"/>
          <w:sz w:val="24"/>
          <w:szCs w:val="24"/>
          <w:lang w:val="fr-FR"/>
        </w:rPr>
        <w:t>725-763</w:t>
      </w:r>
      <w:r w:rsidRPr="00C83B56">
        <w:rPr>
          <w:rFonts w:cstheme="minorHAnsi"/>
          <w:sz w:val="24"/>
          <w:szCs w:val="24"/>
          <w:lang w:val="fr-FR"/>
        </w:rPr>
        <w:t xml:space="preserve">. </w:t>
      </w:r>
      <w:hyperlink r:id="rId8" w:history="1">
        <w:r w:rsidRPr="00C83B56">
          <w:rPr>
            <w:rFonts w:cstheme="minorHAnsi"/>
            <w:color w:val="0563C1" w:themeColor="hyperlink"/>
            <w:sz w:val="24"/>
            <w:szCs w:val="24"/>
            <w:u w:val="single"/>
            <w:lang w:val="fr-FR"/>
          </w:rPr>
          <w:t>DOI</w:t>
        </w:r>
      </w:hyperlink>
      <w:r w:rsidRPr="00C83B56">
        <w:rPr>
          <w:rFonts w:cstheme="minorHAnsi"/>
          <w:sz w:val="24"/>
          <w:szCs w:val="24"/>
          <w:lang w:val="fr-FR"/>
        </w:rPr>
        <w:t xml:space="preserve">. </w:t>
      </w:r>
      <w:r w:rsidRPr="00C83B56">
        <w:rPr>
          <w:rFonts w:cstheme="minorHAnsi"/>
          <w:sz w:val="24"/>
          <w:szCs w:val="24"/>
        </w:rPr>
        <w:t xml:space="preserve">This article is © </w:t>
      </w:r>
      <w:r w:rsidR="009F0737">
        <w:rPr>
          <w:rFonts w:cstheme="minorHAnsi"/>
          <w:sz w:val="24"/>
          <w:szCs w:val="24"/>
        </w:rPr>
        <w:t>Wiley</w:t>
      </w:r>
      <w:r w:rsidRPr="00C83B56">
        <w:rPr>
          <w:rFonts w:cstheme="minorHAnsi"/>
          <w:sz w:val="24"/>
          <w:szCs w:val="24"/>
        </w:rPr>
        <w:t xml:space="preserve"> and permission has been granted for this version to appear in </w:t>
      </w:r>
      <w:hyperlink r:id="rId9" w:history="1">
        <w:r w:rsidRPr="00C83B56">
          <w:rPr>
            <w:rFonts w:cstheme="minorHAnsi"/>
            <w:color w:val="0563C1" w:themeColor="hyperlink"/>
            <w:sz w:val="24"/>
            <w:szCs w:val="24"/>
            <w:u w:val="single"/>
          </w:rPr>
          <w:t>e-Publications@Marquette</w:t>
        </w:r>
      </w:hyperlink>
      <w:r w:rsidRPr="00C83B56">
        <w:rPr>
          <w:rFonts w:cstheme="minorHAnsi"/>
          <w:sz w:val="24"/>
          <w:szCs w:val="24"/>
        </w:rPr>
        <w:t xml:space="preserve">. </w:t>
      </w:r>
      <w:r w:rsidR="009F0737">
        <w:rPr>
          <w:rFonts w:cstheme="minorHAnsi"/>
          <w:sz w:val="24"/>
          <w:szCs w:val="24"/>
        </w:rPr>
        <w:t>Wiley</w:t>
      </w:r>
      <w:r w:rsidRPr="00C83B56">
        <w:rPr>
          <w:rFonts w:cstheme="minorHAnsi"/>
          <w:sz w:val="24"/>
          <w:szCs w:val="24"/>
        </w:rPr>
        <w:t xml:space="preserve"> does not grant permission for this article to be further copied/distributed or hosted elsewhere without the express permission from </w:t>
      </w:r>
      <w:r w:rsidR="009F0737">
        <w:rPr>
          <w:rFonts w:cstheme="minorHAnsi"/>
          <w:sz w:val="24"/>
          <w:szCs w:val="24"/>
        </w:rPr>
        <w:t>Wiley</w:t>
      </w:r>
      <w:r w:rsidRPr="00C83B56">
        <w:rPr>
          <w:rFonts w:cstheme="minorHAnsi"/>
          <w:sz w:val="24"/>
          <w:szCs w:val="24"/>
        </w:rPr>
        <w:t xml:space="preserve">. </w:t>
      </w:r>
    </w:p>
    <w:bookmarkEnd w:id="1"/>
    <w:p w14:paraId="5BC0075B" w14:textId="6B7EB0F4" w:rsidR="000A7622" w:rsidRPr="00CF3B82" w:rsidRDefault="000A7622" w:rsidP="00CF3B82">
      <w:pPr>
        <w:rPr>
          <w:rFonts w:cstheme="minorHAnsi"/>
          <w:sz w:val="24"/>
          <w:szCs w:val="24"/>
        </w:rPr>
      </w:pPr>
    </w:p>
    <w:p w14:paraId="68070DFE" w14:textId="2658F925" w:rsidR="00CF3B82" w:rsidRDefault="00CF3B82" w:rsidP="00CF3B82">
      <w:pPr>
        <w:pStyle w:val="Title"/>
      </w:pPr>
      <w:r w:rsidRPr="00CF3B82">
        <w:t>I</w:t>
      </w:r>
      <w:r w:rsidRPr="00CF3B82">
        <w:t xml:space="preserve">nactivation of the </w:t>
      </w:r>
      <w:r w:rsidRPr="00CF3B82">
        <w:t>Bacterial Pathogens </w:t>
      </w:r>
      <w:r w:rsidRPr="00CF3B82">
        <w:rPr>
          <w:i/>
          <w:iCs/>
        </w:rPr>
        <w:t xml:space="preserve">Staphylococcus </w:t>
      </w:r>
      <w:proofErr w:type="spellStart"/>
      <w:r w:rsidRPr="00CF3B82">
        <w:rPr>
          <w:i/>
          <w:iCs/>
        </w:rPr>
        <w:t>pseudintermedius</w:t>
      </w:r>
      <w:proofErr w:type="spellEnd"/>
      <w:r w:rsidRPr="00CF3B82">
        <w:t> and </w:t>
      </w:r>
      <w:r w:rsidRPr="00CF3B82">
        <w:rPr>
          <w:i/>
          <w:iCs/>
        </w:rPr>
        <w:t xml:space="preserve">Acinetobacter </w:t>
      </w:r>
      <w:proofErr w:type="spellStart"/>
      <w:r w:rsidRPr="00CF3B82">
        <w:rPr>
          <w:i/>
          <w:iCs/>
        </w:rPr>
        <w:t>baumannii</w:t>
      </w:r>
      <w:proofErr w:type="spellEnd"/>
      <w:r w:rsidRPr="00CF3B82">
        <w:t xml:space="preserve"> by </w:t>
      </w:r>
      <w:r w:rsidRPr="00CF3B82">
        <w:t>Butanoic Acid</w:t>
      </w:r>
    </w:p>
    <w:p w14:paraId="22931AC6" w14:textId="77777777" w:rsidR="00CF3B82" w:rsidRPr="00CF3B82" w:rsidRDefault="00CF3B82" w:rsidP="00CF3B82"/>
    <w:p w14:paraId="30209E17" w14:textId="77777777" w:rsidR="00506C6F" w:rsidRPr="00E571F5" w:rsidRDefault="00CF3B82" w:rsidP="00E571F5">
      <w:pPr>
        <w:pStyle w:val="NoSpacing"/>
        <w:rPr>
          <w:sz w:val="32"/>
          <w:szCs w:val="32"/>
        </w:rPr>
      </w:pPr>
      <w:r w:rsidRPr="00E571F5">
        <w:rPr>
          <w:rStyle w:val="Hyperlink"/>
          <w:color w:val="auto"/>
          <w:sz w:val="32"/>
          <w:szCs w:val="32"/>
          <w:u w:val="none"/>
        </w:rPr>
        <w:t>G.M. Kennedy</w:t>
      </w:r>
    </w:p>
    <w:p w14:paraId="185F5E4F" w14:textId="05EA032A" w:rsidR="00506C6F" w:rsidRPr="00E571F5" w:rsidRDefault="00D45784" w:rsidP="00E571F5">
      <w:pPr>
        <w:pStyle w:val="NoSpacing"/>
        <w:rPr>
          <w:sz w:val="24"/>
          <w:szCs w:val="24"/>
        </w:rPr>
      </w:pPr>
      <w:r w:rsidRPr="00E571F5">
        <w:rPr>
          <w:sz w:val="24"/>
          <w:szCs w:val="24"/>
        </w:rPr>
        <w:t>Department of Chemistry and Life Science, United States Military Academy, West Point, NY</w:t>
      </w:r>
    </w:p>
    <w:p w14:paraId="2F97A976" w14:textId="77777777" w:rsidR="00506C6F" w:rsidRPr="00E571F5" w:rsidRDefault="00CF3B82" w:rsidP="00E571F5">
      <w:pPr>
        <w:pStyle w:val="NoSpacing"/>
        <w:rPr>
          <w:sz w:val="32"/>
          <w:szCs w:val="32"/>
        </w:rPr>
      </w:pPr>
      <w:r w:rsidRPr="00E571F5">
        <w:rPr>
          <w:rStyle w:val="Hyperlink"/>
          <w:color w:val="auto"/>
          <w:sz w:val="32"/>
          <w:szCs w:val="32"/>
          <w:u w:val="none"/>
        </w:rPr>
        <w:t>M.Y. Min</w:t>
      </w:r>
    </w:p>
    <w:p w14:paraId="6AE06392" w14:textId="563C3621" w:rsidR="00506C6F" w:rsidRPr="00E571F5" w:rsidRDefault="00D45784" w:rsidP="00E571F5">
      <w:pPr>
        <w:pStyle w:val="NoSpacing"/>
        <w:rPr>
          <w:sz w:val="24"/>
          <w:szCs w:val="24"/>
        </w:rPr>
      </w:pPr>
      <w:r w:rsidRPr="00E571F5">
        <w:rPr>
          <w:sz w:val="24"/>
          <w:szCs w:val="24"/>
        </w:rPr>
        <w:t>Department of Chemistry and Life Science, United States Military Academy, West Point, NY</w:t>
      </w:r>
    </w:p>
    <w:p w14:paraId="233888C4" w14:textId="77777777" w:rsidR="00506C6F" w:rsidRPr="00E571F5" w:rsidRDefault="00CF3B82" w:rsidP="00E571F5">
      <w:pPr>
        <w:pStyle w:val="NoSpacing"/>
        <w:rPr>
          <w:sz w:val="32"/>
          <w:szCs w:val="32"/>
        </w:rPr>
      </w:pPr>
      <w:r w:rsidRPr="00E571F5">
        <w:rPr>
          <w:rStyle w:val="Hyperlink"/>
          <w:color w:val="auto"/>
          <w:sz w:val="32"/>
          <w:szCs w:val="32"/>
          <w:u w:val="none"/>
        </w:rPr>
        <w:t>J.F. Fitzgerald</w:t>
      </w:r>
    </w:p>
    <w:p w14:paraId="1966B784" w14:textId="4B9841B0" w:rsidR="00506C6F" w:rsidRPr="00E571F5" w:rsidRDefault="00D45784" w:rsidP="00E571F5">
      <w:pPr>
        <w:pStyle w:val="NoSpacing"/>
        <w:rPr>
          <w:sz w:val="24"/>
          <w:szCs w:val="24"/>
        </w:rPr>
      </w:pPr>
      <w:r w:rsidRPr="00E571F5">
        <w:rPr>
          <w:sz w:val="24"/>
          <w:szCs w:val="24"/>
        </w:rPr>
        <w:t>Department of Chemistry and Life Science, United States Military Academy, West Point, NY</w:t>
      </w:r>
    </w:p>
    <w:p w14:paraId="7703B38F" w14:textId="77777777" w:rsidR="00506C6F" w:rsidRPr="00E571F5" w:rsidRDefault="00CF3B82" w:rsidP="00E571F5">
      <w:pPr>
        <w:pStyle w:val="NoSpacing"/>
        <w:rPr>
          <w:sz w:val="32"/>
          <w:szCs w:val="32"/>
        </w:rPr>
      </w:pPr>
      <w:r w:rsidRPr="00E571F5">
        <w:rPr>
          <w:rStyle w:val="Hyperlink"/>
          <w:color w:val="auto"/>
          <w:sz w:val="32"/>
          <w:szCs w:val="32"/>
          <w:u w:val="none"/>
        </w:rPr>
        <w:t>M.T. Nguyen</w:t>
      </w:r>
    </w:p>
    <w:p w14:paraId="49D52EEC" w14:textId="51F7B5B6" w:rsidR="00506C6F" w:rsidRPr="00E571F5" w:rsidRDefault="00D45784" w:rsidP="00E571F5">
      <w:pPr>
        <w:pStyle w:val="NoSpacing"/>
        <w:rPr>
          <w:sz w:val="24"/>
          <w:szCs w:val="24"/>
        </w:rPr>
      </w:pPr>
      <w:r w:rsidRPr="00E571F5">
        <w:rPr>
          <w:sz w:val="24"/>
          <w:szCs w:val="24"/>
        </w:rPr>
        <w:t>Department of Chemistry and Life Science, United States Military Academy, West Point, NY</w:t>
      </w:r>
    </w:p>
    <w:p w14:paraId="78B7EC96" w14:textId="77777777" w:rsidR="00506C6F" w:rsidRPr="00E571F5" w:rsidRDefault="00CF3B82" w:rsidP="00E571F5">
      <w:pPr>
        <w:pStyle w:val="NoSpacing"/>
        <w:rPr>
          <w:sz w:val="32"/>
          <w:szCs w:val="32"/>
        </w:rPr>
      </w:pPr>
      <w:r w:rsidRPr="00E571F5">
        <w:rPr>
          <w:rStyle w:val="Hyperlink"/>
          <w:color w:val="auto"/>
          <w:sz w:val="32"/>
          <w:szCs w:val="32"/>
          <w:u w:val="none"/>
        </w:rPr>
        <w:t>S.L. Schultz</w:t>
      </w:r>
    </w:p>
    <w:p w14:paraId="5DDFBE09" w14:textId="719E57EC" w:rsidR="00506C6F" w:rsidRPr="00E571F5" w:rsidRDefault="00FF6714" w:rsidP="00E571F5">
      <w:pPr>
        <w:pStyle w:val="NoSpacing"/>
        <w:rPr>
          <w:sz w:val="24"/>
          <w:szCs w:val="24"/>
        </w:rPr>
      </w:pPr>
      <w:r w:rsidRPr="00E571F5">
        <w:rPr>
          <w:sz w:val="24"/>
          <w:szCs w:val="24"/>
        </w:rPr>
        <w:t>Department of Biology, University of New England, Biddeford, M</w:t>
      </w:r>
    </w:p>
    <w:p w14:paraId="7170285B" w14:textId="77777777" w:rsidR="00506C6F" w:rsidRPr="00E571F5" w:rsidRDefault="00CF3B82" w:rsidP="00E571F5">
      <w:pPr>
        <w:pStyle w:val="NoSpacing"/>
        <w:rPr>
          <w:sz w:val="32"/>
          <w:szCs w:val="32"/>
        </w:rPr>
      </w:pPr>
      <w:r w:rsidRPr="00E571F5">
        <w:rPr>
          <w:rStyle w:val="Hyperlink"/>
          <w:color w:val="auto"/>
          <w:sz w:val="32"/>
          <w:szCs w:val="32"/>
          <w:u w:val="none"/>
        </w:rPr>
        <w:t>M.T. Crum</w:t>
      </w:r>
    </w:p>
    <w:p w14:paraId="1AF88445" w14:textId="40CD8E9F" w:rsidR="00506C6F" w:rsidRPr="00E571F5" w:rsidRDefault="00FF6714" w:rsidP="00E571F5">
      <w:pPr>
        <w:pStyle w:val="NoSpacing"/>
        <w:rPr>
          <w:sz w:val="24"/>
          <w:szCs w:val="24"/>
        </w:rPr>
      </w:pPr>
      <w:r w:rsidRPr="00E571F5">
        <w:rPr>
          <w:sz w:val="24"/>
          <w:szCs w:val="24"/>
        </w:rPr>
        <w:t>Department of Chemistry and Life Science, United States Military Academy, West Point, NY</w:t>
      </w:r>
    </w:p>
    <w:p w14:paraId="08B2A095" w14:textId="77777777" w:rsidR="00506C6F" w:rsidRPr="00E571F5" w:rsidRDefault="00CF3B82" w:rsidP="00E571F5">
      <w:pPr>
        <w:pStyle w:val="NoSpacing"/>
        <w:rPr>
          <w:sz w:val="32"/>
          <w:szCs w:val="32"/>
        </w:rPr>
      </w:pPr>
      <w:r w:rsidRPr="00E571F5">
        <w:rPr>
          <w:rStyle w:val="Hyperlink"/>
          <w:color w:val="auto"/>
          <w:sz w:val="32"/>
          <w:szCs w:val="32"/>
          <w:u w:val="none"/>
        </w:rPr>
        <w:t>J.A. Starke</w:t>
      </w:r>
    </w:p>
    <w:p w14:paraId="3E332EE1" w14:textId="4EFD9AF8" w:rsidR="00506C6F" w:rsidRPr="00E571F5" w:rsidRDefault="00FF6714" w:rsidP="00E571F5">
      <w:pPr>
        <w:pStyle w:val="NoSpacing"/>
        <w:rPr>
          <w:sz w:val="24"/>
          <w:szCs w:val="24"/>
        </w:rPr>
      </w:pPr>
      <w:r w:rsidRPr="00E571F5">
        <w:rPr>
          <w:sz w:val="24"/>
          <w:szCs w:val="24"/>
        </w:rPr>
        <w:t>Department of Geography and Environmental Engineering, United States Military Academy, West Point, NY</w:t>
      </w:r>
    </w:p>
    <w:p w14:paraId="70155A2C" w14:textId="77777777" w:rsidR="00506C6F" w:rsidRPr="00E571F5" w:rsidRDefault="00CF3B82" w:rsidP="00E571F5">
      <w:pPr>
        <w:pStyle w:val="NoSpacing"/>
        <w:rPr>
          <w:sz w:val="32"/>
          <w:szCs w:val="32"/>
        </w:rPr>
      </w:pPr>
      <w:r w:rsidRPr="00E571F5">
        <w:rPr>
          <w:rStyle w:val="Hyperlink"/>
          <w:color w:val="auto"/>
          <w:sz w:val="32"/>
          <w:szCs w:val="32"/>
          <w:u w:val="none"/>
        </w:rPr>
        <w:t>M.A. Butkus</w:t>
      </w:r>
    </w:p>
    <w:p w14:paraId="3F82B89A" w14:textId="1777AFA4" w:rsidR="00506C6F" w:rsidRPr="00E571F5" w:rsidRDefault="00E571F5" w:rsidP="00E571F5">
      <w:pPr>
        <w:pStyle w:val="NoSpacing"/>
        <w:rPr>
          <w:sz w:val="24"/>
          <w:szCs w:val="24"/>
        </w:rPr>
      </w:pPr>
      <w:r w:rsidRPr="00E571F5">
        <w:rPr>
          <w:sz w:val="24"/>
          <w:szCs w:val="24"/>
        </w:rPr>
        <w:t>Department of Geography and Environmental Engineering, United States Military Academy, West Point, NY</w:t>
      </w:r>
    </w:p>
    <w:p w14:paraId="06DC3CB2" w14:textId="77777777" w:rsidR="00506C6F" w:rsidRPr="00E571F5" w:rsidRDefault="00CF3B82" w:rsidP="00E571F5">
      <w:pPr>
        <w:pStyle w:val="NoSpacing"/>
        <w:rPr>
          <w:sz w:val="32"/>
          <w:szCs w:val="32"/>
        </w:rPr>
      </w:pPr>
      <w:r w:rsidRPr="00E571F5">
        <w:rPr>
          <w:rStyle w:val="Hyperlink"/>
          <w:color w:val="auto"/>
          <w:sz w:val="32"/>
          <w:szCs w:val="32"/>
          <w:u w:val="none"/>
        </w:rPr>
        <w:t>D.D. Bowman</w:t>
      </w:r>
    </w:p>
    <w:p w14:paraId="0E1C86AB" w14:textId="0F16D79E" w:rsidR="00506C6F" w:rsidRPr="00E571F5" w:rsidRDefault="00E571F5" w:rsidP="00E571F5">
      <w:pPr>
        <w:pStyle w:val="NoSpacing"/>
        <w:rPr>
          <w:sz w:val="24"/>
          <w:szCs w:val="24"/>
        </w:rPr>
      </w:pPr>
      <w:r w:rsidRPr="00E571F5">
        <w:rPr>
          <w:sz w:val="24"/>
          <w:szCs w:val="24"/>
        </w:rPr>
        <w:t>Department of Microbiology and Immunology, Cornell University College of Veterinary Medicine, Ithaca, NY</w:t>
      </w:r>
    </w:p>
    <w:p w14:paraId="71B0AB21" w14:textId="4A11209A" w:rsidR="00CF3B82" w:rsidRPr="00E571F5" w:rsidRDefault="00CF3B82" w:rsidP="00E571F5">
      <w:pPr>
        <w:pStyle w:val="NoSpacing"/>
        <w:rPr>
          <w:sz w:val="32"/>
          <w:szCs w:val="32"/>
        </w:rPr>
      </w:pPr>
      <w:r w:rsidRPr="00E571F5">
        <w:rPr>
          <w:rStyle w:val="Hyperlink"/>
          <w:color w:val="auto"/>
          <w:sz w:val="32"/>
          <w:szCs w:val="32"/>
          <w:u w:val="none"/>
        </w:rPr>
        <w:t xml:space="preserve">M.P. </w:t>
      </w:r>
      <w:proofErr w:type="spellStart"/>
      <w:r w:rsidRPr="00E571F5">
        <w:rPr>
          <w:rStyle w:val="Hyperlink"/>
          <w:color w:val="auto"/>
          <w:sz w:val="32"/>
          <w:szCs w:val="32"/>
          <w:u w:val="none"/>
        </w:rPr>
        <w:t>Labare</w:t>
      </w:r>
      <w:proofErr w:type="spellEnd"/>
    </w:p>
    <w:p w14:paraId="48C2F914" w14:textId="02692699" w:rsidR="00506C6F" w:rsidRPr="00E571F5" w:rsidRDefault="00E571F5" w:rsidP="00E571F5">
      <w:pPr>
        <w:pStyle w:val="NoSpacing"/>
        <w:rPr>
          <w:sz w:val="24"/>
          <w:szCs w:val="24"/>
        </w:rPr>
      </w:pPr>
      <w:r w:rsidRPr="00E571F5">
        <w:rPr>
          <w:sz w:val="24"/>
          <w:szCs w:val="24"/>
        </w:rPr>
        <w:t>Department of Chemistry and Life Science, United States Military Academy, West Point, NY</w:t>
      </w:r>
    </w:p>
    <w:p w14:paraId="22A5C27C" w14:textId="77777777" w:rsidR="00506C6F" w:rsidRDefault="00506C6F" w:rsidP="00CF3B82">
      <w:pPr>
        <w:rPr>
          <w:rFonts w:cstheme="minorHAnsi"/>
          <w:sz w:val="24"/>
          <w:szCs w:val="24"/>
        </w:rPr>
      </w:pPr>
    </w:p>
    <w:p w14:paraId="1EA7734F" w14:textId="77777777" w:rsidR="003951F5" w:rsidRPr="003951F5" w:rsidRDefault="003951F5" w:rsidP="00D43655">
      <w:pPr>
        <w:pStyle w:val="Heading1"/>
      </w:pPr>
      <w:r w:rsidRPr="003951F5">
        <w:t>Abstract</w:t>
      </w:r>
    </w:p>
    <w:p w14:paraId="18FF5A65" w14:textId="77777777" w:rsidR="003951F5" w:rsidRPr="003951F5" w:rsidRDefault="003951F5" w:rsidP="00D43655">
      <w:pPr>
        <w:pStyle w:val="Heading2"/>
      </w:pPr>
      <w:r w:rsidRPr="003951F5">
        <w:t>Aims</w:t>
      </w:r>
    </w:p>
    <w:p w14:paraId="173B8D1D" w14:textId="77777777" w:rsidR="003951F5" w:rsidRPr="003951F5" w:rsidRDefault="003951F5" w:rsidP="003951F5">
      <w:pPr>
        <w:rPr>
          <w:rFonts w:cstheme="minorHAnsi"/>
          <w:sz w:val="24"/>
          <w:szCs w:val="24"/>
        </w:rPr>
      </w:pPr>
      <w:r w:rsidRPr="003951F5">
        <w:rPr>
          <w:rFonts w:cstheme="minorHAnsi"/>
          <w:sz w:val="24"/>
          <w:szCs w:val="24"/>
        </w:rPr>
        <w:t>This study was performed to evaluate the efficacy of butanoic acid against bacterial pathogens including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w:t>
      </w:r>
    </w:p>
    <w:p w14:paraId="62A162C1" w14:textId="77777777" w:rsidR="003951F5" w:rsidRPr="003951F5" w:rsidRDefault="003951F5" w:rsidP="00D43655">
      <w:pPr>
        <w:pStyle w:val="Heading2"/>
      </w:pPr>
      <w:r w:rsidRPr="003951F5">
        <w:t>Methods and Results</w:t>
      </w:r>
    </w:p>
    <w:p w14:paraId="6456826B" w14:textId="77777777" w:rsidR="003951F5" w:rsidRPr="003951F5" w:rsidRDefault="003951F5" w:rsidP="003951F5">
      <w:pPr>
        <w:rPr>
          <w:rFonts w:cstheme="minorHAnsi"/>
          <w:sz w:val="24"/>
          <w:szCs w:val="24"/>
        </w:rPr>
      </w:pPr>
      <w:r w:rsidRPr="003951F5">
        <w:rPr>
          <w:rFonts w:cstheme="minorHAnsi"/>
          <w:sz w:val="24"/>
          <w:szCs w:val="24"/>
        </w:rPr>
        <w:t>Vegetative bacteria were exposed to butanoic acid </w:t>
      </w:r>
      <w:r w:rsidRPr="003951F5">
        <w:rPr>
          <w:rFonts w:cstheme="minorHAnsi"/>
          <w:i/>
          <w:iCs/>
          <w:sz w:val="24"/>
          <w:szCs w:val="24"/>
        </w:rPr>
        <w:t>in vitro</w:t>
      </w:r>
      <w:r w:rsidRPr="003951F5">
        <w:rPr>
          <w:rFonts w:cstheme="minorHAnsi"/>
          <w:sz w:val="24"/>
          <w:szCs w:val="24"/>
        </w:rPr>
        <w:t xml:space="preserve"> and log reduction was quantified using viable count assays. The maximum (8 and 9) log inactivation </w:t>
      </w:r>
      <w:proofErr w:type="gramStart"/>
      <w:r w:rsidRPr="003951F5">
        <w:rPr>
          <w:rFonts w:cstheme="minorHAnsi"/>
          <w:sz w:val="24"/>
          <w:szCs w:val="24"/>
        </w:rPr>
        <w:t>was</w:t>
      </w:r>
      <w:proofErr w:type="gramEnd"/>
      <w:r w:rsidRPr="003951F5">
        <w:rPr>
          <w:rFonts w:cstheme="minorHAnsi"/>
          <w:sz w:val="24"/>
          <w:szCs w:val="24"/>
        </w:rPr>
        <w:t xml:space="preserve"> determined by qualitatively assaying for growth/no-growth after a 48-h incubation (37°C). Membrane integrity after exposure to butanoic acid was determined by propidium iodide staining, scanning electron microscopy, membrane depolarization and inductively coupled plasma analysis. Cytosolic pH was measured by 5-(6</w:t>
      </w:r>
      <w:proofErr w:type="gramStart"/>
      <w:r w:rsidRPr="003951F5">
        <w:rPr>
          <w:rFonts w:cstheme="minorHAnsi"/>
          <w:sz w:val="24"/>
          <w:szCs w:val="24"/>
        </w:rPr>
        <w:t>-)</w:t>
      </w:r>
      <w:proofErr w:type="spellStart"/>
      <w:r w:rsidRPr="003951F5">
        <w:rPr>
          <w:rFonts w:cstheme="minorHAnsi"/>
          <w:sz w:val="24"/>
          <w:szCs w:val="24"/>
        </w:rPr>
        <w:t>carboxyfluorescein</w:t>
      </w:r>
      <w:proofErr w:type="spellEnd"/>
      <w:proofErr w:type="gramEnd"/>
      <w:r w:rsidRPr="003951F5">
        <w:rPr>
          <w:rFonts w:cstheme="minorHAnsi"/>
          <w:sz w:val="24"/>
          <w:szCs w:val="24"/>
        </w:rPr>
        <w:t xml:space="preserve"> </w:t>
      </w:r>
      <w:proofErr w:type="spellStart"/>
      <w:r w:rsidRPr="003951F5">
        <w:rPr>
          <w:rFonts w:cstheme="minorHAnsi"/>
          <w:sz w:val="24"/>
          <w:szCs w:val="24"/>
        </w:rPr>
        <w:t>succinimidyl</w:t>
      </w:r>
      <w:proofErr w:type="spellEnd"/>
      <w:r w:rsidRPr="003951F5">
        <w:rPr>
          <w:rFonts w:cstheme="minorHAnsi"/>
          <w:sz w:val="24"/>
          <w:szCs w:val="24"/>
        </w:rPr>
        <w:t xml:space="preserve"> ester.</w:t>
      </w:r>
    </w:p>
    <w:p w14:paraId="65D629D2" w14:textId="77777777" w:rsidR="003951F5" w:rsidRPr="003951F5" w:rsidRDefault="003951F5" w:rsidP="00D43655">
      <w:pPr>
        <w:pStyle w:val="Heading2"/>
      </w:pPr>
      <w:r w:rsidRPr="003951F5">
        <w:t>Conclusions</w:t>
      </w:r>
    </w:p>
    <w:p w14:paraId="640F4D28" w14:textId="77777777" w:rsidR="003951F5" w:rsidRPr="003951F5" w:rsidRDefault="003951F5" w:rsidP="003951F5">
      <w:pPr>
        <w:rPr>
          <w:rFonts w:cstheme="minorHAnsi"/>
          <w:sz w:val="24"/>
          <w:szCs w:val="24"/>
        </w:rPr>
      </w:pPr>
      <w:r w:rsidRPr="003951F5">
        <w:rPr>
          <w:rFonts w:cstheme="minorHAnsi"/>
          <w:sz w:val="24"/>
          <w:szCs w:val="24"/>
        </w:rPr>
        <w:t>Inhibitory concentrations of butanoic acid ranged between 11 and 21 mmol l</w:t>
      </w:r>
      <w:r w:rsidRPr="003951F5">
        <w:rPr>
          <w:rFonts w:cstheme="minorHAnsi"/>
          <w:sz w:val="24"/>
          <w:szCs w:val="24"/>
          <w:vertAlign w:val="superscript"/>
        </w:rPr>
        <w:t>−1</w:t>
      </w:r>
      <w:r w:rsidRPr="003951F5">
        <w:rPr>
          <w:rFonts w:cstheme="minorHAnsi"/>
          <w:sz w:val="24"/>
          <w:szCs w:val="24"/>
        </w:rPr>
        <w:t> for Gram-positive and Gram-negative species tested. The maximum log reduction of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was achieved with a 10-s exposure of 0·50 mol l</w:t>
      </w:r>
      <w:r w:rsidRPr="003951F5">
        <w:rPr>
          <w:rFonts w:cstheme="minorHAnsi"/>
          <w:sz w:val="24"/>
          <w:szCs w:val="24"/>
          <w:vertAlign w:val="superscript"/>
        </w:rPr>
        <w:t>−1</w:t>
      </w:r>
      <w:r w:rsidRPr="003951F5">
        <w:rPr>
          <w:rFonts w:cstheme="minorHAnsi"/>
          <w:sz w:val="24"/>
          <w:szCs w:val="24"/>
        </w:rPr>
        <w:t> of butanoic acid</w:t>
      </w:r>
      <w:r w:rsidRPr="003951F5">
        <w:rPr>
          <w:rFonts w:cstheme="minorHAnsi"/>
          <w:i/>
          <w:iCs/>
          <w:sz w:val="24"/>
          <w:szCs w:val="24"/>
        </w:rPr>
        <w:t xml:space="preserve">. Staphylococcus </w:t>
      </w:r>
      <w:proofErr w:type="spellStart"/>
      <w:r w:rsidRPr="003951F5">
        <w:rPr>
          <w:rFonts w:cstheme="minorHAnsi"/>
          <w:i/>
          <w:iCs/>
          <w:sz w:val="24"/>
          <w:szCs w:val="24"/>
        </w:rPr>
        <w:t>pseudintermedius</w:t>
      </w:r>
      <w:proofErr w:type="spellEnd"/>
      <w:r w:rsidRPr="003951F5">
        <w:rPr>
          <w:rFonts w:cstheme="minorHAnsi"/>
          <w:sz w:val="24"/>
          <w:szCs w:val="24"/>
        </w:rPr>
        <w:t> required 0·40 mol l</w:t>
      </w:r>
      <w:r w:rsidRPr="003951F5">
        <w:rPr>
          <w:rFonts w:cstheme="minorHAnsi"/>
          <w:sz w:val="24"/>
          <w:szCs w:val="24"/>
          <w:vertAlign w:val="superscript"/>
        </w:rPr>
        <w:t>−1</w:t>
      </w:r>
      <w:r w:rsidRPr="003951F5">
        <w:rPr>
          <w:rFonts w:cstheme="minorHAnsi"/>
          <w:sz w:val="24"/>
          <w:szCs w:val="24"/>
        </w:rPr>
        <w:t xml:space="preserve"> of butanoic acid to achieve the same level of reduction in the same </w:t>
      </w:r>
      <w:proofErr w:type="gramStart"/>
      <w:r w:rsidRPr="003951F5">
        <w:rPr>
          <w:rFonts w:cstheme="minorHAnsi"/>
          <w:sz w:val="24"/>
          <w:szCs w:val="24"/>
        </w:rPr>
        <w:t>time period</w:t>
      </w:r>
      <w:proofErr w:type="gramEnd"/>
      <w:r w:rsidRPr="003951F5">
        <w:rPr>
          <w:rFonts w:cstheme="minorHAnsi"/>
          <w:sz w:val="24"/>
          <w:szCs w:val="24"/>
        </w:rPr>
        <w:t>. Inactivation was associated with membrane permeability and acidification of the cytosol.</w:t>
      </w:r>
    </w:p>
    <w:p w14:paraId="3A0FD8A4" w14:textId="77777777" w:rsidR="003951F5" w:rsidRPr="003951F5" w:rsidRDefault="003951F5" w:rsidP="00D43655">
      <w:pPr>
        <w:pStyle w:val="Heading2"/>
      </w:pPr>
      <w:r w:rsidRPr="003951F5">
        <w:t>Significance and Impact of the Study</w:t>
      </w:r>
    </w:p>
    <w:p w14:paraId="0CF6CEA4" w14:textId="77777777" w:rsidR="003951F5" w:rsidRPr="003951F5" w:rsidRDefault="003951F5" w:rsidP="003951F5">
      <w:pPr>
        <w:rPr>
          <w:rFonts w:cstheme="minorHAnsi"/>
          <w:sz w:val="24"/>
          <w:szCs w:val="24"/>
        </w:rPr>
      </w:pPr>
      <w:r w:rsidRPr="003951F5">
        <w:rPr>
          <w:rFonts w:cstheme="minorHAnsi"/>
          <w:sz w:val="24"/>
          <w:szCs w:val="24"/>
        </w:rPr>
        <w:t>Antibiotic resistance among bacterial pathogens necessitates the utilization of novel therapeutics for disinfection and biological control. These results may facilitate the development of butanoic acid as an effective agent against a broad-spectrum of antibiotic-resistant bacterial pathogens.</w:t>
      </w:r>
    </w:p>
    <w:p w14:paraId="736232DB" w14:textId="77777777" w:rsidR="003951F5" w:rsidRPr="003951F5" w:rsidRDefault="003951F5" w:rsidP="00D43655">
      <w:pPr>
        <w:pStyle w:val="Heading1"/>
      </w:pPr>
      <w:r w:rsidRPr="003951F5">
        <w:t>Introduction</w:t>
      </w:r>
    </w:p>
    <w:p w14:paraId="1945EE20" w14:textId="118143C6" w:rsidR="003951F5" w:rsidRPr="003951F5" w:rsidRDefault="003951F5" w:rsidP="003951F5">
      <w:pPr>
        <w:rPr>
          <w:rFonts w:cstheme="minorHAnsi"/>
          <w:sz w:val="24"/>
          <w:szCs w:val="24"/>
        </w:rPr>
      </w:pPr>
      <w:r w:rsidRPr="003951F5">
        <w:rPr>
          <w:rFonts w:cstheme="minorHAnsi"/>
          <w:sz w:val="24"/>
          <w:szCs w:val="24"/>
        </w:rPr>
        <w:t>The emergence of antibiotic resistance among bacterial pathogens continues to be a major public health concern. Multidrug-resistant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for example, is categorized within the serious hazard level by the Centers for Disease Control and is of significant risk to public health (</w:t>
      </w:r>
      <w:proofErr w:type="spellStart"/>
      <w:r w:rsidRPr="003951F5">
        <w:rPr>
          <w:rFonts w:cstheme="minorHAnsi"/>
          <w:sz w:val="24"/>
          <w:szCs w:val="24"/>
        </w:rPr>
        <w:t>Dijkshoorn</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2007</w:t>
      </w:r>
      <w:r w:rsidRPr="003951F5">
        <w:rPr>
          <w:rFonts w:cstheme="minorHAnsi"/>
          <w:sz w:val="24"/>
          <w:szCs w:val="24"/>
        </w:rPr>
        <w:t>).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is of particular concern to military personnel due to its prevalence during Operation Iraqi freedom, where it earned the nickname ‘</w:t>
      </w:r>
      <w:proofErr w:type="spellStart"/>
      <w:r w:rsidRPr="003951F5">
        <w:rPr>
          <w:rFonts w:cstheme="minorHAnsi"/>
          <w:sz w:val="24"/>
          <w:szCs w:val="24"/>
        </w:rPr>
        <w:t>Iraqibacter</w:t>
      </w:r>
      <w:proofErr w:type="spellEnd"/>
      <w:r w:rsidRPr="003951F5">
        <w:rPr>
          <w:rFonts w:cstheme="minorHAnsi"/>
          <w:sz w:val="24"/>
          <w:szCs w:val="24"/>
        </w:rPr>
        <w:t>’ (Yun and Murray </w:t>
      </w:r>
      <w:r w:rsidRPr="003951F5">
        <w:rPr>
          <w:rFonts w:cstheme="minorHAnsi"/>
          <w:b/>
          <w:bCs/>
          <w:sz w:val="24"/>
          <w:szCs w:val="24"/>
        </w:rPr>
        <w:t>2016</w:t>
      </w:r>
      <w:r w:rsidRPr="003951F5">
        <w:rPr>
          <w:rFonts w:cstheme="minorHAnsi"/>
          <w:sz w:val="24"/>
          <w:szCs w:val="24"/>
        </w:rPr>
        <w:t>).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is a commensal, opportunistic pathogen of companion animals such as </w:t>
      </w:r>
      <w:proofErr w:type="gramStart"/>
      <w:r w:rsidRPr="003951F5">
        <w:rPr>
          <w:rFonts w:cstheme="minorHAnsi"/>
          <w:i/>
          <w:iCs/>
          <w:sz w:val="24"/>
          <w:szCs w:val="24"/>
        </w:rPr>
        <w:t>Canis</w:t>
      </w:r>
      <w:proofErr w:type="gramEnd"/>
      <w:r w:rsidRPr="003951F5">
        <w:rPr>
          <w:rFonts w:cstheme="minorHAnsi"/>
          <w:i/>
          <w:iCs/>
          <w:sz w:val="24"/>
          <w:szCs w:val="24"/>
        </w:rPr>
        <w:t xml:space="preserve"> lupus </w:t>
      </w:r>
      <w:proofErr w:type="spellStart"/>
      <w:r w:rsidRPr="003951F5">
        <w:rPr>
          <w:rFonts w:cstheme="minorHAnsi"/>
          <w:i/>
          <w:iCs/>
          <w:sz w:val="24"/>
          <w:szCs w:val="24"/>
        </w:rPr>
        <w:t>familiaris</w:t>
      </w:r>
      <w:proofErr w:type="spellEnd"/>
      <w:r w:rsidRPr="003951F5">
        <w:rPr>
          <w:rFonts w:cstheme="minorHAnsi"/>
          <w:sz w:val="24"/>
          <w:szCs w:val="24"/>
        </w:rPr>
        <w:t>.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has acquired resistance mechanisms from methicillin-resistant </w:t>
      </w:r>
      <w:r w:rsidRPr="003951F5">
        <w:rPr>
          <w:rFonts w:cstheme="minorHAnsi"/>
          <w:i/>
          <w:iCs/>
          <w:sz w:val="24"/>
          <w:szCs w:val="24"/>
        </w:rPr>
        <w:t>Staphylococcus aureus</w:t>
      </w:r>
      <w:r w:rsidRPr="003951F5">
        <w:rPr>
          <w:rFonts w:cstheme="minorHAnsi"/>
          <w:sz w:val="24"/>
          <w:szCs w:val="24"/>
        </w:rPr>
        <w:t> (</w:t>
      </w:r>
      <w:proofErr w:type="spellStart"/>
      <w:r w:rsidRPr="003951F5">
        <w:rPr>
          <w:rFonts w:cstheme="minorHAnsi"/>
          <w:sz w:val="24"/>
          <w:szCs w:val="24"/>
        </w:rPr>
        <w:t>Weese</w:t>
      </w:r>
      <w:proofErr w:type="spellEnd"/>
      <w:r w:rsidRPr="003951F5">
        <w:rPr>
          <w:rFonts w:cstheme="minorHAnsi"/>
          <w:sz w:val="24"/>
          <w:szCs w:val="24"/>
        </w:rPr>
        <w:t xml:space="preserve"> and van </w:t>
      </w:r>
      <w:proofErr w:type="spellStart"/>
      <w:r w:rsidRPr="003951F5">
        <w:rPr>
          <w:rFonts w:cstheme="minorHAnsi"/>
          <w:sz w:val="24"/>
          <w:szCs w:val="24"/>
        </w:rPr>
        <w:t>Duijkeren</w:t>
      </w:r>
      <w:proofErr w:type="spellEnd"/>
      <w:r w:rsidRPr="003951F5">
        <w:rPr>
          <w:rFonts w:cstheme="minorHAnsi"/>
          <w:sz w:val="24"/>
          <w:szCs w:val="24"/>
        </w:rPr>
        <w:t> </w:t>
      </w:r>
      <w:r w:rsidRPr="003951F5">
        <w:rPr>
          <w:rFonts w:cstheme="minorHAnsi"/>
          <w:b/>
          <w:bCs/>
          <w:sz w:val="24"/>
          <w:szCs w:val="24"/>
        </w:rPr>
        <w:t>2010</w:t>
      </w:r>
      <w:r w:rsidRPr="003951F5">
        <w:rPr>
          <w:rFonts w:cstheme="minorHAnsi"/>
          <w:sz w:val="24"/>
          <w:szCs w:val="24"/>
        </w:rPr>
        <w:t>) and veterinarians now consider infection by methicillin-resistant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(MRSP) as untreatable in dogs and cats (</w:t>
      </w:r>
      <w:proofErr w:type="spellStart"/>
      <w:r w:rsidRPr="003951F5">
        <w:rPr>
          <w:rFonts w:cstheme="minorHAnsi"/>
          <w:sz w:val="24"/>
          <w:szCs w:val="24"/>
        </w:rPr>
        <w:t>Weese</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2013</w:t>
      </w:r>
      <w:r w:rsidRPr="003951F5">
        <w:rPr>
          <w:rFonts w:cstheme="minorHAnsi"/>
          <w:sz w:val="24"/>
          <w:szCs w:val="24"/>
        </w:rPr>
        <w:t>). Compounding this development, transfer of MRSP between companion animals and their owners has already been documented (Couto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2016</w:t>
      </w:r>
      <w:r w:rsidRPr="003951F5">
        <w:rPr>
          <w:rFonts w:cstheme="minorHAnsi"/>
          <w:sz w:val="24"/>
          <w:szCs w:val="24"/>
        </w:rPr>
        <w:t xml:space="preserve">; </w:t>
      </w:r>
      <w:proofErr w:type="spellStart"/>
      <w:r w:rsidRPr="003951F5">
        <w:rPr>
          <w:rFonts w:cstheme="minorHAnsi"/>
          <w:sz w:val="24"/>
          <w:szCs w:val="24"/>
        </w:rPr>
        <w:t>Pomba</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2017</w:t>
      </w:r>
      <w:r w:rsidRPr="003951F5">
        <w:rPr>
          <w:rFonts w:cstheme="minorHAnsi"/>
          <w:sz w:val="24"/>
          <w:szCs w:val="24"/>
        </w:rPr>
        <w:t>). The need to develop alternative antimicrobial therapies against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is therefore important amongst clinicians and veterinarians alike.</w:t>
      </w:r>
    </w:p>
    <w:p w14:paraId="2ACD1120" w14:textId="0A805661" w:rsidR="003951F5" w:rsidRPr="003951F5" w:rsidRDefault="003951F5" w:rsidP="003951F5">
      <w:pPr>
        <w:rPr>
          <w:rFonts w:cstheme="minorHAnsi"/>
          <w:sz w:val="24"/>
          <w:szCs w:val="24"/>
        </w:rPr>
      </w:pPr>
      <w:r w:rsidRPr="003951F5">
        <w:rPr>
          <w:rFonts w:cstheme="minorHAnsi"/>
          <w:sz w:val="24"/>
          <w:szCs w:val="24"/>
        </w:rPr>
        <w:t>Combatting the emergence of resistant strains of clinically relevant bacteria relies on a multipronged approach, one of which is the development of novel antimicrobials. Fatty acids are ubiquitous organic molecules critical to a wide array of biological processes including metabolism (Jenkins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2015</w:t>
      </w:r>
      <w:r w:rsidRPr="003951F5">
        <w:rPr>
          <w:rFonts w:cstheme="minorHAnsi"/>
          <w:sz w:val="24"/>
          <w:szCs w:val="24"/>
        </w:rPr>
        <w:t>), membrane structure (Shaikh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2015</w:t>
      </w:r>
      <w:r w:rsidRPr="003951F5">
        <w:rPr>
          <w:rFonts w:cstheme="minorHAnsi"/>
          <w:sz w:val="24"/>
          <w:szCs w:val="24"/>
        </w:rPr>
        <w:t xml:space="preserve">) and cell </w:t>
      </w:r>
      <w:proofErr w:type="spellStart"/>
      <w:r w:rsidRPr="003951F5">
        <w:rPr>
          <w:rFonts w:cstheme="minorHAnsi"/>
          <w:sz w:val="24"/>
          <w:szCs w:val="24"/>
        </w:rPr>
        <w:t>signalling</w:t>
      </w:r>
      <w:proofErr w:type="spellEnd"/>
      <w:r w:rsidRPr="003951F5">
        <w:rPr>
          <w:rFonts w:cstheme="minorHAnsi"/>
          <w:sz w:val="24"/>
          <w:szCs w:val="24"/>
        </w:rPr>
        <w:t xml:space="preserve"> (Kenny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2009</w:t>
      </w:r>
      <w:r w:rsidRPr="003951F5">
        <w:rPr>
          <w:rFonts w:cstheme="minorHAnsi"/>
          <w:sz w:val="24"/>
          <w:szCs w:val="24"/>
        </w:rPr>
        <w:t xml:space="preserve">). These weak organic acids also function as </w:t>
      </w:r>
      <w:proofErr w:type="gramStart"/>
      <w:r w:rsidRPr="003951F5">
        <w:rPr>
          <w:rFonts w:cstheme="minorHAnsi"/>
          <w:sz w:val="24"/>
          <w:szCs w:val="24"/>
        </w:rPr>
        <w:t>broad spectrum</w:t>
      </w:r>
      <w:proofErr w:type="gramEnd"/>
      <w:r w:rsidRPr="003951F5">
        <w:rPr>
          <w:rFonts w:cstheme="minorHAnsi"/>
          <w:sz w:val="24"/>
          <w:szCs w:val="24"/>
        </w:rPr>
        <w:t xml:space="preserve"> antimicrobial agents (reviewed in </w:t>
      </w:r>
      <w:proofErr w:type="spellStart"/>
      <w:r w:rsidRPr="003951F5">
        <w:rPr>
          <w:rFonts w:cstheme="minorHAnsi"/>
          <w:sz w:val="24"/>
          <w:szCs w:val="24"/>
        </w:rPr>
        <w:t>Desbois</w:t>
      </w:r>
      <w:proofErr w:type="spellEnd"/>
      <w:r w:rsidRPr="003951F5">
        <w:rPr>
          <w:rFonts w:cstheme="minorHAnsi"/>
          <w:sz w:val="24"/>
          <w:szCs w:val="24"/>
        </w:rPr>
        <w:t xml:space="preserve"> and Smith </w:t>
      </w:r>
      <w:r w:rsidRPr="003951F5">
        <w:rPr>
          <w:rFonts w:cstheme="minorHAnsi"/>
          <w:b/>
          <w:bCs/>
          <w:sz w:val="24"/>
          <w:szCs w:val="24"/>
        </w:rPr>
        <w:t>2010</w:t>
      </w:r>
      <w:r w:rsidRPr="003951F5">
        <w:rPr>
          <w:rFonts w:cstheme="minorHAnsi"/>
          <w:sz w:val="24"/>
          <w:szCs w:val="24"/>
        </w:rPr>
        <w:t xml:space="preserve">) and are widely utilized in natural host </w:t>
      </w:r>
      <w:proofErr w:type="spellStart"/>
      <w:r w:rsidRPr="003951F5">
        <w:rPr>
          <w:rFonts w:cstheme="minorHAnsi"/>
          <w:sz w:val="24"/>
          <w:szCs w:val="24"/>
        </w:rPr>
        <w:t>defence</w:t>
      </w:r>
      <w:proofErr w:type="spellEnd"/>
      <w:r w:rsidRPr="003951F5">
        <w:rPr>
          <w:rFonts w:cstheme="minorHAnsi"/>
          <w:sz w:val="24"/>
          <w:szCs w:val="24"/>
        </w:rPr>
        <w:t xml:space="preserve"> mechanisms in the intestine (Sun and </w:t>
      </w:r>
      <w:proofErr w:type="spellStart"/>
      <w:r w:rsidRPr="003951F5">
        <w:rPr>
          <w:rFonts w:cstheme="minorHAnsi"/>
          <w:sz w:val="24"/>
          <w:szCs w:val="24"/>
        </w:rPr>
        <w:t>O'Riordan</w:t>
      </w:r>
      <w:proofErr w:type="spellEnd"/>
      <w:r w:rsidRPr="003951F5">
        <w:rPr>
          <w:rFonts w:cstheme="minorHAnsi"/>
          <w:sz w:val="24"/>
          <w:szCs w:val="24"/>
        </w:rPr>
        <w:t> </w:t>
      </w:r>
      <w:r w:rsidRPr="003951F5">
        <w:rPr>
          <w:rFonts w:cstheme="minorHAnsi"/>
          <w:b/>
          <w:bCs/>
          <w:sz w:val="24"/>
          <w:szCs w:val="24"/>
        </w:rPr>
        <w:t>2013</w:t>
      </w:r>
      <w:r w:rsidRPr="003951F5">
        <w:rPr>
          <w:rFonts w:cstheme="minorHAnsi"/>
          <w:sz w:val="24"/>
          <w:szCs w:val="24"/>
        </w:rPr>
        <w:t xml:space="preserve">) and on the surface of skin (Wille and </w:t>
      </w:r>
      <w:proofErr w:type="spellStart"/>
      <w:r w:rsidRPr="003951F5">
        <w:rPr>
          <w:rFonts w:cstheme="minorHAnsi"/>
          <w:sz w:val="24"/>
          <w:szCs w:val="24"/>
        </w:rPr>
        <w:t>Kydonieus</w:t>
      </w:r>
      <w:proofErr w:type="spellEnd"/>
      <w:r w:rsidRPr="003951F5">
        <w:rPr>
          <w:rFonts w:cstheme="minorHAnsi"/>
          <w:sz w:val="24"/>
          <w:szCs w:val="24"/>
        </w:rPr>
        <w:t> </w:t>
      </w:r>
      <w:r w:rsidRPr="003951F5">
        <w:rPr>
          <w:rFonts w:cstheme="minorHAnsi"/>
          <w:b/>
          <w:bCs/>
          <w:sz w:val="24"/>
          <w:szCs w:val="24"/>
        </w:rPr>
        <w:t>2003</w:t>
      </w:r>
      <w:r w:rsidRPr="003951F5">
        <w:rPr>
          <w:rFonts w:cstheme="minorHAnsi"/>
          <w:sz w:val="24"/>
          <w:szCs w:val="24"/>
        </w:rPr>
        <w:t>). This antimicrobial activity is a function of two important variables: fatty acid structure and protonation state of the carboxyl group. In general, </w:t>
      </w:r>
      <w:r w:rsidRPr="003951F5">
        <w:rPr>
          <w:rFonts w:cstheme="minorHAnsi"/>
          <w:i/>
          <w:iCs/>
          <w:sz w:val="24"/>
          <w:szCs w:val="24"/>
        </w:rPr>
        <w:t>cis</w:t>
      </w:r>
      <w:r w:rsidRPr="003951F5">
        <w:rPr>
          <w:rFonts w:cstheme="minorHAnsi"/>
          <w:sz w:val="24"/>
          <w:szCs w:val="24"/>
        </w:rPr>
        <w:t>-oriented monounsaturated fatty acids with a chain length between 10 and 16 carbons appear to be most potent antimicrobials (Galbraith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1971</w:t>
      </w:r>
      <w:r w:rsidRPr="003951F5">
        <w:rPr>
          <w:rFonts w:cstheme="minorHAnsi"/>
          <w:sz w:val="24"/>
          <w:szCs w:val="24"/>
        </w:rPr>
        <w:t xml:space="preserve">; </w:t>
      </w:r>
      <w:proofErr w:type="spellStart"/>
      <w:r w:rsidRPr="003951F5">
        <w:rPr>
          <w:rFonts w:cstheme="minorHAnsi"/>
          <w:sz w:val="24"/>
          <w:szCs w:val="24"/>
        </w:rPr>
        <w:t>Kabara</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1972</w:t>
      </w:r>
      <w:r w:rsidRPr="003951F5">
        <w:rPr>
          <w:rFonts w:cstheme="minorHAnsi"/>
          <w:sz w:val="24"/>
          <w:szCs w:val="24"/>
        </w:rPr>
        <w:t xml:space="preserve">; </w:t>
      </w:r>
      <w:proofErr w:type="spellStart"/>
      <w:r w:rsidRPr="003951F5">
        <w:rPr>
          <w:rFonts w:cstheme="minorHAnsi"/>
          <w:sz w:val="24"/>
          <w:szCs w:val="24"/>
        </w:rPr>
        <w:t>Feldlaufer</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1993</w:t>
      </w:r>
      <w:r w:rsidRPr="003951F5">
        <w:rPr>
          <w:rFonts w:cstheme="minorHAnsi"/>
          <w:sz w:val="24"/>
          <w:szCs w:val="24"/>
        </w:rPr>
        <w:t>). However, this is likely an overgeneralization as comparisons between studies are difficult due to contrasting methodological approaches, limited solubility of longer chain acids and the variety of species tested. Importantly, antimicrobial activity requires protonation of the carboxyl group (Butkus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2011</w:t>
      </w:r>
      <w:r w:rsidRPr="003951F5">
        <w:rPr>
          <w:rFonts w:cstheme="minorHAnsi"/>
          <w:sz w:val="24"/>
          <w:szCs w:val="24"/>
        </w:rPr>
        <w:t>). For example, inactivation of </w:t>
      </w:r>
      <w:r w:rsidRPr="003951F5">
        <w:rPr>
          <w:rFonts w:cstheme="minorHAnsi"/>
          <w:i/>
          <w:iCs/>
          <w:sz w:val="24"/>
          <w:szCs w:val="24"/>
        </w:rPr>
        <w:t>Ascaris</w:t>
      </w:r>
      <w:r w:rsidRPr="003951F5">
        <w:rPr>
          <w:rFonts w:cstheme="minorHAnsi"/>
          <w:sz w:val="24"/>
          <w:szCs w:val="24"/>
        </w:rPr>
        <w:t xml:space="preserve"> eggs required a pH less than the </w:t>
      </w:r>
      <w:proofErr w:type="spellStart"/>
      <w:r w:rsidRPr="003951F5">
        <w:rPr>
          <w:rFonts w:cstheme="minorHAnsi"/>
          <w:sz w:val="24"/>
          <w:szCs w:val="24"/>
        </w:rPr>
        <w:t>pK</w:t>
      </w:r>
      <w:r w:rsidRPr="003951F5">
        <w:rPr>
          <w:rFonts w:cstheme="minorHAnsi"/>
          <w:sz w:val="24"/>
          <w:szCs w:val="24"/>
          <w:vertAlign w:val="subscript"/>
        </w:rPr>
        <w:t>a</w:t>
      </w:r>
      <w:proofErr w:type="spellEnd"/>
      <w:r w:rsidRPr="003951F5">
        <w:rPr>
          <w:rFonts w:cstheme="minorHAnsi"/>
          <w:sz w:val="24"/>
          <w:szCs w:val="24"/>
        </w:rPr>
        <w:t> for each fatty acid tested (Butkus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2011</w:t>
      </w:r>
      <w:r w:rsidRPr="003951F5">
        <w:rPr>
          <w:rFonts w:cstheme="minorHAnsi"/>
          <w:sz w:val="24"/>
          <w:szCs w:val="24"/>
        </w:rPr>
        <w:t>). This ease of neutralization, combined with its proclivity for biodegradation (Sheridan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2003</w:t>
      </w:r>
      <w:r w:rsidRPr="003951F5">
        <w:rPr>
          <w:rFonts w:cstheme="minorHAnsi"/>
          <w:sz w:val="24"/>
          <w:szCs w:val="24"/>
        </w:rPr>
        <w:t>), provides a major advantage for the use of butanoic acid as a ‘green chemistry’ disinfectant (</w:t>
      </w:r>
      <w:proofErr w:type="spellStart"/>
      <w:r w:rsidRPr="003951F5">
        <w:rPr>
          <w:rFonts w:cstheme="minorHAnsi"/>
          <w:sz w:val="24"/>
          <w:szCs w:val="24"/>
        </w:rPr>
        <w:t>Anastas</w:t>
      </w:r>
      <w:proofErr w:type="spellEnd"/>
      <w:r w:rsidRPr="003951F5">
        <w:rPr>
          <w:rFonts w:cstheme="minorHAnsi"/>
          <w:sz w:val="24"/>
          <w:szCs w:val="24"/>
        </w:rPr>
        <w:t xml:space="preserve"> and </w:t>
      </w:r>
      <w:proofErr w:type="spellStart"/>
      <w:r w:rsidRPr="003951F5">
        <w:rPr>
          <w:rFonts w:cstheme="minorHAnsi"/>
          <w:sz w:val="24"/>
          <w:szCs w:val="24"/>
        </w:rPr>
        <w:t>Eghbali</w:t>
      </w:r>
      <w:proofErr w:type="spellEnd"/>
      <w:r w:rsidRPr="003951F5">
        <w:rPr>
          <w:rFonts w:cstheme="minorHAnsi"/>
          <w:sz w:val="24"/>
          <w:szCs w:val="24"/>
        </w:rPr>
        <w:t> </w:t>
      </w:r>
      <w:r w:rsidRPr="003951F5">
        <w:rPr>
          <w:rFonts w:cstheme="minorHAnsi"/>
          <w:b/>
          <w:bCs/>
          <w:sz w:val="24"/>
          <w:szCs w:val="24"/>
        </w:rPr>
        <w:t>2010</w:t>
      </w:r>
      <w:r w:rsidRPr="003951F5">
        <w:rPr>
          <w:rFonts w:cstheme="minorHAnsi"/>
          <w:sz w:val="24"/>
          <w:szCs w:val="24"/>
        </w:rPr>
        <w:t>). These characteristics support the sustainable principles for chemical synthesis and degradation adopted by the American Chemical Society and provides a more environmentally conscious alternative to traditional, broad-spectrum disinfectants such as bleach and chlorine.</w:t>
      </w:r>
    </w:p>
    <w:p w14:paraId="1816C7C1" w14:textId="299EDAE2" w:rsidR="003951F5" w:rsidRPr="003951F5" w:rsidRDefault="003951F5" w:rsidP="003951F5">
      <w:pPr>
        <w:rPr>
          <w:rFonts w:cstheme="minorHAnsi"/>
          <w:sz w:val="24"/>
          <w:szCs w:val="24"/>
        </w:rPr>
      </w:pPr>
      <w:r w:rsidRPr="003951F5">
        <w:rPr>
          <w:rFonts w:cstheme="minorHAnsi"/>
          <w:sz w:val="24"/>
          <w:szCs w:val="24"/>
        </w:rPr>
        <w:t xml:space="preserve">While the antimicrobial activity of fatty acids is well known, their applicability against bacterial pathogens significant to human and animal health remains largely uncharacterized. The antibacterial activity of butanoic acid was examined </w:t>
      </w:r>
      <w:proofErr w:type="gramStart"/>
      <w:r w:rsidRPr="003951F5">
        <w:rPr>
          <w:rFonts w:cstheme="minorHAnsi"/>
          <w:sz w:val="24"/>
          <w:szCs w:val="24"/>
        </w:rPr>
        <w:t>specifically, because</w:t>
      </w:r>
      <w:proofErr w:type="gramEnd"/>
      <w:r w:rsidRPr="003951F5">
        <w:rPr>
          <w:rFonts w:cstheme="minorHAnsi"/>
          <w:sz w:val="24"/>
          <w:szCs w:val="24"/>
        </w:rPr>
        <w:t xml:space="preserve"> it is an FDA-approved food and drug additive and classified as generally recognized as safe (</w:t>
      </w:r>
      <w:r w:rsidRPr="003951F5">
        <w:rPr>
          <w:rFonts w:cstheme="minorHAnsi"/>
          <w:b/>
          <w:bCs/>
          <w:sz w:val="24"/>
          <w:szCs w:val="24"/>
        </w:rPr>
        <w:t>FDA 21 CFR 582.60</w:t>
      </w:r>
      <w:r w:rsidRPr="003951F5">
        <w:rPr>
          <w:rFonts w:cstheme="minorHAnsi"/>
          <w:sz w:val="24"/>
          <w:szCs w:val="24"/>
        </w:rPr>
        <w:t>). It was hypothesized that treatment of pathogens with butanoic acid would result in significant inactivation via membrane disruption and acidification of the cytosol. This study aims to determine the bacteriostatic and bactericidal activity of several short-chain fatty acid (SCFA) against a variety of microbes, with focus on butanoic acid treatment of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w:t>
      </w:r>
    </w:p>
    <w:p w14:paraId="3CF9E365" w14:textId="77777777" w:rsidR="003951F5" w:rsidRPr="003951F5" w:rsidRDefault="003951F5" w:rsidP="00D43655">
      <w:pPr>
        <w:pStyle w:val="Heading1"/>
      </w:pPr>
      <w:r w:rsidRPr="003951F5">
        <w:t>Materials and methods</w:t>
      </w:r>
    </w:p>
    <w:p w14:paraId="599580F1" w14:textId="77777777" w:rsidR="003951F5" w:rsidRPr="003951F5" w:rsidRDefault="003951F5" w:rsidP="00CC1E6C">
      <w:pPr>
        <w:pStyle w:val="Heading2"/>
      </w:pPr>
      <w:r w:rsidRPr="003951F5">
        <w:t>Culture conditions and toxicity experiments</w:t>
      </w:r>
    </w:p>
    <w:p w14:paraId="578082ED" w14:textId="62CB6120" w:rsidR="003951F5" w:rsidRPr="003951F5" w:rsidRDefault="003951F5" w:rsidP="003951F5">
      <w:pPr>
        <w:rPr>
          <w:rFonts w:cstheme="minorHAnsi"/>
          <w:sz w:val="24"/>
          <w:szCs w:val="24"/>
        </w:rPr>
      </w:pPr>
      <w:r w:rsidRPr="003951F5">
        <w:rPr>
          <w:rFonts w:cstheme="minorHAnsi"/>
          <w:i/>
          <w:iCs/>
          <w:sz w:val="24"/>
          <w:szCs w:val="24"/>
        </w:rPr>
        <w:t>Escherichia coli</w:t>
      </w:r>
      <w:r w:rsidRPr="003951F5">
        <w:rPr>
          <w:rFonts w:cstheme="minorHAnsi"/>
          <w:sz w:val="24"/>
          <w:szCs w:val="24"/>
        </w:rPr>
        <w:t> (ATCC 15597),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(ATCC 49051) and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(AB 5075 WT) were grown in nutrient broth (37°C; 125 rev min</w:t>
      </w:r>
      <w:r w:rsidRPr="003951F5">
        <w:rPr>
          <w:rFonts w:cstheme="minorHAnsi"/>
          <w:sz w:val="24"/>
          <w:szCs w:val="24"/>
          <w:vertAlign w:val="superscript"/>
        </w:rPr>
        <w:t>−1</w:t>
      </w:r>
      <w:r w:rsidRPr="003951F5">
        <w:rPr>
          <w:rFonts w:cstheme="minorHAnsi"/>
          <w:sz w:val="24"/>
          <w:szCs w:val="24"/>
        </w:rPr>
        <w:t>) to a constant optical density (OD) (1·5–2·0; 600 nm) for each organism. Harvested cells were concentrated by centrifugation and resuspended in 0·1× the original volume. Acid toxicity experiments were carried out by adding 0·1 ml of cells to 0·9 ml of SCFA or HCl-amended water at pH 4 at 37°C. After exposure, cells were enumerated by dilution and the drop plate technique (</w:t>
      </w:r>
      <w:proofErr w:type="spellStart"/>
      <w:r w:rsidRPr="003951F5">
        <w:rPr>
          <w:rFonts w:cstheme="minorHAnsi"/>
          <w:sz w:val="24"/>
          <w:szCs w:val="24"/>
        </w:rPr>
        <w:t>Naghili</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2013</w:t>
      </w:r>
      <w:r w:rsidRPr="003951F5">
        <w:rPr>
          <w:rFonts w:cstheme="minorHAnsi"/>
          <w:sz w:val="24"/>
          <w:szCs w:val="24"/>
        </w:rPr>
        <w:t>). Eight drops were counted for each dilution tube plated. Assays of 1 min or less were static, whereas those &gt;1 min were shaken (125 rev </w:t>
      </w:r>
      <w:proofErr w:type="gramStart"/>
      <w:r w:rsidRPr="003951F5">
        <w:rPr>
          <w:rFonts w:cstheme="minorHAnsi"/>
          <w:sz w:val="24"/>
          <w:szCs w:val="24"/>
        </w:rPr>
        <w:t>min</w:t>
      </w:r>
      <w:r w:rsidRPr="003951F5">
        <w:rPr>
          <w:rFonts w:cstheme="minorHAnsi"/>
          <w:sz w:val="24"/>
          <w:szCs w:val="24"/>
          <w:vertAlign w:val="superscript"/>
        </w:rPr>
        <w:t>−1</w:t>
      </w:r>
      <w:proofErr w:type="gramEnd"/>
      <w:r w:rsidRPr="003951F5">
        <w:rPr>
          <w:rFonts w:cstheme="minorHAnsi"/>
          <w:sz w:val="24"/>
          <w:szCs w:val="24"/>
        </w:rPr>
        <w:t>). These experiments had a detection limit of ~ 4-log because inactivation activity of SCFAs cannot be neutralized during experimentation. Therefore, dilution of the reaction mixture 100X, to a working concentration below the minimum inhibitory concentration (MIC), was required to halt the inactivation activity of butanoic acid. To determine 8- and 9-log inactivation, bacteria were treated </w:t>
      </w:r>
      <w:r w:rsidRPr="003951F5">
        <w:rPr>
          <w:rFonts w:cstheme="minorHAnsi"/>
          <w:i/>
          <w:iCs/>
          <w:sz w:val="24"/>
          <w:szCs w:val="24"/>
        </w:rPr>
        <w:t>in vitro</w:t>
      </w:r>
      <w:r w:rsidRPr="003951F5">
        <w:rPr>
          <w:rFonts w:cstheme="minorHAnsi"/>
          <w:sz w:val="24"/>
          <w:szCs w:val="24"/>
        </w:rPr>
        <w:t> as above and 1 ml of cell suspension was inoculated into large volumes of nutrient broth, ensuring a working concentration of SCFA below the determined MIC. Cultures were incubated (37°C, 125 rev min</w:t>
      </w:r>
      <w:r w:rsidRPr="003951F5">
        <w:rPr>
          <w:rFonts w:cstheme="minorHAnsi"/>
          <w:sz w:val="24"/>
          <w:szCs w:val="24"/>
          <w:vertAlign w:val="superscript"/>
        </w:rPr>
        <w:t>−1</w:t>
      </w:r>
      <w:r w:rsidRPr="003951F5">
        <w:rPr>
          <w:rFonts w:cstheme="minorHAnsi"/>
          <w:sz w:val="24"/>
          <w:szCs w:val="24"/>
        </w:rPr>
        <w:t>) and visually assessed for growth/no growth.</w:t>
      </w:r>
    </w:p>
    <w:p w14:paraId="782BB515" w14:textId="77777777" w:rsidR="003951F5" w:rsidRPr="003951F5" w:rsidRDefault="003951F5" w:rsidP="00CC1E6C">
      <w:pPr>
        <w:pStyle w:val="Heading2"/>
      </w:pPr>
      <w:r w:rsidRPr="003951F5">
        <w:t>Minimum inhibitory concentrations</w:t>
      </w:r>
    </w:p>
    <w:p w14:paraId="3FCED18D" w14:textId="41706EA0" w:rsidR="003951F5" w:rsidRPr="003951F5" w:rsidRDefault="003951F5" w:rsidP="003951F5">
      <w:pPr>
        <w:rPr>
          <w:rFonts w:cstheme="minorHAnsi"/>
          <w:sz w:val="24"/>
          <w:szCs w:val="24"/>
        </w:rPr>
      </w:pPr>
      <w:r w:rsidRPr="003951F5">
        <w:rPr>
          <w:rFonts w:cstheme="minorHAnsi"/>
          <w:sz w:val="24"/>
          <w:szCs w:val="24"/>
        </w:rPr>
        <w:t>Minimum inhibitory concentrations of SCFAs were determined by a modification as described (Carson and Riley </w:t>
      </w:r>
      <w:r w:rsidRPr="003951F5">
        <w:rPr>
          <w:rFonts w:cstheme="minorHAnsi"/>
          <w:b/>
          <w:bCs/>
          <w:sz w:val="24"/>
          <w:szCs w:val="24"/>
        </w:rPr>
        <w:t>1995</w:t>
      </w:r>
      <w:r w:rsidRPr="003951F5">
        <w:rPr>
          <w:rFonts w:cstheme="minorHAnsi"/>
          <w:sz w:val="24"/>
          <w:szCs w:val="24"/>
        </w:rPr>
        <w:t>). Mueller–Hinton broth inoculated with bacteria was incubated (37°C, 125 rev min</w:t>
      </w:r>
      <w:r w:rsidRPr="003951F5">
        <w:rPr>
          <w:rFonts w:cstheme="minorHAnsi"/>
          <w:sz w:val="24"/>
          <w:szCs w:val="24"/>
          <w:vertAlign w:val="superscript"/>
        </w:rPr>
        <w:t>−1</w:t>
      </w:r>
      <w:r w:rsidRPr="003951F5">
        <w:rPr>
          <w:rFonts w:cstheme="minorHAnsi"/>
          <w:sz w:val="24"/>
          <w:szCs w:val="24"/>
        </w:rPr>
        <w:t>) overnight. The absorbance of the culture was adjusted to 0·5 McFarland standard and further diluted such that the final absorbance yielded 1 × 10</w:t>
      </w:r>
      <w:r w:rsidRPr="003951F5">
        <w:rPr>
          <w:rFonts w:cstheme="minorHAnsi"/>
          <w:sz w:val="24"/>
          <w:szCs w:val="24"/>
          <w:vertAlign w:val="superscript"/>
        </w:rPr>
        <w:t>5</w:t>
      </w:r>
      <w:r w:rsidRPr="003951F5">
        <w:rPr>
          <w:rFonts w:cstheme="minorHAnsi"/>
          <w:sz w:val="24"/>
          <w:szCs w:val="24"/>
        </w:rPr>
        <w:t> cells per ml. The culture was used to inoculate (10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a series of </w:t>
      </w:r>
      <w:proofErr w:type="gramStart"/>
      <w:r w:rsidRPr="003951F5">
        <w:rPr>
          <w:rFonts w:cstheme="minorHAnsi"/>
          <w:sz w:val="24"/>
          <w:szCs w:val="24"/>
        </w:rPr>
        <w:t>1 :</w:t>
      </w:r>
      <w:proofErr w:type="gramEnd"/>
      <w:r w:rsidRPr="003951F5">
        <w:rPr>
          <w:rFonts w:cstheme="minorHAnsi"/>
          <w:sz w:val="24"/>
          <w:szCs w:val="24"/>
        </w:rPr>
        <w:t> 2 dilutions of each SCFA in 96-well, flat-bottom plates (final volume of 160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The plates were incubated at 37°C for 24 h while shaking at 125 rev </w:t>
      </w:r>
      <w:proofErr w:type="gramStart"/>
      <w:r w:rsidRPr="003951F5">
        <w:rPr>
          <w:rFonts w:cstheme="minorHAnsi"/>
          <w:sz w:val="24"/>
          <w:szCs w:val="24"/>
        </w:rPr>
        <w:t>min</w:t>
      </w:r>
      <w:r w:rsidRPr="003951F5">
        <w:rPr>
          <w:rFonts w:cstheme="minorHAnsi"/>
          <w:sz w:val="24"/>
          <w:szCs w:val="24"/>
          <w:vertAlign w:val="superscript"/>
        </w:rPr>
        <w:t>−1</w:t>
      </w:r>
      <w:proofErr w:type="gramEnd"/>
      <w:r w:rsidRPr="003951F5">
        <w:rPr>
          <w:rFonts w:cstheme="minorHAnsi"/>
          <w:sz w:val="24"/>
          <w:szCs w:val="24"/>
        </w:rPr>
        <w:t xml:space="preserve">. The OD was measured at 490 nm on a </w:t>
      </w:r>
      <w:proofErr w:type="spellStart"/>
      <w:r w:rsidRPr="003951F5">
        <w:rPr>
          <w:rFonts w:cstheme="minorHAnsi"/>
          <w:sz w:val="24"/>
          <w:szCs w:val="24"/>
        </w:rPr>
        <w:t>BioRad</w:t>
      </w:r>
      <w:proofErr w:type="spellEnd"/>
      <w:r w:rsidRPr="003951F5">
        <w:rPr>
          <w:rFonts w:cstheme="minorHAnsi"/>
          <w:sz w:val="24"/>
          <w:szCs w:val="24"/>
        </w:rPr>
        <w:t xml:space="preserve"> plate reader (Hercules, CA).</w:t>
      </w:r>
    </w:p>
    <w:p w14:paraId="7C49EFDA" w14:textId="77777777" w:rsidR="003951F5" w:rsidRPr="003951F5" w:rsidRDefault="003951F5" w:rsidP="00CC1E6C">
      <w:pPr>
        <w:pStyle w:val="Heading2"/>
      </w:pPr>
      <w:r w:rsidRPr="003951F5">
        <w:t>SEM</w:t>
      </w:r>
    </w:p>
    <w:p w14:paraId="3B837209" w14:textId="0E589E53" w:rsidR="003951F5" w:rsidRPr="003951F5" w:rsidRDefault="003951F5" w:rsidP="003951F5">
      <w:pPr>
        <w:rPr>
          <w:rFonts w:cstheme="minorHAnsi"/>
          <w:sz w:val="24"/>
          <w:szCs w:val="24"/>
        </w:rPr>
      </w:pPr>
      <w:r w:rsidRPr="003951F5">
        <w:rPr>
          <w:rFonts w:cstheme="minorHAnsi"/>
          <w:sz w:val="24"/>
          <w:szCs w:val="24"/>
        </w:rPr>
        <w:t>Cells were exposed to butanoic acid as described above, filtered (0.22 </w:t>
      </w:r>
      <w:proofErr w:type="spellStart"/>
      <w:r w:rsidRPr="003951F5">
        <w:rPr>
          <w:rFonts w:cstheme="minorHAnsi"/>
          <w:i/>
          <w:iCs/>
          <w:sz w:val="24"/>
          <w:szCs w:val="24"/>
        </w:rPr>
        <w:t>μ</w:t>
      </w:r>
      <w:r w:rsidRPr="003951F5">
        <w:rPr>
          <w:rFonts w:cstheme="minorHAnsi"/>
          <w:sz w:val="24"/>
          <w:szCs w:val="24"/>
        </w:rPr>
        <w:t>m</w:t>
      </w:r>
      <w:proofErr w:type="spellEnd"/>
      <w:r w:rsidRPr="003951F5">
        <w:rPr>
          <w:rFonts w:cstheme="minorHAnsi"/>
          <w:sz w:val="24"/>
          <w:szCs w:val="24"/>
        </w:rPr>
        <w:t>), fixed in 3% glutaraldehyde (0·1 mol l</w:t>
      </w:r>
      <w:r w:rsidRPr="003951F5">
        <w:rPr>
          <w:rFonts w:cstheme="minorHAnsi"/>
          <w:sz w:val="24"/>
          <w:szCs w:val="24"/>
          <w:vertAlign w:val="superscript"/>
        </w:rPr>
        <w:t>−1</w:t>
      </w:r>
      <w:r w:rsidRPr="003951F5">
        <w:rPr>
          <w:rFonts w:cstheme="minorHAnsi"/>
          <w:sz w:val="24"/>
          <w:szCs w:val="24"/>
        </w:rPr>
        <w:t xml:space="preserve"> phosphate buffer, pH 7·0), washed with buffer, dehydrated with ethanol sequentially (25–100%), air-dried, mounted on </w:t>
      </w:r>
      <w:proofErr w:type="spellStart"/>
      <w:r w:rsidRPr="003951F5">
        <w:rPr>
          <w:rFonts w:cstheme="minorHAnsi"/>
          <w:sz w:val="24"/>
          <w:szCs w:val="24"/>
        </w:rPr>
        <w:t>aluminium</w:t>
      </w:r>
      <w:proofErr w:type="spellEnd"/>
      <w:r w:rsidRPr="003951F5">
        <w:rPr>
          <w:rFonts w:cstheme="minorHAnsi"/>
          <w:sz w:val="24"/>
          <w:szCs w:val="24"/>
        </w:rPr>
        <w:t xml:space="preserve"> </w:t>
      </w:r>
      <w:proofErr w:type="gramStart"/>
      <w:r w:rsidRPr="003951F5">
        <w:rPr>
          <w:rFonts w:cstheme="minorHAnsi"/>
          <w:sz w:val="24"/>
          <w:szCs w:val="24"/>
        </w:rPr>
        <w:t>stubs</w:t>
      </w:r>
      <w:proofErr w:type="gramEnd"/>
      <w:r w:rsidRPr="003951F5">
        <w:rPr>
          <w:rFonts w:cstheme="minorHAnsi"/>
          <w:sz w:val="24"/>
          <w:szCs w:val="24"/>
        </w:rPr>
        <w:t xml:space="preserve"> and coated with 100–120 angstroms of gold/palladium (Denton Vacuum Desk IV sputter coater, 45 </w:t>
      </w:r>
      <w:proofErr w:type="spellStart"/>
      <w:r w:rsidRPr="003951F5">
        <w:rPr>
          <w:rFonts w:cstheme="minorHAnsi"/>
          <w:sz w:val="24"/>
          <w:szCs w:val="24"/>
        </w:rPr>
        <w:t>mAmp</w:t>
      </w:r>
      <w:proofErr w:type="spellEnd"/>
      <w:r w:rsidRPr="003951F5">
        <w:rPr>
          <w:rFonts w:cstheme="minorHAnsi"/>
          <w:sz w:val="24"/>
          <w:szCs w:val="24"/>
        </w:rPr>
        <w:t>, 50 </w:t>
      </w:r>
      <w:proofErr w:type="spellStart"/>
      <w:r w:rsidRPr="003951F5">
        <w:rPr>
          <w:rFonts w:cstheme="minorHAnsi"/>
          <w:sz w:val="24"/>
          <w:szCs w:val="24"/>
        </w:rPr>
        <w:t>mTorr</w:t>
      </w:r>
      <w:proofErr w:type="spellEnd"/>
      <w:r w:rsidRPr="003951F5">
        <w:rPr>
          <w:rFonts w:cstheme="minorHAnsi"/>
          <w:sz w:val="24"/>
          <w:szCs w:val="24"/>
        </w:rPr>
        <w:t>, 15 s exposure) (</w:t>
      </w:r>
      <w:proofErr w:type="spellStart"/>
      <w:r w:rsidRPr="003951F5">
        <w:rPr>
          <w:rFonts w:cstheme="minorHAnsi"/>
          <w:sz w:val="24"/>
          <w:szCs w:val="24"/>
        </w:rPr>
        <w:t>Bozzola</w:t>
      </w:r>
      <w:proofErr w:type="spellEnd"/>
      <w:r w:rsidRPr="003951F5">
        <w:rPr>
          <w:rFonts w:cstheme="minorHAnsi"/>
          <w:sz w:val="24"/>
          <w:szCs w:val="24"/>
        </w:rPr>
        <w:t> </w:t>
      </w:r>
      <w:r w:rsidRPr="003951F5">
        <w:rPr>
          <w:rFonts w:cstheme="minorHAnsi"/>
          <w:b/>
          <w:bCs/>
          <w:sz w:val="24"/>
          <w:szCs w:val="24"/>
        </w:rPr>
        <w:t>2001</w:t>
      </w:r>
      <w:r w:rsidRPr="003951F5">
        <w:rPr>
          <w:rFonts w:cstheme="minorHAnsi"/>
          <w:sz w:val="24"/>
          <w:szCs w:val="24"/>
        </w:rPr>
        <w:t>). Images were obtained on a Hitachi TM3000 Tabletop Scanning Electron Microscopy (Hitachi High-Technologies Corporation, Tokyo, Japan) and image analysis was performed with Image J (Schneider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2012</w:t>
      </w:r>
      <w:r w:rsidRPr="003951F5">
        <w:rPr>
          <w:rFonts w:cstheme="minorHAnsi"/>
          <w:sz w:val="24"/>
          <w:szCs w:val="24"/>
        </w:rPr>
        <w:t>).</w:t>
      </w:r>
    </w:p>
    <w:p w14:paraId="3CBA9637" w14:textId="77777777" w:rsidR="003951F5" w:rsidRPr="003951F5" w:rsidRDefault="003951F5" w:rsidP="00CC1E6C">
      <w:pPr>
        <w:pStyle w:val="Heading2"/>
      </w:pPr>
      <w:r w:rsidRPr="003951F5">
        <w:t>Membrane permeabilization</w:t>
      </w:r>
    </w:p>
    <w:p w14:paraId="5D2198BE" w14:textId="5BE0ACBC" w:rsidR="003951F5" w:rsidRPr="003951F5" w:rsidRDefault="003951F5" w:rsidP="003951F5">
      <w:pPr>
        <w:rPr>
          <w:rFonts w:cstheme="minorHAnsi"/>
          <w:sz w:val="24"/>
          <w:szCs w:val="24"/>
        </w:rPr>
      </w:pPr>
      <w:r w:rsidRPr="003951F5">
        <w:rPr>
          <w:rFonts w:cstheme="minorHAnsi"/>
          <w:sz w:val="24"/>
          <w:szCs w:val="24"/>
        </w:rPr>
        <w:t>After harvest and concentration, cells were washed three times with 1 mmol l</w:t>
      </w:r>
      <w:r w:rsidRPr="003951F5">
        <w:rPr>
          <w:rFonts w:cstheme="minorHAnsi"/>
          <w:sz w:val="24"/>
          <w:szCs w:val="24"/>
          <w:vertAlign w:val="superscript"/>
        </w:rPr>
        <w:t>−1</w:t>
      </w:r>
      <w:r w:rsidRPr="003951F5">
        <w:rPr>
          <w:rFonts w:cstheme="minorHAnsi"/>
          <w:sz w:val="24"/>
          <w:szCs w:val="24"/>
        </w:rPr>
        <w:t> of phosphate buffer and exposed to butanoic acid as described above, followed by two phosphate buffer washes and resuspension in 1·0 ml buffer. Propidium iodide was added to cells as described (Boswell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1998</w:t>
      </w:r>
      <w:r w:rsidRPr="003951F5">
        <w:rPr>
          <w:rFonts w:cstheme="minorHAnsi"/>
          <w:sz w:val="24"/>
          <w:szCs w:val="24"/>
        </w:rPr>
        <w:t>). The reaction vessels were statically incubated at room temperature in the dark for 10 min. Cells were pelleted and resuspended in 1·0 ml of phosphate buffer to reduce background fluorescence. Aliquots (90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were pipetted in a 96-well plate and fluorescence was measured on a </w:t>
      </w:r>
      <w:proofErr w:type="spellStart"/>
      <w:r w:rsidRPr="003951F5">
        <w:rPr>
          <w:rFonts w:cstheme="minorHAnsi"/>
          <w:sz w:val="24"/>
          <w:szCs w:val="24"/>
        </w:rPr>
        <w:t>BioTek</w:t>
      </w:r>
      <w:proofErr w:type="spellEnd"/>
      <w:r w:rsidRPr="003951F5">
        <w:rPr>
          <w:rFonts w:cstheme="minorHAnsi"/>
          <w:sz w:val="24"/>
          <w:szCs w:val="24"/>
        </w:rPr>
        <w:t xml:space="preserve"> Synergy 4 plate reader using gen 5 1.10 software (495 nm excitation wavelength; 615 nm emission wavelength; </w:t>
      </w:r>
      <w:proofErr w:type="spellStart"/>
      <w:r w:rsidRPr="003951F5">
        <w:rPr>
          <w:rFonts w:cstheme="minorHAnsi"/>
          <w:sz w:val="24"/>
          <w:szCs w:val="24"/>
        </w:rPr>
        <w:t>BioTek</w:t>
      </w:r>
      <w:proofErr w:type="spellEnd"/>
      <w:r w:rsidRPr="003951F5">
        <w:rPr>
          <w:rFonts w:cstheme="minorHAnsi"/>
          <w:sz w:val="24"/>
          <w:szCs w:val="24"/>
        </w:rPr>
        <w:t xml:space="preserve"> Instruments, Winooski, VT).</w:t>
      </w:r>
    </w:p>
    <w:p w14:paraId="6CED85EA" w14:textId="77777777" w:rsidR="003951F5" w:rsidRPr="003951F5" w:rsidRDefault="003951F5" w:rsidP="00CC1E6C">
      <w:pPr>
        <w:pStyle w:val="Heading2"/>
      </w:pPr>
      <w:r w:rsidRPr="003951F5">
        <w:t>Membrane leakage</w:t>
      </w:r>
    </w:p>
    <w:p w14:paraId="6F375A7D" w14:textId="77777777" w:rsidR="003951F5" w:rsidRPr="003951F5" w:rsidRDefault="003951F5" w:rsidP="003951F5">
      <w:pPr>
        <w:rPr>
          <w:rFonts w:cstheme="minorHAnsi"/>
          <w:sz w:val="24"/>
          <w:szCs w:val="24"/>
        </w:rPr>
      </w:pPr>
      <w:r w:rsidRPr="003951F5">
        <w:rPr>
          <w:rFonts w:cstheme="minorHAnsi"/>
          <w:sz w:val="24"/>
          <w:szCs w:val="24"/>
        </w:rPr>
        <w:t>Washed cells (200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were added to 180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of acid or water. At times post-inoculation, the reaction mixture was centrifuged (14 000 </w:t>
      </w:r>
      <w:r w:rsidRPr="003951F5">
        <w:rPr>
          <w:rFonts w:cstheme="minorHAnsi"/>
          <w:b/>
          <w:bCs/>
          <w:i/>
          <w:iCs/>
          <w:sz w:val="24"/>
          <w:szCs w:val="24"/>
        </w:rPr>
        <w:t>g</w:t>
      </w:r>
      <w:r w:rsidRPr="003951F5">
        <w:rPr>
          <w:rFonts w:cstheme="minorHAnsi"/>
          <w:sz w:val="24"/>
          <w:szCs w:val="24"/>
        </w:rPr>
        <w:t>) for 20 s and filtered (0·45 </w:t>
      </w:r>
      <w:proofErr w:type="spellStart"/>
      <w:r w:rsidRPr="003951F5">
        <w:rPr>
          <w:rFonts w:cstheme="minorHAnsi"/>
          <w:i/>
          <w:iCs/>
          <w:sz w:val="24"/>
          <w:szCs w:val="24"/>
        </w:rPr>
        <w:t>μ</w:t>
      </w:r>
      <w:r w:rsidRPr="003951F5">
        <w:rPr>
          <w:rFonts w:cstheme="minorHAnsi"/>
          <w:sz w:val="24"/>
          <w:szCs w:val="24"/>
        </w:rPr>
        <w:t>m</w:t>
      </w:r>
      <w:proofErr w:type="spellEnd"/>
      <w:r w:rsidRPr="003951F5">
        <w:rPr>
          <w:rFonts w:cstheme="minorHAnsi"/>
          <w:sz w:val="24"/>
          <w:szCs w:val="24"/>
        </w:rPr>
        <w:t>). All samples were run in duplicate and combined. The combined filtered supernatants were diluted with deionized water to a final volume of 45 ml. Control samples of each species were treated as described above by replacing butanoic acid with HCl-amended water, pH 4. The samples were digested in a microwave digester with 4 ml of ultrapure concentrated HNO</w:t>
      </w:r>
      <w:r w:rsidRPr="003951F5">
        <w:rPr>
          <w:rFonts w:cstheme="minorHAnsi"/>
          <w:sz w:val="24"/>
          <w:szCs w:val="24"/>
          <w:vertAlign w:val="subscript"/>
        </w:rPr>
        <w:t>3</w:t>
      </w:r>
      <w:r w:rsidRPr="003951F5">
        <w:rPr>
          <w:rFonts w:cstheme="minorHAnsi"/>
          <w:sz w:val="24"/>
          <w:szCs w:val="24"/>
        </w:rPr>
        <w:t>, concentrated HCl, and 1 ml of 30% H</w:t>
      </w:r>
      <w:r w:rsidRPr="003951F5">
        <w:rPr>
          <w:rFonts w:cstheme="minorHAnsi"/>
          <w:sz w:val="24"/>
          <w:szCs w:val="24"/>
          <w:vertAlign w:val="subscript"/>
        </w:rPr>
        <w:t>2</w:t>
      </w:r>
      <w:r w:rsidRPr="003951F5">
        <w:rPr>
          <w:rFonts w:cstheme="minorHAnsi"/>
          <w:sz w:val="24"/>
          <w:szCs w:val="24"/>
        </w:rPr>
        <w:t>O</w:t>
      </w:r>
      <w:r w:rsidRPr="003951F5">
        <w:rPr>
          <w:rFonts w:cstheme="minorHAnsi"/>
          <w:sz w:val="24"/>
          <w:szCs w:val="24"/>
          <w:vertAlign w:val="subscript"/>
        </w:rPr>
        <w:t>2</w:t>
      </w:r>
      <w:r w:rsidRPr="003951F5">
        <w:rPr>
          <w:rFonts w:cstheme="minorHAnsi"/>
          <w:sz w:val="24"/>
          <w:szCs w:val="24"/>
        </w:rPr>
        <w:t> using the EPA method 3015 for a final volume of 50 ml. Calibration blanks and standards were treated similarly. The samples were analyzed with inductively coupled plasma-optical emission spectrometry (ICP-OES; Optima 2100DV, PerkinElmer, Shelton, CT) for the following elements: Ca, Fe, Mg and P. The Perkin Elmer multi-element calibration standard 3 was used for Ca, Mg and Fe. Continued calibration verification was conducted with a midrange Perkin Elmer Std 3 of 0·5 mg l</w:t>
      </w:r>
      <w:r w:rsidRPr="003951F5">
        <w:rPr>
          <w:rFonts w:cstheme="minorHAnsi"/>
          <w:sz w:val="24"/>
          <w:szCs w:val="24"/>
          <w:vertAlign w:val="superscript"/>
        </w:rPr>
        <w:t>−1</w:t>
      </w:r>
      <w:r w:rsidRPr="003951F5">
        <w:rPr>
          <w:rFonts w:cstheme="minorHAnsi"/>
          <w:sz w:val="24"/>
          <w:szCs w:val="24"/>
        </w:rPr>
        <w:t>. The estimated detection limits for ICP-OES were 0·100 mg l</w:t>
      </w:r>
      <w:r w:rsidRPr="003951F5">
        <w:rPr>
          <w:rFonts w:cstheme="minorHAnsi"/>
          <w:sz w:val="24"/>
          <w:szCs w:val="24"/>
          <w:vertAlign w:val="superscript"/>
        </w:rPr>
        <w:t>−1</w:t>
      </w:r>
      <w:r w:rsidRPr="003951F5">
        <w:rPr>
          <w:rFonts w:cstheme="minorHAnsi"/>
          <w:sz w:val="24"/>
          <w:szCs w:val="24"/>
        </w:rPr>
        <w:t> for Ca, 0·050 mg l</w:t>
      </w:r>
      <w:r w:rsidRPr="003951F5">
        <w:rPr>
          <w:rFonts w:cstheme="minorHAnsi"/>
          <w:sz w:val="24"/>
          <w:szCs w:val="24"/>
          <w:vertAlign w:val="superscript"/>
        </w:rPr>
        <w:t>−1</w:t>
      </w:r>
      <w:r w:rsidRPr="003951F5">
        <w:rPr>
          <w:rFonts w:cstheme="minorHAnsi"/>
          <w:sz w:val="24"/>
          <w:szCs w:val="24"/>
        </w:rPr>
        <w:t> for Mg and 0·010 mg l</w:t>
      </w:r>
      <w:r w:rsidRPr="003951F5">
        <w:rPr>
          <w:rFonts w:cstheme="minorHAnsi"/>
          <w:sz w:val="24"/>
          <w:szCs w:val="24"/>
          <w:vertAlign w:val="superscript"/>
        </w:rPr>
        <w:t>−1</w:t>
      </w:r>
      <w:r w:rsidRPr="003951F5">
        <w:rPr>
          <w:rFonts w:cstheme="minorHAnsi"/>
          <w:sz w:val="24"/>
          <w:szCs w:val="24"/>
        </w:rPr>
        <w:t> for Fe.</w:t>
      </w:r>
    </w:p>
    <w:p w14:paraId="3997709C" w14:textId="77777777" w:rsidR="003951F5" w:rsidRPr="003951F5" w:rsidRDefault="003951F5" w:rsidP="00CC1E6C">
      <w:pPr>
        <w:pStyle w:val="Heading2"/>
      </w:pPr>
      <w:r w:rsidRPr="003951F5">
        <w:t>Membrane depolarization</w:t>
      </w:r>
    </w:p>
    <w:p w14:paraId="01C7EC9D" w14:textId="1B29D48C" w:rsidR="003951F5" w:rsidRPr="003951F5" w:rsidRDefault="003951F5" w:rsidP="003951F5">
      <w:pPr>
        <w:rPr>
          <w:rFonts w:cstheme="minorHAnsi"/>
          <w:sz w:val="24"/>
          <w:szCs w:val="24"/>
        </w:rPr>
      </w:pPr>
      <w:r w:rsidRPr="003951F5">
        <w:rPr>
          <w:rFonts w:cstheme="minorHAnsi"/>
          <w:sz w:val="24"/>
          <w:szCs w:val="24"/>
        </w:rPr>
        <w:t>The depolarization assay was conducted by adding 25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of a 250-</w:t>
      </w:r>
      <w:r w:rsidRPr="003951F5">
        <w:rPr>
          <w:rFonts w:cstheme="minorHAnsi"/>
          <w:i/>
          <w:iCs/>
          <w:sz w:val="24"/>
          <w:szCs w:val="24"/>
        </w:rPr>
        <w:t>μ</w:t>
      </w:r>
      <w:r w:rsidRPr="003951F5">
        <w:rPr>
          <w:rFonts w:cstheme="minorHAnsi"/>
          <w:sz w:val="24"/>
          <w:szCs w:val="24"/>
        </w:rPr>
        <w:t>mol l</w:t>
      </w:r>
      <w:r w:rsidRPr="003951F5">
        <w:rPr>
          <w:rFonts w:cstheme="minorHAnsi"/>
          <w:sz w:val="24"/>
          <w:szCs w:val="24"/>
          <w:vertAlign w:val="superscript"/>
        </w:rPr>
        <w:t>−1</w:t>
      </w:r>
      <w:r w:rsidRPr="003951F5">
        <w:rPr>
          <w:rFonts w:cstheme="minorHAnsi"/>
          <w:sz w:val="24"/>
          <w:szCs w:val="24"/>
        </w:rPr>
        <w:t xml:space="preserve"> stock solution of bis-(1,3-dibutylbarbituric acid) </w:t>
      </w:r>
      <w:proofErr w:type="spellStart"/>
      <w:r w:rsidRPr="003951F5">
        <w:rPr>
          <w:rFonts w:cstheme="minorHAnsi"/>
          <w:sz w:val="24"/>
          <w:szCs w:val="24"/>
        </w:rPr>
        <w:t>trimethine</w:t>
      </w:r>
      <w:proofErr w:type="spellEnd"/>
      <w:r w:rsidRPr="003951F5">
        <w:rPr>
          <w:rFonts w:cstheme="minorHAnsi"/>
          <w:sz w:val="24"/>
          <w:szCs w:val="24"/>
        </w:rPr>
        <w:t xml:space="preserve"> </w:t>
      </w:r>
      <w:proofErr w:type="spellStart"/>
      <w:r w:rsidRPr="003951F5">
        <w:rPr>
          <w:rFonts w:cstheme="minorHAnsi"/>
          <w:sz w:val="24"/>
          <w:szCs w:val="24"/>
        </w:rPr>
        <w:t>oxonol</w:t>
      </w:r>
      <w:proofErr w:type="spellEnd"/>
      <w:r w:rsidRPr="003951F5">
        <w:rPr>
          <w:rFonts w:cstheme="minorHAnsi"/>
          <w:sz w:val="24"/>
          <w:szCs w:val="24"/>
        </w:rPr>
        <w:t xml:space="preserve"> (bis-</w:t>
      </w:r>
      <w:proofErr w:type="spellStart"/>
      <w:r w:rsidRPr="003951F5">
        <w:rPr>
          <w:rFonts w:cstheme="minorHAnsi"/>
          <w:sz w:val="24"/>
          <w:szCs w:val="24"/>
        </w:rPr>
        <w:t>oxonol</w:t>
      </w:r>
      <w:proofErr w:type="spellEnd"/>
      <w:r w:rsidRPr="003951F5">
        <w:rPr>
          <w:rFonts w:cstheme="minorHAnsi"/>
          <w:sz w:val="24"/>
          <w:szCs w:val="24"/>
        </w:rPr>
        <w:t>) to 20 ml of 1-mmol l</w:t>
      </w:r>
      <w:r w:rsidRPr="003951F5">
        <w:rPr>
          <w:rFonts w:cstheme="minorHAnsi"/>
          <w:sz w:val="24"/>
          <w:szCs w:val="24"/>
          <w:vertAlign w:val="superscript"/>
        </w:rPr>
        <w:t>−1</w:t>
      </w:r>
      <w:r w:rsidRPr="003951F5">
        <w:rPr>
          <w:rFonts w:cstheme="minorHAnsi"/>
          <w:sz w:val="24"/>
          <w:szCs w:val="24"/>
        </w:rPr>
        <w:t> phosphate buffer (pH 7·0). Cells were grown and washed as described above. A 200-</w:t>
      </w:r>
      <w:r w:rsidRPr="003951F5">
        <w:rPr>
          <w:rFonts w:cstheme="minorHAnsi"/>
          <w:i/>
          <w:iCs/>
          <w:sz w:val="24"/>
          <w:szCs w:val="24"/>
        </w:rPr>
        <w:t>μ</w:t>
      </w:r>
      <w:r w:rsidRPr="003951F5">
        <w:rPr>
          <w:rFonts w:cstheme="minorHAnsi"/>
          <w:sz w:val="24"/>
          <w:szCs w:val="24"/>
        </w:rPr>
        <w:t>l aliquot of cells was added to the buffer dye mixture, vortexed and allowed to incubate statically for 15 min. The reaction vessel was centrifuged (5 min, 14 000 </w:t>
      </w:r>
      <w:r w:rsidRPr="003951F5">
        <w:rPr>
          <w:rFonts w:cstheme="minorHAnsi"/>
          <w:b/>
          <w:bCs/>
          <w:i/>
          <w:iCs/>
          <w:sz w:val="24"/>
          <w:szCs w:val="24"/>
        </w:rPr>
        <w:t>g</w:t>
      </w:r>
      <w:r w:rsidRPr="003951F5">
        <w:rPr>
          <w:rFonts w:cstheme="minorHAnsi"/>
          <w:sz w:val="24"/>
          <w:szCs w:val="24"/>
        </w:rPr>
        <w:t>) and the pellet washed twice in 0·75 ml of the dye buffer mixture. The pellet was resuspended in 1·5 ml of the dye buffer mixture and the fluorescence measured as described above with an excitation and emission wavelengths of 490 and 525 nm, respectively. After incubation, 200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of the reaction mixtures were added to a 96-well plate as described by </w:t>
      </w:r>
      <w:proofErr w:type="spellStart"/>
      <w:r w:rsidRPr="003951F5">
        <w:rPr>
          <w:rFonts w:cstheme="minorHAnsi"/>
          <w:sz w:val="24"/>
          <w:szCs w:val="24"/>
        </w:rPr>
        <w:t>Louzao</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2004</w:t>
      </w:r>
      <w:r w:rsidRPr="003951F5">
        <w:rPr>
          <w:rFonts w:cstheme="minorHAnsi"/>
          <w:sz w:val="24"/>
          <w:szCs w:val="24"/>
        </w:rPr>
        <w:t>) and monitored for 10 min. The fluorescence at a single time point was recorded after stabilization. Heat-killed controls (100°C, 10 min) were used as the positive control (Coronel-León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2016</w:t>
      </w:r>
      <w:r w:rsidRPr="003951F5">
        <w:rPr>
          <w:rFonts w:cstheme="minorHAnsi"/>
          <w:sz w:val="24"/>
          <w:szCs w:val="24"/>
        </w:rPr>
        <w:t>).</w:t>
      </w:r>
    </w:p>
    <w:p w14:paraId="6DCCF1A3" w14:textId="77777777" w:rsidR="003951F5" w:rsidRPr="003951F5" w:rsidRDefault="003951F5" w:rsidP="00CC1E6C">
      <w:pPr>
        <w:pStyle w:val="Heading2"/>
      </w:pPr>
      <w:r w:rsidRPr="003951F5">
        <w:t>Internal pH</w:t>
      </w:r>
    </w:p>
    <w:p w14:paraId="6A5EF9AB" w14:textId="6F056947" w:rsidR="003951F5" w:rsidRPr="003951F5" w:rsidRDefault="003951F5" w:rsidP="003951F5">
      <w:pPr>
        <w:rPr>
          <w:rFonts w:cstheme="minorHAnsi"/>
          <w:sz w:val="24"/>
          <w:szCs w:val="24"/>
        </w:rPr>
      </w:pPr>
      <w:r w:rsidRPr="003951F5">
        <w:rPr>
          <w:rFonts w:cstheme="minorHAnsi"/>
          <w:sz w:val="24"/>
          <w:szCs w:val="24"/>
        </w:rPr>
        <w:t xml:space="preserve">Cytoplasmic pH was determined as described by </w:t>
      </w:r>
      <w:proofErr w:type="spellStart"/>
      <w:r w:rsidRPr="003951F5">
        <w:rPr>
          <w:rFonts w:cstheme="minorHAnsi"/>
          <w:sz w:val="24"/>
          <w:szCs w:val="24"/>
        </w:rPr>
        <w:t>Breeuwer</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1996</w:t>
      </w:r>
      <w:r w:rsidRPr="003951F5">
        <w:rPr>
          <w:rFonts w:cstheme="minorHAnsi"/>
          <w:sz w:val="24"/>
          <w:szCs w:val="24"/>
        </w:rPr>
        <w:t xml:space="preserve">) and modified by </w:t>
      </w:r>
      <w:proofErr w:type="spellStart"/>
      <w:r w:rsidRPr="003951F5">
        <w:rPr>
          <w:rFonts w:cstheme="minorHAnsi"/>
          <w:sz w:val="24"/>
          <w:szCs w:val="24"/>
        </w:rPr>
        <w:t>Budde</w:t>
      </w:r>
      <w:proofErr w:type="spellEnd"/>
      <w:r w:rsidRPr="003951F5">
        <w:rPr>
          <w:rFonts w:cstheme="minorHAnsi"/>
          <w:sz w:val="24"/>
          <w:szCs w:val="24"/>
        </w:rPr>
        <w:t xml:space="preserve"> and Jakobsen (</w:t>
      </w:r>
      <w:r w:rsidRPr="003951F5">
        <w:rPr>
          <w:rFonts w:cstheme="minorHAnsi"/>
          <w:b/>
          <w:bCs/>
          <w:sz w:val="24"/>
          <w:szCs w:val="24"/>
        </w:rPr>
        <w:t>2000</w:t>
      </w:r>
      <w:r w:rsidRPr="003951F5">
        <w:rPr>
          <w:rFonts w:cstheme="minorHAnsi"/>
          <w:sz w:val="24"/>
          <w:szCs w:val="24"/>
        </w:rPr>
        <w:t>) and Cheng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2015</w:t>
      </w:r>
      <w:r w:rsidRPr="003951F5">
        <w:rPr>
          <w:rFonts w:cstheme="minorHAnsi"/>
          <w:sz w:val="24"/>
          <w:szCs w:val="24"/>
        </w:rPr>
        <w:t>). Briefly, cells were grown and harvested as above, diluted (OD</w:t>
      </w:r>
      <w:r w:rsidRPr="003951F5">
        <w:rPr>
          <w:rFonts w:cstheme="minorHAnsi"/>
          <w:sz w:val="24"/>
          <w:szCs w:val="24"/>
          <w:vertAlign w:val="subscript"/>
        </w:rPr>
        <w:t>600</w:t>
      </w:r>
      <w:r w:rsidRPr="003951F5">
        <w:rPr>
          <w:rFonts w:cstheme="minorHAnsi"/>
          <w:sz w:val="24"/>
          <w:szCs w:val="24"/>
        </w:rPr>
        <w:t> = 0·6), washed with 10 mmol l</w:t>
      </w:r>
      <w:r w:rsidRPr="003951F5">
        <w:rPr>
          <w:rFonts w:cstheme="minorHAnsi"/>
          <w:sz w:val="24"/>
          <w:szCs w:val="24"/>
          <w:vertAlign w:val="superscript"/>
        </w:rPr>
        <w:t>−1</w:t>
      </w:r>
      <w:r w:rsidRPr="003951F5">
        <w:rPr>
          <w:rFonts w:cstheme="minorHAnsi"/>
          <w:sz w:val="24"/>
          <w:szCs w:val="24"/>
        </w:rPr>
        <w:t> of phosphate buffer and stained with 10 </w:t>
      </w:r>
      <w:proofErr w:type="spellStart"/>
      <w:r w:rsidRPr="003951F5">
        <w:rPr>
          <w:rFonts w:cstheme="minorHAnsi"/>
          <w:i/>
          <w:iCs/>
          <w:sz w:val="24"/>
          <w:szCs w:val="24"/>
        </w:rPr>
        <w:t>μ</w:t>
      </w:r>
      <w:r w:rsidRPr="003951F5">
        <w:rPr>
          <w:rFonts w:cstheme="minorHAnsi"/>
          <w:sz w:val="24"/>
          <w:szCs w:val="24"/>
        </w:rPr>
        <w:t>mol</w:t>
      </w:r>
      <w:proofErr w:type="spellEnd"/>
      <w:r w:rsidRPr="003951F5">
        <w:rPr>
          <w:rFonts w:cstheme="minorHAnsi"/>
          <w:sz w:val="24"/>
          <w:szCs w:val="24"/>
        </w:rPr>
        <w:t> l</w:t>
      </w:r>
      <w:r w:rsidRPr="003951F5">
        <w:rPr>
          <w:rFonts w:cstheme="minorHAnsi"/>
          <w:sz w:val="24"/>
          <w:szCs w:val="24"/>
          <w:vertAlign w:val="superscript"/>
        </w:rPr>
        <w:t>−1</w:t>
      </w:r>
      <w:r w:rsidRPr="003951F5">
        <w:rPr>
          <w:rFonts w:cstheme="minorHAnsi"/>
          <w:sz w:val="24"/>
          <w:szCs w:val="24"/>
        </w:rPr>
        <w:t> of 5-(6</w:t>
      </w:r>
      <w:proofErr w:type="gramStart"/>
      <w:r w:rsidRPr="003951F5">
        <w:rPr>
          <w:rFonts w:cstheme="minorHAnsi"/>
          <w:sz w:val="24"/>
          <w:szCs w:val="24"/>
        </w:rPr>
        <w:t>-)</w:t>
      </w:r>
      <w:proofErr w:type="spellStart"/>
      <w:r w:rsidRPr="003951F5">
        <w:rPr>
          <w:rFonts w:cstheme="minorHAnsi"/>
          <w:sz w:val="24"/>
          <w:szCs w:val="24"/>
        </w:rPr>
        <w:t>carboxyfluorescein</w:t>
      </w:r>
      <w:proofErr w:type="spellEnd"/>
      <w:proofErr w:type="gramEnd"/>
      <w:r w:rsidRPr="003951F5">
        <w:rPr>
          <w:rFonts w:cstheme="minorHAnsi"/>
          <w:sz w:val="24"/>
          <w:szCs w:val="24"/>
        </w:rPr>
        <w:t xml:space="preserve"> </w:t>
      </w:r>
      <w:proofErr w:type="spellStart"/>
      <w:r w:rsidRPr="003951F5">
        <w:rPr>
          <w:rFonts w:cstheme="minorHAnsi"/>
          <w:sz w:val="24"/>
          <w:szCs w:val="24"/>
        </w:rPr>
        <w:t>succinimidyl</w:t>
      </w:r>
      <w:proofErr w:type="spellEnd"/>
      <w:r w:rsidRPr="003951F5">
        <w:rPr>
          <w:rFonts w:cstheme="minorHAnsi"/>
          <w:sz w:val="24"/>
          <w:szCs w:val="24"/>
        </w:rPr>
        <w:t xml:space="preserve"> ester (</w:t>
      </w:r>
      <w:proofErr w:type="spellStart"/>
      <w:r w:rsidRPr="003951F5">
        <w:rPr>
          <w:rFonts w:cstheme="minorHAnsi"/>
          <w:sz w:val="24"/>
          <w:szCs w:val="24"/>
        </w:rPr>
        <w:t>cFSE</w:t>
      </w:r>
      <w:proofErr w:type="spellEnd"/>
      <w:r w:rsidRPr="003951F5">
        <w:rPr>
          <w:rFonts w:cstheme="minorHAnsi"/>
          <w:sz w:val="24"/>
          <w:szCs w:val="24"/>
        </w:rPr>
        <w:t>) for 30 min (37°C). Cells were then resuspended in 0·01 mol l</w:t>
      </w:r>
      <w:r w:rsidRPr="003951F5">
        <w:rPr>
          <w:rFonts w:cstheme="minorHAnsi"/>
          <w:sz w:val="24"/>
          <w:szCs w:val="24"/>
          <w:vertAlign w:val="superscript"/>
        </w:rPr>
        <w:t>−1</w:t>
      </w:r>
      <w:r w:rsidRPr="003951F5">
        <w:rPr>
          <w:rFonts w:cstheme="minorHAnsi"/>
          <w:sz w:val="24"/>
          <w:szCs w:val="24"/>
        </w:rPr>
        <w:t> of glucose for 30 min (37°C), washed in phosphate buffer three times and stored at 4°C in the dark. Preloaded cells were then washed with phosphate buffer and used to inoculate (10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a series of </w:t>
      </w:r>
      <w:proofErr w:type="gramStart"/>
      <w:r w:rsidRPr="003951F5">
        <w:rPr>
          <w:rFonts w:cstheme="minorHAnsi"/>
          <w:sz w:val="24"/>
          <w:szCs w:val="24"/>
        </w:rPr>
        <w:t>1 :</w:t>
      </w:r>
      <w:proofErr w:type="gramEnd"/>
      <w:r w:rsidRPr="003951F5">
        <w:rPr>
          <w:rFonts w:cstheme="minorHAnsi"/>
          <w:sz w:val="24"/>
          <w:szCs w:val="24"/>
        </w:rPr>
        <w:t> 2 butanoic acid dilutions in a 96-well, flat bottom plate (final volume 100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xml:space="preserve">). The fluorescent ratio (495 nm/440 nm excitation wavelength; 525 nm emission wavelength) was measured using a </w:t>
      </w:r>
      <w:proofErr w:type="spellStart"/>
      <w:r w:rsidRPr="003951F5">
        <w:rPr>
          <w:rFonts w:cstheme="minorHAnsi"/>
          <w:sz w:val="24"/>
          <w:szCs w:val="24"/>
        </w:rPr>
        <w:t>BioTek</w:t>
      </w:r>
      <w:proofErr w:type="spellEnd"/>
      <w:r w:rsidRPr="003951F5">
        <w:rPr>
          <w:rFonts w:cstheme="minorHAnsi"/>
          <w:sz w:val="24"/>
          <w:szCs w:val="24"/>
        </w:rPr>
        <w:t xml:space="preserve"> Synergy 4 plate reader using gen 5 1.10 software. The standard curve was generated by treating </w:t>
      </w:r>
      <w:proofErr w:type="spellStart"/>
      <w:r w:rsidRPr="003951F5">
        <w:rPr>
          <w:rFonts w:cstheme="minorHAnsi"/>
          <w:sz w:val="24"/>
          <w:szCs w:val="24"/>
        </w:rPr>
        <w:t>cFSE</w:t>
      </w:r>
      <w:proofErr w:type="spellEnd"/>
      <w:r w:rsidRPr="003951F5">
        <w:rPr>
          <w:rFonts w:cstheme="minorHAnsi"/>
          <w:sz w:val="24"/>
          <w:szCs w:val="24"/>
        </w:rPr>
        <w:t>-loaded cells with 63% (v/v) ethanol to permeabilize the cells. These cells were then inoculated (10 </w:t>
      </w:r>
      <w:proofErr w:type="spellStart"/>
      <w:r w:rsidRPr="003951F5">
        <w:rPr>
          <w:rFonts w:cstheme="minorHAnsi"/>
          <w:i/>
          <w:iCs/>
          <w:sz w:val="24"/>
          <w:szCs w:val="24"/>
        </w:rPr>
        <w:t>μ</w:t>
      </w:r>
      <w:r w:rsidRPr="003951F5">
        <w:rPr>
          <w:rFonts w:cstheme="minorHAnsi"/>
          <w:sz w:val="24"/>
          <w:szCs w:val="24"/>
        </w:rPr>
        <w:t>l</w:t>
      </w:r>
      <w:proofErr w:type="spellEnd"/>
      <w:r w:rsidRPr="003951F5">
        <w:rPr>
          <w:rFonts w:cstheme="minorHAnsi"/>
          <w:sz w:val="24"/>
          <w:szCs w:val="24"/>
        </w:rPr>
        <w:t>) into buffer solutions ranging from pH 2 to pH 9, in 1·</w:t>
      </w:r>
      <w:proofErr w:type="gramStart"/>
      <w:r w:rsidRPr="003951F5">
        <w:rPr>
          <w:rFonts w:cstheme="minorHAnsi"/>
          <w:sz w:val="24"/>
          <w:szCs w:val="24"/>
        </w:rPr>
        <w:t>0 unit</w:t>
      </w:r>
      <w:proofErr w:type="gramEnd"/>
      <w:r w:rsidRPr="003951F5">
        <w:rPr>
          <w:rFonts w:cstheme="minorHAnsi"/>
          <w:sz w:val="24"/>
          <w:szCs w:val="24"/>
        </w:rPr>
        <w:t xml:space="preserve"> increments. The calibration curve was plotted by fitting the ratio 495/440 </w:t>
      </w:r>
      <w:r w:rsidRPr="003951F5">
        <w:rPr>
          <w:rFonts w:cstheme="minorHAnsi"/>
          <w:i/>
          <w:iCs/>
          <w:sz w:val="24"/>
          <w:szCs w:val="24"/>
        </w:rPr>
        <w:t>vs</w:t>
      </w:r>
      <w:r w:rsidRPr="003951F5">
        <w:rPr>
          <w:rFonts w:cstheme="minorHAnsi"/>
          <w:sz w:val="24"/>
          <w:szCs w:val="24"/>
        </w:rPr>
        <w:t> pH to a sigmoidal function (</w:t>
      </w:r>
      <w:proofErr w:type="spellStart"/>
      <w:r w:rsidRPr="003951F5">
        <w:rPr>
          <w:rFonts w:cstheme="minorHAnsi"/>
          <w:sz w:val="24"/>
          <w:szCs w:val="24"/>
        </w:rPr>
        <w:t>Breeuwer</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1996</w:t>
      </w:r>
      <w:r w:rsidRPr="003951F5">
        <w:rPr>
          <w:rFonts w:cstheme="minorHAnsi"/>
          <w:sz w:val="24"/>
          <w:szCs w:val="24"/>
        </w:rPr>
        <w:t>). A unique calibration curve was generated at each time point measured.</w:t>
      </w:r>
    </w:p>
    <w:p w14:paraId="589D04D7" w14:textId="77777777" w:rsidR="003951F5" w:rsidRPr="003951F5" w:rsidRDefault="003951F5" w:rsidP="00CC1E6C">
      <w:pPr>
        <w:pStyle w:val="Heading1"/>
      </w:pPr>
      <w:r w:rsidRPr="003951F5">
        <w:t>Results</w:t>
      </w:r>
    </w:p>
    <w:p w14:paraId="1ACF7F47" w14:textId="77777777" w:rsidR="003951F5" w:rsidRPr="003951F5" w:rsidRDefault="003951F5" w:rsidP="00CC1E6C">
      <w:pPr>
        <w:pStyle w:val="Heading2"/>
      </w:pPr>
      <w:r w:rsidRPr="003951F5">
        <w:t>Antibacterial activity of SCFAs</w:t>
      </w:r>
    </w:p>
    <w:p w14:paraId="25529219" w14:textId="64A2B0D2" w:rsidR="003951F5" w:rsidRPr="003951F5" w:rsidRDefault="003951F5" w:rsidP="003951F5">
      <w:pPr>
        <w:rPr>
          <w:rFonts w:cstheme="minorHAnsi"/>
          <w:sz w:val="24"/>
          <w:szCs w:val="24"/>
        </w:rPr>
      </w:pPr>
      <w:r w:rsidRPr="003951F5">
        <w:rPr>
          <w:rFonts w:cstheme="minorHAnsi"/>
          <w:sz w:val="24"/>
          <w:szCs w:val="24"/>
        </w:rPr>
        <w:t>The MIC of four SCFAs were determined for variety of bacterial species including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i/>
          <w:iCs/>
          <w:sz w:val="24"/>
          <w:szCs w:val="24"/>
        </w:rPr>
        <w:t xml:space="preserve">, S. </w:t>
      </w:r>
      <w:proofErr w:type="spellStart"/>
      <w:r w:rsidRPr="003951F5">
        <w:rPr>
          <w:rFonts w:cstheme="minorHAnsi"/>
          <w:i/>
          <w:iCs/>
          <w:sz w:val="24"/>
          <w:szCs w:val="24"/>
        </w:rPr>
        <w:t>pseudintermedius</w:t>
      </w:r>
      <w:proofErr w:type="spellEnd"/>
      <w:r w:rsidRPr="003951F5">
        <w:rPr>
          <w:rFonts w:cstheme="minorHAnsi"/>
          <w:sz w:val="24"/>
          <w:szCs w:val="24"/>
        </w:rPr>
        <w:t> and </w:t>
      </w:r>
      <w:r w:rsidRPr="003951F5">
        <w:rPr>
          <w:rFonts w:cstheme="minorHAnsi"/>
          <w:i/>
          <w:iCs/>
          <w:sz w:val="24"/>
          <w:szCs w:val="24"/>
        </w:rPr>
        <w:t>Bacillus anthracis</w:t>
      </w:r>
      <w:r w:rsidRPr="003951F5">
        <w:rPr>
          <w:rFonts w:cstheme="minorHAnsi"/>
          <w:sz w:val="24"/>
          <w:szCs w:val="24"/>
        </w:rPr>
        <w:t> Sterne (Table </w:t>
      </w:r>
      <w:r w:rsidRPr="003951F5">
        <w:rPr>
          <w:rFonts w:cstheme="minorHAnsi"/>
          <w:b/>
          <w:bCs/>
          <w:sz w:val="24"/>
          <w:szCs w:val="24"/>
        </w:rPr>
        <w:t>1</w:t>
      </w:r>
      <w:r w:rsidRPr="003951F5">
        <w:rPr>
          <w:rFonts w:cstheme="minorHAnsi"/>
          <w:sz w:val="24"/>
          <w:szCs w:val="24"/>
        </w:rPr>
        <w:t>). Inhibitory concentrations among these species range between 12 and 25 mmol l</w:t>
      </w:r>
      <w:r w:rsidRPr="003951F5">
        <w:rPr>
          <w:rFonts w:cstheme="minorHAnsi"/>
          <w:sz w:val="24"/>
          <w:szCs w:val="24"/>
          <w:vertAlign w:val="superscript"/>
        </w:rPr>
        <w:t>−1</w:t>
      </w:r>
      <w:r w:rsidRPr="003951F5">
        <w:rPr>
          <w:rFonts w:cstheme="minorHAnsi"/>
          <w:sz w:val="24"/>
          <w:szCs w:val="24"/>
        </w:rPr>
        <w:t>. </w:t>
      </w:r>
      <w:r w:rsidRPr="003951F5">
        <w:rPr>
          <w:rFonts w:cstheme="minorHAnsi"/>
          <w:i/>
          <w:iCs/>
          <w:sz w:val="24"/>
          <w:szCs w:val="24"/>
        </w:rPr>
        <w:t>Bacillus subtilis</w:t>
      </w:r>
      <w:r w:rsidRPr="003951F5">
        <w:rPr>
          <w:rFonts w:cstheme="minorHAnsi"/>
          <w:sz w:val="24"/>
          <w:szCs w:val="24"/>
        </w:rPr>
        <w:t> and </w:t>
      </w:r>
      <w:r w:rsidRPr="003951F5">
        <w:rPr>
          <w:rFonts w:cstheme="minorHAnsi"/>
          <w:i/>
          <w:iCs/>
          <w:sz w:val="24"/>
          <w:szCs w:val="24"/>
        </w:rPr>
        <w:t>Bacillus megaterium</w:t>
      </w:r>
      <w:r w:rsidRPr="003951F5">
        <w:rPr>
          <w:rFonts w:cstheme="minorHAnsi"/>
          <w:sz w:val="24"/>
          <w:szCs w:val="24"/>
        </w:rPr>
        <w:t xml:space="preserve"> vegetative cells show </w:t>
      </w:r>
      <w:proofErr w:type="gramStart"/>
      <w:r w:rsidRPr="003951F5">
        <w:rPr>
          <w:rFonts w:cstheme="minorHAnsi"/>
          <w:sz w:val="24"/>
          <w:szCs w:val="24"/>
        </w:rPr>
        <w:t>particular susceptibility</w:t>
      </w:r>
      <w:proofErr w:type="gramEnd"/>
      <w:r w:rsidRPr="003951F5">
        <w:rPr>
          <w:rFonts w:cstheme="minorHAnsi"/>
          <w:sz w:val="24"/>
          <w:szCs w:val="24"/>
        </w:rPr>
        <w:t xml:space="preserve"> to hexanoic acid with MICs of 0·95 and 2·4 mmol l</w:t>
      </w:r>
      <w:r w:rsidRPr="003951F5">
        <w:rPr>
          <w:rFonts w:cstheme="minorHAnsi"/>
          <w:sz w:val="24"/>
          <w:szCs w:val="24"/>
          <w:vertAlign w:val="superscript"/>
        </w:rPr>
        <w:t>−1</w:t>
      </w:r>
      <w:r w:rsidRPr="003951F5">
        <w:rPr>
          <w:rFonts w:cstheme="minorHAnsi"/>
          <w:sz w:val="24"/>
          <w:szCs w:val="24"/>
        </w:rPr>
        <w:t> respectively.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and </w:t>
      </w:r>
      <w:r w:rsidRPr="003951F5">
        <w:rPr>
          <w:rFonts w:cstheme="minorHAnsi"/>
          <w:i/>
          <w:iCs/>
          <w:sz w:val="24"/>
          <w:szCs w:val="24"/>
        </w:rPr>
        <w:t>B. subtilis</w:t>
      </w:r>
      <w:r w:rsidRPr="003951F5">
        <w:rPr>
          <w:rFonts w:cstheme="minorHAnsi"/>
          <w:sz w:val="24"/>
          <w:szCs w:val="24"/>
        </w:rPr>
        <w:t> were most susceptible to butanoic acid, with 11 mmol l</w:t>
      </w:r>
      <w:r w:rsidRPr="003951F5">
        <w:rPr>
          <w:rFonts w:cstheme="minorHAnsi"/>
          <w:sz w:val="24"/>
          <w:szCs w:val="24"/>
          <w:vertAlign w:val="superscript"/>
        </w:rPr>
        <w:t>−1</w:t>
      </w:r>
      <w:r w:rsidRPr="003951F5">
        <w:rPr>
          <w:rFonts w:cstheme="minorHAnsi"/>
          <w:sz w:val="24"/>
          <w:szCs w:val="24"/>
        </w:rPr>
        <w:t> sufficient for growth inhibition (Table </w:t>
      </w:r>
      <w:r w:rsidRPr="003951F5">
        <w:rPr>
          <w:rFonts w:cstheme="minorHAnsi"/>
          <w:b/>
          <w:bCs/>
          <w:sz w:val="24"/>
          <w:szCs w:val="24"/>
        </w:rPr>
        <w:t>1</w:t>
      </w:r>
      <w:r w:rsidRPr="003951F5">
        <w:rPr>
          <w:rFonts w:cstheme="minorHAnsi"/>
          <w:sz w:val="24"/>
          <w:szCs w:val="24"/>
        </w:rPr>
        <w:t>). Growth was observed when bacteria were treated with HCl-amended water, pH 4 as a control (data not shown).</w:t>
      </w:r>
    </w:p>
    <w:p w14:paraId="6BBB919C" w14:textId="77777777" w:rsidR="003951F5" w:rsidRPr="003951F5" w:rsidRDefault="003951F5" w:rsidP="00CC1E6C">
      <w:pPr>
        <w:spacing w:after="0"/>
        <w:rPr>
          <w:rFonts w:cstheme="minorHAnsi"/>
          <w:sz w:val="24"/>
          <w:szCs w:val="24"/>
        </w:rPr>
      </w:pPr>
      <w:r w:rsidRPr="003951F5">
        <w:rPr>
          <w:rFonts w:cstheme="minorHAnsi"/>
          <w:b/>
          <w:bCs/>
          <w:sz w:val="24"/>
          <w:szCs w:val="24"/>
        </w:rPr>
        <w:t>Table 1. </w:t>
      </w:r>
      <w:r w:rsidRPr="003951F5">
        <w:rPr>
          <w:rFonts w:cstheme="minorHAnsi"/>
          <w:sz w:val="24"/>
          <w:szCs w:val="24"/>
        </w:rPr>
        <w:t>Minimum inhibitory concentrations of short chain fatty acids (mmol l</w:t>
      </w:r>
      <w:r w:rsidRPr="003951F5">
        <w:rPr>
          <w:rFonts w:cstheme="minorHAnsi"/>
          <w:sz w:val="24"/>
          <w:szCs w:val="24"/>
          <w:vertAlign w:val="superscript"/>
        </w:rPr>
        <w:t>−1</w:t>
      </w:r>
      <w:r w:rsidRPr="003951F5">
        <w:rPr>
          <w:rFonts w:cstheme="minorHAnsi"/>
          <w:sz w:val="24"/>
          <w:szCs w:val="24"/>
        </w:rPr>
        <w:t>) at 37°C, pH 4·0, 24 h</w:t>
      </w:r>
    </w:p>
    <w:tbl>
      <w:tblPr>
        <w:tblStyle w:val="TableGrid"/>
        <w:tblW w:w="0" w:type="auto"/>
        <w:tblLook w:val="04A0" w:firstRow="1" w:lastRow="0" w:firstColumn="1" w:lastColumn="0" w:noHBand="0" w:noVBand="1"/>
      </w:tblPr>
      <w:tblGrid>
        <w:gridCol w:w="3489"/>
        <w:gridCol w:w="1308"/>
        <w:gridCol w:w="1099"/>
        <w:gridCol w:w="1135"/>
        <w:gridCol w:w="1213"/>
        <w:gridCol w:w="1223"/>
      </w:tblGrid>
      <w:tr w:rsidR="003951F5" w:rsidRPr="003951F5" w14:paraId="66DC986F" w14:textId="77777777" w:rsidTr="00CC1E6C">
        <w:tc>
          <w:tcPr>
            <w:tcW w:w="0" w:type="auto"/>
            <w:hideMark/>
          </w:tcPr>
          <w:p w14:paraId="15CE0749" w14:textId="77777777" w:rsidR="003951F5" w:rsidRPr="003951F5" w:rsidRDefault="003951F5" w:rsidP="00CC1E6C">
            <w:pPr>
              <w:spacing w:line="259" w:lineRule="auto"/>
              <w:rPr>
                <w:rFonts w:cstheme="minorHAnsi"/>
                <w:b/>
                <w:bCs/>
                <w:sz w:val="24"/>
                <w:szCs w:val="24"/>
              </w:rPr>
            </w:pPr>
            <w:r w:rsidRPr="003951F5">
              <w:rPr>
                <w:rFonts w:cstheme="minorHAnsi"/>
                <w:b/>
                <w:bCs/>
                <w:sz w:val="24"/>
                <w:szCs w:val="24"/>
              </w:rPr>
              <w:t>Organism</w:t>
            </w:r>
          </w:p>
        </w:tc>
        <w:tc>
          <w:tcPr>
            <w:tcW w:w="0" w:type="auto"/>
            <w:hideMark/>
          </w:tcPr>
          <w:p w14:paraId="1BFA2781" w14:textId="77777777" w:rsidR="003951F5" w:rsidRPr="003951F5" w:rsidRDefault="003951F5" w:rsidP="00CC1E6C">
            <w:pPr>
              <w:spacing w:line="259" w:lineRule="auto"/>
              <w:rPr>
                <w:rFonts w:cstheme="minorHAnsi"/>
                <w:b/>
                <w:bCs/>
                <w:sz w:val="24"/>
                <w:szCs w:val="24"/>
              </w:rPr>
            </w:pPr>
            <w:r w:rsidRPr="003951F5">
              <w:rPr>
                <w:rFonts w:cstheme="minorHAnsi"/>
                <w:b/>
                <w:bCs/>
                <w:sz w:val="24"/>
                <w:szCs w:val="24"/>
              </w:rPr>
              <w:t>Gram stain</w:t>
            </w:r>
          </w:p>
        </w:tc>
        <w:tc>
          <w:tcPr>
            <w:tcW w:w="0" w:type="auto"/>
            <w:hideMark/>
          </w:tcPr>
          <w:p w14:paraId="66CA4B3D" w14:textId="77777777" w:rsidR="003951F5" w:rsidRPr="003951F5" w:rsidRDefault="003951F5" w:rsidP="00CC1E6C">
            <w:pPr>
              <w:spacing w:line="259" w:lineRule="auto"/>
              <w:rPr>
                <w:rFonts w:cstheme="minorHAnsi"/>
                <w:b/>
                <w:bCs/>
                <w:sz w:val="24"/>
                <w:szCs w:val="24"/>
              </w:rPr>
            </w:pPr>
            <w:r w:rsidRPr="003951F5">
              <w:rPr>
                <w:rFonts w:cstheme="minorHAnsi"/>
                <w:b/>
                <w:bCs/>
                <w:sz w:val="24"/>
                <w:szCs w:val="24"/>
              </w:rPr>
              <w:t>Butanoic</w:t>
            </w:r>
          </w:p>
        </w:tc>
        <w:tc>
          <w:tcPr>
            <w:tcW w:w="0" w:type="auto"/>
            <w:hideMark/>
          </w:tcPr>
          <w:p w14:paraId="79B55905" w14:textId="77777777" w:rsidR="003951F5" w:rsidRPr="003951F5" w:rsidRDefault="003951F5" w:rsidP="00CC1E6C">
            <w:pPr>
              <w:spacing w:line="259" w:lineRule="auto"/>
              <w:rPr>
                <w:rFonts w:cstheme="minorHAnsi"/>
                <w:b/>
                <w:bCs/>
                <w:sz w:val="24"/>
                <w:szCs w:val="24"/>
              </w:rPr>
            </w:pPr>
            <w:r w:rsidRPr="003951F5">
              <w:rPr>
                <w:rFonts w:cstheme="minorHAnsi"/>
                <w:b/>
                <w:bCs/>
                <w:sz w:val="24"/>
                <w:szCs w:val="24"/>
              </w:rPr>
              <w:t>Hexanoic</w:t>
            </w:r>
          </w:p>
        </w:tc>
        <w:tc>
          <w:tcPr>
            <w:tcW w:w="0" w:type="auto"/>
            <w:hideMark/>
          </w:tcPr>
          <w:p w14:paraId="3D250A4E" w14:textId="77777777" w:rsidR="003951F5" w:rsidRPr="003951F5" w:rsidRDefault="003951F5" w:rsidP="00CC1E6C">
            <w:pPr>
              <w:spacing w:line="259" w:lineRule="auto"/>
              <w:rPr>
                <w:rFonts w:cstheme="minorHAnsi"/>
                <w:b/>
                <w:bCs/>
                <w:sz w:val="24"/>
                <w:szCs w:val="24"/>
              </w:rPr>
            </w:pPr>
            <w:proofErr w:type="spellStart"/>
            <w:r w:rsidRPr="003951F5">
              <w:rPr>
                <w:rFonts w:cstheme="minorHAnsi"/>
                <w:b/>
                <w:bCs/>
                <w:sz w:val="24"/>
                <w:szCs w:val="24"/>
              </w:rPr>
              <w:t>Pentanoic</w:t>
            </w:r>
            <w:proofErr w:type="spellEnd"/>
          </w:p>
        </w:tc>
        <w:tc>
          <w:tcPr>
            <w:tcW w:w="0" w:type="auto"/>
            <w:hideMark/>
          </w:tcPr>
          <w:p w14:paraId="510924FB" w14:textId="77777777" w:rsidR="003951F5" w:rsidRPr="003951F5" w:rsidRDefault="003951F5" w:rsidP="00CC1E6C">
            <w:pPr>
              <w:spacing w:line="259" w:lineRule="auto"/>
              <w:rPr>
                <w:rFonts w:cstheme="minorHAnsi"/>
                <w:b/>
                <w:bCs/>
                <w:sz w:val="24"/>
                <w:szCs w:val="24"/>
              </w:rPr>
            </w:pPr>
            <w:r w:rsidRPr="003951F5">
              <w:rPr>
                <w:rFonts w:cstheme="minorHAnsi"/>
                <w:b/>
                <w:bCs/>
                <w:sz w:val="24"/>
                <w:szCs w:val="24"/>
              </w:rPr>
              <w:t>Propanoic</w:t>
            </w:r>
          </w:p>
        </w:tc>
      </w:tr>
      <w:tr w:rsidR="003951F5" w:rsidRPr="003951F5" w14:paraId="4DE73801" w14:textId="77777777" w:rsidTr="00CC1E6C">
        <w:tc>
          <w:tcPr>
            <w:tcW w:w="0" w:type="auto"/>
            <w:hideMark/>
          </w:tcPr>
          <w:p w14:paraId="37D0BFB4" w14:textId="712F1DC6" w:rsidR="003951F5" w:rsidRPr="003951F5" w:rsidRDefault="003951F5" w:rsidP="00CC1E6C">
            <w:pPr>
              <w:spacing w:line="259" w:lineRule="auto"/>
              <w:rPr>
                <w:rFonts w:cstheme="minorHAnsi"/>
                <w:sz w:val="24"/>
                <w:szCs w:val="24"/>
              </w:rPr>
            </w:pP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a</w:t>
            </w:r>
          </w:p>
        </w:tc>
        <w:tc>
          <w:tcPr>
            <w:tcW w:w="0" w:type="auto"/>
            <w:hideMark/>
          </w:tcPr>
          <w:p w14:paraId="5E572D03"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5166B703"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6C87CFA5" w14:textId="77777777" w:rsidR="003951F5" w:rsidRPr="003951F5" w:rsidRDefault="003951F5" w:rsidP="00CC1E6C">
            <w:pPr>
              <w:spacing w:line="259" w:lineRule="auto"/>
              <w:rPr>
                <w:rFonts w:cstheme="minorHAnsi"/>
                <w:sz w:val="24"/>
                <w:szCs w:val="24"/>
              </w:rPr>
            </w:pPr>
            <w:r w:rsidRPr="003951F5">
              <w:rPr>
                <w:rFonts w:cstheme="minorHAnsi"/>
                <w:sz w:val="24"/>
                <w:szCs w:val="24"/>
              </w:rPr>
              <w:t>19</w:t>
            </w:r>
          </w:p>
        </w:tc>
        <w:tc>
          <w:tcPr>
            <w:tcW w:w="0" w:type="auto"/>
            <w:hideMark/>
          </w:tcPr>
          <w:p w14:paraId="3135D9D0" w14:textId="77777777" w:rsidR="003951F5" w:rsidRPr="003951F5" w:rsidRDefault="003951F5" w:rsidP="00CC1E6C">
            <w:pPr>
              <w:spacing w:line="259" w:lineRule="auto"/>
              <w:rPr>
                <w:rFonts w:cstheme="minorHAnsi"/>
                <w:sz w:val="24"/>
                <w:szCs w:val="24"/>
              </w:rPr>
            </w:pPr>
            <w:r w:rsidRPr="003951F5">
              <w:rPr>
                <w:rFonts w:cstheme="minorHAnsi"/>
                <w:sz w:val="24"/>
                <w:szCs w:val="24"/>
              </w:rPr>
              <w:t>25</w:t>
            </w:r>
          </w:p>
        </w:tc>
        <w:tc>
          <w:tcPr>
            <w:tcW w:w="0" w:type="auto"/>
            <w:hideMark/>
          </w:tcPr>
          <w:p w14:paraId="79F1D78D"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7870EAE2" w14:textId="77777777" w:rsidTr="00CC1E6C">
        <w:tc>
          <w:tcPr>
            <w:tcW w:w="0" w:type="auto"/>
            <w:hideMark/>
          </w:tcPr>
          <w:p w14:paraId="3A5C5AE7"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Bacillus anthracis</w:t>
            </w:r>
            <w:r w:rsidRPr="003951F5">
              <w:rPr>
                <w:rFonts w:cstheme="minorHAnsi"/>
                <w:sz w:val="24"/>
                <w:szCs w:val="24"/>
              </w:rPr>
              <w:t> Sterne strain</w:t>
            </w:r>
          </w:p>
        </w:tc>
        <w:tc>
          <w:tcPr>
            <w:tcW w:w="0" w:type="auto"/>
            <w:hideMark/>
          </w:tcPr>
          <w:p w14:paraId="04180FE9"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2A2715C4"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387ADBEB" w14:textId="77777777" w:rsidR="003951F5" w:rsidRPr="003951F5" w:rsidRDefault="003951F5" w:rsidP="00CC1E6C">
            <w:pPr>
              <w:spacing w:line="259" w:lineRule="auto"/>
              <w:rPr>
                <w:rFonts w:cstheme="minorHAnsi"/>
                <w:sz w:val="24"/>
                <w:szCs w:val="24"/>
              </w:rPr>
            </w:pPr>
            <w:r w:rsidRPr="003951F5">
              <w:rPr>
                <w:rFonts w:cstheme="minorHAnsi"/>
                <w:sz w:val="24"/>
                <w:szCs w:val="24"/>
              </w:rPr>
              <w:t>12</w:t>
            </w:r>
          </w:p>
        </w:tc>
        <w:tc>
          <w:tcPr>
            <w:tcW w:w="0" w:type="auto"/>
            <w:hideMark/>
          </w:tcPr>
          <w:p w14:paraId="5C53866F" w14:textId="77777777" w:rsidR="003951F5" w:rsidRPr="003951F5" w:rsidRDefault="003951F5" w:rsidP="00CC1E6C">
            <w:pPr>
              <w:spacing w:line="259" w:lineRule="auto"/>
              <w:rPr>
                <w:rFonts w:cstheme="minorHAnsi"/>
                <w:sz w:val="24"/>
                <w:szCs w:val="24"/>
              </w:rPr>
            </w:pPr>
            <w:r w:rsidRPr="003951F5">
              <w:rPr>
                <w:rFonts w:cstheme="minorHAnsi"/>
                <w:sz w:val="24"/>
                <w:szCs w:val="24"/>
              </w:rPr>
              <w:t>12</w:t>
            </w:r>
          </w:p>
        </w:tc>
        <w:tc>
          <w:tcPr>
            <w:tcW w:w="0" w:type="auto"/>
            <w:hideMark/>
          </w:tcPr>
          <w:p w14:paraId="0B5935C8"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522392E9" w14:textId="77777777" w:rsidTr="00CC1E6C">
        <w:tc>
          <w:tcPr>
            <w:tcW w:w="0" w:type="auto"/>
            <w:hideMark/>
          </w:tcPr>
          <w:p w14:paraId="1EEFC6E8"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Bacillus subtilis</w:t>
            </w:r>
          </w:p>
        </w:tc>
        <w:tc>
          <w:tcPr>
            <w:tcW w:w="0" w:type="auto"/>
            <w:hideMark/>
          </w:tcPr>
          <w:p w14:paraId="6FAE6DD9"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11B9072F" w14:textId="77777777" w:rsidR="003951F5" w:rsidRPr="003951F5" w:rsidRDefault="003951F5" w:rsidP="00CC1E6C">
            <w:pPr>
              <w:spacing w:line="259" w:lineRule="auto"/>
              <w:rPr>
                <w:rFonts w:cstheme="minorHAnsi"/>
                <w:sz w:val="24"/>
                <w:szCs w:val="24"/>
              </w:rPr>
            </w:pPr>
            <w:r w:rsidRPr="003951F5">
              <w:rPr>
                <w:rFonts w:cstheme="minorHAnsi"/>
                <w:sz w:val="24"/>
                <w:szCs w:val="24"/>
              </w:rPr>
              <w:t>11</w:t>
            </w:r>
          </w:p>
        </w:tc>
        <w:tc>
          <w:tcPr>
            <w:tcW w:w="0" w:type="auto"/>
            <w:hideMark/>
          </w:tcPr>
          <w:p w14:paraId="0255588A" w14:textId="77777777" w:rsidR="003951F5" w:rsidRPr="003951F5" w:rsidRDefault="003951F5" w:rsidP="00CC1E6C">
            <w:pPr>
              <w:spacing w:line="259" w:lineRule="auto"/>
              <w:rPr>
                <w:rFonts w:cstheme="minorHAnsi"/>
                <w:sz w:val="24"/>
                <w:szCs w:val="24"/>
              </w:rPr>
            </w:pPr>
            <w:r w:rsidRPr="003951F5">
              <w:rPr>
                <w:rFonts w:cstheme="minorHAnsi"/>
                <w:sz w:val="24"/>
                <w:szCs w:val="24"/>
              </w:rPr>
              <w:t>0·95</w:t>
            </w:r>
          </w:p>
        </w:tc>
        <w:tc>
          <w:tcPr>
            <w:tcW w:w="0" w:type="auto"/>
            <w:hideMark/>
          </w:tcPr>
          <w:p w14:paraId="1F325E08" w14:textId="77777777" w:rsidR="003951F5" w:rsidRPr="003951F5" w:rsidRDefault="003951F5" w:rsidP="00CC1E6C">
            <w:pPr>
              <w:spacing w:line="259" w:lineRule="auto"/>
              <w:rPr>
                <w:rFonts w:cstheme="minorHAnsi"/>
                <w:sz w:val="24"/>
                <w:szCs w:val="24"/>
              </w:rPr>
            </w:pPr>
            <w:r w:rsidRPr="003951F5">
              <w:rPr>
                <w:rFonts w:cstheme="minorHAnsi"/>
                <w:sz w:val="24"/>
                <w:szCs w:val="24"/>
              </w:rPr>
              <w:t>12</w:t>
            </w:r>
          </w:p>
        </w:tc>
        <w:tc>
          <w:tcPr>
            <w:tcW w:w="0" w:type="auto"/>
            <w:hideMark/>
          </w:tcPr>
          <w:p w14:paraId="6A4E1FB7" w14:textId="77777777" w:rsidR="003951F5" w:rsidRPr="003951F5" w:rsidRDefault="003951F5" w:rsidP="00CC1E6C">
            <w:pPr>
              <w:spacing w:line="259" w:lineRule="auto"/>
              <w:rPr>
                <w:rFonts w:cstheme="minorHAnsi"/>
                <w:sz w:val="24"/>
                <w:szCs w:val="24"/>
              </w:rPr>
            </w:pPr>
            <w:r w:rsidRPr="003951F5">
              <w:rPr>
                <w:rFonts w:cstheme="minorHAnsi"/>
                <w:sz w:val="24"/>
                <w:szCs w:val="24"/>
              </w:rPr>
              <w:t>12</w:t>
            </w:r>
          </w:p>
        </w:tc>
      </w:tr>
      <w:tr w:rsidR="003951F5" w:rsidRPr="003951F5" w14:paraId="6111354A" w14:textId="77777777" w:rsidTr="00CC1E6C">
        <w:tc>
          <w:tcPr>
            <w:tcW w:w="0" w:type="auto"/>
            <w:hideMark/>
          </w:tcPr>
          <w:p w14:paraId="39C7CFE8"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Bacillus megaterium</w:t>
            </w:r>
          </w:p>
        </w:tc>
        <w:tc>
          <w:tcPr>
            <w:tcW w:w="0" w:type="auto"/>
            <w:hideMark/>
          </w:tcPr>
          <w:p w14:paraId="417FDA43"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60E51427"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4F4317E0" w14:textId="77777777" w:rsidR="003951F5" w:rsidRPr="003951F5" w:rsidRDefault="003951F5" w:rsidP="00CC1E6C">
            <w:pPr>
              <w:spacing w:line="259" w:lineRule="auto"/>
              <w:rPr>
                <w:rFonts w:cstheme="minorHAnsi"/>
                <w:sz w:val="24"/>
                <w:szCs w:val="24"/>
              </w:rPr>
            </w:pPr>
            <w:r w:rsidRPr="003951F5">
              <w:rPr>
                <w:rFonts w:cstheme="minorHAnsi"/>
                <w:sz w:val="24"/>
                <w:szCs w:val="24"/>
              </w:rPr>
              <w:t>2·4</w:t>
            </w:r>
          </w:p>
        </w:tc>
        <w:tc>
          <w:tcPr>
            <w:tcW w:w="0" w:type="auto"/>
            <w:hideMark/>
          </w:tcPr>
          <w:p w14:paraId="5BF7C1F1" w14:textId="77777777" w:rsidR="003951F5" w:rsidRPr="003951F5" w:rsidRDefault="003951F5" w:rsidP="00CC1E6C">
            <w:pPr>
              <w:spacing w:line="259" w:lineRule="auto"/>
              <w:rPr>
                <w:rFonts w:cstheme="minorHAnsi"/>
                <w:sz w:val="24"/>
                <w:szCs w:val="24"/>
              </w:rPr>
            </w:pPr>
            <w:r w:rsidRPr="003951F5">
              <w:rPr>
                <w:rFonts w:cstheme="minorHAnsi"/>
                <w:sz w:val="24"/>
                <w:szCs w:val="24"/>
              </w:rPr>
              <w:t>12</w:t>
            </w:r>
          </w:p>
        </w:tc>
        <w:tc>
          <w:tcPr>
            <w:tcW w:w="0" w:type="auto"/>
            <w:hideMark/>
          </w:tcPr>
          <w:p w14:paraId="4AD82506"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35053D73" w14:textId="77777777" w:rsidTr="00CC1E6C">
        <w:tc>
          <w:tcPr>
            <w:tcW w:w="0" w:type="auto"/>
            <w:hideMark/>
          </w:tcPr>
          <w:p w14:paraId="6C36371D"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Escherichia coli</w:t>
            </w:r>
          </w:p>
        </w:tc>
        <w:tc>
          <w:tcPr>
            <w:tcW w:w="0" w:type="auto"/>
            <w:hideMark/>
          </w:tcPr>
          <w:p w14:paraId="76ED4E90"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08EBF469"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5F0C0AA1"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6C009BF3" w14:textId="77777777" w:rsidR="003951F5" w:rsidRPr="003951F5" w:rsidRDefault="003951F5" w:rsidP="00CC1E6C">
            <w:pPr>
              <w:spacing w:line="259" w:lineRule="auto"/>
              <w:rPr>
                <w:rFonts w:cstheme="minorHAnsi"/>
                <w:sz w:val="24"/>
                <w:szCs w:val="24"/>
              </w:rPr>
            </w:pPr>
            <w:r w:rsidRPr="003951F5">
              <w:rPr>
                <w:rFonts w:cstheme="minorHAnsi"/>
                <w:sz w:val="24"/>
                <w:szCs w:val="24"/>
              </w:rPr>
              <w:t>13</w:t>
            </w:r>
          </w:p>
        </w:tc>
        <w:tc>
          <w:tcPr>
            <w:tcW w:w="0" w:type="auto"/>
            <w:hideMark/>
          </w:tcPr>
          <w:p w14:paraId="6E6BB4D5"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07FE5410" w14:textId="77777777" w:rsidTr="00CC1E6C">
        <w:tc>
          <w:tcPr>
            <w:tcW w:w="0" w:type="auto"/>
            <w:hideMark/>
          </w:tcPr>
          <w:p w14:paraId="2513382D"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Staphylococcus aureus</w:t>
            </w:r>
          </w:p>
        </w:tc>
        <w:tc>
          <w:tcPr>
            <w:tcW w:w="0" w:type="auto"/>
            <w:hideMark/>
          </w:tcPr>
          <w:p w14:paraId="6D5ED031"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6965CA54"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010FF354" w14:textId="77777777" w:rsidR="003951F5" w:rsidRPr="003951F5" w:rsidRDefault="003951F5" w:rsidP="00CC1E6C">
            <w:pPr>
              <w:spacing w:line="259" w:lineRule="auto"/>
              <w:rPr>
                <w:rFonts w:cstheme="minorHAnsi"/>
                <w:sz w:val="24"/>
                <w:szCs w:val="24"/>
              </w:rPr>
            </w:pPr>
            <w:r w:rsidRPr="003951F5">
              <w:rPr>
                <w:rFonts w:cstheme="minorHAnsi"/>
                <w:sz w:val="24"/>
                <w:szCs w:val="24"/>
              </w:rPr>
              <w:t>19</w:t>
            </w:r>
          </w:p>
        </w:tc>
        <w:tc>
          <w:tcPr>
            <w:tcW w:w="0" w:type="auto"/>
            <w:hideMark/>
          </w:tcPr>
          <w:p w14:paraId="5BF685D3" w14:textId="77777777" w:rsidR="003951F5" w:rsidRPr="003951F5" w:rsidRDefault="003951F5" w:rsidP="00CC1E6C">
            <w:pPr>
              <w:spacing w:line="259" w:lineRule="auto"/>
              <w:rPr>
                <w:rFonts w:cstheme="minorHAnsi"/>
                <w:sz w:val="24"/>
                <w:szCs w:val="24"/>
              </w:rPr>
            </w:pPr>
            <w:r w:rsidRPr="003951F5">
              <w:rPr>
                <w:rFonts w:cstheme="minorHAnsi"/>
                <w:sz w:val="24"/>
                <w:szCs w:val="24"/>
              </w:rPr>
              <w:t>25</w:t>
            </w:r>
          </w:p>
        </w:tc>
        <w:tc>
          <w:tcPr>
            <w:tcW w:w="0" w:type="auto"/>
            <w:hideMark/>
          </w:tcPr>
          <w:p w14:paraId="1B78E538"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6EBAB0FC" w14:textId="77777777" w:rsidTr="00CC1E6C">
        <w:tc>
          <w:tcPr>
            <w:tcW w:w="0" w:type="auto"/>
            <w:hideMark/>
          </w:tcPr>
          <w:p w14:paraId="42EB9E90"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Staphylococcus epidermidis</w:t>
            </w:r>
          </w:p>
        </w:tc>
        <w:tc>
          <w:tcPr>
            <w:tcW w:w="0" w:type="auto"/>
            <w:hideMark/>
          </w:tcPr>
          <w:p w14:paraId="642ECF5B"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72D5B61D"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0BB8717F" w14:textId="77777777" w:rsidR="003951F5" w:rsidRPr="003951F5" w:rsidRDefault="003951F5" w:rsidP="00CC1E6C">
            <w:pPr>
              <w:spacing w:line="259" w:lineRule="auto"/>
              <w:rPr>
                <w:rFonts w:cstheme="minorHAnsi"/>
                <w:sz w:val="24"/>
                <w:szCs w:val="24"/>
              </w:rPr>
            </w:pPr>
            <w:r w:rsidRPr="003951F5">
              <w:rPr>
                <w:rFonts w:cstheme="minorHAnsi"/>
                <w:sz w:val="24"/>
                <w:szCs w:val="24"/>
              </w:rPr>
              <w:t>19</w:t>
            </w:r>
          </w:p>
        </w:tc>
        <w:tc>
          <w:tcPr>
            <w:tcW w:w="0" w:type="auto"/>
            <w:hideMark/>
          </w:tcPr>
          <w:p w14:paraId="3DE6CB76" w14:textId="77777777" w:rsidR="003951F5" w:rsidRPr="003951F5" w:rsidRDefault="003951F5" w:rsidP="00CC1E6C">
            <w:pPr>
              <w:spacing w:line="259" w:lineRule="auto"/>
              <w:rPr>
                <w:rFonts w:cstheme="minorHAnsi"/>
                <w:sz w:val="24"/>
                <w:szCs w:val="24"/>
              </w:rPr>
            </w:pPr>
            <w:r w:rsidRPr="003951F5">
              <w:rPr>
                <w:rFonts w:cstheme="minorHAnsi"/>
                <w:sz w:val="24"/>
                <w:szCs w:val="24"/>
              </w:rPr>
              <w:t>25</w:t>
            </w:r>
          </w:p>
        </w:tc>
        <w:tc>
          <w:tcPr>
            <w:tcW w:w="0" w:type="auto"/>
            <w:hideMark/>
          </w:tcPr>
          <w:p w14:paraId="5A183BCB"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5BD76137" w14:textId="77777777" w:rsidTr="00CC1E6C">
        <w:tc>
          <w:tcPr>
            <w:tcW w:w="0" w:type="auto"/>
            <w:hideMark/>
          </w:tcPr>
          <w:p w14:paraId="0B24B660"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Staphylococcus intermedius</w:t>
            </w:r>
          </w:p>
        </w:tc>
        <w:tc>
          <w:tcPr>
            <w:tcW w:w="0" w:type="auto"/>
            <w:hideMark/>
          </w:tcPr>
          <w:p w14:paraId="1A753A0C"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1E40A88A" w14:textId="77777777" w:rsidR="003951F5" w:rsidRPr="003951F5" w:rsidRDefault="003951F5" w:rsidP="00CC1E6C">
            <w:pPr>
              <w:spacing w:line="259" w:lineRule="auto"/>
              <w:rPr>
                <w:rFonts w:cstheme="minorHAnsi"/>
                <w:sz w:val="24"/>
                <w:szCs w:val="24"/>
              </w:rPr>
            </w:pPr>
            <w:r w:rsidRPr="003951F5">
              <w:rPr>
                <w:rFonts w:cstheme="minorHAnsi"/>
                <w:sz w:val="24"/>
                <w:szCs w:val="24"/>
              </w:rPr>
              <w:t>21</w:t>
            </w:r>
          </w:p>
        </w:tc>
        <w:tc>
          <w:tcPr>
            <w:tcW w:w="0" w:type="auto"/>
            <w:hideMark/>
          </w:tcPr>
          <w:p w14:paraId="318E893B" w14:textId="77777777" w:rsidR="003951F5" w:rsidRPr="003951F5" w:rsidRDefault="003951F5" w:rsidP="00CC1E6C">
            <w:pPr>
              <w:spacing w:line="259" w:lineRule="auto"/>
              <w:rPr>
                <w:rFonts w:cstheme="minorHAnsi"/>
                <w:sz w:val="24"/>
                <w:szCs w:val="24"/>
              </w:rPr>
            </w:pPr>
            <w:r w:rsidRPr="003951F5">
              <w:rPr>
                <w:rFonts w:cstheme="minorHAnsi"/>
                <w:sz w:val="24"/>
                <w:szCs w:val="24"/>
              </w:rPr>
              <w:t>19</w:t>
            </w:r>
          </w:p>
        </w:tc>
        <w:tc>
          <w:tcPr>
            <w:tcW w:w="0" w:type="auto"/>
            <w:hideMark/>
          </w:tcPr>
          <w:p w14:paraId="443360C5" w14:textId="77777777" w:rsidR="003951F5" w:rsidRPr="003951F5" w:rsidRDefault="003951F5" w:rsidP="00CC1E6C">
            <w:pPr>
              <w:spacing w:line="259" w:lineRule="auto"/>
              <w:rPr>
                <w:rFonts w:cstheme="minorHAnsi"/>
                <w:sz w:val="24"/>
                <w:szCs w:val="24"/>
              </w:rPr>
            </w:pPr>
            <w:r w:rsidRPr="003951F5">
              <w:rPr>
                <w:rFonts w:cstheme="minorHAnsi"/>
                <w:sz w:val="24"/>
                <w:szCs w:val="24"/>
              </w:rPr>
              <w:t>25</w:t>
            </w:r>
          </w:p>
        </w:tc>
        <w:tc>
          <w:tcPr>
            <w:tcW w:w="0" w:type="auto"/>
            <w:hideMark/>
          </w:tcPr>
          <w:p w14:paraId="02143239"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r w:rsidR="003951F5" w:rsidRPr="003951F5" w14:paraId="0ED37C10" w14:textId="77777777" w:rsidTr="00CC1E6C">
        <w:tc>
          <w:tcPr>
            <w:tcW w:w="0" w:type="auto"/>
            <w:hideMark/>
          </w:tcPr>
          <w:p w14:paraId="70B950C6" w14:textId="77777777" w:rsidR="003951F5" w:rsidRPr="003951F5" w:rsidRDefault="003951F5" w:rsidP="00CC1E6C">
            <w:pPr>
              <w:spacing w:line="259" w:lineRule="auto"/>
              <w:rPr>
                <w:rFonts w:cstheme="minorHAnsi"/>
                <w:sz w:val="24"/>
                <w:szCs w:val="24"/>
              </w:rPr>
            </w:pP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p>
        </w:tc>
        <w:tc>
          <w:tcPr>
            <w:tcW w:w="0" w:type="auto"/>
            <w:hideMark/>
          </w:tcPr>
          <w:p w14:paraId="105CABF3" w14:textId="77777777" w:rsidR="003951F5" w:rsidRPr="003951F5" w:rsidRDefault="003951F5" w:rsidP="00CC1E6C">
            <w:pPr>
              <w:spacing w:line="259" w:lineRule="auto"/>
              <w:rPr>
                <w:rFonts w:cstheme="minorHAnsi"/>
                <w:sz w:val="24"/>
                <w:szCs w:val="24"/>
              </w:rPr>
            </w:pPr>
            <w:r w:rsidRPr="003951F5">
              <w:rPr>
                <w:rFonts w:cstheme="minorHAnsi"/>
                <w:sz w:val="24"/>
                <w:szCs w:val="24"/>
              </w:rPr>
              <w:t>+</w:t>
            </w:r>
          </w:p>
        </w:tc>
        <w:tc>
          <w:tcPr>
            <w:tcW w:w="0" w:type="auto"/>
            <w:hideMark/>
          </w:tcPr>
          <w:p w14:paraId="4E3D5208" w14:textId="77777777" w:rsidR="003951F5" w:rsidRPr="003951F5" w:rsidRDefault="003951F5" w:rsidP="00CC1E6C">
            <w:pPr>
              <w:spacing w:line="259" w:lineRule="auto"/>
              <w:rPr>
                <w:rFonts w:cstheme="minorHAnsi"/>
                <w:sz w:val="24"/>
                <w:szCs w:val="24"/>
              </w:rPr>
            </w:pPr>
            <w:r w:rsidRPr="003951F5">
              <w:rPr>
                <w:rFonts w:cstheme="minorHAnsi"/>
                <w:sz w:val="24"/>
                <w:szCs w:val="24"/>
              </w:rPr>
              <w:t>11</w:t>
            </w:r>
          </w:p>
        </w:tc>
        <w:tc>
          <w:tcPr>
            <w:tcW w:w="0" w:type="auto"/>
            <w:hideMark/>
          </w:tcPr>
          <w:p w14:paraId="2180E50F" w14:textId="77777777" w:rsidR="003951F5" w:rsidRPr="003951F5" w:rsidRDefault="003951F5" w:rsidP="00CC1E6C">
            <w:pPr>
              <w:spacing w:line="259" w:lineRule="auto"/>
              <w:rPr>
                <w:rFonts w:cstheme="minorHAnsi"/>
                <w:sz w:val="24"/>
                <w:szCs w:val="24"/>
              </w:rPr>
            </w:pPr>
            <w:r w:rsidRPr="003951F5">
              <w:rPr>
                <w:rFonts w:cstheme="minorHAnsi"/>
                <w:sz w:val="24"/>
                <w:szCs w:val="24"/>
              </w:rPr>
              <w:t>19</w:t>
            </w:r>
          </w:p>
        </w:tc>
        <w:tc>
          <w:tcPr>
            <w:tcW w:w="0" w:type="auto"/>
            <w:hideMark/>
          </w:tcPr>
          <w:p w14:paraId="68E0365B" w14:textId="77777777" w:rsidR="003951F5" w:rsidRPr="003951F5" w:rsidRDefault="003951F5" w:rsidP="00CC1E6C">
            <w:pPr>
              <w:spacing w:line="259" w:lineRule="auto"/>
              <w:rPr>
                <w:rFonts w:cstheme="minorHAnsi"/>
                <w:sz w:val="24"/>
                <w:szCs w:val="24"/>
              </w:rPr>
            </w:pPr>
            <w:r w:rsidRPr="003951F5">
              <w:rPr>
                <w:rFonts w:cstheme="minorHAnsi"/>
                <w:sz w:val="24"/>
                <w:szCs w:val="24"/>
              </w:rPr>
              <w:t>25</w:t>
            </w:r>
          </w:p>
        </w:tc>
        <w:tc>
          <w:tcPr>
            <w:tcW w:w="0" w:type="auto"/>
            <w:hideMark/>
          </w:tcPr>
          <w:p w14:paraId="7C922CF4" w14:textId="77777777" w:rsidR="003951F5" w:rsidRPr="003951F5" w:rsidRDefault="003951F5" w:rsidP="00CC1E6C">
            <w:pPr>
              <w:spacing w:line="259" w:lineRule="auto"/>
              <w:rPr>
                <w:rFonts w:cstheme="minorHAnsi"/>
                <w:sz w:val="24"/>
                <w:szCs w:val="24"/>
              </w:rPr>
            </w:pPr>
            <w:r w:rsidRPr="003951F5">
              <w:rPr>
                <w:rFonts w:cstheme="minorHAnsi"/>
                <w:sz w:val="24"/>
                <w:szCs w:val="24"/>
              </w:rPr>
              <w:t>23</w:t>
            </w:r>
          </w:p>
        </w:tc>
      </w:tr>
    </w:tbl>
    <w:p w14:paraId="624B292F" w14:textId="77777777" w:rsidR="003951F5" w:rsidRPr="003951F5" w:rsidRDefault="003951F5" w:rsidP="00CC1E6C">
      <w:pPr>
        <w:pStyle w:val="NoSpacing"/>
      </w:pPr>
      <w:proofErr w:type="gramStart"/>
      <w:r w:rsidRPr="003951F5">
        <w:t>ND,</w:t>
      </w:r>
      <w:proofErr w:type="gramEnd"/>
      <w:r w:rsidRPr="003951F5">
        <w:t xml:space="preserve"> not determined.</w:t>
      </w:r>
    </w:p>
    <w:p w14:paraId="7877D2D4" w14:textId="77777777" w:rsidR="003951F5" w:rsidRPr="003951F5" w:rsidRDefault="003951F5" w:rsidP="00CC1E6C">
      <w:pPr>
        <w:pStyle w:val="NoSpacing"/>
      </w:pPr>
      <w:proofErr w:type="gramStart"/>
      <w:r w:rsidRPr="003951F5">
        <w:rPr>
          <w:i/>
          <w:iCs/>
          <w:vertAlign w:val="superscript"/>
        </w:rPr>
        <w:t>a</w:t>
      </w:r>
      <w:proofErr w:type="gramEnd"/>
      <w:r w:rsidRPr="003951F5">
        <w:t> AB 5075 WT.</w:t>
      </w:r>
    </w:p>
    <w:p w14:paraId="6C84DDCD" w14:textId="77777777" w:rsidR="00CC1E6C" w:rsidRDefault="00CC1E6C" w:rsidP="003951F5">
      <w:pPr>
        <w:rPr>
          <w:rFonts w:cstheme="minorHAnsi"/>
          <w:sz w:val="24"/>
          <w:szCs w:val="24"/>
        </w:rPr>
      </w:pPr>
    </w:p>
    <w:p w14:paraId="27DFF84B" w14:textId="664A9718" w:rsidR="003951F5" w:rsidRPr="003951F5" w:rsidRDefault="003951F5" w:rsidP="003951F5">
      <w:pPr>
        <w:rPr>
          <w:rFonts w:cstheme="minorHAnsi"/>
          <w:sz w:val="24"/>
          <w:szCs w:val="24"/>
        </w:rPr>
      </w:pPr>
      <w:r w:rsidRPr="003951F5">
        <w:rPr>
          <w:rFonts w:cstheme="minorHAnsi"/>
          <w:sz w:val="24"/>
          <w:szCs w:val="24"/>
        </w:rPr>
        <w:t>Bactericidal activity of butanoic acid was determined against a variety of Gram-positive and Gram-negative bacterial species including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(Table </w:t>
      </w:r>
      <w:r w:rsidRPr="003951F5">
        <w:rPr>
          <w:rFonts w:cstheme="minorHAnsi"/>
          <w:b/>
          <w:bCs/>
          <w:sz w:val="24"/>
          <w:szCs w:val="24"/>
        </w:rPr>
        <w:t>2</w:t>
      </w:r>
      <w:r w:rsidRPr="003951F5">
        <w:rPr>
          <w:rFonts w:cstheme="minorHAnsi"/>
          <w:sz w:val="24"/>
          <w:szCs w:val="24"/>
        </w:rPr>
        <w:t>). Bacterial cells (~10</w:t>
      </w:r>
      <w:r w:rsidRPr="003951F5">
        <w:rPr>
          <w:rFonts w:cstheme="minorHAnsi"/>
          <w:sz w:val="24"/>
          <w:szCs w:val="24"/>
          <w:vertAlign w:val="superscript"/>
        </w:rPr>
        <w:t>9</w:t>
      </w:r>
      <w:r w:rsidRPr="003951F5">
        <w:rPr>
          <w:rFonts w:cstheme="minorHAnsi"/>
          <w:sz w:val="24"/>
          <w:szCs w:val="24"/>
        </w:rPr>
        <w:t xml:space="preserve">) were exposed to various concentrations of butanoic acid and then inoculated into large volumes of NB media </w:t>
      </w:r>
      <w:proofErr w:type="gramStart"/>
      <w:r w:rsidRPr="003951F5">
        <w:rPr>
          <w:rFonts w:cstheme="minorHAnsi"/>
          <w:sz w:val="24"/>
          <w:szCs w:val="24"/>
        </w:rPr>
        <w:t>in order to</w:t>
      </w:r>
      <w:proofErr w:type="gramEnd"/>
      <w:r w:rsidRPr="003951F5">
        <w:rPr>
          <w:rFonts w:cstheme="minorHAnsi"/>
          <w:sz w:val="24"/>
          <w:szCs w:val="24"/>
        </w:rPr>
        <w:t xml:space="preserve"> halt any bacteriostatic activity. After a 48-h incubation at 37°C, cultures were qualitatively assayed for growth. As summarized in Table </w:t>
      </w:r>
      <w:r w:rsidRPr="003951F5">
        <w:rPr>
          <w:rFonts w:cstheme="minorHAnsi"/>
          <w:b/>
          <w:bCs/>
          <w:sz w:val="24"/>
          <w:szCs w:val="24"/>
        </w:rPr>
        <w:t>2</w:t>
      </w:r>
      <w:r w:rsidRPr="003951F5">
        <w:rPr>
          <w:rFonts w:cstheme="minorHAnsi"/>
          <w:sz w:val="24"/>
          <w:szCs w:val="24"/>
        </w:rPr>
        <w:t>, A</w:t>
      </w:r>
      <w:r w:rsidRPr="003951F5">
        <w:rPr>
          <w:rFonts w:cstheme="minorHAnsi"/>
          <w:i/>
          <w:iCs/>
          <w:sz w:val="24"/>
          <w:szCs w:val="24"/>
        </w:rPr>
        <w:t xml:space="preserve">. </w:t>
      </w:r>
      <w:proofErr w:type="spellStart"/>
      <w:r w:rsidRPr="003951F5">
        <w:rPr>
          <w:rFonts w:cstheme="minorHAnsi"/>
          <w:i/>
          <w:iCs/>
          <w:sz w:val="24"/>
          <w:szCs w:val="24"/>
        </w:rPr>
        <w:t>baumannii</w:t>
      </w:r>
      <w:proofErr w:type="spellEnd"/>
      <w:r w:rsidRPr="003951F5">
        <w:rPr>
          <w:rFonts w:cstheme="minorHAnsi"/>
          <w:sz w:val="24"/>
          <w:szCs w:val="24"/>
        </w:rPr>
        <w:t> exposed to 0·50 mol l</w:t>
      </w:r>
      <w:r w:rsidRPr="003951F5">
        <w:rPr>
          <w:rFonts w:cstheme="minorHAnsi"/>
          <w:sz w:val="24"/>
          <w:szCs w:val="24"/>
          <w:vertAlign w:val="superscript"/>
        </w:rPr>
        <w:t>−1</w:t>
      </w:r>
      <w:r w:rsidRPr="003951F5">
        <w:rPr>
          <w:rFonts w:cstheme="minorHAnsi"/>
          <w:sz w:val="24"/>
          <w:szCs w:val="24"/>
        </w:rPr>
        <w:t> of butanoic acid for 10 s resulted in an 8-log inactivation, demonstrating inactivation of the entire 10</w:t>
      </w:r>
      <w:r w:rsidRPr="003951F5">
        <w:rPr>
          <w:rFonts w:cstheme="minorHAnsi"/>
          <w:sz w:val="24"/>
          <w:szCs w:val="24"/>
          <w:vertAlign w:val="superscript"/>
        </w:rPr>
        <w:t>8</w:t>
      </w:r>
      <w:r w:rsidRPr="003951F5">
        <w:rPr>
          <w:rFonts w:cstheme="minorHAnsi"/>
          <w:sz w:val="24"/>
          <w:szCs w:val="24"/>
        </w:rPr>
        <w:t> CFU sample.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was noticeably more susceptible to butanoic acid, requiring a 10-s exposure to 0·40 mol l</w:t>
      </w:r>
      <w:r w:rsidRPr="003951F5">
        <w:rPr>
          <w:rFonts w:cstheme="minorHAnsi"/>
          <w:sz w:val="24"/>
          <w:szCs w:val="24"/>
          <w:vertAlign w:val="superscript"/>
        </w:rPr>
        <w:t>−1</w:t>
      </w:r>
      <w:r w:rsidRPr="003951F5">
        <w:rPr>
          <w:rFonts w:cstheme="minorHAnsi"/>
          <w:sz w:val="24"/>
          <w:szCs w:val="24"/>
        </w:rPr>
        <w:t> to achieve a 9-log inactivation. However, this increased susceptibility was not broadly applicable to Gram-positive species as </w:t>
      </w:r>
      <w:r w:rsidRPr="003951F5">
        <w:rPr>
          <w:rFonts w:cstheme="minorHAnsi"/>
          <w:i/>
          <w:iCs/>
          <w:sz w:val="24"/>
          <w:szCs w:val="24"/>
        </w:rPr>
        <w:t>Micrococcus luteus</w:t>
      </w:r>
      <w:r w:rsidRPr="003951F5">
        <w:rPr>
          <w:rFonts w:cstheme="minorHAnsi"/>
          <w:sz w:val="24"/>
          <w:szCs w:val="24"/>
        </w:rPr>
        <w:t> treated with 0·70 mol l</w:t>
      </w:r>
      <w:r w:rsidRPr="003951F5">
        <w:rPr>
          <w:rFonts w:cstheme="minorHAnsi"/>
          <w:sz w:val="24"/>
          <w:szCs w:val="24"/>
          <w:vertAlign w:val="superscript"/>
        </w:rPr>
        <w:t>−1</w:t>
      </w:r>
      <w:r w:rsidRPr="003951F5">
        <w:rPr>
          <w:rFonts w:cstheme="minorHAnsi"/>
          <w:sz w:val="24"/>
          <w:szCs w:val="24"/>
        </w:rPr>
        <w:t> failed to inactivate the entire sample of 10</w:t>
      </w:r>
      <w:r w:rsidRPr="003951F5">
        <w:rPr>
          <w:rFonts w:cstheme="minorHAnsi"/>
          <w:sz w:val="24"/>
          <w:szCs w:val="24"/>
          <w:vertAlign w:val="superscript"/>
        </w:rPr>
        <w:t>9</w:t>
      </w:r>
      <w:r w:rsidRPr="003951F5">
        <w:rPr>
          <w:rFonts w:cstheme="minorHAnsi"/>
          <w:sz w:val="24"/>
          <w:szCs w:val="24"/>
        </w:rPr>
        <w:t> CFU (Table </w:t>
      </w:r>
      <w:r w:rsidRPr="003951F5">
        <w:rPr>
          <w:rFonts w:cstheme="minorHAnsi"/>
          <w:b/>
          <w:bCs/>
          <w:sz w:val="24"/>
          <w:szCs w:val="24"/>
        </w:rPr>
        <w:t>2</w:t>
      </w:r>
      <w:r w:rsidRPr="003951F5">
        <w:rPr>
          <w:rFonts w:cstheme="minorHAnsi"/>
          <w:sz w:val="24"/>
          <w:szCs w:val="24"/>
        </w:rPr>
        <w:t>). In all cases, complete inactivation of the sample was dose-dependent (Table </w:t>
      </w:r>
      <w:r w:rsidRPr="003951F5">
        <w:rPr>
          <w:rFonts w:cstheme="minorHAnsi"/>
          <w:b/>
          <w:bCs/>
          <w:sz w:val="24"/>
          <w:szCs w:val="24"/>
        </w:rPr>
        <w:t>2</w:t>
      </w:r>
      <w:r w:rsidRPr="003951F5">
        <w:rPr>
          <w:rFonts w:cstheme="minorHAnsi"/>
          <w:sz w:val="24"/>
          <w:szCs w:val="24"/>
        </w:rPr>
        <w:t>). These data demonstrated that butanoic acid is an effective bactericidal agent capable of inactivating both Gram-positive and Gram-negative bacteria </w:t>
      </w:r>
      <w:r w:rsidRPr="003951F5">
        <w:rPr>
          <w:rFonts w:cstheme="minorHAnsi"/>
          <w:i/>
          <w:iCs/>
          <w:sz w:val="24"/>
          <w:szCs w:val="24"/>
        </w:rPr>
        <w:t>in vitro</w:t>
      </w:r>
      <w:r w:rsidRPr="003951F5">
        <w:rPr>
          <w:rFonts w:cstheme="minorHAnsi"/>
          <w:sz w:val="24"/>
          <w:szCs w:val="24"/>
        </w:rPr>
        <w:t>.</w:t>
      </w:r>
    </w:p>
    <w:p w14:paraId="564510AA" w14:textId="77777777" w:rsidR="003951F5" w:rsidRPr="003951F5" w:rsidRDefault="003951F5" w:rsidP="00CC1E6C">
      <w:pPr>
        <w:spacing w:after="0"/>
        <w:rPr>
          <w:rFonts w:cstheme="minorHAnsi"/>
          <w:sz w:val="24"/>
          <w:szCs w:val="24"/>
        </w:rPr>
      </w:pPr>
      <w:r w:rsidRPr="003951F5">
        <w:rPr>
          <w:rFonts w:cstheme="minorHAnsi"/>
          <w:b/>
          <w:bCs/>
          <w:sz w:val="24"/>
          <w:szCs w:val="24"/>
        </w:rPr>
        <w:t>Table 2. </w:t>
      </w:r>
      <w:r w:rsidRPr="003951F5">
        <w:rPr>
          <w:rFonts w:cstheme="minorHAnsi"/>
          <w:sz w:val="24"/>
          <w:szCs w:val="24"/>
        </w:rPr>
        <w:t>Time required for complete inactivation (9-log) of log-phase vegetative cells with butanoic acid (37°C) </w:t>
      </w:r>
      <w:r w:rsidRPr="003951F5">
        <w:rPr>
          <w:rFonts w:cstheme="minorHAnsi"/>
          <w:i/>
          <w:iCs/>
          <w:sz w:val="24"/>
          <w:szCs w:val="24"/>
        </w:rPr>
        <w:t>in vitro</w:t>
      </w:r>
    </w:p>
    <w:tbl>
      <w:tblPr>
        <w:tblStyle w:val="TableGrid"/>
        <w:tblW w:w="11074" w:type="dxa"/>
        <w:tblLook w:val="04A0" w:firstRow="1" w:lastRow="0" w:firstColumn="1" w:lastColumn="0" w:noHBand="0" w:noVBand="1"/>
      </w:tblPr>
      <w:tblGrid>
        <w:gridCol w:w="1475"/>
        <w:gridCol w:w="1970"/>
        <w:gridCol w:w="1439"/>
        <w:gridCol w:w="2445"/>
        <w:gridCol w:w="2118"/>
        <w:gridCol w:w="1627"/>
      </w:tblGrid>
      <w:tr w:rsidR="003951F5" w:rsidRPr="003951F5" w14:paraId="4D48956E" w14:textId="77777777" w:rsidTr="00CC1E6C">
        <w:tc>
          <w:tcPr>
            <w:tcW w:w="0" w:type="auto"/>
            <w:hideMark/>
          </w:tcPr>
          <w:p w14:paraId="329D252C" w14:textId="77777777" w:rsidR="003951F5" w:rsidRPr="003951F5" w:rsidRDefault="003951F5" w:rsidP="00CC1E6C">
            <w:pPr>
              <w:spacing w:line="259" w:lineRule="auto"/>
              <w:rPr>
                <w:rFonts w:cstheme="minorHAnsi"/>
                <w:b/>
                <w:bCs/>
                <w:sz w:val="24"/>
                <w:szCs w:val="24"/>
              </w:rPr>
            </w:pPr>
            <w:r w:rsidRPr="003951F5">
              <w:rPr>
                <w:rFonts w:cstheme="minorHAnsi"/>
                <w:b/>
                <w:bCs/>
                <w:sz w:val="24"/>
                <w:szCs w:val="24"/>
              </w:rPr>
              <w:t>Butanoic acid (mol l</w:t>
            </w:r>
            <w:r w:rsidRPr="003951F5">
              <w:rPr>
                <w:rFonts w:cstheme="minorHAnsi"/>
                <w:b/>
                <w:bCs/>
                <w:sz w:val="24"/>
                <w:szCs w:val="24"/>
                <w:vertAlign w:val="superscript"/>
              </w:rPr>
              <w:t>−1</w:t>
            </w:r>
            <w:r w:rsidRPr="003951F5">
              <w:rPr>
                <w:rFonts w:cstheme="minorHAnsi"/>
                <w:b/>
                <w:bCs/>
                <w:sz w:val="24"/>
                <w:szCs w:val="24"/>
              </w:rPr>
              <w:t>)</w:t>
            </w:r>
          </w:p>
        </w:tc>
        <w:tc>
          <w:tcPr>
            <w:tcW w:w="0" w:type="auto"/>
            <w:hideMark/>
          </w:tcPr>
          <w:p w14:paraId="51A7D38A" w14:textId="3D3DAEC8" w:rsidR="003951F5" w:rsidRPr="003951F5" w:rsidRDefault="003951F5" w:rsidP="00CC1E6C">
            <w:pPr>
              <w:spacing w:line="259" w:lineRule="auto"/>
              <w:rPr>
                <w:rFonts w:cstheme="minorHAnsi"/>
                <w:b/>
                <w:bCs/>
                <w:sz w:val="24"/>
                <w:szCs w:val="24"/>
              </w:rPr>
            </w:pPr>
            <w:r w:rsidRPr="003951F5">
              <w:rPr>
                <w:rFonts w:cstheme="minorHAnsi"/>
                <w:b/>
                <w:bCs/>
                <w:i/>
                <w:iCs/>
                <w:sz w:val="24"/>
                <w:szCs w:val="24"/>
              </w:rPr>
              <w:t xml:space="preserve">Acinetobacter </w:t>
            </w:r>
            <w:proofErr w:type="spellStart"/>
            <w:r w:rsidRPr="003951F5">
              <w:rPr>
                <w:rFonts w:cstheme="minorHAnsi"/>
                <w:b/>
                <w:bCs/>
                <w:i/>
                <w:iCs/>
                <w:sz w:val="24"/>
                <w:szCs w:val="24"/>
              </w:rPr>
              <w:t>baumannii</w:t>
            </w:r>
            <w:proofErr w:type="spellEnd"/>
            <w:r w:rsidRPr="003951F5">
              <w:rPr>
                <w:rFonts w:cstheme="minorHAnsi"/>
                <w:b/>
                <w:bCs/>
                <w:sz w:val="24"/>
                <w:szCs w:val="24"/>
              </w:rPr>
              <w:t> </w:t>
            </w:r>
            <w:r w:rsidRPr="003951F5">
              <w:rPr>
                <w:rFonts w:cstheme="minorHAnsi"/>
                <w:b/>
                <w:bCs/>
                <w:sz w:val="24"/>
                <w:szCs w:val="24"/>
                <w:vertAlign w:val="superscript"/>
              </w:rPr>
              <w:t>a</w:t>
            </w:r>
          </w:p>
        </w:tc>
        <w:tc>
          <w:tcPr>
            <w:tcW w:w="0" w:type="auto"/>
            <w:hideMark/>
          </w:tcPr>
          <w:p w14:paraId="2E6B24B5" w14:textId="77777777" w:rsidR="003951F5" w:rsidRPr="003951F5" w:rsidRDefault="003951F5" w:rsidP="00CC1E6C">
            <w:pPr>
              <w:spacing w:line="259" w:lineRule="auto"/>
              <w:rPr>
                <w:rFonts w:cstheme="minorHAnsi"/>
                <w:b/>
                <w:bCs/>
                <w:sz w:val="24"/>
                <w:szCs w:val="24"/>
              </w:rPr>
            </w:pPr>
            <w:r w:rsidRPr="003951F5">
              <w:rPr>
                <w:rFonts w:cstheme="minorHAnsi"/>
                <w:b/>
                <w:bCs/>
                <w:i/>
                <w:iCs/>
                <w:sz w:val="24"/>
                <w:szCs w:val="24"/>
              </w:rPr>
              <w:t>Escherichia coli</w:t>
            </w:r>
          </w:p>
        </w:tc>
        <w:tc>
          <w:tcPr>
            <w:tcW w:w="0" w:type="auto"/>
            <w:hideMark/>
          </w:tcPr>
          <w:p w14:paraId="5F6C09D8" w14:textId="77777777" w:rsidR="003951F5" w:rsidRPr="003951F5" w:rsidRDefault="003951F5" w:rsidP="00CC1E6C">
            <w:pPr>
              <w:spacing w:line="259" w:lineRule="auto"/>
              <w:rPr>
                <w:rFonts w:cstheme="minorHAnsi"/>
                <w:b/>
                <w:bCs/>
                <w:sz w:val="24"/>
                <w:szCs w:val="24"/>
              </w:rPr>
            </w:pPr>
            <w:r w:rsidRPr="003951F5">
              <w:rPr>
                <w:rFonts w:cstheme="minorHAnsi"/>
                <w:b/>
                <w:bCs/>
                <w:i/>
                <w:iCs/>
                <w:sz w:val="24"/>
                <w:szCs w:val="24"/>
              </w:rPr>
              <w:t xml:space="preserve">Staphylococcus </w:t>
            </w:r>
            <w:proofErr w:type="spellStart"/>
            <w:r w:rsidRPr="003951F5">
              <w:rPr>
                <w:rFonts w:cstheme="minorHAnsi"/>
                <w:b/>
                <w:bCs/>
                <w:i/>
                <w:iCs/>
                <w:sz w:val="24"/>
                <w:szCs w:val="24"/>
              </w:rPr>
              <w:t>pseudintermedius</w:t>
            </w:r>
            <w:proofErr w:type="spellEnd"/>
          </w:p>
        </w:tc>
        <w:tc>
          <w:tcPr>
            <w:tcW w:w="0" w:type="auto"/>
            <w:hideMark/>
          </w:tcPr>
          <w:p w14:paraId="4EC2985B" w14:textId="77777777" w:rsidR="003951F5" w:rsidRPr="003951F5" w:rsidRDefault="003951F5" w:rsidP="00CC1E6C">
            <w:pPr>
              <w:spacing w:line="259" w:lineRule="auto"/>
              <w:rPr>
                <w:rFonts w:cstheme="minorHAnsi"/>
                <w:b/>
                <w:bCs/>
                <w:sz w:val="24"/>
                <w:szCs w:val="24"/>
              </w:rPr>
            </w:pPr>
            <w:r w:rsidRPr="003951F5">
              <w:rPr>
                <w:rFonts w:cstheme="minorHAnsi"/>
                <w:b/>
                <w:bCs/>
                <w:i/>
                <w:iCs/>
                <w:sz w:val="24"/>
                <w:szCs w:val="24"/>
              </w:rPr>
              <w:t xml:space="preserve">Enterococcus </w:t>
            </w:r>
            <w:proofErr w:type="spellStart"/>
            <w:r w:rsidRPr="003951F5">
              <w:rPr>
                <w:rFonts w:cstheme="minorHAnsi"/>
                <w:b/>
                <w:bCs/>
                <w:i/>
                <w:iCs/>
                <w:sz w:val="24"/>
                <w:szCs w:val="24"/>
              </w:rPr>
              <w:t>saccharolyticus</w:t>
            </w:r>
            <w:proofErr w:type="spellEnd"/>
          </w:p>
        </w:tc>
        <w:tc>
          <w:tcPr>
            <w:tcW w:w="0" w:type="auto"/>
            <w:hideMark/>
          </w:tcPr>
          <w:p w14:paraId="1A5BC2B0" w14:textId="77777777" w:rsidR="003951F5" w:rsidRPr="003951F5" w:rsidRDefault="003951F5" w:rsidP="00CC1E6C">
            <w:pPr>
              <w:spacing w:line="259" w:lineRule="auto"/>
              <w:rPr>
                <w:rFonts w:cstheme="minorHAnsi"/>
                <w:b/>
                <w:bCs/>
                <w:sz w:val="24"/>
                <w:szCs w:val="24"/>
              </w:rPr>
            </w:pPr>
            <w:r w:rsidRPr="003951F5">
              <w:rPr>
                <w:rFonts w:cstheme="minorHAnsi"/>
                <w:b/>
                <w:bCs/>
                <w:i/>
                <w:iCs/>
                <w:sz w:val="24"/>
                <w:szCs w:val="24"/>
              </w:rPr>
              <w:t>Micrococcus luteus</w:t>
            </w:r>
          </w:p>
        </w:tc>
      </w:tr>
      <w:tr w:rsidR="003951F5" w:rsidRPr="003951F5" w14:paraId="7FA1A331" w14:textId="77777777" w:rsidTr="00CC1E6C">
        <w:tc>
          <w:tcPr>
            <w:tcW w:w="0" w:type="auto"/>
            <w:hideMark/>
          </w:tcPr>
          <w:p w14:paraId="74997F57" w14:textId="77777777" w:rsidR="003951F5" w:rsidRPr="003951F5" w:rsidRDefault="003951F5" w:rsidP="00CC1E6C">
            <w:pPr>
              <w:spacing w:line="259" w:lineRule="auto"/>
              <w:rPr>
                <w:rFonts w:cstheme="minorHAnsi"/>
                <w:sz w:val="24"/>
                <w:szCs w:val="24"/>
              </w:rPr>
            </w:pPr>
            <w:r w:rsidRPr="003951F5">
              <w:rPr>
                <w:rFonts w:cstheme="minorHAnsi"/>
                <w:sz w:val="24"/>
                <w:szCs w:val="24"/>
              </w:rPr>
              <w:t>0·70</w:t>
            </w:r>
          </w:p>
        </w:tc>
        <w:tc>
          <w:tcPr>
            <w:tcW w:w="0" w:type="auto"/>
            <w:hideMark/>
          </w:tcPr>
          <w:p w14:paraId="3FB71967"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6E56545D"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00EF6CB9"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7C2AAF46"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0C9307DF" w14:textId="20752525" w:rsidR="003951F5" w:rsidRPr="003951F5" w:rsidRDefault="003951F5" w:rsidP="00CC1E6C">
            <w:pPr>
              <w:spacing w:line="259" w:lineRule="auto"/>
              <w:rPr>
                <w:rFonts w:cstheme="minorHAnsi"/>
                <w:sz w:val="24"/>
                <w:szCs w:val="24"/>
              </w:rPr>
            </w:pPr>
            <w:r w:rsidRPr="003951F5">
              <w:rPr>
                <w:rFonts w:cstheme="minorHAnsi"/>
                <w:sz w:val="24"/>
                <w:szCs w:val="24"/>
              </w:rPr>
              <w:t>&gt;10 s</w:t>
            </w:r>
            <w:r w:rsidRPr="003951F5">
              <w:rPr>
                <w:rFonts w:cstheme="minorHAnsi"/>
                <w:sz w:val="24"/>
                <w:szCs w:val="24"/>
                <w:vertAlign w:val="superscript"/>
              </w:rPr>
              <w:t>b</w:t>
            </w:r>
          </w:p>
        </w:tc>
      </w:tr>
      <w:tr w:rsidR="003951F5" w:rsidRPr="003951F5" w14:paraId="6F49474C" w14:textId="77777777" w:rsidTr="00CC1E6C">
        <w:tc>
          <w:tcPr>
            <w:tcW w:w="0" w:type="auto"/>
            <w:hideMark/>
          </w:tcPr>
          <w:p w14:paraId="76FE7CF1" w14:textId="77777777" w:rsidR="003951F5" w:rsidRPr="003951F5" w:rsidRDefault="003951F5" w:rsidP="00CC1E6C">
            <w:pPr>
              <w:spacing w:line="259" w:lineRule="auto"/>
              <w:rPr>
                <w:rFonts w:cstheme="minorHAnsi"/>
                <w:sz w:val="24"/>
                <w:szCs w:val="24"/>
              </w:rPr>
            </w:pPr>
            <w:r w:rsidRPr="003951F5">
              <w:rPr>
                <w:rFonts w:cstheme="minorHAnsi"/>
                <w:sz w:val="24"/>
                <w:szCs w:val="24"/>
              </w:rPr>
              <w:t>0·60</w:t>
            </w:r>
          </w:p>
        </w:tc>
        <w:tc>
          <w:tcPr>
            <w:tcW w:w="0" w:type="auto"/>
            <w:hideMark/>
          </w:tcPr>
          <w:p w14:paraId="1C0C2A5B"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19C1A1D4" w14:textId="77777777" w:rsidR="003951F5" w:rsidRPr="003951F5" w:rsidRDefault="003951F5" w:rsidP="00CC1E6C">
            <w:pPr>
              <w:spacing w:line="259" w:lineRule="auto"/>
              <w:rPr>
                <w:rFonts w:cstheme="minorHAnsi"/>
                <w:sz w:val="24"/>
                <w:szCs w:val="24"/>
              </w:rPr>
            </w:pPr>
            <w:r w:rsidRPr="003951F5">
              <w:rPr>
                <w:rFonts w:cstheme="minorHAnsi"/>
                <w:sz w:val="24"/>
                <w:szCs w:val="24"/>
              </w:rPr>
              <w:t>10 s</w:t>
            </w:r>
          </w:p>
        </w:tc>
        <w:tc>
          <w:tcPr>
            <w:tcW w:w="0" w:type="auto"/>
            <w:hideMark/>
          </w:tcPr>
          <w:p w14:paraId="346A0168"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61C4BFE1" w14:textId="77777777" w:rsidR="003951F5" w:rsidRPr="003951F5" w:rsidRDefault="003951F5" w:rsidP="00CC1E6C">
            <w:pPr>
              <w:spacing w:line="259" w:lineRule="auto"/>
              <w:rPr>
                <w:rFonts w:cstheme="minorHAnsi"/>
                <w:sz w:val="24"/>
                <w:szCs w:val="24"/>
              </w:rPr>
            </w:pPr>
            <w:r w:rsidRPr="003951F5">
              <w:rPr>
                <w:rFonts w:cstheme="minorHAnsi"/>
                <w:sz w:val="24"/>
                <w:szCs w:val="24"/>
              </w:rPr>
              <w:t>10 s</w:t>
            </w:r>
          </w:p>
        </w:tc>
        <w:tc>
          <w:tcPr>
            <w:tcW w:w="0" w:type="auto"/>
            <w:hideMark/>
          </w:tcPr>
          <w:p w14:paraId="5402176B" w14:textId="77777777" w:rsidR="003951F5" w:rsidRPr="003951F5" w:rsidRDefault="003951F5" w:rsidP="00CC1E6C">
            <w:pPr>
              <w:spacing w:line="259" w:lineRule="auto"/>
              <w:rPr>
                <w:rFonts w:cstheme="minorHAnsi"/>
                <w:sz w:val="24"/>
                <w:szCs w:val="24"/>
              </w:rPr>
            </w:pPr>
            <w:r w:rsidRPr="003951F5">
              <w:rPr>
                <w:rFonts w:cstheme="minorHAnsi"/>
                <w:sz w:val="24"/>
                <w:szCs w:val="24"/>
              </w:rPr>
              <w:t>&gt;40 s</w:t>
            </w:r>
          </w:p>
        </w:tc>
      </w:tr>
      <w:tr w:rsidR="003951F5" w:rsidRPr="003951F5" w14:paraId="2EA0634F" w14:textId="77777777" w:rsidTr="00CC1E6C">
        <w:tc>
          <w:tcPr>
            <w:tcW w:w="0" w:type="auto"/>
            <w:hideMark/>
          </w:tcPr>
          <w:p w14:paraId="6941303C" w14:textId="77777777" w:rsidR="003951F5" w:rsidRPr="003951F5" w:rsidRDefault="003951F5" w:rsidP="00CC1E6C">
            <w:pPr>
              <w:spacing w:line="259" w:lineRule="auto"/>
              <w:rPr>
                <w:rFonts w:cstheme="minorHAnsi"/>
                <w:sz w:val="24"/>
                <w:szCs w:val="24"/>
              </w:rPr>
            </w:pPr>
            <w:r w:rsidRPr="003951F5">
              <w:rPr>
                <w:rFonts w:cstheme="minorHAnsi"/>
                <w:sz w:val="24"/>
                <w:szCs w:val="24"/>
              </w:rPr>
              <w:t>0·50</w:t>
            </w:r>
          </w:p>
        </w:tc>
        <w:tc>
          <w:tcPr>
            <w:tcW w:w="0" w:type="auto"/>
            <w:hideMark/>
          </w:tcPr>
          <w:p w14:paraId="04E450EE" w14:textId="77777777" w:rsidR="003951F5" w:rsidRPr="003951F5" w:rsidRDefault="003951F5" w:rsidP="00CC1E6C">
            <w:pPr>
              <w:spacing w:line="259" w:lineRule="auto"/>
              <w:rPr>
                <w:rFonts w:cstheme="minorHAnsi"/>
                <w:sz w:val="24"/>
                <w:szCs w:val="24"/>
              </w:rPr>
            </w:pPr>
            <w:r w:rsidRPr="003951F5">
              <w:rPr>
                <w:rFonts w:cstheme="minorHAnsi"/>
                <w:sz w:val="24"/>
                <w:szCs w:val="24"/>
              </w:rPr>
              <w:t>10 s</w:t>
            </w:r>
          </w:p>
        </w:tc>
        <w:tc>
          <w:tcPr>
            <w:tcW w:w="0" w:type="auto"/>
            <w:hideMark/>
          </w:tcPr>
          <w:p w14:paraId="460179DA" w14:textId="77777777" w:rsidR="003951F5" w:rsidRPr="003951F5" w:rsidRDefault="003951F5" w:rsidP="00CC1E6C">
            <w:pPr>
              <w:spacing w:line="259" w:lineRule="auto"/>
              <w:rPr>
                <w:rFonts w:cstheme="minorHAnsi"/>
                <w:sz w:val="24"/>
                <w:szCs w:val="24"/>
              </w:rPr>
            </w:pPr>
            <w:r w:rsidRPr="003951F5">
              <w:rPr>
                <w:rFonts w:cstheme="minorHAnsi"/>
                <w:sz w:val="24"/>
                <w:szCs w:val="24"/>
              </w:rPr>
              <w:t>15 s</w:t>
            </w:r>
          </w:p>
        </w:tc>
        <w:tc>
          <w:tcPr>
            <w:tcW w:w="0" w:type="auto"/>
            <w:hideMark/>
          </w:tcPr>
          <w:p w14:paraId="41AC6D4C"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0EE9D2EE" w14:textId="77777777" w:rsidR="003951F5" w:rsidRPr="003951F5" w:rsidRDefault="003951F5" w:rsidP="00CC1E6C">
            <w:pPr>
              <w:spacing w:line="259" w:lineRule="auto"/>
              <w:rPr>
                <w:rFonts w:cstheme="minorHAnsi"/>
                <w:sz w:val="24"/>
                <w:szCs w:val="24"/>
              </w:rPr>
            </w:pPr>
            <w:r w:rsidRPr="003951F5">
              <w:rPr>
                <w:rFonts w:cstheme="minorHAnsi"/>
                <w:sz w:val="24"/>
                <w:szCs w:val="24"/>
              </w:rPr>
              <w:t>30 s</w:t>
            </w:r>
          </w:p>
        </w:tc>
        <w:tc>
          <w:tcPr>
            <w:tcW w:w="0" w:type="auto"/>
            <w:hideMark/>
          </w:tcPr>
          <w:p w14:paraId="3B4DB187" w14:textId="77777777" w:rsidR="003951F5" w:rsidRPr="003951F5" w:rsidRDefault="003951F5" w:rsidP="00CC1E6C">
            <w:pPr>
              <w:spacing w:line="259" w:lineRule="auto"/>
              <w:rPr>
                <w:rFonts w:cstheme="minorHAnsi"/>
                <w:sz w:val="24"/>
                <w:szCs w:val="24"/>
              </w:rPr>
            </w:pPr>
            <w:r w:rsidRPr="003951F5">
              <w:rPr>
                <w:rFonts w:cstheme="minorHAnsi"/>
                <w:sz w:val="24"/>
                <w:szCs w:val="24"/>
              </w:rPr>
              <w:t>&gt;90 s</w:t>
            </w:r>
          </w:p>
        </w:tc>
      </w:tr>
      <w:tr w:rsidR="003951F5" w:rsidRPr="003951F5" w14:paraId="63C318AF" w14:textId="77777777" w:rsidTr="00CC1E6C">
        <w:tc>
          <w:tcPr>
            <w:tcW w:w="0" w:type="auto"/>
            <w:hideMark/>
          </w:tcPr>
          <w:p w14:paraId="5A0E8A51" w14:textId="77777777" w:rsidR="003951F5" w:rsidRPr="003951F5" w:rsidRDefault="003951F5" w:rsidP="00CC1E6C">
            <w:pPr>
              <w:spacing w:line="259" w:lineRule="auto"/>
              <w:rPr>
                <w:rFonts w:cstheme="minorHAnsi"/>
                <w:sz w:val="24"/>
                <w:szCs w:val="24"/>
              </w:rPr>
            </w:pPr>
            <w:r w:rsidRPr="003951F5">
              <w:rPr>
                <w:rFonts w:cstheme="minorHAnsi"/>
                <w:sz w:val="24"/>
                <w:szCs w:val="24"/>
              </w:rPr>
              <w:t>0·40</w:t>
            </w:r>
          </w:p>
        </w:tc>
        <w:tc>
          <w:tcPr>
            <w:tcW w:w="0" w:type="auto"/>
            <w:hideMark/>
          </w:tcPr>
          <w:p w14:paraId="7ADD1D3D" w14:textId="77777777" w:rsidR="003951F5" w:rsidRPr="003951F5" w:rsidRDefault="003951F5" w:rsidP="00CC1E6C">
            <w:pPr>
              <w:spacing w:line="259" w:lineRule="auto"/>
              <w:rPr>
                <w:rFonts w:cstheme="minorHAnsi"/>
                <w:sz w:val="24"/>
                <w:szCs w:val="24"/>
              </w:rPr>
            </w:pPr>
            <w:r w:rsidRPr="003951F5">
              <w:rPr>
                <w:rFonts w:cstheme="minorHAnsi"/>
                <w:sz w:val="24"/>
                <w:szCs w:val="24"/>
              </w:rPr>
              <w:t>6 min</w:t>
            </w:r>
          </w:p>
        </w:tc>
        <w:tc>
          <w:tcPr>
            <w:tcW w:w="0" w:type="auto"/>
            <w:hideMark/>
          </w:tcPr>
          <w:p w14:paraId="0FB7A8DF" w14:textId="77777777" w:rsidR="003951F5" w:rsidRPr="003951F5" w:rsidRDefault="003951F5" w:rsidP="00CC1E6C">
            <w:pPr>
              <w:spacing w:line="259" w:lineRule="auto"/>
              <w:rPr>
                <w:rFonts w:cstheme="minorHAnsi"/>
                <w:sz w:val="24"/>
                <w:szCs w:val="24"/>
              </w:rPr>
            </w:pPr>
            <w:r w:rsidRPr="003951F5">
              <w:rPr>
                <w:rFonts w:cstheme="minorHAnsi"/>
                <w:sz w:val="24"/>
                <w:szCs w:val="24"/>
              </w:rPr>
              <w:t>4 min</w:t>
            </w:r>
          </w:p>
        </w:tc>
        <w:tc>
          <w:tcPr>
            <w:tcW w:w="0" w:type="auto"/>
            <w:hideMark/>
          </w:tcPr>
          <w:p w14:paraId="13D6224B" w14:textId="77777777" w:rsidR="003951F5" w:rsidRPr="003951F5" w:rsidRDefault="003951F5" w:rsidP="00CC1E6C">
            <w:pPr>
              <w:spacing w:line="259" w:lineRule="auto"/>
              <w:rPr>
                <w:rFonts w:cstheme="minorHAnsi"/>
                <w:sz w:val="24"/>
                <w:szCs w:val="24"/>
              </w:rPr>
            </w:pPr>
            <w:r w:rsidRPr="003951F5">
              <w:rPr>
                <w:rFonts w:cstheme="minorHAnsi"/>
                <w:sz w:val="24"/>
                <w:szCs w:val="24"/>
              </w:rPr>
              <w:t>10 s</w:t>
            </w:r>
          </w:p>
        </w:tc>
        <w:tc>
          <w:tcPr>
            <w:tcW w:w="0" w:type="auto"/>
            <w:hideMark/>
          </w:tcPr>
          <w:p w14:paraId="18EE6254" w14:textId="77777777" w:rsidR="003951F5" w:rsidRPr="003951F5" w:rsidRDefault="003951F5" w:rsidP="00CC1E6C">
            <w:pPr>
              <w:spacing w:line="259" w:lineRule="auto"/>
              <w:rPr>
                <w:rFonts w:cstheme="minorHAnsi"/>
                <w:sz w:val="24"/>
                <w:szCs w:val="24"/>
              </w:rPr>
            </w:pPr>
            <w:r w:rsidRPr="003951F5">
              <w:rPr>
                <w:rFonts w:cstheme="minorHAnsi"/>
                <w:sz w:val="24"/>
                <w:szCs w:val="24"/>
              </w:rPr>
              <w:t>&gt;5 min</w:t>
            </w:r>
          </w:p>
        </w:tc>
        <w:tc>
          <w:tcPr>
            <w:tcW w:w="0" w:type="auto"/>
            <w:hideMark/>
          </w:tcPr>
          <w:p w14:paraId="0C3EE425" w14:textId="77777777" w:rsidR="003951F5" w:rsidRPr="003951F5" w:rsidRDefault="003951F5" w:rsidP="00CC1E6C">
            <w:pPr>
              <w:spacing w:line="259" w:lineRule="auto"/>
              <w:rPr>
                <w:rFonts w:cstheme="minorHAnsi"/>
                <w:sz w:val="24"/>
                <w:szCs w:val="24"/>
              </w:rPr>
            </w:pPr>
            <w:r w:rsidRPr="003951F5">
              <w:rPr>
                <w:rFonts w:cstheme="minorHAnsi"/>
                <w:sz w:val="24"/>
                <w:szCs w:val="24"/>
              </w:rPr>
              <w:t>&gt;5 min</w:t>
            </w:r>
          </w:p>
        </w:tc>
      </w:tr>
      <w:tr w:rsidR="003951F5" w:rsidRPr="003951F5" w14:paraId="67FE42C3" w14:textId="77777777" w:rsidTr="00CC1E6C">
        <w:tc>
          <w:tcPr>
            <w:tcW w:w="0" w:type="auto"/>
            <w:hideMark/>
          </w:tcPr>
          <w:p w14:paraId="4E96E916" w14:textId="77777777" w:rsidR="003951F5" w:rsidRPr="003951F5" w:rsidRDefault="003951F5" w:rsidP="00CC1E6C">
            <w:pPr>
              <w:spacing w:line="259" w:lineRule="auto"/>
              <w:rPr>
                <w:rFonts w:cstheme="minorHAnsi"/>
                <w:sz w:val="24"/>
                <w:szCs w:val="24"/>
              </w:rPr>
            </w:pPr>
            <w:r w:rsidRPr="003951F5">
              <w:rPr>
                <w:rFonts w:cstheme="minorHAnsi"/>
                <w:sz w:val="24"/>
                <w:szCs w:val="24"/>
              </w:rPr>
              <w:t>0·30</w:t>
            </w:r>
          </w:p>
        </w:tc>
        <w:tc>
          <w:tcPr>
            <w:tcW w:w="0" w:type="auto"/>
            <w:hideMark/>
          </w:tcPr>
          <w:p w14:paraId="0E78BFF8" w14:textId="77777777" w:rsidR="003951F5" w:rsidRPr="003951F5" w:rsidRDefault="003951F5" w:rsidP="00CC1E6C">
            <w:pPr>
              <w:spacing w:line="259" w:lineRule="auto"/>
              <w:rPr>
                <w:rFonts w:cstheme="minorHAnsi"/>
                <w:sz w:val="24"/>
                <w:szCs w:val="24"/>
              </w:rPr>
            </w:pPr>
            <w:r w:rsidRPr="003951F5">
              <w:rPr>
                <w:rFonts w:cstheme="minorHAnsi"/>
                <w:sz w:val="24"/>
                <w:szCs w:val="24"/>
              </w:rPr>
              <w:t>30 min</w:t>
            </w:r>
          </w:p>
        </w:tc>
        <w:tc>
          <w:tcPr>
            <w:tcW w:w="0" w:type="auto"/>
            <w:hideMark/>
          </w:tcPr>
          <w:p w14:paraId="496951CE" w14:textId="77777777" w:rsidR="003951F5" w:rsidRPr="003951F5" w:rsidRDefault="003951F5" w:rsidP="00CC1E6C">
            <w:pPr>
              <w:spacing w:line="259" w:lineRule="auto"/>
              <w:rPr>
                <w:rFonts w:cstheme="minorHAnsi"/>
                <w:sz w:val="24"/>
                <w:szCs w:val="24"/>
              </w:rPr>
            </w:pPr>
            <w:r w:rsidRPr="003951F5">
              <w:rPr>
                <w:rFonts w:cstheme="minorHAnsi"/>
                <w:sz w:val="24"/>
                <w:szCs w:val="24"/>
              </w:rPr>
              <w:t>10 min</w:t>
            </w:r>
          </w:p>
        </w:tc>
        <w:tc>
          <w:tcPr>
            <w:tcW w:w="0" w:type="auto"/>
            <w:hideMark/>
          </w:tcPr>
          <w:p w14:paraId="687414F7" w14:textId="77777777" w:rsidR="003951F5" w:rsidRPr="003951F5" w:rsidRDefault="003951F5" w:rsidP="00CC1E6C">
            <w:pPr>
              <w:spacing w:line="259" w:lineRule="auto"/>
              <w:rPr>
                <w:rFonts w:cstheme="minorHAnsi"/>
                <w:sz w:val="24"/>
                <w:szCs w:val="24"/>
              </w:rPr>
            </w:pPr>
            <w:r w:rsidRPr="003951F5">
              <w:rPr>
                <w:rFonts w:cstheme="minorHAnsi"/>
                <w:sz w:val="24"/>
                <w:szCs w:val="24"/>
              </w:rPr>
              <w:t>1 min</w:t>
            </w:r>
          </w:p>
        </w:tc>
        <w:tc>
          <w:tcPr>
            <w:tcW w:w="0" w:type="auto"/>
            <w:hideMark/>
          </w:tcPr>
          <w:p w14:paraId="48552C5C" w14:textId="77777777" w:rsidR="003951F5" w:rsidRPr="003951F5" w:rsidRDefault="003951F5" w:rsidP="00CC1E6C">
            <w:pPr>
              <w:spacing w:line="259" w:lineRule="auto"/>
              <w:rPr>
                <w:rFonts w:cstheme="minorHAnsi"/>
                <w:sz w:val="24"/>
                <w:szCs w:val="24"/>
              </w:rPr>
            </w:pPr>
            <w:r w:rsidRPr="003951F5">
              <w:rPr>
                <w:rFonts w:cstheme="minorHAnsi"/>
                <w:sz w:val="24"/>
                <w:szCs w:val="24"/>
              </w:rPr>
              <w:t>&gt;10 min</w:t>
            </w:r>
          </w:p>
        </w:tc>
        <w:tc>
          <w:tcPr>
            <w:tcW w:w="0" w:type="auto"/>
            <w:hideMark/>
          </w:tcPr>
          <w:p w14:paraId="06939D18" w14:textId="77777777" w:rsidR="003951F5" w:rsidRPr="003951F5" w:rsidRDefault="003951F5" w:rsidP="00CC1E6C">
            <w:pPr>
              <w:spacing w:line="259" w:lineRule="auto"/>
              <w:rPr>
                <w:rFonts w:cstheme="minorHAnsi"/>
                <w:sz w:val="24"/>
                <w:szCs w:val="24"/>
              </w:rPr>
            </w:pPr>
            <w:r w:rsidRPr="003951F5">
              <w:rPr>
                <w:rFonts w:cstheme="minorHAnsi"/>
                <w:sz w:val="24"/>
                <w:szCs w:val="24"/>
              </w:rPr>
              <w:t>&gt;30 min</w:t>
            </w:r>
          </w:p>
        </w:tc>
      </w:tr>
      <w:tr w:rsidR="003951F5" w:rsidRPr="003951F5" w14:paraId="4650B743" w14:textId="77777777" w:rsidTr="00CC1E6C">
        <w:tc>
          <w:tcPr>
            <w:tcW w:w="0" w:type="auto"/>
            <w:hideMark/>
          </w:tcPr>
          <w:p w14:paraId="205410A7" w14:textId="77777777" w:rsidR="003951F5" w:rsidRPr="003951F5" w:rsidRDefault="003951F5" w:rsidP="00CC1E6C">
            <w:pPr>
              <w:spacing w:line="259" w:lineRule="auto"/>
              <w:rPr>
                <w:rFonts w:cstheme="minorHAnsi"/>
                <w:sz w:val="24"/>
                <w:szCs w:val="24"/>
              </w:rPr>
            </w:pPr>
            <w:r w:rsidRPr="003951F5">
              <w:rPr>
                <w:rFonts w:cstheme="minorHAnsi"/>
                <w:sz w:val="24"/>
                <w:szCs w:val="24"/>
              </w:rPr>
              <w:t>0·20</w:t>
            </w:r>
          </w:p>
        </w:tc>
        <w:tc>
          <w:tcPr>
            <w:tcW w:w="0" w:type="auto"/>
            <w:hideMark/>
          </w:tcPr>
          <w:p w14:paraId="540F9A07" w14:textId="77777777" w:rsidR="003951F5" w:rsidRPr="003951F5" w:rsidRDefault="003951F5" w:rsidP="00CC1E6C">
            <w:pPr>
              <w:spacing w:line="259" w:lineRule="auto"/>
              <w:rPr>
                <w:rFonts w:cstheme="minorHAnsi"/>
                <w:sz w:val="24"/>
                <w:szCs w:val="24"/>
              </w:rPr>
            </w:pPr>
            <w:r w:rsidRPr="003951F5">
              <w:rPr>
                <w:rFonts w:cstheme="minorHAnsi"/>
                <w:sz w:val="24"/>
                <w:szCs w:val="24"/>
              </w:rPr>
              <w:t>2·5 h</w:t>
            </w:r>
          </w:p>
        </w:tc>
        <w:tc>
          <w:tcPr>
            <w:tcW w:w="0" w:type="auto"/>
            <w:hideMark/>
          </w:tcPr>
          <w:p w14:paraId="7594E3B1" w14:textId="77777777" w:rsidR="003951F5" w:rsidRPr="003951F5" w:rsidRDefault="003951F5" w:rsidP="00CC1E6C">
            <w:pPr>
              <w:spacing w:line="259" w:lineRule="auto"/>
              <w:rPr>
                <w:rFonts w:cstheme="minorHAnsi"/>
                <w:sz w:val="24"/>
                <w:szCs w:val="24"/>
              </w:rPr>
            </w:pPr>
            <w:r w:rsidRPr="003951F5">
              <w:rPr>
                <w:rFonts w:cstheme="minorHAnsi"/>
                <w:sz w:val="24"/>
                <w:szCs w:val="24"/>
              </w:rPr>
              <w:t>1·5 h</w:t>
            </w:r>
          </w:p>
        </w:tc>
        <w:tc>
          <w:tcPr>
            <w:tcW w:w="0" w:type="auto"/>
            <w:hideMark/>
          </w:tcPr>
          <w:p w14:paraId="6BF005BE" w14:textId="77777777" w:rsidR="003951F5" w:rsidRPr="003951F5" w:rsidRDefault="003951F5" w:rsidP="00CC1E6C">
            <w:pPr>
              <w:spacing w:line="259" w:lineRule="auto"/>
              <w:rPr>
                <w:rFonts w:cstheme="minorHAnsi"/>
                <w:sz w:val="24"/>
                <w:szCs w:val="24"/>
              </w:rPr>
            </w:pPr>
            <w:r w:rsidRPr="003951F5">
              <w:rPr>
                <w:rFonts w:cstheme="minorHAnsi"/>
                <w:sz w:val="24"/>
                <w:szCs w:val="24"/>
              </w:rPr>
              <w:t>2 min</w:t>
            </w:r>
          </w:p>
        </w:tc>
        <w:tc>
          <w:tcPr>
            <w:tcW w:w="0" w:type="auto"/>
            <w:hideMark/>
          </w:tcPr>
          <w:p w14:paraId="72194162" w14:textId="77777777" w:rsidR="003951F5" w:rsidRPr="003951F5" w:rsidRDefault="003951F5" w:rsidP="00CC1E6C">
            <w:pPr>
              <w:spacing w:line="259" w:lineRule="auto"/>
              <w:rPr>
                <w:rFonts w:cstheme="minorHAnsi"/>
                <w:sz w:val="24"/>
                <w:szCs w:val="24"/>
              </w:rPr>
            </w:pPr>
            <w:r w:rsidRPr="003951F5">
              <w:rPr>
                <w:rFonts w:cstheme="minorHAnsi"/>
                <w:sz w:val="24"/>
                <w:szCs w:val="24"/>
              </w:rPr>
              <w:t>&gt;1 h</w:t>
            </w:r>
          </w:p>
        </w:tc>
        <w:tc>
          <w:tcPr>
            <w:tcW w:w="0" w:type="auto"/>
            <w:hideMark/>
          </w:tcPr>
          <w:p w14:paraId="4DEE3414" w14:textId="77777777" w:rsidR="003951F5" w:rsidRPr="003951F5" w:rsidRDefault="003951F5" w:rsidP="00CC1E6C">
            <w:pPr>
              <w:spacing w:line="259" w:lineRule="auto"/>
              <w:rPr>
                <w:rFonts w:cstheme="minorHAnsi"/>
                <w:sz w:val="24"/>
                <w:szCs w:val="24"/>
              </w:rPr>
            </w:pPr>
            <w:r w:rsidRPr="003951F5">
              <w:rPr>
                <w:rFonts w:cstheme="minorHAnsi"/>
                <w:sz w:val="24"/>
                <w:szCs w:val="24"/>
              </w:rPr>
              <w:t>&gt;60 min</w:t>
            </w:r>
          </w:p>
        </w:tc>
      </w:tr>
      <w:tr w:rsidR="003951F5" w:rsidRPr="003951F5" w14:paraId="0AA4559F" w14:textId="77777777" w:rsidTr="00CC1E6C">
        <w:tc>
          <w:tcPr>
            <w:tcW w:w="0" w:type="auto"/>
            <w:hideMark/>
          </w:tcPr>
          <w:p w14:paraId="21935092" w14:textId="77777777" w:rsidR="003951F5" w:rsidRPr="003951F5" w:rsidRDefault="003951F5" w:rsidP="00CC1E6C">
            <w:pPr>
              <w:spacing w:line="259" w:lineRule="auto"/>
              <w:rPr>
                <w:rFonts w:cstheme="minorHAnsi"/>
                <w:sz w:val="24"/>
                <w:szCs w:val="24"/>
              </w:rPr>
            </w:pPr>
            <w:r w:rsidRPr="003951F5">
              <w:rPr>
                <w:rFonts w:cstheme="minorHAnsi"/>
                <w:sz w:val="24"/>
                <w:szCs w:val="24"/>
              </w:rPr>
              <w:t>0·10</w:t>
            </w:r>
          </w:p>
        </w:tc>
        <w:tc>
          <w:tcPr>
            <w:tcW w:w="0" w:type="auto"/>
            <w:hideMark/>
          </w:tcPr>
          <w:p w14:paraId="2B86B29A" w14:textId="77777777" w:rsidR="003951F5" w:rsidRPr="003951F5" w:rsidRDefault="003951F5" w:rsidP="00CC1E6C">
            <w:pPr>
              <w:spacing w:line="259" w:lineRule="auto"/>
              <w:rPr>
                <w:rFonts w:cstheme="minorHAnsi"/>
                <w:sz w:val="24"/>
                <w:szCs w:val="24"/>
              </w:rPr>
            </w:pPr>
            <w:r w:rsidRPr="003951F5">
              <w:rPr>
                <w:rFonts w:cstheme="minorHAnsi"/>
                <w:sz w:val="24"/>
                <w:szCs w:val="24"/>
              </w:rPr>
              <w:t>4 h</w:t>
            </w:r>
          </w:p>
        </w:tc>
        <w:tc>
          <w:tcPr>
            <w:tcW w:w="0" w:type="auto"/>
            <w:hideMark/>
          </w:tcPr>
          <w:p w14:paraId="697E954F" w14:textId="77777777" w:rsidR="003951F5" w:rsidRPr="003951F5" w:rsidRDefault="003951F5" w:rsidP="00CC1E6C">
            <w:pPr>
              <w:spacing w:line="259" w:lineRule="auto"/>
              <w:rPr>
                <w:rFonts w:cstheme="minorHAnsi"/>
                <w:sz w:val="24"/>
                <w:szCs w:val="24"/>
              </w:rPr>
            </w:pPr>
            <w:r w:rsidRPr="003951F5">
              <w:rPr>
                <w:rFonts w:cstheme="minorHAnsi"/>
                <w:sz w:val="24"/>
                <w:szCs w:val="24"/>
              </w:rPr>
              <w:t>4·25 h</w:t>
            </w:r>
          </w:p>
        </w:tc>
        <w:tc>
          <w:tcPr>
            <w:tcW w:w="0" w:type="auto"/>
            <w:hideMark/>
          </w:tcPr>
          <w:p w14:paraId="3832EFF6" w14:textId="77777777" w:rsidR="003951F5" w:rsidRPr="003951F5" w:rsidRDefault="003951F5" w:rsidP="00CC1E6C">
            <w:pPr>
              <w:spacing w:line="259" w:lineRule="auto"/>
              <w:rPr>
                <w:rFonts w:cstheme="minorHAnsi"/>
                <w:sz w:val="24"/>
                <w:szCs w:val="24"/>
              </w:rPr>
            </w:pPr>
            <w:r w:rsidRPr="003951F5">
              <w:rPr>
                <w:rFonts w:cstheme="minorHAnsi"/>
                <w:sz w:val="24"/>
                <w:szCs w:val="24"/>
              </w:rPr>
              <w:t>40 min</w:t>
            </w:r>
          </w:p>
        </w:tc>
        <w:tc>
          <w:tcPr>
            <w:tcW w:w="0" w:type="auto"/>
            <w:hideMark/>
          </w:tcPr>
          <w:p w14:paraId="152C784D"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c>
          <w:tcPr>
            <w:tcW w:w="0" w:type="auto"/>
            <w:hideMark/>
          </w:tcPr>
          <w:p w14:paraId="660FE3D5" w14:textId="77777777" w:rsidR="003951F5" w:rsidRPr="003951F5" w:rsidRDefault="003951F5" w:rsidP="00CC1E6C">
            <w:pPr>
              <w:spacing w:line="259" w:lineRule="auto"/>
              <w:rPr>
                <w:rFonts w:cstheme="minorHAnsi"/>
                <w:sz w:val="24"/>
                <w:szCs w:val="24"/>
              </w:rPr>
            </w:pPr>
            <w:r w:rsidRPr="003951F5">
              <w:rPr>
                <w:rFonts w:cstheme="minorHAnsi"/>
                <w:sz w:val="24"/>
                <w:szCs w:val="24"/>
              </w:rPr>
              <w:t>ND</w:t>
            </w:r>
          </w:p>
        </w:tc>
      </w:tr>
    </w:tbl>
    <w:p w14:paraId="5D75762C" w14:textId="77777777" w:rsidR="003951F5" w:rsidRPr="003951F5" w:rsidRDefault="003951F5" w:rsidP="006B2FF1">
      <w:pPr>
        <w:pStyle w:val="NoSpacing"/>
      </w:pPr>
      <w:proofErr w:type="gramStart"/>
      <w:r w:rsidRPr="003951F5">
        <w:t>ND,</w:t>
      </w:r>
      <w:proofErr w:type="gramEnd"/>
      <w:r w:rsidRPr="003951F5">
        <w:t xml:space="preserve"> not determined.</w:t>
      </w:r>
    </w:p>
    <w:p w14:paraId="7E4365C6" w14:textId="77777777" w:rsidR="003951F5" w:rsidRPr="003951F5" w:rsidRDefault="003951F5" w:rsidP="006B2FF1">
      <w:pPr>
        <w:pStyle w:val="NoSpacing"/>
      </w:pPr>
      <w:r w:rsidRPr="003951F5">
        <w:rPr>
          <w:i/>
          <w:iCs/>
          <w:vertAlign w:val="superscript"/>
        </w:rPr>
        <w:t>a</w:t>
      </w:r>
      <w:r w:rsidRPr="003951F5">
        <w:t> Maximum log inactivation for </w:t>
      </w:r>
      <w:r w:rsidRPr="003951F5">
        <w:rPr>
          <w:i/>
          <w:iCs/>
        </w:rPr>
        <w:t xml:space="preserve">A. </w:t>
      </w:r>
      <w:proofErr w:type="spellStart"/>
      <w:r w:rsidRPr="003951F5">
        <w:rPr>
          <w:i/>
          <w:iCs/>
        </w:rPr>
        <w:t>baumannii</w:t>
      </w:r>
      <w:proofErr w:type="spellEnd"/>
      <w:r w:rsidRPr="003951F5">
        <w:t> was eight due to a sample density limit of 10</w:t>
      </w:r>
      <w:r w:rsidRPr="003951F5">
        <w:rPr>
          <w:vertAlign w:val="superscript"/>
        </w:rPr>
        <w:t>8</w:t>
      </w:r>
      <w:r w:rsidRPr="003951F5">
        <w:t> CFU per ml.</w:t>
      </w:r>
    </w:p>
    <w:p w14:paraId="0EA13296" w14:textId="77777777" w:rsidR="003951F5" w:rsidRPr="003951F5" w:rsidRDefault="003951F5" w:rsidP="006B2FF1">
      <w:pPr>
        <w:pStyle w:val="NoSpacing"/>
      </w:pPr>
      <w:r w:rsidRPr="003951F5">
        <w:rPr>
          <w:i/>
          <w:iCs/>
          <w:vertAlign w:val="superscript"/>
        </w:rPr>
        <w:t>b</w:t>
      </w:r>
      <w:r w:rsidRPr="003951F5">
        <w:t> A 10-s exposure of </w:t>
      </w:r>
      <w:r w:rsidRPr="003951F5">
        <w:rPr>
          <w:i/>
          <w:iCs/>
        </w:rPr>
        <w:t>M. luteus</w:t>
      </w:r>
      <w:r w:rsidRPr="003951F5">
        <w:t> to 0·70 mol l</w:t>
      </w:r>
      <w:r w:rsidRPr="003951F5">
        <w:rPr>
          <w:vertAlign w:val="superscript"/>
        </w:rPr>
        <w:t>−1</w:t>
      </w:r>
      <w:r w:rsidRPr="003951F5">
        <w:t> of butanoic acid was insufficient to obtain a 9-log inactivation.</w:t>
      </w:r>
    </w:p>
    <w:p w14:paraId="51D22ACB" w14:textId="77777777" w:rsidR="006B2FF1" w:rsidRDefault="006B2FF1" w:rsidP="003951F5">
      <w:pPr>
        <w:rPr>
          <w:rFonts w:cstheme="minorHAnsi"/>
          <w:sz w:val="24"/>
          <w:szCs w:val="24"/>
        </w:rPr>
      </w:pPr>
    </w:p>
    <w:p w14:paraId="591E4E14" w14:textId="4190B661" w:rsidR="003951F5" w:rsidRPr="003951F5" w:rsidRDefault="003951F5" w:rsidP="003951F5">
      <w:pPr>
        <w:rPr>
          <w:rFonts w:cstheme="minorHAnsi"/>
          <w:sz w:val="24"/>
          <w:szCs w:val="24"/>
        </w:rPr>
      </w:pPr>
      <w:r w:rsidRPr="003951F5">
        <w:rPr>
          <w:rFonts w:cstheme="minorHAnsi"/>
          <w:sz w:val="24"/>
          <w:szCs w:val="24"/>
        </w:rPr>
        <w:t>The viability of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w:t>
      </w:r>
      <w:r w:rsidRPr="003951F5">
        <w:rPr>
          <w:rFonts w:cstheme="minorHAnsi"/>
          <w:i/>
          <w:iCs/>
          <w:sz w:val="24"/>
          <w:szCs w:val="24"/>
        </w:rPr>
        <w:t> E. coli</w:t>
      </w:r>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treated with butanoic acid was quantified over time using viable plate count methods. Log-inactivation values were determined by comparison of acid-treated cells to bacteria treated with HCl-amended water, pH 4. Between 10 and 30 s, the log inactivation of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exposed to 0·25 mol l</w:t>
      </w:r>
      <w:r w:rsidRPr="003951F5">
        <w:rPr>
          <w:rFonts w:cstheme="minorHAnsi"/>
          <w:sz w:val="24"/>
          <w:szCs w:val="24"/>
          <w:vertAlign w:val="superscript"/>
        </w:rPr>
        <w:t>−1</w:t>
      </w:r>
      <w:r w:rsidRPr="003951F5">
        <w:rPr>
          <w:rFonts w:cstheme="minorHAnsi"/>
          <w:sz w:val="24"/>
          <w:szCs w:val="24"/>
        </w:rPr>
        <w:t> butanoic acid increased from ~0·75 to 3·8 (Fig. </w:t>
      </w:r>
      <w:r w:rsidRPr="003951F5">
        <w:rPr>
          <w:rFonts w:cstheme="minorHAnsi"/>
          <w:b/>
          <w:bCs/>
          <w:sz w:val="24"/>
          <w:szCs w:val="24"/>
        </w:rPr>
        <w:t>1</w:t>
      </w:r>
      <w:r w:rsidRPr="003951F5">
        <w:rPr>
          <w:rFonts w:cstheme="minorHAnsi"/>
          <w:sz w:val="24"/>
          <w:szCs w:val="24"/>
        </w:rPr>
        <w:t>). The inactivation of </w:t>
      </w:r>
      <w:r w:rsidRPr="003951F5">
        <w:rPr>
          <w:rFonts w:cstheme="minorHAnsi"/>
          <w:i/>
          <w:iCs/>
          <w:sz w:val="24"/>
          <w:szCs w:val="24"/>
        </w:rPr>
        <w:t>E. coli</w:t>
      </w:r>
      <w:r w:rsidRPr="003951F5">
        <w:rPr>
          <w:rFonts w:cstheme="minorHAnsi"/>
          <w:sz w:val="24"/>
          <w:szCs w:val="24"/>
        </w:rPr>
        <w:t> increased similarly, reaching 2·2-log inactivation after 30 s with 0·30 mol l</w:t>
      </w:r>
      <w:r w:rsidRPr="003951F5">
        <w:rPr>
          <w:rFonts w:cstheme="minorHAnsi"/>
          <w:sz w:val="24"/>
          <w:szCs w:val="24"/>
          <w:vertAlign w:val="superscript"/>
        </w:rPr>
        <w:t>−1</w:t>
      </w:r>
      <w:r w:rsidRPr="003951F5">
        <w:rPr>
          <w:rFonts w:cstheme="minorHAnsi"/>
          <w:sz w:val="24"/>
          <w:szCs w:val="24"/>
        </w:rPr>
        <w:t> of butanoic acid.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was the most susceptible to butanoic acid exposure as treatment with 0·20 mol l</w:t>
      </w:r>
      <w:r w:rsidRPr="003951F5">
        <w:rPr>
          <w:rFonts w:cstheme="minorHAnsi"/>
          <w:sz w:val="24"/>
          <w:szCs w:val="24"/>
          <w:vertAlign w:val="superscript"/>
        </w:rPr>
        <w:t>−1</w:t>
      </w:r>
      <w:r w:rsidRPr="003951F5">
        <w:rPr>
          <w:rFonts w:cstheme="minorHAnsi"/>
          <w:sz w:val="24"/>
          <w:szCs w:val="24"/>
        </w:rPr>
        <w:t> of acid for 30 s resulted in ~4-log inactivation (Fig. </w:t>
      </w:r>
      <w:r w:rsidRPr="003951F5">
        <w:rPr>
          <w:rFonts w:cstheme="minorHAnsi"/>
          <w:b/>
          <w:bCs/>
          <w:sz w:val="24"/>
          <w:szCs w:val="24"/>
        </w:rPr>
        <w:t>1</w:t>
      </w:r>
      <w:r w:rsidRPr="003951F5">
        <w:rPr>
          <w:rFonts w:cstheme="minorHAnsi"/>
          <w:sz w:val="24"/>
          <w:szCs w:val="24"/>
        </w:rPr>
        <w:t>). Increased butanoic acid concentration and exposure times were tested, resulting in &gt;4-log reduction (data not shown). In summary, inactivation of vegetative bacteria by butanoic acid increased linearly over a 30-s exposure to butanoic acid once a concentration threshold was met.</w:t>
      </w:r>
    </w:p>
    <w:p w14:paraId="7AA627D5" w14:textId="217E1E72" w:rsidR="003951F5" w:rsidRPr="003951F5" w:rsidRDefault="003951F5" w:rsidP="006B2FF1">
      <w:pPr>
        <w:pStyle w:val="NoSpacing"/>
      </w:pPr>
      <w:r w:rsidRPr="003951F5">
        <w:drawing>
          <wp:inline distT="0" distB="0" distL="0" distR="0" wp14:anchorId="5A0FFC9F" wp14:editId="06C0A15D">
            <wp:extent cx="2743200" cy="4572000"/>
            <wp:effectExtent l="0" t="0" r="0" b="0"/>
            <wp:docPr id="6" name="Picture 6"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4572000"/>
                    </a:xfrm>
                    <a:prstGeom prst="rect">
                      <a:avLst/>
                    </a:prstGeom>
                    <a:noFill/>
                    <a:ln>
                      <a:noFill/>
                    </a:ln>
                  </pic:spPr>
                </pic:pic>
              </a:graphicData>
            </a:graphic>
          </wp:inline>
        </w:drawing>
      </w:r>
    </w:p>
    <w:p w14:paraId="6792BB54" w14:textId="1F9A5B08" w:rsidR="003951F5" w:rsidRDefault="003951F5" w:rsidP="006B2FF1">
      <w:pPr>
        <w:pStyle w:val="NoSpacing"/>
      </w:pPr>
      <w:r w:rsidRPr="003951F5">
        <w:rPr>
          <w:b/>
          <w:bCs/>
        </w:rPr>
        <w:t>Figure 1</w:t>
      </w:r>
      <w:r w:rsidR="006B2FF1">
        <w:t xml:space="preserve"> </w:t>
      </w:r>
      <w:r w:rsidRPr="003951F5">
        <w:t>Inactivation curves of (a) </w:t>
      </w:r>
      <w:r w:rsidRPr="003951F5">
        <w:rPr>
          <w:i/>
          <w:iCs/>
        </w:rPr>
        <w:t xml:space="preserve">Acinetobacter </w:t>
      </w:r>
      <w:proofErr w:type="spellStart"/>
      <w:r w:rsidRPr="003951F5">
        <w:rPr>
          <w:i/>
          <w:iCs/>
        </w:rPr>
        <w:t>baumannii</w:t>
      </w:r>
      <w:proofErr w:type="spellEnd"/>
      <w:r w:rsidRPr="003951F5">
        <w:t>, (b) </w:t>
      </w:r>
      <w:r w:rsidRPr="003951F5">
        <w:rPr>
          <w:i/>
          <w:iCs/>
        </w:rPr>
        <w:t>Escherichia coli</w:t>
      </w:r>
      <w:r w:rsidRPr="003951F5">
        <w:t> and (c) </w:t>
      </w:r>
      <w:r w:rsidRPr="003951F5">
        <w:rPr>
          <w:i/>
          <w:iCs/>
        </w:rPr>
        <w:t xml:space="preserve">Staphylococcus </w:t>
      </w:r>
      <w:proofErr w:type="spellStart"/>
      <w:r w:rsidRPr="003951F5">
        <w:rPr>
          <w:i/>
          <w:iCs/>
        </w:rPr>
        <w:t>pseudintermedius</w:t>
      </w:r>
      <w:proofErr w:type="spellEnd"/>
      <w:r w:rsidRPr="003951F5">
        <w:t> with butanoic acid at 37°C. Butanoic acid concentrations: (○) 0·10 mol l</w:t>
      </w:r>
      <w:r w:rsidRPr="003951F5">
        <w:rPr>
          <w:vertAlign w:val="superscript"/>
        </w:rPr>
        <w:t>−1</w:t>
      </w:r>
      <w:r w:rsidRPr="003951F5">
        <w:t>, (</w:t>
      </w:r>
      <w:r w:rsidRPr="003951F5">
        <w:rPr>
          <w:rFonts w:ascii="Arial" w:hAnsi="Arial" w:cs="Arial"/>
        </w:rPr>
        <w:t>▲</w:t>
      </w:r>
      <w:r w:rsidRPr="003951F5">
        <w:t>) 0</w:t>
      </w:r>
      <w:r w:rsidRPr="003951F5">
        <w:rPr>
          <w:rFonts w:ascii="Calibri" w:hAnsi="Calibri" w:cs="Calibri"/>
        </w:rPr>
        <w:t>·</w:t>
      </w:r>
      <w:r w:rsidRPr="003951F5">
        <w:t>20</w:t>
      </w:r>
      <w:r w:rsidRPr="003951F5">
        <w:rPr>
          <w:rFonts w:ascii="Calibri" w:hAnsi="Calibri" w:cs="Calibri"/>
        </w:rPr>
        <w:t> </w:t>
      </w:r>
      <w:r w:rsidRPr="003951F5">
        <w:t>mol l</w:t>
      </w:r>
      <w:r w:rsidRPr="003951F5">
        <w:rPr>
          <w:vertAlign w:val="superscript"/>
        </w:rPr>
        <w:t>−1</w:t>
      </w:r>
      <w:r w:rsidRPr="003951F5">
        <w:t>, (□) 0·25 mol l</w:t>
      </w:r>
      <w:r w:rsidRPr="003951F5">
        <w:rPr>
          <w:vertAlign w:val="superscript"/>
        </w:rPr>
        <w:t>−1</w:t>
      </w:r>
      <w:r w:rsidRPr="003951F5">
        <w:t> and (</w:t>
      </w:r>
      <w:r w:rsidRPr="003951F5">
        <w:rPr>
          <w:rFonts w:ascii="Arial" w:hAnsi="Arial" w:cs="Arial"/>
        </w:rPr>
        <w:t>■</w:t>
      </w:r>
      <w:r w:rsidRPr="003951F5">
        <w:t>) 0</w:t>
      </w:r>
      <w:r w:rsidRPr="003951F5">
        <w:rPr>
          <w:rFonts w:ascii="Calibri" w:hAnsi="Calibri" w:cs="Calibri"/>
        </w:rPr>
        <w:t>·</w:t>
      </w:r>
      <w:r w:rsidRPr="003951F5">
        <w:t>30</w:t>
      </w:r>
      <w:r w:rsidRPr="003951F5">
        <w:rPr>
          <w:rFonts w:ascii="Calibri" w:hAnsi="Calibri" w:cs="Calibri"/>
        </w:rPr>
        <w:t> </w:t>
      </w:r>
      <w:r w:rsidRPr="003951F5">
        <w:t>mol</w:t>
      </w:r>
      <w:r w:rsidRPr="003951F5">
        <w:rPr>
          <w:rFonts w:ascii="Calibri" w:hAnsi="Calibri" w:cs="Calibri"/>
        </w:rPr>
        <w:t> </w:t>
      </w:r>
      <w:r w:rsidRPr="003951F5">
        <w:t>l</w:t>
      </w:r>
      <w:r w:rsidRPr="003951F5">
        <w:rPr>
          <w:vertAlign w:val="superscript"/>
        </w:rPr>
        <w:t>−1</w:t>
      </w:r>
      <w:r w:rsidRPr="003951F5">
        <w:t>. Each point represents average inactivation (log</w:t>
      </w:r>
      <w:r w:rsidRPr="003951F5">
        <w:rPr>
          <w:vertAlign w:val="subscript"/>
        </w:rPr>
        <w:t>10</w:t>
      </w:r>
      <w:r w:rsidRPr="003951F5">
        <w:t> (untreated CFU per ml/treated CFU per ml)) of three independent experiments, performed in triplicate. Error bars denote standard deviation.</w:t>
      </w:r>
    </w:p>
    <w:p w14:paraId="29816437" w14:textId="77777777" w:rsidR="006B2FF1" w:rsidRPr="003951F5" w:rsidRDefault="006B2FF1" w:rsidP="003951F5">
      <w:pPr>
        <w:rPr>
          <w:rFonts w:cstheme="minorHAnsi"/>
          <w:sz w:val="24"/>
          <w:szCs w:val="24"/>
        </w:rPr>
      </w:pPr>
    </w:p>
    <w:p w14:paraId="03296FD8" w14:textId="77777777" w:rsidR="003951F5" w:rsidRPr="003951F5" w:rsidRDefault="003951F5" w:rsidP="006B2FF1">
      <w:pPr>
        <w:pStyle w:val="Heading2"/>
      </w:pPr>
      <w:r w:rsidRPr="003951F5">
        <w:t>Membrane integrity</w:t>
      </w:r>
    </w:p>
    <w:p w14:paraId="67B45B47" w14:textId="2CE78844" w:rsidR="003951F5" w:rsidRPr="003951F5" w:rsidRDefault="003951F5" w:rsidP="003951F5">
      <w:pPr>
        <w:rPr>
          <w:rFonts w:cstheme="minorHAnsi"/>
          <w:sz w:val="24"/>
          <w:szCs w:val="24"/>
        </w:rPr>
      </w:pPr>
      <w:r w:rsidRPr="003951F5">
        <w:rPr>
          <w:rFonts w:cstheme="minorHAnsi"/>
          <w:sz w:val="24"/>
          <w:szCs w:val="24"/>
        </w:rPr>
        <w:t>Visual inspection of cell morphology was determined by scanning electron microscopy after treatment with butanoic acid.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w:t>
      </w:r>
      <w:r w:rsidRPr="003951F5">
        <w:rPr>
          <w:rFonts w:cstheme="minorHAnsi"/>
          <w:i/>
          <w:iCs/>
          <w:sz w:val="24"/>
          <w:szCs w:val="24"/>
        </w:rPr>
        <w:t> E. coli</w:t>
      </w:r>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exhibited no gross morphological change after treatment with 1·2 mol l</w:t>
      </w:r>
      <w:r w:rsidRPr="003951F5">
        <w:rPr>
          <w:rFonts w:cstheme="minorHAnsi"/>
          <w:sz w:val="24"/>
          <w:szCs w:val="24"/>
          <w:vertAlign w:val="superscript"/>
        </w:rPr>
        <w:t>−1</w:t>
      </w:r>
      <w:r w:rsidRPr="003951F5">
        <w:rPr>
          <w:rFonts w:cstheme="minorHAnsi"/>
          <w:sz w:val="24"/>
          <w:szCs w:val="24"/>
        </w:rPr>
        <w:t> of butanoic acid when compared to treatment with HCl-amended water, pH 4 (Fig. </w:t>
      </w:r>
      <w:r w:rsidRPr="003951F5">
        <w:rPr>
          <w:rFonts w:cstheme="minorHAnsi"/>
          <w:b/>
          <w:bCs/>
          <w:sz w:val="24"/>
          <w:szCs w:val="24"/>
        </w:rPr>
        <w:t>2</w:t>
      </w:r>
      <w:r w:rsidRPr="003951F5">
        <w:rPr>
          <w:rFonts w:cstheme="minorHAnsi"/>
          <w:sz w:val="24"/>
          <w:szCs w:val="24"/>
        </w:rPr>
        <w:t>). In accordance with this observation, OD measurements of bacterial suspensions exposed to butanoic acid for 15 min demonstrated a lack of cell lysis over this time frame (Fig. </w:t>
      </w:r>
      <w:r w:rsidRPr="003951F5">
        <w:rPr>
          <w:rFonts w:cstheme="minorHAnsi"/>
          <w:b/>
          <w:bCs/>
          <w:sz w:val="24"/>
          <w:szCs w:val="24"/>
        </w:rPr>
        <w:t>3</w:t>
      </w:r>
      <w:r w:rsidRPr="003951F5">
        <w:rPr>
          <w:rFonts w:cstheme="minorHAnsi"/>
          <w:sz w:val="24"/>
          <w:szCs w:val="24"/>
        </w:rPr>
        <w:t>). However, propidium iodide analysis clearly demonstrated that butanoic acid treatment elicited permeabilization of the plasma membrane (Fig. </w:t>
      </w:r>
      <w:r w:rsidRPr="003951F5">
        <w:rPr>
          <w:rFonts w:cstheme="minorHAnsi"/>
          <w:b/>
          <w:bCs/>
          <w:sz w:val="24"/>
          <w:szCs w:val="24"/>
        </w:rPr>
        <w:t>4</w:t>
      </w:r>
      <w:r w:rsidRPr="003951F5">
        <w:rPr>
          <w:rFonts w:cstheme="minorHAnsi"/>
          <w:sz w:val="24"/>
          <w:szCs w:val="24"/>
        </w:rPr>
        <w:t>). Time course measurements of propidium iodide fluorescence showed an increase in membrane disruption upon exposure to 0·10 mol l</w:t>
      </w:r>
      <w:r w:rsidRPr="003951F5">
        <w:rPr>
          <w:rFonts w:cstheme="minorHAnsi"/>
          <w:sz w:val="24"/>
          <w:szCs w:val="24"/>
          <w:vertAlign w:val="superscript"/>
        </w:rPr>
        <w:t>−1</w:t>
      </w:r>
      <w:r w:rsidRPr="003951F5">
        <w:rPr>
          <w:rFonts w:cstheme="minorHAnsi"/>
          <w:sz w:val="24"/>
          <w:szCs w:val="24"/>
        </w:rPr>
        <w:t> of butanoic acid. Visual inspection of propidium iodide-treated bacteria confirmed disruption of the cell envelope upon exposure to 1·2 mol l</w:t>
      </w:r>
      <w:r w:rsidRPr="003951F5">
        <w:rPr>
          <w:rFonts w:cstheme="minorHAnsi"/>
          <w:sz w:val="24"/>
          <w:szCs w:val="24"/>
          <w:vertAlign w:val="superscript"/>
        </w:rPr>
        <w:t>−1</w:t>
      </w:r>
      <w:r w:rsidRPr="003951F5">
        <w:rPr>
          <w:rFonts w:cstheme="minorHAnsi"/>
          <w:sz w:val="24"/>
          <w:szCs w:val="24"/>
        </w:rPr>
        <w:t> of butanoic acid (data not shown). Together, these data demonstrated that butanoic acid induced membrane damage.</w:t>
      </w:r>
    </w:p>
    <w:p w14:paraId="0D1E9A46" w14:textId="5CF8D2E5" w:rsidR="003951F5" w:rsidRPr="003951F5" w:rsidRDefault="003951F5" w:rsidP="006B2FF1">
      <w:pPr>
        <w:pStyle w:val="NoSpacing"/>
      </w:pPr>
      <w:r w:rsidRPr="003951F5">
        <w:drawing>
          <wp:inline distT="0" distB="0" distL="0" distR="0" wp14:anchorId="325B3AA7" wp14:editId="7D32DD0F">
            <wp:extent cx="2743200" cy="3355848"/>
            <wp:effectExtent l="0" t="0" r="0" b="0"/>
            <wp:docPr id="5" name="Picture 5"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355848"/>
                    </a:xfrm>
                    <a:prstGeom prst="rect">
                      <a:avLst/>
                    </a:prstGeom>
                    <a:noFill/>
                    <a:ln>
                      <a:noFill/>
                    </a:ln>
                  </pic:spPr>
                </pic:pic>
              </a:graphicData>
            </a:graphic>
          </wp:inline>
        </w:drawing>
      </w:r>
    </w:p>
    <w:p w14:paraId="0DDC8C1B" w14:textId="4E7D78AB" w:rsidR="003951F5" w:rsidRPr="003951F5" w:rsidRDefault="003951F5" w:rsidP="006B2FF1">
      <w:pPr>
        <w:pStyle w:val="NoSpacing"/>
      </w:pPr>
      <w:r w:rsidRPr="003951F5">
        <w:rPr>
          <w:b/>
          <w:bCs/>
        </w:rPr>
        <w:t>Figure 2</w:t>
      </w:r>
      <w:r w:rsidR="006B2FF1">
        <w:t xml:space="preserve"> </w:t>
      </w:r>
      <w:r w:rsidRPr="003951F5">
        <w:t>Scanning electron micrograph of HCl-amended water, pH 4 (control) and 1·2 mol l</w:t>
      </w:r>
      <w:r w:rsidRPr="003951F5">
        <w:rPr>
          <w:vertAlign w:val="superscript"/>
        </w:rPr>
        <w:t>−1</w:t>
      </w:r>
      <w:r w:rsidRPr="003951F5">
        <w:t> of butanoic acid-treated (a) </w:t>
      </w:r>
      <w:r w:rsidRPr="003951F5">
        <w:rPr>
          <w:i/>
          <w:iCs/>
        </w:rPr>
        <w:t xml:space="preserve">Acinetobacter </w:t>
      </w:r>
      <w:proofErr w:type="spellStart"/>
      <w:r w:rsidRPr="003951F5">
        <w:rPr>
          <w:i/>
          <w:iCs/>
        </w:rPr>
        <w:t>baumannii</w:t>
      </w:r>
      <w:proofErr w:type="spellEnd"/>
      <w:r w:rsidRPr="003951F5">
        <w:t>, (b) </w:t>
      </w:r>
      <w:r w:rsidRPr="003951F5">
        <w:rPr>
          <w:i/>
          <w:iCs/>
        </w:rPr>
        <w:t>Escherichia coli</w:t>
      </w:r>
      <w:r w:rsidRPr="003951F5">
        <w:t> and (c) </w:t>
      </w:r>
      <w:r w:rsidRPr="003951F5">
        <w:rPr>
          <w:i/>
          <w:iCs/>
        </w:rPr>
        <w:t xml:space="preserve">Staphylococcus </w:t>
      </w:r>
      <w:proofErr w:type="spellStart"/>
      <w:r w:rsidRPr="003951F5">
        <w:rPr>
          <w:i/>
          <w:iCs/>
        </w:rPr>
        <w:t>pseudintermedius</w:t>
      </w:r>
      <w:proofErr w:type="spellEnd"/>
      <w:r w:rsidRPr="003951F5">
        <w:t>. Images acquired after a 60-s exposure at 37°C. Fields representative of three independent experiments.</w:t>
      </w:r>
    </w:p>
    <w:p w14:paraId="60F7985C" w14:textId="61B79B26" w:rsidR="003951F5" w:rsidRPr="003951F5" w:rsidRDefault="003951F5" w:rsidP="006B2FF1">
      <w:pPr>
        <w:pStyle w:val="NoSpacing"/>
      </w:pPr>
      <w:r w:rsidRPr="003951F5">
        <w:drawing>
          <wp:inline distT="0" distB="0" distL="0" distR="0" wp14:anchorId="70E5D8CE" wp14:editId="3E8B1961">
            <wp:extent cx="2743200" cy="1892808"/>
            <wp:effectExtent l="0" t="0" r="0" b="0"/>
            <wp:docPr id="4" name="Picture 4"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p w14:paraId="14DF141F" w14:textId="2A1A629A" w:rsidR="003951F5" w:rsidRPr="003951F5" w:rsidRDefault="003951F5" w:rsidP="006B2FF1">
      <w:pPr>
        <w:pStyle w:val="NoSpacing"/>
      </w:pPr>
      <w:r w:rsidRPr="003951F5">
        <w:rPr>
          <w:b/>
          <w:bCs/>
        </w:rPr>
        <w:t>Figure 3</w:t>
      </w:r>
      <w:r w:rsidR="006B2FF1">
        <w:t xml:space="preserve"> </w:t>
      </w:r>
      <w:r w:rsidRPr="003951F5">
        <w:t>Absorbance (600 nm) of (a, b) </w:t>
      </w:r>
      <w:r w:rsidRPr="003951F5">
        <w:rPr>
          <w:i/>
          <w:iCs/>
        </w:rPr>
        <w:t xml:space="preserve">Acinetobacter </w:t>
      </w:r>
      <w:proofErr w:type="spellStart"/>
      <w:r w:rsidRPr="003951F5">
        <w:rPr>
          <w:i/>
          <w:iCs/>
        </w:rPr>
        <w:t>baumannii</w:t>
      </w:r>
      <w:proofErr w:type="spellEnd"/>
      <w:r w:rsidRPr="003951F5">
        <w:t> and (c, d) </w:t>
      </w:r>
      <w:r w:rsidRPr="003951F5">
        <w:rPr>
          <w:i/>
          <w:iCs/>
        </w:rPr>
        <w:t xml:space="preserve">Staphylococcus </w:t>
      </w:r>
      <w:proofErr w:type="spellStart"/>
      <w:r w:rsidRPr="003951F5">
        <w:rPr>
          <w:i/>
          <w:iCs/>
        </w:rPr>
        <w:t>pseudintermedius</w:t>
      </w:r>
      <w:proofErr w:type="spellEnd"/>
      <w:r w:rsidRPr="003951F5">
        <w:t> after treatment with (●) 340 mmol l</w:t>
      </w:r>
      <w:r w:rsidRPr="003951F5">
        <w:rPr>
          <w:vertAlign w:val="superscript"/>
        </w:rPr>
        <w:t>−1</w:t>
      </w:r>
      <w:r w:rsidRPr="003951F5">
        <w:t>, (</w:t>
      </w:r>
      <w:r w:rsidRPr="003951F5">
        <w:rPr>
          <w:rFonts w:ascii="Arial" w:hAnsi="Arial" w:cs="Arial"/>
        </w:rPr>
        <w:t>■</w:t>
      </w:r>
      <w:r w:rsidRPr="003951F5">
        <w:t>) 170</w:t>
      </w:r>
      <w:r w:rsidRPr="003951F5">
        <w:rPr>
          <w:rFonts w:ascii="Calibri" w:hAnsi="Calibri" w:cs="Calibri"/>
        </w:rPr>
        <w:t> </w:t>
      </w:r>
      <w:r w:rsidRPr="003951F5">
        <w:t>mmol</w:t>
      </w:r>
      <w:r w:rsidRPr="003951F5">
        <w:rPr>
          <w:rFonts w:ascii="Calibri" w:hAnsi="Calibri" w:cs="Calibri"/>
        </w:rPr>
        <w:t> </w:t>
      </w:r>
      <w:r w:rsidRPr="003951F5">
        <w:t>l</w:t>
      </w:r>
      <w:r w:rsidRPr="003951F5">
        <w:rPr>
          <w:vertAlign w:val="superscript"/>
        </w:rPr>
        <w:t>−1</w:t>
      </w:r>
      <w:r w:rsidRPr="003951F5">
        <w:t>, and (</w:t>
      </w:r>
      <w:r w:rsidRPr="003951F5">
        <w:rPr>
          <w:rFonts w:ascii="Arial" w:hAnsi="Arial" w:cs="Arial"/>
        </w:rPr>
        <w:t>▲</w:t>
      </w:r>
      <w:r w:rsidRPr="003951F5">
        <w:t>) 85</w:t>
      </w:r>
      <w:r w:rsidRPr="003951F5">
        <w:rPr>
          <w:rFonts w:ascii="Calibri" w:hAnsi="Calibri" w:cs="Calibri"/>
        </w:rPr>
        <w:t> </w:t>
      </w:r>
      <w:r w:rsidRPr="003951F5">
        <w:t>mmol</w:t>
      </w:r>
      <w:r w:rsidRPr="003951F5">
        <w:rPr>
          <w:rFonts w:ascii="Calibri" w:hAnsi="Calibri" w:cs="Calibri"/>
        </w:rPr>
        <w:t> </w:t>
      </w:r>
      <w:r w:rsidRPr="003951F5">
        <w:t>l</w:t>
      </w:r>
      <w:r w:rsidRPr="003951F5">
        <w:rPr>
          <w:vertAlign w:val="superscript"/>
        </w:rPr>
        <w:t>−1</w:t>
      </w:r>
      <w:r w:rsidRPr="003951F5">
        <w:t> butanoic acid. Lysis controls: (○) 3% bleach, (□) 1·5% bleach, (</w:t>
      </w:r>
      <w:r w:rsidRPr="003951F5">
        <w:rPr>
          <w:rFonts w:ascii="Cambria Math" w:hAnsi="Cambria Math" w:cs="Cambria Math"/>
        </w:rPr>
        <w:t>▵</w:t>
      </w:r>
      <w:r w:rsidRPr="003951F5">
        <w:t>) 0</w:t>
      </w:r>
      <w:r w:rsidRPr="003951F5">
        <w:rPr>
          <w:rFonts w:ascii="Calibri" w:hAnsi="Calibri" w:cs="Calibri"/>
        </w:rPr>
        <w:t>·</w:t>
      </w:r>
      <w:r w:rsidRPr="003951F5">
        <w:t>75% bleach and (×) HCl-amended water, pH 4. Data points represent average of eight wells, graphs representative of three independent experiments. Error bars denote standard deviation.</w:t>
      </w:r>
    </w:p>
    <w:p w14:paraId="4D13A4E7" w14:textId="71EDFB91" w:rsidR="003951F5" w:rsidRPr="003951F5" w:rsidRDefault="003951F5" w:rsidP="006B2FF1">
      <w:pPr>
        <w:pStyle w:val="NoSpacing"/>
      </w:pPr>
      <w:r w:rsidRPr="003951F5">
        <w:drawing>
          <wp:inline distT="0" distB="0" distL="0" distR="0" wp14:anchorId="3CBB4342" wp14:editId="51457FEB">
            <wp:extent cx="3657600" cy="1234440"/>
            <wp:effectExtent l="0" t="0" r="0" b="3810"/>
            <wp:docPr id="3" name="Picture 3"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234440"/>
                    </a:xfrm>
                    <a:prstGeom prst="rect">
                      <a:avLst/>
                    </a:prstGeom>
                    <a:noFill/>
                    <a:ln>
                      <a:noFill/>
                    </a:ln>
                  </pic:spPr>
                </pic:pic>
              </a:graphicData>
            </a:graphic>
          </wp:inline>
        </w:drawing>
      </w:r>
    </w:p>
    <w:p w14:paraId="1D481965" w14:textId="442134B2" w:rsidR="003951F5" w:rsidRPr="003951F5" w:rsidRDefault="003951F5" w:rsidP="006B2FF1">
      <w:pPr>
        <w:pStyle w:val="NoSpacing"/>
      </w:pPr>
      <w:r w:rsidRPr="003951F5">
        <w:rPr>
          <w:b/>
          <w:bCs/>
        </w:rPr>
        <w:t>Figure 4</w:t>
      </w:r>
      <w:r w:rsidR="006B2FF1">
        <w:t xml:space="preserve"> </w:t>
      </w:r>
      <w:r w:rsidRPr="003951F5">
        <w:t>Fluorescence (</w:t>
      </w:r>
      <w:proofErr w:type="spellStart"/>
      <w:r w:rsidRPr="003951F5">
        <w:t>a.u</w:t>
      </w:r>
      <w:proofErr w:type="spellEnd"/>
      <w:r w:rsidRPr="003951F5">
        <w:t>) of (a) </w:t>
      </w:r>
      <w:r w:rsidRPr="003951F5">
        <w:rPr>
          <w:i/>
          <w:iCs/>
        </w:rPr>
        <w:t xml:space="preserve">Acinetobacter </w:t>
      </w:r>
      <w:proofErr w:type="spellStart"/>
      <w:r w:rsidRPr="003951F5">
        <w:rPr>
          <w:i/>
          <w:iCs/>
        </w:rPr>
        <w:t>baumannii</w:t>
      </w:r>
      <w:proofErr w:type="spellEnd"/>
      <w:r w:rsidRPr="003951F5">
        <w:t> and (b) </w:t>
      </w:r>
      <w:r w:rsidRPr="003951F5">
        <w:rPr>
          <w:i/>
          <w:iCs/>
        </w:rPr>
        <w:t xml:space="preserve">Staphylococcus </w:t>
      </w:r>
      <w:proofErr w:type="spellStart"/>
      <w:r w:rsidRPr="003951F5">
        <w:rPr>
          <w:i/>
          <w:iCs/>
        </w:rPr>
        <w:t>pseudintermedius</w:t>
      </w:r>
      <w:proofErr w:type="spellEnd"/>
      <w:r w:rsidRPr="003951F5">
        <w:t> stained with propidium iodide (5 </w:t>
      </w:r>
      <w:proofErr w:type="spellStart"/>
      <w:r w:rsidRPr="003951F5">
        <w:rPr>
          <w:i/>
          <w:iCs/>
        </w:rPr>
        <w:t>μ</w:t>
      </w:r>
      <w:r w:rsidRPr="003951F5">
        <w:t>g</w:t>
      </w:r>
      <w:proofErr w:type="spellEnd"/>
      <w:r w:rsidRPr="003951F5">
        <w:t> </w:t>
      </w:r>
      <w:proofErr w:type="gramStart"/>
      <w:r w:rsidRPr="003951F5">
        <w:t>ml</w:t>
      </w:r>
      <w:r w:rsidRPr="003951F5">
        <w:rPr>
          <w:vertAlign w:val="superscript"/>
        </w:rPr>
        <w:t>−1</w:t>
      </w:r>
      <w:proofErr w:type="gramEnd"/>
      <w:r w:rsidRPr="003951F5">
        <w:t>). Stained bacteria were treated with (□) HCl-amended water, pH 4 and (</w:t>
      </w:r>
      <w:r w:rsidRPr="003951F5">
        <w:rPr>
          <w:rFonts w:ascii="Arial" w:hAnsi="Arial" w:cs="Arial"/>
        </w:rPr>
        <w:t>■</w:t>
      </w:r>
      <w:r w:rsidRPr="003951F5">
        <w:t>) 0</w:t>
      </w:r>
      <w:r w:rsidRPr="003951F5">
        <w:rPr>
          <w:rFonts w:ascii="Calibri" w:hAnsi="Calibri" w:cs="Calibri"/>
        </w:rPr>
        <w:t>·</w:t>
      </w:r>
      <w:r w:rsidRPr="003951F5">
        <w:t>10</w:t>
      </w:r>
      <w:r w:rsidRPr="003951F5">
        <w:rPr>
          <w:rFonts w:ascii="Calibri" w:hAnsi="Calibri" w:cs="Calibri"/>
        </w:rPr>
        <w:t> </w:t>
      </w:r>
      <w:r w:rsidRPr="003951F5">
        <w:t>mol</w:t>
      </w:r>
      <w:r w:rsidRPr="003951F5">
        <w:rPr>
          <w:rFonts w:ascii="Calibri" w:hAnsi="Calibri" w:cs="Calibri"/>
        </w:rPr>
        <w:t> </w:t>
      </w:r>
      <w:r w:rsidRPr="003951F5">
        <w:t>l</w:t>
      </w:r>
      <w:r w:rsidRPr="003951F5">
        <w:rPr>
          <w:vertAlign w:val="superscript"/>
        </w:rPr>
        <w:t>−1</w:t>
      </w:r>
      <w:r w:rsidRPr="003951F5">
        <w:t> of butanoic acid for the indicated time. Data points represent average of eight wells, graphs representative of three independent experiments. Error bars denote standard deviation.</w:t>
      </w:r>
    </w:p>
    <w:p w14:paraId="264B2C37" w14:textId="77777777" w:rsidR="006B2FF1" w:rsidRDefault="006B2FF1" w:rsidP="003951F5">
      <w:pPr>
        <w:rPr>
          <w:rFonts w:cstheme="minorHAnsi"/>
          <w:sz w:val="24"/>
          <w:szCs w:val="24"/>
        </w:rPr>
      </w:pPr>
    </w:p>
    <w:p w14:paraId="7203034B" w14:textId="2E85BAFB" w:rsidR="003951F5" w:rsidRPr="003951F5" w:rsidRDefault="003951F5" w:rsidP="003951F5">
      <w:pPr>
        <w:rPr>
          <w:rFonts w:cstheme="minorHAnsi"/>
          <w:sz w:val="24"/>
          <w:szCs w:val="24"/>
        </w:rPr>
      </w:pPr>
      <w:r w:rsidRPr="003951F5">
        <w:rPr>
          <w:rFonts w:cstheme="minorHAnsi"/>
          <w:sz w:val="24"/>
          <w:szCs w:val="24"/>
        </w:rPr>
        <w:t>Due to the apparent permeabilization of the plasma membrane, it was hypothesized that butanoic acid treatment would result in leakage of intracellular components. To test this,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w:t>
      </w:r>
      <w:r w:rsidRPr="003951F5">
        <w:rPr>
          <w:rFonts w:cstheme="minorHAnsi"/>
          <w:i/>
          <w:iCs/>
          <w:sz w:val="24"/>
          <w:szCs w:val="24"/>
        </w:rPr>
        <w:t> E. coli</w:t>
      </w:r>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were exposed to butanoic acid and ICP-OEM was performed.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experienced a near complete loss of calcium and magnesium after a 2-min exposure to 0·40 mol l</w:t>
      </w:r>
      <w:r w:rsidRPr="003951F5">
        <w:rPr>
          <w:rFonts w:cstheme="minorHAnsi"/>
          <w:sz w:val="24"/>
          <w:szCs w:val="24"/>
          <w:vertAlign w:val="superscript"/>
        </w:rPr>
        <w:t>−1</w:t>
      </w:r>
      <w:r w:rsidRPr="003951F5">
        <w:rPr>
          <w:rFonts w:cstheme="minorHAnsi"/>
          <w:sz w:val="24"/>
          <w:szCs w:val="24"/>
        </w:rPr>
        <w:t> of butanoic acid. The maximum leakage of iron occurred after a 6-min exposure to 0·40 mol l</w:t>
      </w:r>
      <w:r w:rsidRPr="003951F5">
        <w:rPr>
          <w:rFonts w:cstheme="minorHAnsi"/>
          <w:sz w:val="24"/>
          <w:szCs w:val="24"/>
          <w:vertAlign w:val="superscript"/>
        </w:rPr>
        <w:t>−1</w:t>
      </w:r>
      <w:r w:rsidRPr="003951F5">
        <w:rPr>
          <w:rFonts w:cstheme="minorHAnsi"/>
          <w:sz w:val="24"/>
          <w:szCs w:val="24"/>
        </w:rPr>
        <w:t> of butanoic acid. </w:t>
      </w:r>
      <w:r w:rsidRPr="003951F5">
        <w:rPr>
          <w:rFonts w:cstheme="minorHAnsi"/>
          <w:i/>
          <w:iCs/>
          <w:sz w:val="24"/>
          <w:szCs w:val="24"/>
        </w:rPr>
        <w:t>Escherichia coli</w:t>
      </w:r>
      <w:r w:rsidRPr="003951F5">
        <w:rPr>
          <w:rFonts w:cstheme="minorHAnsi"/>
          <w:sz w:val="24"/>
          <w:szCs w:val="24"/>
        </w:rPr>
        <w:t> experienced a complete loss of magnesium after a 4 min exposure to 0·40 mol l</w:t>
      </w:r>
      <w:r w:rsidRPr="003951F5">
        <w:rPr>
          <w:rFonts w:cstheme="minorHAnsi"/>
          <w:sz w:val="24"/>
          <w:szCs w:val="24"/>
          <w:vertAlign w:val="superscript"/>
        </w:rPr>
        <w:t>−1</w:t>
      </w:r>
      <w:r w:rsidRPr="003951F5">
        <w:rPr>
          <w:rFonts w:cstheme="minorHAnsi"/>
          <w:sz w:val="24"/>
          <w:szCs w:val="24"/>
        </w:rPr>
        <w:t> of butanoic acid.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demonstrated the maximum leakage of magnesium; however, iron was unaffected by acid treatment (Table </w:t>
      </w:r>
      <w:r w:rsidRPr="003951F5">
        <w:rPr>
          <w:rFonts w:cstheme="minorHAnsi"/>
          <w:b/>
          <w:bCs/>
          <w:sz w:val="24"/>
          <w:szCs w:val="24"/>
        </w:rPr>
        <w:t>3</w:t>
      </w:r>
      <w:r w:rsidRPr="003951F5">
        <w:rPr>
          <w:rFonts w:cstheme="minorHAnsi"/>
          <w:sz w:val="24"/>
          <w:szCs w:val="24"/>
        </w:rPr>
        <w:t>). In summary, these data demonstrate that butanoic acid causes near maximum leakage of cellular components.</w:t>
      </w:r>
    </w:p>
    <w:p w14:paraId="78A238A6" w14:textId="77777777" w:rsidR="003951F5" w:rsidRPr="003951F5" w:rsidRDefault="003951F5" w:rsidP="008733E7">
      <w:pPr>
        <w:spacing w:after="0"/>
        <w:rPr>
          <w:rFonts w:cstheme="minorHAnsi"/>
          <w:sz w:val="24"/>
          <w:szCs w:val="24"/>
        </w:rPr>
      </w:pPr>
      <w:r w:rsidRPr="003951F5">
        <w:rPr>
          <w:rFonts w:cstheme="minorHAnsi"/>
          <w:b/>
          <w:bCs/>
          <w:sz w:val="24"/>
          <w:szCs w:val="24"/>
        </w:rPr>
        <w:t>Table 3. </w:t>
      </w:r>
      <w:r w:rsidRPr="003951F5">
        <w:rPr>
          <w:rFonts w:cstheme="minorHAnsi"/>
          <w:sz w:val="24"/>
          <w:szCs w:val="24"/>
        </w:rPr>
        <w:t>Leakage of vital ions from cells exposed to butanoic acid (37°C, pH 4·0)</w:t>
      </w:r>
    </w:p>
    <w:tbl>
      <w:tblPr>
        <w:tblStyle w:val="TableGrid"/>
        <w:tblW w:w="0" w:type="auto"/>
        <w:tblLook w:val="04A0" w:firstRow="1" w:lastRow="0" w:firstColumn="1" w:lastColumn="0" w:noHBand="0" w:noVBand="1"/>
      </w:tblPr>
      <w:tblGrid>
        <w:gridCol w:w="3489"/>
        <w:gridCol w:w="2421"/>
        <w:gridCol w:w="1297"/>
        <w:gridCol w:w="1325"/>
        <w:gridCol w:w="764"/>
        <w:gridCol w:w="764"/>
      </w:tblGrid>
      <w:tr w:rsidR="008733E7" w:rsidRPr="003951F5" w14:paraId="755E69AD" w14:textId="77777777" w:rsidTr="008733E7">
        <w:tc>
          <w:tcPr>
            <w:tcW w:w="0" w:type="auto"/>
            <w:hideMark/>
          </w:tcPr>
          <w:p w14:paraId="0264216F" w14:textId="77777777" w:rsidR="008733E7" w:rsidRPr="003951F5" w:rsidRDefault="008733E7" w:rsidP="008733E7">
            <w:pPr>
              <w:spacing w:line="259" w:lineRule="auto"/>
              <w:rPr>
                <w:rFonts w:cstheme="minorHAnsi"/>
                <w:b/>
                <w:bCs/>
                <w:sz w:val="24"/>
                <w:szCs w:val="24"/>
              </w:rPr>
            </w:pPr>
            <w:r w:rsidRPr="003951F5">
              <w:rPr>
                <w:rFonts w:cstheme="minorHAnsi"/>
                <w:b/>
                <w:bCs/>
                <w:sz w:val="24"/>
                <w:szCs w:val="24"/>
              </w:rPr>
              <w:t>Organism</w:t>
            </w:r>
          </w:p>
        </w:tc>
        <w:tc>
          <w:tcPr>
            <w:tcW w:w="0" w:type="auto"/>
            <w:hideMark/>
          </w:tcPr>
          <w:p w14:paraId="56634CCE" w14:textId="77777777" w:rsidR="008733E7" w:rsidRPr="003951F5" w:rsidRDefault="008733E7" w:rsidP="008733E7">
            <w:pPr>
              <w:spacing w:line="259" w:lineRule="auto"/>
              <w:rPr>
                <w:rFonts w:cstheme="minorHAnsi"/>
                <w:b/>
                <w:bCs/>
                <w:sz w:val="24"/>
                <w:szCs w:val="24"/>
              </w:rPr>
            </w:pPr>
            <w:r w:rsidRPr="003951F5">
              <w:rPr>
                <w:rFonts w:cstheme="minorHAnsi"/>
                <w:b/>
                <w:bCs/>
                <w:sz w:val="24"/>
                <w:szCs w:val="24"/>
              </w:rPr>
              <w:t>Butanoic acid (mol l</w:t>
            </w:r>
            <w:r w:rsidRPr="003951F5">
              <w:rPr>
                <w:rFonts w:cstheme="minorHAnsi"/>
                <w:b/>
                <w:bCs/>
                <w:sz w:val="24"/>
                <w:szCs w:val="24"/>
                <w:vertAlign w:val="superscript"/>
              </w:rPr>
              <w:t>−1</w:t>
            </w:r>
            <w:r w:rsidRPr="003951F5">
              <w:rPr>
                <w:rFonts w:cstheme="minorHAnsi"/>
                <w:b/>
                <w:bCs/>
                <w:sz w:val="24"/>
                <w:szCs w:val="24"/>
              </w:rPr>
              <w:t>)</w:t>
            </w:r>
          </w:p>
        </w:tc>
        <w:tc>
          <w:tcPr>
            <w:tcW w:w="0" w:type="auto"/>
            <w:hideMark/>
          </w:tcPr>
          <w:p w14:paraId="3A865E7E" w14:textId="77777777" w:rsidR="008733E7" w:rsidRPr="003951F5" w:rsidRDefault="008733E7" w:rsidP="008733E7">
            <w:pPr>
              <w:spacing w:line="259" w:lineRule="auto"/>
              <w:rPr>
                <w:rFonts w:cstheme="minorHAnsi"/>
                <w:b/>
                <w:bCs/>
                <w:sz w:val="24"/>
                <w:szCs w:val="24"/>
              </w:rPr>
            </w:pPr>
            <w:r w:rsidRPr="003951F5">
              <w:rPr>
                <w:rFonts w:cstheme="minorHAnsi"/>
                <w:b/>
                <w:bCs/>
                <w:sz w:val="24"/>
                <w:szCs w:val="24"/>
              </w:rPr>
              <w:t>Time (min)</w:t>
            </w:r>
          </w:p>
        </w:tc>
        <w:tc>
          <w:tcPr>
            <w:tcW w:w="0" w:type="auto"/>
            <w:hideMark/>
          </w:tcPr>
          <w:p w14:paraId="2375F537" w14:textId="77777777" w:rsidR="008733E7" w:rsidRPr="003951F5" w:rsidRDefault="008733E7" w:rsidP="008733E7">
            <w:pPr>
              <w:rPr>
                <w:rFonts w:cstheme="minorHAnsi"/>
                <w:b/>
                <w:bCs/>
                <w:sz w:val="24"/>
                <w:szCs w:val="24"/>
              </w:rPr>
            </w:pPr>
            <w:r w:rsidRPr="003951F5">
              <w:rPr>
                <w:rFonts w:cstheme="minorHAnsi"/>
                <w:b/>
                <w:bCs/>
                <w:sz w:val="24"/>
                <w:szCs w:val="24"/>
              </w:rPr>
              <w:t>Ion (mg l</w:t>
            </w:r>
            <w:r w:rsidRPr="003951F5">
              <w:rPr>
                <w:rFonts w:cstheme="minorHAnsi"/>
                <w:b/>
                <w:bCs/>
                <w:sz w:val="24"/>
                <w:szCs w:val="24"/>
                <w:vertAlign w:val="superscript"/>
              </w:rPr>
              <w:t>−1</w:t>
            </w:r>
            <w:r w:rsidRPr="003951F5">
              <w:rPr>
                <w:rFonts w:cstheme="minorHAnsi"/>
                <w:b/>
                <w:bCs/>
                <w:sz w:val="24"/>
                <w:szCs w:val="24"/>
              </w:rPr>
              <w:t>)</w:t>
            </w:r>
          </w:p>
        </w:tc>
        <w:tc>
          <w:tcPr>
            <w:tcW w:w="0" w:type="auto"/>
          </w:tcPr>
          <w:p w14:paraId="7F4D01BD" w14:textId="77777777" w:rsidR="008733E7" w:rsidRPr="003951F5" w:rsidRDefault="008733E7" w:rsidP="008733E7">
            <w:pPr>
              <w:rPr>
                <w:rFonts w:cstheme="minorHAnsi"/>
                <w:b/>
                <w:bCs/>
                <w:sz w:val="24"/>
                <w:szCs w:val="24"/>
              </w:rPr>
            </w:pPr>
          </w:p>
        </w:tc>
        <w:tc>
          <w:tcPr>
            <w:tcW w:w="0" w:type="auto"/>
          </w:tcPr>
          <w:p w14:paraId="4FE3E895" w14:textId="7FD4D82B" w:rsidR="008733E7" w:rsidRPr="003951F5" w:rsidRDefault="008733E7" w:rsidP="008733E7">
            <w:pPr>
              <w:spacing w:line="259" w:lineRule="auto"/>
              <w:rPr>
                <w:rFonts w:cstheme="minorHAnsi"/>
                <w:b/>
                <w:bCs/>
                <w:sz w:val="24"/>
                <w:szCs w:val="24"/>
              </w:rPr>
            </w:pPr>
          </w:p>
        </w:tc>
      </w:tr>
      <w:tr w:rsidR="003951F5" w:rsidRPr="003951F5" w14:paraId="5671C194" w14:textId="77777777" w:rsidTr="008733E7">
        <w:tc>
          <w:tcPr>
            <w:tcW w:w="0" w:type="auto"/>
            <w:hideMark/>
          </w:tcPr>
          <w:p w14:paraId="420911FA" w14:textId="77777777" w:rsidR="003951F5" w:rsidRPr="003951F5" w:rsidRDefault="003951F5" w:rsidP="008733E7">
            <w:pPr>
              <w:spacing w:line="259" w:lineRule="auto"/>
              <w:rPr>
                <w:rFonts w:cstheme="minorHAnsi"/>
                <w:b/>
                <w:bCs/>
                <w:sz w:val="24"/>
                <w:szCs w:val="24"/>
              </w:rPr>
            </w:pPr>
          </w:p>
        </w:tc>
        <w:tc>
          <w:tcPr>
            <w:tcW w:w="0" w:type="auto"/>
            <w:hideMark/>
          </w:tcPr>
          <w:p w14:paraId="71036EAC" w14:textId="77777777" w:rsidR="003951F5" w:rsidRPr="003951F5" w:rsidRDefault="003951F5" w:rsidP="008733E7">
            <w:pPr>
              <w:spacing w:line="259" w:lineRule="auto"/>
              <w:rPr>
                <w:rFonts w:cstheme="minorHAnsi"/>
                <w:b/>
                <w:bCs/>
                <w:sz w:val="24"/>
                <w:szCs w:val="24"/>
              </w:rPr>
            </w:pPr>
          </w:p>
        </w:tc>
        <w:tc>
          <w:tcPr>
            <w:tcW w:w="0" w:type="auto"/>
            <w:hideMark/>
          </w:tcPr>
          <w:p w14:paraId="2BB9A7EF" w14:textId="77777777" w:rsidR="003951F5" w:rsidRPr="003951F5" w:rsidRDefault="003951F5" w:rsidP="008733E7">
            <w:pPr>
              <w:spacing w:line="259" w:lineRule="auto"/>
              <w:rPr>
                <w:rFonts w:cstheme="minorHAnsi"/>
                <w:b/>
                <w:bCs/>
                <w:sz w:val="24"/>
                <w:szCs w:val="24"/>
              </w:rPr>
            </w:pPr>
          </w:p>
        </w:tc>
        <w:tc>
          <w:tcPr>
            <w:tcW w:w="0" w:type="auto"/>
            <w:hideMark/>
          </w:tcPr>
          <w:p w14:paraId="0C6C4196" w14:textId="77777777" w:rsidR="003951F5" w:rsidRPr="003951F5" w:rsidRDefault="003951F5" w:rsidP="008733E7">
            <w:pPr>
              <w:spacing w:line="259" w:lineRule="auto"/>
              <w:rPr>
                <w:rFonts w:cstheme="minorHAnsi"/>
                <w:b/>
                <w:bCs/>
                <w:sz w:val="24"/>
                <w:szCs w:val="24"/>
              </w:rPr>
            </w:pPr>
            <w:r w:rsidRPr="003951F5">
              <w:rPr>
                <w:rFonts w:cstheme="minorHAnsi"/>
                <w:b/>
                <w:bCs/>
                <w:sz w:val="24"/>
                <w:szCs w:val="24"/>
              </w:rPr>
              <w:t>Ca</w:t>
            </w:r>
          </w:p>
        </w:tc>
        <w:tc>
          <w:tcPr>
            <w:tcW w:w="0" w:type="auto"/>
            <w:hideMark/>
          </w:tcPr>
          <w:p w14:paraId="301CCF17" w14:textId="77777777" w:rsidR="003951F5" w:rsidRPr="003951F5" w:rsidRDefault="003951F5" w:rsidP="008733E7">
            <w:pPr>
              <w:spacing w:line="259" w:lineRule="auto"/>
              <w:rPr>
                <w:rFonts w:cstheme="minorHAnsi"/>
                <w:b/>
                <w:bCs/>
                <w:sz w:val="24"/>
                <w:szCs w:val="24"/>
              </w:rPr>
            </w:pPr>
            <w:r w:rsidRPr="003951F5">
              <w:rPr>
                <w:rFonts w:cstheme="minorHAnsi"/>
                <w:b/>
                <w:bCs/>
                <w:sz w:val="24"/>
                <w:szCs w:val="24"/>
              </w:rPr>
              <w:t>Mg</w:t>
            </w:r>
          </w:p>
        </w:tc>
        <w:tc>
          <w:tcPr>
            <w:tcW w:w="0" w:type="auto"/>
            <w:hideMark/>
          </w:tcPr>
          <w:p w14:paraId="5C4176A7" w14:textId="77777777" w:rsidR="003951F5" w:rsidRPr="003951F5" w:rsidRDefault="003951F5" w:rsidP="008733E7">
            <w:pPr>
              <w:spacing w:line="259" w:lineRule="auto"/>
              <w:rPr>
                <w:rFonts w:cstheme="minorHAnsi"/>
                <w:b/>
                <w:bCs/>
                <w:sz w:val="24"/>
                <w:szCs w:val="24"/>
              </w:rPr>
            </w:pPr>
            <w:r w:rsidRPr="003951F5">
              <w:rPr>
                <w:rFonts w:cstheme="minorHAnsi"/>
                <w:b/>
                <w:bCs/>
                <w:sz w:val="24"/>
                <w:szCs w:val="24"/>
              </w:rPr>
              <w:t>Fe</w:t>
            </w:r>
          </w:p>
        </w:tc>
      </w:tr>
      <w:tr w:rsidR="003951F5" w:rsidRPr="003951F5" w14:paraId="23919DEC" w14:textId="77777777" w:rsidTr="008733E7">
        <w:tc>
          <w:tcPr>
            <w:tcW w:w="0" w:type="auto"/>
            <w:hideMark/>
          </w:tcPr>
          <w:p w14:paraId="651C2D98" w14:textId="77777777" w:rsidR="003951F5" w:rsidRPr="003951F5" w:rsidRDefault="003951F5" w:rsidP="008733E7">
            <w:pPr>
              <w:spacing w:line="259" w:lineRule="auto"/>
              <w:rPr>
                <w:rFonts w:cstheme="minorHAnsi"/>
                <w:sz w:val="24"/>
                <w:szCs w:val="24"/>
              </w:rPr>
            </w:pP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p>
        </w:tc>
        <w:tc>
          <w:tcPr>
            <w:tcW w:w="0" w:type="auto"/>
            <w:hideMark/>
          </w:tcPr>
          <w:p w14:paraId="050E1077" w14:textId="77777777" w:rsidR="003951F5" w:rsidRPr="003951F5" w:rsidRDefault="003951F5" w:rsidP="008733E7">
            <w:pPr>
              <w:spacing w:line="259" w:lineRule="auto"/>
              <w:rPr>
                <w:rFonts w:cstheme="minorHAnsi"/>
                <w:sz w:val="24"/>
                <w:szCs w:val="24"/>
              </w:rPr>
            </w:pPr>
            <w:r w:rsidRPr="003951F5">
              <w:rPr>
                <w:rFonts w:cstheme="minorHAnsi"/>
                <w:sz w:val="24"/>
                <w:szCs w:val="24"/>
              </w:rPr>
              <w:t>H</w:t>
            </w:r>
            <w:r w:rsidRPr="003951F5">
              <w:rPr>
                <w:rFonts w:cstheme="minorHAnsi"/>
                <w:sz w:val="24"/>
                <w:szCs w:val="24"/>
                <w:vertAlign w:val="subscript"/>
              </w:rPr>
              <w:t>2</w:t>
            </w:r>
            <w:r w:rsidRPr="003951F5">
              <w:rPr>
                <w:rFonts w:cstheme="minorHAnsi"/>
                <w:sz w:val="24"/>
                <w:szCs w:val="24"/>
              </w:rPr>
              <w:t>O</w:t>
            </w:r>
          </w:p>
        </w:tc>
        <w:tc>
          <w:tcPr>
            <w:tcW w:w="0" w:type="auto"/>
            <w:hideMark/>
          </w:tcPr>
          <w:p w14:paraId="079A5C75" w14:textId="77777777" w:rsidR="003951F5" w:rsidRPr="003951F5" w:rsidRDefault="003951F5" w:rsidP="008733E7">
            <w:pPr>
              <w:spacing w:line="259" w:lineRule="auto"/>
              <w:rPr>
                <w:rFonts w:cstheme="minorHAnsi"/>
                <w:sz w:val="24"/>
                <w:szCs w:val="24"/>
              </w:rPr>
            </w:pPr>
            <w:r w:rsidRPr="003951F5">
              <w:rPr>
                <w:rFonts w:cstheme="minorHAnsi"/>
                <w:sz w:val="24"/>
                <w:szCs w:val="24"/>
              </w:rPr>
              <w:t>6</w:t>
            </w:r>
          </w:p>
        </w:tc>
        <w:tc>
          <w:tcPr>
            <w:tcW w:w="0" w:type="auto"/>
            <w:hideMark/>
          </w:tcPr>
          <w:p w14:paraId="47D9A2F6"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034D8286"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4F950946"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70D695CA" w14:textId="77777777" w:rsidTr="008733E7">
        <w:tc>
          <w:tcPr>
            <w:tcW w:w="0" w:type="auto"/>
            <w:hideMark/>
          </w:tcPr>
          <w:p w14:paraId="246428E6" w14:textId="77777777" w:rsidR="003951F5" w:rsidRPr="003951F5" w:rsidRDefault="003951F5" w:rsidP="008733E7">
            <w:pPr>
              <w:spacing w:line="259" w:lineRule="auto"/>
              <w:rPr>
                <w:rFonts w:cstheme="minorHAnsi"/>
                <w:sz w:val="24"/>
                <w:szCs w:val="24"/>
              </w:rPr>
            </w:pPr>
          </w:p>
        </w:tc>
        <w:tc>
          <w:tcPr>
            <w:tcW w:w="0" w:type="auto"/>
            <w:hideMark/>
          </w:tcPr>
          <w:p w14:paraId="3181C1F1" w14:textId="77777777" w:rsidR="003951F5" w:rsidRPr="003951F5" w:rsidRDefault="003951F5" w:rsidP="008733E7">
            <w:pPr>
              <w:spacing w:line="259" w:lineRule="auto"/>
              <w:rPr>
                <w:rFonts w:cstheme="minorHAnsi"/>
                <w:sz w:val="24"/>
                <w:szCs w:val="24"/>
              </w:rPr>
            </w:pPr>
            <w:r w:rsidRPr="003951F5">
              <w:rPr>
                <w:rFonts w:cstheme="minorHAnsi"/>
                <w:sz w:val="24"/>
                <w:szCs w:val="24"/>
              </w:rPr>
              <w:t>0·40</w:t>
            </w:r>
          </w:p>
        </w:tc>
        <w:tc>
          <w:tcPr>
            <w:tcW w:w="0" w:type="auto"/>
            <w:hideMark/>
          </w:tcPr>
          <w:p w14:paraId="59FA11D7" w14:textId="77777777" w:rsidR="003951F5" w:rsidRPr="003951F5" w:rsidRDefault="003951F5" w:rsidP="008733E7">
            <w:pPr>
              <w:spacing w:line="259" w:lineRule="auto"/>
              <w:rPr>
                <w:rFonts w:cstheme="minorHAnsi"/>
                <w:sz w:val="24"/>
                <w:szCs w:val="24"/>
              </w:rPr>
            </w:pPr>
            <w:r w:rsidRPr="003951F5">
              <w:rPr>
                <w:rFonts w:cstheme="minorHAnsi"/>
                <w:sz w:val="24"/>
                <w:szCs w:val="24"/>
              </w:rPr>
              <w:t>2</w:t>
            </w:r>
          </w:p>
        </w:tc>
        <w:tc>
          <w:tcPr>
            <w:tcW w:w="0" w:type="auto"/>
            <w:hideMark/>
          </w:tcPr>
          <w:p w14:paraId="698B5665" w14:textId="77777777" w:rsidR="003951F5" w:rsidRPr="003951F5" w:rsidRDefault="003951F5" w:rsidP="008733E7">
            <w:pPr>
              <w:spacing w:line="259" w:lineRule="auto"/>
              <w:rPr>
                <w:rFonts w:cstheme="minorHAnsi"/>
                <w:sz w:val="24"/>
                <w:szCs w:val="24"/>
              </w:rPr>
            </w:pPr>
            <w:r w:rsidRPr="003951F5">
              <w:rPr>
                <w:rFonts w:cstheme="minorHAnsi"/>
                <w:sz w:val="24"/>
                <w:szCs w:val="24"/>
              </w:rPr>
              <w:t>0·127</w:t>
            </w:r>
          </w:p>
        </w:tc>
        <w:tc>
          <w:tcPr>
            <w:tcW w:w="0" w:type="auto"/>
            <w:hideMark/>
          </w:tcPr>
          <w:p w14:paraId="217E531C" w14:textId="77777777" w:rsidR="003951F5" w:rsidRPr="003951F5" w:rsidRDefault="003951F5" w:rsidP="008733E7">
            <w:pPr>
              <w:spacing w:line="259" w:lineRule="auto"/>
              <w:rPr>
                <w:rFonts w:cstheme="minorHAnsi"/>
                <w:sz w:val="24"/>
                <w:szCs w:val="24"/>
              </w:rPr>
            </w:pPr>
            <w:r w:rsidRPr="003951F5">
              <w:rPr>
                <w:rFonts w:cstheme="minorHAnsi"/>
                <w:sz w:val="24"/>
                <w:szCs w:val="24"/>
              </w:rPr>
              <w:t>0·267</w:t>
            </w:r>
          </w:p>
        </w:tc>
        <w:tc>
          <w:tcPr>
            <w:tcW w:w="0" w:type="auto"/>
            <w:hideMark/>
          </w:tcPr>
          <w:p w14:paraId="06471AAA"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259B5C42" w14:textId="77777777" w:rsidTr="008733E7">
        <w:tc>
          <w:tcPr>
            <w:tcW w:w="0" w:type="auto"/>
            <w:hideMark/>
          </w:tcPr>
          <w:p w14:paraId="733D62C3" w14:textId="77777777" w:rsidR="003951F5" w:rsidRPr="003951F5" w:rsidRDefault="003951F5" w:rsidP="008733E7">
            <w:pPr>
              <w:spacing w:line="259" w:lineRule="auto"/>
              <w:rPr>
                <w:rFonts w:cstheme="minorHAnsi"/>
                <w:sz w:val="24"/>
                <w:szCs w:val="24"/>
              </w:rPr>
            </w:pPr>
          </w:p>
        </w:tc>
        <w:tc>
          <w:tcPr>
            <w:tcW w:w="0" w:type="auto"/>
            <w:hideMark/>
          </w:tcPr>
          <w:p w14:paraId="1502C0C3" w14:textId="77777777" w:rsidR="003951F5" w:rsidRPr="003951F5" w:rsidRDefault="003951F5" w:rsidP="008733E7">
            <w:pPr>
              <w:spacing w:line="259" w:lineRule="auto"/>
              <w:rPr>
                <w:rFonts w:cstheme="minorHAnsi"/>
                <w:sz w:val="24"/>
                <w:szCs w:val="24"/>
              </w:rPr>
            </w:pPr>
            <w:r w:rsidRPr="003951F5">
              <w:rPr>
                <w:rFonts w:cstheme="minorHAnsi"/>
                <w:sz w:val="24"/>
                <w:szCs w:val="24"/>
              </w:rPr>
              <w:t>0·40</w:t>
            </w:r>
          </w:p>
        </w:tc>
        <w:tc>
          <w:tcPr>
            <w:tcW w:w="0" w:type="auto"/>
            <w:hideMark/>
          </w:tcPr>
          <w:p w14:paraId="25A9BE4D" w14:textId="77777777" w:rsidR="003951F5" w:rsidRPr="003951F5" w:rsidRDefault="003951F5" w:rsidP="008733E7">
            <w:pPr>
              <w:spacing w:line="259" w:lineRule="auto"/>
              <w:rPr>
                <w:rFonts w:cstheme="minorHAnsi"/>
                <w:sz w:val="24"/>
                <w:szCs w:val="24"/>
              </w:rPr>
            </w:pPr>
            <w:r w:rsidRPr="003951F5">
              <w:rPr>
                <w:rFonts w:cstheme="minorHAnsi"/>
                <w:sz w:val="24"/>
                <w:szCs w:val="24"/>
              </w:rPr>
              <w:t>6</w:t>
            </w:r>
          </w:p>
        </w:tc>
        <w:tc>
          <w:tcPr>
            <w:tcW w:w="0" w:type="auto"/>
            <w:hideMark/>
          </w:tcPr>
          <w:p w14:paraId="7BF6520E" w14:textId="77777777" w:rsidR="003951F5" w:rsidRPr="003951F5" w:rsidRDefault="003951F5" w:rsidP="008733E7">
            <w:pPr>
              <w:spacing w:line="259" w:lineRule="auto"/>
              <w:rPr>
                <w:rFonts w:cstheme="minorHAnsi"/>
                <w:sz w:val="24"/>
                <w:szCs w:val="24"/>
              </w:rPr>
            </w:pPr>
            <w:r w:rsidRPr="003951F5">
              <w:rPr>
                <w:rFonts w:cstheme="minorHAnsi"/>
                <w:sz w:val="24"/>
                <w:szCs w:val="24"/>
              </w:rPr>
              <w:t>0·124</w:t>
            </w:r>
          </w:p>
        </w:tc>
        <w:tc>
          <w:tcPr>
            <w:tcW w:w="0" w:type="auto"/>
            <w:hideMark/>
          </w:tcPr>
          <w:p w14:paraId="33B6EB3B" w14:textId="77777777" w:rsidR="003951F5" w:rsidRPr="003951F5" w:rsidRDefault="003951F5" w:rsidP="008733E7">
            <w:pPr>
              <w:spacing w:line="259" w:lineRule="auto"/>
              <w:rPr>
                <w:rFonts w:cstheme="minorHAnsi"/>
                <w:sz w:val="24"/>
                <w:szCs w:val="24"/>
              </w:rPr>
            </w:pPr>
            <w:r w:rsidRPr="003951F5">
              <w:rPr>
                <w:rFonts w:cstheme="minorHAnsi"/>
                <w:sz w:val="24"/>
                <w:szCs w:val="24"/>
              </w:rPr>
              <w:t>0·269</w:t>
            </w:r>
          </w:p>
        </w:tc>
        <w:tc>
          <w:tcPr>
            <w:tcW w:w="0" w:type="auto"/>
            <w:hideMark/>
          </w:tcPr>
          <w:p w14:paraId="0B6B11ED" w14:textId="77777777" w:rsidR="003951F5" w:rsidRPr="003951F5" w:rsidRDefault="003951F5" w:rsidP="008733E7">
            <w:pPr>
              <w:spacing w:line="259" w:lineRule="auto"/>
              <w:rPr>
                <w:rFonts w:cstheme="minorHAnsi"/>
                <w:sz w:val="24"/>
                <w:szCs w:val="24"/>
              </w:rPr>
            </w:pPr>
            <w:r w:rsidRPr="003951F5">
              <w:rPr>
                <w:rFonts w:cstheme="minorHAnsi"/>
                <w:sz w:val="24"/>
                <w:szCs w:val="24"/>
              </w:rPr>
              <w:t>0·014</w:t>
            </w:r>
          </w:p>
        </w:tc>
      </w:tr>
      <w:tr w:rsidR="003951F5" w:rsidRPr="003951F5" w14:paraId="2C6CD000" w14:textId="77777777" w:rsidTr="008733E7">
        <w:tc>
          <w:tcPr>
            <w:tcW w:w="0" w:type="auto"/>
            <w:hideMark/>
          </w:tcPr>
          <w:p w14:paraId="542F1B6E" w14:textId="77777777" w:rsidR="003951F5" w:rsidRPr="003951F5" w:rsidRDefault="003951F5" w:rsidP="008733E7">
            <w:pPr>
              <w:spacing w:line="259" w:lineRule="auto"/>
              <w:rPr>
                <w:rFonts w:cstheme="minorHAnsi"/>
                <w:sz w:val="24"/>
                <w:szCs w:val="24"/>
              </w:rPr>
            </w:pPr>
          </w:p>
        </w:tc>
        <w:tc>
          <w:tcPr>
            <w:tcW w:w="0" w:type="auto"/>
            <w:hideMark/>
          </w:tcPr>
          <w:p w14:paraId="2E3C216E" w14:textId="77777777" w:rsidR="003951F5" w:rsidRPr="003951F5" w:rsidRDefault="003951F5" w:rsidP="008733E7">
            <w:pPr>
              <w:spacing w:line="259" w:lineRule="auto"/>
              <w:rPr>
                <w:rFonts w:cstheme="minorHAnsi"/>
                <w:sz w:val="24"/>
                <w:szCs w:val="24"/>
              </w:rPr>
            </w:pPr>
            <w:r w:rsidRPr="003951F5">
              <w:rPr>
                <w:rFonts w:cstheme="minorHAnsi"/>
                <w:sz w:val="24"/>
                <w:szCs w:val="24"/>
              </w:rPr>
              <w:t>Whole cell control</w:t>
            </w:r>
          </w:p>
        </w:tc>
        <w:tc>
          <w:tcPr>
            <w:tcW w:w="0" w:type="auto"/>
            <w:hideMark/>
          </w:tcPr>
          <w:p w14:paraId="53DB43F7" w14:textId="77777777" w:rsidR="003951F5" w:rsidRPr="003951F5" w:rsidRDefault="003951F5" w:rsidP="008733E7">
            <w:pPr>
              <w:spacing w:line="259" w:lineRule="auto"/>
              <w:rPr>
                <w:rFonts w:cstheme="minorHAnsi"/>
                <w:sz w:val="24"/>
                <w:szCs w:val="24"/>
              </w:rPr>
            </w:pPr>
            <w:r w:rsidRPr="003951F5">
              <w:rPr>
                <w:rFonts w:cstheme="minorHAnsi"/>
                <w:sz w:val="24"/>
                <w:szCs w:val="24"/>
              </w:rPr>
              <w:t>NA</w:t>
            </w:r>
          </w:p>
        </w:tc>
        <w:tc>
          <w:tcPr>
            <w:tcW w:w="0" w:type="auto"/>
            <w:hideMark/>
          </w:tcPr>
          <w:p w14:paraId="1DCB2DC1" w14:textId="77777777" w:rsidR="003951F5" w:rsidRPr="003951F5" w:rsidRDefault="003951F5" w:rsidP="008733E7">
            <w:pPr>
              <w:spacing w:line="259" w:lineRule="auto"/>
              <w:rPr>
                <w:rFonts w:cstheme="minorHAnsi"/>
                <w:sz w:val="24"/>
                <w:szCs w:val="24"/>
              </w:rPr>
            </w:pPr>
            <w:r w:rsidRPr="003951F5">
              <w:rPr>
                <w:rFonts w:cstheme="minorHAnsi"/>
                <w:sz w:val="24"/>
                <w:szCs w:val="24"/>
              </w:rPr>
              <w:t>0·137</w:t>
            </w:r>
          </w:p>
        </w:tc>
        <w:tc>
          <w:tcPr>
            <w:tcW w:w="0" w:type="auto"/>
            <w:hideMark/>
          </w:tcPr>
          <w:p w14:paraId="16A7027B" w14:textId="77777777" w:rsidR="003951F5" w:rsidRPr="003951F5" w:rsidRDefault="003951F5" w:rsidP="008733E7">
            <w:pPr>
              <w:spacing w:line="259" w:lineRule="auto"/>
              <w:rPr>
                <w:rFonts w:cstheme="minorHAnsi"/>
                <w:sz w:val="24"/>
                <w:szCs w:val="24"/>
              </w:rPr>
            </w:pPr>
            <w:r w:rsidRPr="003951F5">
              <w:rPr>
                <w:rFonts w:cstheme="minorHAnsi"/>
                <w:sz w:val="24"/>
                <w:szCs w:val="24"/>
              </w:rPr>
              <w:t>0·342</w:t>
            </w:r>
          </w:p>
        </w:tc>
        <w:tc>
          <w:tcPr>
            <w:tcW w:w="0" w:type="auto"/>
            <w:hideMark/>
          </w:tcPr>
          <w:p w14:paraId="2016F975" w14:textId="77777777" w:rsidR="003951F5" w:rsidRPr="003951F5" w:rsidRDefault="003951F5" w:rsidP="008733E7">
            <w:pPr>
              <w:spacing w:line="259" w:lineRule="auto"/>
              <w:rPr>
                <w:rFonts w:cstheme="minorHAnsi"/>
                <w:sz w:val="24"/>
                <w:szCs w:val="24"/>
              </w:rPr>
            </w:pPr>
            <w:r w:rsidRPr="003951F5">
              <w:rPr>
                <w:rFonts w:cstheme="minorHAnsi"/>
                <w:sz w:val="24"/>
                <w:szCs w:val="24"/>
              </w:rPr>
              <w:t>0·012</w:t>
            </w:r>
          </w:p>
        </w:tc>
      </w:tr>
      <w:tr w:rsidR="003951F5" w:rsidRPr="003951F5" w14:paraId="1D51CD3D" w14:textId="77777777" w:rsidTr="008733E7">
        <w:tc>
          <w:tcPr>
            <w:tcW w:w="0" w:type="auto"/>
            <w:hideMark/>
          </w:tcPr>
          <w:p w14:paraId="65746950" w14:textId="77777777" w:rsidR="003951F5" w:rsidRPr="003951F5" w:rsidRDefault="003951F5" w:rsidP="008733E7">
            <w:pPr>
              <w:spacing w:line="259" w:lineRule="auto"/>
              <w:rPr>
                <w:rFonts w:cstheme="minorHAnsi"/>
                <w:sz w:val="24"/>
                <w:szCs w:val="24"/>
              </w:rPr>
            </w:pPr>
            <w:r w:rsidRPr="003951F5">
              <w:rPr>
                <w:rFonts w:cstheme="minorHAnsi"/>
                <w:i/>
                <w:iCs/>
                <w:sz w:val="24"/>
                <w:szCs w:val="24"/>
              </w:rPr>
              <w:t>Escherichia coli</w:t>
            </w:r>
          </w:p>
        </w:tc>
        <w:tc>
          <w:tcPr>
            <w:tcW w:w="0" w:type="auto"/>
            <w:hideMark/>
          </w:tcPr>
          <w:p w14:paraId="3DF90FAF" w14:textId="77777777" w:rsidR="003951F5" w:rsidRPr="003951F5" w:rsidRDefault="003951F5" w:rsidP="008733E7">
            <w:pPr>
              <w:spacing w:line="259" w:lineRule="auto"/>
              <w:rPr>
                <w:rFonts w:cstheme="minorHAnsi"/>
                <w:sz w:val="24"/>
                <w:szCs w:val="24"/>
              </w:rPr>
            </w:pPr>
            <w:r w:rsidRPr="003951F5">
              <w:rPr>
                <w:rFonts w:cstheme="minorHAnsi"/>
                <w:sz w:val="24"/>
                <w:szCs w:val="24"/>
              </w:rPr>
              <w:t>H</w:t>
            </w:r>
            <w:r w:rsidRPr="003951F5">
              <w:rPr>
                <w:rFonts w:cstheme="minorHAnsi"/>
                <w:sz w:val="24"/>
                <w:szCs w:val="24"/>
                <w:vertAlign w:val="subscript"/>
              </w:rPr>
              <w:t>2</w:t>
            </w:r>
            <w:r w:rsidRPr="003951F5">
              <w:rPr>
                <w:rFonts w:cstheme="minorHAnsi"/>
                <w:sz w:val="24"/>
                <w:szCs w:val="24"/>
              </w:rPr>
              <w:t>O</w:t>
            </w:r>
          </w:p>
        </w:tc>
        <w:tc>
          <w:tcPr>
            <w:tcW w:w="0" w:type="auto"/>
            <w:hideMark/>
          </w:tcPr>
          <w:p w14:paraId="16DB7C73" w14:textId="77777777" w:rsidR="003951F5" w:rsidRPr="003951F5" w:rsidRDefault="003951F5" w:rsidP="008733E7">
            <w:pPr>
              <w:spacing w:line="259" w:lineRule="auto"/>
              <w:rPr>
                <w:rFonts w:cstheme="minorHAnsi"/>
                <w:sz w:val="24"/>
                <w:szCs w:val="24"/>
              </w:rPr>
            </w:pPr>
            <w:r w:rsidRPr="003951F5">
              <w:rPr>
                <w:rFonts w:cstheme="minorHAnsi"/>
                <w:sz w:val="24"/>
                <w:szCs w:val="24"/>
              </w:rPr>
              <w:t>6</w:t>
            </w:r>
          </w:p>
        </w:tc>
        <w:tc>
          <w:tcPr>
            <w:tcW w:w="0" w:type="auto"/>
            <w:hideMark/>
          </w:tcPr>
          <w:p w14:paraId="7D421360"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6AEE54A4"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543200B4"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1D756C24" w14:textId="77777777" w:rsidTr="008733E7">
        <w:tc>
          <w:tcPr>
            <w:tcW w:w="0" w:type="auto"/>
            <w:hideMark/>
          </w:tcPr>
          <w:p w14:paraId="663B5A73" w14:textId="77777777" w:rsidR="003951F5" w:rsidRPr="003951F5" w:rsidRDefault="003951F5" w:rsidP="008733E7">
            <w:pPr>
              <w:spacing w:line="259" w:lineRule="auto"/>
              <w:rPr>
                <w:rFonts w:cstheme="minorHAnsi"/>
                <w:sz w:val="24"/>
                <w:szCs w:val="24"/>
              </w:rPr>
            </w:pPr>
          </w:p>
        </w:tc>
        <w:tc>
          <w:tcPr>
            <w:tcW w:w="0" w:type="auto"/>
            <w:hideMark/>
          </w:tcPr>
          <w:p w14:paraId="0E09DDF3" w14:textId="77777777" w:rsidR="003951F5" w:rsidRPr="003951F5" w:rsidRDefault="003951F5" w:rsidP="008733E7">
            <w:pPr>
              <w:spacing w:line="259" w:lineRule="auto"/>
              <w:rPr>
                <w:rFonts w:cstheme="minorHAnsi"/>
                <w:sz w:val="24"/>
                <w:szCs w:val="24"/>
              </w:rPr>
            </w:pPr>
            <w:r w:rsidRPr="003951F5">
              <w:rPr>
                <w:rFonts w:cstheme="minorHAnsi"/>
                <w:sz w:val="24"/>
                <w:szCs w:val="24"/>
              </w:rPr>
              <w:t>0·40</w:t>
            </w:r>
          </w:p>
        </w:tc>
        <w:tc>
          <w:tcPr>
            <w:tcW w:w="0" w:type="auto"/>
            <w:hideMark/>
          </w:tcPr>
          <w:p w14:paraId="2B946388" w14:textId="77777777" w:rsidR="003951F5" w:rsidRPr="003951F5" w:rsidRDefault="003951F5" w:rsidP="008733E7">
            <w:pPr>
              <w:spacing w:line="259" w:lineRule="auto"/>
              <w:rPr>
                <w:rFonts w:cstheme="minorHAnsi"/>
                <w:sz w:val="24"/>
                <w:szCs w:val="24"/>
              </w:rPr>
            </w:pPr>
            <w:r w:rsidRPr="003951F5">
              <w:rPr>
                <w:rFonts w:cstheme="minorHAnsi"/>
                <w:sz w:val="24"/>
                <w:szCs w:val="24"/>
              </w:rPr>
              <w:t>4</w:t>
            </w:r>
          </w:p>
        </w:tc>
        <w:tc>
          <w:tcPr>
            <w:tcW w:w="0" w:type="auto"/>
            <w:hideMark/>
          </w:tcPr>
          <w:p w14:paraId="76BB3158" w14:textId="77777777" w:rsidR="003951F5" w:rsidRPr="003951F5" w:rsidRDefault="003951F5" w:rsidP="008733E7">
            <w:pPr>
              <w:spacing w:line="259" w:lineRule="auto"/>
              <w:rPr>
                <w:rFonts w:cstheme="minorHAnsi"/>
                <w:sz w:val="24"/>
                <w:szCs w:val="24"/>
              </w:rPr>
            </w:pPr>
            <w:r w:rsidRPr="003951F5">
              <w:rPr>
                <w:rFonts w:cstheme="minorHAnsi"/>
                <w:sz w:val="24"/>
                <w:szCs w:val="24"/>
              </w:rPr>
              <w:t>0·188</w:t>
            </w:r>
          </w:p>
        </w:tc>
        <w:tc>
          <w:tcPr>
            <w:tcW w:w="0" w:type="auto"/>
            <w:hideMark/>
          </w:tcPr>
          <w:p w14:paraId="0660EE1D" w14:textId="77777777" w:rsidR="003951F5" w:rsidRPr="003951F5" w:rsidRDefault="003951F5" w:rsidP="008733E7">
            <w:pPr>
              <w:spacing w:line="259" w:lineRule="auto"/>
              <w:rPr>
                <w:rFonts w:cstheme="minorHAnsi"/>
                <w:sz w:val="24"/>
                <w:szCs w:val="24"/>
              </w:rPr>
            </w:pPr>
            <w:r w:rsidRPr="003951F5">
              <w:rPr>
                <w:rFonts w:cstheme="minorHAnsi"/>
                <w:sz w:val="24"/>
                <w:szCs w:val="24"/>
              </w:rPr>
              <w:t>0·147</w:t>
            </w:r>
          </w:p>
        </w:tc>
        <w:tc>
          <w:tcPr>
            <w:tcW w:w="0" w:type="auto"/>
            <w:hideMark/>
          </w:tcPr>
          <w:p w14:paraId="4F9B8CCD"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55632721" w14:textId="77777777" w:rsidTr="008733E7">
        <w:tc>
          <w:tcPr>
            <w:tcW w:w="0" w:type="auto"/>
            <w:hideMark/>
          </w:tcPr>
          <w:p w14:paraId="3CC2687C" w14:textId="77777777" w:rsidR="003951F5" w:rsidRPr="003951F5" w:rsidRDefault="003951F5" w:rsidP="008733E7">
            <w:pPr>
              <w:spacing w:line="259" w:lineRule="auto"/>
              <w:rPr>
                <w:rFonts w:cstheme="minorHAnsi"/>
                <w:sz w:val="24"/>
                <w:szCs w:val="24"/>
              </w:rPr>
            </w:pPr>
          </w:p>
        </w:tc>
        <w:tc>
          <w:tcPr>
            <w:tcW w:w="0" w:type="auto"/>
            <w:hideMark/>
          </w:tcPr>
          <w:p w14:paraId="092F3ADC" w14:textId="77777777" w:rsidR="003951F5" w:rsidRPr="003951F5" w:rsidRDefault="003951F5" w:rsidP="008733E7">
            <w:pPr>
              <w:spacing w:line="259" w:lineRule="auto"/>
              <w:rPr>
                <w:rFonts w:cstheme="minorHAnsi"/>
                <w:sz w:val="24"/>
                <w:szCs w:val="24"/>
              </w:rPr>
            </w:pPr>
            <w:r w:rsidRPr="003951F5">
              <w:rPr>
                <w:rFonts w:cstheme="minorHAnsi"/>
                <w:sz w:val="24"/>
                <w:szCs w:val="24"/>
              </w:rPr>
              <w:t>Whole cell control</w:t>
            </w:r>
          </w:p>
        </w:tc>
        <w:tc>
          <w:tcPr>
            <w:tcW w:w="0" w:type="auto"/>
            <w:hideMark/>
          </w:tcPr>
          <w:p w14:paraId="73F1CD48" w14:textId="77777777" w:rsidR="003951F5" w:rsidRPr="003951F5" w:rsidRDefault="003951F5" w:rsidP="008733E7">
            <w:pPr>
              <w:spacing w:line="259" w:lineRule="auto"/>
              <w:rPr>
                <w:rFonts w:cstheme="minorHAnsi"/>
                <w:sz w:val="24"/>
                <w:szCs w:val="24"/>
              </w:rPr>
            </w:pPr>
            <w:r w:rsidRPr="003951F5">
              <w:rPr>
                <w:rFonts w:cstheme="minorHAnsi"/>
                <w:sz w:val="24"/>
                <w:szCs w:val="24"/>
              </w:rPr>
              <w:t>NA</w:t>
            </w:r>
          </w:p>
        </w:tc>
        <w:tc>
          <w:tcPr>
            <w:tcW w:w="0" w:type="auto"/>
            <w:hideMark/>
          </w:tcPr>
          <w:p w14:paraId="1E5D2850"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76E040ED" w14:textId="77777777" w:rsidR="003951F5" w:rsidRPr="003951F5" w:rsidRDefault="003951F5" w:rsidP="008733E7">
            <w:pPr>
              <w:spacing w:line="259" w:lineRule="auto"/>
              <w:rPr>
                <w:rFonts w:cstheme="minorHAnsi"/>
                <w:sz w:val="24"/>
                <w:szCs w:val="24"/>
              </w:rPr>
            </w:pPr>
            <w:r w:rsidRPr="003951F5">
              <w:rPr>
                <w:rFonts w:cstheme="minorHAnsi"/>
                <w:sz w:val="24"/>
                <w:szCs w:val="24"/>
              </w:rPr>
              <w:t>0·140</w:t>
            </w:r>
          </w:p>
        </w:tc>
        <w:tc>
          <w:tcPr>
            <w:tcW w:w="0" w:type="auto"/>
            <w:hideMark/>
          </w:tcPr>
          <w:p w14:paraId="1427C953"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30E2AF27" w14:textId="77777777" w:rsidTr="008733E7">
        <w:tc>
          <w:tcPr>
            <w:tcW w:w="0" w:type="auto"/>
            <w:hideMark/>
          </w:tcPr>
          <w:p w14:paraId="57E0FCBF" w14:textId="77777777" w:rsidR="003951F5" w:rsidRPr="003951F5" w:rsidRDefault="003951F5" w:rsidP="008733E7">
            <w:pPr>
              <w:spacing w:line="259" w:lineRule="auto"/>
              <w:rPr>
                <w:rFonts w:cstheme="minorHAnsi"/>
                <w:sz w:val="24"/>
                <w:szCs w:val="24"/>
              </w:rPr>
            </w:pP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p>
        </w:tc>
        <w:tc>
          <w:tcPr>
            <w:tcW w:w="0" w:type="auto"/>
            <w:hideMark/>
          </w:tcPr>
          <w:p w14:paraId="6D4D0A78" w14:textId="77777777" w:rsidR="003951F5" w:rsidRPr="003951F5" w:rsidRDefault="003951F5" w:rsidP="008733E7">
            <w:pPr>
              <w:spacing w:line="259" w:lineRule="auto"/>
              <w:rPr>
                <w:rFonts w:cstheme="minorHAnsi"/>
                <w:sz w:val="24"/>
                <w:szCs w:val="24"/>
              </w:rPr>
            </w:pPr>
            <w:r w:rsidRPr="003951F5">
              <w:rPr>
                <w:rFonts w:cstheme="minorHAnsi"/>
                <w:sz w:val="24"/>
                <w:szCs w:val="24"/>
              </w:rPr>
              <w:t>H</w:t>
            </w:r>
            <w:r w:rsidRPr="003951F5">
              <w:rPr>
                <w:rFonts w:cstheme="minorHAnsi"/>
                <w:sz w:val="24"/>
                <w:szCs w:val="24"/>
                <w:vertAlign w:val="subscript"/>
              </w:rPr>
              <w:t>2</w:t>
            </w:r>
            <w:r w:rsidRPr="003951F5">
              <w:rPr>
                <w:rFonts w:cstheme="minorHAnsi"/>
                <w:sz w:val="24"/>
                <w:szCs w:val="24"/>
              </w:rPr>
              <w:t>O</w:t>
            </w:r>
          </w:p>
        </w:tc>
        <w:tc>
          <w:tcPr>
            <w:tcW w:w="0" w:type="auto"/>
            <w:hideMark/>
          </w:tcPr>
          <w:p w14:paraId="3F978AB1" w14:textId="77777777" w:rsidR="003951F5" w:rsidRPr="003951F5" w:rsidRDefault="003951F5" w:rsidP="008733E7">
            <w:pPr>
              <w:spacing w:line="259" w:lineRule="auto"/>
              <w:rPr>
                <w:rFonts w:cstheme="minorHAnsi"/>
                <w:sz w:val="24"/>
                <w:szCs w:val="24"/>
              </w:rPr>
            </w:pPr>
            <w:r w:rsidRPr="003951F5">
              <w:rPr>
                <w:rFonts w:cstheme="minorHAnsi"/>
                <w:sz w:val="24"/>
                <w:szCs w:val="24"/>
              </w:rPr>
              <w:t>2</w:t>
            </w:r>
          </w:p>
        </w:tc>
        <w:tc>
          <w:tcPr>
            <w:tcW w:w="0" w:type="auto"/>
            <w:hideMark/>
          </w:tcPr>
          <w:p w14:paraId="33B06DC3"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126F93EE"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5D8ACCE1"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34D3425E" w14:textId="77777777" w:rsidTr="008733E7">
        <w:tc>
          <w:tcPr>
            <w:tcW w:w="0" w:type="auto"/>
            <w:hideMark/>
          </w:tcPr>
          <w:p w14:paraId="036635BA" w14:textId="77777777" w:rsidR="003951F5" w:rsidRPr="003951F5" w:rsidRDefault="003951F5" w:rsidP="008733E7">
            <w:pPr>
              <w:spacing w:line="259" w:lineRule="auto"/>
              <w:rPr>
                <w:rFonts w:cstheme="minorHAnsi"/>
                <w:sz w:val="24"/>
                <w:szCs w:val="24"/>
              </w:rPr>
            </w:pPr>
          </w:p>
        </w:tc>
        <w:tc>
          <w:tcPr>
            <w:tcW w:w="0" w:type="auto"/>
            <w:hideMark/>
          </w:tcPr>
          <w:p w14:paraId="0327C9C9" w14:textId="77777777" w:rsidR="003951F5" w:rsidRPr="003951F5" w:rsidRDefault="003951F5" w:rsidP="008733E7">
            <w:pPr>
              <w:spacing w:line="259" w:lineRule="auto"/>
              <w:rPr>
                <w:rFonts w:cstheme="minorHAnsi"/>
                <w:sz w:val="24"/>
                <w:szCs w:val="24"/>
              </w:rPr>
            </w:pPr>
            <w:r w:rsidRPr="003951F5">
              <w:rPr>
                <w:rFonts w:cstheme="minorHAnsi"/>
                <w:sz w:val="24"/>
                <w:szCs w:val="24"/>
              </w:rPr>
              <w:t>0·40</w:t>
            </w:r>
          </w:p>
        </w:tc>
        <w:tc>
          <w:tcPr>
            <w:tcW w:w="0" w:type="auto"/>
            <w:hideMark/>
          </w:tcPr>
          <w:p w14:paraId="2874D3C0" w14:textId="77777777" w:rsidR="003951F5" w:rsidRPr="003951F5" w:rsidRDefault="003951F5" w:rsidP="008733E7">
            <w:pPr>
              <w:spacing w:line="259" w:lineRule="auto"/>
              <w:rPr>
                <w:rFonts w:cstheme="minorHAnsi"/>
                <w:sz w:val="24"/>
                <w:szCs w:val="24"/>
              </w:rPr>
            </w:pPr>
            <w:r w:rsidRPr="003951F5">
              <w:rPr>
                <w:rFonts w:cstheme="minorHAnsi"/>
                <w:sz w:val="24"/>
                <w:szCs w:val="24"/>
              </w:rPr>
              <w:t>2</w:t>
            </w:r>
          </w:p>
        </w:tc>
        <w:tc>
          <w:tcPr>
            <w:tcW w:w="0" w:type="auto"/>
            <w:hideMark/>
          </w:tcPr>
          <w:p w14:paraId="24EC3B47"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15AAEB10" w14:textId="77777777" w:rsidR="003951F5" w:rsidRPr="003951F5" w:rsidRDefault="003951F5" w:rsidP="008733E7">
            <w:pPr>
              <w:spacing w:line="259" w:lineRule="auto"/>
              <w:rPr>
                <w:rFonts w:cstheme="minorHAnsi"/>
                <w:sz w:val="24"/>
                <w:szCs w:val="24"/>
              </w:rPr>
            </w:pPr>
            <w:r w:rsidRPr="003951F5">
              <w:rPr>
                <w:rFonts w:cstheme="minorHAnsi"/>
                <w:sz w:val="24"/>
                <w:szCs w:val="24"/>
              </w:rPr>
              <w:t>0·248</w:t>
            </w:r>
          </w:p>
        </w:tc>
        <w:tc>
          <w:tcPr>
            <w:tcW w:w="0" w:type="auto"/>
            <w:hideMark/>
          </w:tcPr>
          <w:p w14:paraId="5908773D"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048249F3" w14:textId="77777777" w:rsidTr="008733E7">
        <w:tc>
          <w:tcPr>
            <w:tcW w:w="0" w:type="auto"/>
            <w:hideMark/>
          </w:tcPr>
          <w:p w14:paraId="27A5D682" w14:textId="77777777" w:rsidR="003951F5" w:rsidRPr="003951F5" w:rsidRDefault="003951F5" w:rsidP="008733E7">
            <w:pPr>
              <w:spacing w:line="259" w:lineRule="auto"/>
              <w:rPr>
                <w:rFonts w:cstheme="minorHAnsi"/>
                <w:sz w:val="24"/>
                <w:szCs w:val="24"/>
              </w:rPr>
            </w:pPr>
          </w:p>
        </w:tc>
        <w:tc>
          <w:tcPr>
            <w:tcW w:w="0" w:type="auto"/>
            <w:hideMark/>
          </w:tcPr>
          <w:p w14:paraId="20230236" w14:textId="77777777" w:rsidR="003951F5" w:rsidRPr="003951F5" w:rsidRDefault="003951F5" w:rsidP="008733E7">
            <w:pPr>
              <w:spacing w:line="259" w:lineRule="auto"/>
              <w:rPr>
                <w:rFonts w:cstheme="minorHAnsi"/>
                <w:sz w:val="24"/>
                <w:szCs w:val="24"/>
              </w:rPr>
            </w:pPr>
            <w:r w:rsidRPr="003951F5">
              <w:rPr>
                <w:rFonts w:cstheme="minorHAnsi"/>
                <w:sz w:val="24"/>
                <w:szCs w:val="24"/>
              </w:rPr>
              <w:t>Whole cell control</w:t>
            </w:r>
          </w:p>
        </w:tc>
        <w:tc>
          <w:tcPr>
            <w:tcW w:w="0" w:type="auto"/>
            <w:hideMark/>
          </w:tcPr>
          <w:p w14:paraId="7A1881F1" w14:textId="77777777" w:rsidR="003951F5" w:rsidRPr="003951F5" w:rsidRDefault="003951F5" w:rsidP="008733E7">
            <w:pPr>
              <w:spacing w:line="259" w:lineRule="auto"/>
              <w:rPr>
                <w:rFonts w:cstheme="minorHAnsi"/>
                <w:sz w:val="24"/>
                <w:szCs w:val="24"/>
              </w:rPr>
            </w:pPr>
            <w:r w:rsidRPr="003951F5">
              <w:rPr>
                <w:rFonts w:cstheme="minorHAnsi"/>
                <w:sz w:val="24"/>
                <w:szCs w:val="24"/>
              </w:rPr>
              <w:t>NA</w:t>
            </w:r>
          </w:p>
        </w:tc>
        <w:tc>
          <w:tcPr>
            <w:tcW w:w="0" w:type="auto"/>
            <w:hideMark/>
          </w:tcPr>
          <w:p w14:paraId="193E00D3"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7AB2654E" w14:textId="77777777" w:rsidR="003951F5" w:rsidRPr="003951F5" w:rsidRDefault="003951F5" w:rsidP="008733E7">
            <w:pPr>
              <w:spacing w:line="259" w:lineRule="auto"/>
              <w:rPr>
                <w:rFonts w:cstheme="minorHAnsi"/>
                <w:sz w:val="24"/>
                <w:szCs w:val="24"/>
              </w:rPr>
            </w:pPr>
            <w:r w:rsidRPr="003951F5">
              <w:rPr>
                <w:rFonts w:cstheme="minorHAnsi"/>
                <w:sz w:val="24"/>
                <w:szCs w:val="24"/>
              </w:rPr>
              <w:t>0·286</w:t>
            </w:r>
          </w:p>
        </w:tc>
        <w:tc>
          <w:tcPr>
            <w:tcW w:w="0" w:type="auto"/>
            <w:hideMark/>
          </w:tcPr>
          <w:p w14:paraId="28E56C8E" w14:textId="77777777" w:rsidR="003951F5" w:rsidRPr="003951F5" w:rsidRDefault="003951F5" w:rsidP="008733E7">
            <w:pPr>
              <w:spacing w:line="259" w:lineRule="auto"/>
              <w:rPr>
                <w:rFonts w:cstheme="minorHAnsi"/>
                <w:sz w:val="24"/>
                <w:szCs w:val="24"/>
              </w:rPr>
            </w:pPr>
            <w:r w:rsidRPr="003951F5">
              <w:rPr>
                <w:rFonts w:cstheme="minorHAnsi"/>
                <w:sz w:val="24"/>
                <w:szCs w:val="24"/>
              </w:rPr>
              <w:t>0·016</w:t>
            </w:r>
          </w:p>
        </w:tc>
      </w:tr>
      <w:tr w:rsidR="003951F5" w:rsidRPr="003951F5" w14:paraId="630ADA6A" w14:textId="77777777" w:rsidTr="008733E7">
        <w:tc>
          <w:tcPr>
            <w:tcW w:w="0" w:type="auto"/>
            <w:hideMark/>
          </w:tcPr>
          <w:p w14:paraId="155B91E6" w14:textId="77777777" w:rsidR="003951F5" w:rsidRPr="003951F5" w:rsidRDefault="003951F5" w:rsidP="008733E7">
            <w:pPr>
              <w:spacing w:line="259" w:lineRule="auto"/>
              <w:rPr>
                <w:rFonts w:cstheme="minorHAnsi"/>
                <w:sz w:val="24"/>
                <w:szCs w:val="24"/>
              </w:rPr>
            </w:pPr>
            <w:r w:rsidRPr="003951F5">
              <w:rPr>
                <w:rFonts w:cstheme="minorHAnsi"/>
                <w:sz w:val="24"/>
                <w:szCs w:val="24"/>
              </w:rPr>
              <w:t>H</w:t>
            </w:r>
            <w:r w:rsidRPr="003951F5">
              <w:rPr>
                <w:rFonts w:cstheme="minorHAnsi"/>
                <w:sz w:val="24"/>
                <w:szCs w:val="24"/>
                <w:vertAlign w:val="subscript"/>
              </w:rPr>
              <w:t>2</w:t>
            </w:r>
            <w:r w:rsidRPr="003951F5">
              <w:rPr>
                <w:rFonts w:cstheme="minorHAnsi"/>
                <w:sz w:val="24"/>
                <w:szCs w:val="24"/>
              </w:rPr>
              <w:t>O</w:t>
            </w:r>
          </w:p>
        </w:tc>
        <w:tc>
          <w:tcPr>
            <w:tcW w:w="0" w:type="auto"/>
            <w:hideMark/>
          </w:tcPr>
          <w:p w14:paraId="74F8D4E1" w14:textId="77777777" w:rsidR="003951F5" w:rsidRPr="003951F5" w:rsidRDefault="003951F5" w:rsidP="008733E7">
            <w:pPr>
              <w:spacing w:line="259" w:lineRule="auto"/>
              <w:rPr>
                <w:rFonts w:cstheme="minorHAnsi"/>
                <w:sz w:val="24"/>
                <w:szCs w:val="24"/>
              </w:rPr>
            </w:pPr>
          </w:p>
        </w:tc>
        <w:tc>
          <w:tcPr>
            <w:tcW w:w="0" w:type="auto"/>
            <w:hideMark/>
          </w:tcPr>
          <w:p w14:paraId="090BC203" w14:textId="77777777" w:rsidR="003951F5" w:rsidRPr="003951F5" w:rsidRDefault="003951F5" w:rsidP="008733E7">
            <w:pPr>
              <w:spacing w:line="259" w:lineRule="auto"/>
              <w:rPr>
                <w:rFonts w:cstheme="minorHAnsi"/>
                <w:sz w:val="24"/>
                <w:szCs w:val="24"/>
              </w:rPr>
            </w:pPr>
          </w:p>
        </w:tc>
        <w:tc>
          <w:tcPr>
            <w:tcW w:w="0" w:type="auto"/>
            <w:hideMark/>
          </w:tcPr>
          <w:p w14:paraId="231EB3C0"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6BE28B3D"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6D048FBB"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r w:rsidR="003951F5" w:rsidRPr="003951F5" w14:paraId="29BF0BBE" w14:textId="77777777" w:rsidTr="008733E7">
        <w:tc>
          <w:tcPr>
            <w:tcW w:w="0" w:type="auto"/>
            <w:hideMark/>
          </w:tcPr>
          <w:p w14:paraId="3269FA7D" w14:textId="77777777" w:rsidR="003951F5" w:rsidRPr="003951F5" w:rsidRDefault="003951F5" w:rsidP="008733E7">
            <w:pPr>
              <w:spacing w:line="259" w:lineRule="auto"/>
              <w:rPr>
                <w:rFonts w:cstheme="minorHAnsi"/>
                <w:sz w:val="24"/>
                <w:szCs w:val="24"/>
              </w:rPr>
            </w:pPr>
            <w:r w:rsidRPr="003951F5">
              <w:rPr>
                <w:rFonts w:cstheme="minorHAnsi"/>
                <w:sz w:val="24"/>
                <w:szCs w:val="24"/>
              </w:rPr>
              <w:t>1 mmol l</w:t>
            </w:r>
            <w:r w:rsidRPr="003951F5">
              <w:rPr>
                <w:rFonts w:cstheme="minorHAnsi"/>
                <w:sz w:val="24"/>
                <w:szCs w:val="24"/>
                <w:vertAlign w:val="superscript"/>
              </w:rPr>
              <w:t>−1</w:t>
            </w:r>
            <w:r w:rsidRPr="003951F5">
              <w:rPr>
                <w:rFonts w:cstheme="minorHAnsi"/>
                <w:sz w:val="24"/>
                <w:szCs w:val="24"/>
              </w:rPr>
              <w:t> PO</w:t>
            </w:r>
            <w:r w:rsidRPr="003951F5">
              <w:rPr>
                <w:rFonts w:cstheme="minorHAnsi"/>
                <w:sz w:val="24"/>
                <w:szCs w:val="24"/>
                <w:vertAlign w:val="subscript"/>
              </w:rPr>
              <w:t>4</w:t>
            </w:r>
            <w:r w:rsidRPr="003951F5">
              <w:rPr>
                <w:rFonts w:cstheme="minorHAnsi"/>
                <w:sz w:val="24"/>
                <w:szCs w:val="24"/>
              </w:rPr>
              <w:t> buffer</w:t>
            </w:r>
          </w:p>
        </w:tc>
        <w:tc>
          <w:tcPr>
            <w:tcW w:w="0" w:type="auto"/>
            <w:hideMark/>
          </w:tcPr>
          <w:p w14:paraId="26BB490E" w14:textId="77777777" w:rsidR="003951F5" w:rsidRPr="003951F5" w:rsidRDefault="003951F5" w:rsidP="008733E7">
            <w:pPr>
              <w:spacing w:line="259" w:lineRule="auto"/>
              <w:rPr>
                <w:rFonts w:cstheme="minorHAnsi"/>
                <w:sz w:val="24"/>
                <w:szCs w:val="24"/>
              </w:rPr>
            </w:pPr>
          </w:p>
        </w:tc>
        <w:tc>
          <w:tcPr>
            <w:tcW w:w="0" w:type="auto"/>
            <w:hideMark/>
          </w:tcPr>
          <w:p w14:paraId="79EE6809" w14:textId="77777777" w:rsidR="003951F5" w:rsidRPr="003951F5" w:rsidRDefault="003951F5" w:rsidP="008733E7">
            <w:pPr>
              <w:spacing w:line="259" w:lineRule="auto"/>
              <w:rPr>
                <w:rFonts w:cstheme="minorHAnsi"/>
                <w:sz w:val="24"/>
                <w:szCs w:val="24"/>
              </w:rPr>
            </w:pPr>
          </w:p>
        </w:tc>
        <w:tc>
          <w:tcPr>
            <w:tcW w:w="0" w:type="auto"/>
            <w:hideMark/>
          </w:tcPr>
          <w:p w14:paraId="4A1A2C30"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691DFE48"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c>
          <w:tcPr>
            <w:tcW w:w="0" w:type="auto"/>
            <w:hideMark/>
          </w:tcPr>
          <w:p w14:paraId="3EB10FFC" w14:textId="77777777" w:rsidR="003951F5" w:rsidRPr="003951F5" w:rsidRDefault="003951F5" w:rsidP="008733E7">
            <w:pPr>
              <w:spacing w:line="259" w:lineRule="auto"/>
              <w:rPr>
                <w:rFonts w:cstheme="minorHAnsi"/>
                <w:sz w:val="24"/>
                <w:szCs w:val="24"/>
              </w:rPr>
            </w:pPr>
            <w:r w:rsidRPr="003951F5">
              <w:rPr>
                <w:rFonts w:cstheme="minorHAnsi"/>
                <w:sz w:val="24"/>
                <w:szCs w:val="24"/>
              </w:rPr>
              <w:t>BDL</w:t>
            </w:r>
          </w:p>
        </w:tc>
      </w:tr>
    </w:tbl>
    <w:p w14:paraId="21323FA8" w14:textId="77777777" w:rsidR="003951F5" w:rsidRPr="003951F5" w:rsidRDefault="003951F5" w:rsidP="00FB1507">
      <w:pPr>
        <w:pStyle w:val="NoSpacing"/>
      </w:pPr>
      <w:r w:rsidRPr="003951F5">
        <w:t>BDL, below detection limits; NA, not applicable.</w:t>
      </w:r>
    </w:p>
    <w:p w14:paraId="1FC0DC63" w14:textId="77777777" w:rsidR="003951F5" w:rsidRDefault="003951F5" w:rsidP="00FB1507">
      <w:pPr>
        <w:pStyle w:val="NoSpacing"/>
      </w:pPr>
      <w:r w:rsidRPr="003951F5">
        <w:t>Detection limits: Ca &lt;0·100 mg l</w:t>
      </w:r>
      <w:r w:rsidRPr="003951F5">
        <w:rPr>
          <w:vertAlign w:val="superscript"/>
        </w:rPr>
        <w:t>−1</w:t>
      </w:r>
      <w:r w:rsidRPr="003951F5">
        <w:t>; Mg &lt;0·050 mg l</w:t>
      </w:r>
      <w:r w:rsidRPr="003951F5">
        <w:rPr>
          <w:vertAlign w:val="superscript"/>
        </w:rPr>
        <w:t>−1</w:t>
      </w:r>
      <w:r w:rsidRPr="003951F5">
        <w:t>; Fe &lt;0·010 mg l</w:t>
      </w:r>
      <w:r w:rsidRPr="003951F5">
        <w:rPr>
          <w:vertAlign w:val="superscript"/>
        </w:rPr>
        <w:t>−1</w:t>
      </w:r>
      <w:r w:rsidRPr="003951F5">
        <w:t>.</w:t>
      </w:r>
    </w:p>
    <w:p w14:paraId="3365CE0B" w14:textId="77777777" w:rsidR="00FB1507" w:rsidRPr="003951F5" w:rsidRDefault="00FB1507" w:rsidP="00FB1507">
      <w:pPr>
        <w:rPr>
          <w:rFonts w:cstheme="minorHAnsi"/>
          <w:sz w:val="24"/>
          <w:szCs w:val="24"/>
        </w:rPr>
      </w:pPr>
    </w:p>
    <w:p w14:paraId="44D378F6" w14:textId="77777777" w:rsidR="003951F5" w:rsidRPr="003951F5" w:rsidRDefault="003951F5" w:rsidP="00FB1507">
      <w:pPr>
        <w:pStyle w:val="Heading2"/>
      </w:pPr>
      <w:r w:rsidRPr="003951F5">
        <w:t>Membrane depolarization</w:t>
      </w:r>
    </w:p>
    <w:p w14:paraId="7FD45BA4" w14:textId="1352BB1A" w:rsidR="003951F5" w:rsidRPr="003951F5" w:rsidRDefault="003951F5" w:rsidP="003951F5">
      <w:pPr>
        <w:rPr>
          <w:rFonts w:cstheme="minorHAnsi"/>
          <w:sz w:val="24"/>
          <w:szCs w:val="24"/>
        </w:rPr>
      </w:pPr>
      <w:r w:rsidRPr="003951F5">
        <w:rPr>
          <w:rFonts w:cstheme="minorHAnsi"/>
          <w:sz w:val="24"/>
          <w:szCs w:val="24"/>
        </w:rPr>
        <w:t>In addition to causing cell membrane disruption and leakage of vital materials, the presence of butanoic acid led to depolarization of the cell membrane.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were exposed to bis-(1,3-dibutylbarbituric acid)-</w:t>
      </w:r>
      <w:proofErr w:type="spellStart"/>
      <w:r w:rsidRPr="003951F5">
        <w:rPr>
          <w:rFonts w:cstheme="minorHAnsi"/>
          <w:sz w:val="24"/>
          <w:szCs w:val="24"/>
        </w:rPr>
        <w:t>trimethine</w:t>
      </w:r>
      <w:proofErr w:type="spellEnd"/>
      <w:r w:rsidRPr="003951F5">
        <w:rPr>
          <w:rFonts w:cstheme="minorHAnsi"/>
          <w:sz w:val="24"/>
          <w:szCs w:val="24"/>
        </w:rPr>
        <w:t xml:space="preserve"> </w:t>
      </w:r>
      <w:proofErr w:type="spellStart"/>
      <w:r w:rsidRPr="003951F5">
        <w:rPr>
          <w:rFonts w:cstheme="minorHAnsi"/>
          <w:sz w:val="24"/>
          <w:szCs w:val="24"/>
        </w:rPr>
        <w:t>oxonol</w:t>
      </w:r>
      <w:proofErr w:type="spellEnd"/>
      <w:r w:rsidRPr="003951F5">
        <w:rPr>
          <w:rFonts w:cstheme="minorHAnsi"/>
          <w:sz w:val="24"/>
          <w:szCs w:val="24"/>
        </w:rPr>
        <w:t xml:space="preserve"> fluorescent dye to measure change in membrane potential as reported (</w:t>
      </w:r>
      <w:proofErr w:type="spellStart"/>
      <w:r w:rsidRPr="003951F5">
        <w:rPr>
          <w:rFonts w:cstheme="minorHAnsi"/>
          <w:sz w:val="24"/>
          <w:szCs w:val="24"/>
        </w:rPr>
        <w:t>Breeuwer</w:t>
      </w:r>
      <w:proofErr w:type="spellEnd"/>
      <w:r w:rsidRPr="003951F5">
        <w:rPr>
          <w:rFonts w:cstheme="minorHAnsi"/>
          <w:sz w:val="24"/>
          <w:szCs w:val="24"/>
        </w:rPr>
        <w:t xml:space="preserve"> and </w:t>
      </w:r>
      <w:proofErr w:type="spellStart"/>
      <w:r w:rsidRPr="003951F5">
        <w:rPr>
          <w:rFonts w:cstheme="minorHAnsi"/>
          <w:sz w:val="24"/>
          <w:szCs w:val="24"/>
        </w:rPr>
        <w:t>Abee</w:t>
      </w:r>
      <w:proofErr w:type="spellEnd"/>
      <w:r w:rsidRPr="003951F5">
        <w:rPr>
          <w:rFonts w:cstheme="minorHAnsi"/>
          <w:sz w:val="24"/>
          <w:szCs w:val="24"/>
        </w:rPr>
        <w:t> </w:t>
      </w:r>
      <w:r w:rsidRPr="003951F5">
        <w:rPr>
          <w:rFonts w:cstheme="minorHAnsi"/>
          <w:b/>
          <w:bCs/>
          <w:sz w:val="24"/>
          <w:szCs w:val="24"/>
        </w:rPr>
        <w:t>2000</w:t>
      </w:r>
      <w:r w:rsidRPr="003951F5">
        <w:rPr>
          <w:rFonts w:cstheme="minorHAnsi"/>
          <w:sz w:val="24"/>
          <w:szCs w:val="24"/>
        </w:rPr>
        <w:t>). Exposure of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to lethal concentrations of butanoic acid demonstrated significant depolarization (Fig. </w:t>
      </w:r>
      <w:r w:rsidRPr="003951F5">
        <w:rPr>
          <w:rFonts w:cstheme="minorHAnsi"/>
          <w:b/>
          <w:bCs/>
          <w:sz w:val="24"/>
          <w:szCs w:val="24"/>
        </w:rPr>
        <w:t>5</w:t>
      </w:r>
      <w:r w:rsidRPr="003951F5">
        <w:rPr>
          <w:rFonts w:cstheme="minorHAnsi"/>
          <w:sz w:val="24"/>
          <w:szCs w:val="24"/>
        </w:rPr>
        <w:t>a). This activity was dose-dependent and was not observed when exposed to butanoic acid at subinhibitory concentrations.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demonstrated a similar dose-dependent depolarization activity when exposed to butanoic acid (Fig. </w:t>
      </w:r>
      <w:r w:rsidRPr="003951F5">
        <w:rPr>
          <w:rFonts w:cstheme="minorHAnsi"/>
          <w:b/>
          <w:bCs/>
          <w:sz w:val="24"/>
          <w:szCs w:val="24"/>
        </w:rPr>
        <w:t>5</w:t>
      </w:r>
      <w:r w:rsidRPr="003951F5">
        <w:rPr>
          <w:rFonts w:cstheme="minorHAnsi"/>
          <w:sz w:val="24"/>
          <w:szCs w:val="24"/>
        </w:rPr>
        <w:t>b). This pattern was generally consistent with those observed for </w:t>
      </w:r>
      <w:r w:rsidRPr="003951F5">
        <w:rPr>
          <w:rFonts w:cstheme="minorHAnsi"/>
          <w:i/>
          <w:iCs/>
          <w:sz w:val="24"/>
          <w:szCs w:val="24"/>
        </w:rPr>
        <w:t>E. coli</w:t>
      </w:r>
      <w:r w:rsidRPr="003951F5">
        <w:rPr>
          <w:rFonts w:cstheme="minorHAnsi"/>
          <w:sz w:val="24"/>
          <w:szCs w:val="24"/>
        </w:rPr>
        <w:t> and </w:t>
      </w:r>
      <w:r w:rsidRPr="003951F5">
        <w:rPr>
          <w:rFonts w:cstheme="minorHAnsi"/>
          <w:i/>
          <w:iCs/>
          <w:sz w:val="24"/>
          <w:szCs w:val="24"/>
        </w:rPr>
        <w:t>M. luteus</w:t>
      </w:r>
      <w:r w:rsidRPr="003951F5">
        <w:rPr>
          <w:rFonts w:cstheme="minorHAnsi"/>
          <w:sz w:val="24"/>
          <w:szCs w:val="24"/>
        </w:rPr>
        <w:t> as well (data not shown). Together this demonstrated that butanoic acid disrupted the membrane potential of Gram-positive and Gram-negative bacterial species.</w:t>
      </w:r>
    </w:p>
    <w:p w14:paraId="10CCA076" w14:textId="4CBB2DD5" w:rsidR="003951F5" w:rsidRPr="003951F5" w:rsidRDefault="003951F5" w:rsidP="00FB1507">
      <w:pPr>
        <w:pStyle w:val="NoSpacing"/>
      </w:pPr>
      <w:r w:rsidRPr="003951F5">
        <w:drawing>
          <wp:inline distT="0" distB="0" distL="0" distR="0" wp14:anchorId="77100E85" wp14:editId="0838381C">
            <wp:extent cx="2743200" cy="4096512"/>
            <wp:effectExtent l="0" t="0" r="0" b="0"/>
            <wp:docPr id="2" name="Picture 2"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4096512"/>
                    </a:xfrm>
                    <a:prstGeom prst="rect">
                      <a:avLst/>
                    </a:prstGeom>
                    <a:noFill/>
                    <a:ln>
                      <a:noFill/>
                    </a:ln>
                  </pic:spPr>
                </pic:pic>
              </a:graphicData>
            </a:graphic>
          </wp:inline>
        </w:drawing>
      </w:r>
    </w:p>
    <w:p w14:paraId="2DF2F339" w14:textId="641E085F" w:rsidR="003951F5" w:rsidRPr="003951F5" w:rsidRDefault="003951F5" w:rsidP="00FB1507">
      <w:pPr>
        <w:pStyle w:val="NoSpacing"/>
      </w:pPr>
      <w:r w:rsidRPr="003951F5">
        <w:rPr>
          <w:b/>
          <w:bCs/>
        </w:rPr>
        <w:t>Figure 5</w:t>
      </w:r>
      <w:r w:rsidR="00FB1507">
        <w:t xml:space="preserve"> </w:t>
      </w:r>
      <w:r w:rsidRPr="003951F5">
        <w:t>Membrane depolarization of (a) </w:t>
      </w:r>
      <w:r w:rsidRPr="003951F5">
        <w:rPr>
          <w:i/>
          <w:iCs/>
        </w:rPr>
        <w:t xml:space="preserve">Acinetobacter </w:t>
      </w:r>
      <w:proofErr w:type="spellStart"/>
      <w:r w:rsidRPr="003951F5">
        <w:rPr>
          <w:i/>
          <w:iCs/>
        </w:rPr>
        <w:t>baumannii</w:t>
      </w:r>
      <w:proofErr w:type="spellEnd"/>
      <w:r w:rsidRPr="003951F5">
        <w:t> and (b) </w:t>
      </w:r>
      <w:r w:rsidRPr="003951F5">
        <w:rPr>
          <w:i/>
          <w:iCs/>
        </w:rPr>
        <w:t xml:space="preserve">Staphylococcus </w:t>
      </w:r>
      <w:proofErr w:type="spellStart"/>
      <w:r w:rsidRPr="003951F5">
        <w:rPr>
          <w:i/>
          <w:iCs/>
        </w:rPr>
        <w:t>pseudintermedius</w:t>
      </w:r>
      <w:proofErr w:type="spellEnd"/>
      <w:r w:rsidRPr="003951F5">
        <w:t xml:space="preserve"> measured using bis-(1,3-dibutylbarbituric acid) </w:t>
      </w:r>
      <w:proofErr w:type="spellStart"/>
      <w:r w:rsidRPr="003951F5">
        <w:t>trimethine</w:t>
      </w:r>
      <w:proofErr w:type="spellEnd"/>
      <w:r w:rsidRPr="003951F5">
        <w:t xml:space="preserve"> </w:t>
      </w:r>
      <w:proofErr w:type="spellStart"/>
      <w:r w:rsidRPr="003951F5">
        <w:t>oxonol</w:t>
      </w:r>
      <w:proofErr w:type="spellEnd"/>
      <w:r w:rsidRPr="003951F5">
        <w:t>. Data points represent average fluorescence of six wells. Error bars denote standard deviation. Graphs representative of three independent experiments.</w:t>
      </w:r>
    </w:p>
    <w:p w14:paraId="5C69978A" w14:textId="77777777" w:rsidR="003951F5" w:rsidRPr="003951F5" w:rsidRDefault="003951F5" w:rsidP="00FB1507">
      <w:pPr>
        <w:pStyle w:val="Heading2"/>
      </w:pPr>
      <w:r w:rsidRPr="003951F5">
        <w:t>Internal pH</w:t>
      </w:r>
    </w:p>
    <w:p w14:paraId="59E76E0F" w14:textId="2E7D65FD" w:rsidR="003951F5" w:rsidRPr="003951F5" w:rsidRDefault="003951F5" w:rsidP="003951F5">
      <w:pPr>
        <w:rPr>
          <w:rFonts w:cstheme="minorHAnsi"/>
          <w:sz w:val="24"/>
          <w:szCs w:val="24"/>
        </w:rPr>
      </w:pPr>
      <w:r w:rsidRPr="003951F5">
        <w:rPr>
          <w:rFonts w:cstheme="minorHAnsi"/>
          <w:sz w:val="24"/>
          <w:szCs w:val="24"/>
        </w:rPr>
        <w:t>The internal pH of Gram-positive and Gram-negative species exposed to butanoic acid was measured by staining cells with 5(6)-</w:t>
      </w:r>
      <w:proofErr w:type="spellStart"/>
      <w:r w:rsidRPr="003951F5">
        <w:rPr>
          <w:rFonts w:cstheme="minorHAnsi"/>
          <w:sz w:val="24"/>
          <w:szCs w:val="24"/>
        </w:rPr>
        <w:t>carboxyfluorescein</w:t>
      </w:r>
      <w:proofErr w:type="spellEnd"/>
      <w:r w:rsidRPr="003951F5">
        <w:rPr>
          <w:rFonts w:cstheme="minorHAnsi"/>
          <w:sz w:val="24"/>
          <w:szCs w:val="24"/>
        </w:rPr>
        <w:t xml:space="preserve"> diacetate </w:t>
      </w:r>
      <w:r w:rsidRPr="003951F5">
        <w:rPr>
          <w:rFonts w:cstheme="minorHAnsi"/>
          <w:i/>
          <w:iCs/>
          <w:sz w:val="24"/>
          <w:szCs w:val="24"/>
        </w:rPr>
        <w:t>N</w:t>
      </w:r>
      <w:r w:rsidRPr="003951F5">
        <w:rPr>
          <w:rFonts w:cstheme="minorHAnsi"/>
          <w:sz w:val="24"/>
          <w:szCs w:val="24"/>
        </w:rPr>
        <w:t>-</w:t>
      </w:r>
      <w:proofErr w:type="spellStart"/>
      <w:r w:rsidRPr="003951F5">
        <w:rPr>
          <w:rFonts w:cstheme="minorHAnsi"/>
          <w:sz w:val="24"/>
          <w:szCs w:val="24"/>
        </w:rPr>
        <w:t>succinimidyl</w:t>
      </w:r>
      <w:proofErr w:type="spellEnd"/>
      <w:r w:rsidRPr="003951F5">
        <w:rPr>
          <w:rFonts w:cstheme="minorHAnsi"/>
          <w:sz w:val="24"/>
          <w:szCs w:val="24"/>
        </w:rPr>
        <w:t xml:space="preserve"> ester (</w:t>
      </w:r>
      <w:proofErr w:type="spellStart"/>
      <w:r w:rsidRPr="003951F5">
        <w:rPr>
          <w:rFonts w:cstheme="minorHAnsi"/>
          <w:sz w:val="24"/>
          <w:szCs w:val="24"/>
        </w:rPr>
        <w:t>cFSE</w:t>
      </w:r>
      <w:proofErr w:type="spellEnd"/>
      <w:r w:rsidRPr="003951F5">
        <w:rPr>
          <w:rFonts w:cstheme="minorHAnsi"/>
          <w:sz w:val="24"/>
          <w:szCs w:val="24"/>
        </w:rPr>
        <w:t xml:space="preserve">). </w:t>
      </w:r>
      <w:proofErr w:type="spellStart"/>
      <w:r w:rsidRPr="003951F5">
        <w:rPr>
          <w:rFonts w:cstheme="minorHAnsi"/>
          <w:sz w:val="24"/>
          <w:szCs w:val="24"/>
        </w:rPr>
        <w:t>Prestained</w:t>
      </w:r>
      <w:proofErr w:type="spellEnd"/>
      <w:r w:rsidRPr="003951F5">
        <w:rPr>
          <w:rFonts w:cstheme="minorHAnsi"/>
          <w:sz w:val="24"/>
          <w:szCs w:val="24"/>
        </w:rPr>
        <w:t xml:space="preserve"> cells were treated with butanoic </w:t>
      </w:r>
      <w:proofErr w:type="gramStart"/>
      <w:r w:rsidRPr="003951F5">
        <w:rPr>
          <w:rFonts w:cstheme="minorHAnsi"/>
          <w:sz w:val="24"/>
          <w:szCs w:val="24"/>
        </w:rPr>
        <w:t>acid</w:t>
      </w:r>
      <w:proofErr w:type="gramEnd"/>
      <w:r w:rsidRPr="003951F5">
        <w:rPr>
          <w:rFonts w:cstheme="minorHAnsi"/>
          <w:sz w:val="24"/>
          <w:szCs w:val="24"/>
        </w:rPr>
        <w:t xml:space="preserve"> and the cytoplasmic pH was monitored in real time (Cheng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2015</w:t>
      </w:r>
      <w:r w:rsidRPr="003951F5">
        <w:rPr>
          <w:rFonts w:cstheme="minorHAnsi"/>
          <w:sz w:val="24"/>
          <w:szCs w:val="24"/>
        </w:rPr>
        <w:t>). </w:t>
      </w:r>
      <w:r w:rsidRPr="003951F5">
        <w:rPr>
          <w:rFonts w:cstheme="minorHAnsi"/>
          <w:i/>
          <w:iCs/>
          <w:sz w:val="24"/>
          <w:szCs w:val="24"/>
        </w:rPr>
        <w:t xml:space="preserve">Acinetobacter </w:t>
      </w:r>
      <w:proofErr w:type="spellStart"/>
      <w:r w:rsidRPr="003951F5">
        <w:rPr>
          <w:rFonts w:cstheme="minorHAnsi"/>
          <w:i/>
          <w:iCs/>
          <w:sz w:val="24"/>
          <w:szCs w:val="24"/>
        </w:rPr>
        <w:t>baumannii</w:t>
      </w:r>
      <w:proofErr w:type="spellEnd"/>
      <w:r w:rsidRPr="003951F5">
        <w:rPr>
          <w:rFonts w:cstheme="minorHAnsi"/>
          <w:sz w:val="24"/>
          <w:szCs w:val="24"/>
        </w:rPr>
        <w:t> treated with sublethal concentrations of butanoic acid experienced a dose-dependent, rapid decline in cytosolic pH within 1 min of exposure (Fig. </w:t>
      </w:r>
      <w:r w:rsidRPr="003951F5">
        <w:rPr>
          <w:rFonts w:cstheme="minorHAnsi"/>
          <w:b/>
          <w:bCs/>
          <w:sz w:val="24"/>
          <w:szCs w:val="24"/>
        </w:rPr>
        <w:t>6</w:t>
      </w:r>
      <w:r w:rsidRPr="003951F5">
        <w:rPr>
          <w:rFonts w:cstheme="minorHAnsi"/>
          <w:sz w:val="24"/>
          <w:szCs w:val="24"/>
        </w:rPr>
        <w:t>a; </w:t>
      </w:r>
      <w:r w:rsidRPr="003951F5">
        <w:rPr>
          <w:rFonts w:cstheme="minorHAnsi"/>
          <w:i/>
          <w:iCs/>
          <w:sz w:val="24"/>
          <w:szCs w:val="24"/>
        </w:rPr>
        <w:t>t</w:t>
      </w:r>
      <w:r w:rsidRPr="003951F5">
        <w:rPr>
          <w:rFonts w:cstheme="minorHAnsi"/>
          <w:sz w:val="24"/>
          <w:szCs w:val="24"/>
        </w:rPr>
        <w:t> = 1). The cytosolic pH of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remained relatively constant over monitoring period of 65 min monitoring period (Fig </w:t>
      </w:r>
      <w:r w:rsidRPr="003951F5">
        <w:rPr>
          <w:rFonts w:cstheme="minorHAnsi"/>
          <w:b/>
          <w:bCs/>
          <w:sz w:val="24"/>
          <w:szCs w:val="24"/>
        </w:rPr>
        <w:t>6</w:t>
      </w:r>
      <w:r w:rsidRPr="003951F5">
        <w:rPr>
          <w:rFonts w:cstheme="minorHAnsi"/>
          <w:sz w:val="24"/>
          <w:szCs w:val="24"/>
        </w:rPr>
        <w:t>a; </w:t>
      </w:r>
      <w:r w:rsidRPr="003951F5">
        <w:rPr>
          <w:rFonts w:cstheme="minorHAnsi"/>
          <w:i/>
          <w:iCs/>
          <w:sz w:val="24"/>
          <w:szCs w:val="24"/>
        </w:rPr>
        <w:t>t</w:t>
      </w:r>
      <w:r w:rsidRPr="003951F5">
        <w:rPr>
          <w:rFonts w:cstheme="minorHAnsi"/>
          <w:sz w:val="24"/>
          <w:szCs w:val="24"/>
        </w:rPr>
        <w:t> = 1 </w:t>
      </w:r>
      <w:r w:rsidRPr="003951F5">
        <w:rPr>
          <w:rFonts w:cstheme="minorHAnsi"/>
          <w:i/>
          <w:iCs/>
          <w:sz w:val="24"/>
          <w:szCs w:val="24"/>
        </w:rPr>
        <w:t>vs t</w:t>
      </w:r>
      <w:r w:rsidRPr="003951F5">
        <w:rPr>
          <w:rFonts w:cstheme="minorHAnsi"/>
          <w:sz w:val="24"/>
          <w:szCs w:val="24"/>
        </w:rPr>
        <w:t> = 65).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exposure to butanoic acid resulted in an initial rapid decrease in cytosolic pH (</w:t>
      </w:r>
      <w:r w:rsidRPr="003951F5">
        <w:rPr>
          <w:rFonts w:cstheme="minorHAnsi"/>
          <w:i/>
          <w:iCs/>
          <w:sz w:val="24"/>
          <w:szCs w:val="24"/>
        </w:rPr>
        <w:t>t</w:t>
      </w:r>
      <w:r w:rsidRPr="003951F5">
        <w:rPr>
          <w:rFonts w:cstheme="minorHAnsi"/>
          <w:sz w:val="24"/>
          <w:szCs w:val="24"/>
        </w:rPr>
        <w:t> = 1) with higher concentrations of butanoic acid resulting in a greater decrease in cytosolic pH (Fig. </w:t>
      </w:r>
      <w:r w:rsidRPr="003951F5">
        <w:rPr>
          <w:rFonts w:cstheme="minorHAnsi"/>
          <w:b/>
          <w:bCs/>
          <w:sz w:val="24"/>
          <w:szCs w:val="24"/>
        </w:rPr>
        <w:t>6</w:t>
      </w:r>
      <w:r w:rsidRPr="003951F5">
        <w:rPr>
          <w:rFonts w:cstheme="minorHAnsi"/>
          <w:sz w:val="24"/>
          <w:szCs w:val="24"/>
        </w:rPr>
        <w:t>b). In contrast to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the cytoplasmic pH of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experienced a gradual decrease in pH over time at all acid concentrations tested (Fig. </w:t>
      </w:r>
      <w:r w:rsidRPr="003951F5">
        <w:rPr>
          <w:rFonts w:cstheme="minorHAnsi"/>
          <w:b/>
          <w:bCs/>
          <w:sz w:val="24"/>
          <w:szCs w:val="24"/>
        </w:rPr>
        <w:t>6</w:t>
      </w:r>
      <w:r w:rsidRPr="003951F5">
        <w:rPr>
          <w:rFonts w:cstheme="minorHAnsi"/>
          <w:sz w:val="24"/>
          <w:szCs w:val="24"/>
        </w:rPr>
        <w:t>b). Furthermore, this internal acidification was specific to the protonated form of the butanoic acid as HCl-amended water, pH 4 failed to cause internal acidification of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(Fig. </w:t>
      </w:r>
      <w:r w:rsidRPr="003951F5">
        <w:rPr>
          <w:rFonts w:cstheme="minorHAnsi"/>
          <w:b/>
          <w:bCs/>
          <w:sz w:val="24"/>
          <w:szCs w:val="24"/>
        </w:rPr>
        <w:t>6</w:t>
      </w:r>
      <w:r w:rsidRPr="003951F5">
        <w:rPr>
          <w:rFonts w:cstheme="minorHAnsi"/>
          <w:sz w:val="24"/>
          <w:szCs w:val="24"/>
        </w:rPr>
        <w:t>b) and only a mild decrease (to ~6·8) in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(Fig. </w:t>
      </w:r>
      <w:r w:rsidRPr="003951F5">
        <w:rPr>
          <w:rFonts w:cstheme="minorHAnsi"/>
          <w:b/>
          <w:bCs/>
          <w:sz w:val="24"/>
          <w:szCs w:val="24"/>
        </w:rPr>
        <w:t>6</w:t>
      </w:r>
      <w:r w:rsidRPr="003951F5">
        <w:rPr>
          <w:rFonts w:cstheme="minorHAnsi"/>
          <w:sz w:val="24"/>
          <w:szCs w:val="24"/>
        </w:rPr>
        <w:t>a)</w:t>
      </w:r>
      <w:r w:rsidRPr="003951F5">
        <w:rPr>
          <w:rFonts w:cstheme="minorHAnsi"/>
          <w:i/>
          <w:iCs/>
          <w:sz w:val="24"/>
          <w:szCs w:val="24"/>
        </w:rPr>
        <w:t>. Escherichia coli</w:t>
      </w:r>
      <w:r w:rsidRPr="003951F5">
        <w:rPr>
          <w:rFonts w:cstheme="minorHAnsi"/>
          <w:sz w:val="24"/>
          <w:szCs w:val="24"/>
        </w:rPr>
        <w:t xml:space="preserve"> demonstrated an acidification pattern </w:t>
      </w:r>
      <w:proofErr w:type="gramStart"/>
      <w:r w:rsidRPr="003951F5">
        <w:rPr>
          <w:rFonts w:cstheme="minorHAnsi"/>
          <w:sz w:val="24"/>
          <w:szCs w:val="24"/>
        </w:rPr>
        <w:t>similar to</w:t>
      </w:r>
      <w:proofErr w:type="gramEnd"/>
      <w:r w:rsidRPr="003951F5">
        <w:rPr>
          <w:rFonts w:cstheme="minorHAnsi"/>
          <w:sz w:val="24"/>
          <w:szCs w:val="24"/>
        </w:rPr>
        <w:t>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(data not shown). In summary, these data demonstrate that butanoic acid causes acidification of the cytosol, even at subinhibitory concentrations in both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w:t>
      </w:r>
    </w:p>
    <w:p w14:paraId="1E7628FE" w14:textId="24365A24" w:rsidR="003951F5" w:rsidRPr="003951F5" w:rsidRDefault="003951F5" w:rsidP="00FB1507">
      <w:pPr>
        <w:pStyle w:val="NoSpacing"/>
      </w:pPr>
      <w:r w:rsidRPr="003951F5">
        <w:drawing>
          <wp:inline distT="0" distB="0" distL="0" distR="0" wp14:anchorId="3E09F276" wp14:editId="5583AF47">
            <wp:extent cx="2743200" cy="2907792"/>
            <wp:effectExtent l="0" t="0" r="0" b="6985"/>
            <wp:docPr id="1" name="Picture 1" descr="Details are in the caption following the 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tails are in the caption following the image">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907792"/>
                    </a:xfrm>
                    <a:prstGeom prst="rect">
                      <a:avLst/>
                    </a:prstGeom>
                    <a:noFill/>
                    <a:ln>
                      <a:noFill/>
                    </a:ln>
                  </pic:spPr>
                </pic:pic>
              </a:graphicData>
            </a:graphic>
          </wp:inline>
        </w:drawing>
      </w:r>
    </w:p>
    <w:p w14:paraId="27AACD99" w14:textId="23CE2F4E" w:rsidR="003951F5" w:rsidRPr="003951F5" w:rsidRDefault="003951F5" w:rsidP="00FB1507">
      <w:pPr>
        <w:pStyle w:val="NoSpacing"/>
      </w:pPr>
      <w:r w:rsidRPr="003951F5">
        <w:rPr>
          <w:b/>
          <w:bCs/>
        </w:rPr>
        <w:t>Figure 6</w:t>
      </w:r>
      <w:r w:rsidR="00FB1507">
        <w:t xml:space="preserve"> </w:t>
      </w:r>
      <w:r w:rsidRPr="003951F5">
        <w:t>Internal pH of (a) </w:t>
      </w:r>
      <w:r w:rsidRPr="003951F5">
        <w:rPr>
          <w:i/>
          <w:iCs/>
        </w:rPr>
        <w:t xml:space="preserve">Acinetobacter </w:t>
      </w:r>
      <w:proofErr w:type="spellStart"/>
      <w:r w:rsidRPr="003951F5">
        <w:rPr>
          <w:i/>
          <w:iCs/>
        </w:rPr>
        <w:t>baumannii</w:t>
      </w:r>
      <w:proofErr w:type="spellEnd"/>
      <w:r w:rsidRPr="003951F5">
        <w:t> and (b) </w:t>
      </w:r>
      <w:r w:rsidRPr="003951F5">
        <w:rPr>
          <w:i/>
          <w:iCs/>
        </w:rPr>
        <w:t xml:space="preserve">Staphylococcus </w:t>
      </w:r>
      <w:proofErr w:type="spellStart"/>
      <w:r w:rsidRPr="003951F5">
        <w:rPr>
          <w:i/>
          <w:iCs/>
        </w:rPr>
        <w:t>pseudintermedius</w:t>
      </w:r>
      <w:proofErr w:type="spellEnd"/>
      <w:r w:rsidRPr="003951F5">
        <w:t> exposed to butanoic acid over time. Bacteria were exposed to (</w:t>
      </w:r>
      <w:r w:rsidRPr="003951F5">
        <w:rPr>
          <w:rFonts w:ascii="Arial" w:hAnsi="Arial" w:cs="Arial"/>
        </w:rPr>
        <w:t>■</w:t>
      </w:r>
      <w:r w:rsidRPr="003951F5">
        <w:t>) 100 mmol l</w:t>
      </w:r>
      <w:r w:rsidRPr="003951F5">
        <w:rPr>
          <w:vertAlign w:val="superscript"/>
        </w:rPr>
        <w:t>−1</w:t>
      </w:r>
      <w:r w:rsidRPr="003951F5">
        <w:t>, (□) 50 mmol l</w:t>
      </w:r>
      <w:r w:rsidRPr="003951F5">
        <w:rPr>
          <w:vertAlign w:val="superscript"/>
        </w:rPr>
        <w:t>−1</w:t>
      </w:r>
      <w:r w:rsidRPr="003951F5">
        <w:t>, (</w:t>
      </w:r>
      <w:r w:rsidRPr="003951F5">
        <w:rPr>
          <w:rFonts w:ascii="Segoe UI Emoji" w:hAnsi="Segoe UI Emoji" w:cs="Segoe UI Emoji"/>
        </w:rPr>
        <w:t>♦</w:t>
      </w:r>
      <w:r w:rsidRPr="003951F5">
        <w:t>) 25</w:t>
      </w:r>
      <w:r w:rsidRPr="003951F5">
        <w:rPr>
          <w:rFonts w:ascii="Calibri" w:hAnsi="Calibri" w:cs="Calibri"/>
        </w:rPr>
        <w:t> </w:t>
      </w:r>
      <w:r w:rsidRPr="003951F5">
        <w:t>mmol</w:t>
      </w:r>
      <w:r w:rsidRPr="003951F5">
        <w:rPr>
          <w:rFonts w:ascii="Calibri" w:hAnsi="Calibri" w:cs="Calibri"/>
        </w:rPr>
        <w:t> </w:t>
      </w:r>
      <w:r w:rsidRPr="003951F5">
        <w:t>l</w:t>
      </w:r>
      <w:r w:rsidRPr="003951F5">
        <w:rPr>
          <w:vertAlign w:val="superscript"/>
        </w:rPr>
        <w:t>−1</w:t>
      </w:r>
      <w:r w:rsidRPr="003951F5">
        <w:t>, (</w:t>
      </w:r>
      <w:r w:rsidRPr="003951F5">
        <w:rPr>
          <w:rFonts w:ascii="Segoe UI Symbol" w:hAnsi="Segoe UI Symbol" w:cs="Segoe UI Symbol"/>
        </w:rPr>
        <w:t>♢</w:t>
      </w:r>
      <w:r w:rsidRPr="003951F5">
        <w:t>) 12</w:t>
      </w:r>
      <w:r w:rsidRPr="003951F5">
        <w:rPr>
          <w:rFonts w:ascii="Calibri" w:hAnsi="Calibri" w:cs="Calibri"/>
        </w:rPr>
        <w:t>·</w:t>
      </w:r>
      <w:r w:rsidRPr="003951F5">
        <w:t>5</w:t>
      </w:r>
      <w:r w:rsidRPr="003951F5">
        <w:rPr>
          <w:rFonts w:ascii="Calibri" w:hAnsi="Calibri" w:cs="Calibri"/>
        </w:rPr>
        <w:t> </w:t>
      </w:r>
      <w:r w:rsidRPr="003951F5">
        <w:t>mmol</w:t>
      </w:r>
      <w:r w:rsidRPr="003951F5">
        <w:rPr>
          <w:rFonts w:ascii="Calibri" w:hAnsi="Calibri" w:cs="Calibri"/>
        </w:rPr>
        <w:t> </w:t>
      </w:r>
      <w:r w:rsidRPr="003951F5">
        <w:t>l</w:t>
      </w:r>
      <w:r w:rsidRPr="003951F5">
        <w:rPr>
          <w:vertAlign w:val="superscript"/>
        </w:rPr>
        <w:t>−1</w:t>
      </w:r>
      <w:r w:rsidRPr="003951F5">
        <w:t>, (</w:t>
      </w:r>
      <w:r w:rsidRPr="003951F5">
        <w:rPr>
          <w:rFonts w:ascii="Arial" w:hAnsi="Arial" w:cs="Arial"/>
        </w:rPr>
        <w:t>▲</w:t>
      </w:r>
      <w:r w:rsidRPr="003951F5">
        <w:t>) 6</w:t>
      </w:r>
      <w:r w:rsidRPr="003951F5">
        <w:rPr>
          <w:rFonts w:ascii="Calibri" w:hAnsi="Calibri" w:cs="Calibri"/>
        </w:rPr>
        <w:t>·</w:t>
      </w:r>
      <w:r w:rsidRPr="003951F5">
        <w:t>25</w:t>
      </w:r>
      <w:r w:rsidRPr="003951F5">
        <w:rPr>
          <w:rFonts w:ascii="Calibri" w:hAnsi="Calibri" w:cs="Calibri"/>
        </w:rPr>
        <w:t> </w:t>
      </w:r>
      <w:r w:rsidRPr="003951F5">
        <w:t>mmol</w:t>
      </w:r>
      <w:r w:rsidRPr="003951F5">
        <w:rPr>
          <w:rFonts w:ascii="Calibri" w:hAnsi="Calibri" w:cs="Calibri"/>
        </w:rPr>
        <w:t> </w:t>
      </w:r>
      <w:r w:rsidRPr="003951F5">
        <w:t>l</w:t>
      </w:r>
      <w:r w:rsidRPr="003951F5">
        <w:rPr>
          <w:vertAlign w:val="superscript"/>
        </w:rPr>
        <w:t>−1</w:t>
      </w:r>
      <w:r w:rsidRPr="003951F5">
        <w:t> and (</w:t>
      </w:r>
      <w:r w:rsidRPr="003951F5">
        <w:rPr>
          <w:rFonts w:ascii="Cambria Math" w:hAnsi="Cambria Math" w:cs="Cambria Math"/>
        </w:rPr>
        <w:t>▵</w:t>
      </w:r>
      <w:r w:rsidRPr="003951F5">
        <w:t>) 3</w:t>
      </w:r>
      <w:r w:rsidRPr="003951F5">
        <w:rPr>
          <w:rFonts w:ascii="Calibri" w:hAnsi="Calibri" w:cs="Calibri"/>
        </w:rPr>
        <w:t>·</w:t>
      </w:r>
      <w:r w:rsidRPr="003951F5">
        <w:t>1</w:t>
      </w:r>
      <w:r w:rsidRPr="003951F5">
        <w:rPr>
          <w:rFonts w:ascii="Calibri" w:hAnsi="Calibri" w:cs="Calibri"/>
        </w:rPr>
        <w:t> </w:t>
      </w:r>
      <w:r w:rsidRPr="003951F5">
        <w:t>mmol</w:t>
      </w:r>
      <w:r w:rsidRPr="003951F5">
        <w:rPr>
          <w:rFonts w:ascii="Calibri" w:hAnsi="Calibri" w:cs="Calibri"/>
        </w:rPr>
        <w:t> </w:t>
      </w:r>
      <w:r w:rsidRPr="003951F5">
        <w:t>l</w:t>
      </w:r>
      <w:r w:rsidRPr="003951F5">
        <w:rPr>
          <w:vertAlign w:val="superscript"/>
        </w:rPr>
        <w:t>−1</w:t>
      </w:r>
      <w:r w:rsidRPr="003951F5">
        <w:t> butanoic acid. Bacteria exposed to (×) HCl-amended water, pH 4 and (○) phosphate buffer pH 7 were used as controls. Data points represent average of three wells, graphs representative of three independent experiments. Error bars denote standard deviation.</w:t>
      </w:r>
    </w:p>
    <w:p w14:paraId="5E9E1FAD" w14:textId="77777777" w:rsidR="003951F5" w:rsidRPr="003951F5" w:rsidRDefault="003951F5" w:rsidP="00FB1507">
      <w:pPr>
        <w:pStyle w:val="Heading1"/>
      </w:pPr>
      <w:r w:rsidRPr="003951F5">
        <w:t>Discussion</w:t>
      </w:r>
    </w:p>
    <w:p w14:paraId="7332196B" w14:textId="5BEF16A3" w:rsidR="003951F5" w:rsidRPr="003951F5" w:rsidRDefault="003951F5" w:rsidP="003951F5">
      <w:pPr>
        <w:rPr>
          <w:rFonts w:cstheme="minorHAnsi"/>
          <w:sz w:val="24"/>
          <w:szCs w:val="24"/>
        </w:rPr>
      </w:pPr>
      <w:proofErr w:type="gramStart"/>
      <w:r w:rsidRPr="003951F5">
        <w:rPr>
          <w:rFonts w:cstheme="minorHAnsi"/>
          <w:sz w:val="24"/>
          <w:szCs w:val="24"/>
        </w:rPr>
        <w:t>It is clear that antibiotic</w:t>
      </w:r>
      <w:proofErr w:type="gramEnd"/>
      <w:r w:rsidRPr="003951F5">
        <w:rPr>
          <w:rFonts w:cstheme="minorHAnsi"/>
          <w:sz w:val="24"/>
          <w:szCs w:val="24"/>
        </w:rPr>
        <w:t xml:space="preserve"> resistance among bacterial pathogens is a major concern to public health systems worldwide. This necessitates the need for alternative, broad-spectrum antimicrobials for human and animal health. Fatty acids are commonly used by the food industry to inhibit bacterial growth (</w:t>
      </w:r>
      <w:proofErr w:type="spellStart"/>
      <w:r w:rsidRPr="003951F5">
        <w:rPr>
          <w:rFonts w:cstheme="minorHAnsi"/>
          <w:sz w:val="24"/>
          <w:szCs w:val="24"/>
        </w:rPr>
        <w:t>Ricke</w:t>
      </w:r>
      <w:proofErr w:type="spellEnd"/>
      <w:r w:rsidRPr="003951F5">
        <w:rPr>
          <w:rFonts w:cstheme="minorHAnsi"/>
          <w:sz w:val="24"/>
          <w:szCs w:val="24"/>
        </w:rPr>
        <w:t> </w:t>
      </w:r>
      <w:r w:rsidRPr="003951F5">
        <w:rPr>
          <w:rFonts w:cstheme="minorHAnsi"/>
          <w:b/>
          <w:bCs/>
          <w:sz w:val="24"/>
          <w:szCs w:val="24"/>
        </w:rPr>
        <w:t>2003</w:t>
      </w:r>
      <w:r w:rsidRPr="003951F5">
        <w:rPr>
          <w:rFonts w:cstheme="minorHAnsi"/>
          <w:sz w:val="24"/>
          <w:szCs w:val="24"/>
        </w:rPr>
        <w:t>). However, their use as disinfectants against pathogens relevant to human and animal health is not well understood. The potential use of SCFAs, such as butanoic acid, are an attractive alternative to combat emerging multidrug resistance threats such as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w:t>
      </w:r>
      <w:r w:rsidRPr="003951F5">
        <w:rPr>
          <w:rFonts w:cstheme="minorHAnsi"/>
          <w:i/>
          <w:iCs/>
          <w:sz w:val="24"/>
          <w:szCs w:val="24"/>
        </w:rPr>
        <w:t> E. coli</w:t>
      </w:r>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These findings could inform the application of butanoic acid as a ‘green chemistry’ disinfectant to decontaminate sanitary equipment and support treatment of cutaneous infections with multidrug resistant bacteria.</w:t>
      </w:r>
    </w:p>
    <w:p w14:paraId="64061B73" w14:textId="7059E294" w:rsidR="003951F5" w:rsidRPr="003951F5" w:rsidRDefault="003951F5" w:rsidP="003951F5">
      <w:pPr>
        <w:rPr>
          <w:rFonts w:cstheme="minorHAnsi"/>
          <w:sz w:val="24"/>
          <w:szCs w:val="24"/>
        </w:rPr>
      </w:pPr>
      <w:r w:rsidRPr="003951F5">
        <w:rPr>
          <w:rFonts w:cstheme="minorHAnsi"/>
          <w:sz w:val="24"/>
          <w:szCs w:val="24"/>
        </w:rPr>
        <w:t>These results clearly demonstrated that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w:t>
      </w:r>
      <w:r w:rsidRPr="003951F5">
        <w:rPr>
          <w:rFonts w:cstheme="minorHAnsi"/>
          <w:i/>
          <w:iCs/>
          <w:sz w:val="24"/>
          <w:szCs w:val="24"/>
        </w:rPr>
        <w:t> E. coli</w:t>
      </w:r>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were inactivated by butanoic acid </w:t>
      </w:r>
      <w:r w:rsidRPr="003951F5">
        <w:rPr>
          <w:rFonts w:cstheme="minorHAnsi"/>
          <w:i/>
          <w:iCs/>
          <w:sz w:val="24"/>
          <w:szCs w:val="24"/>
        </w:rPr>
        <w:t>in vitro</w:t>
      </w:r>
      <w:r w:rsidRPr="003951F5">
        <w:rPr>
          <w:rFonts w:cstheme="minorHAnsi"/>
          <w:sz w:val="24"/>
          <w:szCs w:val="24"/>
        </w:rPr>
        <w:t> (Fig. </w:t>
      </w:r>
      <w:r w:rsidRPr="003951F5">
        <w:rPr>
          <w:rFonts w:cstheme="minorHAnsi"/>
          <w:b/>
          <w:bCs/>
          <w:sz w:val="24"/>
          <w:szCs w:val="24"/>
        </w:rPr>
        <w:t>1</w:t>
      </w:r>
      <w:r w:rsidRPr="003951F5">
        <w:rPr>
          <w:rFonts w:cstheme="minorHAnsi"/>
          <w:sz w:val="24"/>
          <w:szCs w:val="24"/>
        </w:rPr>
        <w:t>). While the MIC for butanoic acid was relatively constant (between 11 and 21 mmol l</w:t>
      </w:r>
      <w:r w:rsidRPr="003951F5">
        <w:rPr>
          <w:rFonts w:cstheme="minorHAnsi"/>
          <w:sz w:val="24"/>
          <w:szCs w:val="24"/>
          <w:vertAlign w:val="superscript"/>
        </w:rPr>
        <w:t>−1</w:t>
      </w:r>
      <w:r w:rsidRPr="003951F5">
        <w:rPr>
          <w:rFonts w:cstheme="minorHAnsi"/>
          <w:sz w:val="24"/>
          <w:szCs w:val="24"/>
        </w:rPr>
        <w:t>) for a variety of Gram-positive and Gram-negative bacteria, the concentration required to produce an 8- or 9-log inactivation was species dependent (Table </w:t>
      </w:r>
      <w:r w:rsidRPr="003951F5">
        <w:rPr>
          <w:rFonts w:cstheme="minorHAnsi"/>
          <w:b/>
          <w:bCs/>
          <w:sz w:val="24"/>
          <w:szCs w:val="24"/>
        </w:rPr>
        <w:t>2</w:t>
      </w:r>
      <w:r w:rsidRPr="003951F5">
        <w:rPr>
          <w:rFonts w:cstheme="minorHAnsi"/>
          <w:sz w:val="24"/>
          <w:szCs w:val="24"/>
        </w:rPr>
        <w:t>).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was noticeably more susceptible to butanoic acid than other species tested; however, this does not appear to be a trend with Gram-positive species in general. For example, a 10-s exposure to 1·0 mol l</w:t>
      </w:r>
      <w:r w:rsidRPr="003951F5">
        <w:rPr>
          <w:rFonts w:cstheme="minorHAnsi"/>
          <w:sz w:val="24"/>
          <w:szCs w:val="24"/>
          <w:vertAlign w:val="superscript"/>
        </w:rPr>
        <w:t>−1</w:t>
      </w:r>
      <w:r w:rsidRPr="003951F5">
        <w:rPr>
          <w:rFonts w:cstheme="minorHAnsi"/>
          <w:sz w:val="24"/>
          <w:szCs w:val="24"/>
        </w:rPr>
        <w:t> of butanoic acid failed to achieve a 9-log reduction in </w:t>
      </w:r>
      <w:r w:rsidRPr="003951F5">
        <w:rPr>
          <w:rFonts w:cstheme="minorHAnsi"/>
          <w:i/>
          <w:iCs/>
          <w:sz w:val="24"/>
          <w:szCs w:val="24"/>
        </w:rPr>
        <w:t>M. luteus</w:t>
      </w:r>
      <w:r w:rsidRPr="003951F5">
        <w:rPr>
          <w:rFonts w:cstheme="minorHAnsi"/>
          <w:sz w:val="24"/>
          <w:szCs w:val="24"/>
        </w:rPr>
        <w:t> (Table </w:t>
      </w:r>
      <w:r w:rsidRPr="003951F5">
        <w:rPr>
          <w:rFonts w:cstheme="minorHAnsi"/>
          <w:b/>
          <w:bCs/>
          <w:sz w:val="24"/>
          <w:szCs w:val="24"/>
        </w:rPr>
        <w:t>2</w:t>
      </w:r>
      <w:r w:rsidRPr="003951F5">
        <w:rPr>
          <w:rFonts w:cstheme="minorHAnsi"/>
          <w:sz w:val="24"/>
          <w:szCs w:val="24"/>
        </w:rPr>
        <w:t xml:space="preserve">). Butanoic acid produced a nonlinear dose response among all species tested – a pattern </w:t>
      </w:r>
      <w:proofErr w:type="gramStart"/>
      <w:r w:rsidRPr="003951F5">
        <w:rPr>
          <w:rFonts w:cstheme="minorHAnsi"/>
          <w:sz w:val="24"/>
          <w:szCs w:val="24"/>
        </w:rPr>
        <w:t>similar to</w:t>
      </w:r>
      <w:proofErr w:type="gramEnd"/>
      <w:r w:rsidRPr="003951F5">
        <w:rPr>
          <w:rFonts w:cstheme="minorHAnsi"/>
          <w:sz w:val="24"/>
          <w:szCs w:val="24"/>
        </w:rPr>
        <w:t xml:space="preserve"> many other antimicrobials (</w:t>
      </w:r>
      <w:proofErr w:type="spellStart"/>
      <w:r w:rsidRPr="003951F5">
        <w:rPr>
          <w:rFonts w:cstheme="minorHAnsi"/>
          <w:sz w:val="24"/>
          <w:szCs w:val="24"/>
        </w:rPr>
        <w:t>Berenbaum</w:t>
      </w:r>
      <w:proofErr w:type="spellEnd"/>
      <w:r w:rsidRPr="003951F5">
        <w:rPr>
          <w:rFonts w:cstheme="minorHAnsi"/>
          <w:sz w:val="24"/>
          <w:szCs w:val="24"/>
        </w:rPr>
        <w:t> </w:t>
      </w:r>
      <w:r w:rsidRPr="003951F5">
        <w:rPr>
          <w:rFonts w:cstheme="minorHAnsi"/>
          <w:b/>
          <w:bCs/>
          <w:sz w:val="24"/>
          <w:szCs w:val="24"/>
        </w:rPr>
        <w:t>1978</w:t>
      </w:r>
      <w:r w:rsidRPr="003951F5">
        <w:rPr>
          <w:rFonts w:cstheme="minorHAnsi"/>
          <w:sz w:val="24"/>
          <w:szCs w:val="24"/>
        </w:rPr>
        <w:t>). As the concentration of butanoic acid decreased, the contact time required to achieve an 8- or 9-log reduction of bacteria cells increased dramatically (Table </w:t>
      </w:r>
      <w:r w:rsidRPr="003951F5">
        <w:rPr>
          <w:rFonts w:cstheme="minorHAnsi"/>
          <w:b/>
          <w:bCs/>
          <w:sz w:val="24"/>
          <w:szCs w:val="24"/>
        </w:rPr>
        <w:t>2</w:t>
      </w:r>
      <w:r w:rsidRPr="003951F5">
        <w:rPr>
          <w:rFonts w:cstheme="minorHAnsi"/>
          <w:sz w:val="24"/>
          <w:szCs w:val="24"/>
        </w:rPr>
        <w:t>). Acidic environments are known to alter the surface charge distribution causing a nonuniform distribution of cells </w:t>
      </w:r>
      <w:r w:rsidRPr="003951F5">
        <w:rPr>
          <w:rFonts w:cstheme="minorHAnsi"/>
          <w:i/>
          <w:iCs/>
          <w:sz w:val="24"/>
          <w:szCs w:val="24"/>
        </w:rPr>
        <w:t>in vitro</w:t>
      </w:r>
      <w:r w:rsidRPr="003951F5">
        <w:rPr>
          <w:rFonts w:cstheme="minorHAnsi"/>
          <w:sz w:val="24"/>
          <w:szCs w:val="24"/>
        </w:rPr>
        <w:t> (Sharma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1985</w:t>
      </w:r>
      <w:r w:rsidRPr="003951F5">
        <w:rPr>
          <w:rFonts w:cstheme="minorHAnsi"/>
          <w:sz w:val="24"/>
          <w:szCs w:val="24"/>
        </w:rPr>
        <w:t xml:space="preserve">; Dickson and </w:t>
      </w:r>
      <w:proofErr w:type="spellStart"/>
      <w:r w:rsidRPr="003951F5">
        <w:rPr>
          <w:rFonts w:cstheme="minorHAnsi"/>
          <w:sz w:val="24"/>
          <w:szCs w:val="24"/>
        </w:rPr>
        <w:t>Koohmaraie</w:t>
      </w:r>
      <w:proofErr w:type="spellEnd"/>
      <w:r w:rsidRPr="003951F5">
        <w:rPr>
          <w:rFonts w:cstheme="minorHAnsi"/>
          <w:sz w:val="24"/>
          <w:szCs w:val="24"/>
        </w:rPr>
        <w:t> </w:t>
      </w:r>
      <w:r w:rsidRPr="003951F5">
        <w:rPr>
          <w:rFonts w:cstheme="minorHAnsi"/>
          <w:b/>
          <w:bCs/>
          <w:sz w:val="24"/>
          <w:szCs w:val="24"/>
        </w:rPr>
        <w:t>1989</w:t>
      </w:r>
      <w:r w:rsidRPr="003951F5">
        <w:rPr>
          <w:rFonts w:cstheme="minorHAnsi"/>
          <w:sz w:val="24"/>
          <w:szCs w:val="24"/>
        </w:rPr>
        <w:t xml:space="preserve">; </w:t>
      </w:r>
      <w:proofErr w:type="spellStart"/>
      <w:r w:rsidRPr="003951F5">
        <w:rPr>
          <w:rFonts w:cstheme="minorHAnsi"/>
          <w:sz w:val="24"/>
          <w:szCs w:val="24"/>
        </w:rPr>
        <w:t>Ukuku</w:t>
      </w:r>
      <w:proofErr w:type="spellEnd"/>
      <w:r w:rsidRPr="003951F5">
        <w:rPr>
          <w:rFonts w:cstheme="minorHAnsi"/>
          <w:sz w:val="24"/>
          <w:szCs w:val="24"/>
        </w:rPr>
        <w:t xml:space="preserve"> and Fett </w:t>
      </w:r>
      <w:r w:rsidRPr="003951F5">
        <w:rPr>
          <w:rFonts w:cstheme="minorHAnsi"/>
          <w:b/>
          <w:bCs/>
          <w:sz w:val="24"/>
          <w:szCs w:val="24"/>
        </w:rPr>
        <w:t>2002</w:t>
      </w:r>
      <w:r w:rsidRPr="003951F5">
        <w:rPr>
          <w:rFonts w:cstheme="minorHAnsi"/>
          <w:sz w:val="24"/>
          <w:szCs w:val="24"/>
        </w:rPr>
        <w:t>). This phenomenon, together with the observation that butanoic acid induced clumping of bacteria (data not shown), suggested that this nonlinear response was the result of uneven exposure of individual cells to the disinfecting chemical. This would imply that pretreatment with surfactants may enhance butanoic acid-induced inactivation.</w:t>
      </w:r>
    </w:p>
    <w:p w14:paraId="5957F519" w14:textId="52AD4B0B" w:rsidR="003951F5" w:rsidRPr="003951F5" w:rsidRDefault="003951F5" w:rsidP="003951F5">
      <w:pPr>
        <w:rPr>
          <w:rFonts w:cstheme="minorHAnsi"/>
          <w:sz w:val="24"/>
          <w:szCs w:val="24"/>
        </w:rPr>
      </w:pPr>
      <w:r w:rsidRPr="003951F5">
        <w:rPr>
          <w:rFonts w:cstheme="minorHAnsi"/>
          <w:sz w:val="24"/>
          <w:szCs w:val="24"/>
        </w:rPr>
        <w:t>Microscopic analysis of cell morphology indicated that butanoic acid failed to elicit cellular lysis (Fig. </w:t>
      </w:r>
      <w:r w:rsidRPr="003951F5">
        <w:rPr>
          <w:rFonts w:cstheme="minorHAnsi"/>
          <w:b/>
          <w:bCs/>
          <w:sz w:val="24"/>
          <w:szCs w:val="24"/>
        </w:rPr>
        <w:t>2</w:t>
      </w:r>
      <w:r w:rsidRPr="003951F5">
        <w:rPr>
          <w:rFonts w:cstheme="minorHAnsi"/>
          <w:sz w:val="24"/>
          <w:szCs w:val="24"/>
        </w:rPr>
        <w:t>) at concentrations two to five times greater than the bactericidal concentration. SEM analysis of the cellular morphology of all species tested showed no change in morphology, demonstrating that the cell wall remained generally intact (Fig. </w:t>
      </w:r>
      <w:r w:rsidRPr="003951F5">
        <w:rPr>
          <w:rFonts w:cstheme="minorHAnsi"/>
          <w:b/>
          <w:bCs/>
          <w:sz w:val="24"/>
          <w:szCs w:val="24"/>
        </w:rPr>
        <w:t>3</w:t>
      </w:r>
      <w:r w:rsidRPr="003951F5">
        <w:rPr>
          <w:rFonts w:cstheme="minorHAnsi"/>
          <w:sz w:val="24"/>
          <w:szCs w:val="24"/>
        </w:rPr>
        <w:t>). However, membrane damage has previously been reported in bacteria after exposure to organic acid. Tuttle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1977</w:t>
      </w:r>
      <w:r w:rsidRPr="003951F5">
        <w:rPr>
          <w:rFonts w:cstheme="minorHAnsi"/>
          <w:sz w:val="24"/>
          <w:szCs w:val="24"/>
        </w:rPr>
        <w:t>) observed membrane blebbing after exposing </w:t>
      </w:r>
      <w:r w:rsidRPr="003951F5">
        <w:rPr>
          <w:rFonts w:cstheme="minorHAnsi"/>
          <w:i/>
          <w:iCs/>
          <w:sz w:val="24"/>
          <w:szCs w:val="24"/>
        </w:rPr>
        <w:t xml:space="preserve">Thiobacillus </w:t>
      </w:r>
      <w:proofErr w:type="spellStart"/>
      <w:r w:rsidRPr="003951F5">
        <w:rPr>
          <w:rFonts w:cstheme="minorHAnsi"/>
          <w:i/>
          <w:iCs/>
          <w:sz w:val="24"/>
          <w:szCs w:val="24"/>
        </w:rPr>
        <w:t>ferroodoxans</w:t>
      </w:r>
      <w:proofErr w:type="spellEnd"/>
      <w:r w:rsidRPr="003951F5">
        <w:rPr>
          <w:rFonts w:cstheme="minorHAnsi"/>
          <w:sz w:val="24"/>
          <w:szCs w:val="24"/>
        </w:rPr>
        <w:t xml:space="preserve"> to butanoic acid. </w:t>
      </w:r>
      <w:proofErr w:type="spellStart"/>
      <w:r w:rsidRPr="003951F5">
        <w:rPr>
          <w:rFonts w:cstheme="minorHAnsi"/>
          <w:sz w:val="24"/>
          <w:szCs w:val="24"/>
        </w:rPr>
        <w:t>Sannasiddappa</w:t>
      </w:r>
      <w:proofErr w:type="spellEnd"/>
      <w:r w:rsidRPr="003951F5">
        <w:rPr>
          <w:rFonts w:cstheme="minorHAnsi"/>
          <w:sz w:val="24"/>
          <w:szCs w:val="24"/>
        </w:rPr>
        <w:t> </w:t>
      </w:r>
      <w:r w:rsidRPr="003951F5">
        <w:rPr>
          <w:rFonts w:cstheme="minorHAnsi"/>
          <w:i/>
          <w:iCs/>
          <w:sz w:val="24"/>
          <w:szCs w:val="24"/>
        </w:rPr>
        <w:t>et al</w:t>
      </w:r>
      <w:r w:rsidRPr="003951F5">
        <w:rPr>
          <w:rFonts w:cstheme="minorHAnsi"/>
          <w:sz w:val="24"/>
          <w:szCs w:val="24"/>
        </w:rPr>
        <w:t>. (</w:t>
      </w:r>
      <w:r w:rsidRPr="003951F5">
        <w:rPr>
          <w:rFonts w:cstheme="minorHAnsi"/>
          <w:b/>
          <w:bCs/>
          <w:sz w:val="24"/>
          <w:szCs w:val="24"/>
        </w:rPr>
        <w:t>2017</w:t>
      </w:r>
      <w:r w:rsidRPr="003951F5">
        <w:rPr>
          <w:rFonts w:cstheme="minorHAnsi"/>
          <w:sz w:val="24"/>
          <w:szCs w:val="24"/>
        </w:rPr>
        <w:t>) also observed a similar morphological change after exposure of </w:t>
      </w:r>
      <w:r w:rsidRPr="003951F5">
        <w:rPr>
          <w:rFonts w:cstheme="minorHAnsi"/>
          <w:i/>
          <w:iCs/>
          <w:sz w:val="24"/>
          <w:szCs w:val="24"/>
        </w:rPr>
        <w:t>S. aureus</w:t>
      </w:r>
      <w:r w:rsidRPr="003951F5">
        <w:rPr>
          <w:rFonts w:cstheme="minorHAnsi"/>
          <w:sz w:val="24"/>
          <w:szCs w:val="24"/>
        </w:rPr>
        <w:t> to bile salts. These analyses were determined at a higher magnification and thus the possibility that butanoic acid induces a similar response in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cannot be discounted.</w:t>
      </w:r>
    </w:p>
    <w:p w14:paraId="1E62B69F" w14:textId="63CAFDAF" w:rsidR="003951F5" w:rsidRPr="003951F5" w:rsidRDefault="003951F5" w:rsidP="003951F5">
      <w:pPr>
        <w:rPr>
          <w:rFonts w:cstheme="minorHAnsi"/>
          <w:sz w:val="24"/>
          <w:szCs w:val="24"/>
        </w:rPr>
      </w:pPr>
      <w:r w:rsidRPr="003951F5">
        <w:rPr>
          <w:rFonts w:cstheme="minorHAnsi"/>
          <w:sz w:val="24"/>
          <w:szCs w:val="24"/>
        </w:rPr>
        <w:t>A long-standing hypothesis for SCFA inactivation of microbes supposes that the acid passes through the plasma membrane dissociates in the more alkaline environment and acidifies the cytosol (</w:t>
      </w:r>
      <w:proofErr w:type="spellStart"/>
      <w:r w:rsidRPr="003951F5">
        <w:rPr>
          <w:rFonts w:cstheme="minorHAnsi"/>
          <w:sz w:val="24"/>
          <w:szCs w:val="24"/>
        </w:rPr>
        <w:t>Wojtczak</w:t>
      </w:r>
      <w:proofErr w:type="spellEnd"/>
      <w:r w:rsidRPr="003951F5">
        <w:rPr>
          <w:rFonts w:cstheme="minorHAnsi"/>
          <w:sz w:val="24"/>
          <w:szCs w:val="24"/>
        </w:rPr>
        <w:t xml:space="preserve"> and </w:t>
      </w:r>
      <w:proofErr w:type="spellStart"/>
      <w:r w:rsidRPr="003951F5">
        <w:rPr>
          <w:rFonts w:cstheme="minorHAnsi"/>
          <w:sz w:val="24"/>
          <w:szCs w:val="24"/>
        </w:rPr>
        <w:t>Wieckowski</w:t>
      </w:r>
      <w:proofErr w:type="spellEnd"/>
      <w:r w:rsidRPr="003951F5">
        <w:rPr>
          <w:rFonts w:cstheme="minorHAnsi"/>
          <w:sz w:val="24"/>
          <w:szCs w:val="24"/>
        </w:rPr>
        <w:t> </w:t>
      </w:r>
      <w:r w:rsidRPr="003951F5">
        <w:rPr>
          <w:rFonts w:cstheme="minorHAnsi"/>
          <w:b/>
          <w:bCs/>
          <w:sz w:val="24"/>
          <w:szCs w:val="24"/>
        </w:rPr>
        <w:t>1999</w:t>
      </w:r>
      <w:r w:rsidRPr="003951F5">
        <w:rPr>
          <w:rFonts w:cstheme="minorHAnsi"/>
          <w:sz w:val="24"/>
          <w:szCs w:val="24"/>
        </w:rPr>
        <w:t xml:space="preserve">). This hypothesis was tested by measuring fluorescence of a pH sensitive probe, </w:t>
      </w:r>
      <w:proofErr w:type="spellStart"/>
      <w:r w:rsidRPr="003951F5">
        <w:rPr>
          <w:rFonts w:cstheme="minorHAnsi"/>
          <w:sz w:val="24"/>
          <w:szCs w:val="24"/>
        </w:rPr>
        <w:t>cFSE</w:t>
      </w:r>
      <w:proofErr w:type="spellEnd"/>
      <w:r w:rsidRPr="003951F5">
        <w:rPr>
          <w:rFonts w:cstheme="minorHAnsi"/>
          <w:sz w:val="24"/>
          <w:szCs w:val="24"/>
        </w:rPr>
        <w:t>, during exposure to butanoic acid in real time. These data demonstrated that rapid acidification occurred (Fig. </w:t>
      </w:r>
      <w:r w:rsidRPr="003951F5">
        <w:rPr>
          <w:rFonts w:cstheme="minorHAnsi"/>
          <w:b/>
          <w:bCs/>
          <w:sz w:val="24"/>
          <w:szCs w:val="24"/>
        </w:rPr>
        <w:t>4</w:t>
      </w:r>
      <w:r w:rsidRPr="003951F5">
        <w:rPr>
          <w:rFonts w:cstheme="minorHAnsi"/>
          <w:sz w:val="24"/>
          <w:szCs w:val="24"/>
        </w:rPr>
        <w:t>; </w:t>
      </w:r>
      <w:r w:rsidRPr="003951F5">
        <w:rPr>
          <w:rFonts w:cstheme="minorHAnsi"/>
          <w:i/>
          <w:iCs/>
          <w:sz w:val="24"/>
          <w:szCs w:val="24"/>
        </w:rPr>
        <w:t>t</w:t>
      </w:r>
      <w:r w:rsidRPr="003951F5">
        <w:rPr>
          <w:rFonts w:cstheme="minorHAnsi"/>
          <w:sz w:val="24"/>
          <w:szCs w:val="24"/>
        </w:rPr>
        <w:t> = 2 min) followed by a steady decline in pH to ~ pH 4 (Fig. </w:t>
      </w:r>
      <w:r w:rsidRPr="003951F5">
        <w:rPr>
          <w:rFonts w:cstheme="minorHAnsi"/>
          <w:b/>
          <w:bCs/>
          <w:sz w:val="24"/>
          <w:szCs w:val="24"/>
        </w:rPr>
        <w:t>4</w:t>
      </w:r>
      <w:r w:rsidRPr="003951F5">
        <w:rPr>
          <w:rFonts w:cstheme="minorHAnsi"/>
          <w:sz w:val="24"/>
          <w:szCs w:val="24"/>
        </w:rPr>
        <w:t>; </w:t>
      </w:r>
      <w:r w:rsidRPr="003951F5">
        <w:rPr>
          <w:rFonts w:cstheme="minorHAnsi"/>
          <w:i/>
          <w:iCs/>
          <w:sz w:val="24"/>
          <w:szCs w:val="24"/>
        </w:rPr>
        <w:t>t</w:t>
      </w:r>
      <w:r w:rsidRPr="003951F5">
        <w:rPr>
          <w:rFonts w:cstheme="minorHAnsi"/>
          <w:sz w:val="24"/>
          <w:szCs w:val="24"/>
        </w:rPr>
        <w:t> = 65 min) for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Importantly, this internal acidification is not simply a result of the acidic environment. </w:t>
      </w:r>
      <w:r w:rsidRPr="003951F5">
        <w:rPr>
          <w:rFonts w:cstheme="minorHAnsi"/>
          <w:i/>
          <w:iCs/>
          <w:sz w:val="24"/>
          <w:szCs w:val="24"/>
        </w:rPr>
        <w:t xml:space="preserve">Staphylococcus </w:t>
      </w:r>
      <w:proofErr w:type="spellStart"/>
      <w:r w:rsidRPr="003951F5">
        <w:rPr>
          <w:rFonts w:cstheme="minorHAnsi"/>
          <w:i/>
          <w:iCs/>
          <w:sz w:val="24"/>
          <w:szCs w:val="24"/>
        </w:rPr>
        <w:t>pseudintermedius</w:t>
      </w:r>
      <w:proofErr w:type="spellEnd"/>
      <w:r w:rsidRPr="003951F5">
        <w:rPr>
          <w:rFonts w:cstheme="minorHAnsi"/>
          <w:sz w:val="24"/>
          <w:szCs w:val="24"/>
        </w:rPr>
        <w:t> exposed to HCl-amended water, pH 4 was able to maintain a neutral cytoplasmic environment, indistinguishable from an acid-free environment of phosphate buffer (pH 7). These findings support the internal acidification hypothesis; however, these data show that this internal acidification occurred at sub-inhibitory concentrations of butanoic acid. Evidence of uncoupling of cytosolic pH with inactivation and inhibitory activity has not been previously reported in the literature. As with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rapid acidification of the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xml:space="preserve"> cytoplasm was </w:t>
      </w:r>
      <w:proofErr w:type="gramStart"/>
      <w:r w:rsidRPr="003951F5">
        <w:rPr>
          <w:rFonts w:cstheme="minorHAnsi"/>
          <w:sz w:val="24"/>
          <w:szCs w:val="24"/>
        </w:rPr>
        <w:t>dose-dependent</w:t>
      </w:r>
      <w:proofErr w:type="gramEnd"/>
      <w:r w:rsidRPr="003951F5">
        <w:rPr>
          <w:rFonts w:cstheme="minorHAnsi"/>
          <w:sz w:val="24"/>
          <w:szCs w:val="24"/>
        </w:rPr>
        <w:t>. However, the concentration of hydronium ions did not accumulate in the </w:t>
      </w:r>
      <w:r w:rsidRPr="003951F5">
        <w:rPr>
          <w:rFonts w:cstheme="minorHAnsi"/>
          <w:i/>
          <w:iCs/>
          <w:sz w:val="24"/>
          <w:szCs w:val="24"/>
        </w:rPr>
        <w:t xml:space="preserve">A. </w:t>
      </w:r>
      <w:proofErr w:type="spellStart"/>
      <w:r w:rsidRPr="003951F5">
        <w:rPr>
          <w:rFonts w:cstheme="minorHAnsi"/>
          <w:i/>
          <w:iCs/>
          <w:sz w:val="24"/>
          <w:szCs w:val="24"/>
        </w:rPr>
        <w:t>baumannii</w:t>
      </w:r>
      <w:proofErr w:type="spellEnd"/>
      <w:r w:rsidRPr="003951F5">
        <w:rPr>
          <w:rFonts w:cstheme="minorHAnsi"/>
          <w:sz w:val="24"/>
          <w:szCs w:val="24"/>
        </w:rPr>
        <w:t> cytoplasm similarly to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Both species demonstrated that cytosolic acidification is specific to the organic acid, as a neutral cytoplasm was maintained when both species were exposed to HCl-amended water, pH 4. These data suggest that internal pH may not be a complete explanation for the mechanism of inactivation.</w:t>
      </w:r>
    </w:p>
    <w:p w14:paraId="4C04B2E0" w14:textId="77777777" w:rsidR="003951F5" w:rsidRPr="003951F5" w:rsidRDefault="003951F5" w:rsidP="003951F5">
      <w:pPr>
        <w:rPr>
          <w:rFonts w:cstheme="minorHAnsi"/>
          <w:sz w:val="24"/>
          <w:szCs w:val="24"/>
        </w:rPr>
      </w:pPr>
      <w:r w:rsidRPr="003951F5">
        <w:rPr>
          <w:rFonts w:cstheme="minorHAnsi"/>
          <w:sz w:val="24"/>
          <w:szCs w:val="24"/>
        </w:rPr>
        <w:t>Butanoic acid appears to be an effective SCFA capable of inhibiting growth of Gram-negative and Gram-positive pathogens including </w:t>
      </w:r>
      <w:r w:rsidRPr="003951F5">
        <w:rPr>
          <w:rFonts w:cstheme="minorHAnsi"/>
          <w:i/>
          <w:iCs/>
          <w:sz w:val="24"/>
          <w:szCs w:val="24"/>
        </w:rPr>
        <w:t xml:space="preserve">E. coli, A. </w:t>
      </w:r>
      <w:proofErr w:type="spellStart"/>
      <w:r w:rsidRPr="003951F5">
        <w:rPr>
          <w:rFonts w:cstheme="minorHAnsi"/>
          <w:i/>
          <w:iCs/>
          <w:sz w:val="24"/>
          <w:szCs w:val="24"/>
        </w:rPr>
        <w:t>baumannii</w:t>
      </w:r>
      <w:proofErr w:type="spellEnd"/>
      <w:r w:rsidRPr="003951F5">
        <w:rPr>
          <w:rFonts w:cstheme="minorHAnsi"/>
          <w:sz w:val="24"/>
          <w:szCs w:val="24"/>
        </w:rPr>
        <w:t> and </w:t>
      </w:r>
      <w:r w:rsidRPr="003951F5">
        <w:rPr>
          <w:rFonts w:cstheme="minorHAnsi"/>
          <w:i/>
          <w:iCs/>
          <w:sz w:val="24"/>
          <w:szCs w:val="24"/>
        </w:rPr>
        <w:t xml:space="preserve">S. </w:t>
      </w:r>
      <w:proofErr w:type="spellStart"/>
      <w:r w:rsidRPr="003951F5">
        <w:rPr>
          <w:rFonts w:cstheme="minorHAnsi"/>
          <w:i/>
          <w:iCs/>
          <w:sz w:val="24"/>
          <w:szCs w:val="24"/>
        </w:rPr>
        <w:t>pseudintermedius</w:t>
      </w:r>
      <w:proofErr w:type="spellEnd"/>
      <w:r w:rsidRPr="003951F5">
        <w:rPr>
          <w:rFonts w:cstheme="minorHAnsi"/>
          <w:sz w:val="24"/>
          <w:szCs w:val="24"/>
        </w:rPr>
        <w:t>. At sufficient species-dependent concentrations, butanoic acid inactivated as many as 10</w:t>
      </w:r>
      <w:r w:rsidRPr="003951F5">
        <w:rPr>
          <w:rFonts w:cstheme="minorHAnsi"/>
          <w:sz w:val="24"/>
          <w:szCs w:val="24"/>
          <w:vertAlign w:val="superscript"/>
        </w:rPr>
        <w:t>9</w:t>
      </w:r>
      <w:r w:rsidRPr="003951F5">
        <w:rPr>
          <w:rFonts w:cstheme="minorHAnsi"/>
          <w:sz w:val="24"/>
          <w:szCs w:val="24"/>
        </w:rPr>
        <w:t> bacterial cells </w:t>
      </w:r>
      <w:r w:rsidRPr="003951F5">
        <w:rPr>
          <w:rFonts w:cstheme="minorHAnsi"/>
          <w:i/>
          <w:iCs/>
          <w:sz w:val="24"/>
          <w:szCs w:val="24"/>
        </w:rPr>
        <w:t>in vitro</w:t>
      </w:r>
      <w:r w:rsidRPr="003951F5">
        <w:rPr>
          <w:rFonts w:cstheme="minorHAnsi"/>
          <w:sz w:val="24"/>
          <w:szCs w:val="24"/>
        </w:rPr>
        <w:t xml:space="preserve">. However, it is important to note that these analyses were performed on bacteria in log-phase, and in turn not representative of the growth phase common to bacteria found naturally in the environment. Future work will need to address the effectiveness of butanoic acid against pathogens in stationary phase, </w:t>
      </w:r>
      <w:proofErr w:type="gramStart"/>
      <w:r w:rsidRPr="003951F5">
        <w:rPr>
          <w:rFonts w:cstheme="minorHAnsi"/>
          <w:sz w:val="24"/>
          <w:szCs w:val="24"/>
        </w:rPr>
        <w:t>biofilms</w:t>
      </w:r>
      <w:proofErr w:type="gramEnd"/>
      <w:r w:rsidRPr="003951F5">
        <w:rPr>
          <w:rFonts w:cstheme="minorHAnsi"/>
          <w:sz w:val="24"/>
          <w:szCs w:val="24"/>
        </w:rPr>
        <w:t xml:space="preserve"> and part of diverse microbial communities as these conditions may alter disinfection parameters. As a broad-spectrum antimicrobial compound, butanoic acid may prove to be appropriate for treatment and protection against bacterial pathogens relevant to human health.</w:t>
      </w:r>
    </w:p>
    <w:p w14:paraId="6B4F0F4B" w14:textId="77777777" w:rsidR="003951F5" w:rsidRPr="003951F5" w:rsidRDefault="003951F5" w:rsidP="00FB1507">
      <w:pPr>
        <w:pStyle w:val="Heading1"/>
      </w:pPr>
      <w:r w:rsidRPr="003951F5">
        <w:t>Acknowledgements</w:t>
      </w:r>
    </w:p>
    <w:p w14:paraId="530A9ADE" w14:textId="77777777" w:rsidR="003951F5" w:rsidRPr="003951F5" w:rsidRDefault="003951F5" w:rsidP="003951F5">
      <w:pPr>
        <w:rPr>
          <w:rFonts w:cstheme="minorHAnsi"/>
          <w:sz w:val="24"/>
          <w:szCs w:val="24"/>
        </w:rPr>
      </w:pPr>
      <w:r w:rsidRPr="003951F5">
        <w:rPr>
          <w:rFonts w:cstheme="minorHAnsi"/>
          <w:sz w:val="24"/>
          <w:szCs w:val="24"/>
        </w:rPr>
        <w:t>This study was supported by the Defense Treat Reduction Agency (DTRA). The conclusions and interpretations expressed here are those of the authors and do not reflect the official policy or position of the Department of the Army, DTRA, DOD or the US Government. The authors acknowledge Lance Richardson and Anand Shetty for their technical assistance, and Alexander Mitropoulos for his assistance with the standard curve modelling for the internal pH analysis. Go Army! Beat Navy!</w:t>
      </w:r>
    </w:p>
    <w:p w14:paraId="58E422C5" w14:textId="77777777" w:rsidR="003951F5" w:rsidRPr="003951F5" w:rsidRDefault="003951F5" w:rsidP="00FB1507">
      <w:pPr>
        <w:pStyle w:val="Heading1"/>
      </w:pPr>
      <w:r w:rsidRPr="003951F5">
        <w:t>Conflict of Interest</w:t>
      </w:r>
    </w:p>
    <w:p w14:paraId="4316BD87" w14:textId="77777777" w:rsidR="003951F5" w:rsidRPr="003951F5" w:rsidRDefault="003951F5" w:rsidP="003951F5">
      <w:pPr>
        <w:rPr>
          <w:rFonts w:cstheme="minorHAnsi"/>
          <w:sz w:val="24"/>
          <w:szCs w:val="24"/>
        </w:rPr>
      </w:pPr>
      <w:r w:rsidRPr="003951F5">
        <w:rPr>
          <w:rFonts w:cstheme="minorHAnsi"/>
          <w:sz w:val="24"/>
          <w:szCs w:val="24"/>
        </w:rPr>
        <w:t>None.</w:t>
      </w:r>
    </w:p>
    <w:p w14:paraId="6F284258" w14:textId="736C294F" w:rsidR="00506C6F" w:rsidRDefault="003951F5" w:rsidP="00FB1507">
      <w:pPr>
        <w:pStyle w:val="Heading1"/>
      </w:pPr>
      <w:r>
        <w:t>References</w:t>
      </w:r>
    </w:p>
    <w:p w14:paraId="6DD9FB19" w14:textId="77777777" w:rsidR="0086587F" w:rsidRPr="00FB1507" w:rsidRDefault="0086587F" w:rsidP="00FB1507">
      <w:pPr>
        <w:pStyle w:val="NoSpacing"/>
        <w:ind w:left="720" w:hanging="720"/>
        <w:rPr>
          <w:sz w:val="24"/>
          <w:szCs w:val="24"/>
        </w:rPr>
      </w:pPr>
      <w:proofErr w:type="spellStart"/>
      <w:r w:rsidRPr="00FB1507">
        <w:rPr>
          <w:sz w:val="24"/>
          <w:szCs w:val="24"/>
        </w:rPr>
        <w:t>Anastas</w:t>
      </w:r>
      <w:proofErr w:type="spellEnd"/>
      <w:r w:rsidRPr="00FB1507">
        <w:rPr>
          <w:sz w:val="24"/>
          <w:szCs w:val="24"/>
        </w:rPr>
        <w:t>, P. and </w:t>
      </w:r>
      <w:proofErr w:type="spellStart"/>
      <w:r w:rsidRPr="00FB1507">
        <w:rPr>
          <w:sz w:val="24"/>
          <w:szCs w:val="24"/>
        </w:rPr>
        <w:t>Eghbali</w:t>
      </w:r>
      <w:proofErr w:type="spellEnd"/>
      <w:r w:rsidRPr="00FB1507">
        <w:rPr>
          <w:sz w:val="24"/>
          <w:szCs w:val="24"/>
        </w:rPr>
        <w:t>, N. (2010) Green chemistry: principles and practice. </w:t>
      </w:r>
      <w:r w:rsidRPr="00FB1507">
        <w:rPr>
          <w:i/>
          <w:iCs/>
          <w:sz w:val="24"/>
          <w:szCs w:val="24"/>
        </w:rPr>
        <w:t>Chem. Soc. Rev.</w:t>
      </w:r>
      <w:r w:rsidRPr="00FB1507">
        <w:rPr>
          <w:sz w:val="24"/>
          <w:szCs w:val="24"/>
        </w:rPr>
        <w:t> </w:t>
      </w:r>
      <w:r w:rsidRPr="00FB1507">
        <w:rPr>
          <w:b/>
          <w:bCs/>
          <w:sz w:val="24"/>
          <w:szCs w:val="24"/>
        </w:rPr>
        <w:t>39</w:t>
      </w:r>
      <w:r w:rsidRPr="00FB1507">
        <w:rPr>
          <w:sz w:val="24"/>
          <w:szCs w:val="24"/>
        </w:rPr>
        <w:t>, 301– 312.</w:t>
      </w:r>
    </w:p>
    <w:p w14:paraId="600D777D" w14:textId="77777777" w:rsidR="0086587F" w:rsidRPr="00FB1507" w:rsidRDefault="0086587F" w:rsidP="00FB1507">
      <w:pPr>
        <w:pStyle w:val="NoSpacing"/>
        <w:ind w:left="720" w:hanging="720"/>
        <w:rPr>
          <w:sz w:val="24"/>
          <w:szCs w:val="24"/>
        </w:rPr>
      </w:pPr>
      <w:proofErr w:type="spellStart"/>
      <w:r w:rsidRPr="00FB1507">
        <w:rPr>
          <w:sz w:val="24"/>
          <w:szCs w:val="24"/>
        </w:rPr>
        <w:t>Berenbaum</w:t>
      </w:r>
      <w:proofErr w:type="spellEnd"/>
      <w:r w:rsidRPr="00FB1507">
        <w:rPr>
          <w:sz w:val="24"/>
          <w:szCs w:val="24"/>
        </w:rPr>
        <w:t>, M.C. (1978) A method for testing for synergy with any number of agents. </w:t>
      </w:r>
      <w:r w:rsidRPr="00FB1507">
        <w:rPr>
          <w:i/>
          <w:iCs/>
          <w:sz w:val="24"/>
          <w:szCs w:val="24"/>
        </w:rPr>
        <w:t>J Infect Dis</w:t>
      </w:r>
      <w:r w:rsidRPr="00FB1507">
        <w:rPr>
          <w:sz w:val="24"/>
          <w:szCs w:val="24"/>
        </w:rPr>
        <w:t> </w:t>
      </w:r>
      <w:r w:rsidRPr="00FB1507">
        <w:rPr>
          <w:b/>
          <w:bCs/>
          <w:sz w:val="24"/>
          <w:szCs w:val="24"/>
        </w:rPr>
        <w:t>137</w:t>
      </w:r>
      <w:r w:rsidRPr="00FB1507">
        <w:rPr>
          <w:sz w:val="24"/>
          <w:szCs w:val="24"/>
        </w:rPr>
        <w:t>, 122– 130.</w:t>
      </w:r>
    </w:p>
    <w:p w14:paraId="4D203622" w14:textId="77777777" w:rsidR="0086587F" w:rsidRPr="00FB1507" w:rsidRDefault="0086587F" w:rsidP="00FB1507">
      <w:pPr>
        <w:pStyle w:val="NoSpacing"/>
        <w:ind w:left="720" w:hanging="720"/>
        <w:rPr>
          <w:sz w:val="24"/>
          <w:szCs w:val="24"/>
        </w:rPr>
      </w:pPr>
      <w:r w:rsidRPr="00FB1507">
        <w:rPr>
          <w:sz w:val="24"/>
          <w:szCs w:val="24"/>
        </w:rPr>
        <w:t>Boswell, C.D., Hewitt, C.J. and </w:t>
      </w:r>
      <w:proofErr w:type="spellStart"/>
      <w:r w:rsidRPr="00FB1507">
        <w:rPr>
          <w:sz w:val="24"/>
          <w:szCs w:val="24"/>
        </w:rPr>
        <w:t>Macaskie</w:t>
      </w:r>
      <w:proofErr w:type="spellEnd"/>
      <w:r w:rsidRPr="00FB1507">
        <w:rPr>
          <w:sz w:val="24"/>
          <w:szCs w:val="24"/>
        </w:rPr>
        <w:t>, L.E. (1998) An application of bacterial flow cytometry: evaluation of the toxic effects of four heavy metals on </w:t>
      </w:r>
      <w:r w:rsidRPr="00FB1507">
        <w:rPr>
          <w:i/>
          <w:iCs/>
          <w:sz w:val="24"/>
          <w:szCs w:val="24"/>
        </w:rPr>
        <w:t>Acinetobacter</w:t>
      </w:r>
      <w:r w:rsidRPr="00FB1507">
        <w:rPr>
          <w:sz w:val="24"/>
          <w:szCs w:val="24"/>
        </w:rPr>
        <w:t> sp. with potential for bioremediation of contaminated wastewaters. </w:t>
      </w:r>
      <w:proofErr w:type="spellStart"/>
      <w:r w:rsidRPr="00FB1507">
        <w:rPr>
          <w:i/>
          <w:iCs/>
          <w:sz w:val="24"/>
          <w:szCs w:val="24"/>
        </w:rPr>
        <w:t>Biotechnol</w:t>
      </w:r>
      <w:proofErr w:type="spellEnd"/>
      <w:r w:rsidRPr="00FB1507">
        <w:rPr>
          <w:i/>
          <w:iCs/>
          <w:sz w:val="24"/>
          <w:szCs w:val="24"/>
        </w:rPr>
        <w:t xml:space="preserve"> Lett</w:t>
      </w:r>
      <w:r w:rsidRPr="00FB1507">
        <w:rPr>
          <w:sz w:val="24"/>
          <w:szCs w:val="24"/>
        </w:rPr>
        <w:t> </w:t>
      </w:r>
      <w:r w:rsidRPr="00FB1507">
        <w:rPr>
          <w:b/>
          <w:bCs/>
          <w:sz w:val="24"/>
          <w:szCs w:val="24"/>
        </w:rPr>
        <w:t>20</w:t>
      </w:r>
      <w:r w:rsidRPr="00FB1507">
        <w:rPr>
          <w:sz w:val="24"/>
          <w:szCs w:val="24"/>
        </w:rPr>
        <w:t>, 857– 863.</w:t>
      </w:r>
    </w:p>
    <w:p w14:paraId="3B377344" w14:textId="77777777" w:rsidR="0086587F" w:rsidRPr="00FB1507" w:rsidRDefault="0086587F" w:rsidP="00FB1507">
      <w:pPr>
        <w:pStyle w:val="NoSpacing"/>
        <w:ind w:left="720" w:hanging="720"/>
        <w:rPr>
          <w:sz w:val="24"/>
          <w:szCs w:val="24"/>
        </w:rPr>
      </w:pPr>
      <w:proofErr w:type="spellStart"/>
      <w:r w:rsidRPr="00FB1507">
        <w:rPr>
          <w:sz w:val="24"/>
          <w:szCs w:val="24"/>
        </w:rPr>
        <w:t>Bozzola</w:t>
      </w:r>
      <w:proofErr w:type="spellEnd"/>
      <w:r w:rsidRPr="00FB1507">
        <w:rPr>
          <w:sz w:val="24"/>
          <w:szCs w:val="24"/>
        </w:rPr>
        <w:t>, J.J. (2001). Electron microscopy. In </w:t>
      </w:r>
      <w:r w:rsidRPr="00FB1507">
        <w:rPr>
          <w:i/>
          <w:iCs/>
          <w:sz w:val="24"/>
          <w:szCs w:val="24"/>
        </w:rPr>
        <w:t>Encyclopedia of Life Sciences</w:t>
      </w:r>
      <w:r w:rsidRPr="00FB1507">
        <w:rPr>
          <w:sz w:val="24"/>
          <w:szCs w:val="24"/>
        </w:rPr>
        <w:t> ed. John Wiley &amp; Sons, Ltd. pp. 48– 72. Chichester, UK: John Wiley &amp; Sons, Ltd.</w:t>
      </w:r>
    </w:p>
    <w:p w14:paraId="18755E4B" w14:textId="77777777" w:rsidR="0086587F" w:rsidRPr="00FB1507" w:rsidRDefault="0086587F" w:rsidP="00FB1507">
      <w:pPr>
        <w:pStyle w:val="NoSpacing"/>
        <w:ind w:left="720" w:hanging="720"/>
        <w:rPr>
          <w:sz w:val="24"/>
          <w:szCs w:val="24"/>
        </w:rPr>
      </w:pPr>
      <w:proofErr w:type="spellStart"/>
      <w:r w:rsidRPr="00FB1507">
        <w:rPr>
          <w:sz w:val="24"/>
          <w:szCs w:val="24"/>
        </w:rPr>
        <w:t>Breeuwer</w:t>
      </w:r>
      <w:proofErr w:type="spellEnd"/>
      <w:r w:rsidRPr="00FB1507">
        <w:rPr>
          <w:sz w:val="24"/>
          <w:szCs w:val="24"/>
        </w:rPr>
        <w:t>, P. and </w:t>
      </w:r>
      <w:proofErr w:type="spellStart"/>
      <w:r w:rsidRPr="00FB1507">
        <w:rPr>
          <w:sz w:val="24"/>
          <w:szCs w:val="24"/>
        </w:rPr>
        <w:t>Abee</w:t>
      </w:r>
      <w:proofErr w:type="spellEnd"/>
      <w:r w:rsidRPr="00FB1507">
        <w:rPr>
          <w:sz w:val="24"/>
          <w:szCs w:val="24"/>
        </w:rPr>
        <w:t>, T. (2000) Assessment of viability of microorganisms employing fluorescence techniques. </w:t>
      </w:r>
      <w:r w:rsidRPr="00FB1507">
        <w:rPr>
          <w:i/>
          <w:iCs/>
          <w:sz w:val="24"/>
          <w:szCs w:val="24"/>
        </w:rPr>
        <w:t>Int J Food Microbiol</w:t>
      </w:r>
      <w:r w:rsidRPr="00FB1507">
        <w:rPr>
          <w:sz w:val="24"/>
          <w:szCs w:val="24"/>
        </w:rPr>
        <w:t> </w:t>
      </w:r>
      <w:r w:rsidRPr="00FB1507">
        <w:rPr>
          <w:b/>
          <w:bCs/>
          <w:sz w:val="24"/>
          <w:szCs w:val="24"/>
        </w:rPr>
        <w:t>55</w:t>
      </w:r>
      <w:r w:rsidRPr="00FB1507">
        <w:rPr>
          <w:sz w:val="24"/>
          <w:szCs w:val="24"/>
        </w:rPr>
        <w:t>, 193– 200.</w:t>
      </w:r>
    </w:p>
    <w:p w14:paraId="7E54F9E0" w14:textId="77777777" w:rsidR="0086587F" w:rsidRPr="00FB1507" w:rsidRDefault="0086587F" w:rsidP="00FB1507">
      <w:pPr>
        <w:pStyle w:val="NoSpacing"/>
        <w:ind w:left="720" w:hanging="720"/>
        <w:rPr>
          <w:sz w:val="24"/>
          <w:szCs w:val="24"/>
        </w:rPr>
      </w:pPr>
      <w:proofErr w:type="spellStart"/>
      <w:r w:rsidRPr="00FB1507">
        <w:rPr>
          <w:sz w:val="24"/>
          <w:szCs w:val="24"/>
        </w:rPr>
        <w:t>Breeuwer</w:t>
      </w:r>
      <w:proofErr w:type="spellEnd"/>
      <w:r w:rsidRPr="00FB1507">
        <w:rPr>
          <w:sz w:val="24"/>
          <w:szCs w:val="24"/>
        </w:rPr>
        <w:t>, P., </w:t>
      </w:r>
      <w:proofErr w:type="spellStart"/>
      <w:r w:rsidRPr="00FB1507">
        <w:rPr>
          <w:sz w:val="24"/>
          <w:szCs w:val="24"/>
        </w:rPr>
        <w:t>Drocourt</w:t>
      </w:r>
      <w:proofErr w:type="spellEnd"/>
      <w:r w:rsidRPr="00FB1507">
        <w:rPr>
          <w:sz w:val="24"/>
          <w:szCs w:val="24"/>
        </w:rPr>
        <w:t>, J., </w:t>
      </w:r>
      <w:proofErr w:type="spellStart"/>
      <w:r w:rsidRPr="00FB1507">
        <w:rPr>
          <w:sz w:val="24"/>
          <w:szCs w:val="24"/>
        </w:rPr>
        <w:t>Rombouts</w:t>
      </w:r>
      <w:proofErr w:type="spellEnd"/>
      <w:r w:rsidRPr="00FB1507">
        <w:rPr>
          <w:sz w:val="24"/>
          <w:szCs w:val="24"/>
        </w:rPr>
        <w:t>, F.M. and </w:t>
      </w:r>
      <w:proofErr w:type="spellStart"/>
      <w:r w:rsidRPr="00FB1507">
        <w:rPr>
          <w:sz w:val="24"/>
          <w:szCs w:val="24"/>
        </w:rPr>
        <w:t>Abee</w:t>
      </w:r>
      <w:proofErr w:type="spellEnd"/>
      <w:r w:rsidRPr="00FB1507">
        <w:rPr>
          <w:sz w:val="24"/>
          <w:szCs w:val="24"/>
        </w:rPr>
        <w:t>, T. (1996) A novel method for continuous determination of the intracellular pH in bacteria with the internally conjugated fluorescent probe 5 (and 6-)-</w:t>
      </w:r>
      <w:proofErr w:type="spellStart"/>
      <w:r w:rsidRPr="00FB1507">
        <w:rPr>
          <w:sz w:val="24"/>
          <w:szCs w:val="24"/>
        </w:rPr>
        <w:t>carboxyfluorescein</w:t>
      </w:r>
      <w:proofErr w:type="spellEnd"/>
      <w:r w:rsidRPr="00FB1507">
        <w:rPr>
          <w:sz w:val="24"/>
          <w:szCs w:val="24"/>
        </w:rPr>
        <w:t xml:space="preserve"> </w:t>
      </w:r>
      <w:proofErr w:type="spellStart"/>
      <w:r w:rsidRPr="00FB1507">
        <w:rPr>
          <w:sz w:val="24"/>
          <w:szCs w:val="24"/>
        </w:rPr>
        <w:t>succinimidyl</w:t>
      </w:r>
      <w:proofErr w:type="spellEnd"/>
      <w:r w:rsidRPr="00FB1507">
        <w:rPr>
          <w:sz w:val="24"/>
          <w:szCs w:val="24"/>
        </w:rPr>
        <w:t xml:space="preserve"> ester. </w:t>
      </w:r>
      <w:r w:rsidRPr="00FB1507">
        <w:rPr>
          <w:i/>
          <w:iCs/>
          <w:sz w:val="24"/>
          <w:szCs w:val="24"/>
        </w:rPr>
        <w:t>Appl Environ Microbiol</w:t>
      </w:r>
      <w:r w:rsidRPr="00FB1507">
        <w:rPr>
          <w:sz w:val="24"/>
          <w:szCs w:val="24"/>
        </w:rPr>
        <w:t> </w:t>
      </w:r>
      <w:r w:rsidRPr="00FB1507">
        <w:rPr>
          <w:b/>
          <w:bCs/>
          <w:sz w:val="24"/>
          <w:szCs w:val="24"/>
        </w:rPr>
        <w:t>62</w:t>
      </w:r>
      <w:r w:rsidRPr="00FB1507">
        <w:rPr>
          <w:sz w:val="24"/>
          <w:szCs w:val="24"/>
        </w:rPr>
        <w:t>, 178– 183.</w:t>
      </w:r>
    </w:p>
    <w:p w14:paraId="15688CD0" w14:textId="77777777" w:rsidR="0086587F" w:rsidRPr="00FB1507" w:rsidRDefault="0086587F" w:rsidP="00FB1507">
      <w:pPr>
        <w:pStyle w:val="NoSpacing"/>
        <w:ind w:left="720" w:hanging="720"/>
        <w:rPr>
          <w:sz w:val="24"/>
          <w:szCs w:val="24"/>
        </w:rPr>
      </w:pPr>
      <w:proofErr w:type="spellStart"/>
      <w:r w:rsidRPr="00FB1507">
        <w:rPr>
          <w:sz w:val="24"/>
          <w:szCs w:val="24"/>
        </w:rPr>
        <w:t>Budde</w:t>
      </w:r>
      <w:proofErr w:type="spellEnd"/>
      <w:r w:rsidRPr="00FB1507">
        <w:rPr>
          <w:sz w:val="24"/>
          <w:szCs w:val="24"/>
        </w:rPr>
        <w:t>, B.B. and Jakobsen, M. (2000) Real-time measurements of the interaction between single cells of </w:t>
      </w:r>
      <w:r w:rsidRPr="00FB1507">
        <w:rPr>
          <w:i/>
          <w:iCs/>
          <w:sz w:val="24"/>
          <w:szCs w:val="24"/>
        </w:rPr>
        <w:t>Listeria monocytogenes</w:t>
      </w:r>
      <w:r w:rsidRPr="00FB1507">
        <w:rPr>
          <w:sz w:val="24"/>
          <w:szCs w:val="24"/>
        </w:rPr>
        <w:t> and nisin on a solid surface. </w:t>
      </w:r>
      <w:r w:rsidRPr="00FB1507">
        <w:rPr>
          <w:i/>
          <w:iCs/>
          <w:sz w:val="24"/>
          <w:szCs w:val="24"/>
        </w:rPr>
        <w:t>Appl Environ Microbiol</w:t>
      </w:r>
      <w:r w:rsidRPr="00FB1507">
        <w:rPr>
          <w:sz w:val="24"/>
          <w:szCs w:val="24"/>
        </w:rPr>
        <w:t> </w:t>
      </w:r>
      <w:r w:rsidRPr="00FB1507">
        <w:rPr>
          <w:b/>
          <w:bCs/>
          <w:sz w:val="24"/>
          <w:szCs w:val="24"/>
        </w:rPr>
        <w:t>66</w:t>
      </w:r>
      <w:r w:rsidRPr="00FB1507">
        <w:rPr>
          <w:sz w:val="24"/>
          <w:szCs w:val="24"/>
        </w:rPr>
        <w:t>, 3586– 3591.</w:t>
      </w:r>
    </w:p>
    <w:p w14:paraId="707E954F" w14:textId="77777777" w:rsidR="0086587F" w:rsidRPr="00FB1507" w:rsidRDefault="0086587F" w:rsidP="00FB1507">
      <w:pPr>
        <w:pStyle w:val="NoSpacing"/>
        <w:ind w:left="720" w:hanging="720"/>
        <w:rPr>
          <w:sz w:val="24"/>
          <w:szCs w:val="24"/>
        </w:rPr>
      </w:pPr>
      <w:r w:rsidRPr="00FB1507">
        <w:rPr>
          <w:sz w:val="24"/>
          <w:szCs w:val="24"/>
        </w:rPr>
        <w:t>Butkus, M.A., Hughes, K.T., Bowman, D.D., Liotta, J.L., Jenkins, M.B. and </w:t>
      </w:r>
      <w:proofErr w:type="spellStart"/>
      <w:r w:rsidRPr="00FB1507">
        <w:rPr>
          <w:sz w:val="24"/>
          <w:szCs w:val="24"/>
        </w:rPr>
        <w:t>Labare</w:t>
      </w:r>
      <w:proofErr w:type="spellEnd"/>
      <w:r w:rsidRPr="00FB1507">
        <w:rPr>
          <w:sz w:val="24"/>
          <w:szCs w:val="24"/>
        </w:rPr>
        <w:t>, M.P. (2011) Inactivation of </w:t>
      </w:r>
      <w:r w:rsidRPr="00FB1507">
        <w:rPr>
          <w:i/>
          <w:iCs/>
          <w:sz w:val="24"/>
          <w:szCs w:val="24"/>
        </w:rPr>
        <w:t xml:space="preserve">Ascaris </w:t>
      </w:r>
      <w:proofErr w:type="spellStart"/>
      <w:r w:rsidRPr="00FB1507">
        <w:rPr>
          <w:i/>
          <w:iCs/>
          <w:sz w:val="24"/>
          <w:szCs w:val="24"/>
        </w:rPr>
        <w:t>suum</w:t>
      </w:r>
      <w:proofErr w:type="spellEnd"/>
      <w:r w:rsidRPr="00FB1507">
        <w:rPr>
          <w:sz w:val="24"/>
          <w:szCs w:val="24"/>
        </w:rPr>
        <w:t> by short-chain fatty acids. </w:t>
      </w:r>
      <w:r w:rsidRPr="00FB1507">
        <w:rPr>
          <w:i/>
          <w:iCs/>
          <w:sz w:val="24"/>
          <w:szCs w:val="24"/>
        </w:rPr>
        <w:t>Appl Environ Microbiol</w:t>
      </w:r>
      <w:r w:rsidRPr="00FB1507">
        <w:rPr>
          <w:sz w:val="24"/>
          <w:szCs w:val="24"/>
        </w:rPr>
        <w:t> </w:t>
      </w:r>
      <w:r w:rsidRPr="00FB1507">
        <w:rPr>
          <w:b/>
          <w:bCs/>
          <w:sz w:val="24"/>
          <w:szCs w:val="24"/>
        </w:rPr>
        <w:t>77</w:t>
      </w:r>
      <w:r w:rsidRPr="00FB1507">
        <w:rPr>
          <w:sz w:val="24"/>
          <w:szCs w:val="24"/>
        </w:rPr>
        <w:t>, 363– 366.</w:t>
      </w:r>
    </w:p>
    <w:p w14:paraId="148B542F" w14:textId="77777777" w:rsidR="0086587F" w:rsidRPr="00FB1507" w:rsidRDefault="0086587F" w:rsidP="00FB1507">
      <w:pPr>
        <w:pStyle w:val="NoSpacing"/>
        <w:ind w:left="720" w:hanging="720"/>
        <w:rPr>
          <w:sz w:val="24"/>
          <w:szCs w:val="24"/>
        </w:rPr>
      </w:pPr>
      <w:r w:rsidRPr="00FB1507">
        <w:rPr>
          <w:sz w:val="24"/>
          <w:szCs w:val="24"/>
        </w:rPr>
        <w:t xml:space="preserve">Carson, </w:t>
      </w:r>
      <w:proofErr w:type="gramStart"/>
      <w:r w:rsidRPr="00FB1507">
        <w:rPr>
          <w:sz w:val="24"/>
          <w:szCs w:val="24"/>
        </w:rPr>
        <w:t>C.F.</w:t>
      </w:r>
      <w:proofErr w:type="gramEnd"/>
      <w:r w:rsidRPr="00FB1507">
        <w:rPr>
          <w:sz w:val="24"/>
          <w:szCs w:val="24"/>
        </w:rPr>
        <w:t> and Riley, T.V. (1995) Antimicrobial activity of the major components of the essential oil of </w:t>
      </w:r>
      <w:r w:rsidRPr="00FB1507">
        <w:rPr>
          <w:i/>
          <w:iCs/>
          <w:sz w:val="24"/>
          <w:szCs w:val="24"/>
        </w:rPr>
        <w:t>Melaleuca alternifolia</w:t>
      </w:r>
      <w:r w:rsidRPr="00FB1507">
        <w:rPr>
          <w:sz w:val="24"/>
          <w:szCs w:val="24"/>
        </w:rPr>
        <w:t>. </w:t>
      </w:r>
      <w:r w:rsidRPr="00FB1507">
        <w:rPr>
          <w:i/>
          <w:iCs/>
          <w:sz w:val="24"/>
          <w:szCs w:val="24"/>
        </w:rPr>
        <w:t xml:space="preserve">J Appl </w:t>
      </w:r>
      <w:proofErr w:type="spellStart"/>
      <w:r w:rsidRPr="00FB1507">
        <w:rPr>
          <w:i/>
          <w:iCs/>
          <w:sz w:val="24"/>
          <w:szCs w:val="24"/>
        </w:rPr>
        <w:t>Bacteriol</w:t>
      </w:r>
      <w:proofErr w:type="spellEnd"/>
      <w:r w:rsidRPr="00FB1507">
        <w:rPr>
          <w:sz w:val="24"/>
          <w:szCs w:val="24"/>
        </w:rPr>
        <w:t> </w:t>
      </w:r>
      <w:r w:rsidRPr="00FB1507">
        <w:rPr>
          <w:b/>
          <w:bCs/>
          <w:sz w:val="24"/>
          <w:szCs w:val="24"/>
        </w:rPr>
        <w:t>78</w:t>
      </w:r>
      <w:r w:rsidRPr="00FB1507">
        <w:rPr>
          <w:sz w:val="24"/>
          <w:szCs w:val="24"/>
        </w:rPr>
        <w:t>, 264– 269.</w:t>
      </w:r>
    </w:p>
    <w:p w14:paraId="0B078018" w14:textId="77777777" w:rsidR="0086587F" w:rsidRPr="00FB1507" w:rsidRDefault="0086587F" w:rsidP="00FB1507">
      <w:pPr>
        <w:pStyle w:val="NoSpacing"/>
        <w:ind w:left="720" w:hanging="720"/>
        <w:rPr>
          <w:sz w:val="24"/>
          <w:szCs w:val="24"/>
        </w:rPr>
      </w:pPr>
      <w:r w:rsidRPr="00FB1507">
        <w:rPr>
          <w:sz w:val="24"/>
          <w:szCs w:val="24"/>
        </w:rPr>
        <w:t>Cheng, C., Yang, Y., Dong, Z., Wang, X., Fang, C., Yang, M., Sun, J., Xiao, L. </w:t>
      </w:r>
      <w:r w:rsidRPr="00FB1507">
        <w:rPr>
          <w:i/>
          <w:iCs/>
          <w:sz w:val="24"/>
          <w:szCs w:val="24"/>
        </w:rPr>
        <w:t>et al</w:t>
      </w:r>
      <w:r w:rsidRPr="00FB1507">
        <w:rPr>
          <w:sz w:val="24"/>
          <w:szCs w:val="24"/>
        </w:rPr>
        <w:t>. (2015) </w:t>
      </w:r>
      <w:r w:rsidRPr="00FB1507">
        <w:rPr>
          <w:i/>
          <w:iCs/>
          <w:sz w:val="24"/>
          <w:szCs w:val="24"/>
        </w:rPr>
        <w:t>Listeria monocytogenes</w:t>
      </w:r>
      <w:r w:rsidRPr="00FB1507">
        <w:rPr>
          <w:sz w:val="24"/>
          <w:szCs w:val="24"/>
        </w:rPr>
        <w:t> varies among strains to maintain intracellular pH homeostasis under stresses by different acids as analyzed by a high-throughput microplate-based fluorometry. </w:t>
      </w:r>
      <w:r w:rsidRPr="00FB1507">
        <w:rPr>
          <w:i/>
          <w:iCs/>
          <w:sz w:val="24"/>
          <w:szCs w:val="24"/>
        </w:rPr>
        <w:t>Front Microbiol</w:t>
      </w:r>
      <w:r w:rsidRPr="00FB1507">
        <w:rPr>
          <w:sz w:val="24"/>
          <w:szCs w:val="24"/>
        </w:rPr>
        <w:t> </w:t>
      </w:r>
      <w:r w:rsidRPr="00FB1507">
        <w:rPr>
          <w:b/>
          <w:bCs/>
          <w:sz w:val="24"/>
          <w:szCs w:val="24"/>
        </w:rPr>
        <w:t>6</w:t>
      </w:r>
      <w:r w:rsidRPr="00FB1507">
        <w:rPr>
          <w:sz w:val="24"/>
          <w:szCs w:val="24"/>
        </w:rPr>
        <w:t>, 15.</w:t>
      </w:r>
    </w:p>
    <w:p w14:paraId="0FB3B46E" w14:textId="77777777" w:rsidR="0086587F" w:rsidRPr="00FB1507" w:rsidRDefault="0086587F" w:rsidP="00FB1507">
      <w:pPr>
        <w:pStyle w:val="NoSpacing"/>
        <w:ind w:left="720" w:hanging="720"/>
        <w:rPr>
          <w:sz w:val="24"/>
          <w:szCs w:val="24"/>
        </w:rPr>
      </w:pPr>
      <w:r w:rsidRPr="00FB1507">
        <w:rPr>
          <w:sz w:val="24"/>
          <w:szCs w:val="24"/>
        </w:rPr>
        <w:t>Coronel-León, J., López, A., </w:t>
      </w:r>
      <w:proofErr w:type="spellStart"/>
      <w:r w:rsidRPr="00FB1507">
        <w:rPr>
          <w:sz w:val="24"/>
          <w:szCs w:val="24"/>
        </w:rPr>
        <w:t>Espuny</w:t>
      </w:r>
      <w:proofErr w:type="spellEnd"/>
      <w:r w:rsidRPr="00FB1507">
        <w:rPr>
          <w:sz w:val="24"/>
          <w:szCs w:val="24"/>
        </w:rPr>
        <w:t>, M.J., Beltran, M.T., </w:t>
      </w:r>
      <w:proofErr w:type="spellStart"/>
      <w:r w:rsidRPr="00FB1507">
        <w:rPr>
          <w:sz w:val="24"/>
          <w:szCs w:val="24"/>
        </w:rPr>
        <w:t>Molinos</w:t>
      </w:r>
      <w:proofErr w:type="spellEnd"/>
      <w:r w:rsidRPr="00FB1507">
        <w:rPr>
          <w:sz w:val="24"/>
          <w:szCs w:val="24"/>
        </w:rPr>
        <w:t>-Gómez, A., </w:t>
      </w:r>
      <w:proofErr w:type="spellStart"/>
      <w:r w:rsidRPr="00FB1507">
        <w:rPr>
          <w:sz w:val="24"/>
          <w:szCs w:val="24"/>
        </w:rPr>
        <w:t>Rocabayera</w:t>
      </w:r>
      <w:proofErr w:type="spellEnd"/>
      <w:r w:rsidRPr="00FB1507">
        <w:rPr>
          <w:sz w:val="24"/>
          <w:szCs w:val="24"/>
        </w:rPr>
        <w:t>, X. and Manresa, A. (2016) Assessment of antimicrobial activity of N</w:t>
      </w:r>
      <w:r w:rsidRPr="00FB1507">
        <w:rPr>
          <w:i/>
          <w:iCs/>
          <w:sz w:val="24"/>
          <w:szCs w:val="24"/>
        </w:rPr>
        <w:t>α</w:t>
      </w:r>
      <w:r w:rsidRPr="00FB1507">
        <w:rPr>
          <w:sz w:val="24"/>
          <w:szCs w:val="24"/>
        </w:rPr>
        <w:t> -</w:t>
      </w:r>
      <w:proofErr w:type="spellStart"/>
      <w:r w:rsidRPr="00FB1507">
        <w:rPr>
          <w:sz w:val="24"/>
          <w:szCs w:val="24"/>
        </w:rPr>
        <w:t>lauroyl</w:t>
      </w:r>
      <w:proofErr w:type="spellEnd"/>
      <w:r w:rsidRPr="00FB1507">
        <w:rPr>
          <w:sz w:val="24"/>
          <w:szCs w:val="24"/>
        </w:rPr>
        <w:t xml:space="preserve"> </w:t>
      </w:r>
      <w:proofErr w:type="spellStart"/>
      <w:r w:rsidRPr="00FB1507">
        <w:rPr>
          <w:sz w:val="24"/>
          <w:szCs w:val="24"/>
        </w:rPr>
        <w:t>arginate</w:t>
      </w:r>
      <w:proofErr w:type="spellEnd"/>
      <w:r w:rsidRPr="00FB1507">
        <w:rPr>
          <w:sz w:val="24"/>
          <w:szCs w:val="24"/>
        </w:rPr>
        <w:t xml:space="preserve"> </w:t>
      </w:r>
      <w:proofErr w:type="spellStart"/>
      <w:r w:rsidRPr="00FB1507">
        <w:rPr>
          <w:sz w:val="24"/>
          <w:szCs w:val="24"/>
        </w:rPr>
        <w:t>ethylester</w:t>
      </w:r>
      <w:proofErr w:type="spellEnd"/>
      <w:r w:rsidRPr="00FB1507">
        <w:rPr>
          <w:sz w:val="24"/>
          <w:szCs w:val="24"/>
        </w:rPr>
        <w:t xml:space="preserve"> (LAE</w:t>
      </w:r>
      <w:r w:rsidRPr="00FB1507">
        <w:rPr>
          <w:sz w:val="24"/>
          <w:szCs w:val="24"/>
          <w:vertAlign w:val="superscript"/>
        </w:rPr>
        <w:t>®</w:t>
      </w:r>
      <w:r w:rsidRPr="00FB1507">
        <w:rPr>
          <w:sz w:val="24"/>
          <w:szCs w:val="24"/>
        </w:rPr>
        <w:t>) against </w:t>
      </w:r>
      <w:r w:rsidRPr="00FB1507">
        <w:rPr>
          <w:i/>
          <w:iCs/>
          <w:sz w:val="24"/>
          <w:szCs w:val="24"/>
        </w:rPr>
        <w:t>Yersinia enterocolitica</w:t>
      </w:r>
      <w:r w:rsidRPr="00FB1507">
        <w:rPr>
          <w:sz w:val="24"/>
          <w:szCs w:val="24"/>
        </w:rPr>
        <w:t> and </w:t>
      </w:r>
      <w:r w:rsidRPr="00FB1507">
        <w:rPr>
          <w:i/>
          <w:iCs/>
          <w:sz w:val="24"/>
          <w:szCs w:val="24"/>
        </w:rPr>
        <w:t>Lactobacillus plantarum</w:t>
      </w:r>
      <w:r w:rsidRPr="00FB1507">
        <w:rPr>
          <w:sz w:val="24"/>
          <w:szCs w:val="24"/>
        </w:rPr>
        <w:t> by flow cytometry and transmission electron microscopy. </w:t>
      </w:r>
      <w:r w:rsidRPr="00FB1507">
        <w:rPr>
          <w:i/>
          <w:iCs/>
          <w:sz w:val="24"/>
          <w:szCs w:val="24"/>
        </w:rPr>
        <w:t>Food Control</w:t>
      </w:r>
      <w:r w:rsidRPr="00FB1507">
        <w:rPr>
          <w:sz w:val="24"/>
          <w:szCs w:val="24"/>
        </w:rPr>
        <w:t> </w:t>
      </w:r>
      <w:r w:rsidRPr="00FB1507">
        <w:rPr>
          <w:b/>
          <w:bCs/>
          <w:sz w:val="24"/>
          <w:szCs w:val="24"/>
        </w:rPr>
        <w:t>63</w:t>
      </w:r>
      <w:r w:rsidRPr="00FB1507">
        <w:rPr>
          <w:sz w:val="24"/>
          <w:szCs w:val="24"/>
        </w:rPr>
        <w:t>, 1– 10.</w:t>
      </w:r>
    </w:p>
    <w:p w14:paraId="18CFFD48" w14:textId="77777777" w:rsidR="0086587F" w:rsidRPr="00FB1507" w:rsidRDefault="0086587F" w:rsidP="00FB1507">
      <w:pPr>
        <w:pStyle w:val="NoSpacing"/>
        <w:ind w:left="720" w:hanging="720"/>
        <w:rPr>
          <w:sz w:val="24"/>
          <w:szCs w:val="24"/>
        </w:rPr>
      </w:pPr>
      <w:r w:rsidRPr="00FB1507">
        <w:rPr>
          <w:sz w:val="24"/>
          <w:szCs w:val="24"/>
        </w:rPr>
        <w:t>Couto, N., Monchique, C., </w:t>
      </w:r>
      <w:proofErr w:type="spellStart"/>
      <w:r w:rsidRPr="00FB1507">
        <w:rPr>
          <w:sz w:val="24"/>
          <w:szCs w:val="24"/>
        </w:rPr>
        <w:t>Belas</w:t>
      </w:r>
      <w:proofErr w:type="spellEnd"/>
      <w:r w:rsidRPr="00FB1507">
        <w:rPr>
          <w:sz w:val="24"/>
          <w:szCs w:val="24"/>
        </w:rPr>
        <w:t>, A., Marques, C., Gama, L.T. and </w:t>
      </w:r>
      <w:proofErr w:type="spellStart"/>
      <w:r w:rsidRPr="00FB1507">
        <w:rPr>
          <w:sz w:val="24"/>
          <w:szCs w:val="24"/>
        </w:rPr>
        <w:t>Pomba</w:t>
      </w:r>
      <w:proofErr w:type="spellEnd"/>
      <w:r w:rsidRPr="00FB1507">
        <w:rPr>
          <w:sz w:val="24"/>
          <w:szCs w:val="24"/>
        </w:rPr>
        <w:t xml:space="preserve">, C. (2016) Trends and molecular mechanisms of antimicrobial resistance in clinical staphylococci isolated from companion animals over a </w:t>
      </w:r>
      <w:proofErr w:type="gramStart"/>
      <w:r w:rsidRPr="00FB1507">
        <w:rPr>
          <w:sz w:val="24"/>
          <w:szCs w:val="24"/>
        </w:rPr>
        <w:t>16 year</w:t>
      </w:r>
      <w:proofErr w:type="gramEnd"/>
      <w:r w:rsidRPr="00FB1507">
        <w:rPr>
          <w:sz w:val="24"/>
          <w:szCs w:val="24"/>
        </w:rPr>
        <w:t xml:space="preserve"> period. </w:t>
      </w:r>
      <w:r w:rsidRPr="00FB1507">
        <w:rPr>
          <w:i/>
          <w:iCs/>
          <w:sz w:val="24"/>
          <w:szCs w:val="24"/>
        </w:rPr>
        <w:t xml:space="preserve">J </w:t>
      </w:r>
      <w:proofErr w:type="spellStart"/>
      <w:r w:rsidRPr="00FB1507">
        <w:rPr>
          <w:i/>
          <w:iCs/>
          <w:sz w:val="24"/>
          <w:szCs w:val="24"/>
        </w:rPr>
        <w:t>Antimicrob</w:t>
      </w:r>
      <w:proofErr w:type="spellEnd"/>
      <w:r w:rsidRPr="00FB1507">
        <w:rPr>
          <w:i/>
          <w:iCs/>
          <w:sz w:val="24"/>
          <w:szCs w:val="24"/>
        </w:rPr>
        <w:t xml:space="preserve"> Chemother</w:t>
      </w:r>
      <w:r w:rsidRPr="00FB1507">
        <w:rPr>
          <w:sz w:val="24"/>
          <w:szCs w:val="24"/>
        </w:rPr>
        <w:t> </w:t>
      </w:r>
      <w:r w:rsidRPr="00FB1507">
        <w:rPr>
          <w:b/>
          <w:bCs/>
          <w:sz w:val="24"/>
          <w:szCs w:val="24"/>
        </w:rPr>
        <w:t>71</w:t>
      </w:r>
      <w:r w:rsidRPr="00FB1507">
        <w:rPr>
          <w:sz w:val="24"/>
          <w:szCs w:val="24"/>
        </w:rPr>
        <w:t>, 1479– 1487.</w:t>
      </w:r>
    </w:p>
    <w:p w14:paraId="3B6EE53B" w14:textId="77777777" w:rsidR="0086587F" w:rsidRPr="00FB1507" w:rsidRDefault="0086587F" w:rsidP="00FB1507">
      <w:pPr>
        <w:pStyle w:val="NoSpacing"/>
        <w:ind w:left="720" w:hanging="720"/>
        <w:rPr>
          <w:sz w:val="24"/>
          <w:szCs w:val="24"/>
        </w:rPr>
      </w:pPr>
      <w:proofErr w:type="spellStart"/>
      <w:r w:rsidRPr="00FB1507">
        <w:rPr>
          <w:sz w:val="24"/>
          <w:szCs w:val="24"/>
        </w:rPr>
        <w:t>Desbois</w:t>
      </w:r>
      <w:proofErr w:type="spellEnd"/>
      <w:r w:rsidRPr="00FB1507">
        <w:rPr>
          <w:sz w:val="24"/>
          <w:szCs w:val="24"/>
        </w:rPr>
        <w:t>, A.P. and Smith, V.J. (2010) Antibacterial free fatty acids: activities, mechanisms of action and biotechnological potential. </w:t>
      </w:r>
      <w:r w:rsidRPr="00FB1507">
        <w:rPr>
          <w:i/>
          <w:iCs/>
          <w:sz w:val="24"/>
          <w:szCs w:val="24"/>
        </w:rPr>
        <w:t xml:space="preserve">Appl Microbiol </w:t>
      </w:r>
      <w:proofErr w:type="spellStart"/>
      <w:r w:rsidRPr="00FB1507">
        <w:rPr>
          <w:i/>
          <w:iCs/>
          <w:sz w:val="24"/>
          <w:szCs w:val="24"/>
        </w:rPr>
        <w:t>Biotechnol</w:t>
      </w:r>
      <w:proofErr w:type="spellEnd"/>
      <w:r w:rsidRPr="00FB1507">
        <w:rPr>
          <w:sz w:val="24"/>
          <w:szCs w:val="24"/>
        </w:rPr>
        <w:t> </w:t>
      </w:r>
      <w:r w:rsidRPr="00FB1507">
        <w:rPr>
          <w:b/>
          <w:bCs/>
          <w:sz w:val="24"/>
          <w:szCs w:val="24"/>
        </w:rPr>
        <w:t>85</w:t>
      </w:r>
      <w:r w:rsidRPr="00FB1507">
        <w:rPr>
          <w:sz w:val="24"/>
          <w:szCs w:val="24"/>
        </w:rPr>
        <w:t>, 1629– 1642.</w:t>
      </w:r>
    </w:p>
    <w:p w14:paraId="0DE2EECC" w14:textId="77777777" w:rsidR="0086587F" w:rsidRPr="00FB1507" w:rsidRDefault="0086587F" w:rsidP="00FB1507">
      <w:pPr>
        <w:pStyle w:val="NoSpacing"/>
        <w:ind w:left="720" w:hanging="720"/>
        <w:rPr>
          <w:sz w:val="24"/>
          <w:szCs w:val="24"/>
        </w:rPr>
      </w:pPr>
      <w:r w:rsidRPr="00FB1507">
        <w:rPr>
          <w:sz w:val="24"/>
          <w:szCs w:val="24"/>
        </w:rPr>
        <w:t>Dickson, J.S. and </w:t>
      </w:r>
      <w:proofErr w:type="spellStart"/>
      <w:r w:rsidRPr="00FB1507">
        <w:rPr>
          <w:sz w:val="24"/>
          <w:szCs w:val="24"/>
        </w:rPr>
        <w:t>Koohmaraie</w:t>
      </w:r>
      <w:proofErr w:type="spellEnd"/>
      <w:r w:rsidRPr="00FB1507">
        <w:rPr>
          <w:sz w:val="24"/>
          <w:szCs w:val="24"/>
        </w:rPr>
        <w:t>, M. (1989) Cell surface charge characteristics and their relationship to bacterial attachment to meat surfaces. </w:t>
      </w:r>
      <w:r w:rsidRPr="00FB1507">
        <w:rPr>
          <w:i/>
          <w:iCs/>
          <w:sz w:val="24"/>
          <w:szCs w:val="24"/>
        </w:rPr>
        <w:t>Appl Environ Microbiol</w:t>
      </w:r>
      <w:r w:rsidRPr="00FB1507">
        <w:rPr>
          <w:sz w:val="24"/>
          <w:szCs w:val="24"/>
        </w:rPr>
        <w:t> </w:t>
      </w:r>
      <w:r w:rsidRPr="00FB1507">
        <w:rPr>
          <w:b/>
          <w:bCs/>
          <w:sz w:val="24"/>
          <w:szCs w:val="24"/>
        </w:rPr>
        <w:t>55</w:t>
      </w:r>
      <w:r w:rsidRPr="00FB1507">
        <w:rPr>
          <w:sz w:val="24"/>
          <w:szCs w:val="24"/>
        </w:rPr>
        <w:t>, 832– 836.</w:t>
      </w:r>
    </w:p>
    <w:p w14:paraId="67588E0B" w14:textId="77777777" w:rsidR="0086587F" w:rsidRPr="00FB1507" w:rsidRDefault="0086587F" w:rsidP="00FB1507">
      <w:pPr>
        <w:pStyle w:val="NoSpacing"/>
        <w:ind w:left="720" w:hanging="720"/>
        <w:rPr>
          <w:sz w:val="24"/>
          <w:szCs w:val="24"/>
        </w:rPr>
      </w:pPr>
      <w:proofErr w:type="spellStart"/>
      <w:r w:rsidRPr="00FB1507">
        <w:rPr>
          <w:sz w:val="24"/>
          <w:szCs w:val="24"/>
        </w:rPr>
        <w:t>Dijkshoorn</w:t>
      </w:r>
      <w:proofErr w:type="spellEnd"/>
      <w:r w:rsidRPr="00FB1507">
        <w:rPr>
          <w:sz w:val="24"/>
          <w:szCs w:val="24"/>
        </w:rPr>
        <w:t>, L., </w:t>
      </w:r>
      <w:proofErr w:type="spellStart"/>
      <w:r w:rsidRPr="00FB1507">
        <w:rPr>
          <w:sz w:val="24"/>
          <w:szCs w:val="24"/>
        </w:rPr>
        <w:t>Nemec</w:t>
      </w:r>
      <w:proofErr w:type="spellEnd"/>
      <w:r w:rsidRPr="00FB1507">
        <w:rPr>
          <w:sz w:val="24"/>
          <w:szCs w:val="24"/>
        </w:rPr>
        <w:t>, A. and Seifert, H. (2007) An increasing threat in hospitals: multidrug-resistant </w:t>
      </w:r>
      <w:r w:rsidRPr="00FB1507">
        <w:rPr>
          <w:i/>
          <w:iCs/>
          <w:sz w:val="24"/>
          <w:szCs w:val="24"/>
        </w:rPr>
        <w:t xml:space="preserve">Acinetobacter </w:t>
      </w:r>
      <w:proofErr w:type="spellStart"/>
      <w:r w:rsidRPr="00FB1507">
        <w:rPr>
          <w:i/>
          <w:iCs/>
          <w:sz w:val="24"/>
          <w:szCs w:val="24"/>
        </w:rPr>
        <w:t>baumannii</w:t>
      </w:r>
      <w:proofErr w:type="spellEnd"/>
      <w:r w:rsidRPr="00FB1507">
        <w:rPr>
          <w:sz w:val="24"/>
          <w:szCs w:val="24"/>
        </w:rPr>
        <w:t>. </w:t>
      </w:r>
      <w:r w:rsidRPr="00FB1507">
        <w:rPr>
          <w:i/>
          <w:iCs/>
          <w:sz w:val="24"/>
          <w:szCs w:val="24"/>
        </w:rPr>
        <w:t>Nat Rev Microbiol</w:t>
      </w:r>
      <w:r w:rsidRPr="00FB1507">
        <w:rPr>
          <w:sz w:val="24"/>
          <w:szCs w:val="24"/>
        </w:rPr>
        <w:t> </w:t>
      </w:r>
      <w:r w:rsidRPr="00FB1507">
        <w:rPr>
          <w:b/>
          <w:bCs/>
          <w:sz w:val="24"/>
          <w:szCs w:val="24"/>
        </w:rPr>
        <w:t>5</w:t>
      </w:r>
      <w:r w:rsidRPr="00FB1507">
        <w:rPr>
          <w:sz w:val="24"/>
          <w:szCs w:val="24"/>
        </w:rPr>
        <w:t>, 939– 951.</w:t>
      </w:r>
    </w:p>
    <w:p w14:paraId="118557EE" w14:textId="77777777" w:rsidR="0086587F" w:rsidRPr="00FB1507" w:rsidRDefault="0086587F" w:rsidP="00FB1507">
      <w:pPr>
        <w:pStyle w:val="NoSpacing"/>
        <w:ind w:left="720" w:hanging="720"/>
        <w:rPr>
          <w:sz w:val="24"/>
          <w:szCs w:val="24"/>
        </w:rPr>
      </w:pPr>
      <w:proofErr w:type="spellStart"/>
      <w:r w:rsidRPr="00FB1507">
        <w:rPr>
          <w:sz w:val="24"/>
          <w:szCs w:val="24"/>
        </w:rPr>
        <w:t>Feldlaufer</w:t>
      </w:r>
      <w:proofErr w:type="spellEnd"/>
      <w:r w:rsidRPr="00FB1507">
        <w:rPr>
          <w:sz w:val="24"/>
          <w:szCs w:val="24"/>
        </w:rPr>
        <w:t>, M.F., Knox, D.A., Lusby, W.R. and </w:t>
      </w:r>
      <w:proofErr w:type="spellStart"/>
      <w:r w:rsidRPr="00FB1507">
        <w:rPr>
          <w:sz w:val="24"/>
          <w:szCs w:val="24"/>
        </w:rPr>
        <w:t>Shimanuki</w:t>
      </w:r>
      <w:proofErr w:type="spellEnd"/>
      <w:r w:rsidRPr="00FB1507">
        <w:rPr>
          <w:sz w:val="24"/>
          <w:szCs w:val="24"/>
        </w:rPr>
        <w:t>, H. (1993) Antimicrobial activity of fatty acids against </w:t>
      </w:r>
      <w:r w:rsidRPr="00FB1507">
        <w:rPr>
          <w:i/>
          <w:iCs/>
          <w:sz w:val="24"/>
          <w:szCs w:val="24"/>
        </w:rPr>
        <w:t>Bacillus</w:t>
      </w:r>
      <w:r w:rsidRPr="00FB1507">
        <w:rPr>
          <w:sz w:val="24"/>
          <w:szCs w:val="24"/>
        </w:rPr>
        <w:t> larvae, the causative agent of American foulbrood disease. </w:t>
      </w:r>
      <w:proofErr w:type="spellStart"/>
      <w:r w:rsidRPr="00FB1507">
        <w:rPr>
          <w:i/>
          <w:iCs/>
          <w:sz w:val="24"/>
          <w:szCs w:val="24"/>
        </w:rPr>
        <w:t>Apidologie</w:t>
      </w:r>
      <w:proofErr w:type="spellEnd"/>
      <w:r w:rsidRPr="00FB1507">
        <w:rPr>
          <w:sz w:val="24"/>
          <w:szCs w:val="24"/>
        </w:rPr>
        <w:t> </w:t>
      </w:r>
      <w:r w:rsidRPr="00FB1507">
        <w:rPr>
          <w:b/>
          <w:bCs/>
          <w:sz w:val="24"/>
          <w:szCs w:val="24"/>
        </w:rPr>
        <w:t>24</w:t>
      </w:r>
      <w:r w:rsidRPr="00FB1507">
        <w:rPr>
          <w:sz w:val="24"/>
          <w:szCs w:val="24"/>
        </w:rPr>
        <w:t>, 95– 99.</w:t>
      </w:r>
    </w:p>
    <w:p w14:paraId="45B09E88" w14:textId="77777777" w:rsidR="0086587F" w:rsidRPr="00FB1507" w:rsidRDefault="0086587F" w:rsidP="00FB1507">
      <w:pPr>
        <w:pStyle w:val="NoSpacing"/>
        <w:ind w:left="720" w:hanging="720"/>
        <w:rPr>
          <w:sz w:val="24"/>
          <w:szCs w:val="24"/>
        </w:rPr>
      </w:pPr>
      <w:r w:rsidRPr="00FB1507">
        <w:rPr>
          <w:sz w:val="24"/>
          <w:szCs w:val="24"/>
        </w:rPr>
        <w:t>Food and Drug Administration. Code of Federal Regulations. Chapter 21. 582.60.</w:t>
      </w:r>
    </w:p>
    <w:p w14:paraId="638D3BF0" w14:textId="77777777" w:rsidR="0086587F" w:rsidRPr="00FB1507" w:rsidRDefault="0086587F" w:rsidP="00FB1507">
      <w:pPr>
        <w:pStyle w:val="NoSpacing"/>
        <w:ind w:left="720" w:hanging="720"/>
        <w:rPr>
          <w:sz w:val="24"/>
          <w:szCs w:val="24"/>
        </w:rPr>
      </w:pPr>
      <w:r w:rsidRPr="00FB1507">
        <w:rPr>
          <w:sz w:val="24"/>
          <w:szCs w:val="24"/>
        </w:rPr>
        <w:t xml:space="preserve">Galbraith, H., Miller, T.B., Paton, </w:t>
      </w:r>
      <w:proofErr w:type="gramStart"/>
      <w:r w:rsidRPr="00FB1507">
        <w:rPr>
          <w:sz w:val="24"/>
          <w:szCs w:val="24"/>
        </w:rPr>
        <w:t>A.M.</w:t>
      </w:r>
      <w:proofErr w:type="gramEnd"/>
      <w:r w:rsidRPr="00FB1507">
        <w:rPr>
          <w:sz w:val="24"/>
          <w:szCs w:val="24"/>
        </w:rPr>
        <w:t> and Thompson, J.K. (1971) Antibacterial activity of long chain fatty acids and the reversal with calcium, magnesium, ergocalciferol and cholesterol. </w:t>
      </w:r>
      <w:r w:rsidRPr="00FB1507">
        <w:rPr>
          <w:i/>
          <w:iCs/>
          <w:sz w:val="24"/>
          <w:szCs w:val="24"/>
        </w:rPr>
        <w:t xml:space="preserve">J Appl </w:t>
      </w:r>
      <w:proofErr w:type="spellStart"/>
      <w:r w:rsidRPr="00FB1507">
        <w:rPr>
          <w:i/>
          <w:iCs/>
          <w:sz w:val="24"/>
          <w:szCs w:val="24"/>
        </w:rPr>
        <w:t>Bacteriol</w:t>
      </w:r>
      <w:proofErr w:type="spellEnd"/>
      <w:r w:rsidRPr="00FB1507">
        <w:rPr>
          <w:sz w:val="24"/>
          <w:szCs w:val="24"/>
        </w:rPr>
        <w:t> </w:t>
      </w:r>
      <w:r w:rsidRPr="00FB1507">
        <w:rPr>
          <w:b/>
          <w:bCs/>
          <w:sz w:val="24"/>
          <w:szCs w:val="24"/>
        </w:rPr>
        <w:t>34</w:t>
      </w:r>
      <w:r w:rsidRPr="00FB1507">
        <w:rPr>
          <w:sz w:val="24"/>
          <w:szCs w:val="24"/>
        </w:rPr>
        <w:t>, 803– 813.</w:t>
      </w:r>
    </w:p>
    <w:p w14:paraId="2E255F82" w14:textId="77777777" w:rsidR="0086587F" w:rsidRPr="00FB1507" w:rsidRDefault="0086587F" w:rsidP="00FB1507">
      <w:pPr>
        <w:pStyle w:val="NoSpacing"/>
        <w:ind w:left="720" w:hanging="720"/>
        <w:rPr>
          <w:sz w:val="24"/>
          <w:szCs w:val="24"/>
        </w:rPr>
      </w:pPr>
      <w:r w:rsidRPr="00FB1507">
        <w:rPr>
          <w:sz w:val="24"/>
          <w:szCs w:val="24"/>
        </w:rPr>
        <w:t>Jenkins, B., West, J.A. and </w:t>
      </w:r>
      <w:proofErr w:type="spellStart"/>
      <w:r w:rsidRPr="00FB1507">
        <w:rPr>
          <w:sz w:val="24"/>
          <w:szCs w:val="24"/>
        </w:rPr>
        <w:t>Koulman</w:t>
      </w:r>
      <w:proofErr w:type="spellEnd"/>
      <w:r w:rsidRPr="00FB1507">
        <w:rPr>
          <w:sz w:val="24"/>
          <w:szCs w:val="24"/>
        </w:rPr>
        <w:t>, A. (2015) A review of odd-chain fatty acid metabolism and the role of pentadecanoic acid (c15:0) and heptadecanoic acid (c17:0) in health and disease. </w:t>
      </w:r>
      <w:r w:rsidRPr="00FB1507">
        <w:rPr>
          <w:i/>
          <w:iCs/>
          <w:sz w:val="24"/>
          <w:szCs w:val="24"/>
        </w:rPr>
        <w:t>Molecules</w:t>
      </w:r>
      <w:r w:rsidRPr="00FB1507">
        <w:rPr>
          <w:sz w:val="24"/>
          <w:szCs w:val="24"/>
        </w:rPr>
        <w:t> </w:t>
      </w:r>
      <w:r w:rsidRPr="00FB1507">
        <w:rPr>
          <w:b/>
          <w:bCs/>
          <w:sz w:val="24"/>
          <w:szCs w:val="24"/>
        </w:rPr>
        <w:t>20</w:t>
      </w:r>
      <w:r w:rsidRPr="00FB1507">
        <w:rPr>
          <w:sz w:val="24"/>
          <w:szCs w:val="24"/>
        </w:rPr>
        <w:t>, 2425– 2444.</w:t>
      </w:r>
    </w:p>
    <w:p w14:paraId="7642D1B5" w14:textId="77777777" w:rsidR="0086587F" w:rsidRPr="00FB1507" w:rsidRDefault="0086587F" w:rsidP="00FB1507">
      <w:pPr>
        <w:pStyle w:val="NoSpacing"/>
        <w:ind w:left="720" w:hanging="720"/>
        <w:rPr>
          <w:sz w:val="24"/>
          <w:szCs w:val="24"/>
        </w:rPr>
      </w:pPr>
      <w:proofErr w:type="spellStart"/>
      <w:r w:rsidRPr="00FB1507">
        <w:rPr>
          <w:sz w:val="24"/>
          <w:szCs w:val="24"/>
        </w:rPr>
        <w:t>Kabara</w:t>
      </w:r>
      <w:proofErr w:type="spellEnd"/>
      <w:r w:rsidRPr="00FB1507">
        <w:rPr>
          <w:sz w:val="24"/>
          <w:szCs w:val="24"/>
        </w:rPr>
        <w:t>, J.J., </w:t>
      </w:r>
      <w:proofErr w:type="spellStart"/>
      <w:r w:rsidRPr="00FB1507">
        <w:rPr>
          <w:sz w:val="24"/>
          <w:szCs w:val="24"/>
        </w:rPr>
        <w:t>Swieczkowski</w:t>
      </w:r>
      <w:proofErr w:type="spellEnd"/>
      <w:r w:rsidRPr="00FB1507">
        <w:rPr>
          <w:sz w:val="24"/>
          <w:szCs w:val="24"/>
        </w:rPr>
        <w:t>, D.M., Conley, A.J. and Truant, J.P. (1972) Fatty acids and derivatives as antimicrobial agents. </w:t>
      </w:r>
      <w:proofErr w:type="spellStart"/>
      <w:r w:rsidRPr="00FB1507">
        <w:rPr>
          <w:i/>
          <w:iCs/>
          <w:sz w:val="24"/>
          <w:szCs w:val="24"/>
        </w:rPr>
        <w:t>Antimicrob</w:t>
      </w:r>
      <w:proofErr w:type="spellEnd"/>
      <w:r w:rsidRPr="00FB1507">
        <w:rPr>
          <w:i/>
          <w:iCs/>
          <w:sz w:val="24"/>
          <w:szCs w:val="24"/>
        </w:rPr>
        <w:t xml:space="preserve"> Agents Chemother</w:t>
      </w:r>
      <w:r w:rsidRPr="00FB1507">
        <w:rPr>
          <w:sz w:val="24"/>
          <w:szCs w:val="24"/>
        </w:rPr>
        <w:t> </w:t>
      </w:r>
      <w:r w:rsidRPr="00FB1507">
        <w:rPr>
          <w:b/>
          <w:bCs/>
          <w:sz w:val="24"/>
          <w:szCs w:val="24"/>
        </w:rPr>
        <w:t>2</w:t>
      </w:r>
      <w:r w:rsidRPr="00FB1507">
        <w:rPr>
          <w:sz w:val="24"/>
          <w:szCs w:val="24"/>
        </w:rPr>
        <w:t>, 23– 28.</w:t>
      </w:r>
    </w:p>
    <w:p w14:paraId="0892823E" w14:textId="77777777" w:rsidR="0086587F" w:rsidRPr="00FB1507" w:rsidRDefault="0086587F" w:rsidP="00FB1507">
      <w:pPr>
        <w:pStyle w:val="NoSpacing"/>
        <w:ind w:left="720" w:hanging="720"/>
        <w:rPr>
          <w:sz w:val="24"/>
          <w:szCs w:val="24"/>
        </w:rPr>
      </w:pPr>
      <w:r w:rsidRPr="00FB1507">
        <w:rPr>
          <w:sz w:val="24"/>
          <w:szCs w:val="24"/>
        </w:rPr>
        <w:t>Kenny, J.G., Ward, D., </w:t>
      </w:r>
      <w:proofErr w:type="spellStart"/>
      <w:r w:rsidRPr="00FB1507">
        <w:rPr>
          <w:sz w:val="24"/>
          <w:szCs w:val="24"/>
        </w:rPr>
        <w:t>Josefsson</w:t>
      </w:r>
      <w:proofErr w:type="spellEnd"/>
      <w:r w:rsidRPr="00FB1507">
        <w:rPr>
          <w:sz w:val="24"/>
          <w:szCs w:val="24"/>
        </w:rPr>
        <w:t>, E., Jonsson, I.-M., Hinds, J., Rees, H.H., Lindsay, J.A., </w:t>
      </w:r>
      <w:proofErr w:type="spellStart"/>
      <w:r w:rsidRPr="00FB1507">
        <w:rPr>
          <w:sz w:val="24"/>
          <w:szCs w:val="24"/>
        </w:rPr>
        <w:t>Tarkowski</w:t>
      </w:r>
      <w:proofErr w:type="spellEnd"/>
      <w:r w:rsidRPr="00FB1507">
        <w:rPr>
          <w:sz w:val="24"/>
          <w:szCs w:val="24"/>
        </w:rPr>
        <w:t>, A. </w:t>
      </w:r>
      <w:r w:rsidRPr="00FB1507">
        <w:rPr>
          <w:i/>
          <w:iCs/>
          <w:sz w:val="24"/>
          <w:szCs w:val="24"/>
        </w:rPr>
        <w:t>et al</w:t>
      </w:r>
      <w:r w:rsidRPr="00FB1507">
        <w:rPr>
          <w:sz w:val="24"/>
          <w:szCs w:val="24"/>
        </w:rPr>
        <w:t>. (2009) The </w:t>
      </w:r>
      <w:r w:rsidRPr="00FB1507">
        <w:rPr>
          <w:i/>
          <w:iCs/>
          <w:sz w:val="24"/>
          <w:szCs w:val="24"/>
        </w:rPr>
        <w:t>Staphylococcus aureus</w:t>
      </w:r>
      <w:r w:rsidRPr="00FB1507">
        <w:rPr>
          <w:sz w:val="24"/>
          <w:szCs w:val="24"/>
        </w:rPr>
        <w:t> response to unsaturated long chain free fatty acids: survival mechanisms and virulence implications. </w:t>
      </w:r>
      <w:proofErr w:type="spellStart"/>
      <w:r w:rsidRPr="00FB1507">
        <w:rPr>
          <w:i/>
          <w:iCs/>
          <w:sz w:val="24"/>
          <w:szCs w:val="24"/>
        </w:rPr>
        <w:t>PLoS</w:t>
      </w:r>
      <w:proofErr w:type="spellEnd"/>
      <w:r w:rsidRPr="00FB1507">
        <w:rPr>
          <w:i/>
          <w:iCs/>
          <w:sz w:val="24"/>
          <w:szCs w:val="24"/>
        </w:rPr>
        <w:t xml:space="preserve"> ONE</w:t>
      </w:r>
      <w:r w:rsidRPr="00FB1507">
        <w:rPr>
          <w:sz w:val="24"/>
          <w:szCs w:val="24"/>
        </w:rPr>
        <w:t> </w:t>
      </w:r>
      <w:r w:rsidRPr="00FB1507">
        <w:rPr>
          <w:b/>
          <w:bCs/>
          <w:sz w:val="24"/>
          <w:szCs w:val="24"/>
        </w:rPr>
        <w:t>4</w:t>
      </w:r>
      <w:r w:rsidRPr="00FB1507">
        <w:rPr>
          <w:sz w:val="24"/>
          <w:szCs w:val="24"/>
        </w:rPr>
        <w:t>, e4344.</w:t>
      </w:r>
    </w:p>
    <w:p w14:paraId="16D1BFEB" w14:textId="77777777" w:rsidR="0086587F" w:rsidRPr="00FB1507" w:rsidRDefault="0086587F" w:rsidP="00FB1507">
      <w:pPr>
        <w:pStyle w:val="NoSpacing"/>
        <w:ind w:left="720" w:hanging="720"/>
        <w:rPr>
          <w:sz w:val="24"/>
          <w:szCs w:val="24"/>
        </w:rPr>
      </w:pPr>
      <w:proofErr w:type="spellStart"/>
      <w:r w:rsidRPr="00FB1507">
        <w:rPr>
          <w:sz w:val="24"/>
          <w:szCs w:val="24"/>
        </w:rPr>
        <w:t>Louzao</w:t>
      </w:r>
      <w:proofErr w:type="spellEnd"/>
      <w:r w:rsidRPr="00FB1507">
        <w:rPr>
          <w:sz w:val="24"/>
          <w:szCs w:val="24"/>
        </w:rPr>
        <w:t>, M.C., </w:t>
      </w:r>
      <w:proofErr w:type="spellStart"/>
      <w:r w:rsidRPr="00FB1507">
        <w:rPr>
          <w:sz w:val="24"/>
          <w:szCs w:val="24"/>
        </w:rPr>
        <w:t>Vieytes</w:t>
      </w:r>
      <w:proofErr w:type="spellEnd"/>
      <w:r w:rsidRPr="00FB1507">
        <w:rPr>
          <w:sz w:val="24"/>
          <w:szCs w:val="24"/>
        </w:rPr>
        <w:t>, M.R., </w:t>
      </w:r>
      <w:proofErr w:type="spellStart"/>
      <w:r w:rsidRPr="00FB1507">
        <w:rPr>
          <w:sz w:val="24"/>
          <w:szCs w:val="24"/>
        </w:rPr>
        <w:t>Yasumoto</w:t>
      </w:r>
      <w:proofErr w:type="spellEnd"/>
      <w:r w:rsidRPr="00FB1507">
        <w:rPr>
          <w:sz w:val="24"/>
          <w:szCs w:val="24"/>
        </w:rPr>
        <w:t xml:space="preserve">, T. and Botana, L.M. (2004) Detection of sodium channel activators by a rapid </w:t>
      </w:r>
      <w:proofErr w:type="spellStart"/>
      <w:r w:rsidRPr="00FB1507">
        <w:rPr>
          <w:sz w:val="24"/>
          <w:szCs w:val="24"/>
        </w:rPr>
        <w:t>fluorimetric</w:t>
      </w:r>
      <w:proofErr w:type="spellEnd"/>
      <w:r w:rsidRPr="00FB1507">
        <w:rPr>
          <w:sz w:val="24"/>
          <w:szCs w:val="24"/>
        </w:rPr>
        <w:t xml:space="preserve"> microplate assay. </w:t>
      </w:r>
      <w:r w:rsidRPr="00FB1507">
        <w:rPr>
          <w:i/>
          <w:iCs/>
          <w:sz w:val="24"/>
          <w:szCs w:val="24"/>
        </w:rPr>
        <w:t xml:space="preserve">Chem Res </w:t>
      </w:r>
      <w:proofErr w:type="spellStart"/>
      <w:r w:rsidRPr="00FB1507">
        <w:rPr>
          <w:i/>
          <w:iCs/>
          <w:sz w:val="24"/>
          <w:szCs w:val="24"/>
        </w:rPr>
        <w:t>Toxicol</w:t>
      </w:r>
      <w:proofErr w:type="spellEnd"/>
      <w:r w:rsidRPr="00FB1507">
        <w:rPr>
          <w:sz w:val="24"/>
          <w:szCs w:val="24"/>
        </w:rPr>
        <w:t> </w:t>
      </w:r>
      <w:r w:rsidRPr="00FB1507">
        <w:rPr>
          <w:b/>
          <w:bCs/>
          <w:sz w:val="24"/>
          <w:szCs w:val="24"/>
        </w:rPr>
        <w:t>17</w:t>
      </w:r>
      <w:r w:rsidRPr="00FB1507">
        <w:rPr>
          <w:sz w:val="24"/>
          <w:szCs w:val="24"/>
        </w:rPr>
        <w:t>, 572– 578.</w:t>
      </w:r>
    </w:p>
    <w:p w14:paraId="60B53077" w14:textId="77777777" w:rsidR="0086587F" w:rsidRPr="00FB1507" w:rsidRDefault="0086587F" w:rsidP="00FB1507">
      <w:pPr>
        <w:pStyle w:val="NoSpacing"/>
        <w:ind w:left="720" w:hanging="720"/>
        <w:rPr>
          <w:sz w:val="24"/>
          <w:szCs w:val="24"/>
        </w:rPr>
      </w:pPr>
      <w:proofErr w:type="spellStart"/>
      <w:r w:rsidRPr="00FB1507">
        <w:rPr>
          <w:sz w:val="24"/>
          <w:szCs w:val="24"/>
        </w:rPr>
        <w:t>Naghili</w:t>
      </w:r>
      <w:proofErr w:type="spellEnd"/>
      <w:r w:rsidRPr="00FB1507">
        <w:rPr>
          <w:sz w:val="24"/>
          <w:szCs w:val="24"/>
        </w:rPr>
        <w:t>, H., Tajik, H., </w:t>
      </w:r>
      <w:proofErr w:type="spellStart"/>
      <w:r w:rsidRPr="00FB1507">
        <w:rPr>
          <w:sz w:val="24"/>
          <w:szCs w:val="24"/>
        </w:rPr>
        <w:t>Mardani</w:t>
      </w:r>
      <w:proofErr w:type="spellEnd"/>
      <w:r w:rsidRPr="00FB1507">
        <w:rPr>
          <w:sz w:val="24"/>
          <w:szCs w:val="24"/>
        </w:rPr>
        <w:t>, K., </w:t>
      </w:r>
      <w:proofErr w:type="spellStart"/>
      <w:r w:rsidRPr="00FB1507">
        <w:rPr>
          <w:sz w:val="24"/>
          <w:szCs w:val="24"/>
        </w:rPr>
        <w:t>Razavi</w:t>
      </w:r>
      <w:proofErr w:type="spellEnd"/>
      <w:r w:rsidRPr="00FB1507">
        <w:rPr>
          <w:sz w:val="24"/>
          <w:szCs w:val="24"/>
        </w:rPr>
        <w:t xml:space="preserve"> Rouhani, S.M., </w:t>
      </w:r>
      <w:proofErr w:type="spellStart"/>
      <w:r w:rsidRPr="00FB1507">
        <w:rPr>
          <w:sz w:val="24"/>
          <w:szCs w:val="24"/>
        </w:rPr>
        <w:t>Ehsani</w:t>
      </w:r>
      <w:proofErr w:type="spellEnd"/>
      <w:r w:rsidRPr="00FB1507">
        <w:rPr>
          <w:sz w:val="24"/>
          <w:szCs w:val="24"/>
        </w:rPr>
        <w:t>, A. and </w:t>
      </w:r>
      <w:proofErr w:type="spellStart"/>
      <w:r w:rsidRPr="00FB1507">
        <w:rPr>
          <w:sz w:val="24"/>
          <w:szCs w:val="24"/>
        </w:rPr>
        <w:t>Zare</w:t>
      </w:r>
      <w:proofErr w:type="spellEnd"/>
      <w:r w:rsidRPr="00FB1507">
        <w:rPr>
          <w:sz w:val="24"/>
          <w:szCs w:val="24"/>
        </w:rPr>
        <w:t>, P. (2013) Validation of drop plate technique for bacterial enumeration by parametric and nonparametric tests. </w:t>
      </w:r>
      <w:r w:rsidRPr="00FB1507">
        <w:rPr>
          <w:i/>
          <w:iCs/>
          <w:sz w:val="24"/>
          <w:szCs w:val="24"/>
        </w:rPr>
        <w:t>Vet Res Forum</w:t>
      </w:r>
      <w:r w:rsidRPr="00FB1507">
        <w:rPr>
          <w:sz w:val="24"/>
          <w:szCs w:val="24"/>
        </w:rPr>
        <w:t> </w:t>
      </w:r>
      <w:r w:rsidRPr="00FB1507">
        <w:rPr>
          <w:b/>
          <w:bCs/>
          <w:sz w:val="24"/>
          <w:szCs w:val="24"/>
        </w:rPr>
        <w:t>4</w:t>
      </w:r>
      <w:r w:rsidRPr="00FB1507">
        <w:rPr>
          <w:sz w:val="24"/>
          <w:szCs w:val="24"/>
        </w:rPr>
        <w:t>, 179– 183.</w:t>
      </w:r>
    </w:p>
    <w:p w14:paraId="07127982" w14:textId="77777777" w:rsidR="0086587F" w:rsidRPr="00FB1507" w:rsidRDefault="0086587F" w:rsidP="00FB1507">
      <w:pPr>
        <w:pStyle w:val="NoSpacing"/>
        <w:ind w:left="720" w:hanging="720"/>
        <w:rPr>
          <w:sz w:val="24"/>
          <w:szCs w:val="24"/>
        </w:rPr>
      </w:pPr>
      <w:proofErr w:type="spellStart"/>
      <w:r w:rsidRPr="00FB1507">
        <w:rPr>
          <w:sz w:val="24"/>
          <w:szCs w:val="24"/>
        </w:rPr>
        <w:t>Pomba</w:t>
      </w:r>
      <w:proofErr w:type="spellEnd"/>
      <w:r w:rsidRPr="00FB1507">
        <w:rPr>
          <w:sz w:val="24"/>
          <w:szCs w:val="24"/>
        </w:rPr>
        <w:t>, C., Rantala, M., </w:t>
      </w:r>
      <w:proofErr w:type="spellStart"/>
      <w:r w:rsidRPr="00FB1507">
        <w:rPr>
          <w:sz w:val="24"/>
          <w:szCs w:val="24"/>
        </w:rPr>
        <w:t>Greko</w:t>
      </w:r>
      <w:proofErr w:type="spellEnd"/>
      <w:r w:rsidRPr="00FB1507">
        <w:rPr>
          <w:sz w:val="24"/>
          <w:szCs w:val="24"/>
        </w:rPr>
        <w:t>, C., Baptiste, K.E., </w:t>
      </w:r>
      <w:proofErr w:type="spellStart"/>
      <w:r w:rsidRPr="00FB1507">
        <w:rPr>
          <w:sz w:val="24"/>
          <w:szCs w:val="24"/>
        </w:rPr>
        <w:t>Catry</w:t>
      </w:r>
      <w:proofErr w:type="spellEnd"/>
      <w:r w:rsidRPr="00FB1507">
        <w:rPr>
          <w:sz w:val="24"/>
          <w:szCs w:val="24"/>
        </w:rPr>
        <w:t xml:space="preserve">, B., van </w:t>
      </w:r>
      <w:proofErr w:type="spellStart"/>
      <w:r w:rsidRPr="00FB1507">
        <w:rPr>
          <w:sz w:val="24"/>
          <w:szCs w:val="24"/>
        </w:rPr>
        <w:t>Duijkeren</w:t>
      </w:r>
      <w:proofErr w:type="spellEnd"/>
      <w:r w:rsidRPr="00FB1507">
        <w:rPr>
          <w:sz w:val="24"/>
          <w:szCs w:val="24"/>
        </w:rPr>
        <w:t>, E., Mateus, A., Moreno, M.A. </w:t>
      </w:r>
      <w:r w:rsidRPr="00FB1507">
        <w:rPr>
          <w:i/>
          <w:iCs/>
          <w:sz w:val="24"/>
          <w:szCs w:val="24"/>
        </w:rPr>
        <w:t>et al</w:t>
      </w:r>
      <w:r w:rsidRPr="00FB1507">
        <w:rPr>
          <w:sz w:val="24"/>
          <w:szCs w:val="24"/>
        </w:rPr>
        <w:t>. (2017) Public health risk of antimicrobial resistance transfer from companion animals. </w:t>
      </w:r>
      <w:r w:rsidRPr="00FB1507">
        <w:rPr>
          <w:i/>
          <w:iCs/>
          <w:sz w:val="24"/>
          <w:szCs w:val="24"/>
        </w:rPr>
        <w:t xml:space="preserve">J </w:t>
      </w:r>
      <w:proofErr w:type="spellStart"/>
      <w:r w:rsidRPr="00FB1507">
        <w:rPr>
          <w:i/>
          <w:iCs/>
          <w:sz w:val="24"/>
          <w:szCs w:val="24"/>
        </w:rPr>
        <w:t>Antimicrob</w:t>
      </w:r>
      <w:proofErr w:type="spellEnd"/>
      <w:r w:rsidRPr="00FB1507">
        <w:rPr>
          <w:i/>
          <w:iCs/>
          <w:sz w:val="24"/>
          <w:szCs w:val="24"/>
        </w:rPr>
        <w:t xml:space="preserve"> Chemother</w:t>
      </w:r>
      <w:r w:rsidRPr="00FB1507">
        <w:rPr>
          <w:sz w:val="24"/>
          <w:szCs w:val="24"/>
        </w:rPr>
        <w:t> </w:t>
      </w:r>
      <w:r w:rsidRPr="00FB1507">
        <w:rPr>
          <w:b/>
          <w:bCs/>
          <w:sz w:val="24"/>
          <w:szCs w:val="24"/>
        </w:rPr>
        <w:t>72</w:t>
      </w:r>
      <w:r w:rsidRPr="00FB1507">
        <w:rPr>
          <w:sz w:val="24"/>
          <w:szCs w:val="24"/>
        </w:rPr>
        <w:t>, 957– 968.</w:t>
      </w:r>
    </w:p>
    <w:p w14:paraId="32381C72" w14:textId="77777777" w:rsidR="0086587F" w:rsidRPr="00FB1507" w:rsidRDefault="0086587F" w:rsidP="00FB1507">
      <w:pPr>
        <w:pStyle w:val="NoSpacing"/>
        <w:ind w:left="720" w:hanging="720"/>
        <w:rPr>
          <w:sz w:val="24"/>
          <w:szCs w:val="24"/>
        </w:rPr>
      </w:pPr>
      <w:proofErr w:type="spellStart"/>
      <w:r w:rsidRPr="00FB1507">
        <w:rPr>
          <w:sz w:val="24"/>
          <w:szCs w:val="24"/>
        </w:rPr>
        <w:t>Ricke</w:t>
      </w:r>
      <w:proofErr w:type="spellEnd"/>
      <w:r w:rsidRPr="00FB1507">
        <w:rPr>
          <w:sz w:val="24"/>
          <w:szCs w:val="24"/>
        </w:rPr>
        <w:t>, S. (2003) Perspectives on the use of organic acids and short chain fatty acids as antimicrobials. </w:t>
      </w:r>
      <w:r w:rsidRPr="00FB1507">
        <w:rPr>
          <w:i/>
          <w:iCs/>
          <w:sz w:val="24"/>
          <w:szCs w:val="24"/>
        </w:rPr>
        <w:t>Poult Sci</w:t>
      </w:r>
      <w:r w:rsidRPr="00FB1507">
        <w:rPr>
          <w:sz w:val="24"/>
          <w:szCs w:val="24"/>
        </w:rPr>
        <w:t> </w:t>
      </w:r>
      <w:r w:rsidRPr="00FB1507">
        <w:rPr>
          <w:b/>
          <w:bCs/>
          <w:sz w:val="24"/>
          <w:szCs w:val="24"/>
        </w:rPr>
        <w:t>82</w:t>
      </w:r>
      <w:r w:rsidRPr="00FB1507">
        <w:rPr>
          <w:sz w:val="24"/>
          <w:szCs w:val="24"/>
        </w:rPr>
        <w:t>, 632– 639.</w:t>
      </w:r>
    </w:p>
    <w:p w14:paraId="24A0647F" w14:textId="77777777" w:rsidR="0086587F" w:rsidRPr="00FB1507" w:rsidRDefault="0086587F" w:rsidP="00FB1507">
      <w:pPr>
        <w:pStyle w:val="NoSpacing"/>
        <w:ind w:left="720" w:hanging="720"/>
        <w:rPr>
          <w:sz w:val="24"/>
          <w:szCs w:val="24"/>
        </w:rPr>
      </w:pPr>
      <w:proofErr w:type="spellStart"/>
      <w:r w:rsidRPr="00FB1507">
        <w:rPr>
          <w:sz w:val="24"/>
          <w:szCs w:val="24"/>
        </w:rPr>
        <w:t>Sannasiddappa</w:t>
      </w:r>
      <w:proofErr w:type="spellEnd"/>
      <w:r w:rsidRPr="00FB1507">
        <w:rPr>
          <w:sz w:val="24"/>
          <w:szCs w:val="24"/>
        </w:rPr>
        <w:t>, T.H., Lund, P.A. and Clarke, S.R. (2017) </w:t>
      </w:r>
      <w:r w:rsidRPr="00FB1507">
        <w:rPr>
          <w:i/>
          <w:iCs/>
          <w:sz w:val="24"/>
          <w:szCs w:val="24"/>
        </w:rPr>
        <w:t>In vitro</w:t>
      </w:r>
      <w:r w:rsidRPr="00FB1507">
        <w:rPr>
          <w:sz w:val="24"/>
          <w:szCs w:val="24"/>
        </w:rPr>
        <w:t> antibacterial activity of unconjugated and conjugated bile salts on </w:t>
      </w:r>
      <w:r w:rsidRPr="00FB1507">
        <w:rPr>
          <w:i/>
          <w:iCs/>
          <w:sz w:val="24"/>
          <w:szCs w:val="24"/>
        </w:rPr>
        <w:t>Staphylococcus aureus</w:t>
      </w:r>
      <w:r w:rsidRPr="00FB1507">
        <w:rPr>
          <w:sz w:val="24"/>
          <w:szCs w:val="24"/>
        </w:rPr>
        <w:t>. </w:t>
      </w:r>
      <w:r w:rsidRPr="00FB1507">
        <w:rPr>
          <w:i/>
          <w:iCs/>
          <w:sz w:val="24"/>
          <w:szCs w:val="24"/>
        </w:rPr>
        <w:t>Front Microbiol</w:t>
      </w:r>
      <w:r w:rsidRPr="00FB1507">
        <w:rPr>
          <w:sz w:val="24"/>
          <w:szCs w:val="24"/>
        </w:rPr>
        <w:t> </w:t>
      </w:r>
      <w:r w:rsidRPr="00FB1507">
        <w:rPr>
          <w:b/>
          <w:bCs/>
          <w:sz w:val="24"/>
          <w:szCs w:val="24"/>
        </w:rPr>
        <w:t>8</w:t>
      </w:r>
      <w:r w:rsidRPr="00FB1507">
        <w:rPr>
          <w:sz w:val="24"/>
          <w:szCs w:val="24"/>
        </w:rPr>
        <w:t>, 1581.</w:t>
      </w:r>
    </w:p>
    <w:p w14:paraId="74048222" w14:textId="77777777" w:rsidR="0086587F" w:rsidRPr="00FB1507" w:rsidRDefault="0086587F" w:rsidP="00FB1507">
      <w:pPr>
        <w:pStyle w:val="NoSpacing"/>
        <w:ind w:left="720" w:hanging="720"/>
        <w:rPr>
          <w:sz w:val="24"/>
          <w:szCs w:val="24"/>
        </w:rPr>
      </w:pPr>
      <w:r w:rsidRPr="00FB1507">
        <w:rPr>
          <w:sz w:val="24"/>
          <w:szCs w:val="24"/>
        </w:rPr>
        <w:t>Schneider, C.A., </w:t>
      </w:r>
      <w:proofErr w:type="spellStart"/>
      <w:r w:rsidRPr="00FB1507">
        <w:rPr>
          <w:sz w:val="24"/>
          <w:szCs w:val="24"/>
        </w:rPr>
        <w:t>Rasband</w:t>
      </w:r>
      <w:proofErr w:type="spellEnd"/>
      <w:r w:rsidRPr="00FB1507">
        <w:rPr>
          <w:sz w:val="24"/>
          <w:szCs w:val="24"/>
        </w:rPr>
        <w:t>, W.S. and </w:t>
      </w:r>
      <w:proofErr w:type="spellStart"/>
      <w:r w:rsidRPr="00FB1507">
        <w:rPr>
          <w:sz w:val="24"/>
          <w:szCs w:val="24"/>
        </w:rPr>
        <w:t>Eliceiri</w:t>
      </w:r>
      <w:proofErr w:type="spellEnd"/>
      <w:r w:rsidRPr="00FB1507">
        <w:rPr>
          <w:sz w:val="24"/>
          <w:szCs w:val="24"/>
        </w:rPr>
        <w:t>, K.W. (2012) NIH Image to ImageJ: 25 years of image analysis. </w:t>
      </w:r>
      <w:r w:rsidRPr="00FB1507">
        <w:rPr>
          <w:i/>
          <w:iCs/>
          <w:sz w:val="24"/>
          <w:szCs w:val="24"/>
        </w:rPr>
        <w:t>Nat Methods</w:t>
      </w:r>
      <w:r w:rsidRPr="00FB1507">
        <w:rPr>
          <w:sz w:val="24"/>
          <w:szCs w:val="24"/>
        </w:rPr>
        <w:t> </w:t>
      </w:r>
      <w:r w:rsidRPr="00FB1507">
        <w:rPr>
          <w:b/>
          <w:bCs/>
          <w:sz w:val="24"/>
          <w:szCs w:val="24"/>
        </w:rPr>
        <w:t>9</w:t>
      </w:r>
      <w:r w:rsidRPr="00FB1507">
        <w:rPr>
          <w:sz w:val="24"/>
          <w:szCs w:val="24"/>
        </w:rPr>
        <w:t>, 671– 675.</w:t>
      </w:r>
    </w:p>
    <w:p w14:paraId="0A0260C0" w14:textId="77777777" w:rsidR="0086587F" w:rsidRPr="00FB1507" w:rsidRDefault="0086587F" w:rsidP="00FB1507">
      <w:pPr>
        <w:pStyle w:val="NoSpacing"/>
        <w:ind w:left="720" w:hanging="720"/>
        <w:rPr>
          <w:sz w:val="24"/>
          <w:szCs w:val="24"/>
        </w:rPr>
      </w:pPr>
      <w:r w:rsidRPr="00FB1507">
        <w:rPr>
          <w:sz w:val="24"/>
          <w:szCs w:val="24"/>
        </w:rPr>
        <w:t>Shaikh, S.R., </w:t>
      </w:r>
      <w:proofErr w:type="spellStart"/>
      <w:r w:rsidRPr="00FB1507">
        <w:rPr>
          <w:sz w:val="24"/>
          <w:szCs w:val="24"/>
        </w:rPr>
        <w:t>Kinnun</w:t>
      </w:r>
      <w:proofErr w:type="spellEnd"/>
      <w:r w:rsidRPr="00FB1507">
        <w:rPr>
          <w:sz w:val="24"/>
          <w:szCs w:val="24"/>
        </w:rPr>
        <w:t>, J.J., </w:t>
      </w:r>
      <w:proofErr w:type="spellStart"/>
      <w:r w:rsidRPr="00FB1507">
        <w:rPr>
          <w:sz w:val="24"/>
          <w:szCs w:val="24"/>
        </w:rPr>
        <w:t>Leng</w:t>
      </w:r>
      <w:proofErr w:type="spellEnd"/>
      <w:r w:rsidRPr="00FB1507">
        <w:rPr>
          <w:sz w:val="24"/>
          <w:szCs w:val="24"/>
        </w:rPr>
        <w:t>, X., Williams, J.A. and </w:t>
      </w:r>
      <w:proofErr w:type="spellStart"/>
      <w:r w:rsidRPr="00FB1507">
        <w:rPr>
          <w:sz w:val="24"/>
          <w:szCs w:val="24"/>
        </w:rPr>
        <w:t>Wassall</w:t>
      </w:r>
      <w:proofErr w:type="spellEnd"/>
      <w:r w:rsidRPr="00FB1507">
        <w:rPr>
          <w:sz w:val="24"/>
          <w:szCs w:val="24"/>
        </w:rPr>
        <w:t>, S.R. (2015) How polyunsaturated fatty acids modify molecular organization in membranes: insight from NMR studies of model systems. </w:t>
      </w:r>
      <w:proofErr w:type="spellStart"/>
      <w:r w:rsidRPr="00FB1507">
        <w:rPr>
          <w:i/>
          <w:iCs/>
          <w:sz w:val="24"/>
          <w:szCs w:val="24"/>
        </w:rPr>
        <w:t>Biochim</w:t>
      </w:r>
      <w:proofErr w:type="spellEnd"/>
      <w:r w:rsidRPr="00FB1507">
        <w:rPr>
          <w:i/>
          <w:iCs/>
          <w:sz w:val="24"/>
          <w:szCs w:val="24"/>
        </w:rPr>
        <w:t xml:space="preserve"> </w:t>
      </w:r>
      <w:proofErr w:type="spellStart"/>
      <w:r w:rsidRPr="00FB1507">
        <w:rPr>
          <w:i/>
          <w:iCs/>
          <w:sz w:val="24"/>
          <w:szCs w:val="24"/>
        </w:rPr>
        <w:t>Biophys</w:t>
      </w:r>
      <w:proofErr w:type="spellEnd"/>
      <w:r w:rsidRPr="00FB1507">
        <w:rPr>
          <w:i/>
          <w:iCs/>
          <w:sz w:val="24"/>
          <w:szCs w:val="24"/>
        </w:rPr>
        <w:t xml:space="preserve"> Acta</w:t>
      </w:r>
      <w:r w:rsidRPr="00FB1507">
        <w:rPr>
          <w:sz w:val="24"/>
          <w:szCs w:val="24"/>
        </w:rPr>
        <w:t> </w:t>
      </w:r>
      <w:r w:rsidRPr="00FB1507">
        <w:rPr>
          <w:b/>
          <w:bCs/>
          <w:sz w:val="24"/>
          <w:szCs w:val="24"/>
        </w:rPr>
        <w:t>1848</w:t>
      </w:r>
      <w:r w:rsidRPr="00FB1507">
        <w:rPr>
          <w:sz w:val="24"/>
          <w:szCs w:val="24"/>
        </w:rPr>
        <w:t>, 211– 219.</w:t>
      </w:r>
    </w:p>
    <w:p w14:paraId="5DFC5630" w14:textId="77777777" w:rsidR="0086587F" w:rsidRPr="00FB1507" w:rsidRDefault="0086587F" w:rsidP="00FB1507">
      <w:pPr>
        <w:pStyle w:val="NoSpacing"/>
        <w:ind w:left="720" w:hanging="720"/>
        <w:rPr>
          <w:sz w:val="24"/>
          <w:szCs w:val="24"/>
        </w:rPr>
      </w:pPr>
      <w:r w:rsidRPr="00FB1507">
        <w:rPr>
          <w:sz w:val="24"/>
          <w:szCs w:val="24"/>
        </w:rPr>
        <w:t>Sharma, M.M., Chang, Y.I. and Yen, T.F. (1985) Reversible and irreversible surface charge modification of bacteria for facilitating transport through porous media. </w:t>
      </w:r>
      <w:r w:rsidRPr="00FB1507">
        <w:rPr>
          <w:i/>
          <w:iCs/>
          <w:sz w:val="24"/>
          <w:szCs w:val="24"/>
        </w:rPr>
        <w:t>Colloid Surface</w:t>
      </w:r>
      <w:r w:rsidRPr="00FB1507">
        <w:rPr>
          <w:sz w:val="24"/>
          <w:szCs w:val="24"/>
        </w:rPr>
        <w:t> </w:t>
      </w:r>
      <w:r w:rsidRPr="00FB1507">
        <w:rPr>
          <w:b/>
          <w:bCs/>
          <w:sz w:val="24"/>
          <w:szCs w:val="24"/>
        </w:rPr>
        <w:t>16</w:t>
      </w:r>
      <w:r w:rsidRPr="00FB1507">
        <w:rPr>
          <w:sz w:val="24"/>
          <w:szCs w:val="24"/>
        </w:rPr>
        <w:t>, 193– 206.</w:t>
      </w:r>
    </w:p>
    <w:p w14:paraId="2FA40C2B" w14:textId="77777777" w:rsidR="0086587F" w:rsidRPr="00FB1507" w:rsidRDefault="0086587F" w:rsidP="00FB1507">
      <w:pPr>
        <w:pStyle w:val="NoSpacing"/>
        <w:ind w:left="720" w:hanging="720"/>
        <w:rPr>
          <w:sz w:val="24"/>
          <w:szCs w:val="24"/>
        </w:rPr>
      </w:pPr>
      <w:r w:rsidRPr="00FB1507">
        <w:rPr>
          <w:sz w:val="24"/>
          <w:szCs w:val="24"/>
        </w:rPr>
        <w:t xml:space="preserve">Sheridan, B.A., Curran, T.P. and Dodd, V.A. (2003) Biofiltration of n-butyric acid for the control of </w:t>
      </w:r>
      <w:proofErr w:type="spellStart"/>
      <w:r w:rsidRPr="00FB1507">
        <w:rPr>
          <w:sz w:val="24"/>
          <w:szCs w:val="24"/>
        </w:rPr>
        <w:t>odour</w:t>
      </w:r>
      <w:proofErr w:type="spellEnd"/>
      <w:r w:rsidRPr="00FB1507">
        <w:rPr>
          <w:sz w:val="24"/>
          <w:szCs w:val="24"/>
        </w:rPr>
        <w:t>. </w:t>
      </w:r>
      <w:proofErr w:type="spellStart"/>
      <w:r w:rsidRPr="00FB1507">
        <w:rPr>
          <w:i/>
          <w:iCs/>
          <w:sz w:val="24"/>
          <w:szCs w:val="24"/>
        </w:rPr>
        <w:t>Bioresour</w:t>
      </w:r>
      <w:proofErr w:type="spellEnd"/>
      <w:r w:rsidRPr="00FB1507">
        <w:rPr>
          <w:i/>
          <w:iCs/>
          <w:sz w:val="24"/>
          <w:szCs w:val="24"/>
        </w:rPr>
        <w:t xml:space="preserve"> Technol</w:t>
      </w:r>
      <w:r w:rsidRPr="00FB1507">
        <w:rPr>
          <w:sz w:val="24"/>
          <w:szCs w:val="24"/>
        </w:rPr>
        <w:t> </w:t>
      </w:r>
      <w:r w:rsidRPr="00FB1507">
        <w:rPr>
          <w:b/>
          <w:bCs/>
          <w:sz w:val="24"/>
          <w:szCs w:val="24"/>
        </w:rPr>
        <w:t>89</w:t>
      </w:r>
      <w:r w:rsidRPr="00FB1507">
        <w:rPr>
          <w:sz w:val="24"/>
          <w:szCs w:val="24"/>
        </w:rPr>
        <w:t>, 199– 205.</w:t>
      </w:r>
    </w:p>
    <w:p w14:paraId="443A4A94" w14:textId="77777777" w:rsidR="0086587F" w:rsidRPr="00FB1507" w:rsidRDefault="0086587F" w:rsidP="00FB1507">
      <w:pPr>
        <w:pStyle w:val="NoSpacing"/>
        <w:ind w:left="720" w:hanging="720"/>
        <w:rPr>
          <w:sz w:val="24"/>
          <w:szCs w:val="24"/>
        </w:rPr>
      </w:pPr>
      <w:r w:rsidRPr="00FB1507">
        <w:rPr>
          <w:sz w:val="24"/>
          <w:szCs w:val="24"/>
        </w:rPr>
        <w:t>Sun, Y. and </w:t>
      </w:r>
      <w:proofErr w:type="spellStart"/>
      <w:r w:rsidRPr="00FB1507">
        <w:rPr>
          <w:sz w:val="24"/>
          <w:szCs w:val="24"/>
        </w:rPr>
        <w:t>O'Riordan</w:t>
      </w:r>
      <w:proofErr w:type="spellEnd"/>
      <w:r w:rsidRPr="00FB1507">
        <w:rPr>
          <w:sz w:val="24"/>
          <w:szCs w:val="24"/>
        </w:rPr>
        <w:t>, M.X.D. (2013) Regulation of bacterial pathogenesis by intestinal short-chain fatty acids. </w:t>
      </w:r>
      <w:r w:rsidRPr="00FB1507">
        <w:rPr>
          <w:i/>
          <w:iCs/>
          <w:sz w:val="24"/>
          <w:szCs w:val="24"/>
        </w:rPr>
        <w:t>Adv Appl Microbiol</w:t>
      </w:r>
      <w:r w:rsidRPr="00FB1507">
        <w:rPr>
          <w:sz w:val="24"/>
          <w:szCs w:val="24"/>
        </w:rPr>
        <w:t> </w:t>
      </w:r>
      <w:r w:rsidRPr="00FB1507">
        <w:rPr>
          <w:b/>
          <w:bCs/>
          <w:sz w:val="24"/>
          <w:szCs w:val="24"/>
        </w:rPr>
        <w:t>85</w:t>
      </w:r>
      <w:r w:rsidRPr="00FB1507">
        <w:rPr>
          <w:sz w:val="24"/>
          <w:szCs w:val="24"/>
        </w:rPr>
        <w:t>, 93– 118.</w:t>
      </w:r>
    </w:p>
    <w:p w14:paraId="78FA803D" w14:textId="77777777" w:rsidR="0086587F" w:rsidRPr="00FB1507" w:rsidRDefault="0086587F" w:rsidP="00FB1507">
      <w:pPr>
        <w:pStyle w:val="NoSpacing"/>
        <w:ind w:left="720" w:hanging="720"/>
        <w:rPr>
          <w:sz w:val="24"/>
          <w:szCs w:val="24"/>
        </w:rPr>
      </w:pPr>
      <w:r w:rsidRPr="00FB1507">
        <w:rPr>
          <w:sz w:val="24"/>
          <w:szCs w:val="24"/>
        </w:rPr>
        <w:t>Tuttle, J.H., Dugan, P.R. and </w:t>
      </w:r>
      <w:proofErr w:type="spellStart"/>
      <w:r w:rsidRPr="00FB1507">
        <w:rPr>
          <w:sz w:val="24"/>
          <w:szCs w:val="24"/>
        </w:rPr>
        <w:t>Apel</w:t>
      </w:r>
      <w:proofErr w:type="spellEnd"/>
      <w:r w:rsidRPr="00FB1507">
        <w:rPr>
          <w:sz w:val="24"/>
          <w:szCs w:val="24"/>
        </w:rPr>
        <w:t>, W.A. (1977) Leakage of cellular material from </w:t>
      </w:r>
      <w:r w:rsidRPr="00FB1507">
        <w:rPr>
          <w:i/>
          <w:iCs/>
          <w:sz w:val="24"/>
          <w:szCs w:val="24"/>
        </w:rPr>
        <w:t xml:space="preserve">Thiobacillus </w:t>
      </w:r>
      <w:proofErr w:type="spellStart"/>
      <w:r w:rsidRPr="00FB1507">
        <w:rPr>
          <w:i/>
          <w:iCs/>
          <w:sz w:val="24"/>
          <w:szCs w:val="24"/>
        </w:rPr>
        <w:t>ferrooxidans</w:t>
      </w:r>
      <w:proofErr w:type="spellEnd"/>
      <w:r w:rsidRPr="00FB1507">
        <w:rPr>
          <w:sz w:val="24"/>
          <w:szCs w:val="24"/>
        </w:rPr>
        <w:t> in the presence of organic acids. </w:t>
      </w:r>
      <w:r w:rsidRPr="00FB1507">
        <w:rPr>
          <w:i/>
          <w:iCs/>
          <w:sz w:val="24"/>
          <w:szCs w:val="24"/>
        </w:rPr>
        <w:t>Appl Environ Microbiol</w:t>
      </w:r>
      <w:r w:rsidRPr="00FB1507">
        <w:rPr>
          <w:sz w:val="24"/>
          <w:szCs w:val="24"/>
        </w:rPr>
        <w:t> </w:t>
      </w:r>
      <w:r w:rsidRPr="00FB1507">
        <w:rPr>
          <w:b/>
          <w:bCs/>
          <w:sz w:val="24"/>
          <w:szCs w:val="24"/>
        </w:rPr>
        <w:t>33</w:t>
      </w:r>
      <w:r w:rsidRPr="00FB1507">
        <w:rPr>
          <w:sz w:val="24"/>
          <w:szCs w:val="24"/>
        </w:rPr>
        <w:t>, 459– 469.</w:t>
      </w:r>
    </w:p>
    <w:p w14:paraId="26BDEBC7" w14:textId="77777777" w:rsidR="0086587F" w:rsidRPr="00FB1507" w:rsidRDefault="0086587F" w:rsidP="00FB1507">
      <w:pPr>
        <w:pStyle w:val="NoSpacing"/>
        <w:ind w:left="720" w:hanging="720"/>
        <w:rPr>
          <w:sz w:val="24"/>
          <w:szCs w:val="24"/>
        </w:rPr>
      </w:pPr>
      <w:proofErr w:type="spellStart"/>
      <w:r w:rsidRPr="00FB1507">
        <w:rPr>
          <w:sz w:val="24"/>
          <w:szCs w:val="24"/>
        </w:rPr>
        <w:t>Ukuku</w:t>
      </w:r>
      <w:proofErr w:type="spellEnd"/>
      <w:r w:rsidRPr="00FB1507">
        <w:rPr>
          <w:sz w:val="24"/>
          <w:szCs w:val="24"/>
        </w:rPr>
        <w:t>, D.O. and Fett, W.F. (2002) Relationship of cell surface charge and hydrophobicity to strength of attachment of bacteria to cantaloupe rind. </w:t>
      </w:r>
      <w:r w:rsidRPr="00FB1507">
        <w:rPr>
          <w:i/>
          <w:iCs/>
          <w:sz w:val="24"/>
          <w:szCs w:val="24"/>
        </w:rPr>
        <w:t xml:space="preserve">J Food </w:t>
      </w:r>
      <w:proofErr w:type="spellStart"/>
      <w:r w:rsidRPr="00FB1507">
        <w:rPr>
          <w:i/>
          <w:iCs/>
          <w:sz w:val="24"/>
          <w:szCs w:val="24"/>
        </w:rPr>
        <w:t>Prot</w:t>
      </w:r>
      <w:proofErr w:type="spellEnd"/>
      <w:r w:rsidRPr="00FB1507">
        <w:rPr>
          <w:sz w:val="24"/>
          <w:szCs w:val="24"/>
        </w:rPr>
        <w:t> </w:t>
      </w:r>
      <w:r w:rsidRPr="00FB1507">
        <w:rPr>
          <w:b/>
          <w:bCs/>
          <w:sz w:val="24"/>
          <w:szCs w:val="24"/>
        </w:rPr>
        <w:t>65</w:t>
      </w:r>
      <w:r w:rsidRPr="00FB1507">
        <w:rPr>
          <w:sz w:val="24"/>
          <w:szCs w:val="24"/>
        </w:rPr>
        <w:t>, 1093– 1099.</w:t>
      </w:r>
    </w:p>
    <w:p w14:paraId="43AEA06E" w14:textId="77777777" w:rsidR="0086587F" w:rsidRPr="00FB1507" w:rsidRDefault="0086587F" w:rsidP="00FB1507">
      <w:pPr>
        <w:pStyle w:val="NoSpacing"/>
        <w:ind w:left="720" w:hanging="720"/>
        <w:rPr>
          <w:sz w:val="24"/>
          <w:szCs w:val="24"/>
        </w:rPr>
      </w:pPr>
      <w:proofErr w:type="spellStart"/>
      <w:r w:rsidRPr="00FB1507">
        <w:rPr>
          <w:sz w:val="24"/>
          <w:szCs w:val="24"/>
        </w:rPr>
        <w:t>Weese</w:t>
      </w:r>
      <w:proofErr w:type="spellEnd"/>
      <w:r w:rsidRPr="00FB1507">
        <w:rPr>
          <w:sz w:val="24"/>
          <w:szCs w:val="24"/>
        </w:rPr>
        <w:t xml:space="preserve">, J.S. and van </w:t>
      </w:r>
      <w:proofErr w:type="spellStart"/>
      <w:r w:rsidRPr="00FB1507">
        <w:rPr>
          <w:sz w:val="24"/>
          <w:szCs w:val="24"/>
        </w:rPr>
        <w:t>Duijkeren</w:t>
      </w:r>
      <w:proofErr w:type="spellEnd"/>
      <w:r w:rsidRPr="00FB1507">
        <w:rPr>
          <w:sz w:val="24"/>
          <w:szCs w:val="24"/>
        </w:rPr>
        <w:t>, E. (2010) Methicillin-resistant </w:t>
      </w:r>
      <w:r w:rsidRPr="00FB1507">
        <w:rPr>
          <w:i/>
          <w:iCs/>
          <w:sz w:val="24"/>
          <w:szCs w:val="24"/>
        </w:rPr>
        <w:t>Staphylococcus aureus</w:t>
      </w:r>
      <w:r w:rsidRPr="00FB1507">
        <w:rPr>
          <w:sz w:val="24"/>
          <w:szCs w:val="24"/>
        </w:rPr>
        <w:t> and </w:t>
      </w:r>
      <w:r w:rsidRPr="00FB1507">
        <w:rPr>
          <w:i/>
          <w:iCs/>
          <w:sz w:val="24"/>
          <w:szCs w:val="24"/>
        </w:rPr>
        <w:t xml:space="preserve">Staphylococcus </w:t>
      </w:r>
      <w:proofErr w:type="spellStart"/>
      <w:r w:rsidRPr="00FB1507">
        <w:rPr>
          <w:i/>
          <w:iCs/>
          <w:sz w:val="24"/>
          <w:szCs w:val="24"/>
        </w:rPr>
        <w:t>pseudintermedius</w:t>
      </w:r>
      <w:proofErr w:type="spellEnd"/>
      <w:r w:rsidRPr="00FB1507">
        <w:rPr>
          <w:sz w:val="24"/>
          <w:szCs w:val="24"/>
        </w:rPr>
        <w:t> in veterinary medicine. </w:t>
      </w:r>
      <w:r w:rsidRPr="00FB1507">
        <w:rPr>
          <w:i/>
          <w:iCs/>
          <w:sz w:val="24"/>
          <w:szCs w:val="24"/>
        </w:rPr>
        <w:t>Vet Microbiol</w:t>
      </w:r>
      <w:r w:rsidRPr="00FB1507">
        <w:rPr>
          <w:sz w:val="24"/>
          <w:szCs w:val="24"/>
        </w:rPr>
        <w:t> </w:t>
      </w:r>
      <w:r w:rsidRPr="00FB1507">
        <w:rPr>
          <w:b/>
          <w:bCs/>
          <w:sz w:val="24"/>
          <w:szCs w:val="24"/>
        </w:rPr>
        <w:t>140</w:t>
      </w:r>
      <w:r w:rsidRPr="00FB1507">
        <w:rPr>
          <w:sz w:val="24"/>
          <w:szCs w:val="24"/>
        </w:rPr>
        <w:t>, 418– 429.</w:t>
      </w:r>
    </w:p>
    <w:p w14:paraId="42284E90" w14:textId="77777777" w:rsidR="0086587F" w:rsidRPr="00FB1507" w:rsidRDefault="0086587F" w:rsidP="00FB1507">
      <w:pPr>
        <w:pStyle w:val="NoSpacing"/>
        <w:ind w:left="720" w:hanging="720"/>
        <w:rPr>
          <w:sz w:val="24"/>
          <w:szCs w:val="24"/>
        </w:rPr>
      </w:pPr>
      <w:proofErr w:type="spellStart"/>
      <w:r w:rsidRPr="00FB1507">
        <w:rPr>
          <w:sz w:val="24"/>
          <w:szCs w:val="24"/>
        </w:rPr>
        <w:t>Weese</w:t>
      </w:r>
      <w:proofErr w:type="spellEnd"/>
      <w:r w:rsidRPr="00FB1507">
        <w:rPr>
          <w:sz w:val="24"/>
          <w:szCs w:val="24"/>
        </w:rPr>
        <w:t>, J.S., Sweetman, K., Edson, H. and Rousseau, J. (2013) Evaluation of minocycline susceptibility of methicillin-resistant </w:t>
      </w:r>
      <w:r w:rsidRPr="00FB1507">
        <w:rPr>
          <w:i/>
          <w:iCs/>
          <w:sz w:val="24"/>
          <w:szCs w:val="24"/>
        </w:rPr>
        <w:t xml:space="preserve">Staphylococcus </w:t>
      </w:r>
      <w:proofErr w:type="spellStart"/>
      <w:r w:rsidRPr="00FB1507">
        <w:rPr>
          <w:i/>
          <w:iCs/>
          <w:sz w:val="24"/>
          <w:szCs w:val="24"/>
        </w:rPr>
        <w:t>pseudintermedius</w:t>
      </w:r>
      <w:proofErr w:type="spellEnd"/>
      <w:r w:rsidRPr="00FB1507">
        <w:rPr>
          <w:sz w:val="24"/>
          <w:szCs w:val="24"/>
        </w:rPr>
        <w:t>. </w:t>
      </w:r>
      <w:r w:rsidRPr="00FB1507">
        <w:rPr>
          <w:i/>
          <w:iCs/>
          <w:sz w:val="24"/>
          <w:szCs w:val="24"/>
        </w:rPr>
        <w:t>Vet Microbiol</w:t>
      </w:r>
      <w:r w:rsidRPr="00FB1507">
        <w:rPr>
          <w:sz w:val="24"/>
          <w:szCs w:val="24"/>
        </w:rPr>
        <w:t> </w:t>
      </w:r>
      <w:r w:rsidRPr="00FB1507">
        <w:rPr>
          <w:b/>
          <w:bCs/>
          <w:sz w:val="24"/>
          <w:szCs w:val="24"/>
        </w:rPr>
        <w:t>162</w:t>
      </w:r>
      <w:r w:rsidRPr="00FB1507">
        <w:rPr>
          <w:sz w:val="24"/>
          <w:szCs w:val="24"/>
        </w:rPr>
        <w:t>, 968– 971.</w:t>
      </w:r>
    </w:p>
    <w:p w14:paraId="7990ED6A" w14:textId="77777777" w:rsidR="0086587F" w:rsidRPr="00FB1507" w:rsidRDefault="0086587F" w:rsidP="00FB1507">
      <w:pPr>
        <w:pStyle w:val="NoSpacing"/>
        <w:ind w:left="720" w:hanging="720"/>
        <w:rPr>
          <w:sz w:val="24"/>
          <w:szCs w:val="24"/>
        </w:rPr>
      </w:pPr>
      <w:r w:rsidRPr="00FB1507">
        <w:rPr>
          <w:sz w:val="24"/>
          <w:szCs w:val="24"/>
        </w:rPr>
        <w:t>Wille, J.J. and </w:t>
      </w:r>
      <w:proofErr w:type="spellStart"/>
      <w:r w:rsidRPr="00FB1507">
        <w:rPr>
          <w:sz w:val="24"/>
          <w:szCs w:val="24"/>
        </w:rPr>
        <w:t>Kydonieus</w:t>
      </w:r>
      <w:proofErr w:type="spellEnd"/>
      <w:r w:rsidRPr="00FB1507">
        <w:rPr>
          <w:sz w:val="24"/>
          <w:szCs w:val="24"/>
        </w:rPr>
        <w:t>, A. (2003) Palmitoleic acid isomer (C16:1delta6) in human skin sebum is effective against gram-positive bacteria. </w:t>
      </w:r>
      <w:r w:rsidRPr="00FB1507">
        <w:rPr>
          <w:i/>
          <w:iCs/>
          <w:sz w:val="24"/>
          <w:szCs w:val="24"/>
        </w:rPr>
        <w:t xml:space="preserve">Skin </w:t>
      </w:r>
      <w:proofErr w:type="spellStart"/>
      <w:r w:rsidRPr="00FB1507">
        <w:rPr>
          <w:i/>
          <w:iCs/>
          <w:sz w:val="24"/>
          <w:szCs w:val="24"/>
        </w:rPr>
        <w:t>Pharmacol</w:t>
      </w:r>
      <w:proofErr w:type="spellEnd"/>
      <w:r w:rsidRPr="00FB1507">
        <w:rPr>
          <w:i/>
          <w:iCs/>
          <w:sz w:val="24"/>
          <w:szCs w:val="24"/>
        </w:rPr>
        <w:t xml:space="preserve"> Appl Skin </w:t>
      </w:r>
      <w:proofErr w:type="spellStart"/>
      <w:r w:rsidRPr="00FB1507">
        <w:rPr>
          <w:i/>
          <w:iCs/>
          <w:sz w:val="24"/>
          <w:szCs w:val="24"/>
        </w:rPr>
        <w:t>Physiol</w:t>
      </w:r>
      <w:proofErr w:type="spellEnd"/>
      <w:r w:rsidRPr="00FB1507">
        <w:rPr>
          <w:sz w:val="24"/>
          <w:szCs w:val="24"/>
        </w:rPr>
        <w:t> </w:t>
      </w:r>
      <w:r w:rsidRPr="00FB1507">
        <w:rPr>
          <w:b/>
          <w:bCs/>
          <w:sz w:val="24"/>
          <w:szCs w:val="24"/>
        </w:rPr>
        <w:t>16</w:t>
      </w:r>
      <w:r w:rsidRPr="00FB1507">
        <w:rPr>
          <w:sz w:val="24"/>
          <w:szCs w:val="24"/>
        </w:rPr>
        <w:t>, 176– 187.</w:t>
      </w:r>
    </w:p>
    <w:p w14:paraId="7F32521C" w14:textId="77777777" w:rsidR="0086587F" w:rsidRPr="00FB1507" w:rsidRDefault="0086587F" w:rsidP="00FB1507">
      <w:pPr>
        <w:pStyle w:val="NoSpacing"/>
        <w:ind w:left="720" w:hanging="720"/>
        <w:rPr>
          <w:sz w:val="24"/>
          <w:szCs w:val="24"/>
        </w:rPr>
      </w:pPr>
      <w:proofErr w:type="spellStart"/>
      <w:r w:rsidRPr="00FB1507">
        <w:rPr>
          <w:sz w:val="24"/>
          <w:szCs w:val="24"/>
        </w:rPr>
        <w:t>Wojtczak</w:t>
      </w:r>
      <w:proofErr w:type="spellEnd"/>
      <w:r w:rsidRPr="00FB1507">
        <w:rPr>
          <w:sz w:val="24"/>
          <w:szCs w:val="24"/>
        </w:rPr>
        <w:t>, L. and </w:t>
      </w:r>
      <w:proofErr w:type="spellStart"/>
      <w:r w:rsidRPr="00FB1507">
        <w:rPr>
          <w:sz w:val="24"/>
          <w:szCs w:val="24"/>
        </w:rPr>
        <w:t>Wieckowski</w:t>
      </w:r>
      <w:proofErr w:type="spellEnd"/>
      <w:r w:rsidRPr="00FB1507">
        <w:rPr>
          <w:sz w:val="24"/>
          <w:szCs w:val="24"/>
        </w:rPr>
        <w:t>, M.R. (1999) The mechanisms of fatty acid-induced proton permeability of the inner mitochondrial membrane. </w:t>
      </w:r>
      <w:r w:rsidRPr="00FB1507">
        <w:rPr>
          <w:i/>
          <w:iCs/>
          <w:sz w:val="24"/>
          <w:szCs w:val="24"/>
        </w:rPr>
        <w:t xml:space="preserve">J </w:t>
      </w:r>
      <w:proofErr w:type="spellStart"/>
      <w:r w:rsidRPr="00FB1507">
        <w:rPr>
          <w:i/>
          <w:iCs/>
          <w:sz w:val="24"/>
          <w:szCs w:val="24"/>
        </w:rPr>
        <w:t>Bioenerg</w:t>
      </w:r>
      <w:proofErr w:type="spellEnd"/>
      <w:r w:rsidRPr="00FB1507">
        <w:rPr>
          <w:i/>
          <w:iCs/>
          <w:sz w:val="24"/>
          <w:szCs w:val="24"/>
        </w:rPr>
        <w:t xml:space="preserve"> </w:t>
      </w:r>
      <w:proofErr w:type="spellStart"/>
      <w:r w:rsidRPr="00FB1507">
        <w:rPr>
          <w:i/>
          <w:iCs/>
          <w:sz w:val="24"/>
          <w:szCs w:val="24"/>
        </w:rPr>
        <w:t>Biomembr</w:t>
      </w:r>
      <w:proofErr w:type="spellEnd"/>
      <w:r w:rsidRPr="00FB1507">
        <w:rPr>
          <w:sz w:val="24"/>
          <w:szCs w:val="24"/>
        </w:rPr>
        <w:t> </w:t>
      </w:r>
      <w:r w:rsidRPr="00FB1507">
        <w:rPr>
          <w:b/>
          <w:bCs/>
          <w:sz w:val="24"/>
          <w:szCs w:val="24"/>
        </w:rPr>
        <w:t>31</w:t>
      </w:r>
      <w:r w:rsidRPr="00FB1507">
        <w:rPr>
          <w:sz w:val="24"/>
          <w:szCs w:val="24"/>
        </w:rPr>
        <w:t>, 447– 455.</w:t>
      </w:r>
    </w:p>
    <w:p w14:paraId="30AD6261" w14:textId="77777777" w:rsidR="0086587F" w:rsidRPr="00FB1507" w:rsidRDefault="0086587F" w:rsidP="00FB1507">
      <w:pPr>
        <w:pStyle w:val="NoSpacing"/>
        <w:ind w:left="720" w:hanging="720"/>
        <w:rPr>
          <w:sz w:val="24"/>
          <w:szCs w:val="24"/>
        </w:rPr>
      </w:pPr>
      <w:r w:rsidRPr="00FB1507">
        <w:rPr>
          <w:sz w:val="24"/>
          <w:szCs w:val="24"/>
        </w:rPr>
        <w:t>Yun, H.C. and Murray, C.K. (2016) Infection prevention in the deployed environment. </w:t>
      </w:r>
      <w:r w:rsidRPr="00FB1507">
        <w:rPr>
          <w:i/>
          <w:iCs/>
          <w:sz w:val="24"/>
          <w:szCs w:val="24"/>
        </w:rPr>
        <w:t>US Army Med Dep J</w:t>
      </w:r>
      <w:r w:rsidRPr="00FB1507">
        <w:rPr>
          <w:sz w:val="24"/>
          <w:szCs w:val="24"/>
        </w:rPr>
        <w:t> </w:t>
      </w:r>
      <w:r w:rsidRPr="00FB1507">
        <w:rPr>
          <w:b/>
          <w:bCs/>
          <w:sz w:val="24"/>
          <w:szCs w:val="24"/>
        </w:rPr>
        <w:t>12</w:t>
      </w:r>
      <w:r w:rsidRPr="00FB1507">
        <w:rPr>
          <w:sz w:val="24"/>
          <w:szCs w:val="24"/>
        </w:rPr>
        <w:t>, 114– 118.</w:t>
      </w:r>
    </w:p>
    <w:sectPr w:rsidR="0086587F" w:rsidRPr="00FB150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02843CB3"/>
    <w:multiLevelType w:val="multilevel"/>
    <w:tmpl w:val="B6CAD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A35356"/>
    <w:multiLevelType w:val="multilevel"/>
    <w:tmpl w:val="A2FE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9551E8"/>
    <w:multiLevelType w:val="multilevel"/>
    <w:tmpl w:val="06043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575F19"/>
    <w:multiLevelType w:val="multilevel"/>
    <w:tmpl w:val="063E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812EDB"/>
    <w:multiLevelType w:val="multilevel"/>
    <w:tmpl w:val="8EAE5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3"/>
  </w:num>
  <w:num w:numId="3">
    <w:abstractNumId w:val="4"/>
  </w:num>
  <w:num w:numId="4">
    <w:abstractNumId w:val="6"/>
  </w:num>
  <w:num w:numId="5">
    <w:abstractNumId w:val="5"/>
  </w:num>
  <w:num w:numId="6">
    <w:abstractNumId w:val="14"/>
  </w:num>
  <w:num w:numId="7">
    <w:abstractNumId w:val="17"/>
  </w:num>
  <w:num w:numId="8">
    <w:abstractNumId w:val="10"/>
  </w:num>
  <w:num w:numId="9">
    <w:abstractNumId w:val="11"/>
  </w:num>
  <w:num w:numId="10">
    <w:abstractNumId w:val="8"/>
  </w:num>
  <w:num w:numId="11">
    <w:abstractNumId w:val="9"/>
  </w:num>
  <w:num w:numId="12">
    <w:abstractNumId w:val="0"/>
  </w:num>
  <w:num w:numId="13">
    <w:abstractNumId w:val="2"/>
  </w:num>
  <w:num w:numId="14">
    <w:abstractNumId w:val="1"/>
  </w:num>
  <w:num w:numId="15">
    <w:abstractNumId w:val="7"/>
  </w:num>
  <w:num w:numId="16">
    <w:abstractNumId w:val="15"/>
  </w:num>
  <w:num w:numId="17">
    <w:abstractNumId w:val="12"/>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CMEz7lYX82Q34gGA6hd+6E59FmSYdVS7TPSke4DclIdoDZabiKc5SGHs/4DT/mxxLC6uVs5/RGaLIg4uyuFVpA==" w:salt="4utnAWGOGJOmOYd22f50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E9A"/>
    <w:rsid w:val="000233C1"/>
    <w:rsid w:val="00024048"/>
    <w:rsid w:val="00026BC7"/>
    <w:rsid w:val="0003036D"/>
    <w:rsid w:val="00032F9B"/>
    <w:rsid w:val="00034205"/>
    <w:rsid w:val="00035704"/>
    <w:rsid w:val="00041C27"/>
    <w:rsid w:val="000437DE"/>
    <w:rsid w:val="00043C8E"/>
    <w:rsid w:val="00044EBA"/>
    <w:rsid w:val="00045855"/>
    <w:rsid w:val="0004637E"/>
    <w:rsid w:val="0004717F"/>
    <w:rsid w:val="000525F1"/>
    <w:rsid w:val="0005413F"/>
    <w:rsid w:val="00057D20"/>
    <w:rsid w:val="000606A8"/>
    <w:rsid w:val="00061102"/>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5B3"/>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0F7"/>
    <w:rsid w:val="00101A98"/>
    <w:rsid w:val="00101B1C"/>
    <w:rsid w:val="00104CE6"/>
    <w:rsid w:val="00107EA8"/>
    <w:rsid w:val="00114114"/>
    <w:rsid w:val="0011470E"/>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2E5"/>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624"/>
    <w:rsid w:val="00211422"/>
    <w:rsid w:val="00212109"/>
    <w:rsid w:val="00224240"/>
    <w:rsid w:val="00226FA2"/>
    <w:rsid w:val="0024134B"/>
    <w:rsid w:val="00244F43"/>
    <w:rsid w:val="00251132"/>
    <w:rsid w:val="002535DF"/>
    <w:rsid w:val="002558EB"/>
    <w:rsid w:val="00255B43"/>
    <w:rsid w:val="00255BDC"/>
    <w:rsid w:val="00255BEA"/>
    <w:rsid w:val="00261403"/>
    <w:rsid w:val="00261F59"/>
    <w:rsid w:val="00262A04"/>
    <w:rsid w:val="00272AF4"/>
    <w:rsid w:val="00276C06"/>
    <w:rsid w:val="00280198"/>
    <w:rsid w:val="00282094"/>
    <w:rsid w:val="002843BC"/>
    <w:rsid w:val="00284A84"/>
    <w:rsid w:val="0029129F"/>
    <w:rsid w:val="002946B0"/>
    <w:rsid w:val="00296B90"/>
    <w:rsid w:val="00297296"/>
    <w:rsid w:val="002A0668"/>
    <w:rsid w:val="002A6B8B"/>
    <w:rsid w:val="002A7FBB"/>
    <w:rsid w:val="002B1ED8"/>
    <w:rsid w:val="002B45EC"/>
    <w:rsid w:val="002B62C6"/>
    <w:rsid w:val="002C17A7"/>
    <w:rsid w:val="002C2DA5"/>
    <w:rsid w:val="002C4714"/>
    <w:rsid w:val="002C5674"/>
    <w:rsid w:val="002C6160"/>
    <w:rsid w:val="002D02F2"/>
    <w:rsid w:val="002D28EA"/>
    <w:rsid w:val="002D51BB"/>
    <w:rsid w:val="002D5BAE"/>
    <w:rsid w:val="002D5DDC"/>
    <w:rsid w:val="002D6AA3"/>
    <w:rsid w:val="002E5C33"/>
    <w:rsid w:val="002E5D29"/>
    <w:rsid w:val="002F2850"/>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51F5"/>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0AEB"/>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2B17"/>
    <w:rsid w:val="0050408D"/>
    <w:rsid w:val="00504C6A"/>
    <w:rsid w:val="00506C6F"/>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19F"/>
    <w:rsid w:val="005979CD"/>
    <w:rsid w:val="005A12F0"/>
    <w:rsid w:val="005A5291"/>
    <w:rsid w:val="005A6FD1"/>
    <w:rsid w:val="005B08F1"/>
    <w:rsid w:val="005B47BC"/>
    <w:rsid w:val="005C00EC"/>
    <w:rsid w:val="005C15C9"/>
    <w:rsid w:val="005C2F6C"/>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240"/>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2FF1"/>
    <w:rsid w:val="006B3B2B"/>
    <w:rsid w:val="006B4F4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23"/>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587F"/>
    <w:rsid w:val="0086670A"/>
    <w:rsid w:val="00870BA1"/>
    <w:rsid w:val="008733E7"/>
    <w:rsid w:val="00873CDE"/>
    <w:rsid w:val="00874421"/>
    <w:rsid w:val="00875997"/>
    <w:rsid w:val="0087796C"/>
    <w:rsid w:val="00880932"/>
    <w:rsid w:val="008825B5"/>
    <w:rsid w:val="00885E74"/>
    <w:rsid w:val="00886B14"/>
    <w:rsid w:val="008927F4"/>
    <w:rsid w:val="00893B58"/>
    <w:rsid w:val="00894E4C"/>
    <w:rsid w:val="0089642A"/>
    <w:rsid w:val="008A0935"/>
    <w:rsid w:val="008A1743"/>
    <w:rsid w:val="008A23DD"/>
    <w:rsid w:val="008A6C51"/>
    <w:rsid w:val="008B15CF"/>
    <w:rsid w:val="008B2242"/>
    <w:rsid w:val="008B4AD1"/>
    <w:rsid w:val="008B6D93"/>
    <w:rsid w:val="008B7AF1"/>
    <w:rsid w:val="008C0D5A"/>
    <w:rsid w:val="008C3543"/>
    <w:rsid w:val="008D0690"/>
    <w:rsid w:val="008D0F0D"/>
    <w:rsid w:val="008D0FF2"/>
    <w:rsid w:val="008D14D6"/>
    <w:rsid w:val="008D1D7F"/>
    <w:rsid w:val="008D3526"/>
    <w:rsid w:val="008F0401"/>
    <w:rsid w:val="008F04C1"/>
    <w:rsid w:val="008F168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98B"/>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5FE"/>
    <w:rsid w:val="009729A3"/>
    <w:rsid w:val="009732A9"/>
    <w:rsid w:val="00977C0E"/>
    <w:rsid w:val="00977F1D"/>
    <w:rsid w:val="00982217"/>
    <w:rsid w:val="00984B39"/>
    <w:rsid w:val="00986A83"/>
    <w:rsid w:val="00990645"/>
    <w:rsid w:val="009A130B"/>
    <w:rsid w:val="009A2639"/>
    <w:rsid w:val="009A397F"/>
    <w:rsid w:val="009B3096"/>
    <w:rsid w:val="009B4F83"/>
    <w:rsid w:val="009B6983"/>
    <w:rsid w:val="009C5450"/>
    <w:rsid w:val="009C5716"/>
    <w:rsid w:val="009D316A"/>
    <w:rsid w:val="009D3527"/>
    <w:rsid w:val="009D5368"/>
    <w:rsid w:val="009D54DF"/>
    <w:rsid w:val="009E56AC"/>
    <w:rsid w:val="009E56AF"/>
    <w:rsid w:val="009E678D"/>
    <w:rsid w:val="009F0737"/>
    <w:rsid w:val="009F28E2"/>
    <w:rsid w:val="009F4BDF"/>
    <w:rsid w:val="009F60BA"/>
    <w:rsid w:val="009F7F44"/>
    <w:rsid w:val="00A01B8D"/>
    <w:rsid w:val="00A034AE"/>
    <w:rsid w:val="00A035F5"/>
    <w:rsid w:val="00A11F34"/>
    <w:rsid w:val="00A1350A"/>
    <w:rsid w:val="00A22D4B"/>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280F"/>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81F"/>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0D8"/>
    <w:rsid w:val="00C2019E"/>
    <w:rsid w:val="00C27AEF"/>
    <w:rsid w:val="00C3110E"/>
    <w:rsid w:val="00C3466C"/>
    <w:rsid w:val="00C355FF"/>
    <w:rsid w:val="00C41A64"/>
    <w:rsid w:val="00C44392"/>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B56"/>
    <w:rsid w:val="00C85BDD"/>
    <w:rsid w:val="00C86B81"/>
    <w:rsid w:val="00C91557"/>
    <w:rsid w:val="00C92F74"/>
    <w:rsid w:val="00CA1C19"/>
    <w:rsid w:val="00CA204D"/>
    <w:rsid w:val="00CA2E14"/>
    <w:rsid w:val="00CA3385"/>
    <w:rsid w:val="00CA60CD"/>
    <w:rsid w:val="00CB10E9"/>
    <w:rsid w:val="00CB11D6"/>
    <w:rsid w:val="00CB5475"/>
    <w:rsid w:val="00CB665E"/>
    <w:rsid w:val="00CB6E09"/>
    <w:rsid w:val="00CC09A7"/>
    <w:rsid w:val="00CC0FD9"/>
    <w:rsid w:val="00CC1E6C"/>
    <w:rsid w:val="00CC1F8F"/>
    <w:rsid w:val="00CD139B"/>
    <w:rsid w:val="00CD5E59"/>
    <w:rsid w:val="00CD7831"/>
    <w:rsid w:val="00CE05D4"/>
    <w:rsid w:val="00CE4712"/>
    <w:rsid w:val="00CF3B8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655"/>
    <w:rsid w:val="00D43F4A"/>
    <w:rsid w:val="00D45330"/>
    <w:rsid w:val="00D45705"/>
    <w:rsid w:val="00D45784"/>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571F5"/>
    <w:rsid w:val="00E6120D"/>
    <w:rsid w:val="00E61D06"/>
    <w:rsid w:val="00E7043E"/>
    <w:rsid w:val="00E747D9"/>
    <w:rsid w:val="00E75D5D"/>
    <w:rsid w:val="00E766CA"/>
    <w:rsid w:val="00E81F85"/>
    <w:rsid w:val="00E8368B"/>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C96"/>
    <w:rsid w:val="00F6204B"/>
    <w:rsid w:val="00F62CDA"/>
    <w:rsid w:val="00F6448C"/>
    <w:rsid w:val="00F64E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1507"/>
    <w:rsid w:val="00FB3A37"/>
    <w:rsid w:val="00FB635D"/>
    <w:rsid w:val="00FB6BC1"/>
    <w:rsid w:val="00FC0EED"/>
    <w:rsid w:val="00FC11D2"/>
    <w:rsid w:val="00FC1405"/>
    <w:rsid w:val="00FC2C92"/>
    <w:rsid w:val="00FD0FFF"/>
    <w:rsid w:val="00FE2208"/>
    <w:rsid w:val="00FE2769"/>
    <w:rsid w:val="00FE2ED0"/>
    <w:rsid w:val="00FE3C8C"/>
    <w:rsid w:val="00FE430B"/>
    <w:rsid w:val="00FE46AF"/>
    <w:rsid w:val="00FE73C3"/>
    <w:rsid w:val="00FF1F94"/>
    <w:rsid w:val="00FF2B49"/>
    <w:rsid w:val="00FF3001"/>
    <w:rsid w:val="00FF5582"/>
    <w:rsid w:val="00FF67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80F"/>
  </w:style>
  <w:style w:type="paragraph" w:styleId="Heading1">
    <w:name w:val="heading 1"/>
    <w:basedOn w:val="Normal"/>
    <w:next w:val="Normal"/>
    <w:link w:val="Heading1Char"/>
    <w:uiPriority w:val="9"/>
    <w:qFormat/>
    <w:rsid w:val="00AE280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E280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E280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E280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E280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E280F"/>
    <w:pPr>
      <w:keepNext/>
      <w:keepLines/>
      <w:spacing w:before="40" w:after="0"/>
      <w:outlineLvl w:val="5"/>
    </w:pPr>
  </w:style>
  <w:style w:type="paragraph" w:styleId="Heading7">
    <w:name w:val="heading 7"/>
    <w:basedOn w:val="Normal"/>
    <w:next w:val="Normal"/>
    <w:link w:val="Heading7Char"/>
    <w:uiPriority w:val="9"/>
    <w:semiHidden/>
    <w:unhideWhenUsed/>
    <w:qFormat/>
    <w:rsid w:val="00AE280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E280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E280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80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E280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E280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E280F"/>
    <w:rPr>
      <w:i/>
      <w:iCs/>
    </w:rPr>
  </w:style>
  <w:style w:type="character" w:customStyle="1" w:styleId="Heading5Char">
    <w:name w:val="Heading 5 Char"/>
    <w:basedOn w:val="DefaultParagraphFont"/>
    <w:link w:val="Heading5"/>
    <w:uiPriority w:val="9"/>
    <w:semiHidden/>
    <w:rsid w:val="00AE280F"/>
    <w:rPr>
      <w:color w:val="404040" w:themeColor="text1" w:themeTint="BF"/>
    </w:rPr>
  </w:style>
  <w:style w:type="character" w:customStyle="1" w:styleId="Heading6Char">
    <w:name w:val="Heading 6 Char"/>
    <w:basedOn w:val="DefaultParagraphFont"/>
    <w:link w:val="Heading6"/>
    <w:uiPriority w:val="9"/>
    <w:semiHidden/>
    <w:rsid w:val="00AE280F"/>
  </w:style>
  <w:style w:type="character" w:customStyle="1" w:styleId="Heading7Char">
    <w:name w:val="Heading 7 Char"/>
    <w:basedOn w:val="DefaultParagraphFont"/>
    <w:link w:val="Heading7"/>
    <w:uiPriority w:val="9"/>
    <w:semiHidden/>
    <w:rsid w:val="00AE280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E280F"/>
    <w:rPr>
      <w:color w:val="262626" w:themeColor="text1" w:themeTint="D9"/>
      <w:sz w:val="21"/>
      <w:szCs w:val="21"/>
    </w:rPr>
  </w:style>
  <w:style w:type="character" w:customStyle="1" w:styleId="Heading9Char">
    <w:name w:val="Heading 9 Char"/>
    <w:basedOn w:val="DefaultParagraphFont"/>
    <w:link w:val="Heading9"/>
    <w:uiPriority w:val="9"/>
    <w:semiHidden/>
    <w:rsid w:val="00AE280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E280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E280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E280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E280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E280F"/>
    <w:rPr>
      <w:color w:val="5A5A5A" w:themeColor="text1" w:themeTint="A5"/>
      <w:spacing w:val="15"/>
    </w:rPr>
  </w:style>
  <w:style w:type="character" w:styleId="Strong">
    <w:name w:val="Strong"/>
    <w:basedOn w:val="DefaultParagraphFont"/>
    <w:uiPriority w:val="22"/>
    <w:qFormat/>
    <w:rsid w:val="00AE280F"/>
    <w:rPr>
      <w:b/>
      <w:bCs/>
      <w:color w:val="auto"/>
    </w:rPr>
  </w:style>
  <w:style w:type="character" w:styleId="Emphasis">
    <w:name w:val="Emphasis"/>
    <w:basedOn w:val="DefaultParagraphFont"/>
    <w:uiPriority w:val="20"/>
    <w:qFormat/>
    <w:rsid w:val="00AE280F"/>
    <w:rPr>
      <w:i/>
      <w:iCs/>
      <w:color w:val="auto"/>
    </w:rPr>
  </w:style>
  <w:style w:type="paragraph" w:styleId="NoSpacing">
    <w:name w:val="No Spacing"/>
    <w:uiPriority w:val="1"/>
    <w:qFormat/>
    <w:rsid w:val="00AE280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E280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E280F"/>
    <w:rPr>
      <w:i/>
      <w:iCs/>
      <w:color w:val="404040" w:themeColor="text1" w:themeTint="BF"/>
    </w:rPr>
  </w:style>
  <w:style w:type="paragraph" w:styleId="IntenseQuote">
    <w:name w:val="Intense Quote"/>
    <w:basedOn w:val="Normal"/>
    <w:next w:val="Normal"/>
    <w:link w:val="IntenseQuoteChar"/>
    <w:uiPriority w:val="30"/>
    <w:qFormat/>
    <w:rsid w:val="00AE280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E280F"/>
    <w:rPr>
      <w:i/>
      <w:iCs/>
      <w:color w:val="404040" w:themeColor="text1" w:themeTint="BF"/>
    </w:rPr>
  </w:style>
  <w:style w:type="character" w:styleId="SubtleEmphasis">
    <w:name w:val="Subtle Emphasis"/>
    <w:basedOn w:val="DefaultParagraphFont"/>
    <w:uiPriority w:val="19"/>
    <w:qFormat/>
    <w:rsid w:val="00AE280F"/>
    <w:rPr>
      <w:i/>
      <w:iCs/>
      <w:color w:val="404040" w:themeColor="text1" w:themeTint="BF"/>
    </w:rPr>
  </w:style>
  <w:style w:type="character" w:styleId="IntenseEmphasis">
    <w:name w:val="Intense Emphasis"/>
    <w:basedOn w:val="DefaultParagraphFont"/>
    <w:uiPriority w:val="21"/>
    <w:qFormat/>
    <w:rsid w:val="00AE280F"/>
    <w:rPr>
      <w:b/>
      <w:bCs/>
      <w:i/>
      <w:iCs/>
      <w:color w:val="auto"/>
    </w:rPr>
  </w:style>
  <w:style w:type="character" w:styleId="SubtleReference">
    <w:name w:val="Subtle Reference"/>
    <w:basedOn w:val="DefaultParagraphFont"/>
    <w:uiPriority w:val="31"/>
    <w:qFormat/>
    <w:rsid w:val="00AE280F"/>
    <w:rPr>
      <w:smallCaps/>
      <w:color w:val="404040" w:themeColor="text1" w:themeTint="BF"/>
    </w:rPr>
  </w:style>
  <w:style w:type="character" w:styleId="IntenseReference">
    <w:name w:val="Intense Reference"/>
    <w:basedOn w:val="DefaultParagraphFont"/>
    <w:uiPriority w:val="32"/>
    <w:qFormat/>
    <w:rsid w:val="00AE280F"/>
    <w:rPr>
      <w:b/>
      <w:bCs/>
      <w:smallCaps/>
      <w:color w:val="404040" w:themeColor="text1" w:themeTint="BF"/>
      <w:spacing w:val="5"/>
    </w:rPr>
  </w:style>
  <w:style w:type="character" w:styleId="BookTitle">
    <w:name w:val="Book Title"/>
    <w:basedOn w:val="DefaultParagraphFont"/>
    <w:uiPriority w:val="33"/>
    <w:qFormat/>
    <w:rsid w:val="00AE280F"/>
    <w:rPr>
      <w:b/>
      <w:bCs/>
      <w:i/>
      <w:iCs/>
      <w:spacing w:val="5"/>
    </w:rPr>
  </w:style>
  <w:style w:type="paragraph" w:styleId="TOCHeading">
    <w:name w:val="TOC Heading"/>
    <w:basedOn w:val="Heading1"/>
    <w:next w:val="Normal"/>
    <w:uiPriority w:val="39"/>
    <w:semiHidden/>
    <w:unhideWhenUsed/>
    <w:qFormat/>
    <w:rsid w:val="00AE280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0F40F7"/>
    <w:pPr>
      <w:spacing w:after="120"/>
    </w:pPr>
  </w:style>
  <w:style w:type="character" w:customStyle="1" w:styleId="BodyTextChar">
    <w:name w:val="Body Text Char"/>
    <w:basedOn w:val="DefaultParagraphFont"/>
    <w:link w:val="BodyText"/>
    <w:uiPriority w:val="99"/>
    <w:semiHidden/>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 w:type="character" w:customStyle="1" w:styleId="smallcaps">
    <w:name w:val="smallcaps"/>
    <w:basedOn w:val="DefaultParagraphFont"/>
    <w:rsid w:val="003951F5"/>
  </w:style>
  <w:style w:type="character" w:customStyle="1" w:styleId="table-captionlabel">
    <w:name w:val="table-caption__label"/>
    <w:basedOn w:val="DefaultParagraphFont"/>
    <w:rsid w:val="003951F5"/>
  </w:style>
  <w:style w:type="paragraph" w:customStyle="1" w:styleId="footnotepopupitem">
    <w:name w:val="footnotepopup__item"/>
    <w:basedOn w:val="Normal"/>
    <w:rsid w:val="003951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86587F"/>
  </w:style>
  <w:style w:type="character" w:customStyle="1" w:styleId="pubyear">
    <w:name w:val="pubyear"/>
    <w:basedOn w:val="DefaultParagraphFont"/>
    <w:rsid w:val="0086587F"/>
  </w:style>
  <w:style w:type="character" w:customStyle="1" w:styleId="articletitle">
    <w:name w:val="articletitle"/>
    <w:basedOn w:val="DefaultParagraphFont"/>
    <w:rsid w:val="0086587F"/>
  </w:style>
  <w:style w:type="character" w:customStyle="1" w:styleId="vol">
    <w:name w:val="vol"/>
    <w:basedOn w:val="DefaultParagraphFont"/>
    <w:rsid w:val="0086587F"/>
  </w:style>
  <w:style w:type="character" w:customStyle="1" w:styleId="pagefirst">
    <w:name w:val="pagefirst"/>
    <w:basedOn w:val="DefaultParagraphFont"/>
    <w:rsid w:val="0086587F"/>
  </w:style>
  <w:style w:type="character" w:customStyle="1" w:styleId="pagelast">
    <w:name w:val="pagelast"/>
    <w:basedOn w:val="DefaultParagraphFont"/>
    <w:rsid w:val="0086587F"/>
  </w:style>
  <w:style w:type="character" w:customStyle="1" w:styleId="openurl">
    <w:name w:val="openurl"/>
    <w:basedOn w:val="DefaultParagraphFont"/>
    <w:rsid w:val="0086587F"/>
  </w:style>
  <w:style w:type="character" w:customStyle="1" w:styleId="chaptertitle">
    <w:name w:val="chaptertitle"/>
    <w:basedOn w:val="DefaultParagraphFont"/>
    <w:rsid w:val="0086587F"/>
  </w:style>
  <w:style w:type="character" w:customStyle="1" w:styleId="booktitle0">
    <w:name w:val="booktitle"/>
    <w:basedOn w:val="DefaultParagraphFont"/>
    <w:rsid w:val="0086587F"/>
  </w:style>
  <w:style w:type="character" w:customStyle="1" w:styleId="groupname">
    <w:name w:val="groupname"/>
    <w:basedOn w:val="DefaultParagraphFont"/>
    <w:rsid w:val="0086587F"/>
  </w:style>
  <w:style w:type="character" w:customStyle="1" w:styleId="publisherlocation">
    <w:name w:val="publisherlocation"/>
    <w:basedOn w:val="DefaultParagraphFont"/>
    <w:rsid w:val="0086587F"/>
  </w:style>
  <w:style w:type="character" w:customStyle="1" w:styleId="othertitle">
    <w:name w:val="othertitle"/>
    <w:basedOn w:val="DefaultParagraphFont"/>
    <w:rsid w:val="00865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59075">
      <w:bodyDiv w:val="1"/>
      <w:marLeft w:val="0"/>
      <w:marRight w:val="0"/>
      <w:marTop w:val="0"/>
      <w:marBottom w:val="0"/>
      <w:divBdr>
        <w:top w:val="none" w:sz="0" w:space="0" w:color="auto"/>
        <w:left w:val="none" w:sz="0" w:space="0" w:color="auto"/>
        <w:bottom w:val="none" w:sz="0" w:space="0" w:color="auto"/>
        <w:right w:val="none" w:sz="0" w:space="0" w:color="auto"/>
      </w:divBdr>
      <w:divsChild>
        <w:div w:id="1414546525">
          <w:marLeft w:val="0"/>
          <w:marRight w:val="0"/>
          <w:marTop w:val="0"/>
          <w:marBottom w:val="0"/>
          <w:divBdr>
            <w:top w:val="none" w:sz="0" w:space="0" w:color="auto"/>
            <w:left w:val="none" w:sz="0" w:space="0" w:color="auto"/>
            <w:bottom w:val="none" w:sz="0" w:space="0" w:color="auto"/>
            <w:right w:val="none" w:sz="0" w:space="0" w:color="auto"/>
          </w:divBdr>
        </w:div>
        <w:div w:id="798843108">
          <w:marLeft w:val="0"/>
          <w:marRight w:val="0"/>
          <w:marTop w:val="0"/>
          <w:marBottom w:val="0"/>
          <w:divBdr>
            <w:top w:val="none" w:sz="0" w:space="0" w:color="auto"/>
            <w:left w:val="none" w:sz="0" w:space="0" w:color="auto"/>
            <w:bottom w:val="none" w:sz="0" w:space="0" w:color="auto"/>
            <w:right w:val="none" w:sz="0" w:space="0" w:color="auto"/>
          </w:divBdr>
        </w:div>
        <w:div w:id="616716445">
          <w:marLeft w:val="0"/>
          <w:marRight w:val="0"/>
          <w:marTop w:val="0"/>
          <w:marBottom w:val="0"/>
          <w:divBdr>
            <w:top w:val="none" w:sz="0" w:space="0" w:color="auto"/>
            <w:left w:val="none" w:sz="0" w:space="0" w:color="auto"/>
            <w:bottom w:val="none" w:sz="0" w:space="0" w:color="auto"/>
            <w:right w:val="none" w:sz="0" w:space="0" w:color="auto"/>
          </w:divBdr>
        </w:div>
        <w:div w:id="315301027">
          <w:marLeft w:val="0"/>
          <w:marRight w:val="0"/>
          <w:marTop w:val="0"/>
          <w:marBottom w:val="0"/>
          <w:divBdr>
            <w:top w:val="none" w:sz="0" w:space="0" w:color="auto"/>
            <w:left w:val="none" w:sz="0" w:space="0" w:color="auto"/>
            <w:bottom w:val="none" w:sz="0" w:space="0" w:color="auto"/>
            <w:right w:val="none" w:sz="0" w:space="0" w:color="auto"/>
          </w:divBdr>
        </w:div>
        <w:div w:id="965963700">
          <w:marLeft w:val="0"/>
          <w:marRight w:val="0"/>
          <w:marTop w:val="0"/>
          <w:marBottom w:val="0"/>
          <w:divBdr>
            <w:top w:val="none" w:sz="0" w:space="0" w:color="auto"/>
            <w:left w:val="none" w:sz="0" w:space="0" w:color="auto"/>
            <w:bottom w:val="none" w:sz="0" w:space="0" w:color="auto"/>
            <w:right w:val="none" w:sz="0" w:space="0" w:color="auto"/>
          </w:divBdr>
        </w:div>
        <w:div w:id="1908613359">
          <w:marLeft w:val="0"/>
          <w:marRight w:val="0"/>
          <w:marTop w:val="0"/>
          <w:marBottom w:val="0"/>
          <w:divBdr>
            <w:top w:val="none" w:sz="0" w:space="0" w:color="auto"/>
            <w:left w:val="none" w:sz="0" w:space="0" w:color="auto"/>
            <w:bottom w:val="none" w:sz="0" w:space="0" w:color="auto"/>
            <w:right w:val="none" w:sz="0" w:space="0" w:color="auto"/>
          </w:divBdr>
        </w:div>
        <w:div w:id="56051537">
          <w:marLeft w:val="0"/>
          <w:marRight w:val="0"/>
          <w:marTop w:val="0"/>
          <w:marBottom w:val="0"/>
          <w:divBdr>
            <w:top w:val="none" w:sz="0" w:space="0" w:color="auto"/>
            <w:left w:val="none" w:sz="0" w:space="0" w:color="auto"/>
            <w:bottom w:val="none" w:sz="0" w:space="0" w:color="auto"/>
            <w:right w:val="none" w:sz="0" w:space="0" w:color="auto"/>
          </w:divBdr>
        </w:div>
        <w:div w:id="86929612">
          <w:marLeft w:val="0"/>
          <w:marRight w:val="0"/>
          <w:marTop w:val="0"/>
          <w:marBottom w:val="0"/>
          <w:divBdr>
            <w:top w:val="none" w:sz="0" w:space="0" w:color="auto"/>
            <w:left w:val="none" w:sz="0" w:space="0" w:color="auto"/>
            <w:bottom w:val="none" w:sz="0" w:space="0" w:color="auto"/>
            <w:right w:val="none" w:sz="0" w:space="0" w:color="auto"/>
          </w:divBdr>
        </w:div>
        <w:div w:id="1573470048">
          <w:marLeft w:val="0"/>
          <w:marRight w:val="0"/>
          <w:marTop w:val="0"/>
          <w:marBottom w:val="0"/>
          <w:divBdr>
            <w:top w:val="none" w:sz="0" w:space="0" w:color="auto"/>
            <w:left w:val="none" w:sz="0" w:space="0" w:color="auto"/>
            <w:bottom w:val="none" w:sz="0" w:space="0" w:color="auto"/>
            <w:right w:val="none" w:sz="0" w:space="0" w:color="auto"/>
          </w:divBdr>
        </w:div>
        <w:div w:id="1459228406">
          <w:marLeft w:val="0"/>
          <w:marRight w:val="0"/>
          <w:marTop w:val="0"/>
          <w:marBottom w:val="0"/>
          <w:divBdr>
            <w:top w:val="none" w:sz="0" w:space="0" w:color="auto"/>
            <w:left w:val="none" w:sz="0" w:space="0" w:color="auto"/>
            <w:bottom w:val="none" w:sz="0" w:space="0" w:color="auto"/>
            <w:right w:val="none" w:sz="0" w:space="0" w:color="auto"/>
          </w:divBdr>
        </w:div>
        <w:div w:id="248001810">
          <w:marLeft w:val="0"/>
          <w:marRight w:val="0"/>
          <w:marTop w:val="0"/>
          <w:marBottom w:val="0"/>
          <w:divBdr>
            <w:top w:val="none" w:sz="0" w:space="0" w:color="auto"/>
            <w:left w:val="none" w:sz="0" w:space="0" w:color="auto"/>
            <w:bottom w:val="none" w:sz="0" w:space="0" w:color="auto"/>
            <w:right w:val="none" w:sz="0" w:space="0" w:color="auto"/>
          </w:divBdr>
        </w:div>
        <w:div w:id="2044092459">
          <w:marLeft w:val="0"/>
          <w:marRight w:val="0"/>
          <w:marTop w:val="0"/>
          <w:marBottom w:val="0"/>
          <w:divBdr>
            <w:top w:val="none" w:sz="0" w:space="0" w:color="auto"/>
            <w:left w:val="none" w:sz="0" w:space="0" w:color="auto"/>
            <w:bottom w:val="none" w:sz="0" w:space="0" w:color="auto"/>
            <w:right w:val="none" w:sz="0" w:space="0" w:color="auto"/>
          </w:divBdr>
        </w:div>
        <w:div w:id="90589821">
          <w:marLeft w:val="0"/>
          <w:marRight w:val="0"/>
          <w:marTop w:val="0"/>
          <w:marBottom w:val="0"/>
          <w:divBdr>
            <w:top w:val="none" w:sz="0" w:space="0" w:color="auto"/>
            <w:left w:val="none" w:sz="0" w:space="0" w:color="auto"/>
            <w:bottom w:val="none" w:sz="0" w:space="0" w:color="auto"/>
            <w:right w:val="none" w:sz="0" w:space="0" w:color="auto"/>
          </w:divBdr>
        </w:div>
        <w:div w:id="1172793362">
          <w:marLeft w:val="0"/>
          <w:marRight w:val="0"/>
          <w:marTop w:val="0"/>
          <w:marBottom w:val="0"/>
          <w:divBdr>
            <w:top w:val="none" w:sz="0" w:space="0" w:color="auto"/>
            <w:left w:val="none" w:sz="0" w:space="0" w:color="auto"/>
            <w:bottom w:val="none" w:sz="0" w:space="0" w:color="auto"/>
            <w:right w:val="none" w:sz="0" w:space="0" w:color="auto"/>
          </w:divBdr>
        </w:div>
        <w:div w:id="432166624">
          <w:marLeft w:val="0"/>
          <w:marRight w:val="0"/>
          <w:marTop w:val="0"/>
          <w:marBottom w:val="0"/>
          <w:divBdr>
            <w:top w:val="none" w:sz="0" w:space="0" w:color="auto"/>
            <w:left w:val="none" w:sz="0" w:space="0" w:color="auto"/>
            <w:bottom w:val="none" w:sz="0" w:space="0" w:color="auto"/>
            <w:right w:val="none" w:sz="0" w:space="0" w:color="auto"/>
          </w:divBdr>
        </w:div>
        <w:div w:id="1663435122">
          <w:marLeft w:val="0"/>
          <w:marRight w:val="0"/>
          <w:marTop w:val="0"/>
          <w:marBottom w:val="0"/>
          <w:divBdr>
            <w:top w:val="none" w:sz="0" w:space="0" w:color="auto"/>
            <w:left w:val="none" w:sz="0" w:space="0" w:color="auto"/>
            <w:bottom w:val="none" w:sz="0" w:space="0" w:color="auto"/>
            <w:right w:val="none" w:sz="0" w:space="0" w:color="auto"/>
          </w:divBdr>
        </w:div>
        <w:div w:id="143007513">
          <w:marLeft w:val="0"/>
          <w:marRight w:val="0"/>
          <w:marTop w:val="0"/>
          <w:marBottom w:val="0"/>
          <w:divBdr>
            <w:top w:val="none" w:sz="0" w:space="0" w:color="auto"/>
            <w:left w:val="none" w:sz="0" w:space="0" w:color="auto"/>
            <w:bottom w:val="none" w:sz="0" w:space="0" w:color="auto"/>
            <w:right w:val="none" w:sz="0" w:space="0" w:color="auto"/>
          </w:divBdr>
        </w:div>
        <w:div w:id="434400306">
          <w:marLeft w:val="0"/>
          <w:marRight w:val="0"/>
          <w:marTop w:val="0"/>
          <w:marBottom w:val="0"/>
          <w:divBdr>
            <w:top w:val="none" w:sz="0" w:space="0" w:color="auto"/>
            <w:left w:val="none" w:sz="0" w:space="0" w:color="auto"/>
            <w:bottom w:val="none" w:sz="0" w:space="0" w:color="auto"/>
            <w:right w:val="none" w:sz="0" w:space="0" w:color="auto"/>
          </w:divBdr>
        </w:div>
        <w:div w:id="1894466629">
          <w:marLeft w:val="0"/>
          <w:marRight w:val="0"/>
          <w:marTop w:val="0"/>
          <w:marBottom w:val="0"/>
          <w:divBdr>
            <w:top w:val="none" w:sz="0" w:space="0" w:color="auto"/>
            <w:left w:val="none" w:sz="0" w:space="0" w:color="auto"/>
            <w:bottom w:val="none" w:sz="0" w:space="0" w:color="auto"/>
            <w:right w:val="none" w:sz="0" w:space="0" w:color="auto"/>
          </w:divBdr>
        </w:div>
        <w:div w:id="931935832">
          <w:marLeft w:val="0"/>
          <w:marRight w:val="0"/>
          <w:marTop w:val="0"/>
          <w:marBottom w:val="0"/>
          <w:divBdr>
            <w:top w:val="none" w:sz="0" w:space="0" w:color="auto"/>
            <w:left w:val="none" w:sz="0" w:space="0" w:color="auto"/>
            <w:bottom w:val="none" w:sz="0" w:space="0" w:color="auto"/>
            <w:right w:val="none" w:sz="0" w:space="0" w:color="auto"/>
          </w:divBdr>
        </w:div>
        <w:div w:id="1946958964">
          <w:marLeft w:val="0"/>
          <w:marRight w:val="0"/>
          <w:marTop w:val="0"/>
          <w:marBottom w:val="0"/>
          <w:divBdr>
            <w:top w:val="none" w:sz="0" w:space="0" w:color="auto"/>
            <w:left w:val="none" w:sz="0" w:space="0" w:color="auto"/>
            <w:bottom w:val="none" w:sz="0" w:space="0" w:color="auto"/>
            <w:right w:val="none" w:sz="0" w:space="0" w:color="auto"/>
          </w:divBdr>
        </w:div>
        <w:div w:id="1499227441">
          <w:marLeft w:val="0"/>
          <w:marRight w:val="0"/>
          <w:marTop w:val="0"/>
          <w:marBottom w:val="0"/>
          <w:divBdr>
            <w:top w:val="none" w:sz="0" w:space="0" w:color="auto"/>
            <w:left w:val="none" w:sz="0" w:space="0" w:color="auto"/>
            <w:bottom w:val="none" w:sz="0" w:space="0" w:color="auto"/>
            <w:right w:val="none" w:sz="0" w:space="0" w:color="auto"/>
          </w:divBdr>
        </w:div>
        <w:div w:id="1084953154">
          <w:marLeft w:val="0"/>
          <w:marRight w:val="0"/>
          <w:marTop w:val="0"/>
          <w:marBottom w:val="0"/>
          <w:divBdr>
            <w:top w:val="none" w:sz="0" w:space="0" w:color="auto"/>
            <w:left w:val="none" w:sz="0" w:space="0" w:color="auto"/>
            <w:bottom w:val="none" w:sz="0" w:space="0" w:color="auto"/>
            <w:right w:val="none" w:sz="0" w:space="0" w:color="auto"/>
          </w:divBdr>
        </w:div>
        <w:div w:id="2077976150">
          <w:marLeft w:val="0"/>
          <w:marRight w:val="0"/>
          <w:marTop w:val="0"/>
          <w:marBottom w:val="0"/>
          <w:divBdr>
            <w:top w:val="none" w:sz="0" w:space="0" w:color="auto"/>
            <w:left w:val="none" w:sz="0" w:space="0" w:color="auto"/>
            <w:bottom w:val="none" w:sz="0" w:space="0" w:color="auto"/>
            <w:right w:val="none" w:sz="0" w:space="0" w:color="auto"/>
          </w:divBdr>
        </w:div>
        <w:div w:id="82073559">
          <w:marLeft w:val="0"/>
          <w:marRight w:val="0"/>
          <w:marTop w:val="0"/>
          <w:marBottom w:val="0"/>
          <w:divBdr>
            <w:top w:val="none" w:sz="0" w:space="0" w:color="auto"/>
            <w:left w:val="none" w:sz="0" w:space="0" w:color="auto"/>
            <w:bottom w:val="none" w:sz="0" w:space="0" w:color="auto"/>
            <w:right w:val="none" w:sz="0" w:space="0" w:color="auto"/>
          </w:divBdr>
        </w:div>
        <w:div w:id="1864787264">
          <w:marLeft w:val="0"/>
          <w:marRight w:val="0"/>
          <w:marTop w:val="0"/>
          <w:marBottom w:val="0"/>
          <w:divBdr>
            <w:top w:val="none" w:sz="0" w:space="0" w:color="auto"/>
            <w:left w:val="none" w:sz="0" w:space="0" w:color="auto"/>
            <w:bottom w:val="none" w:sz="0" w:space="0" w:color="auto"/>
            <w:right w:val="none" w:sz="0" w:space="0" w:color="auto"/>
          </w:divBdr>
        </w:div>
        <w:div w:id="1561669257">
          <w:marLeft w:val="0"/>
          <w:marRight w:val="0"/>
          <w:marTop w:val="0"/>
          <w:marBottom w:val="0"/>
          <w:divBdr>
            <w:top w:val="none" w:sz="0" w:space="0" w:color="auto"/>
            <w:left w:val="none" w:sz="0" w:space="0" w:color="auto"/>
            <w:bottom w:val="none" w:sz="0" w:space="0" w:color="auto"/>
            <w:right w:val="none" w:sz="0" w:space="0" w:color="auto"/>
          </w:divBdr>
        </w:div>
        <w:div w:id="1644045348">
          <w:marLeft w:val="0"/>
          <w:marRight w:val="0"/>
          <w:marTop w:val="0"/>
          <w:marBottom w:val="0"/>
          <w:divBdr>
            <w:top w:val="none" w:sz="0" w:space="0" w:color="auto"/>
            <w:left w:val="none" w:sz="0" w:space="0" w:color="auto"/>
            <w:bottom w:val="none" w:sz="0" w:space="0" w:color="auto"/>
            <w:right w:val="none" w:sz="0" w:space="0" w:color="auto"/>
          </w:divBdr>
        </w:div>
        <w:div w:id="38282237">
          <w:marLeft w:val="0"/>
          <w:marRight w:val="0"/>
          <w:marTop w:val="0"/>
          <w:marBottom w:val="0"/>
          <w:divBdr>
            <w:top w:val="none" w:sz="0" w:space="0" w:color="auto"/>
            <w:left w:val="none" w:sz="0" w:space="0" w:color="auto"/>
            <w:bottom w:val="none" w:sz="0" w:space="0" w:color="auto"/>
            <w:right w:val="none" w:sz="0" w:space="0" w:color="auto"/>
          </w:divBdr>
        </w:div>
        <w:div w:id="665130103">
          <w:marLeft w:val="0"/>
          <w:marRight w:val="0"/>
          <w:marTop w:val="0"/>
          <w:marBottom w:val="0"/>
          <w:divBdr>
            <w:top w:val="none" w:sz="0" w:space="0" w:color="auto"/>
            <w:left w:val="none" w:sz="0" w:space="0" w:color="auto"/>
            <w:bottom w:val="none" w:sz="0" w:space="0" w:color="auto"/>
            <w:right w:val="none" w:sz="0" w:space="0" w:color="auto"/>
          </w:divBdr>
        </w:div>
        <w:div w:id="512454261">
          <w:marLeft w:val="0"/>
          <w:marRight w:val="0"/>
          <w:marTop w:val="0"/>
          <w:marBottom w:val="0"/>
          <w:divBdr>
            <w:top w:val="none" w:sz="0" w:space="0" w:color="auto"/>
            <w:left w:val="none" w:sz="0" w:space="0" w:color="auto"/>
            <w:bottom w:val="none" w:sz="0" w:space="0" w:color="auto"/>
            <w:right w:val="none" w:sz="0" w:space="0" w:color="auto"/>
          </w:divBdr>
        </w:div>
        <w:div w:id="609557039">
          <w:marLeft w:val="0"/>
          <w:marRight w:val="0"/>
          <w:marTop w:val="0"/>
          <w:marBottom w:val="0"/>
          <w:divBdr>
            <w:top w:val="none" w:sz="0" w:space="0" w:color="auto"/>
            <w:left w:val="none" w:sz="0" w:space="0" w:color="auto"/>
            <w:bottom w:val="none" w:sz="0" w:space="0" w:color="auto"/>
            <w:right w:val="none" w:sz="0" w:space="0" w:color="auto"/>
          </w:divBdr>
        </w:div>
        <w:div w:id="331225534">
          <w:marLeft w:val="0"/>
          <w:marRight w:val="0"/>
          <w:marTop w:val="0"/>
          <w:marBottom w:val="0"/>
          <w:divBdr>
            <w:top w:val="none" w:sz="0" w:space="0" w:color="auto"/>
            <w:left w:val="none" w:sz="0" w:space="0" w:color="auto"/>
            <w:bottom w:val="none" w:sz="0" w:space="0" w:color="auto"/>
            <w:right w:val="none" w:sz="0" w:space="0" w:color="auto"/>
          </w:divBdr>
        </w:div>
        <w:div w:id="640698535">
          <w:marLeft w:val="0"/>
          <w:marRight w:val="0"/>
          <w:marTop w:val="0"/>
          <w:marBottom w:val="0"/>
          <w:divBdr>
            <w:top w:val="none" w:sz="0" w:space="0" w:color="auto"/>
            <w:left w:val="none" w:sz="0" w:space="0" w:color="auto"/>
            <w:bottom w:val="none" w:sz="0" w:space="0" w:color="auto"/>
            <w:right w:val="none" w:sz="0" w:space="0" w:color="auto"/>
          </w:divBdr>
        </w:div>
        <w:div w:id="1186211415">
          <w:marLeft w:val="0"/>
          <w:marRight w:val="0"/>
          <w:marTop w:val="0"/>
          <w:marBottom w:val="0"/>
          <w:divBdr>
            <w:top w:val="none" w:sz="0" w:space="0" w:color="auto"/>
            <w:left w:val="none" w:sz="0" w:space="0" w:color="auto"/>
            <w:bottom w:val="none" w:sz="0" w:space="0" w:color="auto"/>
            <w:right w:val="none" w:sz="0" w:space="0" w:color="auto"/>
          </w:divBdr>
        </w:div>
        <w:div w:id="1982225678">
          <w:marLeft w:val="0"/>
          <w:marRight w:val="0"/>
          <w:marTop w:val="0"/>
          <w:marBottom w:val="0"/>
          <w:divBdr>
            <w:top w:val="none" w:sz="0" w:space="0" w:color="auto"/>
            <w:left w:val="none" w:sz="0" w:space="0" w:color="auto"/>
            <w:bottom w:val="none" w:sz="0" w:space="0" w:color="auto"/>
            <w:right w:val="none" w:sz="0" w:space="0" w:color="auto"/>
          </w:divBdr>
        </w:div>
        <w:div w:id="395671188">
          <w:marLeft w:val="0"/>
          <w:marRight w:val="0"/>
          <w:marTop w:val="0"/>
          <w:marBottom w:val="0"/>
          <w:divBdr>
            <w:top w:val="none" w:sz="0" w:space="0" w:color="auto"/>
            <w:left w:val="none" w:sz="0" w:space="0" w:color="auto"/>
            <w:bottom w:val="none" w:sz="0" w:space="0" w:color="auto"/>
            <w:right w:val="none" w:sz="0" w:space="0" w:color="auto"/>
          </w:divBdr>
        </w:div>
        <w:div w:id="1054767260">
          <w:marLeft w:val="0"/>
          <w:marRight w:val="0"/>
          <w:marTop w:val="0"/>
          <w:marBottom w:val="0"/>
          <w:divBdr>
            <w:top w:val="none" w:sz="0" w:space="0" w:color="auto"/>
            <w:left w:val="none" w:sz="0" w:space="0" w:color="auto"/>
            <w:bottom w:val="none" w:sz="0" w:space="0" w:color="auto"/>
            <w:right w:val="none" w:sz="0" w:space="0" w:color="auto"/>
          </w:divBdr>
        </w:div>
      </w:divsChild>
    </w:div>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 w:id="1416626719">
      <w:bodyDiv w:val="1"/>
      <w:marLeft w:val="0"/>
      <w:marRight w:val="0"/>
      <w:marTop w:val="0"/>
      <w:marBottom w:val="0"/>
      <w:divBdr>
        <w:top w:val="none" w:sz="0" w:space="0" w:color="auto"/>
        <w:left w:val="none" w:sz="0" w:space="0" w:color="auto"/>
        <w:bottom w:val="none" w:sz="0" w:space="0" w:color="auto"/>
        <w:right w:val="none" w:sz="0" w:space="0" w:color="auto"/>
      </w:divBdr>
      <w:divsChild>
        <w:div w:id="414597459">
          <w:marLeft w:val="0"/>
          <w:marRight w:val="0"/>
          <w:marTop w:val="0"/>
          <w:marBottom w:val="0"/>
          <w:divBdr>
            <w:top w:val="none" w:sz="0" w:space="0" w:color="auto"/>
            <w:left w:val="none" w:sz="0" w:space="0" w:color="auto"/>
            <w:bottom w:val="none" w:sz="0" w:space="0" w:color="auto"/>
            <w:right w:val="none" w:sz="0" w:space="0" w:color="auto"/>
          </w:divBdr>
          <w:divsChild>
            <w:div w:id="1499538635">
              <w:marLeft w:val="0"/>
              <w:marRight w:val="0"/>
              <w:marTop w:val="0"/>
              <w:marBottom w:val="0"/>
              <w:divBdr>
                <w:top w:val="none" w:sz="0" w:space="0" w:color="auto"/>
                <w:left w:val="none" w:sz="0" w:space="0" w:color="auto"/>
                <w:bottom w:val="none" w:sz="0" w:space="0" w:color="auto"/>
                <w:right w:val="none" w:sz="0" w:space="0" w:color="auto"/>
              </w:divBdr>
            </w:div>
          </w:divsChild>
        </w:div>
        <w:div w:id="1601375127">
          <w:marLeft w:val="0"/>
          <w:marRight w:val="0"/>
          <w:marTop w:val="0"/>
          <w:marBottom w:val="450"/>
          <w:divBdr>
            <w:top w:val="none" w:sz="0" w:space="0" w:color="auto"/>
            <w:left w:val="none" w:sz="0" w:space="0" w:color="auto"/>
            <w:bottom w:val="none" w:sz="0" w:space="0" w:color="auto"/>
            <w:right w:val="none" w:sz="0" w:space="0" w:color="auto"/>
          </w:divBdr>
          <w:divsChild>
            <w:div w:id="1993364223">
              <w:marLeft w:val="0"/>
              <w:marRight w:val="0"/>
              <w:marTop w:val="225"/>
              <w:marBottom w:val="0"/>
              <w:divBdr>
                <w:top w:val="none" w:sz="0" w:space="0" w:color="auto"/>
                <w:left w:val="none" w:sz="0" w:space="0" w:color="auto"/>
                <w:bottom w:val="none" w:sz="0" w:space="0" w:color="auto"/>
                <w:right w:val="none" w:sz="0" w:space="0" w:color="auto"/>
              </w:divBdr>
            </w:div>
            <w:div w:id="1975745060">
              <w:marLeft w:val="0"/>
              <w:marRight w:val="0"/>
              <w:marTop w:val="0"/>
              <w:marBottom w:val="0"/>
              <w:divBdr>
                <w:top w:val="none" w:sz="0" w:space="0" w:color="auto"/>
                <w:left w:val="none" w:sz="0" w:space="0" w:color="auto"/>
                <w:bottom w:val="none" w:sz="0" w:space="0" w:color="auto"/>
                <w:right w:val="none" w:sz="0" w:space="0" w:color="auto"/>
              </w:divBdr>
            </w:div>
          </w:divsChild>
        </w:div>
        <w:div w:id="882135968">
          <w:marLeft w:val="0"/>
          <w:marRight w:val="0"/>
          <w:marTop w:val="0"/>
          <w:marBottom w:val="450"/>
          <w:divBdr>
            <w:top w:val="none" w:sz="0" w:space="0" w:color="auto"/>
            <w:left w:val="none" w:sz="0" w:space="0" w:color="auto"/>
            <w:bottom w:val="none" w:sz="0" w:space="0" w:color="auto"/>
            <w:right w:val="none" w:sz="0" w:space="0" w:color="auto"/>
          </w:divBdr>
          <w:divsChild>
            <w:div w:id="1959677473">
              <w:marLeft w:val="0"/>
              <w:marRight w:val="0"/>
              <w:marTop w:val="225"/>
              <w:marBottom w:val="0"/>
              <w:divBdr>
                <w:top w:val="none" w:sz="0" w:space="0" w:color="auto"/>
                <w:left w:val="none" w:sz="0" w:space="0" w:color="auto"/>
                <w:bottom w:val="none" w:sz="0" w:space="0" w:color="auto"/>
                <w:right w:val="none" w:sz="0" w:space="0" w:color="auto"/>
              </w:divBdr>
            </w:div>
            <w:div w:id="640966567">
              <w:marLeft w:val="0"/>
              <w:marRight w:val="0"/>
              <w:marTop w:val="0"/>
              <w:marBottom w:val="0"/>
              <w:divBdr>
                <w:top w:val="none" w:sz="0" w:space="0" w:color="auto"/>
                <w:left w:val="none" w:sz="0" w:space="0" w:color="auto"/>
                <w:bottom w:val="none" w:sz="0" w:space="0" w:color="auto"/>
                <w:right w:val="none" w:sz="0" w:space="0" w:color="auto"/>
              </w:divBdr>
            </w:div>
          </w:divsChild>
        </w:div>
        <w:div w:id="931284258">
          <w:marLeft w:val="0"/>
          <w:marRight w:val="0"/>
          <w:marTop w:val="0"/>
          <w:marBottom w:val="0"/>
          <w:divBdr>
            <w:top w:val="none" w:sz="0" w:space="0" w:color="auto"/>
            <w:left w:val="none" w:sz="0" w:space="0" w:color="auto"/>
            <w:bottom w:val="none" w:sz="0" w:space="0" w:color="auto"/>
            <w:right w:val="none" w:sz="0" w:space="0" w:color="auto"/>
          </w:divBdr>
          <w:divsChild>
            <w:div w:id="977952302">
              <w:marLeft w:val="0"/>
              <w:marRight w:val="0"/>
              <w:marTop w:val="0"/>
              <w:marBottom w:val="0"/>
              <w:divBdr>
                <w:top w:val="none" w:sz="0" w:space="0" w:color="auto"/>
                <w:left w:val="none" w:sz="0" w:space="0" w:color="auto"/>
                <w:bottom w:val="none" w:sz="0" w:space="0" w:color="auto"/>
                <w:right w:val="none" w:sz="0" w:space="0" w:color="auto"/>
              </w:divBdr>
            </w:div>
          </w:divsChild>
        </w:div>
        <w:div w:id="1281493450">
          <w:marLeft w:val="0"/>
          <w:marRight w:val="0"/>
          <w:marTop w:val="0"/>
          <w:marBottom w:val="420"/>
          <w:divBdr>
            <w:top w:val="none" w:sz="0" w:space="0" w:color="auto"/>
            <w:left w:val="none" w:sz="0" w:space="0" w:color="auto"/>
            <w:bottom w:val="none" w:sz="0" w:space="0" w:color="auto"/>
            <w:right w:val="none" w:sz="0" w:space="0" w:color="auto"/>
          </w:divBdr>
        </w:div>
        <w:div w:id="846216848">
          <w:marLeft w:val="0"/>
          <w:marRight w:val="0"/>
          <w:marTop w:val="0"/>
          <w:marBottom w:val="0"/>
          <w:divBdr>
            <w:top w:val="none" w:sz="0" w:space="0" w:color="auto"/>
            <w:left w:val="none" w:sz="0" w:space="0" w:color="auto"/>
            <w:bottom w:val="none" w:sz="0" w:space="0" w:color="auto"/>
            <w:right w:val="none" w:sz="0" w:space="0" w:color="auto"/>
          </w:divBdr>
          <w:divsChild>
            <w:div w:id="434059763">
              <w:marLeft w:val="0"/>
              <w:marRight w:val="0"/>
              <w:marTop w:val="0"/>
              <w:marBottom w:val="0"/>
              <w:divBdr>
                <w:top w:val="none" w:sz="0" w:space="0" w:color="auto"/>
                <w:left w:val="none" w:sz="0" w:space="0" w:color="auto"/>
                <w:bottom w:val="none" w:sz="0" w:space="0" w:color="auto"/>
                <w:right w:val="none" w:sz="0" w:space="0" w:color="auto"/>
              </w:divBdr>
            </w:div>
          </w:divsChild>
        </w:div>
        <w:div w:id="1089429680">
          <w:marLeft w:val="0"/>
          <w:marRight w:val="0"/>
          <w:marTop w:val="0"/>
          <w:marBottom w:val="420"/>
          <w:divBdr>
            <w:top w:val="none" w:sz="0" w:space="0" w:color="auto"/>
            <w:left w:val="none" w:sz="0" w:space="0" w:color="auto"/>
            <w:bottom w:val="none" w:sz="0" w:space="0" w:color="auto"/>
            <w:right w:val="none" w:sz="0" w:space="0" w:color="auto"/>
          </w:divBdr>
        </w:div>
        <w:div w:id="2124153074">
          <w:marLeft w:val="0"/>
          <w:marRight w:val="0"/>
          <w:marTop w:val="0"/>
          <w:marBottom w:val="0"/>
          <w:divBdr>
            <w:top w:val="none" w:sz="0" w:space="0" w:color="auto"/>
            <w:left w:val="none" w:sz="0" w:space="0" w:color="auto"/>
            <w:bottom w:val="none" w:sz="0" w:space="0" w:color="auto"/>
            <w:right w:val="none" w:sz="0" w:space="0" w:color="auto"/>
          </w:divBdr>
          <w:divsChild>
            <w:div w:id="1503086914">
              <w:marLeft w:val="0"/>
              <w:marRight w:val="0"/>
              <w:marTop w:val="0"/>
              <w:marBottom w:val="0"/>
              <w:divBdr>
                <w:top w:val="none" w:sz="0" w:space="0" w:color="auto"/>
                <w:left w:val="none" w:sz="0" w:space="0" w:color="auto"/>
                <w:bottom w:val="none" w:sz="0" w:space="0" w:color="auto"/>
                <w:right w:val="none" w:sz="0" w:space="0" w:color="auto"/>
              </w:divBdr>
            </w:div>
          </w:divsChild>
        </w:div>
        <w:div w:id="1174226435">
          <w:marLeft w:val="0"/>
          <w:marRight w:val="0"/>
          <w:marTop w:val="0"/>
          <w:marBottom w:val="420"/>
          <w:divBdr>
            <w:top w:val="none" w:sz="0" w:space="0" w:color="auto"/>
            <w:left w:val="none" w:sz="0" w:space="0" w:color="auto"/>
            <w:bottom w:val="none" w:sz="0" w:space="0" w:color="auto"/>
            <w:right w:val="none" w:sz="0" w:space="0" w:color="auto"/>
          </w:divBdr>
        </w:div>
        <w:div w:id="1349523158">
          <w:marLeft w:val="0"/>
          <w:marRight w:val="0"/>
          <w:marTop w:val="0"/>
          <w:marBottom w:val="0"/>
          <w:divBdr>
            <w:top w:val="none" w:sz="0" w:space="0" w:color="auto"/>
            <w:left w:val="none" w:sz="0" w:space="0" w:color="auto"/>
            <w:bottom w:val="none" w:sz="0" w:space="0" w:color="auto"/>
            <w:right w:val="none" w:sz="0" w:space="0" w:color="auto"/>
          </w:divBdr>
          <w:divsChild>
            <w:div w:id="1899320575">
              <w:marLeft w:val="0"/>
              <w:marRight w:val="0"/>
              <w:marTop w:val="0"/>
              <w:marBottom w:val="0"/>
              <w:divBdr>
                <w:top w:val="none" w:sz="0" w:space="0" w:color="auto"/>
                <w:left w:val="none" w:sz="0" w:space="0" w:color="auto"/>
                <w:bottom w:val="none" w:sz="0" w:space="0" w:color="auto"/>
                <w:right w:val="none" w:sz="0" w:space="0" w:color="auto"/>
              </w:divBdr>
            </w:div>
          </w:divsChild>
        </w:div>
        <w:div w:id="249125235">
          <w:marLeft w:val="0"/>
          <w:marRight w:val="0"/>
          <w:marTop w:val="0"/>
          <w:marBottom w:val="420"/>
          <w:divBdr>
            <w:top w:val="none" w:sz="0" w:space="0" w:color="auto"/>
            <w:left w:val="none" w:sz="0" w:space="0" w:color="auto"/>
            <w:bottom w:val="none" w:sz="0" w:space="0" w:color="auto"/>
            <w:right w:val="none" w:sz="0" w:space="0" w:color="auto"/>
          </w:divBdr>
        </w:div>
        <w:div w:id="1176966033">
          <w:marLeft w:val="0"/>
          <w:marRight w:val="0"/>
          <w:marTop w:val="0"/>
          <w:marBottom w:val="450"/>
          <w:divBdr>
            <w:top w:val="none" w:sz="0" w:space="0" w:color="auto"/>
            <w:left w:val="none" w:sz="0" w:space="0" w:color="auto"/>
            <w:bottom w:val="none" w:sz="0" w:space="0" w:color="auto"/>
            <w:right w:val="none" w:sz="0" w:space="0" w:color="auto"/>
          </w:divBdr>
          <w:divsChild>
            <w:div w:id="1036588125">
              <w:marLeft w:val="0"/>
              <w:marRight w:val="0"/>
              <w:marTop w:val="225"/>
              <w:marBottom w:val="0"/>
              <w:divBdr>
                <w:top w:val="none" w:sz="0" w:space="0" w:color="auto"/>
                <w:left w:val="none" w:sz="0" w:space="0" w:color="auto"/>
                <w:bottom w:val="none" w:sz="0" w:space="0" w:color="auto"/>
                <w:right w:val="none" w:sz="0" w:space="0" w:color="auto"/>
              </w:divBdr>
            </w:div>
            <w:div w:id="1207571673">
              <w:marLeft w:val="0"/>
              <w:marRight w:val="0"/>
              <w:marTop w:val="0"/>
              <w:marBottom w:val="0"/>
              <w:divBdr>
                <w:top w:val="none" w:sz="0" w:space="0" w:color="auto"/>
                <w:left w:val="none" w:sz="0" w:space="0" w:color="auto"/>
                <w:bottom w:val="none" w:sz="0" w:space="0" w:color="auto"/>
                <w:right w:val="none" w:sz="0" w:space="0" w:color="auto"/>
              </w:divBdr>
            </w:div>
          </w:divsChild>
        </w:div>
        <w:div w:id="1439714403">
          <w:marLeft w:val="0"/>
          <w:marRight w:val="0"/>
          <w:marTop w:val="0"/>
          <w:marBottom w:val="0"/>
          <w:divBdr>
            <w:top w:val="none" w:sz="0" w:space="0" w:color="auto"/>
            <w:left w:val="none" w:sz="0" w:space="0" w:color="auto"/>
            <w:bottom w:val="none" w:sz="0" w:space="0" w:color="auto"/>
            <w:right w:val="none" w:sz="0" w:space="0" w:color="auto"/>
          </w:divBdr>
          <w:divsChild>
            <w:div w:id="953173833">
              <w:marLeft w:val="0"/>
              <w:marRight w:val="0"/>
              <w:marTop w:val="0"/>
              <w:marBottom w:val="0"/>
              <w:divBdr>
                <w:top w:val="none" w:sz="0" w:space="0" w:color="auto"/>
                <w:left w:val="none" w:sz="0" w:space="0" w:color="auto"/>
                <w:bottom w:val="none" w:sz="0" w:space="0" w:color="auto"/>
                <w:right w:val="none" w:sz="0" w:space="0" w:color="auto"/>
              </w:divBdr>
            </w:div>
          </w:divsChild>
        </w:div>
        <w:div w:id="412359573">
          <w:marLeft w:val="0"/>
          <w:marRight w:val="0"/>
          <w:marTop w:val="0"/>
          <w:marBottom w:val="420"/>
          <w:divBdr>
            <w:top w:val="none" w:sz="0" w:space="0" w:color="auto"/>
            <w:left w:val="none" w:sz="0" w:space="0" w:color="auto"/>
            <w:bottom w:val="none" w:sz="0" w:space="0" w:color="auto"/>
            <w:right w:val="none" w:sz="0" w:space="0" w:color="auto"/>
          </w:divBdr>
        </w:div>
        <w:div w:id="1111439950">
          <w:marLeft w:val="0"/>
          <w:marRight w:val="0"/>
          <w:marTop w:val="0"/>
          <w:marBottom w:val="0"/>
          <w:divBdr>
            <w:top w:val="none" w:sz="0" w:space="0" w:color="auto"/>
            <w:left w:val="none" w:sz="0" w:space="0" w:color="auto"/>
            <w:bottom w:val="none" w:sz="0" w:space="0" w:color="auto"/>
            <w:right w:val="none" w:sz="0" w:space="0" w:color="auto"/>
          </w:divBdr>
          <w:divsChild>
            <w:div w:id="858196998">
              <w:marLeft w:val="0"/>
              <w:marRight w:val="0"/>
              <w:marTop w:val="0"/>
              <w:marBottom w:val="0"/>
              <w:divBdr>
                <w:top w:val="none" w:sz="0" w:space="0" w:color="auto"/>
                <w:left w:val="none" w:sz="0" w:space="0" w:color="auto"/>
                <w:bottom w:val="none" w:sz="0" w:space="0" w:color="auto"/>
                <w:right w:val="none" w:sz="0" w:space="0" w:color="auto"/>
              </w:divBdr>
            </w:div>
          </w:divsChild>
        </w:div>
        <w:div w:id="1684161597">
          <w:marLeft w:val="0"/>
          <w:marRight w:val="0"/>
          <w:marTop w:val="0"/>
          <w:marBottom w:val="420"/>
          <w:divBdr>
            <w:top w:val="none" w:sz="0" w:space="0" w:color="auto"/>
            <w:left w:val="none" w:sz="0" w:space="0" w:color="auto"/>
            <w:bottom w:val="none" w:sz="0" w:space="0" w:color="auto"/>
            <w:right w:val="none" w:sz="0" w:space="0" w:color="auto"/>
          </w:divBdr>
        </w:div>
        <w:div w:id="930746291">
          <w:marLeft w:val="0"/>
          <w:marRight w:val="0"/>
          <w:marTop w:val="0"/>
          <w:marBottom w:val="0"/>
          <w:divBdr>
            <w:top w:val="none" w:sz="0" w:space="0" w:color="auto"/>
            <w:left w:val="none" w:sz="0" w:space="0" w:color="auto"/>
            <w:bottom w:val="none" w:sz="0" w:space="0" w:color="auto"/>
            <w:right w:val="none" w:sz="0" w:space="0" w:color="auto"/>
          </w:divBdr>
        </w:div>
      </w:divsChild>
    </w:div>
    <w:div w:id="1879509326">
      <w:bodyDiv w:val="1"/>
      <w:marLeft w:val="0"/>
      <w:marRight w:val="0"/>
      <w:marTop w:val="0"/>
      <w:marBottom w:val="0"/>
      <w:divBdr>
        <w:top w:val="none" w:sz="0" w:space="0" w:color="auto"/>
        <w:left w:val="none" w:sz="0" w:space="0" w:color="auto"/>
        <w:bottom w:val="none" w:sz="0" w:space="0" w:color="auto"/>
        <w:right w:val="none" w:sz="0" w:space="0" w:color="auto"/>
      </w:divBdr>
      <w:divsChild>
        <w:div w:id="835731887">
          <w:marLeft w:val="0"/>
          <w:marRight w:val="0"/>
          <w:marTop w:val="225"/>
          <w:marBottom w:val="225"/>
          <w:divBdr>
            <w:top w:val="none" w:sz="0" w:space="0" w:color="auto"/>
            <w:left w:val="none" w:sz="0" w:space="0" w:color="auto"/>
            <w:bottom w:val="none" w:sz="0" w:space="0" w:color="auto"/>
            <w:right w:val="none" w:sz="0" w:space="0" w:color="auto"/>
          </w:divBdr>
          <w:divsChild>
            <w:div w:id="875889809">
              <w:marLeft w:val="0"/>
              <w:marRight w:val="0"/>
              <w:marTop w:val="0"/>
              <w:marBottom w:val="0"/>
              <w:divBdr>
                <w:top w:val="none" w:sz="0" w:space="0" w:color="auto"/>
                <w:left w:val="none" w:sz="0" w:space="0" w:color="auto"/>
                <w:bottom w:val="none" w:sz="0" w:space="0" w:color="auto"/>
                <w:right w:val="none" w:sz="0" w:space="0" w:color="auto"/>
              </w:divBdr>
              <w:divsChild>
                <w:div w:id="872111322">
                  <w:marLeft w:val="0"/>
                  <w:marRight w:val="0"/>
                  <w:marTop w:val="0"/>
                  <w:marBottom w:val="0"/>
                  <w:divBdr>
                    <w:top w:val="none" w:sz="0" w:space="0" w:color="auto"/>
                    <w:left w:val="none" w:sz="0" w:space="0" w:color="auto"/>
                    <w:bottom w:val="none" w:sz="0" w:space="0" w:color="auto"/>
                    <w:right w:val="none" w:sz="0" w:space="0" w:color="auto"/>
                  </w:divBdr>
                  <w:divsChild>
                    <w:div w:id="142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am.14180" TargetMode="External"/><Relationship Id="rId13" Type="http://schemas.openxmlformats.org/officeDocument/2006/relationships/image" Target="media/image2.png"/><Relationship Id="rId18" Type="http://schemas.openxmlformats.org/officeDocument/2006/relationships/hyperlink" Target="https://sfamjournals.onlinelibrary.wiley.com/cms/asset/08fc4bf2-4759-469e-ba18-77cc3b7dbca7/jam14180-fig-0005-m.jpg"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sfamjournals.onlinelibrary.wiley.com/cms/asset/45def761-bbd9-4b1a-88a7-d4750d78783a/jam14180-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sfamjournals.onlinelibrary.wiley.com/cms/asset/6d600492-b07c-4f48-8e6d-e75b0ea1f386/jam14180-fig-0004-m.jpg" TargetMode="External"/><Relationship Id="rId20" Type="http://schemas.openxmlformats.org/officeDocument/2006/relationships/hyperlink" Target="https://sfamjournals.onlinelibrary.wiley.com/cms/asset/828f9996-8312-4eb6-9a08-e0eb6b99a31c/jam14180-fig-0006-m.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sfamjournals.onlinelibrary.wiley.com/cms/asset/9f073214-8afb-405c-b03b-2e57d35ff033/jam14180-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sfamjournals.onlinelibrary.wiley.com/cms/asset/e2db90b0-5e23-45d1-bdc9-fb576fde58a2/jam14180-fig-0003-m.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5886</Words>
  <Characters>33551</Characters>
  <Application>Microsoft Office Word</Application>
  <DocSecurity>8</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2022-04-11T15:48:00Z</dcterms:created>
  <dcterms:modified xsi:type="dcterms:W3CDTF">2022-04-11T16:07:00Z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