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578A4" w:rsidRDefault="000A7622" w:rsidP="000A7622">
      <w:pPr>
        <w:pStyle w:val="Default"/>
        <w:rPr>
          <w:rFonts w:asciiTheme="minorHAnsi" w:hAnsiTheme="minorHAnsi" w:cstheme="minorHAnsi"/>
          <w:sz w:val="22"/>
          <w:szCs w:val="22"/>
        </w:rPr>
      </w:pPr>
    </w:p>
    <w:p w14:paraId="2538F7F5" w14:textId="77777777" w:rsidR="000A7622" w:rsidRPr="000578A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578A4">
        <w:rPr>
          <w:rFonts w:cstheme="minorHAnsi"/>
          <w:b/>
          <w:bCs/>
          <w:color w:val="316192"/>
          <w:sz w:val="28"/>
          <w:szCs w:val="26"/>
        </w:rPr>
        <w:t>Marquette University</w:t>
      </w:r>
    </w:p>
    <w:p w14:paraId="158D4B9F" w14:textId="77777777" w:rsidR="000A7622" w:rsidRPr="000578A4" w:rsidRDefault="000A7622" w:rsidP="00D14423">
      <w:pPr>
        <w:autoSpaceDE w:val="0"/>
        <w:autoSpaceDN w:val="0"/>
        <w:adjustRightInd w:val="0"/>
        <w:rPr>
          <w:rFonts w:cstheme="minorHAnsi"/>
          <w:b/>
          <w:bCs/>
          <w:color w:val="316192"/>
          <w:sz w:val="40"/>
          <w:szCs w:val="36"/>
        </w:rPr>
      </w:pPr>
      <w:proofErr w:type="spellStart"/>
      <w:r w:rsidRPr="000578A4">
        <w:rPr>
          <w:rFonts w:cstheme="minorHAnsi"/>
          <w:b/>
          <w:bCs/>
          <w:color w:val="316192"/>
          <w:sz w:val="40"/>
          <w:szCs w:val="36"/>
        </w:rPr>
        <w:t>e-Publications@Marquette</w:t>
      </w:r>
      <w:proofErr w:type="spellEnd"/>
    </w:p>
    <w:p w14:paraId="689ACF87" w14:textId="77777777" w:rsidR="000A7622" w:rsidRPr="000578A4" w:rsidRDefault="000A7622" w:rsidP="00D14423">
      <w:pPr>
        <w:autoSpaceDE w:val="0"/>
        <w:autoSpaceDN w:val="0"/>
        <w:adjustRightInd w:val="0"/>
        <w:rPr>
          <w:rFonts w:cstheme="minorHAnsi"/>
          <w:b/>
          <w:bCs/>
          <w:i/>
          <w:iCs/>
        </w:rPr>
      </w:pPr>
    </w:p>
    <w:bookmarkEnd w:id="0"/>
    <w:p w14:paraId="2A38AFE1" w14:textId="375831D4" w:rsidR="000A7622" w:rsidRPr="000578A4" w:rsidRDefault="000A7622" w:rsidP="00D14423">
      <w:pPr>
        <w:rPr>
          <w:rFonts w:cstheme="minorHAnsi"/>
          <w:sz w:val="24"/>
          <w:szCs w:val="24"/>
        </w:rPr>
      </w:pPr>
      <w:r w:rsidRPr="000578A4">
        <w:rPr>
          <w:rFonts w:cstheme="minorHAnsi"/>
          <w:i/>
          <w:sz w:val="24"/>
          <w:szCs w:val="24"/>
          <w:lang w:val="fr-FR"/>
        </w:rPr>
        <w:t>Journal</w:t>
      </w:r>
      <w:r w:rsidR="00A72E2D">
        <w:rPr>
          <w:rFonts w:cstheme="minorHAnsi"/>
          <w:i/>
          <w:sz w:val="24"/>
          <w:szCs w:val="24"/>
          <w:lang w:val="fr-FR"/>
        </w:rPr>
        <w:t xml:space="preserve"> of </w:t>
      </w:r>
      <w:proofErr w:type="spellStart"/>
      <w:r w:rsidR="00A72E2D">
        <w:rPr>
          <w:rFonts w:cstheme="minorHAnsi"/>
          <w:i/>
          <w:sz w:val="24"/>
          <w:szCs w:val="24"/>
          <w:lang w:val="fr-FR"/>
        </w:rPr>
        <w:t>Organization</w:t>
      </w:r>
      <w:proofErr w:type="spellEnd"/>
      <w:r w:rsidR="00A72E2D">
        <w:rPr>
          <w:rFonts w:cstheme="minorHAnsi"/>
          <w:i/>
          <w:sz w:val="24"/>
          <w:szCs w:val="24"/>
          <w:lang w:val="fr-FR"/>
        </w:rPr>
        <w:t xml:space="preserve"> Design</w:t>
      </w:r>
      <w:r w:rsidRPr="000578A4">
        <w:rPr>
          <w:rFonts w:cstheme="minorHAnsi"/>
          <w:sz w:val="24"/>
          <w:szCs w:val="24"/>
          <w:lang w:val="fr-FR"/>
        </w:rPr>
        <w:t xml:space="preserve">, Vol. </w:t>
      </w:r>
      <w:r w:rsidR="00A72E2D">
        <w:rPr>
          <w:rFonts w:cstheme="minorHAnsi"/>
          <w:sz w:val="24"/>
          <w:szCs w:val="24"/>
          <w:lang w:val="fr-FR"/>
        </w:rPr>
        <w:t>7</w:t>
      </w:r>
      <w:r w:rsidRPr="000578A4">
        <w:rPr>
          <w:rFonts w:cstheme="minorHAnsi"/>
          <w:sz w:val="24"/>
          <w:szCs w:val="24"/>
          <w:lang w:val="fr-FR"/>
        </w:rPr>
        <w:t xml:space="preserve">, No. </w:t>
      </w:r>
      <w:r w:rsidR="00A72E2D">
        <w:rPr>
          <w:rFonts w:cstheme="minorHAnsi"/>
          <w:sz w:val="24"/>
          <w:szCs w:val="24"/>
          <w:lang w:val="fr-FR"/>
        </w:rPr>
        <w:t>8</w:t>
      </w:r>
      <w:r w:rsidRPr="000578A4">
        <w:rPr>
          <w:rFonts w:cstheme="minorHAnsi"/>
          <w:sz w:val="24"/>
          <w:szCs w:val="24"/>
          <w:lang w:val="fr-FR"/>
        </w:rPr>
        <w:t xml:space="preserve"> (</w:t>
      </w:r>
      <w:r w:rsidR="00A8213C">
        <w:rPr>
          <w:rFonts w:cstheme="minorHAnsi"/>
          <w:sz w:val="24"/>
          <w:szCs w:val="24"/>
          <w:lang w:val="fr-FR"/>
        </w:rPr>
        <w:t>2018</w:t>
      </w:r>
      <w:r w:rsidRPr="000578A4">
        <w:rPr>
          <w:rFonts w:cstheme="minorHAnsi"/>
          <w:sz w:val="24"/>
          <w:szCs w:val="24"/>
          <w:lang w:val="fr-FR"/>
        </w:rPr>
        <w:t xml:space="preserve">). </w:t>
      </w:r>
      <w:hyperlink r:id="rId8" w:history="1">
        <w:r w:rsidRPr="000578A4">
          <w:rPr>
            <w:rFonts w:cstheme="minorHAnsi"/>
            <w:color w:val="0563C1" w:themeColor="hyperlink"/>
            <w:sz w:val="24"/>
            <w:szCs w:val="24"/>
            <w:u w:val="single"/>
            <w:lang w:val="fr-FR"/>
          </w:rPr>
          <w:t>DOI</w:t>
        </w:r>
      </w:hyperlink>
      <w:r w:rsidRPr="000578A4">
        <w:rPr>
          <w:rFonts w:cstheme="minorHAnsi"/>
          <w:sz w:val="24"/>
          <w:szCs w:val="24"/>
          <w:lang w:val="fr-FR"/>
        </w:rPr>
        <w:t xml:space="preserve">. </w:t>
      </w:r>
      <w:r w:rsidRPr="000578A4">
        <w:rPr>
          <w:rFonts w:cstheme="minorHAnsi"/>
          <w:sz w:val="24"/>
          <w:szCs w:val="24"/>
        </w:rPr>
        <w:t xml:space="preserve">This article is © </w:t>
      </w:r>
      <w:r w:rsidR="00A8213C">
        <w:rPr>
          <w:rFonts w:cstheme="minorHAnsi"/>
          <w:sz w:val="24"/>
          <w:szCs w:val="24"/>
        </w:rPr>
        <w:t>The Authors</w:t>
      </w:r>
      <w:r w:rsidRPr="000578A4">
        <w:rPr>
          <w:rFonts w:cstheme="minorHAnsi"/>
          <w:sz w:val="24"/>
          <w:szCs w:val="24"/>
        </w:rPr>
        <w:t xml:space="preserve"> and permission has been granted for this version to appear in </w:t>
      </w:r>
      <w:hyperlink r:id="rId9" w:history="1">
        <w:proofErr w:type="spellStart"/>
        <w:r w:rsidRPr="000578A4">
          <w:rPr>
            <w:rFonts w:cstheme="minorHAnsi"/>
            <w:color w:val="0563C1" w:themeColor="hyperlink"/>
            <w:sz w:val="24"/>
            <w:szCs w:val="24"/>
            <w:u w:val="single"/>
          </w:rPr>
          <w:t>e-Publications@Marquette</w:t>
        </w:r>
        <w:proofErr w:type="spellEnd"/>
      </w:hyperlink>
      <w:r w:rsidRPr="000578A4">
        <w:rPr>
          <w:rFonts w:cstheme="minorHAnsi"/>
          <w:sz w:val="24"/>
          <w:szCs w:val="24"/>
        </w:rPr>
        <w:t xml:space="preserve">. </w:t>
      </w:r>
      <w:r w:rsidR="009C3A49" w:rsidRPr="009C3A49">
        <w:rPr>
          <w:rFonts w:cstheme="minorHAnsi"/>
          <w:sz w:val="24"/>
          <w:szCs w:val="24"/>
        </w:rPr>
        <w:t>This article is distributed under the terms o</w:t>
      </w:r>
      <w:bookmarkStart w:id="2" w:name="_GoBack"/>
      <w:bookmarkEnd w:id="2"/>
      <w:r w:rsidR="009C3A49" w:rsidRPr="009C3A49">
        <w:rPr>
          <w:rFonts w:cstheme="minorHAnsi"/>
          <w:sz w:val="24"/>
          <w:szCs w:val="24"/>
        </w:rPr>
        <w:t>f the Creative Commons Attribution 4.0 International License (http://creativecommons.org/licenses/by/4.0/), which permits unrestricted use, distribution, and reproduction in any medium, provided you give appropriate credit to the original author(s) and the source, provide a link to the Creative Commons license, and indicate if changes were made.</w:t>
      </w:r>
      <w:r w:rsidRPr="000578A4">
        <w:rPr>
          <w:rFonts w:cstheme="minorHAnsi"/>
          <w:sz w:val="24"/>
          <w:szCs w:val="24"/>
        </w:rPr>
        <w:t xml:space="preserve">. </w:t>
      </w:r>
    </w:p>
    <w:p w14:paraId="1BC37AAE" w14:textId="6C5209B1" w:rsidR="001B1555" w:rsidRPr="000578A4" w:rsidRDefault="001B1555" w:rsidP="00D14423">
      <w:pPr>
        <w:rPr>
          <w:rFonts w:cstheme="minorHAnsi"/>
          <w:sz w:val="24"/>
          <w:szCs w:val="24"/>
        </w:rPr>
      </w:pPr>
    </w:p>
    <w:p w14:paraId="6F180012" w14:textId="024CF407" w:rsidR="001B1555" w:rsidRPr="000578A4" w:rsidRDefault="001B1555" w:rsidP="001C40E7">
      <w:pPr>
        <w:pStyle w:val="Title"/>
        <w:rPr>
          <w:rFonts w:asciiTheme="minorHAnsi" w:hAnsiTheme="minorHAnsi" w:cstheme="minorHAnsi"/>
          <w:lang w:val="en"/>
        </w:rPr>
      </w:pPr>
      <w:r w:rsidRPr="000578A4">
        <w:rPr>
          <w:rFonts w:asciiTheme="minorHAnsi" w:hAnsiTheme="minorHAnsi" w:cstheme="minorHAnsi"/>
          <w:lang w:val="en"/>
        </w:rPr>
        <w:t xml:space="preserve">When </w:t>
      </w:r>
      <w:r w:rsidR="001C40E7" w:rsidRPr="000578A4">
        <w:rPr>
          <w:rFonts w:asciiTheme="minorHAnsi" w:hAnsiTheme="minorHAnsi" w:cstheme="minorHAnsi"/>
          <w:lang w:val="en"/>
        </w:rPr>
        <w:t>Firms Learn from Prior Acquisition Experience</w:t>
      </w:r>
    </w:p>
    <w:p w14:paraId="5D3A6ECF" w14:textId="77777777" w:rsidR="001C40E7" w:rsidRPr="000578A4" w:rsidRDefault="001C40E7" w:rsidP="001C40E7">
      <w:pPr>
        <w:rPr>
          <w:rFonts w:cstheme="minorHAnsi"/>
          <w:lang w:val="en"/>
        </w:rPr>
      </w:pPr>
    </w:p>
    <w:p w14:paraId="52958186" w14:textId="0DC0F16C" w:rsidR="00E56AC0" w:rsidRPr="000578A4" w:rsidRDefault="00E56AC0" w:rsidP="001C40E7">
      <w:pPr>
        <w:pStyle w:val="NoSpacing"/>
        <w:rPr>
          <w:rFonts w:cstheme="minorHAnsi"/>
          <w:sz w:val="28"/>
        </w:rPr>
      </w:pPr>
      <w:r w:rsidRPr="000578A4">
        <w:rPr>
          <w:rFonts w:cstheme="minorHAnsi"/>
          <w:sz w:val="28"/>
        </w:rPr>
        <w:t xml:space="preserve">Kalin D. </w:t>
      </w:r>
      <w:proofErr w:type="spellStart"/>
      <w:r w:rsidRPr="000578A4">
        <w:rPr>
          <w:rFonts w:cstheme="minorHAnsi"/>
          <w:sz w:val="28"/>
        </w:rPr>
        <w:t>Kolevl</w:t>
      </w:r>
      <w:proofErr w:type="spellEnd"/>
      <w:r w:rsidRPr="000578A4">
        <w:rPr>
          <w:rFonts w:cstheme="minorHAnsi"/>
          <w:sz w:val="28"/>
        </w:rPr>
        <w:t xml:space="preserve"> </w:t>
      </w:r>
    </w:p>
    <w:p w14:paraId="3DFA764E" w14:textId="42022D73" w:rsidR="0074167C" w:rsidRPr="000578A4" w:rsidRDefault="0074167C" w:rsidP="001C40E7">
      <w:pPr>
        <w:pStyle w:val="NoSpacing"/>
        <w:rPr>
          <w:rFonts w:cstheme="minorHAnsi"/>
        </w:rPr>
      </w:pPr>
      <w:r w:rsidRPr="000578A4">
        <w:rPr>
          <w:rFonts w:cstheme="minorHAnsi"/>
        </w:rPr>
        <w:t>Department of Management, College of Business Administration, Marquette University, Milwaukee, WI</w:t>
      </w:r>
    </w:p>
    <w:p w14:paraId="224AAC56" w14:textId="3018B0E1" w:rsidR="001B1555" w:rsidRPr="000578A4" w:rsidRDefault="00E56AC0" w:rsidP="001C40E7">
      <w:pPr>
        <w:pStyle w:val="NoSpacing"/>
        <w:rPr>
          <w:rFonts w:cstheme="minorHAnsi"/>
          <w:sz w:val="28"/>
        </w:rPr>
      </w:pPr>
      <w:proofErr w:type="spellStart"/>
      <w:r w:rsidRPr="000578A4">
        <w:rPr>
          <w:rFonts w:cstheme="minorHAnsi"/>
          <w:sz w:val="28"/>
        </w:rPr>
        <w:t>Jerayr</w:t>
      </w:r>
      <w:proofErr w:type="spellEnd"/>
      <w:r w:rsidRPr="000578A4">
        <w:rPr>
          <w:rFonts w:cstheme="minorHAnsi"/>
          <w:sz w:val="28"/>
        </w:rPr>
        <w:t xml:space="preserve"> (John) </w:t>
      </w:r>
      <w:proofErr w:type="spellStart"/>
      <w:r w:rsidRPr="000578A4">
        <w:rPr>
          <w:rFonts w:cstheme="minorHAnsi"/>
          <w:sz w:val="28"/>
        </w:rPr>
        <w:t>Haleblian</w:t>
      </w:r>
      <w:proofErr w:type="spellEnd"/>
    </w:p>
    <w:p w14:paraId="3E466CAC" w14:textId="5F8B6E05" w:rsidR="001C40E7" w:rsidRPr="000578A4" w:rsidRDefault="001C40E7" w:rsidP="001C40E7">
      <w:pPr>
        <w:pStyle w:val="NoSpacing"/>
        <w:rPr>
          <w:rFonts w:cstheme="minorHAnsi"/>
        </w:rPr>
      </w:pPr>
      <w:r w:rsidRPr="000578A4">
        <w:rPr>
          <w:rFonts w:cstheme="minorHAnsi"/>
        </w:rPr>
        <w:t>School of Business Administration, University of California-Riverside, Riverside, CA</w:t>
      </w:r>
    </w:p>
    <w:p w14:paraId="4F36BBAD" w14:textId="77777777" w:rsidR="00D64E39" w:rsidRPr="000578A4" w:rsidRDefault="00D64E39" w:rsidP="003B1708">
      <w:pPr>
        <w:pStyle w:val="Heading1"/>
        <w:rPr>
          <w:rFonts w:asciiTheme="minorHAnsi" w:hAnsiTheme="minorHAnsi" w:cstheme="minorHAnsi"/>
        </w:rPr>
      </w:pPr>
      <w:hyperlink r:id="rId10" w:anchor="Abstract" w:history="1">
        <w:r w:rsidRPr="000578A4">
          <w:rPr>
            <w:rStyle w:val="Hyperlink"/>
            <w:rFonts w:asciiTheme="minorHAnsi" w:hAnsiTheme="minorHAnsi" w:cstheme="minorHAnsi"/>
          </w:rPr>
          <w:br/>
          <w:t>Abstract</w:t>
        </w:r>
      </w:hyperlink>
    </w:p>
    <w:p w14:paraId="01CAABBA" w14:textId="77777777" w:rsidR="00D64E39" w:rsidRPr="00D64E39" w:rsidRDefault="00D64E39" w:rsidP="00D64E39">
      <w:pPr>
        <w:pStyle w:val="NoSpacing"/>
        <w:rPr>
          <w:rFonts w:cstheme="minorHAnsi"/>
        </w:rPr>
      </w:pPr>
      <w:r w:rsidRPr="00D64E39">
        <w:rPr>
          <w:rFonts w:cstheme="minorHAnsi"/>
        </w:rPr>
        <w:t>Acquisition experience is commonly viewed as an important determinant of subsequent acquisition success. Yet, empirical evidence suggests that acquisition experience may not be positively associated with acquisition performance and could even hurt performance. In this article, we highlight specific practices that facilitate and impede learning from acquisitions and draw implications for managers. In particular, we suggest that managers (1) expand time between acquisitions, (2) implement strong governance mechanisms and top management team diversity, (3) use similar-context experience, (4) avoid herding behavior in acquisitions, and (5) minimize blind reliance on financial advisors to effectively transfer prior acquisition experience into acquisition success.</w:t>
      </w:r>
    </w:p>
    <w:p w14:paraId="572AA3CF" w14:textId="77777777" w:rsidR="00D64E39" w:rsidRPr="000578A4" w:rsidRDefault="00D64E39" w:rsidP="003B1708">
      <w:pPr>
        <w:pStyle w:val="Heading1"/>
        <w:rPr>
          <w:rFonts w:asciiTheme="minorHAnsi" w:hAnsiTheme="minorHAnsi" w:cstheme="minorHAnsi"/>
        </w:rPr>
      </w:pPr>
      <w:hyperlink r:id="rId11" w:anchor="Keywords" w:history="1">
        <w:r w:rsidRPr="000578A4">
          <w:rPr>
            <w:rStyle w:val="Hyperlink"/>
            <w:rFonts w:asciiTheme="minorHAnsi" w:hAnsiTheme="minorHAnsi" w:cstheme="minorHAnsi"/>
          </w:rPr>
          <w:t>Keywords</w:t>
        </w:r>
      </w:hyperlink>
    </w:p>
    <w:p w14:paraId="19DB209C" w14:textId="77777777" w:rsidR="00D64E39" w:rsidRPr="00D64E39" w:rsidRDefault="00D64E39" w:rsidP="00D64E39">
      <w:pPr>
        <w:pStyle w:val="NoSpacing"/>
        <w:numPr>
          <w:ilvl w:val="0"/>
          <w:numId w:val="1"/>
        </w:numPr>
        <w:rPr>
          <w:rFonts w:cstheme="minorHAnsi"/>
        </w:rPr>
      </w:pPr>
      <w:r w:rsidRPr="00D64E39">
        <w:rPr>
          <w:rFonts w:cstheme="minorHAnsi"/>
        </w:rPr>
        <w:t>Acquisition experience</w:t>
      </w:r>
    </w:p>
    <w:p w14:paraId="067EB414" w14:textId="77777777" w:rsidR="00D64E39" w:rsidRPr="00D64E39" w:rsidRDefault="00D64E39" w:rsidP="00D64E39">
      <w:pPr>
        <w:pStyle w:val="NoSpacing"/>
        <w:numPr>
          <w:ilvl w:val="0"/>
          <w:numId w:val="1"/>
        </w:numPr>
        <w:rPr>
          <w:rFonts w:cstheme="minorHAnsi"/>
        </w:rPr>
      </w:pPr>
      <w:r w:rsidRPr="00D64E39">
        <w:rPr>
          <w:rFonts w:cstheme="minorHAnsi"/>
        </w:rPr>
        <w:t>Acquisition transfer</w:t>
      </w:r>
    </w:p>
    <w:p w14:paraId="45CF079B" w14:textId="77777777" w:rsidR="00D64E39" w:rsidRPr="00D64E39" w:rsidRDefault="00D64E39" w:rsidP="00D64E39">
      <w:pPr>
        <w:pStyle w:val="NoSpacing"/>
        <w:numPr>
          <w:ilvl w:val="0"/>
          <w:numId w:val="1"/>
        </w:numPr>
        <w:rPr>
          <w:rFonts w:cstheme="minorHAnsi"/>
        </w:rPr>
      </w:pPr>
      <w:r w:rsidRPr="00D64E39">
        <w:rPr>
          <w:rFonts w:cstheme="minorHAnsi"/>
        </w:rPr>
        <w:t>Acquisition performance</w:t>
      </w:r>
    </w:p>
    <w:p w14:paraId="3263A2D2" w14:textId="77777777" w:rsidR="00D64E39" w:rsidRPr="000578A4" w:rsidRDefault="00D64E39" w:rsidP="003B1708">
      <w:pPr>
        <w:pStyle w:val="Heading1"/>
        <w:rPr>
          <w:rFonts w:asciiTheme="minorHAnsi" w:hAnsiTheme="minorHAnsi" w:cstheme="minorHAnsi"/>
        </w:rPr>
      </w:pPr>
      <w:hyperlink r:id="rId12" w:anchor="Introduction" w:history="1">
        <w:r w:rsidRPr="000578A4">
          <w:rPr>
            <w:rStyle w:val="Hyperlink"/>
            <w:rFonts w:asciiTheme="minorHAnsi" w:hAnsiTheme="minorHAnsi" w:cstheme="minorHAnsi"/>
          </w:rPr>
          <w:t>Introduction</w:t>
        </w:r>
      </w:hyperlink>
    </w:p>
    <w:p w14:paraId="336A2024" w14:textId="77777777" w:rsidR="00D64E39" w:rsidRPr="00D64E39" w:rsidRDefault="00D64E39" w:rsidP="00D64E39">
      <w:pPr>
        <w:pStyle w:val="NoSpacing"/>
        <w:rPr>
          <w:rFonts w:cstheme="minorHAnsi"/>
        </w:rPr>
      </w:pPr>
      <w:r w:rsidRPr="00D64E39">
        <w:rPr>
          <w:rFonts w:cstheme="minorHAnsi"/>
        </w:rPr>
        <w:t xml:space="preserve">Acquisitions are major strategic initiatives allowing the firm to grow, gain access to valuable assets and know-how, redeploy existing capabilities to new and underexplored markets, and achieve competitive advantage (see for review, </w:t>
      </w:r>
      <w:proofErr w:type="spellStart"/>
      <w:r w:rsidRPr="00D64E39">
        <w:rPr>
          <w:rFonts w:cstheme="minorHAnsi"/>
        </w:rPr>
        <w:t>Haleblian</w:t>
      </w:r>
      <w:proofErr w:type="spellEnd"/>
      <w:r w:rsidRPr="00D64E39">
        <w:rPr>
          <w:rFonts w:cstheme="minorHAnsi"/>
        </w:rPr>
        <w:t xml:space="preserve"> et al. </w:t>
      </w:r>
      <w:hyperlink r:id="rId13" w:anchor="CR16" w:history="1">
        <w:r w:rsidRPr="00D64E39">
          <w:rPr>
            <w:rStyle w:val="Hyperlink"/>
            <w:rFonts w:cstheme="minorHAnsi"/>
          </w:rPr>
          <w:t>2009</w:t>
        </w:r>
      </w:hyperlink>
      <w:r w:rsidRPr="00D64E39">
        <w:rPr>
          <w:rFonts w:cstheme="minorHAnsi"/>
        </w:rPr>
        <w:t xml:space="preserve">). Evidence shows the volume of global acquisition activities has seen a steady </w:t>
      </w:r>
      <w:r w:rsidRPr="00D64E39">
        <w:rPr>
          <w:rFonts w:cstheme="minorHAnsi"/>
        </w:rPr>
        <w:lastRenderedPageBreak/>
        <w:t>growth over the last decade with recent statistics showing that 2017 marked the fourth consecutive year of annual M&amp;A deals exceeding 3 trillion dollars (Massoudi et al. </w:t>
      </w:r>
      <w:hyperlink r:id="rId14" w:anchor="CR27" w:history="1">
        <w:r w:rsidRPr="00D64E39">
          <w:rPr>
            <w:rStyle w:val="Hyperlink"/>
            <w:rFonts w:cstheme="minorHAnsi"/>
          </w:rPr>
          <w:t>2017</w:t>
        </w:r>
      </w:hyperlink>
      <w:r w:rsidRPr="00D64E39">
        <w:rPr>
          <w:rFonts w:cstheme="minorHAnsi"/>
        </w:rPr>
        <w:t>). Not surprisingly, acquisitions have received considerable attention by academics and practitioners. An important question that drives a significant amount of research is focused on approaches to extract greater acquisition value.</w:t>
      </w:r>
    </w:p>
    <w:p w14:paraId="22328082" w14:textId="77777777" w:rsidR="003B1708" w:rsidRPr="000578A4" w:rsidRDefault="003B1708" w:rsidP="00D64E39">
      <w:pPr>
        <w:pStyle w:val="NoSpacing"/>
        <w:rPr>
          <w:rFonts w:cstheme="minorHAnsi"/>
        </w:rPr>
      </w:pPr>
    </w:p>
    <w:p w14:paraId="095FD45B" w14:textId="6CE4D7AA" w:rsidR="00D64E39" w:rsidRPr="00D64E39" w:rsidRDefault="00D64E39" w:rsidP="00D64E39">
      <w:pPr>
        <w:pStyle w:val="NoSpacing"/>
        <w:rPr>
          <w:rFonts w:cstheme="minorHAnsi"/>
        </w:rPr>
      </w:pPr>
      <w:r w:rsidRPr="00D64E39">
        <w:rPr>
          <w:rFonts w:cstheme="minorHAnsi"/>
        </w:rPr>
        <w:t>One seemingly obvious factor that should enhance acquisition performance is acquirer acquisition experience. Intuition, as well as theory on organization learning, suggests firms with more acquisition experience should perform better on their acquisitions than firms with limited acquisition experience. Specifically, it would be expected that firm managers learn from prior experiences and should encode such experience into organizational routines and practices (Nelson et al. </w:t>
      </w:r>
      <w:hyperlink r:id="rId15" w:anchor="CR32" w:history="1">
        <w:r w:rsidRPr="00D64E39">
          <w:rPr>
            <w:rStyle w:val="Hyperlink"/>
            <w:rFonts w:cstheme="minorHAnsi"/>
          </w:rPr>
          <w:t>1982</w:t>
        </w:r>
      </w:hyperlink>
      <w:r w:rsidRPr="00D64E39">
        <w:rPr>
          <w:rFonts w:cstheme="minorHAnsi"/>
        </w:rPr>
        <w:t xml:space="preserve">), which should benefit firms on subsequent acquisitions. Yet, empirical findings on the relationship between acquisition experience and acquisition performance show that acquisition experience is not associated with positive performance and is often even negatively related (see for review, </w:t>
      </w:r>
      <w:proofErr w:type="spellStart"/>
      <w:r w:rsidRPr="00D64E39">
        <w:rPr>
          <w:rFonts w:cstheme="minorHAnsi"/>
        </w:rPr>
        <w:t>Barkema</w:t>
      </w:r>
      <w:proofErr w:type="spellEnd"/>
      <w:r w:rsidRPr="00D64E39">
        <w:rPr>
          <w:rFonts w:cstheme="minorHAnsi"/>
        </w:rPr>
        <w:t xml:space="preserve"> and </w:t>
      </w:r>
      <w:proofErr w:type="spellStart"/>
      <w:r w:rsidRPr="00D64E39">
        <w:rPr>
          <w:rFonts w:cstheme="minorHAnsi"/>
        </w:rPr>
        <w:t>Schijven</w:t>
      </w:r>
      <w:proofErr w:type="spellEnd"/>
      <w:r w:rsidRPr="00D64E39">
        <w:rPr>
          <w:rFonts w:cstheme="minorHAnsi"/>
        </w:rPr>
        <w:t> </w:t>
      </w:r>
      <w:hyperlink r:id="rId16" w:anchor="CR2" w:history="1">
        <w:r w:rsidRPr="00D64E39">
          <w:rPr>
            <w:rStyle w:val="Hyperlink"/>
            <w:rFonts w:cstheme="minorHAnsi"/>
          </w:rPr>
          <w:t>2008</w:t>
        </w:r>
      </w:hyperlink>
      <w:r w:rsidRPr="00D64E39">
        <w:rPr>
          <w:rFonts w:cstheme="minorHAnsi"/>
        </w:rPr>
        <w:t>). This finding suggests that learning from acquisitions is not automatic and is a complicated endeavor (</w:t>
      </w:r>
      <w:proofErr w:type="spellStart"/>
      <w:r w:rsidRPr="00D64E39">
        <w:rPr>
          <w:rFonts w:cstheme="minorHAnsi"/>
        </w:rPr>
        <w:t>Zollo</w:t>
      </w:r>
      <w:proofErr w:type="spellEnd"/>
      <w:r w:rsidRPr="00D64E39">
        <w:rPr>
          <w:rFonts w:cstheme="minorHAnsi"/>
        </w:rPr>
        <w:t xml:space="preserve"> and Singh </w:t>
      </w:r>
      <w:hyperlink r:id="rId17" w:anchor="CR43" w:history="1">
        <w:r w:rsidRPr="00D64E39">
          <w:rPr>
            <w:rStyle w:val="Hyperlink"/>
            <w:rFonts w:cstheme="minorHAnsi"/>
          </w:rPr>
          <w:t>2004</w:t>
        </w:r>
      </w:hyperlink>
      <w:r w:rsidRPr="00D64E39">
        <w:rPr>
          <w:rFonts w:cstheme="minorHAnsi"/>
        </w:rPr>
        <w:t xml:space="preserve">; </w:t>
      </w:r>
      <w:proofErr w:type="spellStart"/>
      <w:r w:rsidRPr="00D64E39">
        <w:rPr>
          <w:rFonts w:cstheme="minorHAnsi"/>
        </w:rPr>
        <w:t>Zollo</w:t>
      </w:r>
      <w:proofErr w:type="spellEnd"/>
      <w:r w:rsidRPr="00D64E39">
        <w:rPr>
          <w:rFonts w:cstheme="minorHAnsi"/>
        </w:rPr>
        <w:t xml:space="preserve"> and Winter </w:t>
      </w:r>
      <w:hyperlink r:id="rId18" w:anchor="CR44" w:history="1">
        <w:r w:rsidRPr="00D64E39">
          <w:rPr>
            <w:rStyle w:val="Hyperlink"/>
            <w:rFonts w:cstheme="minorHAnsi"/>
          </w:rPr>
          <w:t>2002</w:t>
        </w:r>
      </w:hyperlink>
      <w:r w:rsidRPr="00D64E39">
        <w:rPr>
          <w:rFonts w:cstheme="minorHAnsi"/>
        </w:rPr>
        <w:t>). Acquisitions are idiosyncratic and distinct from each other, so applying acquisition experience to a current acquisition may be harmful. Firms assume they can learn from their experiences and attempt to do so even when those experiences are likely to be uninformative or otherwise ambiguously related to future decisions (</w:t>
      </w:r>
      <w:proofErr w:type="spellStart"/>
      <w:r w:rsidRPr="00D64E39">
        <w:rPr>
          <w:rFonts w:cstheme="minorHAnsi"/>
        </w:rPr>
        <w:t>Kardes</w:t>
      </w:r>
      <w:proofErr w:type="spellEnd"/>
      <w:r w:rsidRPr="00D64E39">
        <w:rPr>
          <w:rFonts w:cstheme="minorHAnsi"/>
        </w:rPr>
        <w:t xml:space="preserve"> et al. </w:t>
      </w:r>
      <w:hyperlink r:id="rId19" w:anchor="CR25" w:history="1">
        <w:r w:rsidRPr="00D64E39">
          <w:rPr>
            <w:rStyle w:val="Hyperlink"/>
            <w:rFonts w:cstheme="minorHAnsi"/>
          </w:rPr>
          <w:t>2005</w:t>
        </w:r>
      </w:hyperlink>
      <w:r w:rsidRPr="00D64E39">
        <w:rPr>
          <w:rFonts w:cstheme="minorHAnsi"/>
        </w:rPr>
        <w:t>). This is akin to the concept of “superstitious learning” from learning theory, which takes place when the connection between the cause of an action and the outcomes experienced are misattributed (Levitt and March </w:t>
      </w:r>
      <w:hyperlink r:id="rId20" w:anchor="CR26" w:history="1">
        <w:r w:rsidRPr="00D64E39">
          <w:rPr>
            <w:rStyle w:val="Hyperlink"/>
            <w:rFonts w:cstheme="minorHAnsi"/>
          </w:rPr>
          <w:t>1988</w:t>
        </w:r>
      </w:hyperlink>
      <w:r w:rsidRPr="00D64E39">
        <w:rPr>
          <w:rFonts w:cstheme="minorHAnsi"/>
        </w:rPr>
        <w:t>). Contrary to expectation for the positive benefits of acquisition experience, then, managers often inappropriately generalize acquisition experience to subsequent dissimilar acquisitions (</w:t>
      </w:r>
      <w:proofErr w:type="spellStart"/>
      <w:r w:rsidRPr="00D64E39">
        <w:rPr>
          <w:rFonts w:cstheme="minorHAnsi"/>
        </w:rPr>
        <w:t>Haleblian</w:t>
      </w:r>
      <w:proofErr w:type="spellEnd"/>
      <w:r w:rsidRPr="00D64E39">
        <w:rPr>
          <w:rFonts w:cstheme="minorHAnsi"/>
        </w:rPr>
        <w:t xml:space="preserve"> and Finkelstein </w:t>
      </w:r>
      <w:hyperlink r:id="rId21" w:anchor="CR17" w:history="1">
        <w:r w:rsidRPr="00D64E39">
          <w:rPr>
            <w:rStyle w:val="Hyperlink"/>
            <w:rFonts w:cstheme="minorHAnsi"/>
          </w:rPr>
          <w:t>1999</w:t>
        </w:r>
      </w:hyperlink>
      <w:r w:rsidRPr="00D64E39">
        <w:rPr>
          <w:rFonts w:cstheme="minorHAnsi"/>
        </w:rPr>
        <w:t>), which often hurts acquisition performance. Empirical findings also show that experience with prior small related acquisitions is negatively related to post-deal performance of large acquisitions (Ellis et al. </w:t>
      </w:r>
      <w:hyperlink r:id="rId22" w:anchor="CR11" w:history="1">
        <w:r w:rsidRPr="00D64E39">
          <w:rPr>
            <w:rStyle w:val="Hyperlink"/>
            <w:rFonts w:cstheme="minorHAnsi"/>
          </w:rPr>
          <w:t>2011</w:t>
        </w:r>
      </w:hyperlink>
      <w:r w:rsidRPr="00D64E39">
        <w:rPr>
          <w:rFonts w:cstheme="minorHAnsi"/>
        </w:rPr>
        <w:t>). Hence, if managers have conducted small, related acquisitions and transfer that experience to subsequent large deals, the firm loses value.</w:t>
      </w:r>
    </w:p>
    <w:p w14:paraId="57450FEA" w14:textId="77777777" w:rsidR="00770461" w:rsidRPr="000578A4" w:rsidRDefault="00770461" w:rsidP="00D64E39">
      <w:pPr>
        <w:pStyle w:val="NoSpacing"/>
        <w:rPr>
          <w:rFonts w:cstheme="minorHAnsi"/>
        </w:rPr>
      </w:pPr>
    </w:p>
    <w:p w14:paraId="3C626147" w14:textId="38FCDA07" w:rsidR="00D64E39" w:rsidRPr="00D64E39" w:rsidRDefault="00D64E39" w:rsidP="00D64E39">
      <w:pPr>
        <w:pStyle w:val="NoSpacing"/>
        <w:rPr>
          <w:rFonts w:cstheme="minorHAnsi"/>
        </w:rPr>
      </w:pPr>
      <w:r w:rsidRPr="00D64E39">
        <w:rPr>
          <w:rFonts w:cstheme="minorHAnsi"/>
        </w:rPr>
        <w:t xml:space="preserve">Although these are discouraging findings, we argue that under specific circumstances firms can effectively learn from acquisition experience. Specifically, we make the case that firms should not blindly follow the acquisition experience of external actors. Moreover, firms should emphasize internal arrangements that provide executives with </w:t>
      </w:r>
      <w:proofErr w:type="gramStart"/>
      <w:r w:rsidRPr="00D64E39">
        <w:rPr>
          <w:rFonts w:cstheme="minorHAnsi"/>
        </w:rPr>
        <w:t>sufficient</w:t>
      </w:r>
      <w:proofErr w:type="gramEnd"/>
      <w:r w:rsidRPr="00D64E39">
        <w:rPr>
          <w:rFonts w:cstheme="minorHAnsi"/>
        </w:rPr>
        <w:t xml:space="preserve"> time, skills, and motivation to diligently apply prior experience to subsequent acquisitions. We integrate extant research on acquisition experience in order to outline organizational design practices that facilitate managers to learn more effectively from acquisition experience.</w:t>
      </w:r>
    </w:p>
    <w:p w14:paraId="253ABFCE" w14:textId="77777777" w:rsidR="00D64E39" w:rsidRPr="000578A4" w:rsidRDefault="00D64E39" w:rsidP="00770461">
      <w:pPr>
        <w:pStyle w:val="Heading1"/>
        <w:rPr>
          <w:rFonts w:asciiTheme="minorHAnsi" w:hAnsiTheme="minorHAnsi" w:cstheme="minorHAnsi"/>
        </w:rPr>
      </w:pPr>
      <w:hyperlink r:id="rId23" w:anchor="Practicesunderminingsuccessfullearningfromacquisitionexperience" w:history="1">
        <w:r w:rsidRPr="000578A4">
          <w:rPr>
            <w:rStyle w:val="Hyperlink"/>
            <w:rFonts w:asciiTheme="minorHAnsi" w:hAnsiTheme="minorHAnsi" w:cstheme="minorHAnsi"/>
          </w:rPr>
          <w:t>Practices undermining successful learning from acquisition experience</w:t>
        </w:r>
      </w:hyperlink>
    </w:p>
    <w:p w14:paraId="59DD0199" w14:textId="77777777" w:rsidR="00D64E39" w:rsidRPr="000578A4" w:rsidRDefault="00D64E39" w:rsidP="00770461">
      <w:pPr>
        <w:pStyle w:val="Heading2"/>
        <w:rPr>
          <w:rFonts w:asciiTheme="minorHAnsi" w:hAnsiTheme="minorHAnsi" w:cstheme="minorHAnsi"/>
        </w:rPr>
      </w:pPr>
      <w:r w:rsidRPr="000578A4">
        <w:rPr>
          <w:rFonts w:asciiTheme="minorHAnsi" w:hAnsiTheme="minorHAnsi" w:cstheme="minorHAnsi"/>
        </w:rPr>
        <w:t>Herding behaviors</w:t>
      </w:r>
    </w:p>
    <w:p w14:paraId="0E933A87" w14:textId="77777777" w:rsidR="00D64E39" w:rsidRPr="00D64E39" w:rsidRDefault="00D64E39" w:rsidP="00D64E39">
      <w:pPr>
        <w:pStyle w:val="NoSpacing"/>
        <w:rPr>
          <w:rFonts w:cstheme="minorHAnsi"/>
        </w:rPr>
      </w:pPr>
      <w:r w:rsidRPr="00D64E39">
        <w:rPr>
          <w:rFonts w:cstheme="minorHAnsi"/>
        </w:rPr>
        <w:t>Research outside the context of acquisitions shows that firms benefit from vicarious learning, which is learning through the observation of other firms’ strategic choices (Ingram and Baum </w:t>
      </w:r>
      <w:hyperlink r:id="rId24" w:anchor="CR23" w:history="1">
        <w:r w:rsidRPr="00D64E39">
          <w:rPr>
            <w:rStyle w:val="Hyperlink"/>
            <w:rFonts w:cstheme="minorHAnsi"/>
          </w:rPr>
          <w:t>1997</w:t>
        </w:r>
      </w:hyperlink>
      <w:r w:rsidRPr="00D64E39">
        <w:rPr>
          <w:rFonts w:cstheme="minorHAnsi"/>
        </w:rPr>
        <w:t>; Shaver et al. </w:t>
      </w:r>
      <w:hyperlink r:id="rId25" w:anchor="CR37" w:history="1">
        <w:r w:rsidRPr="00D64E39">
          <w:rPr>
            <w:rStyle w:val="Hyperlink"/>
            <w:rFonts w:cstheme="minorHAnsi"/>
          </w:rPr>
          <w:t>1997</w:t>
        </w:r>
      </w:hyperlink>
      <w:r w:rsidRPr="00D64E39">
        <w:rPr>
          <w:rFonts w:cstheme="minorHAnsi"/>
        </w:rPr>
        <w:t xml:space="preserve">). The vicarious learning rationale behind these arguments is that a focal firm can explore different ways of conducting tasks without experiencing the costs and risks associated with experimenting with those tasks (Miner and </w:t>
      </w:r>
      <w:proofErr w:type="spellStart"/>
      <w:r w:rsidRPr="00D64E39">
        <w:rPr>
          <w:rFonts w:cstheme="minorHAnsi"/>
        </w:rPr>
        <w:t>Haunschild</w:t>
      </w:r>
      <w:proofErr w:type="spellEnd"/>
      <w:r w:rsidRPr="00D64E39">
        <w:rPr>
          <w:rFonts w:cstheme="minorHAnsi"/>
        </w:rPr>
        <w:t> </w:t>
      </w:r>
      <w:hyperlink r:id="rId26" w:anchor="CR29" w:history="1">
        <w:r w:rsidRPr="00D64E39">
          <w:rPr>
            <w:rStyle w:val="Hyperlink"/>
            <w:rFonts w:cstheme="minorHAnsi"/>
          </w:rPr>
          <w:t>1995</w:t>
        </w:r>
      </w:hyperlink>
      <w:r w:rsidRPr="00D64E39">
        <w:rPr>
          <w:rFonts w:cstheme="minorHAnsi"/>
        </w:rPr>
        <w:t>). In terms of acquisitions, the focal acquirer can observe and then repeat the acquisition choices of other firms. However, observing others does not automatically translate into learning because “knowledge does not transfer easily between organizations” (Baum and Ingram </w:t>
      </w:r>
      <w:hyperlink r:id="rId27" w:anchor="CR3" w:history="1">
        <w:r w:rsidRPr="00D64E39">
          <w:rPr>
            <w:rStyle w:val="Hyperlink"/>
            <w:rFonts w:cstheme="minorHAnsi"/>
          </w:rPr>
          <w:t>2002</w:t>
        </w:r>
      </w:hyperlink>
      <w:r w:rsidRPr="00D64E39">
        <w:rPr>
          <w:rFonts w:cstheme="minorHAnsi"/>
        </w:rPr>
        <w:t>: 5). Trying to follow rivals without understanding the motives and underlying capabilities behind rivals’ behaviors often damages the focal firm, especially in contexts of intense competition.</w:t>
      </w:r>
    </w:p>
    <w:p w14:paraId="2CCD9403" w14:textId="77777777" w:rsidR="00770461" w:rsidRPr="000578A4" w:rsidRDefault="00770461" w:rsidP="00D64E39">
      <w:pPr>
        <w:pStyle w:val="NoSpacing"/>
        <w:rPr>
          <w:rFonts w:cstheme="minorHAnsi"/>
        </w:rPr>
      </w:pPr>
    </w:p>
    <w:p w14:paraId="41390EC1" w14:textId="41A9DE9A" w:rsidR="00D64E39" w:rsidRPr="00D64E39" w:rsidRDefault="00D64E39" w:rsidP="00D64E39">
      <w:pPr>
        <w:pStyle w:val="NoSpacing"/>
        <w:rPr>
          <w:rFonts w:cstheme="minorHAnsi"/>
        </w:rPr>
      </w:pPr>
      <w:r w:rsidRPr="00D64E39">
        <w:rPr>
          <w:rFonts w:cstheme="minorHAnsi"/>
        </w:rPr>
        <w:t>One such context is merger waves (defined as periods of time with increased rate of activity which is sustained for a limited time period before returning to the previous level of merger frequency). Over 50% of acquisitions that occurred over the last century took place in merger and acquisition waves (Stearns and Allan </w:t>
      </w:r>
      <w:hyperlink r:id="rId28" w:anchor="CR39" w:history="1">
        <w:r w:rsidRPr="00D64E39">
          <w:rPr>
            <w:rStyle w:val="Hyperlink"/>
            <w:rFonts w:cstheme="minorHAnsi"/>
          </w:rPr>
          <w:t>1996</w:t>
        </w:r>
      </w:hyperlink>
      <w:r w:rsidRPr="00D64E39">
        <w:rPr>
          <w:rFonts w:cstheme="minorHAnsi"/>
        </w:rPr>
        <w:t xml:space="preserve">). In fact, the observation that mergers and acquisitions often occur in waves is one of the “most consistent empirical </w:t>
      </w:r>
      <w:r w:rsidRPr="00D64E39">
        <w:rPr>
          <w:rFonts w:cstheme="minorHAnsi"/>
        </w:rPr>
        <w:lastRenderedPageBreak/>
        <w:t>features of merger activity” (Andrade et al. </w:t>
      </w:r>
      <w:hyperlink r:id="rId29" w:anchor="CR1" w:history="1">
        <w:r w:rsidRPr="00D64E39">
          <w:rPr>
            <w:rStyle w:val="Hyperlink"/>
            <w:rFonts w:cstheme="minorHAnsi"/>
          </w:rPr>
          <w:t>2001</w:t>
        </w:r>
      </w:hyperlink>
      <w:r w:rsidRPr="00D64E39">
        <w:rPr>
          <w:rFonts w:cstheme="minorHAnsi"/>
        </w:rPr>
        <w:t>: 104)</w:t>
      </w:r>
      <w:r w:rsidRPr="00D64E39">
        <w:rPr>
          <w:rFonts w:cstheme="minorHAnsi"/>
          <w:i/>
          <w:iCs/>
        </w:rPr>
        <w:t>.</w:t>
      </w:r>
      <w:r w:rsidRPr="00D64E39">
        <w:rPr>
          <w:rFonts w:cstheme="minorHAnsi"/>
        </w:rPr>
        <w:t> During acquisition waves, later movers within the wave tend to follow the actions of early movers (</w:t>
      </w:r>
      <w:proofErr w:type="spellStart"/>
      <w:r w:rsidRPr="00D64E39">
        <w:rPr>
          <w:rFonts w:cstheme="minorHAnsi"/>
        </w:rPr>
        <w:t>Haleblian</w:t>
      </w:r>
      <w:proofErr w:type="spellEnd"/>
      <w:r w:rsidRPr="00D64E39">
        <w:rPr>
          <w:rFonts w:cstheme="minorHAnsi"/>
        </w:rPr>
        <w:t xml:space="preserve"> et al. </w:t>
      </w:r>
      <w:hyperlink r:id="rId30" w:anchor="CR18" w:history="1">
        <w:r w:rsidRPr="00D64E39">
          <w:rPr>
            <w:rStyle w:val="Hyperlink"/>
            <w:rFonts w:cstheme="minorHAnsi"/>
          </w:rPr>
          <w:t>2012</w:t>
        </w:r>
      </w:hyperlink>
      <w:r w:rsidRPr="00D64E39">
        <w:rPr>
          <w:rFonts w:cstheme="minorHAnsi"/>
        </w:rPr>
        <w:t>). However, research suggests that follower firms who succumb to competitive pressures and engage in herding behavior by pursuing acquisitions are penalized by the market (</w:t>
      </w:r>
      <w:proofErr w:type="spellStart"/>
      <w:r w:rsidRPr="00D64E39">
        <w:rPr>
          <w:rFonts w:cstheme="minorHAnsi"/>
        </w:rPr>
        <w:t>Carow</w:t>
      </w:r>
      <w:proofErr w:type="spellEnd"/>
      <w:r w:rsidRPr="00D64E39">
        <w:rPr>
          <w:rFonts w:cstheme="minorHAnsi"/>
        </w:rPr>
        <w:t xml:space="preserve"> et al. </w:t>
      </w:r>
      <w:hyperlink r:id="rId31" w:anchor="CR7" w:history="1">
        <w:r w:rsidRPr="00D64E39">
          <w:rPr>
            <w:rStyle w:val="Hyperlink"/>
            <w:rFonts w:cstheme="minorHAnsi"/>
          </w:rPr>
          <w:t>2004</w:t>
        </w:r>
      </w:hyperlink>
      <w:r w:rsidRPr="00D64E39">
        <w:rPr>
          <w:rFonts w:cstheme="minorHAnsi"/>
        </w:rPr>
        <w:t>; McNamara et al. </w:t>
      </w:r>
      <w:hyperlink r:id="rId32" w:anchor="CR28" w:history="1">
        <w:r w:rsidRPr="00D64E39">
          <w:rPr>
            <w:rStyle w:val="Hyperlink"/>
            <w:rFonts w:cstheme="minorHAnsi"/>
          </w:rPr>
          <w:t>2008</w:t>
        </w:r>
      </w:hyperlink>
      <w:r w:rsidRPr="00D64E39">
        <w:rPr>
          <w:rFonts w:cstheme="minorHAnsi"/>
        </w:rPr>
        <w:t xml:space="preserve">). Thus, in the context of acquisitions, attempting to learn from the experience of other firms carries a high risk of merger and acquisition failure. To prevent this, firms might design manuals with detailed instructions and guidance on prioritizing due </w:t>
      </w:r>
      <w:proofErr w:type="gramStart"/>
      <w:r w:rsidRPr="00D64E39">
        <w:rPr>
          <w:rFonts w:cstheme="minorHAnsi"/>
        </w:rPr>
        <w:t>diligence, and</w:t>
      </w:r>
      <w:proofErr w:type="gramEnd"/>
      <w:r w:rsidRPr="00D64E39">
        <w:rPr>
          <w:rFonts w:cstheme="minorHAnsi"/>
        </w:rPr>
        <w:t xml:space="preserve"> avoid following the crowd in acquisition processes.</w:t>
      </w:r>
    </w:p>
    <w:p w14:paraId="44F7E76B" w14:textId="77777777" w:rsidR="00D64E39" w:rsidRPr="000578A4" w:rsidRDefault="00D64E39" w:rsidP="00770461">
      <w:pPr>
        <w:pStyle w:val="Heading2"/>
        <w:rPr>
          <w:rFonts w:asciiTheme="minorHAnsi" w:hAnsiTheme="minorHAnsi" w:cstheme="minorHAnsi"/>
        </w:rPr>
      </w:pPr>
      <w:r w:rsidRPr="000578A4">
        <w:rPr>
          <w:rFonts w:asciiTheme="minorHAnsi" w:hAnsiTheme="minorHAnsi" w:cstheme="minorHAnsi"/>
        </w:rPr>
        <w:t>Relying blindly on financial advisor acquisition experience</w:t>
      </w:r>
    </w:p>
    <w:p w14:paraId="7575BD86" w14:textId="77777777" w:rsidR="00D64E39" w:rsidRPr="00D64E39" w:rsidRDefault="00D64E39" w:rsidP="00D64E39">
      <w:pPr>
        <w:pStyle w:val="NoSpacing"/>
        <w:rPr>
          <w:rFonts w:cstheme="minorHAnsi"/>
        </w:rPr>
      </w:pPr>
      <w:r w:rsidRPr="00D64E39">
        <w:rPr>
          <w:rFonts w:cstheme="minorHAnsi"/>
        </w:rPr>
        <w:t xml:space="preserve">It has been speculated that acquirer acquisition experience is unreliable because firms lack objectivity and would be better served by more objective outside advisors, such as investment banks. However, research shows that markets are also suspicious of investment bank acquisition experience and react negatively rather than positively to such experience (Steinbach, </w:t>
      </w:r>
      <w:proofErr w:type="spellStart"/>
      <w:r w:rsidRPr="00D64E39">
        <w:rPr>
          <w:rFonts w:cstheme="minorHAnsi"/>
        </w:rPr>
        <w:t>Haleblian</w:t>
      </w:r>
      <w:proofErr w:type="spellEnd"/>
      <w:r w:rsidRPr="00D64E39">
        <w:rPr>
          <w:rFonts w:cstheme="minorHAnsi"/>
        </w:rPr>
        <w:t xml:space="preserve"> &amp; McNamara, WP). A caveat to this finding is that when investment banks have a significant amount of focused experience in the target industry, this increases experience relevance and, under such conditions, the effects of advisor acquisition experience are more likely to become positive.</w:t>
      </w:r>
    </w:p>
    <w:p w14:paraId="4423385D" w14:textId="77777777" w:rsidR="00770461" w:rsidRPr="000578A4" w:rsidRDefault="00770461" w:rsidP="00D64E39">
      <w:pPr>
        <w:pStyle w:val="NoSpacing"/>
        <w:rPr>
          <w:rFonts w:cstheme="minorHAnsi"/>
        </w:rPr>
      </w:pPr>
    </w:p>
    <w:p w14:paraId="40F4ACB9" w14:textId="65B3F74D" w:rsidR="00D64E39" w:rsidRPr="00D64E39" w:rsidRDefault="00D64E39" w:rsidP="00D64E39">
      <w:pPr>
        <w:pStyle w:val="NoSpacing"/>
        <w:rPr>
          <w:rFonts w:cstheme="minorHAnsi"/>
        </w:rPr>
      </w:pPr>
      <w:r w:rsidRPr="00D64E39">
        <w:rPr>
          <w:rFonts w:cstheme="minorHAnsi"/>
        </w:rPr>
        <w:t>Research also shows that the degree to which firms follow investment bank recommendations or “discount” that advice and rely instead on their own insights to make their final decision impacts whether acquisition experience has positive effects (</w:t>
      </w:r>
      <w:proofErr w:type="spellStart"/>
      <w:r w:rsidRPr="00D64E39">
        <w:rPr>
          <w:rFonts w:cstheme="minorHAnsi"/>
        </w:rPr>
        <w:t>Brehmer</w:t>
      </w:r>
      <w:proofErr w:type="spellEnd"/>
      <w:r w:rsidRPr="00D64E39">
        <w:rPr>
          <w:rFonts w:cstheme="minorHAnsi"/>
        </w:rPr>
        <w:t xml:space="preserve"> and </w:t>
      </w:r>
      <w:proofErr w:type="spellStart"/>
      <w:r w:rsidRPr="00D64E39">
        <w:rPr>
          <w:rFonts w:cstheme="minorHAnsi"/>
        </w:rPr>
        <w:t>Hagafors</w:t>
      </w:r>
      <w:proofErr w:type="spellEnd"/>
      <w:r w:rsidRPr="00D64E39">
        <w:rPr>
          <w:rFonts w:cstheme="minorHAnsi"/>
        </w:rPr>
        <w:t> </w:t>
      </w:r>
      <w:hyperlink r:id="rId33" w:anchor="CR6" w:history="1">
        <w:r w:rsidRPr="00D64E39">
          <w:rPr>
            <w:rStyle w:val="Hyperlink"/>
            <w:rFonts w:cstheme="minorHAnsi"/>
          </w:rPr>
          <w:t>1986</w:t>
        </w:r>
      </w:hyperlink>
      <w:r w:rsidRPr="00D64E39">
        <w:rPr>
          <w:rFonts w:cstheme="minorHAnsi"/>
        </w:rPr>
        <w:t>; Harvey and Fischer </w:t>
      </w:r>
      <w:hyperlink r:id="rId34" w:anchor="CR19" w:history="1">
        <w:r w:rsidRPr="00D64E39">
          <w:rPr>
            <w:rStyle w:val="Hyperlink"/>
            <w:rFonts w:cstheme="minorHAnsi"/>
          </w:rPr>
          <w:t>1997</w:t>
        </w:r>
      </w:hyperlink>
      <w:r w:rsidRPr="00D64E39">
        <w:rPr>
          <w:rFonts w:cstheme="minorHAnsi"/>
        </w:rPr>
        <w:t>; Yaniv </w:t>
      </w:r>
      <w:hyperlink r:id="rId35" w:anchor="CR41" w:history="1">
        <w:r w:rsidRPr="00D64E39">
          <w:rPr>
            <w:rStyle w:val="Hyperlink"/>
            <w:rFonts w:cstheme="minorHAnsi"/>
          </w:rPr>
          <w:t>2004</w:t>
        </w:r>
      </w:hyperlink>
      <w:r w:rsidRPr="00D64E39">
        <w:rPr>
          <w:rFonts w:cstheme="minorHAnsi"/>
        </w:rPr>
        <w:t>). Acquirers knowledgeable regarding their decision are more likely to discount advice and rely on their own set of information to make a decision (</w:t>
      </w:r>
      <w:proofErr w:type="spellStart"/>
      <w:r w:rsidRPr="00D64E39">
        <w:rPr>
          <w:rFonts w:cstheme="minorHAnsi"/>
        </w:rPr>
        <w:t>Godek</w:t>
      </w:r>
      <w:proofErr w:type="spellEnd"/>
      <w:r w:rsidRPr="00D64E39">
        <w:rPr>
          <w:rFonts w:cstheme="minorHAnsi"/>
        </w:rPr>
        <w:t xml:space="preserve"> and Murray </w:t>
      </w:r>
      <w:hyperlink r:id="rId36" w:anchor="CR13" w:history="1">
        <w:r w:rsidRPr="00D64E39">
          <w:rPr>
            <w:rStyle w:val="Hyperlink"/>
            <w:rFonts w:cstheme="minorHAnsi"/>
          </w:rPr>
          <w:t>2008</w:t>
        </w:r>
      </w:hyperlink>
      <w:r w:rsidRPr="00D64E39">
        <w:rPr>
          <w:rFonts w:cstheme="minorHAnsi"/>
        </w:rPr>
        <w:t>; Yaniv </w:t>
      </w:r>
      <w:hyperlink r:id="rId37" w:anchor="CR41" w:history="1">
        <w:r w:rsidRPr="00D64E39">
          <w:rPr>
            <w:rStyle w:val="Hyperlink"/>
            <w:rFonts w:cstheme="minorHAnsi"/>
          </w:rPr>
          <w:t>2004</w:t>
        </w:r>
      </w:hyperlink>
      <w:r w:rsidRPr="00D64E39">
        <w:rPr>
          <w:rFonts w:cstheme="minorHAnsi"/>
        </w:rPr>
        <w:t xml:space="preserve">; Yaniv and </w:t>
      </w:r>
      <w:proofErr w:type="spellStart"/>
      <w:r w:rsidRPr="00D64E39">
        <w:rPr>
          <w:rFonts w:cstheme="minorHAnsi"/>
        </w:rPr>
        <w:t>Choshen</w:t>
      </w:r>
      <w:proofErr w:type="spellEnd"/>
      <w:r w:rsidRPr="00D64E39">
        <w:rPr>
          <w:rFonts w:cstheme="minorHAnsi"/>
        </w:rPr>
        <w:t>-Hillel </w:t>
      </w:r>
      <w:hyperlink r:id="rId38" w:anchor="CR42" w:history="1">
        <w:r w:rsidRPr="00D64E39">
          <w:rPr>
            <w:rStyle w:val="Hyperlink"/>
            <w:rFonts w:cstheme="minorHAnsi"/>
          </w:rPr>
          <w:t>2012</w:t>
        </w:r>
      </w:hyperlink>
      <w:r w:rsidRPr="00D64E39">
        <w:rPr>
          <w:rFonts w:cstheme="minorHAnsi"/>
        </w:rPr>
        <w:t>), which results in better decisions. Research shows that acquirers pursuing a target in their own industry are equipped with the industry-specific experience that can contribute to their own decisions and enable them to discount the advice of their investment advisor. Relatedly, prior research has shown that related acquisitions perform better than acquisitions of targets in industries in which the acquiring firm has no prior experience (</w:t>
      </w:r>
      <w:proofErr w:type="spellStart"/>
      <w:r w:rsidRPr="00D64E39">
        <w:rPr>
          <w:rFonts w:cstheme="minorHAnsi"/>
        </w:rPr>
        <w:t>Morck</w:t>
      </w:r>
      <w:proofErr w:type="spellEnd"/>
      <w:r w:rsidRPr="00D64E39">
        <w:rPr>
          <w:rFonts w:cstheme="minorHAnsi"/>
        </w:rPr>
        <w:t xml:space="preserve"> et al. </w:t>
      </w:r>
      <w:hyperlink r:id="rId39" w:anchor="CR30" w:history="1">
        <w:r w:rsidRPr="00D64E39">
          <w:rPr>
            <w:rStyle w:val="Hyperlink"/>
            <w:rFonts w:cstheme="minorHAnsi"/>
          </w:rPr>
          <w:t>1990</w:t>
        </w:r>
      </w:hyperlink>
      <w:r w:rsidRPr="00D64E39">
        <w:rPr>
          <w:rFonts w:cstheme="minorHAnsi"/>
        </w:rPr>
        <w:t xml:space="preserve">; </w:t>
      </w:r>
      <w:proofErr w:type="spellStart"/>
      <w:r w:rsidRPr="00D64E39">
        <w:rPr>
          <w:rFonts w:cstheme="minorHAnsi"/>
        </w:rPr>
        <w:t>Schijven</w:t>
      </w:r>
      <w:proofErr w:type="spellEnd"/>
      <w:r w:rsidRPr="00D64E39">
        <w:rPr>
          <w:rFonts w:cstheme="minorHAnsi"/>
        </w:rPr>
        <w:t xml:space="preserve"> and </w:t>
      </w:r>
      <w:proofErr w:type="spellStart"/>
      <w:r w:rsidRPr="00D64E39">
        <w:rPr>
          <w:rFonts w:cstheme="minorHAnsi"/>
        </w:rPr>
        <w:t>Hitt</w:t>
      </w:r>
      <w:proofErr w:type="spellEnd"/>
      <w:r w:rsidRPr="00D64E39">
        <w:rPr>
          <w:rFonts w:cstheme="minorHAnsi"/>
        </w:rPr>
        <w:t> </w:t>
      </w:r>
      <w:hyperlink r:id="rId40" w:anchor="CR35" w:history="1">
        <w:r w:rsidRPr="00D64E39">
          <w:rPr>
            <w:rStyle w:val="Hyperlink"/>
            <w:rFonts w:cstheme="minorHAnsi"/>
          </w:rPr>
          <w:t>2012</w:t>
        </w:r>
      </w:hyperlink>
      <w:r w:rsidRPr="00D64E39">
        <w:rPr>
          <w:rFonts w:cstheme="minorHAnsi"/>
        </w:rPr>
        <w:t>; Seth </w:t>
      </w:r>
      <w:hyperlink r:id="rId41" w:anchor="CR36" w:history="1">
        <w:r w:rsidRPr="00D64E39">
          <w:rPr>
            <w:rStyle w:val="Hyperlink"/>
            <w:rFonts w:cstheme="minorHAnsi"/>
          </w:rPr>
          <w:t>1990</w:t>
        </w:r>
      </w:hyperlink>
      <w:r w:rsidRPr="00D64E39">
        <w:rPr>
          <w:rFonts w:cstheme="minorHAnsi"/>
        </w:rPr>
        <w:t>), which provides evidence that such acquirers do not need to rely on irrelevant experience brought forth by investment advisors. Thus, when assessing investment banker advice, focused, relevant experience from advisors yields acquisition benefits, especially when supplemented with own firm experience on related acquisitions. The creation of and adherence to codified tools and manuals (</w:t>
      </w:r>
      <w:proofErr w:type="spellStart"/>
      <w:r w:rsidRPr="00D64E39">
        <w:rPr>
          <w:rFonts w:cstheme="minorHAnsi"/>
        </w:rPr>
        <w:t>Heimeriks</w:t>
      </w:r>
      <w:proofErr w:type="spellEnd"/>
      <w:r w:rsidRPr="00D64E39">
        <w:rPr>
          <w:rFonts w:cstheme="minorHAnsi"/>
        </w:rPr>
        <w:t xml:space="preserve"> et al. </w:t>
      </w:r>
      <w:hyperlink r:id="rId42" w:anchor="CR22" w:history="1">
        <w:r w:rsidRPr="00D64E39">
          <w:rPr>
            <w:rStyle w:val="Hyperlink"/>
            <w:rFonts w:cstheme="minorHAnsi"/>
          </w:rPr>
          <w:t>2012</w:t>
        </w:r>
      </w:hyperlink>
      <w:r w:rsidRPr="00D64E39">
        <w:rPr>
          <w:rFonts w:cstheme="minorHAnsi"/>
        </w:rPr>
        <w:t xml:space="preserve">; </w:t>
      </w:r>
      <w:proofErr w:type="spellStart"/>
      <w:r w:rsidRPr="00D64E39">
        <w:rPr>
          <w:rFonts w:cstheme="minorHAnsi"/>
        </w:rPr>
        <w:t>Zollo</w:t>
      </w:r>
      <w:proofErr w:type="spellEnd"/>
      <w:r w:rsidRPr="00D64E39">
        <w:rPr>
          <w:rFonts w:cstheme="minorHAnsi"/>
        </w:rPr>
        <w:t xml:space="preserve"> and Singh </w:t>
      </w:r>
      <w:hyperlink r:id="rId43" w:anchor="CR43" w:history="1">
        <w:r w:rsidRPr="00D64E39">
          <w:rPr>
            <w:rStyle w:val="Hyperlink"/>
            <w:rFonts w:cstheme="minorHAnsi"/>
          </w:rPr>
          <w:t>2004</w:t>
        </w:r>
      </w:hyperlink>
      <w:r w:rsidRPr="00D64E39">
        <w:rPr>
          <w:rFonts w:cstheme="minorHAnsi"/>
        </w:rPr>
        <w:t>) containing blueprint for balancing financial advisors’ acquisition expertise with firm’s own acquisition experience are likely to lead to successful application of prior acquisition experience to subsequent acquisition deals.</w:t>
      </w:r>
    </w:p>
    <w:p w14:paraId="0593168B" w14:textId="77777777" w:rsidR="00D64E39" w:rsidRPr="000578A4" w:rsidRDefault="00D64E39" w:rsidP="000578A4">
      <w:pPr>
        <w:pStyle w:val="Heading1"/>
        <w:rPr>
          <w:rFonts w:asciiTheme="minorHAnsi" w:hAnsiTheme="minorHAnsi" w:cstheme="minorHAnsi"/>
        </w:rPr>
      </w:pPr>
      <w:hyperlink r:id="rId44" w:anchor="Practicesfacilitatingsuccessfullearningfromacquisitionexperience" w:history="1">
        <w:r w:rsidRPr="000578A4">
          <w:rPr>
            <w:rStyle w:val="Hyperlink"/>
            <w:rFonts w:asciiTheme="minorHAnsi" w:hAnsiTheme="minorHAnsi" w:cstheme="minorHAnsi"/>
          </w:rPr>
          <w:t>Practices facilitating successful learning from acquisition experience</w:t>
        </w:r>
      </w:hyperlink>
    </w:p>
    <w:p w14:paraId="76D48418"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Expanding time between acquisitions</w:t>
      </w:r>
    </w:p>
    <w:p w14:paraId="51DC965C" w14:textId="77777777" w:rsidR="00D64E39" w:rsidRPr="00D64E39" w:rsidRDefault="00D64E39" w:rsidP="00D64E39">
      <w:pPr>
        <w:pStyle w:val="NoSpacing"/>
        <w:rPr>
          <w:rFonts w:cstheme="minorHAnsi"/>
        </w:rPr>
      </w:pPr>
      <w:r w:rsidRPr="00D64E39">
        <w:rPr>
          <w:rFonts w:cstheme="minorHAnsi"/>
        </w:rPr>
        <w:t>There has been a long-standing argument that the time between subsequent acquisitions is of essential importance to the impact of prior acquisition experience on subsequent acquisition outcomes (see for review, Shi et al. </w:t>
      </w:r>
      <w:hyperlink r:id="rId45" w:anchor="CR38" w:history="1">
        <w:r w:rsidRPr="00D64E39">
          <w:rPr>
            <w:rStyle w:val="Hyperlink"/>
            <w:rFonts w:cstheme="minorHAnsi"/>
          </w:rPr>
          <w:t>2012</w:t>
        </w:r>
      </w:hyperlink>
      <w:r w:rsidRPr="00D64E39">
        <w:rPr>
          <w:rFonts w:cstheme="minorHAnsi"/>
        </w:rPr>
        <w:t>). Scholars have argued that when acquisitions are equally paced in time (about 6- to 12-month intervals), managers are better able to utilize prior experiences to obtain positive acquisition returns (Hayward </w:t>
      </w:r>
      <w:hyperlink r:id="rId46" w:anchor="CR21" w:history="1">
        <w:r w:rsidRPr="00D64E39">
          <w:rPr>
            <w:rStyle w:val="Hyperlink"/>
            <w:rFonts w:cstheme="minorHAnsi"/>
          </w:rPr>
          <w:t>2002</w:t>
        </w:r>
      </w:hyperlink>
      <w:r w:rsidRPr="00D64E39">
        <w:rPr>
          <w:rFonts w:cstheme="minorHAnsi"/>
        </w:rPr>
        <w:t>). If acquisitions are too close to each other and conducted over a short period of time, it is hard for managers to assess what worked and what did not work in prior acquisitions (</w:t>
      </w:r>
      <w:proofErr w:type="spellStart"/>
      <w:r w:rsidRPr="00D64E39">
        <w:rPr>
          <w:rFonts w:cstheme="minorHAnsi"/>
        </w:rPr>
        <w:t>Haunschild</w:t>
      </w:r>
      <w:proofErr w:type="spellEnd"/>
      <w:r w:rsidRPr="00D64E39">
        <w:rPr>
          <w:rFonts w:cstheme="minorHAnsi"/>
        </w:rPr>
        <w:t xml:space="preserve"> et al. </w:t>
      </w:r>
      <w:hyperlink r:id="rId47" w:anchor="CR20" w:history="1">
        <w:r w:rsidRPr="00D64E39">
          <w:rPr>
            <w:rStyle w:val="Hyperlink"/>
            <w:rFonts w:cstheme="minorHAnsi"/>
          </w:rPr>
          <w:t>1994</w:t>
        </w:r>
      </w:hyperlink>
      <w:r w:rsidRPr="00D64E39">
        <w:rPr>
          <w:rFonts w:cstheme="minorHAnsi"/>
        </w:rPr>
        <w:t>) because they have to jump to the next deal. If acquisitions are too distant from each other, the inferences from prior deals might be obsolete or unavailable because people that were engaged in acquisitions have left the firm (Hayward </w:t>
      </w:r>
      <w:hyperlink r:id="rId48" w:anchor="CR21" w:history="1">
        <w:r w:rsidRPr="00D64E39">
          <w:rPr>
            <w:rStyle w:val="Hyperlink"/>
            <w:rFonts w:cstheme="minorHAnsi"/>
          </w:rPr>
          <w:t>2002</w:t>
        </w:r>
      </w:hyperlink>
      <w:r w:rsidRPr="00D64E39">
        <w:rPr>
          <w:rFonts w:cstheme="minorHAnsi"/>
        </w:rPr>
        <w:t>).</w:t>
      </w:r>
    </w:p>
    <w:p w14:paraId="10FDFF4E" w14:textId="77777777" w:rsidR="000578A4" w:rsidRPr="000578A4" w:rsidRDefault="000578A4" w:rsidP="00D64E39">
      <w:pPr>
        <w:pStyle w:val="NoSpacing"/>
        <w:rPr>
          <w:rFonts w:cstheme="minorHAnsi"/>
        </w:rPr>
      </w:pPr>
    </w:p>
    <w:p w14:paraId="16813B30" w14:textId="6E175AA9" w:rsidR="00D64E39" w:rsidRPr="00D64E39" w:rsidRDefault="00D64E39" w:rsidP="00D64E39">
      <w:pPr>
        <w:pStyle w:val="NoSpacing"/>
        <w:rPr>
          <w:rFonts w:cstheme="minorHAnsi"/>
        </w:rPr>
      </w:pPr>
      <w:r w:rsidRPr="00D64E39">
        <w:rPr>
          <w:rFonts w:cstheme="minorHAnsi"/>
        </w:rPr>
        <w:t>Emerging research is also showing that progressively expanding intervals—when time between subsequent acquisitions systematically expands over time—might be the most appropriate approach for capturing prior acquisition experience (Bingham et al. </w:t>
      </w:r>
      <w:hyperlink r:id="rId49" w:anchor="CR5" w:history="1">
        <w:r w:rsidRPr="00D64E39">
          <w:rPr>
            <w:rStyle w:val="Hyperlink"/>
            <w:rFonts w:cstheme="minorHAnsi"/>
          </w:rPr>
          <w:t>2015b</w:t>
        </w:r>
      </w:hyperlink>
      <w:r w:rsidRPr="00D64E39">
        <w:rPr>
          <w:rFonts w:cstheme="minorHAnsi"/>
        </w:rPr>
        <w:t xml:space="preserve">). Interviews with experienced acquirers show that expanding practice may result in strong acquisition performance for multiple reasons. First, expanding practice reduces the </w:t>
      </w:r>
      <w:r w:rsidRPr="00D64E39">
        <w:rPr>
          <w:rFonts w:cstheme="minorHAnsi"/>
        </w:rPr>
        <w:lastRenderedPageBreak/>
        <w:t>cognitive overload by providing managers with more time to learn from prior acquisitions and absorb new knowledge (Cohen and Levinthal </w:t>
      </w:r>
      <w:hyperlink r:id="rId50" w:anchor="CR8" w:history="1">
        <w:r w:rsidRPr="00D64E39">
          <w:rPr>
            <w:rStyle w:val="Hyperlink"/>
            <w:rFonts w:cstheme="minorHAnsi"/>
          </w:rPr>
          <w:t>1990</w:t>
        </w:r>
      </w:hyperlink>
      <w:r w:rsidRPr="00D64E39">
        <w:rPr>
          <w:rFonts w:cstheme="minorHAnsi"/>
        </w:rPr>
        <w:t>); as a result, each subsequent deal is given greater priority and can be conducted more diligently. In addition, expanding practice can confer benefits of stability by allowing executives to develop rules and routines necessary for the transfer of collective knowledge on how to conduct acquisitions. Moreover, expanding practice facilitates preparation and coordination of resources. As time between deals progressively expands, executives have more opportunities to coordinate the various functions involved in the acquisition process and thus improve the likelihood of acquisition success (Bingham et al. </w:t>
      </w:r>
      <w:hyperlink r:id="rId51" w:anchor="CR4" w:history="1">
        <w:r w:rsidRPr="00D64E39">
          <w:rPr>
            <w:rStyle w:val="Hyperlink"/>
            <w:rFonts w:cstheme="minorHAnsi"/>
          </w:rPr>
          <w:t>2015a</w:t>
        </w:r>
      </w:hyperlink>
      <w:r w:rsidRPr="00D64E39">
        <w:rPr>
          <w:rFonts w:cstheme="minorHAnsi"/>
        </w:rPr>
        <w:t>). Finally, increasing time between deals helps the acquiring firm to integrate and assimilate target firm personnel which is key to capturing synergies between the two firms (</w:t>
      </w:r>
      <w:proofErr w:type="spellStart"/>
      <w:r w:rsidRPr="00D64E39">
        <w:rPr>
          <w:rFonts w:cstheme="minorHAnsi"/>
        </w:rPr>
        <w:t>Graebner</w:t>
      </w:r>
      <w:proofErr w:type="spellEnd"/>
      <w:r w:rsidRPr="00D64E39">
        <w:rPr>
          <w:rFonts w:cstheme="minorHAnsi"/>
        </w:rPr>
        <w:t> </w:t>
      </w:r>
      <w:hyperlink r:id="rId52" w:anchor="CR14" w:history="1">
        <w:r w:rsidRPr="00D64E39">
          <w:rPr>
            <w:rStyle w:val="Hyperlink"/>
            <w:rFonts w:cstheme="minorHAnsi"/>
          </w:rPr>
          <w:t>2004</w:t>
        </w:r>
      </w:hyperlink>
      <w:r w:rsidRPr="00D64E39">
        <w:rPr>
          <w:rFonts w:cstheme="minorHAnsi"/>
        </w:rPr>
        <w:t xml:space="preserve">). Accordingly, the </w:t>
      </w:r>
      <w:proofErr w:type="gramStart"/>
      <w:r w:rsidRPr="00D64E39">
        <w:rPr>
          <w:rFonts w:cstheme="minorHAnsi"/>
        </w:rPr>
        <w:t>manner in which</w:t>
      </w:r>
      <w:proofErr w:type="gramEnd"/>
      <w:r w:rsidRPr="00D64E39">
        <w:rPr>
          <w:rFonts w:cstheme="minorHAnsi"/>
        </w:rPr>
        <w:t xml:space="preserve"> firms schedule their acquisitions over time—especially if the time between deals is increasing—appears to enhance the likelihood of firms benefitting from acquisition experience. Building dedicated corporate teams from the acquiring and target firms (Bingham et al. </w:t>
      </w:r>
      <w:hyperlink r:id="rId53" w:anchor="CR5" w:history="1">
        <w:r w:rsidRPr="00D64E39">
          <w:rPr>
            <w:rStyle w:val="Hyperlink"/>
            <w:rFonts w:cstheme="minorHAnsi"/>
          </w:rPr>
          <w:t>2015b</w:t>
        </w:r>
      </w:hyperlink>
      <w:r w:rsidRPr="00D64E39">
        <w:rPr>
          <w:rFonts w:cstheme="minorHAnsi"/>
        </w:rPr>
        <w:t>; Kale et al. </w:t>
      </w:r>
      <w:hyperlink r:id="rId54" w:anchor="CR24" w:history="1">
        <w:r w:rsidRPr="00D64E39">
          <w:rPr>
            <w:rStyle w:val="Hyperlink"/>
            <w:rFonts w:cstheme="minorHAnsi"/>
          </w:rPr>
          <w:t>2002</w:t>
        </w:r>
      </w:hyperlink>
      <w:r w:rsidRPr="00D64E39">
        <w:rPr>
          <w:rFonts w:cstheme="minorHAnsi"/>
        </w:rPr>
        <w:t>) provides the necessary human resources to slowly and diligently digest existing acquisition experience and effectively apply it to future acquisition deals.</w:t>
      </w:r>
    </w:p>
    <w:p w14:paraId="76C86C43"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Drawing on strong governance mechanisms</w:t>
      </w:r>
    </w:p>
    <w:p w14:paraId="01EE3FA7" w14:textId="77777777" w:rsidR="00D64E39" w:rsidRPr="00D64E39" w:rsidRDefault="00D64E39" w:rsidP="00D64E39">
      <w:pPr>
        <w:pStyle w:val="NoSpacing"/>
        <w:rPr>
          <w:rFonts w:cstheme="minorHAnsi"/>
        </w:rPr>
      </w:pPr>
      <w:r w:rsidRPr="00D64E39">
        <w:rPr>
          <w:rFonts w:cstheme="minorHAnsi"/>
        </w:rPr>
        <w:t>Emerging research is beginning to show that managerial oversight enhances the relationship between firm acquisition experience and acquisition performance (</w:t>
      </w:r>
      <w:proofErr w:type="spellStart"/>
      <w:r w:rsidRPr="00D64E39">
        <w:rPr>
          <w:rFonts w:cstheme="minorHAnsi"/>
        </w:rPr>
        <w:t>Schijven</w:t>
      </w:r>
      <w:proofErr w:type="spellEnd"/>
      <w:r w:rsidRPr="00D64E39">
        <w:rPr>
          <w:rFonts w:cstheme="minorHAnsi"/>
        </w:rPr>
        <w:t xml:space="preserve"> et al. </w:t>
      </w:r>
      <w:hyperlink r:id="rId55" w:anchor="CR34" w:history="1">
        <w:r w:rsidRPr="00D64E39">
          <w:rPr>
            <w:rStyle w:val="Hyperlink"/>
            <w:rFonts w:cstheme="minorHAnsi"/>
          </w:rPr>
          <w:t>2017</w:t>
        </w:r>
      </w:hyperlink>
      <w:r w:rsidRPr="00D64E39">
        <w:rPr>
          <w:rFonts w:cstheme="minorHAnsi"/>
        </w:rPr>
        <w:t>). Two broad motives drive acquisition behavior: value enhancement and private interest. CEOs that pursue acquisitions and view them as opportunities to increase firm value tend to argue for synergies, access to superior information, and/or attempts to obtain market power. By contrast, personal interests such as increasing compensation, discretion, and bargaining power may also drive CEO acquisition decisions (Devers et al. </w:t>
      </w:r>
      <w:hyperlink r:id="rId56" w:anchor="CR10" w:history="1">
        <w:r w:rsidRPr="00D64E39">
          <w:rPr>
            <w:rStyle w:val="Hyperlink"/>
            <w:rFonts w:cstheme="minorHAnsi"/>
          </w:rPr>
          <w:t>2013</w:t>
        </w:r>
      </w:hyperlink>
      <w:r w:rsidRPr="00D64E39">
        <w:rPr>
          <w:rFonts w:cstheme="minorHAnsi"/>
        </w:rPr>
        <w:t>). Recent work shows that where there are strong internal and external governance mechanisms firms are more likely to have positive results from their acquisition experience because those governance mechanisms compel managers to use their acquisition experience for firm value enhancement (</w:t>
      </w:r>
      <w:proofErr w:type="spellStart"/>
      <w:r w:rsidRPr="00D64E39">
        <w:rPr>
          <w:rFonts w:cstheme="minorHAnsi"/>
        </w:rPr>
        <w:t>Schijven</w:t>
      </w:r>
      <w:proofErr w:type="spellEnd"/>
      <w:r w:rsidRPr="00D64E39">
        <w:rPr>
          <w:rFonts w:cstheme="minorHAnsi"/>
        </w:rPr>
        <w:t xml:space="preserve"> et al. </w:t>
      </w:r>
      <w:hyperlink r:id="rId57" w:anchor="CR34" w:history="1">
        <w:r w:rsidRPr="00D64E39">
          <w:rPr>
            <w:rStyle w:val="Hyperlink"/>
            <w:rFonts w:cstheme="minorHAnsi"/>
          </w:rPr>
          <w:t>2017</w:t>
        </w:r>
      </w:hyperlink>
      <w:r w:rsidRPr="00D64E39">
        <w:rPr>
          <w:rFonts w:cstheme="minorHAnsi"/>
        </w:rPr>
        <w:t>). As a result, firms should structure boards of directors that are independent of managerial influence, design CEO compensation that is heavily stock-based, and facilitate the presence of institutional investors as monitoring mechanisms.</w:t>
      </w:r>
    </w:p>
    <w:p w14:paraId="2C0CA024"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Facilitating top management team diversity</w:t>
      </w:r>
    </w:p>
    <w:p w14:paraId="7B6860F0" w14:textId="77777777" w:rsidR="00D64E39" w:rsidRPr="00D64E39" w:rsidRDefault="00D64E39" w:rsidP="00D64E39">
      <w:pPr>
        <w:pStyle w:val="NoSpacing"/>
        <w:rPr>
          <w:rFonts w:cstheme="minorHAnsi"/>
        </w:rPr>
      </w:pPr>
      <w:r w:rsidRPr="00D64E39">
        <w:rPr>
          <w:rFonts w:cstheme="minorHAnsi"/>
        </w:rPr>
        <w:t>The quality of top management teams makes a difference as to whether the firm benefits from its acquisition experience. Top management teams are directly involved in various stages of the acquisition process, such as target identification, negotiation and price determination, and post-merger integration (</w:t>
      </w:r>
      <w:proofErr w:type="spellStart"/>
      <w:r w:rsidRPr="00D64E39">
        <w:rPr>
          <w:rFonts w:cstheme="minorHAnsi"/>
        </w:rPr>
        <w:t>Parola</w:t>
      </w:r>
      <w:proofErr w:type="spellEnd"/>
      <w:r w:rsidRPr="00D64E39">
        <w:rPr>
          <w:rFonts w:cstheme="minorHAnsi"/>
        </w:rPr>
        <w:t xml:space="preserve"> et al. </w:t>
      </w:r>
      <w:hyperlink r:id="rId58" w:anchor="CR33" w:history="1">
        <w:r w:rsidRPr="00D64E39">
          <w:rPr>
            <w:rStyle w:val="Hyperlink"/>
            <w:rFonts w:cstheme="minorHAnsi"/>
          </w:rPr>
          <w:t>2015</w:t>
        </w:r>
      </w:hyperlink>
      <w:r w:rsidRPr="00D64E39">
        <w:rPr>
          <w:rFonts w:cstheme="minorHAnsi"/>
        </w:rPr>
        <w:t>). Research also shows that the composition of the top management team is a key determinant as to how team members utilize prior firm acquisition experience. Top management team tenure and educational heterogeneity have been shown to reduce the likelihood of mis-transferring lessons from prior acquisitions and aid managers to optimize lessons from acquisition experience (</w:t>
      </w:r>
      <w:proofErr w:type="spellStart"/>
      <w:r w:rsidRPr="00D64E39">
        <w:rPr>
          <w:rFonts w:cstheme="minorHAnsi"/>
        </w:rPr>
        <w:t>Nadolska</w:t>
      </w:r>
      <w:proofErr w:type="spellEnd"/>
      <w:r w:rsidRPr="00D64E39">
        <w:rPr>
          <w:rFonts w:cstheme="minorHAnsi"/>
        </w:rPr>
        <w:t xml:space="preserve"> and </w:t>
      </w:r>
      <w:proofErr w:type="spellStart"/>
      <w:r w:rsidRPr="00D64E39">
        <w:rPr>
          <w:rFonts w:cstheme="minorHAnsi"/>
        </w:rPr>
        <w:t>Barkema</w:t>
      </w:r>
      <w:proofErr w:type="spellEnd"/>
      <w:r w:rsidRPr="00D64E39">
        <w:rPr>
          <w:rFonts w:cstheme="minorHAnsi"/>
        </w:rPr>
        <w:t> </w:t>
      </w:r>
      <w:hyperlink r:id="rId59" w:anchor="CR31" w:history="1">
        <w:r w:rsidRPr="00D64E39">
          <w:rPr>
            <w:rStyle w:val="Hyperlink"/>
            <w:rFonts w:cstheme="minorHAnsi"/>
          </w:rPr>
          <w:t>2014</w:t>
        </w:r>
      </w:hyperlink>
      <w:r w:rsidRPr="00D64E39">
        <w:rPr>
          <w:rFonts w:cstheme="minorHAnsi"/>
        </w:rPr>
        <w:t>). Specifically, diversity among top management teams allows for sharing of different ideas and viewpoints, thorough evaluation of multiple alternatives, and effective problem detection and solution (Cox et al. </w:t>
      </w:r>
      <w:hyperlink r:id="rId60" w:anchor="CR9" w:history="1">
        <w:r w:rsidRPr="00D64E39">
          <w:rPr>
            <w:rStyle w:val="Hyperlink"/>
            <w:rFonts w:cstheme="minorHAnsi"/>
          </w:rPr>
          <w:t>1991</w:t>
        </w:r>
      </w:hyperlink>
      <w:r w:rsidRPr="00D64E39">
        <w:rPr>
          <w:rFonts w:cstheme="minorHAnsi"/>
        </w:rPr>
        <w:t xml:space="preserve">; Wiersema and </w:t>
      </w:r>
      <w:proofErr w:type="spellStart"/>
      <w:r w:rsidRPr="00D64E39">
        <w:rPr>
          <w:rFonts w:cstheme="minorHAnsi"/>
        </w:rPr>
        <w:t>Bantel</w:t>
      </w:r>
      <w:proofErr w:type="spellEnd"/>
      <w:r w:rsidRPr="00D64E39">
        <w:rPr>
          <w:rFonts w:cstheme="minorHAnsi"/>
        </w:rPr>
        <w:t> </w:t>
      </w:r>
      <w:hyperlink r:id="rId61" w:anchor="CR40" w:history="1">
        <w:r w:rsidRPr="00D64E39">
          <w:rPr>
            <w:rStyle w:val="Hyperlink"/>
            <w:rFonts w:cstheme="minorHAnsi"/>
          </w:rPr>
          <w:t>1992</w:t>
        </w:r>
      </w:hyperlink>
      <w:r w:rsidRPr="00D64E39">
        <w:rPr>
          <w:rFonts w:cstheme="minorHAnsi"/>
        </w:rPr>
        <w:t>), which leads to improved team effectiveness (</w:t>
      </w:r>
      <w:proofErr w:type="spellStart"/>
      <w:r w:rsidRPr="00D64E39">
        <w:rPr>
          <w:rFonts w:cstheme="minorHAnsi"/>
        </w:rPr>
        <w:t>Gruenfeld</w:t>
      </w:r>
      <w:proofErr w:type="spellEnd"/>
      <w:r w:rsidRPr="00D64E39">
        <w:rPr>
          <w:rFonts w:cstheme="minorHAnsi"/>
        </w:rPr>
        <w:t xml:space="preserve"> et al. </w:t>
      </w:r>
      <w:hyperlink r:id="rId62" w:anchor="CR15" w:history="1">
        <w:r w:rsidRPr="00D64E39">
          <w:rPr>
            <w:rStyle w:val="Hyperlink"/>
            <w:rFonts w:cstheme="minorHAnsi"/>
          </w:rPr>
          <w:t>1996</w:t>
        </w:r>
      </w:hyperlink>
      <w:r w:rsidRPr="00D64E39">
        <w:rPr>
          <w:rFonts w:cstheme="minorHAnsi"/>
        </w:rPr>
        <w:t>). As a result, a diverse top management team can comprehensively compare various acquisitions, diligently identify the differences between them, and correctly transfer skills and experiences from prior acquisitions to current ones. Indeed, top management team diversity positively moderates the impact of prior acquisition experience on acquisition success. Hence, firms should actively try to build heterogeneous top management teams that play a positive role in the relationship between acquisition experience and acquisition performance.</w:t>
      </w:r>
    </w:p>
    <w:p w14:paraId="6222D48E" w14:textId="77777777" w:rsidR="000578A4" w:rsidRPr="000578A4" w:rsidRDefault="000578A4" w:rsidP="00D64E39">
      <w:pPr>
        <w:pStyle w:val="NoSpacing"/>
        <w:rPr>
          <w:rFonts w:cstheme="minorHAnsi"/>
        </w:rPr>
      </w:pPr>
    </w:p>
    <w:p w14:paraId="6E5BE28D" w14:textId="1937166E" w:rsidR="00D64E39" w:rsidRPr="000578A4" w:rsidRDefault="00D64E39" w:rsidP="00D64E39">
      <w:pPr>
        <w:pStyle w:val="NoSpacing"/>
        <w:rPr>
          <w:rFonts w:cstheme="minorHAnsi"/>
        </w:rPr>
      </w:pPr>
      <w:r w:rsidRPr="00D64E39">
        <w:rPr>
          <w:rFonts w:cstheme="minorHAnsi"/>
        </w:rPr>
        <w:t>Summary of the practices that facilitate and undermine firm ability to learn from acquisition experience is presented in Table </w:t>
      </w:r>
      <w:hyperlink r:id="rId63" w:anchor="Tab1" w:history="1">
        <w:r w:rsidRPr="00D64E39">
          <w:rPr>
            <w:rStyle w:val="Hyperlink"/>
            <w:rFonts w:cstheme="minorHAnsi"/>
          </w:rPr>
          <w:t>1</w:t>
        </w:r>
      </w:hyperlink>
      <w:r w:rsidRPr="00D64E39">
        <w:rPr>
          <w:rFonts w:cstheme="minorHAnsi"/>
        </w:rPr>
        <w:t> below.</w:t>
      </w:r>
    </w:p>
    <w:p w14:paraId="71642D49" w14:textId="77777777" w:rsidR="000578A4" w:rsidRPr="00D64E39" w:rsidRDefault="000578A4" w:rsidP="00D64E39">
      <w:pPr>
        <w:pStyle w:val="NoSpacing"/>
        <w:rPr>
          <w:rFonts w:cstheme="minorHAnsi"/>
        </w:rPr>
      </w:pPr>
    </w:p>
    <w:p w14:paraId="208D202D" w14:textId="49172D71" w:rsidR="00D64E39" w:rsidRPr="00D64E39" w:rsidRDefault="00D64E39" w:rsidP="00D64E39">
      <w:pPr>
        <w:pStyle w:val="NoSpacing"/>
        <w:rPr>
          <w:rFonts w:cstheme="minorHAnsi"/>
        </w:rPr>
      </w:pPr>
      <w:r w:rsidRPr="00D64E39">
        <w:rPr>
          <w:rFonts w:cstheme="minorHAnsi"/>
        </w:rPr>
        <w:t>Table 1</w:t>
      </w:r>
      <w:r w:rsidR="000578A4" w:rsidRPr="000578A4">
        <w:rPr>
          <w:rFonts w:cstheme="minorHAnsi"/>
        </w:rPr>
        <w:t xml:space="preserve"> </w:t>
      </w:r>
      <w:r w:rsidRPr="00D64E39">
        <w:rPr>
          <w:rFonts w:cstheme="minorHAnsi"/>
        </w:rPr>
        <w:t>Practices that facilitate and undermine firm ability to learn from acquisition experience</w:t>
      </w:r>
    </w:p>
    <w:tbl>
      <w:tblPr>
        <w:tblStyle w:val="TableGridLight"/>
        <w:tblW w:w="0" w:type="auto"/>
        <w:tblLook w:val="04A0" w:firstRow="1" w:lastRow="0" w:firstColumn="1" w:lastColumn="0" w:noHBand="0" w:noVBand="1"/>
      </w:tblPr>
      <w:tblGrid>
        <w:gridCol w:w="4276"/>
        <w:gridCol w:w="5470"/>
      </w:tblGrid>
      <w:tr w:rsidR="00D64E39" w:rsidRPr="00D64E39" w14:paraId="6B590DD8" w14:textId="77777777" w:rsidTr="000578A4">
        <w:tc>
          <w:tcPr>
            <w:tcW w:w="0" w:type="auto"/>
            <w:hideMark/>
          </w:tcPr>
          <w:p w14:paraId="61181EA2" w14:textId="77777777" w:rsidR="00D64E39" w:rsidRPr="00D64E39" w:rsidRDefault="00D64E39" w:rsidP="00D64E39">
            <w:pPr>
              <w:pStyle w:val="NoSpacing"/>
              <w:rPr>
                <w:rFonts w:cstheme="minorHAnsi"/>
                <w:b/>
                <w:bCs/>
              </w:rPr>
            </w:pPr>
            <w:r w:rsidRPr="00D64E39">
              <w:rPr>
                <w:rFonts w:cstheme="minorHAnsi"/>
                <w:b/>
                <w:bCs/>
              </w:rPr>
              <w:t>Practices facilitating successful learning</w:t>
            </w:r>
          </w:p>
        </w:tc>
        <w:tc>
          <w:tcPr>
            <w:tcW w:w="0" w:type="auto"/>
            <w:hideMark/>
          </w:tcPr>
          <w:p w14:paraId="755C2735" w14:textId="77777777" w:rsidR="00D64E39" w:rsidRPr="00D64E39" w:rsidRDefault="00D64E39" w:rsidP="00D64E39">
            <w:pPr>
              <w:pStyle w:val="NoSpacing"/>
              <w:rPr>
                <w:rFonts w:cstheme="minorHAnsi"/>
                <w:b/>
                <w:bCs/>
              </w:rPr>
            </w:pPr>
            <w:r w:rsidRPr="00D64E39">
              <w:rPr>
                <w:rFonts w:cstheme="minorHAnsi"/>
                <w:b/>
                <w:bCs/>
              </w:rPr>
              <w:t>Practices undermining successful learning</w:t>
            </w:r>
          </w:p>
        </w:tc>
      </w:tr>
      <w:tr w:rsidR="00D64E39" w:rsidRPr="00D64E39" w14:paraId="2DA51687" w14:textId="77777777" w:rsidTr="000578A4">
        <w:tc>
          <w:tcPr>
            <w:tcW w:w="0" w:type="auto"/>
            <w:hideMark/>
          </w:tcPr>
          <w:p w14:paraId="5274FF65" w14:textId="77777777" w:rsidR="00D64E39" w:rsidRPr="00D64E39" w:rsidRDefault="00D64E39" w:rsidP="00D64E39">
            <w:pPr>
              <w:pStyle w:val="NoSpacing"/>
              <w:rPr>
                <w:rFonts w:cstheme="minorHAnsi"/>
              </w:rPr>
            </w:pPr>
            <w:r w:rsidRPr="00D64E39">
              <w:rPr>
                <w:rFonts w:cstheme="minorHAnsi"/>
              </w:rPr>
              <w:t>- Expanding time between acquisitions</w:t>
            </w:r>
          </w:p>
          <w:p w14:paraId="6D769D21" w14:textId="77777777" w:rsidR="00D64E39" w:rsidRPr="00D64E39" w:rsidRDefault="00D64E39" w:rsidP="00D64E39">
            <w:pPr>
              <w:pStyle w:val="NoSpacing"/>
              <w:rPr>
                <w:rFonts w:cstheme="minorHAnsi"/>
              </w:rPr>
            </w:pPr>
            <w:r w:rsidRPr="00D64E39">
              <w:rPr>
                <w:rFonts w:cstheme="minorHAnsi"/>
              </w:rPr>
              <w:t>- Drawing on strong governance mechanisms</w:t>
            </w:r>
          </w:p>
          <w:p w14:paraId="7A76FA37" w14:textId="77777777" w:rsidR="00D64E39" w:rsidRPr="00D64E39" w:rsidRDefault="00D64E39" w:rsidP="00D64E39">
            <w:pPr>
              <w:pStyle w:val="NoSpacing"/>
              <w:rPr>
                <w:rFonts w:cstheme="minorHAnsi"/>
              </w:rPr>
            </w:pPr>
            <w:r w:rsidRPr="00D64E39">
              <w:rPr>
                <w:rFonts w:cstheme="minorHAnsi"/>
              </w:rPr>
              <w:lastRenderedPageBreak/>
              <w:t>- Facilitating top management team diversity</w:t>
            </w:r>
          </w:p>
          <w:p w14:paraId="4169FA4E" w14:textId="77777777" w:rsidR="00D64E39" w:rsidRPr="00D64E39" w:rsidRDefault="00D64E39" w:rsidP="00D64E39">
            <w:pPr>
              <w:pStyle w:val="NoSpacing"/>
              <w:rPr>
                <w:rFonts w:cstheme="minorHAnsi"/>
              </w:rPr>
            </w:pPr>
            <w:r w:rsidRPr="00D64E39">
              <w:rPr>
                <w:rFonts w:cstheme="minorHAnsi"/>
              </w:rPr>
              <w:t>- Using similar-context acquisition experience</w:t>
            </w:r>
          </w:p>
        </w:tc>
        <w:tc>
          <w:tcPr>
            <w:tcW w:w="0" w:type="auto"/>
            <w:hideMark/>
          </w:tcPr>
          <w:p w14:paraId="19B45296" w14:textId="77777777" w:rsidR="00D64E39" w:rsidRPr="00D64E39" w:rsidRDefault="00D64E39" w:rsidP="00D64E39">
            <w:pPr>
              <w:pStyle w:val="NoSpacing"/>
              <w:rPr>
                <w:rFonts w:cstheme="minorHAnsi"/>
              </w:rPr>
            </w:pPr>
            <w:r w:rsidRPr="00D64E39">
              <w:rPr>
                <w:rFonts w:cstheme="minorHAnsi"/>
              </w:rPr>
              <w:lastRenderedPageBreak/>
              <w:t>- Applying acquisition experience to dissimilar contexts</w:t>
            </w:r>
          </w:p>
          <w:p w14:paraId="35D10C93" w14:textId="77777777" w:rsidR="00D64E39" w:rsidRPr="00D64E39" w:rsidRDefault="00D64E39" w:rsidP="00D64E39">
            <w:pPr>
              <w:pStyle w:val="NoSpacing"/>
              <w:rPr>
                <w:rFonts w:cstheme="minorHAnsi"/>
              </w:rPr>
            </w:pPr>
            <w:r w:rsidRPr="00D64E39">
              <w:rPr>
                <w:rFonts w:cstheme="minorHAnsi"/>
              </w:rPr>
              <w:t>- Herding behaviors</w:t>
            </w:r>
          </w:p>
          <w:p w14:paraId="2FDC3334" w14:textId="77777777" w:rsidR="00D64E39" w:rsidRPr="00D64E39" w:rsidRDefault="00D64E39" w:rsidP="00D64E39">
            <w:pPr>
              <w:pStyle w:val="NoSpacing"/>
              <w:rPr>
                <w:rFonts w:cstheme="minorHAnsi"/>
              </w:rPr>
            </w:pPr>
            <w:r w:rsidRPr="00D64E39">
              <w:rPr>
                <w:rFonts w:cstheme="minorHAnsi"/>
              </w:rPr>
              <w:lastRenderedPageBreak/>
              <w:t>- Relying blindly on financial advisor acquisition experience</w:t>
            </w:r>
          </w:p>
        </w:tc>
      </w:tr>
    </w:tbl>
    <w:p w14:paraId="315DFB35" w14:textId="77777777" w:rsidR="00D64E39" w:rsidRPr="000578A4" w:rsidRDefault="00D64E39" w:rsidP="000578A4">
      <w:pPr>
        <w:pStyle w:val="Heading1"/>
        <w:rPr>
          <w:rFonts w:asciiTheme="minorHAnsi" w:hAnsiTheme="minorHAnsi" w:cstheme="minorHAnsi"/>
        </w:rPr>
      </w:pPr>
      <w:hyperlink r:id="rId64" w:anchor="Conclusions" w:history="1">
        <w:r w:rsidRPr="000578A4">
          <w:rPr>
            <w:rStyle w:val="Hyperlink"/>
            <w:rFonts w:asciiTheme="minorHAnsi" w:hAnsiTheme="minorHAnsi" w:cstheme="minorHAnsi"/>
          </w:rPr>
          <w:t>Conclusions</w:t>
        </w:r>
      </w:hyperlink>
    </w:p>
    <w:p w14:paraId="7D7AE2A3" w14:textId="77777777" w:rsidR="00D64E39" w:rsidRPr="00D64E39" w:rsidRDefault="00D64E39" w:rsidP="00D64E39">
      <w:pPr>
        <w:pStyle w:val="NoSpacing"/>
        <w:rPr>
          <w:rFonts w:cstheme="minorHAnsi"/>
        </w:rPr>
      </w:pPr>
      <w:r w:rsidRPr="00D64E39">
        <w:rPr>
          <w:rFonts w:cstheme="minorHAnsi"/>
        </w:rPr>
        <w:t>In sum, although prior research provides evidence that acquisition experience often has a negative impact on acquisition performance, this negative impact can turn positive (see Table </w:t>
      </w:r>
      <w:hyperlink r:id="rId65" w:anchor="Tab1" w:history="1">
        <w:r w:rsidRPr="00D64E39">
          <w:rPr>
            <w:rStyle w:val="Hyperlink"/>
            <w:rFonts w:cstheme="minorHAnsi"/>
          </w:rPr>
          <w:t>1</w:t>
        </w:r>
      </w:hyperlink>
      <w:r w:rsidRPr="00D64E39">
        <w:rPr>
          <w:rFonts w:cstheme="minorHAnsi"/>
        </w:rPr>
        <w:t>).</w:t>
      </w:r>
    </w:p>
    <w:p w14:paraId="0D0B1609" w14:textId="77777777" w:rsidR="000578A4" w:rsidRPr="000578A4" w:rsidRDefault="000578A4" w:rsidP="00D64E39">
      <w:pPr>
        <w:pStyle w:val="NoSpacing"/>
        <w:rPr>
          <w:rFonts w:cstheme="minorHAnsi"/>
        </w:rPr>
      </w:pPr>
    </w:p>
    <w:p w14:paraId="6E5584DE" w14:textId="2B2A339F" w:rsidR="00D64E39" w:rsidRPr="00D64E39" w:rsidRDefault="00D64E39" w:rsidP="00D64E39">
      <w:pPr>
        <w:pStyle w:val="NoSpacing"/>
        <w:rPr>
          <w:rFonts w:cstheme="minorHAnsi"/>
        </w:rPr>
      </w:pPr>
      <w:r w:rsidRPr="00D64E39">
        <w:rPr>
          <w:rFonts w:cstheme="minorHAnsi"/>
        </w:rPr>
        <w:t>Acquisitions are inherently complex strategic actions in which each acquisition is unique. Accordingly, prior acquisition experience cannot be applied in a wholesale manner to a current acquisition. However, key factors may appropriately generalize from one acquisition to another. Prior research shows that such appropriate application of experience occurs more frequently when a target is (a) more related to the acquirer’s industry (</w:t>
      </w:r>
      <w:proofErr w:type="spellStart"/>
      <w:r w:rsidRPr="00D64E39">
        <w:rPr>
          <w:rFonts w:cstheme="minorHAnsi"/>
        </w:rPr>
        <w:t>Haleblian</w:t>
      </w:r>
      <w:proofErr w:type="spellEnd"/>
      <w:r w:rsidRPr="00D64E39">
        <w:rPr>
          <w:rFonts w:cstheme="minorHAnsi"/>
        </w:rPr>
        <w:t xml:space="preserve"> and Finkelstein </w:t>
      </w:r>
      <w:hyperlink r:id="rId66" w:anchor="CR17" w:history="1">
        <w:r w:rsidRPr="00D64E39">
          <w:rPr>
            <w:rStyle w:val="Hyperlink"/>
            <w:rFonts w:cstheme="minorHAnsi"/>
          </w:rPr>
          <w:t>1999</w:t>
        </w:r>
      </w:hyperlink>
      <w:r w:rsidRPr="00D64E39">
        <w:rPr>
          <w:rFonts w:cstheme="minorHAnsi"/>
        </w:rPr>
        <w:t xml:space="preserve">) or (b) more similar to prior targets the acquirer has bought (Finkelstein and </w:t>
      </w:r>
      <w:proofErr w:type="spellStart"/>
      <w:r w:rsidRPr="00D64E39">
        <w:rPr>
          <w:rFonts w:cstheme="minorHAnsi"/>
        </w:rPr>
        <w:t>Haleblian</w:t>
      </w:r>
      <w:proofErr w:type="spellEnd"/>
      <w:r w:rsidRPr="00D64E39">
        <w:rPr>
          <w:rFonts w:cstheme="minorHAnsi"/>
        </w:rPr>
        <w:t> </w:t>
      </w:r>
      <w:hyperlink r:id="rId67" w:anchor="CR12" w:history="1">
        <w:r w:rsidRPr="00D64E39">
          <w:rPr>
            <w:rStyle w:val="Hyperlink"/>
            <w:rFonts w:cstheme="minorHAnsi"/>
          </w:rPr>
          <w:t>2002</w:t>
        </w:r>
      </w:hyperlink>
      <w:r w:rsidRPr="00D64E39">
        <w:rPr>
          <w:rFonts w:cstheme="minorHAnsi"/>
        </w:rPr>
        <w:t xml:space="preserve">). Appropriate generalization of experience may also be more likely to occur when the timing of acquisitions is </w:t>
      </w:r>
      <w:proofErr w:type="gramStart"/>
      <w:r w:rsidRPr="00D64E39">
        <w:rPr>
          <w:rFonts w:cstheme="minorHAnsi"/>
        </w:rPr>
        <w:t>sufficient</w:t>
      </w:r>
      <w:proofErr w:type="gramEnd"/>
      <w:r w:rsidRPr="00D64E39">
        <w:rPr>
          <w:rFonts w:cstheme="minorHAnsi"/>
        </w:rPr>
        <w:t xml:space="preserve"> for prior experience to be absorbed. The existence of good governance mechanisms, such as independent boards and significant </w:t>
      </w:r>
      <w:proofErr w:type="gramStart"/>
      <w:r w:rsidRPr="00D64E39">
        <w:rPr>
          <w:rFonts w:cstheme="minorHAnsi"/>
        </w:rPr>
        <w:t>amount</w:t>
      </w:r>
      <w:proofErr w:type="gramEnd"/>
      <w:r w:rsidRPr="00D64E39">
        <w:rPr>
          <w:rFonts w:cstheme="minorHAnsi"/>
        </w:rPr>
        <w:t xml:space="preserve"> of shares owned by the CEO and institutional investors, and quality top management team, such as one with greater diversity, are also conditions in which acquisition experience is more likely to yield positive outcomes. However, generalizing experience from external actors has not led to expected benefits. Simply following the lead of other firms that also acquire, such as during merger waves, or relying on the experience of experienced investment banks, does not contribute to positive outcomes from acquisition experience. Thus, firms need to reflect on its own acquisition experience with </w:t>
      </w:r>
      <w:proofErr w:type="gramStart"/>
      <w:r w:rsidRPr="00D64E39">
        <w:rPr>
          <w:rFonts w:cstheme="minorHAnsi"/>
        </w:rPr>
        <w:t>sufficient</w:t>
      </w:r>
      <w:proofErr w:type="gramEnd"/>
      <w:r w:rsidRPr="00D64E39">
        <w:rPr>
          <w:rFonts w:cstheme="minorHAnsi"/>
        </w:rPr>
        <w:t xml:space="preserve"> time to digest the experience in which differences of opinion and careful oversight of the application of experience lead to the best outcomes.</w:t>
      </w:r>
    </w:p>
    <w:p w14:paraId="61D72A03" w14:textId="77777777" w:rsidR="00D64E39" w:rsidRPr="000578A4" w:rsidRDefault="00D64E39" w:rsidP="000578A4">
      <w:pPr>
        <w:pStyle w:val="Heading1"/>
        <w:rPr>
          <w:rFonts w:asciiTheme="minorHAnsi" w:hAnsiTheme="minorHAnsi" w:cstheme="minorHAnsi"/>
        </w:rPr>
      </w:pPr>
      <w:hyperlink r:id="rId68" w:anchor="Declarations" w:history="1">
        <w:r w:rsidRPr="000578A4">
          <w:rPr>
            <w:rStyle w:val="Hyperlink"/>
            <w:rFonts w:asciiTheme="minorHAnsi" w:hAnsiTheme="minorHAnsi" w:cstheme="minorHAnsi"/>
          </w:rPr>
          <w:t>Declarations</w:t>
        </w:r>
      </w:hyperlink>
    </w:p>
    <w:p w14:paraId="1673AE8D"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Funding</w:t>
      </w:r>
    </w:p>
    <w:p w14:paraId="6EFC1B8E" w14:textId="77777777" w:rsidR="00D64E39" w:rsidRPr="00D64E39" w:rsidRDefault="00D64E39" w:rsidP="00D64E39">
      <w:pPr>
        <w:pStyle w:val="NoSpacing"/>
        <w:rPr>
          <w:rFonts w:cstheme="minorHAnsi"/>
        </w:rPr>
      </w:pPr>
      <w:r w:rsidRPr="00D64E39">
        <w:rPr>
          <w:rFonts w:cstheme="minorHAnsi"/>
        </w:rPr>
        <w:t>There is no funding for this article.</w:t>
      </w:r>
    </w:p>
    <w:p w14:paraId="58BA099A"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Authors’ contributions</w:t>
      </w:r>
    </w:p>
    <w:p w14:paraId="740F2BE3" w14:textId="77777777" w:rsidR="00D64E39" w:rsidRPr="00D64E39" w:rsidRDefault="00D64E39" w:rsidP="00D64E39">
      <w:pPr>
        <w:pStyle w:val="NoSpacing"/>
        <w:rPr>
          <w:rFonts w:cstheme="minorHAnsi"/>
        </w:rPr>
      </w:pPr>
      <w:r w:rsidRPr="00D64E39">
        <w:rPr>
          <w:rFonts w:cstheme="minorHAnsi"/>
        </w:rPr>
        <w:t>KK wrote the main body of the article, including identification of the issue and majority of the suggested solutions, and conclusion. JH wrote the initial outline of the article as well as the solution regarding the role of outside expertise and made edits to the article. All authors read and approved the final manuscript.</w:t>
      </w:r>
    </w:p>
    <w:p w14:paraId="0513A698"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Competing interests</w:t>
      </w:r>
    </w:p>
    <w:p w14:paraId="5DEAC3E6" w14:textId="77777777" w:rsidR="00D64E39" w:rsidRPr="00D64E39" w:rsidRDefault="00D64E39" w:rsidP="00D64E39">
      <w:pPr>
        <w:pStyle w:val="NoSpacing"/>
        <w:rPr>
          <w:rFonts w:cstheme="minorHAnsi"/>
        </w:rPr>
      </w:pPr>
      <w:r w:rsidRPr="00D64E39">
        <w:rPr>
          <w:rFonts w:cstheme="minorHAnsi"/>
        </w:rPr>
        <w:t>The authors declare that they have no competing interests.</w:t>
      </w:r>
    </w:p>
    <w:p w14:paraId="126A2E9E" w14:textId="77777777" w:rsidR="00D64E39" w:rsidRPr="000578A4" w:rsidRDefault="00D64E39" w:rsidP="000578A4">
      <w:pPr>
        <w:pStyle w:val="Heading2"/>
        <w:rPr>
          <w:rFonts w:asciiTheme="minorHAnsi" w:hAnsiTheme="minorHAnsi" w:cstheme="minorHAnsi"/>
        </w:rPr>
      </w:pPr>
      <w:r w:rsidRPr="000578A4">
        <w:rPr>
          <w:rFonts w:asciiTheme="minorHAnsi" w:hAnsiTheme="minorHAnsi" w:cstheme="minorHAnsi"/>
        </w:rPr>
        <w:t>Publisher’s Note</w:t>
      </w:r>
    </w:p>
    <w:p w14:paraId="0E8B11A2" w14:textId="77777777" w:rsidR="00D64E39" w:rsidRPr="00D64E39" w:rsidRDefault="00D64E39" w:rsidP="00D64E39">
      <w:pPr>
        <w:pStyle w:val="NoSpacing"/>
        <w:rPr>
          <w:rFonts w:cstheme="minorHAnsi"/>
        </w:rPr>
      </w:pPr>
      <w:r w:rsidRPr="00D64E39">
        <w:rPr>
          <w:rFonts w:cstheme="minorHAnsi"/>
        </w:rPr>
        <w:t xml:space="preserve">Springer Nature remains neutral </w:t>
      </w:r>
      <w:proofErr w:type="gramStart"/>
      <w:r w:rsidRPr="00D64E39">
        <w:rPr>
          <w:rFonts w:cstheme="minorHAnsi"/>
        </w:rPr>
        <w:t>with regard to</w:t>
      </w:r>
      <w:proofErr w:type="gramEnd"/>
      <w:r w:rsidRPr="00D64E39">
        <w:rPr>
          <w:rFonts w:cstheme="minorHAnsi"/>
        </w:rPr>
        <w:t xml:space="preserve"> jurisdictional claims in published maps and institutional affiliations.</w:t>
      </w:r>
    </w:p>
    <w:p w14:paraId="72E45C77" w14:textId="77777777" w:rsidR="000578A4" w:rsidRPr="000578A4" w:rsidRDefault="00D64E39" w:rsidP="000578A4">
      <w:pPr>
        <w:pStyle w:val="Heading2"/>
        <w:rPr>
          <w:rFonts w:asciiTheme="minorHAnsi" w:hAnsiTheme="minorHAnsi" w:cstheme="minorHAnsi"/>
        </w:rPr>
      </w:pPr>
      <w:r w:rsidRPr="000578A4">
        <w:rPr>
          <w:rFonts w:asciiTheme="minorHAnsi" w:hAnsiTheme="minorHAnsi" w:cstheme="minorHAnsi"/>
        </w:rPr>
        <w:t>Open Access</w:t>
      </w:r>
    </w:p>
    <w:p w14:paraId="08302A1A" w14:textId="115487A4" w:rsidR="00D64E39" w:rsidRPr="00D64E39" w:rsidRDefault="00D64E39" w:rsidP="00D64E39">
      <w:pPr>
        <w:pStyle w:val="NoSpacing"/>
        <w:rPr>
          <w:rFonts w:cstheme="minorHAnsi"/>
        </w:rPr>
      </w:pPr>
      <w:r w:rsidRPr="00D64E39">
        <w:rPr>
          <w:rFonts w:cstheme="minorHAnsi"/>
        </w:rPr>
        <w:t>This article is distributed under the terms of the Creative Commons Attribution 4.0 International License (</w:t>
      </w:r>
      <w:hyperlink r:id="rId69" w:tgtFrame="_blank" w:history="1">
        <w:r w:rsidRPr="00D64E39">
          <w:rPr>
            <w:rStyle w:val="Hyperlink"/>
            <w:rFonts w:cstheme="minorHAnsi"/>
          </w:rPr>
          <w:t>http://creativecommons.org/licenses/by/4.0/</w:t>
        </w:r>
      </w:hyperlink>
      <w:r w:rsidRPr="00D64E39">
        <w:rPr>
          <w:rFonts w:cstheme="minorHAnsi"/>
        </w:rPr>
        <w:t>), which permits unrestricted use, distribution, and reproduction in any medium, provided you give appropriate credit to the original author(s) and the source, provide a link to the Creative Commons license, and indicate if changes were made.</w:t>
      </w:r>
    </w:p>
    <w:p w14:paraId="3ACBEE67" w14:textId="77777777" w:rsidR="00D64E39" w:rsidRPr="000578A4" w:rsidRDefault="00D64E39" w:rsidP="000578A4">
      <w:pPr>
        <w:pStyle w:val="Heading1"/>
        <w:rPr>
          <w:rFonts w:asciiTheme="minorHAnsi" w:hAnsiTheme="minorHAnsi" w:cstheme="minorHAnsi"/>
        </w:rPr>
      </w:pPr>
      <w:hyperlink r:id="rId70" w:anchor="References" w:history="1">
        <w:r w:rsidRPr="000578A4">
          <w:rPr>
            <w:rStyle w:val="Hyperlink"/>
            <w:rFonts w:asciiTheme="minorHAnsi" w:hAnsiTheme="minorHAnsi" w:cstheme="minorHAnsi"/>
          </w:rPr>
          <w:t>References</w:t>
        </w:r>
      </w:hyperlink>
    </w:p>
    <w:p w14:paraId="3C85BFC8" w14:textId="0A7DE7F5" w:rsidR="00D64E39" w:rsidRPr="00D64E39" w:rsidRDefault="00D64E39" w:rsidP="000578A4">
      <w:pPr>
        <w:pStyle w:val="NoSpacing"/>
        <w:ind w:left="720" w:hanging="720"/>
        <w:rPr>
          <w:rFonts w:cstheme="minorHAnsi"/>
        </w:rPr>
      </w:pPr>
      <w:r w:rsidRPr="00D64E39">
        <w:rPr>
          <w:rFonts w:cstheme="minorHAnsi"/>
        </w:rPr>
        <w:t xml:space="preserve">Andrade G, Mitchell M, Stafford E (2001) New evidence and perspectives on mergers. J Econ </w:t>
      </w:r>
      <w:proofErr w:type="spellStart"/>
      <w:r w:rsidRPr="00D64E39">
        <w:rPr>
          <w:rFonts w:cstheme="minorHAnsi"/>
        </w:rPr>
        <w:t>Perspect</w:t>
      </w:r>
      <w:proofErr w:type="spellEnd"/>
      <w:r w:rsidRPr="00D64E39">
        <w:rPr>
          <w:rFonts w:cstheme="minorHAnsi"/>
        </w:rPr>
        <w:t xml:space="preserve"> 15:103–120</w:t>
      </w:r>
      <w:r w:rsidR="000578A4" w:rsidRPr="000578A4">
        <w:rPr>
          <w:rFonts w:cstheme="minorHAnsi"/>
        </w:rPr>
        <w:t xml:space="preserve"> </w:t>
      </w:r>
    </w:p>
    <w:p w14:paraId="721B37BE" w14:textId="5CBB0FC4" w:rsidR="00D64E39" w:rsidRPr="00D64E39" w:rsidRDefault="00D64E39" w:rsidP="000578A4">
      <w:pPr>
        <w:pStyle w:val="NoSpacing"/>
        <w:ind w:left="720" w:hanging="720"/>
        <w:rPr>
          <w:rFonts w:cstheme="minorHAnsi"/>
        </w:rPr>
      </w:pPr>
      <w:proofErr w:type="spellStart"/>
      <w:r w:rsidRPr="00D64E39">
        <w:rPr>
          <w:rFonts w:cstheme="minorHAnsi"/>
        </w:rPr>
        <w:t>Barkema</w:t>
      </w:r>
      <w:proofErr w:type="spellEnd"/>
      <w:r w:rsidRPr="00D64E39">
        <w:rPr>
          <w:rFonts w:cstheme="minorHAnsi"/>
        </w:rPr>
        <w:t xml:space="preserve"> HG, </w:t>
      </w:r>
      <w:proofErr w:type="spellStart"/>
      <w:r w:rsidRPr="00D64E39">
        <w:rPr>
          <w:rFonts w:cstheme="minorHAnsi"/>
        </w:rPr>
        <w:t>Schijven</w:t>
      </w:r>
      <w:proofErr w:type="spellEnd"/>
      <w:r w:rsidRPr="00D64E39">
        <w:rPr>
          <w:rFonts w:cstheme="minorHAnsi"/>
        </w:rPr>
        <w:t xml:space="preserve"> M (2008) How do firms learn to make acquisitions? A review of past research and an agenda for the future. J </w:t>
      </w:r>
      <w:proofErr w:type="spellStart"/>
      <w:r w:rsidRPr="00D64E39">
        <w:rPr>
          <w:rFonts w:cstheme="minorHAnsi"/>
        </w:rPr>
        <w:t>Manag</w:t>
      </w:r>
      <w:proofErr w:type="spellEnd"/>
      <w:r w:rsidRPr="00D64E39">
        <w:rPr>
          <w:rFonts w:cstheme="minorHAnsi"/>
        </w:rPr>
        <w:t xml:space="preserve"> 34:594–634</w:t>
      </w:r>
      <w:r w:rsidR="000578A4" w:rsidRPr="000578A4">
        <w:rPr>
          <w:rFonts w:cstheme="minorHAnsi"/>
        </w:rPr>
        <w:t xml:space="preserve"> </w:t>
      </w:r>
    </w:p>
    <w:p w14:paraId="193656EE" w14:textId="59FA9A94" w:rsidR="00D64E39" w:rsidRPr="00D64E39" w:rsidRDefault="00D64E39" w:rsidP="000578A4">
      <w:pPr>
        <w:pStyle w:val="NoSpacing"/>
        <w:ind w:left="720" w:hanging="720"/>
        <w:rPr>
          <w:rFonts w:cstheme="minorHAnsi"/>
        </w:rPr>
      </w:pPr>
      <w:r w:rsidRPr="00D64E39">
        <w:rPr>
          <w:rFonts w:cstheme="minorHAnsi"/>
        </w:rPr>
        <w:lastRenderedPageBreak/>
        <w:t>Baum JAC, Ingram P (2002) Interorganizational learning and network organizations: toward a behavioral theory of the interfirm. In: Augier M, March J (eds) </w:t>
      </w:r>
      <w:r w:rsidRPr="00D64E39">
        <w:rPr>
          <w:rFonts w:cstheme="minorHAnsi"/>
          <w:i/>
          <w:iCs/>
        </w:rPr>
        <w:t xml:space="preserve">The Economics of Choice, Change, and Organization. Essays in the memory of Richard M. </w:t>
      </w:r>
      <w:proofErr w:type="spellStart"/>
      <w:r w:rsidRPr="00D64E39">
        <w:rPr>
          <w:rFonts w:cstheme="minorHAnsi"/>
          <w:i/>
          <w:iCs/>
        </w:rPr>
        <w:t>Cyert</w:t>
      </w:r>
      <w:proofErr w:type="spellEnd"/>
      <w:r w:rsidRPr="00D64E39">
        <w:rPr>
          <w:rFonts w:cstheme="minorHAnsi"/>
        </w:rPr>
        <w:t>. Edward Elgar, Cheltenham, UK, pp 191–218</w:t>
      </w:r>
      <w:r w:rsidR="000578A4" w:rsidRPr="000578A4">
        <w:rPr>
          <w:rFonts w:cstheme="minorHAnsi"/>
        </w:rPr>
        <w:t xml:space="preserve"> </w:t>
      </w:r>
    </w:p>
    <w:p w14:paraId="54B1B94F" w14:textId="3A36F727" w:rsidR="00D64E39" w:rsidRPr="00D64E39" w:rsidRDefault="00D64E39" w:rsidP="000578A4">
      <w:pPr>
        <w:pStyle w:val="NoSpacing"/>
        <w:ind w:left="720" w:hanging="720"/>
        <w:rPr>
          <w:rFonts w:cstheme="minorHAnsi"/>
        </w:rPr>
      </w:pPr>
      <w:r w:rsidRPr="00D64E39">
        <w:rPr>
          <w:rFonts w:cstheme="minorHAnsi"/>
        </w:rPr>
        <w:t xml:space="preserve">Bingham CB, </w:t>
      </w:r>
      <w:proofErr w:type="spellStart"/>
      <w:r w:rsidRPr="00D64E39">
        <w:rPr>
          <w:rFonts w:cstheme="minorHAnsi"/>
        </w:rPr>
        <w:t>Heimeriks</w:t>
      </w:r>
      <w:proofErr w:type="spellEnd"/>
      <w:r w:rsidRPr="00D64E39">
        <w:rPr>
          <w:rFonts w:cstheme="minorHAnsi"/>
        </w:rPr>
        <w:t xml:space="preserve"> K, </w:t>
      </w:r>
      <w:proofErr w:type="spellStart"/>
      <w:r w:rsidRPr="00D64E39">
        <w:rPr>
          <w:rFonts w:cstheme="minorHAnsi"/>
        </w:rPr>
        <w:t>Schijven</w:t>
      </w:r>
      <w:proofErr w:type="spellEnd"/>
      <w:r w:rsidRPr="00D64E39">
        <w:rPr>
          <w:rFonts w:cstheme="minorHAnsi"/>
        </w:rPr>
        <w:t xml:space="preserve"> M, Gates S (2015a) Concurrent learning: how firms develop multiple dynamic capabilities in parallel.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36:1802–1825</w:t>
      </w:r>
      <w:r w:rsidR="000578A4" w:rsidRPr="000578A4">
        <w:rPr>
          <w:rFonts w:cstheme="minorHAnsi"/>
        </w:rPr>
        <w:t xml:space="preserve"> </w:t>
      </w:r>
    </w:p>
    <w:p w14:paraId="411EE52A" w14:textId="48C9C2C7" w:rsidR="00D64E39" w:rsidRPr="00D64E39" w:rsidRDefault="00D64E39" w:rsidP="000578A4">
      <w:pPr>
        <w:pStyle w:val="NoSpacing"/>
        <w:ind w:left="720" w:hanging="720"/>
        <w:rPr>
          <w:rFonts w:cstheme="minorHAnsi"/>
        </w:rPr>
      </w:pPr>
      <w:r w:rsidRPr="00D64E39">
        <w:rPr>
          <w:rFonts w:cstheme="minorHAnsi"/>
        </w:rPr>
        <w:t xml:space="preserve">Bingham CB, Kolev KD, </w:t>
      </w:r>
      <w:proofErr w:type="spellStart"/>
      <w:r w:rsidRPr="00D64E39">
        <w:rPr>
          <w:rFonts w:cstheme="minorHAnsi"/>
        </w:rPr>
        <w:t>Haleblian</w:t>
      </w:r>
      <w:proofErr w:type="spellEnd"/>
      <w:r w:rsidRPr="00D64E39">
        <w:rPr>
          <w:rFonts w:cstheme="minorHAnsi"/>
        </w:rPr>
        <w:t xml:space="preserve"> J (2015b) Experience schedules: unpacking experience accumulations and its consequences. In: </w:t>
      </w:r>
      <w:proofErr w:type="spellStart"/>
      <w:r w:rsidRPr="00D64E39">
        <w:rPr>
          <w:rFonts w:cstheme="minorHAnsi"/>
          <w:i/>
          <w:iCs/>
        </w:rPr>
        <w:t>Acad</w:t>
      </w:r>
      <w:proofErr w:type="spellEnd"/>
      <w:r w:rsidRPr="00D64E39">
        <w:rPr>
          <w:rFonts w:cstheme="minorHAnsi"/>
          <w:i/>
          <w:iCs/>
        </w:rPr>
        <w:t xml:space="preserve"> </w:t>
      </w:r>
      <w:proofErr w:type="spellStart"/>
      <w:r w:rsidRPr="00D64E39">
        <w:rPr>
          <w:rFonts w:cstheme="minorHAnsi"/>
          <w:i/>
          <w:iCs/>
        </w:rPr>
        <w:t>Manag</w:t>
      </w:r>
      <w:proofErr w:type="spellEnd"/>
      <w:r w:rsidRPr="00D64E39">
        <w:rPr>
          <w:rFonts w:cstheme="minorHAnsi"/>
          <w:i/>
          <w:iCs/>
        </w:rPr>
        <w:t xml:space="preserve"> Proc</w:t>
      </w:r>
      <w:r w:rsidRPr="00D64E39">
        <w:rPr>
          <w:rFonts w:cstheme="minorHAnsi"/>
        </w:rPr>
        <w:t>. Academy of Management, Briarcliff Manor, NY, p 10877</w:t>
      </w:r>
      <w:r w:rsidR="000578A4" w:rsidRPr="000578A4">
        <w:rPr>
          <w:rFonts w:cstheme="minorHAnsi"/>
        </w:rPr>
        <w:t xml:space="preserve"> </w:t>
      </w:r>
    </w:p>
    <w:p w14:paraId="594A5173" w14:textId="2A475ACC" w:rsidR="00D64E39" w:rsidRPr="00D64E39" w:rsidRDefault="00D64E39" w:rsidP="000578A4">
      <w:pPr>
        <w:pStyle w:val="NoSpacing"/>
        <w:ind w:left="720" w:hanging="720"/>
        <w:rPr>
          <w:rFonts w:cstheme="minorHAnsi"/>
        </w:rPr>
      </w:pPr>
      <w:proofErr w:type="spellStart"/>
      <w:r w:rsidRPr="00D64E39">
        <w:rPr>
          <w:rFonts w:cstheme="minorHAnsi"/>
        </w:rPr>
        <w:t>Brehmer</w:t>
      </w:r>
      <w:proofErr w:type="spellEnd"/>
      <w:r w:rsidRPr="00D64E39">
        <w:rPr>
          <w:rFonts w:cstheme="minorHAnsi"/>
        </w:rPr>
        <w:t xml:space="preserve"> B, </w:t>
      </w:r>
      <w:proofErr w:type="spellStart"/>
      <w:r w:rsidRPr="00D64E39">
        <w:rPr>
          <w:rFonts w:cstheme="minorHAnsi"/>
        </w:rPr>
        <w:t>Hagafors</w:t>
      </w:r>
      <w:proofErr w:type="spellEnd"/>
      <w:r w:rsidRPr="00D64E39">
        <w:rPr>
          <w:rFonts w:cstheme="minorHAnsi"/>
        </w:rPr>
        <w:t xml:space="preserve"> R (1986) Use of experts in complex decision making: a paradigm for the study of staff work. Organ </w:t>
      </w:r>
      <w:proofErr w:type="spellStart"/>
      <w:r w:rsidRPr="00D64E39">
        <w:rPr>
          <w:rFonts w:cstheme="minorHAnsi"/>
        </w:rPr>
        <w:t>Behav</w:t>
      </w:r>
      <w:proofErr w:type="spellEnd"/>
      <w:r w:rsidRPr="00D64E39">
        <w:rPr>
          <w:rFonts w:cstheme="minorHAnsi"/>
        </w:rPr>
        <w:t xml:space="preserve"> Human Decision Processes 38:181–195</w:t>
      </w:r>
      <w:r w:rsidR="000578A4" w:rsidRPr="000578A4">
        <w:rPr>
          <w:rFonts w:cstheme="minorHAnsi"/>
        </w:rPr>
        <w:t xml:space="preserve"> </w:t>
      </w:r>
    </w:p>
    <w:p w14:paraId="132396C6" w14:textId="6FA75816" w:rsidR="00D64E39" w:rsidRPr="00D64E39" w:rsidRDefault="00D64E39" w:rsidP="000578A4">
      <w:pPr>
        <w:pStyle w:val="NoSpacing"/>
        <w:ind w:left="720" w:hanging="720"/>
        <w:rPr>
          <w:rFonts w:cstheme="minorHAnsi"/>
        </w:rPr>
      </w:pPr>
      <w:proofErr w:type="spellStart"/>
      <w:r w:rsidRPr="00D64E39">
        <w:rPr>
          <w:rFonts w:cstheme="minorHAnsi"/>
        </w:rPr>
        <w:t>Carow</w:t>
      </w:r>
      <w:proofErr w:type="spellEnd"/>
      <w:r w:rsidRPr="00D64E39">
        <w:rPr>
          <w:rFonts w:cstheme="minorHAnsi"/>
        </w:rPr>
        <w:t xml:space="preserve"> K, Heron R, Saxton T (2004) Do early birds get the returns? An empirical investigation of early-mover advantages in acquisitions.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25:563–585</w:t>
      </w:r>
      <w:r w:rsidR="000578A4" w:rsidRPr="000578A4">
        <w:rPr>
          <w:rFonts w:cstheme="minorHAnsi"/>
        </w:rPr>
        <w:t xml:space="preserve"> </w:t>
      </w:r>
    </w:p>
    <w:p w14:paraId="575BF648" w14:textId="38FD4B6A" w:rsidR="00D64E39" w:rsidRPr="00D64E39" w:rsidRDefault="00D64E39" w:rsidP="000578A4">
      <w:pPr>
        <w:pStyle w:val="NoSpacing"/>
        <w:ind w:left="720" w:hanging="720"/>
        <w:rPr>
          <w:rFonts w:cstheme="minorHAnsi"/>
        </w:rPr>
      </w:pPr>
      <w:r w:rsidRPr="00D64E39">
        <w:rPr>
          <w:rFonts w:cstheme="minorHAnsi"/>
        </w:rPr>
        <w:t>Cohen WM, Levinthal DA (1990) Absorptive capacity: a new perspective on learning and innovation. Adm Sci Q 35:128–152</w:t>
      </w:r>
      <w:r w:rsidR="000578A4" w:rsidRPr="000578A4">
        <w:rPr>
          <w:rFonts w:cstheme="minorHAnsi"/>
        </w:rPr>
        <w:t xml:space="preserve"> </w:t>
      </w:r>
    </w:p>
    <w:p w14:paraId="7E040583" w14:textId="693EF5B5" w:rsidR="00D64E39" w:rsidRPr="00D64E39" w:rsidRDefault="00D64E39" w:rsidP="000578A4">
      <w:pPr>
        <w:pStyle w:val="NoSpacing"/>
        <w:ind w:left="720" w:hanging="720"/>
        <w:rPr>
          <w:rFonts w:cstheme="minorHAnsi"/>
        </w:rPr>
      </w:pPr>
      <w:r w:rsidRPr="00D64E39">
        <w:rPr>
          <w:rFonts w:cstheme="minorHAnsi"/>
        </w:rPr>
        <w:t xml:space="preserve">Cox TH, </w:t>
      </w:r>
      <w:proofErr w:type="spellStart"/>
      <w:r w:rsidRPr="00D64E39">
        <w:rPr>
          <w:rFonts w:cstheme="minorHAnsi"/>
        </w:rPr>
        <w:t>Lobel</w:t>
      </w:r>
      <w:proofErr w:type="spellEnd"/>
      <w:r w:rsidRPr="00D64E39">
        <w:rPr>
          <w:rFonts w:cstheme="minorHAnsi"/>
        </w:rPr>
        <w:t xml:space="preserve"> SA, McLeod PL (1991) Effects of ethnic group cultural differences on cooperative and competitive behavior on a group task. </w:t>
      </w:r>
      <w:proofErr w:type="spellStart"/>
      <w:r w:rsidRPr="00D64E39">
        <w:rPr>
          <w:rFonts w:cstheme="minorHAnsi"/>
        </w:rPr>
        <w:t>Acad</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34(4):827–847</w:t>
      </w:r>
      <w:r w:rsidR="000578A4" w:rsidRPr="000578A4">
        <w:rPr>
          <w:rFonts w:cstheme="minorHAnsi"/>
        </w:rPr>
        <w:t xml:space="preserve"> </w:t>
      </w:r>
    </w:p>
    <w:p w14:paraId="7B547F3A" w14:textId="54217A86" w:rsidR="00D64E39" w:rsidRPr="00D64E39" w:rsidRDefault="00D64E39" w:rsidP="000578A4">
      <w:pPr>
        <w:pStyle w:val="NoSpacing"/>
        <w:ind w:left="720" w:hanging="720"/>
        <w:rPr>
          <w:rFonts w:cstheme="minorHAnsi"/>
        </w:rPr>
      </w:pPr>
      <w:r w:rsidRPr="00D64E39">
        <w:rPr>
          <w:rFonts w:cstheme="minorHAnsi"/>
        </w:rPr>
        <w:t xml:space="preserve">Devers CE, McNamara G, </w:t>
      </w:r>
      <w:proofErr w:type="spellStart"/>
      <w:r w:rsidRPr="00D64E39">
        <w:rPr>
          <w:rFonts w:cstheme="minorHAnsi"/>
        </w:rPr>
        <w:t>Haleblian</w:t>
      </w:r>
      <w:proofErr w:type="spellEnd"/>
      <w:r w:rsidRPr="00D64E39">
        <w:rPr>
          <w:rFonts w:cstheme="minorHAnsi"/>
        </w:rPr>
        <w:t xml:space="preserve"> J, Yoder ME (2013) Do they walk the talk? Gauging acquiring CEO and director confidence in the value creation potential of announced acquisitions. </w:t>
      </w:r>
      <w:proofErr w:type="spellStart"/>
      <w:r w:rsidRPr="00D64E39">
        <w:rPr>
          <w:rFonts w:cstheme="minorHAnsi"/>
        </w:rPr>
        <w:t>Acad</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56:1679–1702</w:t>
      </w:r>
      <w:r w:rsidR="000578A4" w:rsidRPr="000578A4">
        <w:rPr>
          <w:rFonts w:cstheme="minorHAnsi"/>
        </w:rPr>
        <w:t xml:space="preserve"> </w:t>
      </w:r>
    </w:p>
    <w:p w14:paraId="73A1D206" w14:textId="23B20C68" w:rsidR="00D64E39" w:rsidRPr="00D64E39" w:rsidRDefault="00D64E39" w:rsidP="000578A4">
      <w:pPr>
        <w:pStyle w:val="NoSpacing"/>
        <w:ind w:left="720" w:hanging="720"/>
        <w:rPr>
          <w:rFonts w:cstheme="minorHAnsi"/>
        </w:rPr>
      </w:pPr>
      <w:r w:rsidRPr="00D64E39">
        <w:rPr>
          <w:rFonts w:cstheme="minorHAnsi"/>
        </w:rPr>
        <w:t xml:space="preserve">Ellis KM, Reus TH, Lamont BT, </w:t>
      </w:r>
      <w:proofErr w:type="spellStart"/>
      <w:r w:rsidRPr="00D64E39">
        <w:rPr>
          <w:rFonts w:cstheme="minorHAnsi"/>
        </w:rPr>
        <w:t>Ranft</w:t>
      </w:r>
      <w:proofErr w:type="spellEnd"/>
      <w:r w:rsidRPr="00D64E39">
        <w:rPr>
          <w:rFonts w:cstheme="minorHAnsi"/>
        </w:rPr>
        <w:t xml:space="preserve"> AL (2011) Transfer effects in large acquisitions: how size-specific experience matters. </w:t>
      </w:r>
      <w:proofErr w:type="spellStart"/>
      <w:r w:rsidRPr="00D64E39">
        <w:rPr>
          <w:rFonts w:cstheme="minorHAnsi"/>
        </w:rPr>
        <w:t>Acad</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54(6):1261–1276</w:t>
      </w:r>
      <w:r w:rsidR="000578A4" w:rsidRPr="000578A4">
        <w:rPr>
          <w:rFonts w:cstheme="minorHAnsi"/>
        </w:rPr>
        <w:t xml:space="preserve"> </w:t>
      </w:r>
    </w:p>
    <w:p w14:paraId="2203170F" w14:textId="169552BC" w:rsidR="00D64E39" w:rsidRPr="00D64E39" w:rsidRDefault="00D64E39" w:rsidP="000578A4">
      <w:pPr>
        <w:pStyle w:val="NoSpacing"/>
        <w:ind w:left="720" w:hanging="720"/>
        <w:rPr>
          <w:rFonts w:cstheme="minorHAnsi"/>
        </w:rPr>
      </w:pPr>
      <w:r w:rsidRPr="00D64E39">
        <w:rPr>
          <w:rFonts w:cstheme="minorHAnsi"/>
        </w:rPr>
        <w:t xml:space="preserve">Finkelstein S, </w:t>
      </w:r>
      <w:proofErr w:type="spellStart"/>
      <w:r w:rsidRPr="00D64E39">
        <w:rPr>
          <w:rFonts w:cstheme="minorHAnsi"/>
        </w:rPr>
        <w:t>Haleblian</w:t>
      </w:r>
      <w:proofErr w:type="spellEnd"/>
      <w:r w:rsidRPr="00D64E39">
        <w:rPr>
          <w:rFonts w:cstheme="minorHAnsi"/>
        </w:rPr>
        <w:t xml:space="preserve"> J (2002) Understanding acquisition performance: the role of transfer effects. Organ Sci 13:36–47</w:t>
      </w:r>
      <w:r w:rsidR="000578A4" w:rsidRPr="000578A4">
        <w:rPr>
          <w:rFonts w:cstheme="minorHAnsi"/>
        </w:rPr>
        <w:t xml:space="preserve"> </w:t>
      </w:r>
    </w:p>
    <w:p w14:paraId="6B985D0F" w14:textId="3374509E" w:rsidR="00D64E39" w:rsidRPr="00D64E39" w:rsidRDefault="00D64E39" w:rsidP="000578A4">
      <w:pPr>
        <w:pStyle w:val="NoSpacing"/>
        <w:ind w:left="720" w:hanging="720"/>
        <w:rPr>
          <w:rFonts w:cstheme="minorHAnsi"/>
        </w:rPr>
      </w:pPr>
      <w:proofErr w:type="spellStart"/>
      <w:r w:rsidRPr="00D64E39">
        <w:rPr>
          <w:rFonts w:cstheme="minorHAnsi"/>
        </w:rPr>
        <w:t>Godek</w:t>
      </w:r>
      <w:proofErr w:type="spellEnd"/>
      <w:r w:rsidRPr="00D64E39">
        <w:rPr>
          <w:rFonts w:cstheme="minorHAnsi"/>
        </w:rPr>
        <w:t xml:space="preserve"> J, Murray KB (2008) Willingness to pay for advice: the role of rational and experiential processing. Organ </w:t>
      </w:r>
      <w:proofErr w:type="spellStart"/>
      <w:r w:rsidRPr="00D64E39">
        <w:rPr>
          <w:rFonts w:cstheme="minorHAnsi"/>
        </w:rPr>
        <w:t>Behav</w:t>
      </w:r>
      <w:proofErr w:type="spellEnd"/>
      <w:r w:rsidRPr="00D64E39">
        <w:rPr>
          <w:rFonts w:cstheme="minorHAnsi"/>
        </w:rPr>
        <w:t xml:space="preserve"> Human Decision Processes 106:77–87</w:t>
      </w:r>
      <w:r w:rsidR="000578A4" w:rsidRPr="000578A4">
        <w:rPr>
          <w:rFonts w:cstheme="minorHAnsi"/>
        </w:rPr>
        <w:t xml:space="preserve"> </w:t>
      </w:r>
    </w:p>
    <w:p w14:paraId="4F36F4A5" w14:textId="581598D9" w:rsidR="00D64E39" w:rsidRPr="00D64E39" w:rsidRDefault="00D64E39" w:rsidP="000578A4">
      <w:pPr>
        <w:pStyle w:val="NoSpacing"/>
        <w:ind w:left="720" w:hanging="720"/>
        <w:rPr>
          <w:rFonts w:cstheme="minorHAnsi"/>
        </w:rPr>
      </w:pPr>
      <w:proofErr w:type="spellStart"/>
      <w:r w:rsidRPr="00D64E39">
        <w:rPr>
          <w:rFonts w:cstheme="minorHAnsi"/>
        </w:rPr>
        <w:t>Graebner</w:t>
      </w:r>
      <w:proofErr w:type="spellEnd"/>
      <w:r w:rsidRPr="00D64E39">
        <w:rPr>
          <w:rFonts w:cstheme="minorHAnsi"/>
        </w:rPr>
        <w:t xml:space="preserve"> ME (2004) Momentum and serendipity: how acquired leaders create value in the integration of technology firms.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25:751–777</w:t>
      </w:r>
      <w:r w:rsidR="000578A4" w:rsidRPr="000578A4">
        <w:rPr>
          <w:rFonts w:cstheme="minorHAnsi"/>
        </w:rPr>
        <w:t xml:space="preserve"> </w:t>
      </w:r>
    </w:p>
    <w:p w14:paraId="0A5442E0" w14:textId="3C7C6B38" w:rsidR="00D64E39" w:rsidRPr="00D64E39" w:rsidRDefault="00D64E39" w:rsidP="000578A4">
      <w:pPr>
        <w:pStyle w:val="NoSpacing"/>
        <w:ind w:left="720" w:hanging="720"/>
        <w:rPr>
          <w:rFonts w:cstheme="minorHAnsi"/>
        </w:rPr>
      </w:pPr>
      <w:proofErr w:type="spellStart"/>
      <w:r w:rsidRPr="00D64E39">
        <w:rPr>
          <w:rFonts w:cstheme="minorHAnsi"/>
        </w:rPr>
        <w:t>Gruenfeld</w:t>
      </w:r>
      <w:proofErr w:type="spellEnd"/>
      <w:r w:rsidRPr="00D64E39">
        <w:rPr>
          <w:rFonts w:cstheme="minorHAnsi"/>
        </w:rPr>
        <w:t xml:space="preserve"> DH, Mannix EA, Williams KY, Neale MA (1996) Group composition and decision </w:t>
      </w:r>
      <w:proofErr w:type="gramStart"/>
      <w:r w:rsidRPr="00D64E39">
        <w:rPr>
          <w:rFonts w:cstheme="minorHAnsi"/>
        </w:rPr>
        <w:t>making:</w:t>
      </w:r>
      <w:proofErr w:type="gramEnd"/>
      <w:r w:rsidRPr="00D64E39">
        <w:rPr>
          <w:rFonts w:cstheme="minorHAnsi"/>
        </w:rPr>
        <w:t xml:space="preserve"> how member familiarity and information distribution affect process and performance. Organ </w:t>
      </w:r>
      <w:proofErr w:type="spellStart"/>
      <w:r w:rsidRPr="00D64E39">
        <w:rPr>
          <w:rFonts w:cstheme="minorHAnsi"/>
        </w:rPr>
        <w:t>Behav</w:t>
      </w:r>
      <w:proofErr w:type="spellEnd"/>
      <w:r w:rsidRPr="00D64E39">
        <w:rPr>
          <w:rFonts w:cstheme="minorHAnsi"/>
        </w:rPr>
        <w:t xml:space="preserve"> Human Decision Processes 67:1–15</w:t>
      </w:r>
      <w:r w:rsidR="000578A4" w:rsidRPr="000578A4">
        <w:rPr>
          <w:rFonts w:cstheme="minorHAnsi"/>
        </w:rPr>
        <w:t xml:space="preserve"> </w:t>
      </w:r>
    </w:p>
    <w:p w14:paraId="5D963230" w14:textId="488B9047" w:rsidR="00D64E39" w:rsidRPr="00D64E39" w:rsidRDefault="00D64E39" w:rsidP="000578A4">
      <w:pPr>
        <w:pStyle w:val="NoSpacing"/>
        <w:ind w:left="720" w:hanging="720"/>
        <w:rPr>
          <w:rFonts w:cstheme="minorHAnsi"/>
        </w:rPr>
      </w:pPr>
      <w:proofErr w:type="spellStart"/>
      <w:r w:rsidRPr="00D64E39">
        <w:rPr>
          <w:rFonts w:cstheme="minorHAnsi"/>
        </w:rPr>
        <w:t>Haleblian</w:t>
      </w:r>
      <w:proofErr w:type="spellEnd"/>
      <w:r w:rsidRPr="00D64E39">
        <w:rPr>
          <w:rFonts w:cstheme="minorHAnsi"/>
        </w:rPr>
        <w:t xml:space="preserve"> J, Devers CE, McNamara G, Carpenter MA, Davison RB (2009) Taking stock of what we know about mergers and acquisitions: a review and research agenda. J </w:t>
      </w:r>
      <w:proofErr w:type="spellStart"/>
      <w:r w:rsidRPr="00D64E39">
        <w:rPr>
          <w:rFonts w:cstheme="minorHAnsi"/>
        </w:rPr>
        <w:t>Manag</w:t>
      </w:r>
      <w:proofErr w:type="spellEnd"/>
      <w:r w:rsidRPr="00D64E39">
        <w:rPr>
          <w:rFonts w:cstheme="minorHAnsi"/>
        </w:rPr>
        <w:t xml:space="preserve"> 35:469–502</w:t>
      </w:r>
      <w:r w:rsidR="000578A4" w:rsidRPr="000578A4">
        <w:rPr>
          <w:rFonts w:cstheme="minorHAnsi"/>
        </w:rPr>
        <w:t xml:space="preserve"> </w:t>
      </w:r>
    </w:p>
    <w:p w14:paraId="661038B9" w14:textId="5F05872D" w:rsidR="00D64E39" w:rsidRPr="00D64E39" w:rsidRDefault="00D64E39" w:rsidP="000578A4">
      <w:pPr>
        <w:pStyle w:val="NoSpacing"/>
        <w:ind w:left="720" w:hanging="720"/>
        <w:rPr>
          <w:rFonts w:cstheme="minorHAnsi"/>
        </w:rPr>
      </w:pPr>
      <w:proofErr w:type="spellStart"/>
      <w:r w:rsidRPr="00D64E39">
        <w:rPr>
          <w:rFonts w:cstheme="minorHAnsi"/>
        </w:rPr>
        <w:t>Haleblian</w:t>
      </w:r>
      <w:proofErr w:type="spellEnd"/>
      <w:r w:rsidRPr="00D64E39">
        <w:rPr>
          <w:rFonts w:cstheme="minorHAnsi"/>
        </w:rPr>
        <w:t xml:space="preserve"> J, Finkelstein S (1999) The influence of organizational acquisition experience on acquisition performance: a behavioral learning perspective. Adm Sci Q 44:29–56</w:t>
      </w:r>
      <w:r w:rsidR="000578A4" w:rsidRPr="000578A4">
        <w:rPr>
          <w:rFonts w:cstheme="minorHAnsi"/>
        </w:rPr>
        <w:t xml:space="preserve"> </w:t>
      </w:r>
    </w:p>
    <w:p w14:paraId="175CF085" w14:textId="4508DFFC" w:rsidR="00D64E39" w:rsidRPr="00D64E39" w:rsidRDefault="00D64E39" w:rsidP="000578A4">
      <w:pPr>
        <w:pStyle w:val="NoSpacing"/>
        <w:ind w:left="720" w:hanging="720"/>
        <w:rPr>
          <w:rFonts w:cstheme="minorHAnsi"/>
        </w:rPr>
      </w:pPr>
      <w:proofErr w:type="spellStart"/>
      <w:r w:rsidRPr="00D64E39">
        <w:rPr>
          <w:rFonts w:cstheme="minorHAnsi"/>
        </w:rPr>
        <w:t>Haleblian</w:t>
      </w:r>
      <w:proofErr w:type="spellEnd"/>
      <w:r w:rsidRPr="00D64E39">
        <w:rPr>
          <w:rFonts w:cstheme="minorHAnsi"/>
        </w:rPr>
        <w:t xml:space="preserve"> J, McNamara G, Kolev K, Dykes BJ (2012) Exploring firm characteristics that differentiate leaders from followers in industry merger waves: a competitive dynamics perspective.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33(9):1037–1052</w:t>
      </w:r>
      <w:r w:rsidR="000578A4" w:rsidRPr="000578A4">
        <w:rPr>
          <w:rFonts w:cstheme="minorHAnsi"/>
        </w:rPr>
        <w:t xml:space="preserve"> </w:t>
      </w:r>
    </w:p>
    <w:p w14:paraId="6383D397" w14:textId="23103480" w:rsidR="00D64E39" w:rsidRPr="00D64E39" w:rsidRDefault="00D64E39" w:rsidP="000578A4">
      <w:pPr>
        <w:pStyle w:val="NoSpacing"/>
        <w:ind w:left="720" w:hanging="720"/>
        <w:rPr>
          <w:rFonts w:cstheme="minorHAnsi"/>
        </w:rPr>
      </w:pPr>
      <w:r w:rsidRPr="00D64E39">
        <w:rPr>
          <w:rFonts w:cstheme="minorHAnsi"/>
        </w:rPr>
        <w:t xml:space="preserve">Harvey N, Fischer I (1997) Taking advice: accepting help, improving judgment, and sharing responsibility. Organ </w:t>
      </w:r>
      <w:proofErr w:type="spellStart"/>
      <w:r w:rsidRPr="00D64E39">
        <w:rPr>
          <w:rFonts w:cstheme="minorHAnsi"/>
        </w:rPr>
        <w:t>Behav</w:t>
      </w:r>
      <w:proofErr w:type="spellEnd"/>
      <w:r w:rsidRPr="00D64E39">
        <w:rPr>
          <w:rFonts w:cstheme="minorHAnsi"/>
        </w:rPr>
        <w:t xml:space="preserve"> Human Decision Processes 70:117–133</w:t>
      </w:r>
      <w:r w:rsidR="000578A4" w:rsidRPr="000578A4">
        <w:rPr>
          <w:rFonts w:cstheme="minorHAnsi"/>
        </w:rPr>
        <w:t xml:space="preserve"> </w:t>
      </w:r>
    </w:p>
    <w:p w14:paraId="53592750" w14:textId="7BCE1F0B" w:rsidR="00D64E39" w:rsidRPr="00D64E39" w:rsidRDefault="00D64E39" w:rsidP="000578A4">
      <w:pPr>
        <w:pStyle w:val="NoSpacing"/>
        <w:ind w:left="720" w:hanging="720"/>
        <w:rPr>
          <w:rFonts w:cstheme="minorHAnsi"/>
        </w:rPr>
      </w:pPr>
      <w:proofErr w:type="spellStart"/>
      <w:r w:rsidRPr="00D64E39">
        <w:rPr>
          <w:rFonts w:cstheme="minorHAnsi"/>
        </w:rPr>
        <w:t>Haunschild</w:t>
      </w:r>
      <w:proofErr w:type="spellEnd"/>
      <w:r w:rsidRPr="00D64E39">
        <w:rPr>
          <w:rFonts w:cstheme="minorHAnsi"/>
        </w:rPr>
        <w:t xml:space="preserve"> PR, Davis-</w:t>
      </w:r>
      <w:proofErr w:type="spellStart"/>
      <w:r w:rsidRPr="00D64E39">
        <w:rPr>
          <w:rFonts w:cstheme="minorHAnsi"/>
        </w:rPr>
        <w:t>blake</w:t>
      </w:r>
      <w:proofErr w:type="spellEnd"/>
      <w:r w:rsidRPr="00D64E39">
        <w:rPr>
          <w:rFonts w:cstheme="minorHAnsi"/>
        </w:rPr>
        <w:t xml:space="preserve"> A, Fichman M (1994) Managerial overcommitment in corporate acquisition processes. </w:t>
      </w:r>
      <w:r w:rsidRPr="00D64E39">
        <w:rPr>
          <w:rFonts w:cstheme="minorHAnsi"/>
          <w:i/>
          <w:iCs/>
        </w:rPr>
        <w:t>Organ Sci</w:t>
      </w:r>
      <w:r w:rsidRPr="00D64E39">
        <w:rPr>
          <w:rFonts w:cstheme="minorHAnsi"/>
        </w:rPr>
        <w:t> 5:528–540</w:t>
      </w:r>
      <w:r w:rsidR="000578A4" w:rsidRPr="000578A4">
        <w:rPr>
          <w:rFonts w:cstheme="minorHAnsi"/>
        </w:rPr>
        <w:t xml:space="preserve"> </w:t>
      </w:r>
    </w:p>
    <w:p w14:paraId="1E4611A4" w14:textId="1B79E13E" w:rsidR="00D64E39" w:rsidRPr="00D64E39" w:rsidRDefault="00D64E39" w:rsidP="000578A4">
      <w:pPr>
        <w:pStyle w:val="NoSpacing"/>
        <w:ind w:left="720" w:hanging="720"/>
        <w:rPr>
          <w:rFonts w:cstheme="minorHAnsi"/>
        </w:rPr>
      </w:pPr>
      <w:r w:rsidRPr="00D64E39">
        <w:rPr>
          <w:rFonts w:cstheme="minorHAnsi"/>
        </w:rPr>
        <w:t xml:space="preserve">Hayward MLA (2002) When do firms learn from their acquisition experience? Evidence from 1990-1995.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23:21–39</w:t>
      </w:r>
      <w:r w:rsidR="000578A4" w:rsidRPr="000578A4">
        <w:rPr>
          <w:rFonts w:cstheme="minorHAnsi"/>
        </w:rPr>
        <w:t xml:space="preserve"> </w:t>
      </w:r>
    </w:p>
    <w:p w14:paraId="011F716F" w14:textId="274CA9F8" w:rsidR="00D64E39" w:rsidRPr="00D64E39" w:rsidRDefault="00D64E39" w:rsidP="000578A4">
      <w:pPr>
        <w:pStyle w:val="NoSpacing"/>
        <w:ind w:left="720" w:hanging="720"/>
        <w:rPr>
          <w:rFonts w:cstheme="minorHAnsi"/>
        </w:rPr>
      </w:pPr>
      <w:proofErr w:type="spellStart"/>
      <w:r w:rsidRPr="00D64E39">
        <w:rPr>
          <w:rFonts w:cstheme="minorHAnsi"/>
        </w:rPr>
        <w:t>Heimeriks</w:t>
      </w:r>
      <w:proofErr w:type="spellEnd"/>
      <w:r w:rsidRPr="00D64E39">
        <w:rPr>
          <w:rFonts w:cstheme="minorHAnsi"/>
        </w:rPr>
        <w:t xml:space="preserve"> KH, </w:t>
      </w:r>
      <w:proofErr w:type="spellStart"/>
      <w:r w:rsidRPr="00D64E39">
        <w:rPr>
          <w:rFonts w:cstheme="minorHAnsi"/>
        </w:rPr>
        <w:t>Schijven</w:t>
      </w:r>
      <w:proofErr w:type="spellEnd"/>
      <w:r w:rsidRPr="00D64E39">
        <w:rPr>
          <w:rFonts w:cstheme="minorHAnsi"/>
        </w:rPr>
        <w:t xml:space="preserve"> M, Gates S (2012) Manifestations of higher-order routines: the underlying mechanisms of deliberate learning in the context of </w:t>
      </w:r>
      <w:proofErr w:type="spellStart"/>
      <w:r w:rsidRPr="00D64E39">
        <w:rPr>
          <w:rFonts w:cstheme="minorHAnsi"/>
        </w:rPr>
        <w:t>postacquisition</w:t>
      </w:r>
      <w:proofErr w:type="spellEnd"/>
      <w:r w:rsidRPr="00D64E39">
        <w:rPr>
          <w:rFonts w:cstheme="minorHAnsi"/>
        </w:rPr>
        <w:t xml:space="preserve"> integration. </w:t>
      </w:r>
      <w:proofErr w:type="spellStart"/>
      <w:r w:rsidRPr="00D64E39">
        <w:rPr>
          <w:rFonts w:cstheme="minorHAnsi"/>
        </w:rPr>
        <w:t>Acad</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55:703–726</w:t>
      </w:r>
      <w:r w:rsidR="000578A4" w:rsidRPr="000578A4">
        <w:rPr>
          <w:rFonts w:cstheme="minorHAnsi"/>
        </w:rPr>
        <w:t xml:space="preserve"> </w:t>
      </w:r>
    </w:p>
    <w:p w14:paraId="2E4F7349" w14:textId="712B685E" w:rsidR="00D64E39" w:rsidRPr="00D64E39" w:rsidRDefault="00D64E39" w:rsidP="000578A4">
      <w:pPr>
        <w:pStyle w:val="NoSpacing"/>
        <w:ind w:left="720" w:hanging="720"/>
        <w:rPr>
          <w:rFonts w:cstheme="minorHAnsi"/>
        </w:rPr>
      </w:pPr>
      <w:r w:rsidRPr="00D64E39">
        <w:rPr>
          <w:rFonts w:cstheme="minorHAnsi"/>
        </w:rPr>
        <w:t xml:space="preserve">Ingram P, Baum JAC (1997) Opportunity and constraint: operations’ learning from the operating and competitive experience of industries.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18:75–98</w:t>
      </w:r>
      <w:r w:rsidR="000578A4" w:rsidRPr="000578A4">
        <w:rPr>
          <w:rFonts w:cstheme="minorHAnsi"/>
        </w:rPr>
        <w:t xml:space="preserve"> </w:t>
      </w:r>
    </w:p>
    <w:p w14:paraId="390687B2" w14:textId="76EFA193" w:rsidR="00D64E39" w:rsidRPr="00D64E39" w:rsidRDefault="00D64E39" w:rsidP="000578A4">
      <w:pPr>
        <w:pStyle w:val="NoSpacing"/>
        <w:ind w:left="720" w:hanging="720"/>
        <w:rPr>
          <w:rFonts w:cstheme="minorHAnsi"/>
        </w:rPr>
      </w:pPr>
      <w:r w:rsidRPr="00D64E39">
        <w:rPr>
          <w:rFonts w:cstheme="minorHAnsi"/>
        </w:rPr>
        <w:t xml:space="preserve">Kale P, Dyer JH, Singh H (2002) Alliance capability, stock market response, and long-term alliance success: the role of the alliance function.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23:747–767</w:t>
      </w:r>
      <w:r w:rsidR="000578A4" w:rsidRPr="000578A4">
        <w:rPr>
          <w:rFonts w:cstheme="minorHAnsi"/>
        </w:rPr>
        <w:t xml:space="preserve"> </w:t>
      </w:r>
    </w:p>
    <w:p w14:paraId="4A908447" w14:textId="161212D0" w:rsidR="00D64E39" w:rsidRPr="00D64E39" w:rsidRDefault="00D64E39" w:rsidP="000578A4">
      <w:pPr>
        <w:pStyle w:val="NoSpacing"/>
        <w:ind w:left="720" w:hanging="720"/>
        <w:rPr>
          <w:rFonts w:cstheme="minorHAnsi"/>
        </w:rPr>
      </w:pPr>
      <w:proofErr w:type="spellStart"/>
      <w:r w:rsidRPr="00D64E39">
        <w:rPr>
          <w:rFonts w:cstheme="minorHAnsi"/>
        </w:rPr>
        <w:lastRenderedPageBreak/>
        <w:t>Kardes</w:t>
      </w:r>
      <w:proofErr w:type="spellEnd"/>
      <w:r w:rsidRPr="00D64E39">
        <w:rPr>
          <w:rFonts w:cstheme="minorHAnsi"/>
        </w:rPr>
        <w:t xml:space="preserve"> FR, </w:t>
      </w:r>
      <w:proofErr w:type="spellStart"/>
      <w:r w:rsidRPr="00D64E39">
        <w:rPr>
          <w:rFonts w:cstheme="minorHAnsi"/>
        </w:rPr>
        <w:t>Muthukrishnan</w:t>
      </w:r>
      <w:proofErr w:type="spellEnd"/>
      <w:r w:rsidRPr="00D64E39">
        <w:rPr>
          <w:rFonts w:cstheme="minorHAnsi"/>
        </w:rPr>
        <w:t xml:space="preserve"> AV, </w:t>
      </w:r>
      <w:proofErr w:type="spellStart"/>
      <w:r w:rsidRPr="00D64E39">
        <w:rPr>
          <w:rFonts w:cstheme="minorHAnsi"/>
        </w:rPr>
        <w:t>Pashkevich</w:t>
      </w:r>
      <w:proofErr w:type="spellEnd"/>
      <w:r w:rsidRPr="00D64E39">
        <w:rPr>
          <w:rFonts w:cstheme="minorHAnsi"/>
        </w:rPr>
        <w:t xml:space="preserve"> V (2005) On the conditions under which </w:t>
      </w:r>
      <w:proofErr w:type="gramStart"/>
      <w:r w:rsidRPr="00D64E39">
        <w:rPr>
          <w:rFonts w:cstheme="minorHAnsi"/>
        </w:rPr>
        <w:t>experience</w:t>
      </w:r>
      <w:proofErr w:type="gramEnd"/>
      <w:r w:rsidRPr="00D64E39">
        <w:rPr>
          <w:rFonts w:cstheme="minorHAnsi"/>
        </w:rPr>
        <w:t xml:space="preserve"> and motivation accentuate bias in intuitive judgment. T. </w:t>
      </w:r>
      <w:proofErr w:type="spellStart"/>
      <w:r w:rsidRPr="00D64E39">
        <w:rPr>
          <w:rFonts w:cstheme="minorHAnsi"/>
        </w:rPr>
        <w:t>Betsch</w:t>
      </w:r>
      <w:proofErr w:type="spellEnd"/>
      <w:r w:rsidRPr="00D64E39">
        <w:rPr>
          <w:rFonts w:cstheme="minorHAnsi"/>
        </w:rPr>
        <w:t xml:space="preserve">, S. </w:t>
      </w:r>
      <w:proofErr w:type="spellStart"/>
      <w:r w:rsidRPr="00D64E39">
        <w:rPr>
          <w:rFonts w:cstheme="minorHAnsi"/>
        </w:rPr>
        <w:t>Haberstroh</w:t>
      </w:r>
      <w:proofErr w:type="spellEnd"/>
      <w:r w:rsidRPr="00D64E39">
        <w:rPr>
          <w:rFonts w:cstheme="minorHAnsi"/>
        </w:rPr>
        <w:t>, eds. The Routines of Decision Making. Lawrence Erlbaum Associates, Inc, Mahwah, 139-156.</w:t>
      </w:r>
      <w:r w:rsidR="000578A4" w:rsidRPr="000578A4">
        <w:rPr>
          <w:rFonts w:cstheme="minorHAnsi"/>
        </w:rPr>
        <w:t xml:space="preserve"> </w:t>
      </w:r>
    </w:p>
    <w:p w14:paraId="252F7A67" w14:textId="1839034C" w:rsidR="00D64E39" w:rsidRPr="00D64E39" w:rsidRDefault="00D64E39" w:rsidP="000578A4">
      <w:pPr>
        <w:pStyle w:val="NoSpacing"/>
        <w:ind w:left="720" w:hanging="720"/>
        <w:rPr>
          <w:rFonts w:cstheme="minorHAnsi"/>
        </w:rPr>
      </w:pPr>
      <w:r w:rsidRPr="00D64E39">
        <w:rPr>
          <w:rFonts w:cstheme="minorHAnsi"/>
        </w:rPr>
        <w:t>Levitt B, March JG (1988) Organizational learning. Ann Rev Soc 14:319–340</w:t>
      </w:r>
      <w:r w:rsidR="000578A4" w:rsidRPr="000578A4">
        <w:rPr>
          <w:rFonts w:cstheme="minorHAnsi"/>
        </w:rPr>
        <w:t xml:space="preserve"> </w:t>
      </w:r>
    </w:p>
    <w:p w14:paraId="29777665" w14:textId="6057269A" w:rsidR="00D64E39" w:rsidRPr="00D64E39" w:rsidRDefault="00D64E39" w:rsidP="000578A4">
      <w:pPr>
        <w:pStyle w:val="NoSpacing"/>
        <w:ind w:left="720" w:hanging="720"/>
        <w:rPr>
          <w:rFonts w:cstheme="minorHAnsi"/>
        </w:rPr>
      </w:pPr>
      <w:r w:rsidRPr="00D64E39">
        <w:rPr>
          <w:rFonts w:cstheme="minorHAnsi"/>
        </w:rPr>
        <w:t xml:space="preserve">Massoudi A, </w:t>
      </w:r>
      <w:proofErr w:type="spellStart"/>
      <w:r w:rsidRPr="00D64E39">
        <w:rPr>
          <w:rFonts w:cstheme="minorHAnsi"/>
        </w:rPr>
        <w:t>Fontanella</w:t>
      </w:r>
      <w:proofErr w:type="spellEnd"/>
      <w:r w:rsidRPr="00D64E39">
        <w:rPr>
          <w:rFonts w:cstheme="minorHAnsi"/>
        </w:rPr>
        <w:t>-Khan J, Weiland D (2017) Global M&amp;A exceeds $3tn for fourth straight year. In: </w:t>
      </w:r>
      <w:r w:rsidRPr="00D64E39">
        <w:rPr>
          <w:rFonts w:cstheme="minorHAnsi"/>
          <w:i/>
          <w:iCs/>
        </w:rPr>
        <w:t>Financial Times</w:t>
      </w:r>
      <w:r w:rsidR="000578A4" w:rsidRPr="000578A4">
        <w:rPr>
          <w:rFonts w:cstheme="minorHAnsi"/>
        </w:rPr>
        <w:t xml:space="preserve"> </w:t>
      </w:r>
    </w:p>
    <w:p w14:paraId="6705C446" w14:textId="22ACF683" w:rsidR="00D64E39" w:rsidRPr="00D64E39" w:rsidRDefault="00D64E39" w:rsidP="000578A4">
      <w:pPr>
        <w:pStyle w:val="NoSpacing"/>
        <w:ind w:left="720" w:hanging="720"/>
        <w:rPr>
          <w:rFonts w:cstheme="minorHAnsi"/>
        </w:rPr>
      </w:pPr>
      <w:r w:rsidRPr="00D64E39">
        <w:rPr>
          <w:rFonts w:cstheme="minorHAnsi"/>
        </w:rPr>
        <w:t xml:space="preserve">McNamara GM, </w:t>
      </w:r>
      <w:proofErr w:type="spellStart"/>
      <w:r w:rsidRPr="00D64E39">
        <w:rPr>
          <w:rFonts w:cstheme="minorHAnsi"/>
        </w:rPr>
        <w:t>Haleblian</w:t>
      </w:r>
      <w:proofErr w:type="spellEnd"/>
      <w:r w:rsidRPr="00D64E39">
        <w:rPr>
          <w:rFonts w:cstheme="minorHAnsi"/>
        </w:rPr>
        <w:t xml:space="preserve"> J, Dykes BJ (2008) The performance implications of participating in an acquisition wave: early mover advantages, bandwagon effects, and the moderating influence of industry characteristics and acquirer tactics. </w:t>
      </w:r>
      <w:proofErr w:type="spellStart"/>
      <w:r w:rsidRPr="00D64E39">
        <w:rPr>
          <w:rFonts w:cstheme="minorHAnsi"/>
        </w:rPr>
        <w:t>Acad</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51:113–130</w:t>
      </w:r>
      <w:r w:rsidR="000578A4" w:rsidRPr="000578A4">
        <w:rPr>
          <w:rFonts w:cstheme="minorHAnsi"/>
        </w:rPr>
        <w:t xml:space="preserve"> </w:t>
      </w:r>
    </w:p>
    <w:p w14:paraId="6347AB7C" w14:textId="6079C0ED" w:rsidR="00D64E39" w:rsidRPr="00D64E39" w:rsidRDefault="00D64E39" w:rsidP="000578A4">
      <w:pPr>
        <w:pStyle w:val="NoSpacing"/>
        <w:ind w:left="720" w:hanging="720"/>
        <w:rPr>
          <w:rFonts w:cstheme="minorHAnsi"/>
        </w:rPr>
      </w:pPr>
      <w:r w:rsidRPr="00D64E39">
        <w:rPr>
          <w:rFonts w:cstheme="minorHAnsi"/>
        </w:rPr>
        <w:t xml:space="preserve">Miner AS, </w:t>
      </w:r>
      <w:proofErr w:type="spellStart"/>
      <w:r w:rsidRPr="00D64E39">
        <w:rPr>
          <w:rFonts w:cstheme="minorHAnsi"/>
        </w:rPr>
        <w:t>Haunschild</w:t>
      </w:r>
      <w:proofErr w:type="spellEnd"/>
      <w:r w:rsidRPr="00D64E39">
        <w:rPr>
          <w:rFonts w:cstheme="minorHAnsi"/>
        </w:rPr>
        <w:t xml:space="preserve"> PR (1995) Population level learning. Res Organ </w:t>
      </w:r>
      <w:proofErr w:type="spellStart"/>
      <w:r w:rsidRPr="00D64E39">
        <w:rPr>
          <w:rFonts w:cstheme="minorHAnsi"/>
        </w:rPr>
        <w:t>Behav</w:t>
      </w:r>
      <w:proofErr w:type="spellEnd"/>
      <w:r w:rsidRPr="00D64E39">
        <w:rPr>
          <w:rFonts w:cstheme="minorHAnsi"/>
        </w:rPr>
        <w:t xml:space="preserve"> 17:115–166</w:t>
      </w:r>
      <w:hyperlink r:id="rId71" w:tgtFrame="_blank" w:history="1">
        <w:r w:rsidRPr="00D64E39">
          <w:rPr>
            <w:rStyle w:val="Hyperlink"/>
            <w:rFonts w:cstheme="minorHAnsi"/>
          </w:rPr>
          <w:t>r</w:t>
        </w:r>
      </w:hyperlink>
    </w:p>
    <w:p w14:paraId="4F8AB021" w14:textId="0E2737FF" w:rsidR="00D64E39" w:rsidRPr="00D64E39" w:rsidRDefault="00D64E39" w:rsidP="000578A4">
      <w:pPr>
        <w:pStyle w:val="NoSpacing"/>
        <w:ind w:left="720" w:hanging="720"/>
        <w:rPr>
          <w:rFonts w:cstheme="minorHAnsi"/>
        </w:rPr>
      </w:pPr>
      <w:proofErr w:type="spellStart"/>
      <w:r w:rsidRPr="00D64E39">
        <w:rPr>
          <w:rFonts w:cstheme="minorHAnsi"/>
        </w:rPr>
        <w:t>Morck</w:t>
      </w:r>
      <w:proofErr w:type="spellEnd"/>
      <w:r w:rsidRPr="00D64E39">
        <w:rPr>
          <w:rFonts w:cstheme="minorHAnsi"/>
        </w:rPr>
        <w:t xml:space="preserve"> R, Shleifer A, </w:t>
      </w:r>
      <w:proofErr w:type="spellStart"/>
      <w:r w:rsidRPr="00D64E39">
        <w:rPr>
          <w:rFonts w:cstheme="minorHAnsi"/>
        </w:rPr>
        <w:t>Vishny</w:t>
      </w:r>
      <w:proofErr w:type="spellEnd"/>
      <w:r w:rsidRPr="00D64E39">
        <w:rPr>
          <w:rFonts w:cstheme="minorHAnsi"/>
        </w:rPr>
        <w:t xml:space="preserve"> RW (1990) Do managerial objectives drive bad acquisitions. J Finance 45:31–48</w:t>
      </w:r>
      <w:r w:rsidR="000578A4" w:rsidRPr="000578A4">
        <w:rPr>
          <w:rFonts w:cstheme="minorHAnsi"/>
        </w:rPr>
        <w:t xml:space="preserve"> </w:t>
      </w:r>
    </w:p>
    <w:p w14:paraId="1693B40A" w14:textId="2796F9D8" w:rsidR="00D64E39" w:rsidRPr="00D64E39" w:rsidRDefault="00D64E39" w:rsidP="000578A4">
      <w:pPr>
        <w:pStyle w:val="NoSpacing"/>
        <w:ind w:left="720" w:hanging="720"/>
        <w:rPr>
          <w:rFonts w:cstheme="minorHAnsi"/>
        </w:rPr>
      </w:pPr>
      <w:proofErr w:type="spellStart"/>
      <w:r w:rsidRPr="00D64E39">
        <w:rPr>
          <w:rFonts w:cstheme="minorHAnsi"/>
        </w:rPr>
        <w:t>Nadolska</w:t>
      </w:r>
      <w:proofErr w:type="spellEnd"/>
      <w:r w:rsidRPr="00D64E39">
        <w:rPr>
          <w:rFonts w:cstheme="minorHAnsi"/>
        </w:rPr>
        <w:t xml:space="preserve"> A, </w:t>
      </w:r>
      <w:proofErr w:type="spellStart"/>
      <w:r w:rsidRPr="00D64E39">
        <w:rPr>
          <w:rFonts w:cstheme="minorHAnsi"/>
        </w:rPr>
        <w:t>Barkema</w:t>
      </w:r>
      <w:proofErr w:type="spellEnd"/>
      <w:r w:rsidRPr="00D64E39">
        <w:rPr>
          <w:rFonts w:cstheme="minorHAnsi"/>
        </w:rPr>
        <w:t xml:space="preserve"> HG (2014) Good learners: how top management teams affect the success and frequency of acquisitions.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35:1483–1507</w:t>
      </w:r>
      <w:r w:rsidR="000578A4" w:rsidRPr="000578A4">
        <w:rPr>
          <w:rFonts w:cstheme="minorHAnsi"/>
        </w:rPr>
        <w:t xml:space="preserve"> </w:t>
      </w:r>
    </w:p>
    <w:p w14:paraId="3B6E9323" w14:textId="7F07317A" w:rsidR="00D64E39" w:rsidRPr="00D64E39" w:rsidRDefault="00D64E39" w:rsidP="000578A4">
      <w:pPr>
        <w:pStyle w:val="NoSpacing"/>
        <w:ind w:left="720" w:hanging="720"/>
        <w:rPr>
          <w:rFonts w:cstheme="minorHAnsi"/>
        </w:rPr>
      </w:pPr>
      <w:r w:rsidRPr="00D64E39">
        <w:rPr>
          <w:rFonts w:cstheme="minorHAnsi"/>
        </w:rPr>
        <w:t>Nelson RR, Winter S, G. (1982) An evolutionary theory of economic change. Harvard University Press, Cambridge, MA</w:t>
      </w:r>
      <w:r w:rsidR="000578A4" w:rsidRPr="000578A4">
        <w:rPr>
          <w:rFonts w:cstheme="minorHAnsi"/>
        </w:rPr>
        <w:t xml:space="preserve"> </w:t>
      </w:r>
    </w:p>
    <w:p w14:paraId="1C0F85B3" w14:textId="34B5CACA" w:rsidR="00D64E39" w:rsidRPr="00D64E39" w:rsidRDefault="00D64E39" w:rsidP="000578A4">
      <w:pPr>
        <w:pStyle w:val="NoSpacing"/>
        <w:ind w:left="720" w:hanging="720"/>
        <w:rPr>
          <w:rFonts w:cstheme="minorHAnsi"/>
        </w:rPr>
      </w:pPr>
      <w:proofErr w:type="spellStart"/>
      <w:r w:rsidRPr="00D64E39">
        <w:rPr>
          <w:rFonts w:cstheme="minorHAnsi"/>
        </w:rPr>
        <w:t>Parola</w:t>
      </w:r>
      <w:proofErr w:type="spellEnd"/>
      <w:r w:rsidRPr="00D64E39">
        <w:rPr>
          <w:rFonts w:cstheme="minorHAnsi"/>
        </w:rPr>
        <w:t xml:space="preserve"> HR, Ellis KM, Golden P (2015) Performance effects of top management team gender diversity during the merger and acquisition process. </w:t>
      </w:r>
      <w:proofErr w:type="spellStart"/>
      <w:r w:rsidRPr="00D64E39">
        <w:rPr>
          <w:rFonts w:cstheme="minorHAnsi"/>
        </w:rPr>
        <w:t>Manag</w:t>
      </w:r>
      <w:proofErr w:type="spellEnd"/>
      <w:r w:rsidRPr="00D64E39">
        <w:rPr>
          <w:rFonts w:cstheme="minorHAnsi"/>
        </w:rPr>
        <w:t xml:space="preserve"> Decision 53(1):57–74</w:t>
      </w:r>
      <w:r w:rsidR="000578A4" w:rsidRPr="000578A4">
        <w:rPr>
          <w:rFonts w:cstheme="minorHAnsi"/>
        </w:rPr>
        <w:t xml:space="preserve"> </w:t>
      </w:r>
    </w:p>
    <w:p w14:paraId="1A88F1A8" w14:textId="2F009BD6" w:rsidR="00D64E39" w:rsidRPr="00D64E39" w:rsidRDefault="00D64E39" w:rsidP="000578A4">
      <w:pPr>
        <w:pStyle w:val="NoSpacing"/>
        <w:ind w:left="720" w:hanging="720"/>
        <w:rPr>
          <w:rFonts w:cstheme="minorHAnsi"/>
        </w:rPr>
      </w:pPr>
      <w:proofErr w:type="spellStart"/>
      <w:r w:rsidRPr="00D64E39">
        <w:rPr>
          <w:rFonts w:cstheme="minorHAnsi"/>
        </w:rPr>
        <w:t>Schijven</w:t>
      </w:r>
      <w:proofErr w:type="spellEnd"/>
      <w:r w:rsidRPr="00D64E39">
        <w:rPr>
          <w:rFonts w:cstheme="minorHAnsi"/>
        </w:rPr>
        <w:t xml:space="preserve"> M, </w:t>
      </w:r>
      <w:proofErr w:type="spellStart"/>
      <w:r w:rsidRPr="00D64E39">
        <w:rPr>
          <w:rFonts w:cstheme="minorHAnsi"/>
        </w:rPr>
        <w:t>Haleblian</w:t>
      </w:r>
      <w:proofErr w:type="spellEnd"/>
      <w:r w:rsidRPr="00D64E39">
        <w:rPr>
          <w:rFonts w:cstheme="minorHAnsi"/>
        </w:rPr>
        <w:t xml:space="preserve"> JM, Kolev KD (2017) The governance of learning: carrots and sticks in the context of acquisition capability development. In: </w:t>
      </w:r>
      <w:proofErr w:type="spellStart"/>
      <w:r w:rsidRPr="00D64E39">
        <w:rPr>
          <w:rFonts w:cstheme="minorHAnsi"/>
          <w:i/>
          <w:iCs/>
        </w:rPr>
        <w:t>Acad</w:t>
      </w:r>
      <w:proofErr w:type="spellEnd"/>
      <w:r w:rsidRPr="00D64E39">
        <w:rPr>
          <w:rFonts w:cstheme="minorHAnsi"/>
          <w:i/>
          <w:iCs/>
        </w:rPr>
        <w:t xml:space="preserve"> </w:t>
      </w:r>
      <w:proofErr w:type="spellStart"/>
      <w:r w:rsidRPr="00D64E39">
        <w:rPr>
          <w:rFonts w:cstheme="minorHAnsi"/>
          <w:i/>
          <w:iCs/>
        </w:rPr>
        <w:t>Manag</w:t>
      </w:r>
      <w:proofErr w:type="spellEnd"/>
      <w:r w:rsidRPr="00D64E39">
        <w:rPr>
          <w:rFonts w:cstheme="minorHAnsi"/>
          <w:i/>
          <w:iCs/>
        </w:rPr>
        <w:t xml:space="preserve"> Proc</w:t>
      </w:r>
      <w:r w:rsidRPr="00D64E39">
        <w:rPr>
          <w:rFonts w:cstheme="minorHAnsi"/>
        </w:rPr>
        <w:t>. Academy of management, Briarcliff manor, NY, p 13837</w:t>
      </w:r>
      <w:r w:rsidR="000578A4" w:rsidRPr="000578A4">
        <w:rPr>
          <w:rFonts w:cstheme="minorHAnsi"/>
        </w:rPr>
        <w:t xml:space="preserve"> </w:t>
      </w:r>
    </w:p>
    <w:p w14:paraId="12AB7467" w14:textId="246A55DD" w:rsidR="00D64E39" w:rsidRPr="00D64E39" w:rsidRDefault="00D64E39" w:rsidP="000578A4">
      <w:pPr>
        <w:pStyle w:val="NoSpacing"/>
        <w:ind w:left="720" w:hanging="720"/>
        <w:rPr>
          <w:rFonts w:cstheme="minorHAnsi"/>
        </w:rPr>
      </w:pPr>
      <w:proofErr w:type="spellStart"/>
      <w:r w:rsidRPr="00D64E39">
        <w:rPr>
          <w:rFonts w:cstheme="minorHAnsi"/>
        </w:rPr>
        <w:t>Schijven</w:t>
      </w:r>
      <w:proofErr w:type="spellEnd"/>
      <w:r w:rsidRPr="00D64E39">
        <w:rPr>
          <w:rFonts w:cstheme="minorHAnsi"/>
        </w:rPr>
        <w:t xml:space="preserve"> M, </w:t>
      </w:r>
      <w:proofErr w:type="spellStart"/>
      <w:r w:rsidRPr="00D64E39">
        <w:rPr>
          <w:rFonts w:cstheme="minorHAnsi"/>
        </w:rPr>
        <w:t>Hitt</w:t>
      </w:r>
      <w:proofErr w:type="spellEnd"/>
      <w:r w:rsidRPr="00D64E39">
        <w:rPr>
          <w:rFonts w:cstheme="minorHAnsi"/>
        </w:rPr>
        <w:t xml:space="preserve"> MA (2012) The vicarious wisdom of crowds: toward a behavioral perspective on investor reactions to acquisition announcements.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33:1247–1268</w:t>
      </w:r>
      <w:r w:rsidR="000578A4" w:rsidRPr="000578A4">
        <w:rPr>
          <w:rFonts w:cstheme="minorHAnsi"/>
        </w:rPr>
        <w:t xml:space="preserve"> </w:t>
      </w:r>
    </w:p>
    <w:p w14:paraId="569D5A00" w14:textId="4D3D7B8D" w:rsidR="00D64E39" w:rsidRPr="00D64E39" w:rsidRDefault="00D64E39" w:rsidP="000578A4">
      <w:pPr>
        <w:pStyle w:val="NoSpacing"/>
        <w:ind w:left="720" w:hanging="720"/>
        <w:rPr>
          <w:rFonts w:cstheme="minorHAnsi"/>
        </w:rPr>
      </w:pPr>
      <w:r w:rsidRPr="00D64E39">
        <w:rPr>
          <w:rFonts w:cstheme="minorHAnsi"/>
        </w:rPr>
        <w:t xml:space="preserve">Seth A (1990) Sources of value creation in acquisitions: an empirical investigation.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11:431–446</w:t>
      </w:r>
      <w:r w:rsidR="000578A4" w:rsidRPr="000578A4">
        <w:rPr>
          <w:rFonts w:cstheme="minorHAnsi"/>
        </w:rPr>
        <w:t xml:space="preserve"> </w:t>
      </w:r>
    </w:p>
    <w:p w14:paraId="6D928FE2" w14:textId="5136888B" w:rsidR="00D64E39" w:rsidRPr="00D64E39" w:rsidRDefault="00D64E39" w:rsidP="000578A4">
      <w:pPr>
        <w:pStyle w:val="NoSpacing"/>
        <w:ind w:left="720" w:hanging="720"/>
        <w:rPr>
          <w:rFonts w:cstheme="minorHAnsi"/>
        </w:rPr>
      </w:pPr>
      <w:r w:rsidRPr="00D64E39">
        <w:rPr>
          <w:rFonts w:cstheme="minorHAnsi"/>
        </w:rPr>
        <w:t xml:space="preserve">Shaver JM, Mitchell W, Yeung B (1997) The effect of own-firm and other-firm experience on foreign direct investment survival in the United States, 1987–1992.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18:811–824</w:t>
      </w:r>
      <w:r w:rsidR="000578A4" w:rsidRPr="000578A4">
        <w:rPr>
          <w:rFonts w:cstheme="minorHAnsi"/>
        </w:rPr>
        <w:t xml:space="preserve"> </w:t>
      </w:r>
    </w:p>
    <w:p w14:paraId="2AA6C1CC" w14:textId="73E71879" w:rsidR="00D64E39" w:rsidRPr="00D64E39" w:rsidRDefault="00D64E39" w:rsidP="000578A4">
      <w:pPr>
        <w:pStyle w:val="NoSpacing"/>
        <w:ind w:left="720" w:hanging="720"/>
        <w:rPr>
          <w:rFonts w:cstheme="minorHAnsi"/>
        </w:rPr>
      </w:pPr>
      <w:r w:rsidRPr="00D64E39">
        <w:rPr>
          <w:rFonts w:cstheme="minorHAnsi"/>
        </w:rPr>
        <w:t xml:space="preserve">Shi W, Sun J, Prescott JE (2012) A temporal perspective of merger and acquisition and strategic alliance initiatives: review and future direction. J </w:t>
      </w:r>
      <w:proofErr w:type="spellStart"/>
      <w:r w:rsidRPr="00D64E39">
        <w:rPr>
          <w:rFonts w:cstheme="minorHAnsi"/>
        </w:rPr>
        <w:t>Manag</w:t>
      </w:r>
      <w:proofErr w:type="spellEnd"/>
      <w:r w:rsidRPr="00D64E39">
        <w:rPr>
          <w:rFonts w:cstheme="minorHAnsi"/>
        </w:rPr>
        <w:t xml:space="preserve"> 38:164–209</w:t>
      </w:r>
      <w:hyperlink r:id="rId72" w:tgtFrame="_blank" w:history="1"/>
    </w:p>
    <w:p w14:paraId="5A6569C7" w14:textId="175662B7" w:rsidR="00D64E39" w:rsidRPr="00D64E39" w:rsidRDefault="00D64E39" w:rsidP="000578A4">
      <w:pPr>
        <w:pStyle w:val="NoSpacing"/>
        <w:ind w:left="720" w:hanging="720"/>
        <w:rPr>
          <w:rFonts w:cstheme="minorHAnsi"/>
        </w:rPr>
      </w:pPr>
      <w:r w:rsidRPr="00D64E39">
        <w:rPr>
          <w:rFonts w:cstheme="minorHAnsi"/>
        </w:rPr>
        <w:t>Stearns LB, Allan KD (1996) Economic behavior in institutional environments: the corporate merger wave of the 1980s. Am Soc Rev 61:699–718</w:t>
      </w:r>
      <w:r w:rsidR="000578A4" w:rsidRPr="000578A4">
        <w:rPr>
          <w:rFonts w:cstheme="minorHAnsi"/>
        </w:rPr>
        <w:t xml:space="preserve"> </w:t>
      </w:r>
    </w:p>
    <w:p w14:paraId="7F97D9BF" w14:textId="2438616E" w:rsidR="00D64E39" w:rsidRPr="00D64E39" w:rsidRDefault="00D64E39" w:rsidP="000578A4">
      <w:pPr>
        <w:pStyle w:val="NoSpacing"/>
        <w:ind w:left="720" w:hanging="720"/>
        <w:rPr>
          <w:rFonts w:cstheme="minorHAnsi"/>
        </w:rPr>
      </w:pPr>
      <w:r w:rsidRPr="00D64E39">
        <w:rPr>
          <w:rFonts w:cstheme="minorHAnsi"/>
        </w:rPr>
        <w:t xml:space="preserve">Wiersema MF, </w:t>
      </w:r>
      <w:proofErr w:type="spellStart"/>
      <w:r w:rsidRPr="00D64E39">
        <w:rPr>
          <w:rFonts w:cstheme="minorHAnsi"/>
        </w:rPr>
        <w:t>Bantel</w:t>
      </w:r>
      <w:proofErr w:type="spellEnd"/>
      <w:r w:rsidRPr="00D64E39">
        <w:rPr>
          <w:rFonts w:cstheme="minorHAnsi"/>
        </w:rPr>
        <w:t xml:space="preserve"> KA (1992) Top management team demography and corporate strategic change. </w:t>
      </w:r>
      <w:proofErr w:type="spellStart"/>
      <w:r w:rsidRPr="00D64E39">
        <w:rPr>
          <w:rFonts w:cstheme="minorHAnsi"/>
        </w:rPr>
        <w:t>Acad</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35(1):91–121</w:t>
      </w:r>
      <w:r w:rsidR="000578A4" w:rsidRPr="000578A4">
        <w:rPr>
          <w:rFonts w:cstheme="minorHAnsi"/>
        </w:rPr>
        <w:t xml:space="preserve"> </w:t>
      </w:r>
    </w:p>
    <w:p w14:paraId="7F896826" w14:textId="392B2F81" w:rsidR="00D64E39" w:rsidRPr="00D64E39" w:rsidRDefault="00D64E39" w:rsidP="000578A4">
      <w:pPr>
        <w:pStyle w:val="NoSpacing"/>
        <w:ind w:left="720" w:hanging="720"/>
        <w:rPr>
          <w:rFonts w:cstheme="minorHAnsi"/>
        </w:rPr>
      </w:pPr>
      <w:r w:rsidRPr="00D64E39">
        <w:rPr>
          <w:rFonts w:cstheme="minorHAnsi"/>
        </w:rPr>
        <w:t xml:space="preserve">Yaniv I (2004) Receiving other people’s advice: influence and benefit. Organ </w:t>
      </w:r>
      <w:proofErr w:type="spellStart"/>
      <w:r w:rsidRPr="00D64E39">
        <w:rPr>
          <w:rFonts w:cstheme="minorHAnsi"/>
        </w:rPr>
        <w:t>Behav</w:t>
      </w:r>
      <w:proofErr w:type="spellEnd"/>
      <w:r w:rsidRPr="00D64E39">
        <w:rPr>
          <w:rFonts w:cstheme="minorHAnsi"/>
        </w:rPr>
        <w:t xml:space="preserve"> Human Decision Processes 93:1–13</w:t>
      </w:r>
      <w:r w:rsidR="000578A4" w:rsidRPr="000578A4">
        <w:rPr>
          <w:rFonts w:cstheme="minorHAnsi"/>
        </w:rPr>
        <w:t xml:space="preserve"> </w:t>
      </w:r>
    </w:p>
    <w:p w14:paraId="556D6C12" w14:textId="13F9748A" w:rsidR="00D64E39" w:rsidRPr="00D64E39" w:rsidRDefault="00D64E39" w:rsidP="000578A4">
      <w:pPr>
        <w:pStyle w:val="NoSpacing"/>
        <w:ind w:left="720" w:hanging="720"/>
        <w:rPr>
          <w:rFonts w:cstheme="minorHAnsi"/>
        </w:rPr>
      </w:pPr>
      <w:r w:rsidRPr="00D64E39">
        <w:rPr>
          <w:rFonts w:cstheme="minorHAnsi"/>
        </w:rPr>
        <w:t xml:space="preserve">Yaniv I, </w:t>
      </w:r>
      <w:proofErr w:type="spellStart"/>
      <w:r w:rsidRPr="00D64E39">
        <w:rPr>
          <w:rFonts w:cstheme="minorHAnsi"/>
        </w:rPr>
        <w:t>Choshen</w:t>
      </w:r>
      <w:proofErr w:type="spellEnd"/>
      <w:r w:rsidRPr="00D64E39">
        <w:rPr>
          <w:rFonts w:cstheme="minorHAnsi"/>
        </w:rPr>
        <w:t xml:space="preserve">-Hillel S (2012) Exploiting the wisdom of others to make better decisions: suspending judgment reduces egocentrism and increases accuracy. J </w:t>
      </w:r>
      <w:proofErr w:type="spellStart"/>
      <w:r w:rsidRPr="00D64E39">
        <w:rPr>
          <w:rFonts w:cstheme="minorHAnsi"/>
        </w:rPr>
        <w:t>Behav</w:t>
      </w:r>
      <w:proofErr w:type="spellEnd"/>
      <w:r w:rsidRPr="00D64E39">
        <w:rPr>
          <w:rFonts w:cstheme="minorHAnsi"/>
        </w:rPr>
        <w:t xml:space="preserve"> Decision Making 25:427–434</w:t>
      </w:r>
      <w:r w:rsidR="000578A4" w:rsidRPr="000578A4">
        <w:rPr>
          <w:rFonts w:cstheme="minorHAnsi"/>
        </w:rPr>
        <w:t xml:space="preserve"> </w:t>
      </w:r>
    </w:p>
    <w:p w14:paraId="61D7C887" w14:textId="4ED472BC" w:rsidR="00D64E39" w:rsidRPr="00D64E39" w:rsidRDefault="00D64E39" w:rsidP="000578A4">
      <w:pPr>
        <w:pStyle w:val="NoSpacing"/>
        <w:ind w:left="720" w:hanging="720"/>
        <w:rPr>
          <w:rFonts w:cstheme="minorHAnsi"/>
        </w:rPr>
      </w:pPr>
      <w:proofErr w:type="spellStart"/>
      <w:r w:rsidRPr="00D64E39">
        <w:rPr>
          <w:rFonts w:cstheme="minorHAnsi"/>
        </w:rPr>
        <w:t>Zollo</w:t>
      </w:r>
      <w:proofErr w:type="spellEnd"/>
      <w:r w:rsidRPr="00D64E39">
        <w:rPr>
          <w:rFonts w:cstheme="minorHAnsi"/>
        </w:rPr>
        <w:t xml:space="preserve"> M, Singh H (2004) Deliberate learning in corporate acquisitions: post-acquisition strategies and integration capability in US bank mergers. </w:t>
      </w:r>
      <w:proofErr w:type="spellStart"/>
      <w:r w:rsidRPr="00D64E39">
        <w:rPr>
          <w:rFonts w:cstheme="minorHAnsi"/>
        </w:rPr>
        <w:t>Strateg</w:t>
      </w:r>
      <w:proofErr w:type="spellEnd"/>
      <w:r w:rsidRPr="00D64E39">
        <w:rPr>
          <w:rFonts w:cstheme="minorHAnsi"/>
        </w:rPr>
        <w:t xml:space="preserve"> </w:t>
      </w:r>
      <w:proofErr w:type="spellStart"/>
      <w:r w:rsidRPr="00D64E39">
        <w:rPr>
          <w:rFonts w:cstheme="minorHAnsi"/>
        </w:rPr>
        <w:t>Manag</w:t>
      </w:r>
      <w:proofErr w:type="spellEnd"/>
      <w:r w:rsidRPr="00D64E39">
        <w:rPr>
          <w:rFonts w:cstheme="minorHAnsi"/>
        </w:rPr>
        <w:t xml:space="preserve"> J 25:1233–1256</w:t>
      </w:r>
      <w:r w:rsidR="000578A4" w:rsidRPr="000578A4">
        <w:rPr>
          <w:rFonts w:cstheme="minorHAnsi"/>
        </w:rPr>
        <w:t xml:space="preserve"> </w:t>
      </w:r>
    </w:p>
    <w:p w14:paraId="2E34C2A7" w14:textId="59846F84" w:rsidR="00D64E39" w:rsidRPr="00D64E39" w:rsidRDefault="00D64E39" w:rsidP="000578A4">
      <w:pPr>
        <w:pStyle w:val="NoSpacing"/>
        <w:ind w:left="720" w:hanging="720"/>
        <w:rPr>
          <w:rFonts w:cstheme="minorHAnsi"/>
        </w:rPr>
      </w:pPr>
      <w:proofErr w:type="spellStart"/>
      <w:r w:rsidRPr="00D64E39">
        <w:rPr>
          <w:rFonts w:cstheme="minorHAnsi"/>
        </w:rPr>
        <w:t>Zollo</w:t>
      </w:r>
      <w:proofErr w:type="spellEnd"/>
      <w:r w:rsidRPr="00D64E39">
        <w:rPr>
          <w:rFonts w:cstheme="minorHAnsi"/>
        </w:rPr>
        <w:t xml:space="preserve"> M, Winter SG (2002) Deliberate learning and the evolution of dynamic capabilities. Organ Sci 13:339–351</w:t>
      </w:r>
      <w:r w:rsidR="000578A4" w:rsidRPr="000578A4">
        <w:rPr>
          <w:rFonts w:cstheme="minorHAnsi"/>
        </w:rPr>
        <w:t xml:space="preserve"> </w:t>
      </w:r>
    </w:p>
    <w:p w14:paraId="391C51D1" w14:textId="77777777" w:rsidR="00D64E39" w:rsidRPr="000578A4" w:rsidRDefault="00D64E39" w:rsidP="000578A4">
      <w:pPr>
        <w:pStyle w:val="Heading1"/>
        <w:rPr>
          <w:rFonts w:asciiTheme="minorHAnsi" w:hAnsiTheme="minorHAnsi" w:cstheme="minorHAnsi"/>
        </w:rPr>
      </w:pPr>
      <w:hyperlink r:id="rId73" w:anchor="TheAuthors" w:history="1">
        <w:r w:rsidRPr="000578A4">
          <w:rPr>
            <w:rStyle w:val="Hyperlink"/>
            <w:rFonts w:asciiTheme="minorHAnsi" w:hAnsiTheme="minorHAnsi" w:cstheme="minorHAnsi"/>
          </w:rPr>
          <w:t>Copyright</w:t>
        </w:r>
      </w:hyperlink>
    </w:p>
    <w:p w14:paraId="0E7B8DE7" w14:textId="77777777" w:rsidR="00D64E39" w:rsidRPr="00D64E39" w:rsidRDefault="00D64E39" w:rsidP="00D64E39">
      <w:pPr>
        <w:pStyle w:val="NoSpacing"/>
        <w:rPr>
          <w:rFonts w:cstheme="minorHAnsi"/>
        </w:rPr>
      </w:pPr>
      <w:r w:rsidRPr="00D64E39">
        <w:rPr>
          <w:rFonts w:cstheme="minorHAnsi"/>
        </w:rPr>
        <w:t>© The Author(s) 2018</w:t>
      </w:r>
    </w:p>
    <w:bookmarkEnd w:id="1"/>
    <w:sectPr w:rsidR="00D64E39" w:rsidRPr="00D64E3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649C"/>
    <w:multiLevelType w:val="multilevel"/>
    <w:tmpl w:val="0DE8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0B28DD"/>
    <w:multiLevelType w:val="multilevel"/>
    <w:tmpl w:val="D15EB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7HiFoGh9bP8Fj70fw590ZbB5rHfg781icTAFNDRZm3WzpjlGdBkTnGWGj6Xyndl/kjB2VUcsNxC2soa6HXM+vw==" w:salt="Oz59fjSOooRv41S0yJo9x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8A4"/>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1555"/>
    <w:rsid w:val="001B6E76"/>
    <w:rsid w:val="001C3A3F"/>
    <w:rsid w:val="001C40E7"/>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708"/>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5CA3"/>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167C"/>
    <w:rsid w:val="00745E32"/>
    <w:rsid w:val="007466F7"/>
    <w:rsid w:val="00757D89"/>
    <w:rsid w:val="0076194B"/>
    <w:rsid w:val="00763676"/>
    <w:rsid w:val="00770461"/>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3A49"/>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E2D"/>
    <w:rsid w:val="00A75006"/>
    <w:rsid w:val="00A81E28"/>
    <w:rsid w:val="00A8213C"/>
    <w:rsid w:val="00A82932"/>
    <w:rsid w:val="00A82D07"/>
    <w:rsid w:val="00A868FB"/>
    <w:rsid w:val="00A915ED"/>
    <w:rsid w:val="00A91CF2"/>
    <w:rsid w:val="00A93BA4"/>
    <w:rsid w:val="00A9416E"/>
    <w:rsid w:val="00AA493D"/>
    <w:rsid w:val="00AA64E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3DF"/>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2648"/>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4E39"/>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AC0"/>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64E39"/>
    <w:rPr>
      <w:color w:val="0563C1" w:themeColor="hyperlink"/>
      <w:u w:val="single"/>
    </w:rPr>
  </w:style>
  <w:style w:type="character" w:styleId="UnresolvedMention">
    <w:name w:val="Unresolved Mention"/>
    <w:basedOn w:val="DefaultParagraphFont"/>
    <w:uiPriority w:val="99"/>
    <w:semiHidden/>
    <w:unhideWhenUsed/>
    <w:rsid w:val="00D64E39"/>
    <w:rPr>
      <w:color w:val="605E5C"/>
      <w:shd w:val="clear" w:color="auto" w:fill="E1DFDD"/>
    </w:rPr>
  </w:style>
  <w:style w:type="table" w:styleId="TableGridLight">
    <w:name w:val="Grid Table Light"/>
    <w:basedOn w:val="TableNormal"/>
    <w:uiPriority w:val="40"/>
    <w:rsid w:val="000578A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327107">
      <w:bodyDiv w:val="1"/>
      <w:marLeft w:val="0"/>
      <w:marRight w:val="0"/>
      <w:marTop w:val="0"/>
      <w:marBottom w:val="0"/>
      <w:divBdr>
        <w:top w:val="none" w:sz="0" w:space="0" w:color="auto"/>
        <w:left w:val="none" w:sz="0" w:space="0" w:color="auto"/>
        <w:bottom w:val="none" w:sz="0" w:space="0" w:color="auto"/>
        <w:right w:val="none" w:sz="0" w:space="0" w:color="auto"/>
      </w:divBdr>
    </w:div>
    <w:div w:id="712118292">
      <w:bodyDiv w:val="1"/>
      <w:marLeft w:val="0"/>
      <w:marRight w:val="0"/>
      <w:marTop w:val="0"/>
      <w:marBottom w:val="0"/>
      <w:divBdr>
        <w:top w:val="none" w:sz="0" w:space="0" w:color="auto"/>
        <w:left w:val="none" w:sz="0" w:space="0" w:color="auto"/>
        <w:bottom w:val="none" w:sz="0" w:space="0" w:color="auto"/>
        <w:right w:val="none" w:sz="0" w:space="0" w:color="auto"/>
      </w:divBdr>
      <w:divsChild>
        <w:div w:id="1124621455">
          <w:marLeft w:val="0"/>
          <w:marRight w:val="0"/>
          <w:marTop w:val="0"/>
          <w:marBottom w:val="0"/>
          <w:divBdr>
            <w:top w:val="none" w:sz="0" w:space="0" w:color="auto"/>
            <w:left w:val="none" w:sz="0" w:space="0" w:color="auto"/>
            <w:bottom w:val="none" w:sz="0" w:space="0" w:color="auto"/>
            <w:right w:val="none" w:sz="0" w:space="0" w:color="auto"/>
          </w:divBdr>
          <w:divsChild>
            <w:div w:id="1548419452">
              <w:marLeft w:val="0"/>
              <w:marRight w:val="0"/>
              <w:marTop w:val="240"/>
              <w:marBottom w:val="0"/>
              <w:divBdr>
                <w:top w:val="none" w:sz="0" w:space="0" w:color="auto"/>
                <w:left w:val="none" w:sz="0" w:space="0" w:color="auto"/>
                <w:bottom w:val="none" w:sz="0" w:space="0" w:color="auto"/>
                <w:right w:val="none" w:sz="0" w:space="0" w:color="auto"/>
              </w:divBdr>
            </w:div>
            <w:div w:id="1482700170">
              <w:marLeft w:val="0"/>
              <w:marRight w:val="0"/>
              <w:marTop w:val="240"/>
              <w:marBottom w:val="360"/>
              <w:divBdr>
                <w:top w:val="none" w:sz="0" w:space="0" w:color="auto"/>
                <w:left w:val="none" w:sz="0" w:space="0" w:color="auto"/>
                <w:bottom w:val="none" w:sz="0" w:space="0" w:color="auto"/>
                <w:right w:val="none" w:sz="0" w:space="0" w:color="auto"/>
              </w:divBdr>
            </w:div>
            <w:div w:id="383716366">
              <w:marLeft w:val="0"/>
              <w:marRight w:val="0"/>
              <w:marTop w:val="240"/>
              <w:marBottom w:val="360"/>
              <w:divBdr>
                <w:top w:val="none" w:sz="0" w:space="0" w:color="auto"/>
                <w:left w:val="none" w:sz="0" w:space="0" w:color="auto"/>
                <w:bottom w:val="none" w:sz="0" w:space="0" w:color="auto"/>
                <w:right w:val="none" w:sz="0" w:space="0" w:color="auto"/>
              </w:divBdr>
            </w:div>
            <w:div w:id="171335166">
              <w:marLeft w:val="0"/>
              <w:marRight w:val="0"/>
              <w:marTop w:val="240"/>
              <w:marBottom w:val="360"/>
              <w:divBdr>
                <w:top w:val="none" w:sz="0" w:space="0" w:color="auto"/>
                <w:left w:val="none" w:sz="0" w:space="0" w:color="auto"/>
                <w:bottom w:val="none" w:sz="0" w:space="0" w:color="auto"/>
                <w:right w:val="none" w:sz="0" w:space="0" w:color="auto"/>
              </w:divBdr>
            </w:div>
            <w:div w:id="1353728782">
              <w:marLeft w:val="0"/>
              <w:marRight w:val="0"/>
              <w:marTop w:val="240"/>
              <w:marBottom w:val="360"/>
              <w:divBdr>
                <w:top w:val="none" w:sz="0" w:space="0" w:color="auto"/>
                <w:left w:val="none" w:sz="0" w:space="0" w:color="auto"/>
                <w:bottom w:val="none" w:sz="0" w:space="0" w:color="auto"/>
                <w:right w:val="none" w:sz="0" w:space="0" w:color="auto"/>
              </w:divBdr>
              <w:divsChild>
                <w:div w:id="1024745404">
                  <w:marLeft w:val="0"/>
                  <w:marRight w:val="0"/>
                  <w:marTop w:val="0"/>
                  <w:marBottom w:val="240"/>
                  <w:divBdr>
                    <w:top w:val="none" w:sz="0" w:space="0" w:color="auto"/>
                    <w:left w:val="none" w:sz="0" w:space="0" w:color="auto"/>
                    <w:bottom w:val="none" w:sz="0" w:space="0" w:color="auto"/>
                    <w:right w:val="none" w:sz="0" w:space="0" w:color="auto"/>
                  </w:divBdr>
                  <w:divsChild>
                    <w:div w:id="1889296053">
                      <w:marLeft w:val="0"/>
                      <w:marRight w:val="0"/>
                      <w:marTop w:val="0"/>
                      <w:marBottom w:val="0"/>
                      <w:divBdr>
                        <w:top w:val="none" w:sz="0" w:space="0" w:color="auto"/>
                        <w:left w:val="none" w:sz="0" w:space="0" w:color="auto"/>
                        <w:bottom w:val="none" w:sz="0" w:space="0" w:color="auto"/>
                        <w:right w:val="none" w:sz="0" w:space="0" w:color="auto"/>
                      </w:divBdr>
                    </w:div>
                    <w:div w:id="130072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59559">
              <w:marLeft w:val="0"/>
              <w:marRight w:val="0"/>
              <w:marTop w:val="240"/>
              <w:marBottom w:val="360"/>
              <w:divBdr>
                <w:top w:val="none" w:sz="0" w:space="0" w:color="auto"/>
                <w:left w:val="none" w:sz="0" w:space="0" w:color="auto"/>
                <w:bottom w:val="none" w:sz="0" w:space="0" w:color="auto"/>
                <w:right w:val="none" w:sz="0" w:space="0" w:color="auto"/>
              </w:divBdr>
            </w:div>
            <w:div w:id="1125974671">
              <w:marLeft w:val="0"/>
              <w:marRight w:val="0"/>
              <w:marTop w:val="240"/>
              <w:marBottom w:val="360"/>
              <w:divBdr>
                <w:top w:val="none" w:sz="0" w:space="0" w:color="auto"/>
                <w:left w:val="none" w:sz="0" w:space="0" w:color="auto"/>
                <w:bottom w:val="none" w:sz="0" w:space="0" w:color="auto"/>
                <w:right w:val="none" w:sz="0" w:space="0" w:color="auto"/>
              </w:divBdr>
              <w:divsChild>
                <w:div w:id="1089348751">
                  <w:marLeft w:val="0"/>
                  <w:marRight w:val="0"/>
                  <w:marTop w:val="0"/>
                  <w:marBottom w:val="0"/>
                  <w:divBdr>
                    <w:top w:val="none" w:sz="0" w:space="0" w:color="auto"/>
                    <w:left w:val="none" w:sz="0" w:space="0" w:color="auto"/>
                    <w:bottom w:val="none" w:sz="0" w:space="0" w:color="auto"/>
                    <w:right w:val="none" w:sz="0" w:space="0" w:color="auto"/>
                  </w:divBdr>
                </w:div>
                <w:div w:id="370304761">
                  <w:marLeft w:val="0"/>
                  <w:marRight w:val="0"/>
                  <w:marTop w:val="0"/>
                  <w:marBottom w:val="384"/>
                  <w:divBdr>
                    <w:top w:val="none" w:sz="0" w:space="0" w:color="auto"/>
                    <w:left w:val="none" w:sz="0" w:space="0" w:color="auto"/>
                    <w:bottom w:val="none" w:sz="0" w:space="0" w:color="auto"/>
                    <w:right w:val="none" w:sz="0" w:space="0" w:color="auto"/>
                  </w:divBdr>
                </w:div>
                <w:div w:id="1845706292">
                  <w:marLeft w:val="0"/>
                  <w:marRight w:val="0"/>
                  <w:marTop w:val="0"/>
                  <w:marBottom w:val="0"/>
                  <w:divBdr>
                    <w:top w:val="none" w:sz="0" w:space="0" w:color="auto"/>
                    <w:left w:val="none" w:sz="0" w:space="0" w:color="auto"/>
                    <w:bottom w:val="none" w:sz="0" w:space="0" w:color="auto"/>
                    <w:right w:val="none" w:sz="0" w:space="0" w:color="auto"/>
                  </w:divBdr>
                  <w:divsChild>
                    <w:div w:id="1988047347">
                      <w:marLeft w:val="0"/>
                      <w:marRight w:val="0"/>
                      <w:marTop w:val="0"/>
                      <w:marBottom w:val="384"/>
                      <w:divBdr>
                        <w:top w:val="none" w:sz="0" w:space="0" w:color="auto"/>
                        <w:left w:val="none" w:sz="0" w:space="0" w:color="auto"/>
                        <w:bottom w:val="none" w:sz="0" w:space="0" w:color="auto"/>
                        <w:right w:val="none" w:sz="0" w:space="0" w:color="auto"/>
                      </w:divBdr>
                    </w:div>
                    <w:div w:id="1082876401">
                      <w:marLeft w:val="0"/>
                      <w:marRight w:val="0"/>
                      <w:marTop w:val="0"/>
                      <w:marBottom w:val="384"/>
                      <w:divBdr>
                        <w:top w:val="none" w:sz="0" w:space="0" w:color="auto"/>
                        <w:left w:val="none" w:sz="0" w:space="0" w:color="auto"/>
                        <w:bottom w:val="none" w:sz="0" w:space="0" w:color="auto"/>
                        <w:right w:val="none" w:sz="0" w:space="0" w:color="auto"/>
                      </w:divBdr>
                    </w:div>
                  </w:divsChild>
                </w:div>
                <w:div w:id="204224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7103">
          <w:marLeft w:val="0"/>
          <w:marRight w:val="0"/>
          <w:marTop w:val="0"/>
          <w:marBottom w:val="0"/>
          <w:divBdr>
            <w:top w:val="none" w:sz="0" w:space="0" w:color="auto"/>
            <w:left w:val="none" w:sz="0" w:space="0" w:color="auto"/>
            <w:bottom w:val="none" w:sz="0" w:space="0" w:color="auto"/>
            <w:right w:val="none" w:sz="0" w:space="0" w:color="auto"/>
          </w:divBdr>
          <w:divsChild>
            <w:div w:id="1507357602">
              <w:marLeft w:val="0"/>
              <w:marRight w:val="0"/>
              <w:marTop w:val="240"/>
              <w:marBottom w:val="360"/>
              <w:divBdr>
                <w:top w:val="none" w:sz="0" w:space="0" w:color="auto"/>
                <w:left w:val="none" w:sz="0" w:space="0" w:color="auto"/>
                <w:bottom w:val="none" w:sz="0" w:space="0" w:color="auto"/>
                <w:right w:val="none" w:sz="0" w:space="0" w:color="auto"/>
              </w:divBdr>
            </w:div>
            <w:div w:id="372850838">
              <w:marLeft w:val="0"/>
              <w:marRight w:val="0"/>
              <w:marTop w:val="240"/>
              <w:marBottom w:val="360"/>
              <w:divBdr>
                <w:top w:val="none" w:sz="0" w:space="0" w:color="auto"/>
                <w:left w:val="none" w:sz="0" w:space="0" w:color="auto"/>
                <w:bottom w:val="none" w:sz="0" w:space="0" w:color="auto"/>
                <w:right w:val="none" w:sz="0" w:space="0" w:color="auto"/>
              </w:divBdr>
              <w:divsChild>
                <w:div w:id="11130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rgdesign.springeropen.com/articles/10.1186/s41469-018-0032-7" TargetMode="External"/><Relationship Id="rId21" Type="http://schemas.openxmlformats.org/officeDocument/2006/relationships/hyperlink" Target="https://jorgdesign.springeropen.com/articles/10.1186/s41469-018-0032-7" TargetMode="External"/><Relationship Id="rId42" Type="http://schemas.openxmlformats.org/officeDocument/2006/relationships/hyperlink" Target="https://jorgdesign.springeropen.com/articles/10.1186/s41469-018-0032-7" TargetMode="External"/><Relationship Id="rId47" Type="http://schemas.openxmlformats.org/officeDocument/2006/relationships/hyperlink" Target="https://jorgdesign.springeropen.com/articles/10.1186/s41469-018-0032-7" TargetMode="External"/><Relationship Id="rId63" Type="http://schemas.openxmlformats.org/officeDocument/2006/relationships/hyperlink" Target="https://jorgdesign.springeropen.com/articles/10.1186/s41469-018-0032-7" TargetMode="External"/><Relationship Id="rId68" Type="http://schemas.openxmlformats.org/officeDocument/2006/relationships/hyperlink" Target="https://jorgdesign.springeropen.com/articles/10.1186/s41469-018-0032-7" TargetMode="External"/><Relationship Id="rId2" Type="http://schemas.openxmlformats.org/officeDocument/2006/relationships/customXml" Target="../customXml/item2.xml"/><Relationship Id="rId16" Type="http://schemas.openxmlformats.org/officeDocument/2006/relationships/hyperlink" Target="https://jorgdesign.springeropen.com/articles/10.1186/s41469-018-0032-7" TargetMode="External"/><Relationship Id="rId29" Type="http://schemas.openxmlformats.org/officeDocument/2006/relationships/hyperlink" Target="https://jorgdesign.springeropen.com/articles/10.1186/s41469-018-0032-7" TargetMode="External"/><Relationship Id="rId11" Type="http://schemas.openxmlformats.org/officeDocument/2006/relationships/hyperlink" Target="https://jorgdesign.springeropen.com/articles/10.1186/s41469-018-0032-7" TargetMode="External"/><Relationship Id="rId24" Type="http://schemas.openxmlformats.org/officeDocument/2006/relationships/hyperlink" Target="https://jorgdesign.springeropen.com/articles/10.1186/s41469-018-0032-7" TargetMode="External"/><Relationship Id="rId32" Type="http://schemas.openxmlformats.org/officeDocument/2006/relationships/hyperlink" Target="https://jorgdesign.springeropen.com/articles/10.1186/s41469-018-0032-7" TargetMode="External"/><Relationship Id="rId37" Type="http://schemas.openxmlformats.org/officeDocument/2006/relationships/hyperlink" Target="https://jorgdesign.springeropen.com/articles/10.1186/s41469-018-0032-7" TargetMode="External"/><Relationship Id="rId40" Type="http://schemas.openxmlformats.org/officeDocument/2006/relationships/hyperlink" Target="https://jorgdesign.springeropen.com/articles/10.1186/s41469-018-0032-7" TargetMode="External"/><Relationship Id="rId45" Type="http://schemas.openxmlformats.org/officeDocument/2006/relationships/hyperlink" Target="https://jorgdesign.springeropen.com/articles/10.1186/s41469-018-0032-7" TargetMode="External"/><Relationship Id="rId53" Type="http://schemas.openxmlformats.org/officeDocument/2006/relationships/hyperlink" Target="https://jorgdesign.springeropen.com/articles/10.1186/s41469-018-0032-7" TargetMode="External"/><Relationship Id="rId58" Type="http://schemas.openxmlformats.org/officeDocument/2006/relationships/hyperlink" Target="https://jorgdesign.springeropen.com/articles/10.1186/s41469-018-0032-7" TargetMode="External"/><Relationship Id="rId66" Type="http://schemas.openxmlformats.org/officeDocument/2006/relationships/hyperlink" Target="https://jorgdesign.springeropen.com/articles/10.1186/s41469-018-0032-7" TargetMode="External"/><Relationship Id="rId74"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jorgdesign.springeropen.com/articles/10.1186/s41469-018-0032-7" TargetMode="External"/><Relationship Id="rId19" Type="http://schemas.openxmlformats.org/officeDocument/2006/relationships/hyperlink" Target="https://jorgdesign.springeropen.com/articles/10.1186/s41469-018-0032-7" TargetMode="External"/><Relationship Id="rId14" Type="http://schemas.openxmlformats.org/officeDocument/2006/relationships/hyperlink" Target="https://jorgdesign.springeropen.com/articles/10.1186/s41469-018-0032-7" TargetMode="External"/><Relationship Id="rId22" Type="http://schemas.openxmlformats.org/officeDocument/2006/relationships/hyperlink" Target="https://jorgdesign.springeropen.com/articles/10.1186/s41469-018-0032-7" TargetMode="External"/><Relationship Id="rId27" Type="http://schemas.openxmlformats.org/officeDocument/2006/relationships/hyperlink" Target="https://jorgdesign.springeropen.com/articles/10.1186/s41469-018-0032-7" TargetMode="External"/><Relationship Id="rId30" Type="http://schemas.openxmlformats.org/officeDocument/2006/relationships/hyperlink" Target="https://jorgdesign.springeropen.com/articles/10.1186/s41469-018-0032-7" TargetMode="External"/><Relationship Id="rId35" Type="http://schemas.openxmlformats.org/officeDocument/2006/relationships/hyperlink" Target="https://jorgdesign.springeropen.com/articles/10.1186/s41469-018-0032-7" TargetMode="External"/><Relationship Id="rId43" Type="http://schemas.openxmlformats.org/officeDocument/2006/relationships/hyperlink" Target="https://jorgdesign.springeropen.com/articles/10.1186/s41469-018-0032-7" TargetMode="External"/><Relationship Id="rId48" Type="http://schemas.openxmlformats.org/officeDocument/2006/relationships/hyperlink" Target="https://jorgdesign.springeropen.com/articles/10.1186/s41469-018-0032-7" TargetMode="External"/><Relationship Id="rId56" Type="http://schemas.openxmlformats.org/officeDocument/2006/relationships/hyperlink" Target="https://jorgdesign.springeropen.com/articles/10.1186/s41469-018-0032-7" TargetMode="External"/><Relationship Id="rId64" Type="http://schemas.openxmlformats.org/officeDocument/2006/relationships/hyperlink" Target="https://jorgdesign.springeropen.com/articles/10.1186/s41469-018-0032-7" TargetMode="External"/><Relationship Id="rId69" Type="http://schemas.openxmlformats.org/officeDocument/2006/relationships/hyperlink" Target="http://creativecommons.org/licenses/by/4.0/" TargetMode="External"/><Relationship Id="rId8" Type="http://schemas.openxmlformats.org/officeDocument/2006/relationships/hyperlink" Target="https://doi.org/10.1186/s41469-018-0032-7" TargetMode="External"/><Relationship Id="rId51" Type="http://schemas.openxmlformats.org/officeDocument/2006/relationships/hyperlink" Target="https://jorgdesign.springeropen.com/articles/10.1186/s41469-018-0032-7" TargetMode="External"/><Relationship Id="rId72" Type="http://schemas.openxmlformats.org/officeDocument/2006/relationships/hyperlink" Target="http://scholar.google.com/scholar_lookup?title=A%20temporal%20perspective%20of%20merger%20and%20acquisition%20and%20strategic%20alliance%20initiatives%3A%20review%20and%20future%20direction&amp;author=W.%20Shi&amp;author=J.%20Sun&amp;author=JE.%20Prescott&amp;journal=J%20Manag&amp;volume=38&amp;pages=164-209&amp;publication_year=2012" TargetMode="External"/><Relationship Id="rId3" Type="http://schemas.openxmlformats.org/officeDocument/2006/relationships/customXml" Target="../customXml/item3.xml"/><Relationship Id="rId12" Type="http://schemas.openxmlformats.org/officeDocument/2006/relationships/hyperlink" Target="https://jorgdesign.springeropen.com/articles/10.1186/s41469-018-0032-7" TargetMode="External"/><Relationship Id="rId17" Type="http://schemas.openxmlformats.org/officeDocument/2006/relationships/hyperlink" Target="https://jorgdesign.springeropen.com/articles/10.1186/s41469-018-0032-7" TargetMode="External"/><Relationship Id="rId25" Type="http://schemas.openxmlformats.org/officeDocument/2006/relationships/hyperlink" Target="https://jorgdesign.springeropen.com/articles/10.1186/s41469-018-0032-7" TargetMode="External"/><Relationship Id="rId33" Type="http://schemas.openxmlformats.org/officeDocument/2006/relationships/hyperlink" Target="https://jorgdesign.springeropen.com/articles/10.1186/s41469-018-0032-7" TargetMode="External"/><Relationship Id="rId38" Type="http://schemas.openxmlformats.org/officeDocument/2006/relationships/hyperlink" Target="https://jorgdesign.springeropen.com/articles/10.1186/s41469-018-0032-7" TargetMode="External"/><Relationship Id="rId46" Type="http://schemas.openxmlformats.org/officeDocument/2006/relationships/hyperlink" Target="https://jorgdesign.springeropen.com/articles/10.1186/s41469-018-0032-7" TargetMode="External"/><Relationship Id="rId59" Type="http://schemas.openxmlformats.org/officeDocument/2006/relationships/hyperlink" Target="https://jorgdesign.springeropen.com/articles/10.1186/s41469-018-0032-7" TargetMode="External"/><Relationship Id="rId67" Type="http://schemas.openxmlformats.org/officeDocument/2006/relationships/hyperlink" Target="https://jorgdesign.springeropen.com/articles/10.1186/s41469-018-0032-7" TargetMode="External"/><Relationship Id="rId20" Type="http://schemas.openxmlformats.org/officeDocument/2006/relationships/hyperlink" Target="https://jorgdesign.springeropen.com/articles/10.1186/s41469-018-0032-7" TargetMode="External"/><Relationship Id="rId41" Type="http://schemas.openxmlformats.org/officeDocument/2006/relationships/hyperlink" Target="https://jorgdesign.springeropen.com/articles/10.1186/s41469-018-0032-7" TargetMode="External"/><Relationship Id="rId54" Type="http://schemas.openxmlformats.org/officeDocument/2006/relationships/hyperlink" Target="https://jorgdesign.springeropen.com/articles/10.1186/s41469-018-0032-7" TargetMode="External"/><Relationship Id="rId62" Type="http://schemas.openxmlformats.org/officeDocument/2006/relationships/hyperlink" Target="https://jorgdesign.springeropen.com/articles/10.1186/s41469-018-0032-7" TargetMode="External"/><Relationship Id="rId70" Type="http://schemas.openxmlformats.org/officeDocument/2006/relationships/hyperlink" Target="https://jorgdesign.springeropen.com/articles/10.1186/s41469-018-0032-7"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rgdesign.springeropen.com/articles/10.1186/s41469-018-0032-7" TargetMode="External"/><Relationship Id="rId23" Type="http://schemas.openxmlformats.org/officeDocument/2006/relationships/hyperlink" Target="https://jorgdesign.springeropen.com/articles/10.1186/s41469-018-0032-7" TargetMode="External"/><Relationship Id="rId28" Type="http://schemas.openxmlformats.org/officeDocument/2006/relationships/hyperlink" Target="https://jorgdesign.springeropen.com/articles/10.1186/s41469-018-0032-7" TargetMode="External"/><Relationship Id="rId36" Type="http://schemas.openxmlformats.org/officeDocument/2006/relationships/hyperlink" Target="https://jorgdesign.springeropen.com/articles/10.1186/s41469-018-0032-7" TargetMode="External"/><Relationship Id="rId49" Type="http://schemas.openxmlformats.org/officeDocument/2006/relationships/hyperlink" Target="https://jorgdesign.springeropen.com/articles/10.1186/s41469-018-0032-7" TargetMode="External"/><Relationship Id="rId57" Type="http://schemas.openxmlformats.org/officeDocument/2006/relationships/hyperlink" Target="https://jorgdesign.springeropen.com/articles/10.1186/s41469-018-0032-7" TargetMode="External"/><Relationship Id="rId10" Type="http://schemas.openxmlformats.org/officeDocument/2006/relationships/hyperlink" Target="https://jorgdesign.springeropen.com/articles/10.1186/s41469-018-0032-7" TargetMode="External"/><Relationship Id="rId31" Type="http://schemas.openxmlformats.org/officeDocument/2006/relationships/hyperlink" Target="https://jorgdesign.springeropen.com/articles/10.1186/s41469-018-0032-7" TargetMode="External"/><Relationship Id="rId44" Type="http://schemas.openxmlformats.org/officeDocument/2006/relationships/hyperlink" Target="https://jorgdesign.springeropen.com/articles/10.1186/s41469-018-0032-7" TargetMode="External"/><Relationship Id="rId52" Type="http://schemas.openxmlformats.org/officeDocument/2006/relationships/hyperlink" Target="https://jorgdesign.springeropen.com/articles/10.1186/s41469-018-0032-7" TargetMode="External"/><Relationship Id="rId60" Type="http://schemas.openxmlformats.org/officeDocument/2006/relationships/hyperlink" Target="https://jorgdesign.springeropen.com/articles/10.1186/s41469-018-0032-7" TargetMode="External"/><Relationship Id="rId65" Type="http://schemas.openxmlformats.org/officeDocument/2006/relationships/hyperlink" Target="https://jorgdesign.springeropen.com/articles/10.1186/s41469-018-0032-7" TargetMode="External"/><Relationship Id="rId73" Type="http://schemas.openxmlformats.org/officeDocument/2006/relationships/hyperlink" Target="https://jorgdesign.springeropen.com/articles/10.1186/s41469-018-0032-7"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rgdesign.springeropen.com/articles/10.1186/s41469-018-0032-7" TargetMode="External"/><Relationship Id="rId18" Type="http://schemas.openxmlformats.org/officeDocument/2006/relationships/hyperlink" Target="https://jorgdesign.springeropen.com/articles/10.1186/s41469-018-0032-7" TargetMode="External"/><Relationship Id="rId39" Type="http://schemas.openxmlformats.org/officeDocument/2006/relationships/hyperlink" Target="https://jorgdesign.springeropen.com/articles/10.1186/s41469-018-0032-7" TargetMode="External"/><Relationship Id="rId34" Type="http://schemas.openxmlformats.org/officeDocument/2006/relationships/hyperlink" Target="https://jorgdesign.springeropen.com/articles/10.1186/s41469-018-0032-7" TargetMode="External"/><Relationship Id="rId50" Type="http://schemas.openxmlformats.org/officeDocument/2006/relationships/hyperlink" Target="https://jorgdesign.springeropen.com/articles/10.1186/s41469-018-0032-7" TargetMode="External"/><Relationship Id="rId55" Type="http://schemas.openxmlformats.org/officeDocument/2006/relationships/hyperlink" Target="https://jorgdesign.springeropen.com/articles/10.1186/s41469-018-0032-7" TargetMode="External"/><Relationship Id="rId7" Type="http://schemas.openxmlformats.org/officeDocument/2006/relationships/webSettings" Target="webSettings.xml"/><Relationship Id="rId71" Type="http://schemas.openxmlformats.org/officeDocument/2006/relationships/hyperlink" Target="http://scholar.google.com/scholar_lookup?title=Population%20level%20learning&amp;author=AS.%20Miner&amp;author=PR.%20Haunschild&amp;journal=Res%20Organ%20Behav&amp;volume=17&amp;pages=115-166&amp;publication_year=19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63D462-7387-4937-AEA0-A8844DEE3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D0EA41-48CB-4D78-A9CF-084A7EAE03E9}">
  <ds:schemaRefs>
    <ds:schemaRef ds:uri="http://schemas.microsoft.com/sharepoint/v3/contenttype/forms"/>
  </ds:schemaRefs>
</ds:datastoreItem>
</file>

<file path=customXml/itemProps3.xml><?xml version="1.0" encoding="utf-8"?>
<ds:datastoreItem xmlns:ds="http://schemas.openxmlformats.org/officeDocument/2006/customXml" ds:itemID="{D2D5AF3C-47B9-4D99-B1DB-5C0C6B79713A}">
  <ds:schemaRefs>
    <ds:schemaRef ds:uri="http://schemas.microsoft.com/office/infopath/2007/PartnerControls"/>
    <ds:schemaRef ds:uri="http://purl.org/dc/terms/"/>
    <ds:schemaRef ds:uri="1dc5a16d-a9e1-4107-81af-b56e13c8526c"/>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455b151d-75b8-4438-a72d-e06b314124a1"/>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4900</Words>
  <Characters>27933</Characters>
  <Application>Microsoft Office Word</Application>
  <DocSecurity>8</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2019-06-12T20:33:00Z</dcterms:created>
  <dcterms:modified xsi:type="dcterms:W3CDTF">2019-06-12T20:51:00Z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