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D126E4" w14:textId="77777777" w:rsidR="00A5088B" w:rsidRPr="00A5088B" w:rsidRDefault="00A5088B" w:rsidP="00686EA1">
      <w:pPr>
        <w:jc w:val="right"/>
        <w:rPr>
          <w:sz w:val="20"/>
        </w:rPr>
      </w:pPr>
      <w:r w:rsidRPr="00A5088B">
        <w:rPr>
          <w:i/>
          <w:iCs/>
          <w:sz w:val="20"/>
        </w:rPr>
        <w:t xml:space="preserve">C.E. Article 12-395 (1 credit) </w:t>
      </w:r>
      <w:r w:rsidRPr="00A5088B">
        <w:rPr>
          <w:sz w:val="20"/>
        </w:rPr>
        <w:t>Research Article</w:t>
      </w:r>
    </w:p>
    <w:p w14:paraId="44CE0099" w14:textId="77777777" w:rsidR="00A5088B" w:rsidRDefault="00A5088B" w:rsidP="00BF172D">
      <w:pPr>
        <w:pStyle w:val="Title"/>
        <w:jc w:val="left"/>
      </w:pPr>
      <w:r w:rsidRPr="00A5088B">
        <w:t xml:space="preserve">Effect </w:t>
      </w:r>
      <w:r>
        <w:t xml:space="preserve">of </w:t>
      </w:r>
      <w:r w:rsidRPr="00A5088B">
        <w:t>a baking soda-peroxide dentifrice on post-surgical wound healing</w:t>
      </w:r>
    </w:p>
    <w:p w14:paraId="2DF9CC85" w14:textId="77777777" w:rsidR="00BF172D" w:rsidRPr="00BF172D" w:rsidRDefault="00BF172D" w:rsidP="00BF172D"/>
    <w:p w14:paraId="6327C31C" w14:textId="77777777" w:rsidR="00A5088B" w:rsidRPr="00A5088B" w:rsidRDefault="00A5088B" w:rsidP="00BF172D">
      <w:pPr>
        <w:jc w:val="left"/>
      </w:pPr>
      <w:r w:rsidRPr="00A5088B">
        <w:rPr>
          <w:b/>
          <w:bCs/>
        </w:rPr>
        <w:t xml:space="preserve">ANDREW R. DENTINO, </w:t>
      </w:r>
      <w:r w:rsidRPr="00A5088B">
        <w:t xml:space="preserve">DDS, PHD, </w:t>
      </w:r>
      <w:r w:rsidRPr="00A5088B">
        <w:rPr>
          <w:b/>
          <w:bCs/>
        </w:rPr>
        <w:t xml:space="preserve">SEBASTIAN G. CIANCIO, </w:t>
      </w:r>
      <w:r w:rsidRPr="00A5088B">
        <w:t xml:space="preserve">DDS, </w:t>
      </w:r>
      <w:r w:rsidRPr="00A5088B">
        <w:rPr>
          <w:b/>
          <w:bCs/>
        </w:rPr>
        <w:t xml:space="preserve">MICHELE BESSINGER, </w:t>
      </w:r>
      <w:r w:rsidRPr="00A5088B">
        <w:t xml:space="preserve">BS, </w:t>
      </w:r>
      <w:r w:rsidRPr="00A5088B">
        <w:rPr>
          <w:b/>
          <w:bCs/>
        </w:rPr>
        <w:t xml:space="preserve">MARYANNE MATHER, </w:t>
      </w:r>
      <w:r w:rsidRPr="00A5088B">
        <w:t>BS, MS,</w:t>
      </w:r>
      <w:r w:rsidR="00BF172D">
        <w:t xml:space="preserve"> </w:t>
      </w:r>
      <w:r w:rsidRPr="00A5088B">
        <w:rPr>
          <w:b/>
          <w:bCs/>
        </w:rPr>
        <w:t xml:space="preserve">LOUIS CANCRO, </w:t>
      </w:r>
      <w:r w:rsidRPr="00A5088B">
        <w:t xml:space="preserve">BS &amp; </w:t>
      </w:r>
      <w:r w:rsidRPr="00A5088B">
        <w:rPr>
          <w:b/>
          <w:bCs/>
        </w:rPr>
        <w:t xml:space="preserve">STUART FISCHMAN, </w:t>
      </w:r>
      <w:r w:rsidRPr="00A5088B">
        <w:t>DDS, MS</w:t>
      </w:r>
    </w:p>
    <w:p w14:paraId="0774FD3D" w14:textId="77777777" w:rsidR="00611CD1" w:rsidRDefault="00A5088B" w:rsidP="00611CD1">
      <w:pPr>
        <w:pStyle w:val="Heading1"/>
      </w:pPr>
      <w:r w:rsidRPr="00A5088B">
        <w:t xml:space="preserve">ABSTRACT: </w:t>
      </w:r>
    </w:p>
    <w:p w14:paraId="2E23CE80" w14:textId="77777777" w:rsidR="00611CD1" w:rsidRDefault="00A5088B" w:rsidP="00611CD1">
      <w:pPr>
        <w:pStyle w:val="Heading2"/>
      </w:pPr>
      <w:r w:rsidRPr="00A5088B">
        <w:t xml:space="preserve">Purpose: </w:t>
      </w:r>
    </w:p>
    <w:p w14:paraId="2EB5C6F6" w14:textId="77777777" w:rsidR="00611CD1" w:rsidRDefault="00A5088B" w:rsidP="00BF172D">
      <w:pPr>
        <w:jc w:val="left"/>
      </w:pPr>
      <w:r w:rsidRPr="00A5088B">
        <w:t>To investigate the effect of a baking soda-hydrogen peroxide (0.75%) dentifrice on wound healing, plaque formation, gingival inflammation, wound healing, patient comfort, probing depth, and clinical attachment level following gingival flap surgery.</w:t>
      </w:r>
    </w:p>
    <w:p w14:paraId="0E9EA9A1" w14:textId="77777777" w:rsidR="00611CD1" w:rsidRDefault="00A5088B" w:rsidP="00611CD1">
      <w:pPr>
        <w:pStyle w:val="Heading2"/>
      </w:pPr>
      <w:r w:rsidRPr="00A5088B">
        <w:t xml:space="preserve">Materials and Methods: </w:t>
      </w:r>
    </w:p>
    <w:p w14:paraId="77DE4C4B" w14:textId="77777777" w:rsidR="00062CB9" w:rsidRDefault="00A5088B" w:rsidP="00BF172D">
      <w:pPr>
        <w:jc w:val="left"/>
      </w:pPr>
      <w:r w:rsidRPr="00A5088B">
        <w:t>A randomized, double-blind crossover study involving 25 patients requiring bilateral maxillary gingival flap surgery was completed. The effects of twice daily</w:t>
      </w:r>
      <w:r w:rsidR="00611CD1">
        <w:t xml:space="preserve"> </w:t>
      </w:r>
      <w:proofErr w:type="gramStart"/>
      <w:r w:rsidRPr="00A5088B">
        <w:t>brushing  with</w:t>
      </w:r>
      <w:proofErr w:type="gramEnd"/>
      <w:r w:rsidRPr="00A5088B">
        <w:t xml:space="preserve">  a  baking  soda-hydrogen  peroxide  dentifrice  (Mentadent)  or  a placebo dentifrice  (Crest)  were observed over  a  28-day  post-surgical  period.  </w:t>
      </w:r>
      <w:proofErr w:type="gramStart"/>
      <w:r w:rsidRPr="00A5088B">
        <w:t>Gingival  index</w:t>
      </w:r>
      <w:proofErr w:type="gramEnd"/>
      <w:r w:rsidRPr="00A5088B">
        <w:t xml:space="preserve">  (GI);  plaque  index  (Pl) ,  probing  depth  (PD),  clinical  attachment level (CAL) and gingival bleeding index (Bl) were recorded  pre-surgically and at day 28 for each surgical  sextant.  A.t </w:t>
      </w:r>
      <w:proofErr w:type="gramStart"/>
      <w:r w:rsidRPr="00A5088B">
        <w:t>days  7</w:t>
      </w:r>
      <w:proofErr w:type="gramEnd"/>
      <w:r w:rsidRPr="00A5088B">
        <w:t xml:space="preserve">  and  14,  soft  tissue  appearance/wound  healing  (STA)  was  assessed  based  on color  and  edema,  PI's  were  determined  and patient comfort  was ascertained  by report.   </w:t>
      </w:r>
    </w:p>
    <w:p w14:paraId="2621CC0A" w14:textId="77777777" w:rsidR="00062CB9" w:rsidRDefault="00062CB9" w:rsidP="00062CB9">
      <w:pPr>
        <w:pStyle w:val="Heading2"/>
      </w:pPr>
      <w:r>
        <w:t>Results:</w:t>
      </w:r>
    </w:p>
    <w:p w14:paraId="799D5998" w14:textId="77777777" w:rsidR="00A5088B" w:rsidRDefault="00A5088B" w:rsidP="00BF172D">
      <w:pPr>
        <w:jc w:val="left"/>
      </w:pPr>
      <w:r w:rsidRPr="00A5088B">
        <w:t xml:space="preserve">Post-surgical wound healing was </w:t>
      </w:r>
      <w:proofErr w:type="gramStart"/>
      <w:r w:rsidRPr="00A5088B">
        <w:t xml:space="preserve">statistically  </w:t>
      </w:r>
      <w:r w:rsidR="007255E1">
        <w:t>s</w:t>
      </w:r>
      <w:r w:rsidRPr="00A5088B">
        <w:t>ignificantly</w:t>
      </w:r>
      <w:proofErr w:type="gramEnd"/>
      <w:r w:rsidRPr="00A5088B">
        <w:t xml:space="preserve">  improved  at  day  7  with  the  trend  continuing  to  day  14  when  Mentadent  dentifrice  was  used  as  compared  to Crest  dentifrice.  </w:t>
      </w:r>
      <w:proofErr w:type="gramStart"/>
      <w:r w:rsidRPr="00A5088B">
        <w:t>However,  there</w:t>
      </w:r>
      <w:proofErr w:type="gramEnd"/>
      <w:r w:rsidRPr="00A5088B">
        <w:t xml:space="preserve">  was no statistical  difference  in the PI  values  between  the  test  and control  dentifrice throughout  the study.  Use </w:t>
      </w:r>
      <w:proofErr w:type="gramStart"/>
      <w:r w:rsidRPr="00A5088B">
        <w:t>of  Mentadent</w:t>
      </w:r>
      <w:proofErr w:type="gramEnd"/>
      <w:r w:rsidRPr="00A5088B">
        <w:t xml:space="preserve">  may  be an effective  aid in the early  phase  of  healing  following  gingival  flap surgery.  </w:t>
      </w:r>
      <w:r w:rsidRPr="00A5088B">
        <w:rPr>
          <w:i/>
          <w:iCs/>
        </w:rPr>
        <w:t xml:space="preserve">(Am J Dent </w:t>
      </w:r>
      <w:r w:rsidRPr="00A5088B">
        <w:t>1995; 8: 125-127).</w:t>
      </w:r>
    </w:p>
    <w:p w14:paraId="248324BD" w14:textId="77777777" w:rsidR="007255E1" w:rsidRPr="007255E1" w:rsidRDefault="007255E1" w:rsidP="007255E1">
      <w:pPr>
        <w:rPr>
          <w:sz w:val="22"/>
        </w:rPr>
      </w:pPr>
      <w:r w:rsidRPr="007255E1">
        <w:rPr>
          <w:b/>
          <w:bCs/>
          <w:sz w:val="22"/>
        </w:rPr>
        <w:t xml:space="preserve">CLINICAL SIGNIFICANCE: </w:t>
      </w:r>
      <w:r w:rsidRPr="007255E1">
        <w:rPr>
          <w:sz w:val="22"/>
        </w:rPr>
        <w:t xml:space="preserve">Use of Mentadent dentifrice may be an effective aid in the early </w:t>
      </w:r>
      <w:r w:rsidRPr="007255E1">
        <w:rPr>
          <w:color w:val="252120"/>
          <w:sz w:val="22"/>
        </w:rPr>
        <w:t xml:space="preserve">phase </w:t>
      </w:r>
      <w:r w:rsidRPr="007255E1">
        <w:rPr>
          <w:sz w:val="22"/>
        </w:rPr>
        <w:t>of healing following</w:t>
      </w:r>
      <w:r w:rsidRPr="007255E1">
        <w:rPr>
          <w:sz w:val="22"/>
        </w:rPr>
        <w:t xml:space="preserve"> </w:t>
      </w:r>
      <w:r w:rsidRPr="007255E1">
        <w:rPr>
          <w:sz w:val="22"/>
        </w:rPr>
        <w:t>gingival flap surgery.</w:t>
      </w:r>
    </w:p>
    <w:p w14:paraId="56253EB3" w14:textId="77777777" w:rsidR="00A5088B" w:rsidRPr="00A5088B" w:rsidRDefault="00A5088B" w:rsidP="00BF172D">
      <w:pPr>
        <w:jc w:val="left"/>
      </w:pPr>
      <w:r w:rsidRPr="00A5088B">
        <w:rPr>
          <w:b/>
          <w:bCs/>
        </w:rPr>
        <w:lastRenderedPageBreak/>
        <w:t xml:space="preserve">CORRESPONDENCE: </w:t>
      </w:r>
      <w:r w:rsidRPr="00A5088B">
        <w:t xml:space="preserve">Dr. </w:t>
      </w:r>
      <w:r w:rsidRPr="00A5088B">
        <w:rPr>
          <w:b/>
          <w:bCs/>
        </w:rPr>
        <w:t xml:space="preserve">A.R. </w:t>
      </w:r>
      <w:r w:rsidRPr="00A5088B">
        <w:t>Dentino, Department of Periodontics, School of Dentistry, Marquette University, Milwaukee, WI 53233, USA.</w:t>
      </w:r>
    </w:p>
    <w:p w14:paraId="6DE34346" w14:textId="77777777" w:rsidR="00A5088B" w:rsidRPr="00A5088B" w:rsidRDefault="00686EA1" w:rsidP="0001001A">
      <w:pPr>
        <w:pStyle w:val="Heading1"/>
      </w:pPr>
      <w:r w:rsidRPr="00A5088B">
        <w:t>in</w:t>
      </w:r>
      <w:r>
        <w:t>tr</w:t>
      </w:r>
      <w:r w:rsidRPr="00A5088B">
        <w:t>oduction</w:t>
      </w:r>
    </w:p>
    <w:p w14:paraId="4298C400" w14:textId="77777777" w:rsidR="00A5088B" w:rsidRPr="00A5088B" w:rsidRDefault="00A5088B" w:rsidP="00BF172D">
      <w:pPr>
        <w:jc w:val="left"/>
        <w:rPr>
          <w:vertAlign w:val="superscript"/>
        </w:rPr>
      </w:pPr>
      <w:r w:rsidRPr="00A5088B">
        <mc:AlternateContent>
          <mc:Choice Requires="wps">
            <w:drawing>
              <wp:inline distT="0" distB="0" distL="0" distR="0" wp14:anchorId="6890BB22" wp14:editId="1368059C">
                <wp:extent cx="26670" cy="85090"/>
                <wp:effectExtent l="0" t="0" r="1905" b="635"/>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 cy="85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A4F372" w14:textId="77777777" w:rsidR="00A5088B" w:rsidRDefault="00A5088B" w:rsidP="00A5088B">
                            <w:pPr>
                              <w:pStyle w:val="BodyText"/>
                              <w:kinsoku w:val="0"/>
                              <w:overflowPunct w:val="0"/>
                              <w:spacing w:line="133" w:lineRule="exact"/>
                              <w:rPr>
                                <w:color w:val="312F2D"/>
                                <w:w w:val="103"/>
                                <w:sz w:val="12"/>
                                <w:szCs w:val="12"/>
                              </w:rPr>
                            </w:pPr>
                            <w:r>
                              <w:rPr>
                                <w:color w:val="312F2D"/>
                                <w:w w:val="103"/>
                                <w:sz w:val="12"/>
                                <w:szCs w:val="12"/>
                              </w:rPr>
                              <w:t>-</w:t>
                            </w:r>
                          </w:p>
                        </w:txbxContent>
                      </wps:txbx>
                      <wps:bodyPr rot="0" vert="horz" wrap="square" lIns="0" tIns="0" rIns="0" bIns="0" anchor="t" anchorCtr="0" upright="1">
                        <a:noAutofit/>
                      </wps:bodyPr>
                    </wps:wsp>
                  </a:graphicData>
                </a:graphic>
              </wp:inline>
            </w:drawing>
          </mc:Choice>
          <mc:Fallback>
            <w:pict>
              <v:shapetype w14:anchorId="6890BB22" id="_x0000_t202" coordsize="21600,21600" o:spt="202" path="m,l,21600r21600,l21600,xe">
                <v:stroke joinstyle="miter"/>
                <v:path gradientshapeok="t" o:connecttype="rect"/>
              </v:shapetype>
              <v:shape id="Text Box 4" o:spid="_x0000_s1026" type="#_x0000_t202" style="width:2.1pt;height: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" filled="f" stroked="f">
                <v:textbox inset="0,0,0,0">
                  <w:txbxContent>
                    <w:p w14:paraId="2AA4F372" w14:textId="77777777" w:rsidR="00A5088B" w:rsidRDefault="00A5088B" w:rsidP="00A5088B">
                      <w:pPr>
                        <w:pStyle w:val="BodyText"/>
                        <w:kinsoku w:val="0"/>
                        <w:overflowPunct w:val="0"/>
                        <w:spacing w:line="133" w:lineRule="exact"/>
                        <w:rPr>
                          <w:color w:val="312F2D"/>
                          <w:w w:val="103"/>
                          <w:sz w:val="12"/>
                          <w:szCs w:val="12"/>
                        </w:rPr>
                      </w:pPr>
                      <w:r>
                        <w:rPr>
                          <w:color w:val="312F2D"/>
                          <w:w w:val="103"/>
                          <w:sz w:val="12"/>
                          <w:szCs w:val="12"/>
                        </w:rPr>
                        <w:t>-</w:t>
                      </w:r>
                    </w:p>
                  </w:txbxContent>
                </v:textbox>
                <w10:anchorlock/>
              </v:shape>
            </w:pict>
          </mc:Fallback>
        </mc:AlternateContent>
      </w:r>
      <w:r w:rsidR="0001001A">
        <w:tab/>
      </w:r>
      <w:r w:rsidRPr="00A5088B">
        <w:t>Several studies have shown that optimal plaque control for the first few weeks following gingival surgery dramatically enhances wound healing and clinical results.</w:t>
      </w:r>
      <w:r w:rsidRPr="00A5088B">
        <w:rPr>
          <w:vertAlign w:val="superscript"/>
        </w:rPr>
        <w:t>1</w:t>
      </w:r>
      <w:r w:rsidRPr="00A5088B">
        <w:t xml:space="preserve"> </w:t>
      </w:r>
      <w:r w:rsidRPr="00A5088B">
        <w:rPr>
          <w:vertAlign w:val="superscript"/>
        </w:rPr>
        <w:t>3</w:t>
      </w:r>
    </w:p>
    <w:p w14:paraId="79A3F94E" w14:textId="77777777" w:rsidR="00A5088B" w:rsidRPr="00A5088B" w:rsidRDefault="00A5088B" w:rsidP="0001001A">
      <w:pPr>
        <w:ind w:firstLine="720"/>
        <w:jc w:val="left"/>
      </w:pPr>
      <w:proofErr w:type="spellStart"/>
      <w:r w:rsidRPr="00A5088B">
        <w:t>Antibacterials</w:t>
      </w:r>
      <w:proofErr w:type="spellEnd"/>
      <w:r w:rsidRPr="00A5088B">
        <w:t xml:space="preserve"> have been shown to reduce plaque forma­ </w:t>
      </w:r>
      <w:proofErr w:type="spellStart"/>
      <w:r w:rsidRPr="00A5088B">
        <w:t>tion</w:t>
      </w:r>
      <w:proofErr w:type="spellEnd"/>
      <w:r w:rsidRPr="00A5088B">
        <w:t>, oral debris and inflammation, as well as to improve healing and patient comfort when used after gingival sur­ gery.</w:t>
      </w:r>
      <w:r w:rsidRPr="00A5088B">
        <w:rPr>
          <w:vertAlign w:val="superscript"/>
        </w:rPr>
        <w:t>4</w:t>
      </w:r>
      <w:r w:rsidRPr="00A5088B">
        <w:t xml:space="preserve"> </w:t>
      </w:r>
      <w:r w:rsidRPr="00A5088B">
        <w:rPr>
          <w:vertAlign w:val="superscript"/>
        </w:rPr>
        <w:t>6</w:t>
      </w:r>
      <w:r w:rsidRPr="00A5088B">
        <w:t xml:space="preserve"> Some of these agents, including peroxides, have been shown in several clinical studies to reduce plaque formation and gingival inflammation when used alone or as an adjunct to other oral hygiene procedures. </w:t>
      </w:r>
      <w:r w:rsidRPr="00A5088B">
        <w:rPr>
          <w:vertAlign w:val="superscript"/>
        </w:rPr>
        <w:t>7</w:t>
      </w:r>
      <w:r w:rsidRPr="00A5088B">
        <w:t xml:space="preserve"> </w:t>
      </w:r>
      <w:r w:rsidRPr="00A5088B">
        <w:rPr>
          <w:vertAlign w:val="superscript"/>
        </w:rPr>
        <w:t>9</w:t>
      </w:r>
      <w:r w:rsidRPr="00A5088B">
        <w:t xml:space="preserve"> Similarly, se</w:t>
      </w:r>
      <w:r w:rsidR="0001001A">
        <w:t>v</w:t>
      </w:r>
      <w:r w:rsidRPr="00A5088B">
        <w:t xml:space="preserve">eral authors have noted that tissues do as well or better, without standard periodontal dressings following surgery. </w:t>
      </w:r>
      <w:r w:rsidRPr="00A5088B">
        <w:rPr>
          <w:vertAlign w:val="superscript"/>
        </w:rPr>
        <w:t>10</w:t>
      </w:r>
      <w:r w:rsidRPr="00A5088B">
        <w:t xml:space="preserve"> </w:t>
      </w:r>
      <w:r w:rsidRPr="00A5088B">
        <w:rPr>
          <w:vertAlign w:val="superscript"/>
        </w:rPr>
        <w:t>11</w:t>
      </w:r>
      <w:r w:rsidRPr="00A5088B">
        <w:t xml:space="preserve"> When dressings are not used, however, manual oral hygiene during this immediate post-surgical period may be difficult and painful, </w:t>
      </w:r>
      <w:proofErr w:type="spellStart"/>
      <w:r w:rsidRPr="00A5088B">
        <w:t>tbereby</w:t>
      </w:r>
      <w:proofErr w:type="spellEnd"/>
      <w:r w:rsidRPr="00A5088B">
        <w:t xml:space="preserve"> jeopardizing the clinical result.</w:t>
      </w:r>
    </w:p>
    <w:p w14:paraId="22A02637" w14:textId="77777777" w:rsidR="00A5088B" w:rsidRPr="00A5088B" w:rsidRDefault="00A5088B" w:rsidP="0001001A">
      <w:pPr>
        <w:ind w:firstLine="720"/>
        <w:jc w:val="left"/>
      </w:pPr>
      <w:r w:rsidRPr="00A5088B">
        <w:t>In this regard, an effective antimicrobial dentifrice used during the initial post-surgical healing period may provide some clinical benefit. The objective of this study was to evaluate the effect of a baking soda-hydrogen peroxide (0.75%) dentifrice on wound healing, plaque formation and patient comfort following gingival flap surgery.</w:t>
      </w:r>
    </w:p>
    <w:p w14:paraId="74E6CFA3" w14:textId="77777777" w:rsidR="00A5088B" w:rsidRPr="00A5088B" w:rsidRDefault="00A5088B" w:rsidP="00C344C0">
      <w:pPr>
        <w:pStyle w:val="Heading1"/>
      </w:pPr>
      <w:r w:rsidRPr="00A5088B">
        <w:t>Materials and Methods</w:t>
      </w:r>
    </w:p>
    <w:p w14:paraId="55B8A13E" w14:textId="77777777" w:rsidR="00A5088B" w:rsidRPr="00A5088B" w:rsidRDefault="00A5088B" w:rsidP="00C344C0">
      <w:pPr>
        <w:ind w:firstLine="720"/>
        <w:jc w:val="left"/>
        <w:rPr>
          <w:vertAlign w:val="superscript"/>
        </w:rPr>
      </w:pPr>
      <w:r w:rsidRPr="00A5088B">
        <w:t xml:space="preserve">This </w:t>
      </w:r>
      <w:proofErr w:type="gramStart"/>
      <w:r w:rsidRPr="00A5088B">
        <w:t>double blind</w:t>
      </w:r>
      <w:proofErr w:type="gramEnd"/>
      <w:r w:rsidRPr="00A5088B">
        <w:t xml:space="preserve"> study utilized a crossover design to assess the post-surgical wound healing, plaque formation and patient comfort associated with a fluoride-containing baking­ soda-hydrogen peroxide antiseptic dentifrice (</w:t>
      </w:r>
      <w:proofErr w:type="spellStart"/>
      <w:r w:rsidRPr="00A5088B">
        <w:t>Mentadent</w:t>
      </w:r>
      <w:r w:rsidR="00C344C0" w:rsidRPr="00C344C0">
        <w:rPr>
          <w:vertAlign w:val="superscript"/>
        </w:rPr>
        <w:t>a</w:t>
      </w:r>
      <w:proofErr w:type="spellEnd"/>
      <w:r w:rsidRPr="00A5088B">
        <w:t>)</w:t>
      </w:r>
      <w:r w:rsidR="00C344C0">
        <w:t xml:space="preserve"> </w:t>
      </w:r>
      <w:r w:rsidRPr="00A5088B">
        <w:rPr>
          <w:i/>
          <w:iCs/>
        </w:rPr>
        <w:t xml:space="preserve">versus </w:t>
      </w:r>
      <w:r w:rsidRPr="00A5088B">
        <w:t>a placebo dentifrice (</w:t>
      </w:r>
      <w:proofErr w:type="spellStart"/>
      <w:r w:rsidRPr="00A5088B">
        <w:t>Crestb</w:t>
      </w:r>
      <w:proofErr w:type="spellEnd"/>
      <w:r w:rsidRPr="00A5088B">
        <w:t xml:space="preserve">). To qualify, subjects had to be healthy adults (27-71 years; mean age 43.7 years) not taking systemic medications </w:t>
      </w:r>
      <w:r w:rsidRPr="00A5088B">
        <w:rPr>
          <w:i/>
          <w:iCs/>
        </w:rPr>
        <w:t xml:space="preserve">(e.g. </w:t>
      </w:r>
      <w:r w:rsidRPr="00A5088B">
        <w:t xml:space="preserve">NSAID's, antibiotics) which are known to affect or alter the parameters under investigation. Informed consent was obtained from 26 healthy patients (12 male and 14 female) requiring periodontal flap surgery in both maxillary posterior sextants with a minimum of three adjacent teeth, and where the surgical treatment in both sextants was similar. All subjects qualifying for the study had to undergo pre-surgical preparations consisting of oral hygiene instruction, prophylaxis, and bilateral scaling and root </w:t>
      </w:r>
      <w:proofErr w:type="spellStart"/>
      <w:r w:rsidRPr="00A5088B">
        <w:t>planing</w:t>
      </w:r>
      <w:proofErr w:type="spellEnd"/>
      <w:r w:rsidRPr="00A5088B">
        <w:t xml:space="preserve">. The surgical procedure used was a modified Widman flap with a major goal of primary wound </w:t>
      </w:r>
      <w:proofErr w:type="spellStart"/>
      <w:r w:rsidRPr="00A5088B">
        <w:t>clo­</w:t>
      </w:r>
      <w:proofErr w:type="spellEnd"/>
      <w:r w:rsidRPr="00A5088B">
        <w:t xml:space="preserve"> sure and flap margin contact with the tooth post-surgically.</w:t>
      </w:r>
      <w:r w:rsidRPr="00A5088B">
        <w:rPr>
          <w:vertAlign w:val="superscript"/>
        </w:rPr>
        <w:t>12</w:t>
      </w:r>
    </w:p>
    <w:p w14:paraId="270E9946" w14:textId="77777777" w:rsidR="00A5088B" w:rsidRPr="00A5088B" w:rsidRDefault="00A5088B" w:rsidP="00DD6ED5">
      <w:pPr>
        <w:ind w:firstLine="720"/>
        <w:jc w:val="left"/>
      </w:pPr>
      <w:r w:rsidRPr="00A5088B">
        <w:lastRenderedPageBreak/>
        <w:t>If necessary, acetaminophen with 1/2 gm of codeine was prescribed as an analgesic (unless contraindicated). A diary of analgesic use, including evaluation of pain and frequency of use, was kept by each subject. Mentadent (a 0.75% baking soda-hydrogen peroxide dentifrice) or Crest control dentifrice were supplied to patients for unsupervised home use. Each subject was also given a soft nylon toothbrush to use for a period of 28 days following each surgical procedure, and the dentifrices were dispensed at this time in coded tubes by the project coordinator, who was not involved with the evaluations. The investigation was designed with at least a 2- week washout period between the first and second surgical procedure in each patient. Two periodontists were calibrated to the indices being used in the study, as well as the surgical approach prior to the start of the study, and each examiner scored the indices and performed surgery on t e same sub-</w:t>
      </w:r>
    </w:p>
    <w:p w14:paraId="761ACC6C" w14:textId="77777777" w:rsidR="00A5088B" w:rsidRPr="00A5088B" w:rsidRDefault="00A5088B" w:rsidP="006E1AD0">
      <w:pPr>
        <w:numPr>
          <w:ilvl w:val="0"/>
          <w:numId w:val="3"/>
        </w:numPr>
        <w:jc w:val="right"/>
        <w:rPr>
          <w:sz w:val="20"/>
        </w:rPr>
      </w:pPr>
      <w:r w:rsidRPr="00A5088B">
        <w:rPr>
          <w:sz w:val="20"/>
        </w:rPr>
        <w:t xml:space="preserve">126 </w:t>
      </w:r>
      <w:r w:rsidRPr="00A5088B">
        <w:rPr>
          <w:iCs/>
          <w:sz w:val="20"/>
        </w:rPr>
        <w:t>Dentino et al</w:t>
      </w:r>
      <w:r w:rsidRPr="00A5088B">
        <w:rPr>
          <w:i/>
          <w:iCs/>
          <w:sz w:val="20"/>
        </w:rPr>
        <w:t xml:space="preserve"> </w:t>
      </w:r>
      <w:r w:rsidRPr="00A5088B">
        <w:rPr>
          <w:i/>
          <w:sz w:val="20"/>
        </w:rPr>
        <w:t>American Journal of Dentistry</w:t>
      </w:r>
      <w:r w:rsidRPr="00A5088B">
        <w:rPr>
          <w:sz w:val="20"/>
        </w:rPr>
        <w:t xml:space="preserve">, Vol. 8, No. 3, </w:t>
      </w:r>
      <w:proofErr w:type="gramStart"/>
      <w:r w:rsidRPr="00A5088B">
        <w:rPr>
          <w:sz w:val="20"/>
        </w:rPr>
        <w:t>June,</w:t>
      </w:r>
      <w:proofErr w:type="gramEnd"/>
      <w:r w:rsidRPr="00A5088B">
        <w:rPr>
          <w:sz w:val="20"/>
        </w:rPr>
        <w:t xml:space="preserve"> 1995</w:t>
      </w:r>
    </w:p>
    <w:p w14:paraId="7D213BB3" w14:textId="77777777" w:rsidR="00A5088B" w:rsidRPr="00A5088B" w:rsidRDefault="00A5088B" w:rsidP="00BF172D">
      <w:pPr>
        <w:jc w:val="left"/>
      </w:pPr>
      <w:r w:rsidRPr="00A5088B">
        <w:t xml:space="preserve">jects throughout the study. Each </w:t>
      </w:r>
      <w:proofErr w:type="spellStart"/>
      <w:r w:rsidRPr="00A5088B">
        <w:t>surgerized</w:t>
      </w:r>
      <w:proofErr w:type="spellEnd"/>
      <w:r w:rsidRPr="00A5088B">
        <w:t xml:space="preserve"> segment was selected by a predetermined, randomized code as active or placebo dentifrice.</w:t>
      </w:r>
    </w:p>
    <w:p w14:paraId="7EFC3497" w14:textId="77777777" w:rsidR="00A5088B" w:rsidRPr="00A5088B" w:rsidRDefault="00A5088B" w:rsidP="006E1AD0">
      <w:pPr>
        <w:ind w:firstLine="720"/>
        <w:jc w:val="left"/>
      </w:pPr>
      <w:r w:rsidRPr="00A5088B">
        <w:t xml:space="preserve">Clinical measurements of the GI, Pl, PD, CAL and BI were obtained by the examiner in the sextant immediately prior to surgery and at 28 days after surgery. Gingivitis was scored using the </w:t>
      </w:r>
      <w:proofErr w:type="spellStart"/>
      <w:r w:rsidRPr="00A5088B">
        <w:t>Loe-Silness</w:t>
      </w:r>
      <w:proofErr w:type="spellEnd"/>
      <w:r w:rsidRPr="00A5088B">
        <w:t xml:space="preserve"> gingival index for each involved tooth.</w:t>
      </w:r>
      <w:r w:rsidRPr="00A5088B">
        <w:rPr>
          <w:vertAlign w:val="superscript"/>
        </w:rPr>
        <w:t>13</w:t>
      </w:r>
      <w:r w:rsidRPr="00A5088B">
        <w:t xml:space="preserve"> Plaque area was scored pre-surgically at 7, 14 and</w:t>
      </w:r>
      <w:r w:rsidR="006E1AD0">
        <w:t xml:space="preserve"> </w:t>
      </w:r>
      <w:r w:rsidRPr="00A5088B">
        <w:t xml:space="preserve">28 days by the </w:t>
      </w:r>
      <w:proofErr w:type="spellStart"/>
      <w:r w:rsidRPr="00A5088B">
        <w:t>Silness-Loe</w:t>
      </w:r>
      <w:proofErr w:type="spellEnd"/>
      <w:r w:rsidRPr="00A5088B">
        <w:t xml:space="preserve"> index.</w:t>
      </w:r>
      <w:r w:rsidRPr="00A5088B">
        <w:rPr>
          <w:vertAlign w:val="superscript"/>
        </w:rPr>
        <w:t>13</w:t>
      </w:r>
      <w:r w:rsidRPr="00A5088B">
        <w:t xml:space="preserve"> These measurements were made at each examination since excess plaque formation can delay wound healing or cause wound infection. PD and CAL measurements were made at six points around each tooth. Gingival bleeding on probing was determined as previously described.14 Soft tissue appearance, </w:t>
      </w:r>
      <w:r w:rsidRPr="00A5088B">
        <w:rPr>
          <w:i/>
          <w:iCs/>
        </w:rPr>
        <w:t xml:space="preserve">i.e. </w:t>
      </w:r>
      <w:r w:rsidRPr="00A5088B">
        <w:t>wound healing, was evaluated, rather than GI, at the first two post­ operative visits (7 and 14 days) by color [pink (0), mixed (1) or red (2)] and by edema [normal (0), mild (1), moderate to severe (2)].5 Patient assessment of pain/discomfort was also ascertained at days 7 and 14 post-surgically and recorded as none (0), mild (1), moderate (2) or severe (3).</w:t>
      </w:r>
      <w:r w:rsidRPr="00A5088B">
        <w:rPr>
          <w:vertAlign w:val="superscript"/>
        </w:rPr>
        <w:t>5</w:t>
      </w:r>
      <w:r w:rsidRPr="00A5088B">
        <w:t xml:space="preserve"> The order of examination was always soft tissue appearance or GI, </w:t>
      </w:r>
      <w:r w:rsidRPr="00A5088B">
        <w:rPr>
          <w:bCs/>
        </w:rPr>
        <w:t>Pl,</w:t>
      </w:r>
      <w:r w:rsidRPr="00A5088B">
        <w:rPr>
          <w:b/>
          <w:bCs/>
        </w:rPr>
        <w:t xml:space="preserve"> </w:t>
      </w:r>
      <w:r w:rsidRPr="00A5088B">
        <w:t>PD, CAL, BI and patient discomfort.</w:t>
      </w:r>
    </w:p>
    <w:p w14:paraId="2C7A7AB8" w14:textId="77777777" w:rsidR="00A5088B" w:rsidRPr="00A5088B" w:rsidRDefault="00A5088B" w:rsidP="006E1AD0">
      <w:pPr>
        <w:ind w:firstLine="720"/>
        <w:jc w:val="left"/>
      </w:pPr>
      <w:r w:rsidRPr="00A5088B">
        <w:t xml:space="preserve">The assigned dentifrice and toothbrush </w:t>
      </w:r>
      <w:proofErr w:type="gramStart"/>
      <w:r w:rsidRPr="00A5088B">
        <w:t>was</w:t>
      </w:r>
      <w:proofErr w:type="gramEnd"/>
      <w:r w:rsidRPr="00A5088B">
        <w:t xml:space="preserve"> to be used twice daily for 2 minutes each time starting the day following surgery, except during the washout period where the patient was instructed to return to using their own commercially available dentifrice and brush. At 7 days, the sutures were removed and the surgical area gently </w:t>
      </w:r>
      <w:proofErr w:type="spellStart"/>
      <w:r w:rsidRPr="00A5088B">
        <w:t>lavaged</w:t>
      </w:r>
      <w:proofErr w:type="spellEnd"/>
      <w:r w:rsidRPr="00A5088B">
        <w:t xml:space="preserve"> with </w:t>
      </w:r>
      <w:proofErr w:type="spellStart"/>
      <w:r w:rsidRPr="00A5088B">
        <w:t>wa­</w:t>
      </w:r>
      <w:proofErr w:type="spellEnd"/>
      <w:r w:rsidRPr="00A5088B">
        <w:t xml:space="preserve"> </w:t>
      </w:r>
      <w:proofErr w:type="spellStart"/>
      <w:r w:rsidRPr="00A5088B">
        <w:t>ter</w:t>
      </w:r>
      <w:proofErr w:type="spellEnd"/>
      <w:r w:rsidRPr="00A5088B">
        <w:t>, prior to the evaluation by the study examiner. Patients continued routine oral hygiene procedures including brushing with the assigned dentifrice for another 21 days.</w:t>
      </w:r>
    </w:p>
    <w:p w14:paraId="71C2B40A" w14:textId="77777777" w:rsidR="00A5088B" w:rsidRPr="00A5088B" w:rsidRDefault="00A5088B" w:rsidP="009E5864">
      <w:pPr>
        <w:ind w:firstLine="720"/>
        <w:jc w:val="left"/>
      </w:pPr>
      <w:r w:rsidRPr="00A5088B">
        <w:lastRenderedPageBreak/>
        <w:t>At the time of the second surgical procedure, all measurements were performed in the surgical sextant as described at the initiation of the· study. Additionally, at the end of the study, patients were asked to indicate their dentifrice prefe</w:t>
      </w:r>
      <w:r w:rsidR="009E5864">
        <w:t>r</w:t>
      </w:r>
      <w:r w:rsidRPr="00A5088B">
        <w:t>ence.</w:t>
      </w:r>
    </w:p>
    <w:p w14:paraId="5581E39C" w14:textId="77777777" w:rsidR="00A5088B" w:rsidRPr="00A5088B" w:rsidRDefault="00A5088B" w:rsidP="009E5864">
      <w:pPr>
        <w:pStyle w:val="Heading1"/>
      </w:pPr>
      <w:r w:rsidRPr="00A5088B">
        <w:t>Results</w:t>
      </w:r>
    </w:p>
    <w:p w14:paraId="7305BACD" w14:textId="77777777" w:rsidR="00A5088B" w:rsidRPr="00A5088B" w:rsidRDefault="00A5088B" w:rsidP="008D0750">
      <w:pPr>
        <w:ind w:firstLine="720"/>
        <w:jc w:val="left"/>
      </w:pPr>
      <w:r w:rsidRPr="00A5088B">
        <w:t xml:space="preserve">Twenty-five subjects completed this double-blind cross­ over study. Data from one subject was not </w:t>
      </w:r>
      <w:r w:rsidR="008D0750">
        <w:t>av</w:t>
      </w:r>
      <w:r w:rsidRPr="00A5088B">
        <w:t xml:space="preserve">ailable since the subject could not keep all scheduled evaluation appointments. The results of this study are presented in Tables 1-4 for each examination period. The baseline data in Table 1 confirm that the two dentifrice groups were evenly matched at the start of the study </w:t>
      </w:r>
      <w:proofErr w:type="gramStart"/>
      <w:r w:rsidRPr="00A5088B">
        <w:t>with regard to</w:t>
      </w:r>
      <w:proofErr w:type="gramEnd"/>
      <w:r w:rsidRPr="00A5088B">
        <w:t xml:space="preserve"> the clinical parameters being measured, with no significant differences in the GI, Pl, PD, CAL or BI. One week post-surgically there was a significant difference in soft tissue appearance as measured by color (Table 2) with the surgical site cleaned with Menta­ dent showing less redness (0.36 </w:t>
      </w:r>
      <w:r w:rsidRPr="00A5088B">
        <w:rPr>
          <w:i/>
          <w:iCs/>
        </w:rPr>
        <w:t xml:space="preserve">vs. </w:t>
      </w:r>
      <w:r w:rsidRPr="00A5088B">
        <w:t xml:space="preserve">0.76, paired t-test; P=0.05). This was consistent with the finding that soft tissue appearance as measured by edema also favored Mentadent, but this reached statistical significance only at the P=0.10 level. On average, patients reported mild pain 1 week </w:t>
      </w:r>
      <w:proofErr w:type="spellStart"/>
      <w:r w:rsidRPr="00A5088B">
        <w:t>post­surgically</w:t>
      </w:r>
      <w:proofErr w:type="spellEnd"/>
      <w:r w:rsidRPr="00A5088B">
        <w:t xml:space="preserve"> regardless of the dentifrice used. The difference in gingival color was less marked by day 14 (Table 3), but the Mentadent quadrant still showed a more favorable healing response in this regard (0.29 </w:t>
      </w:r>
      <w:r w:rsidRPr="00A5088B">
        <w:rPr>
          <w:i/>
          <w:iCs/>
        </w:rPr>
        <w:t xml:space="preserve">vs. </w:t>
      </w:r>
      <w:r w:rsidRPr="00A5088B">
        <w:t>0.40). The edema and PI</w:t>
      </w:r>
    </w:p>
    <w:p w14:paraId="3DDC303A" w14:textId="77777777" w:rsidR="00A5088B" w:rsidRPr="00A5088B" w:rsidRDefault="00A5088B" w:rsidP="00BF172D">
      <w:pPr>
        <w:jc w:val="left"/>
      </w:pPr>
      <w:r w:rsidRPr="00A5088B">
        <w:t>Table 1. Clinical parameters measured pre-surgically (n= 25).</w:t>
      </w:r>
    </w:p>
    <w:tbl>
      <w:tblPr>
        <w:tblStyle w:val="TableGridLight"/>
        <w:tblW w:w="5000" w:type="pct"/>
        <w:tblLook w:val="0020" w:firstRow="1" w:lastRow="0" w:firstColumn="0" w:lastColumn="0" w:noHBand="0" w:noVBand="0"/>
        <w:tblCaption w:val="Table 1. Clinical parameters measured pre-surgically (n= 25)."/>
        <w:tblDescription w:val="Table 1. Clinical parameters measured pre-surgically (n= 25)."/>
      </w:tblPr>
      <w:tblGrid>
        <w:gridCol w:w="1645"/>
        <w:gridCol w:w="2960"/>
        <w:gridCol w:w="3875"/>
      </w:tblGrid>
      <w:tr w:rsidR="00A5088B" w:rsidRPr="00A5088B" w14:paraId="0A288817" w14:textId="77777777" w:rsidTr="00B73861">
        <w:trPr>
          <w:trHeight w:val="316"/>
        </w:trPr>
        <w:tc>
          <w:tcPr>
            <w:tcW w:w="970" w:type="pct"/>
          </w:tcPr>
          <w:p w14:paraId="4332EE52" w14:textId="77777777" w:rsidR="00A5088B" w:rsidRPr="00A5088B" w:rsidRDefault="00A5088B" w:rsidP="00786A3D">
            <w:pPr>
              <w:spacing w:line="252" w:lineRule="auto"/>
              <w:jc w:val="left"/>
              <w:rPr>
                <w:b/>
              </w:rPr>
            </w:pPr>
            <w:r w:rsidRPr="00A5088B">
              <w:rPr>
                <w:b/>
              </w:rPr>
              <w:t>Parameter</w:t>
            </w:r>
          </w:p>
        </w:tc>
        <w:tc>
          <w:tcPr>
            <w:tcW w:w="1745" w:type="pct"/>
          </w:tcPr>
          <w:p w14:paraId="13EDA40C" w14:textId="77777777" w:rsidR="00A5088B" w:rsidRPr="00A5088B" w:rsidRDefault="00A5088B" w:rsidP="00786A3D">
            <w:pPr>
              <w:spacing w:line="252" w:lineRule="auto"/>
              <w:jc w:val="left"/>
              <w:rPr>
                <w:b/>
              </w:rPr>
            </w:pPr>
            <w:r w:rsidRPr="00A5088B">
              <w:rPr>
                <w:b/>
              </w:rPr>
              <w:t>Crest dentifrice</w:t>
            </w:r>
          </w:p>
        </w:tc>
        <w:tc>
          <w:tcPr>
            <w:tcW w:w="2285" w:type="pct"/>
          </w:tcPr>
          <w:p w14:paraId="1EBB1530" w14:textId="77777777" w:rsidR="00A5088B" w:rsidRPr="00A5088B" w:rsidRDefault="00A5088B" w:rsidP="00786A3D">
            <w:pPr>
              <w:spacing w:line="252" w:lineRule="auto"/>
              <w:jc w:val="left"/>
              <w:rPr>
                <w:b/>
              </w:rPr>
            </w:pPr>
            <w:r w:rsidRPr="00A5088B">
              <w:rPr>
                <w:b/>
              </w:rPr>
              <w:t>Mentadent dentifrice</w:t>
            </w:r>
          </w:p>
        </w:tc>
      </w:tr>
      <w:tr w:rsidR="00A5088B" w:rsidRPr="00A5088B" w14:paraId="1BC32E71" w14:textId="77777777" w:rsidTr="00B73861">
        <w:trPr>
          <w:trHeight w:val="250"/>
        </w:trPr>
        <w:tc>
          <w:tcPr>
            <w:tcW w:w="970" w:type="pct"/>
          </w:tcPr>
          <w:p w14:paraId="4FF98FEE" w14:textId="77777777" w:rsidR="00A5088B" w:rsidRPr="00A5088B" w:rsidRDefault="00A5088B" w:rsidP="00786A3D">
            <w:pPr>
              <w:spacing w:line="252" w:lineRule="auto"/>
              <w:jc w:val="left"/>
            </w:pPr>
            <w:r w:rsidRPr="00A5088B">
              <w:t>PI</w:t>
            </w:r>
          </w:p>
        </w:tc>
        <w:tc>
          <w:tcPr>
            <w:tcW w:w="1745" w:type="pct"/>
          </w:tcPr>
          <w:p w14:paraId="3413726E" w14:textId="77777777" w:rsidR="00A5088B" w:rsidRPr="00A5088B" w:rsidRDefault="00A5088B" w:rsidP="00786A3D">
            <w:pPr>
              <w:spacing w:line="252" w:lineRule="auto"/>
              <w:jc w:val="left"/>
            </w:pPr>
            <w:r w:rsidRPr="00A5088B">
              <w:t>0.99 (0.45)</w:t>
            </w:r>
          </w:p>
        </w:tc>
        <w:tc>
          <w:tcPr>
            <w:tcW w:w="2285" w:type="pct"/>
          </w:tcPr>
          <w:p w14:paraId="6919BF0C" w14:textId="77777777" w:rsidR="00A5088B" w:rsidRPr="00A5088B" w:rsidRDefault="00A5088B" w:rsidP="00786A3D">
            <w:pPr>
              <w:spacing w:line="252" w:lineRule="auto"/>
              <w:jc w:val="left"/>
            </w:pPr>
            <w:r w:rsidRPr="00A5088B">
              <w:t>0.95 (0.34)</w:t>
            </w:r>
          </w:p>
        </w:tc>
      </w:tr>
      <w:tr w:rsidR="00A5088B" w:rsidRPr="00A5088B" w14:paraId="296474BA" w14:textId="77777777" w:rsidTr="00B73861">
        <w:trPr>
          <w:trHeight w:val="165"/>
        </w:trPr>
        <w:tc>
          <w:tcPr>
            <w:tcW w:w="970" w:type="pct"/>
          </w:tcPr>
          <w:p w14:paraId="29D95AED" w14:textId="77777777" w:rsidR="00A5088B" w:rsidRPr="00A5088B" w:rsidRDefault="00A5088B" w:rsidP="00786A3D">
            <w:pPr>
              <w:spacing w:line="252" w:lineRule="auto"/>
              <w:jc w:val="left"/>
            </w:pPr>
            <w:r w:rsidRPr="00A5088B">
              <w:t>GI</w:t>
            </w:r>
          </w:p>
        </w:tc>
        <w:tc>
          <w:tcPr>
            <w:tcW w:w="1745" w:type="pct"/>
          </w:tcPr>
          <w:p w14:paraId="12820094" w14:textId="77777777" w:rsidR="00A5088B" w:rsidRPr="00A5088B" w:rsidRDefault="00A5088B" w:rsidP="00786A3D">
            <w:pPr>
              <w:spacing w:line="252" w:lineRule="auto"/>
              <w:jc w:val="left"/>
            </w:pPr>
            <w:r w:rsidRPr="00A5088B">
              <w:t>1.18 (0.37)</w:t>
            </w:r>
          </w:p>
        </w:tc>
        <w:tc>
          <w:tcPr>
            <w:tcW w:w="2285" w:type="pct"/>
          </w:tcPr>
          <w:p w14:paraId="205CF660" w14:textId="77777777" w:rsidR="00A5088B" w:rsidRPr="00A5088B" w:rsidRDefault="00A5088B" w:rsidP="00786A3D">
            <w:pPr>
              <w:spacing w:line="252" w:lineRule="auto"/>
              <w:jc w:val="left"/>
            </w:pPr>
            <w:r w:rsidRPr="00A5088B">
              <w:t>1.17 (0.39)</w:t>
            </w:r>
          </w:p>
        </w:tc>
      </w:tr>
      <w:tr w:rsidR="00A5088B" w:rsidRPr="00A5088B" w14:paraId="1F8BB706" w14:textId="77777777" w:rsidTr="00B73861">
        <w:trPr>
          <w:trHeight w:val="165"/>
        </w:trPr>
        <w:tc>
          <w:tcPr>
            <w:tcW w:w="970" w:type="pct"/>
          </w:tcPr>
          <w:p w14:paraId="0DDED1B9" w14:textId="77777777" w:rsidR="00A5088B" w:rsidRPr="00A5088B" w:rsidRDefault="00A5088B" w:rsidP="00786A3D">
            <w:pPr>
              <w:spacing w:line="252" w:lineRule="auto"/>
              <w:jc w:val="left"/>
            </w:pPr>
            <w:r w:rsidRPr="00A5088B">
              <w:t>BI</w:t>
            </w:r>
          </w:p>
        </w:tc>
        <w:tc>
          <w:tcPr>
            <w:tcW w:w="1745" w:type="pct"/>
          </w:tcPr>
          <w:p w14:paraId="38206AFE" w14:textId="77777777" w:rsidR="00A5088B" w:rsidRPr="00A5088B" w:rsidRDefault="00A5088B" w:rsidP="00786A3D">
            <w:pPr>
              <w:spacing w:line="252" w:lineRule="auto"/>
              <w:jc w:val="left"/>
            </w:pPr>
            <w:r w:rsidRPr="00A5088B">
              <w:t>0.84 (0.61)</w:t>
            </w:r>
          </w:p>
        </w:tc>
        <w:tc>
          <w:tcPr>
            <w:tcW w:w="2285" w:type="pct"/>
          </w:tcPr>
          <w:p w14:paraId="4EB5625F" w14:textId="77777777" w:rsidR="00A5088B" w:rsidRPr="00A5088B" w:rsidRDefault="00A5088B" w:rsidP="00786A3D">
            <w:pPr>
              <w:spacing w:line="252" w:lineRule="auto"/>
              <w:jc w:val="left"/>
            </w:pPr>
            <w:r w:rsidRPr="00A5088B">
              <w:t>0.80 (0.60)</w:t>
            </w:r>
          </w:p>
        </w:tc>
      </w:tr>
      <w:tr w:rsidR="00A5088B" w:rsidRPr="00A5088B" w14:paraId="0B7E5E05" w14:textId="77777777" w:rsidTr="00B73861">
        <w:trPr>
          <w:trHeight w:val="163"/>
        </w:trPr>
        <w:tc>
          <w:tcPr>
            <w:tcW w:w="970" w:type="pct"/>
          </w:tcPr>
          <w:p w14:paraId="4DF912DB" w14:textId="77777777" w:rsidR="00A5088B" w:rsidRPr="00A5088B" w:rsidRDefault="00A5088B" w:rsidP="00786A3D">
            <w:pPr>
              <w:spacing w:line="252" w:lineRule="auto"/>
              <w:jc w:val="left"/>
            </w:pPr>
            <w:r w:rsidRPr="00A5088B">
              <w:t>PD</w:t>
            </w:r>
          </w:p>
        </w:tc>
        <w:tc>
          <w:tcPr>
            <w:tcW w:w="1745" w:type="pct"/>
          </w:tcPr>
          <w:p w14:paraId="675545CE" w14:textId="77777777" w:rsidR="00A5088B" w:rsidRPr="00A5088B" w:rsidRDefault="00A5088B" w:rsidP="00786A3D">
            <w:pPr>
              <w:spacing w:line="252" w:lineRule="auto"/>
              <w:jc w:val="left"/>
            </w:pPr>
            <w:r w:rsidRPr="00A5088B">
              <w:t>3.64 (0.82)</w:t>
            </w:r>
          </w:p>
        </w:tc>
        <w:tc>
          <w:tcPr>
            <w:tcW w:w="2285" w:type="pct"/>
          </w:tcPr>
          <w:p w14:paraId="4D63DF67" w14:textId="77777777" w:rsidR="00A5088B" w:rsidRPr="00A5088B" w:rsidRDefault="00A5088B" w:rsidP="00786A3D">
            <w:pPr>
              <w:spacing w:line="252" w:lineRule="auto"/>
              <w:jc w:val="left"/>
            </w:pPr>
            <w:r w:rsidRPr="00A5088B">
              <w:t>3.66 (0.57)</w:t>
            </w:r>
          </w:p>
        </w:tc>
      </w:tr>
      <w:tr w:rsidR="00A5088B" w:rsidRPr="00A5088B" w14:paraId="4F468108" w14:textId="77777777" w:rsidTr="00B73861">
        <w:trPr>
          <w:trHeight w:val="233"/>
        </w:trPr>
        <w:tc>
          <w:tcPr>
            <w:tcW w:w="970" w:type="pct"/>
          </w:tcPr>
          <w:p w14:paraId="09E99300" w14:textId="77777777" w:rsidR="00A5088B" w:rsidRPr="00A5088B" w:rsidRDefault="00A5088B" w:rsidP="00786A3D">
            <w:pPr>
              <w:spacing w:line="252" w:lineRule="auto"/>
              <w:jc w:val="left"/>
            </w:pPr>
            <w:r w:rsidRPr="00A5088B">
              <w:t>AL</w:t>
            </w:r>
          </w:p>
        </w:tc>
        <w:tc>
          <w:tcPr>
            <w:tcW w:w="1745" w:type="pct"/>
          </w:tcPr>
          <w:p w14:paraId="60B92EC8" w14:textId="77777777" w:rsidR="00A5088B" w:rsidRPr="00A5088B" w:rsidRDefault="00A5088B" w:rsidP="00786A3D">
            <w:pPr>
              <w:spacing w:line="252" w:lineRule="auto"/>
              <w:jc w:val="left"/>
            </w:pPr>
            <w:r w:rsidRPr="00A5088B">
              <w:t>3.84 (0.95)</w:t>
            </w:r>
          </w:p>
        </w:tc>
        <w:tc>
          <w:tcPr>
            <w:tcW w:w="2285" w:type="pct"/>
          </w:tcPr>
          <w:p w14:paraId="3B4488F2" w14:textId="77777777" w:rsidR="00A5088B" w:rsidRPr="00A5088B" w:rsidRDefault="00A5088B" w:rsidP="00786A3D">
            <w:pPr>
              <w:spacing w:line="252" w:lineRule="auto"/>
              <w:jc w:val="left"/>
            </w:pPr>
            <w:r w:rsidRPr="00A5088B">
              <w:t>3.94 (0.74)</w:t>
            </w:r>
          </w:p>
        </w:tc>
      </w:tr>
    </w:tbl>
    <w:p w14:paraId="5ED0F6EE" w14:textId="77777777" w:rsidR="00A5088B" w:rsidRPr="00A5088B" w:rsidRDefault="00A5088B" w:rsidP="00BF172D">
      <w:pPr>
        <w:jc w:val="left"/>
        <w:rPr>
          <w:sz w:val="22"/>
        </w:rPr>
      </w:pPr>
      <w:r w:rsidRPr="00A5088B">
        <w:rPr>
          <w:sz w:val="22"/>
        </w:rPr>
        <w:t>Numbers represent mean values (standard deviation).</w:t>
      </w:r>
    </w:p>
    <w:p w14:paraId="119DFF4D" w14:textId="77777777" w:rsidR="00A5088B" w:rsidRPr="00A5088B" w:rsidRDefault="00A5088B" w:rsidP="00BF172D">
      <w:pPr>
        <w:jc w:val="left"/>
      </w:pPr>
      <w:r w:rsidRPr="00A5088B">
        <w:t xml:space="preserve">Table 2. Clinical parameters measured 7 days post-surgically (n=25). </w:t>
      </w:r>
    </w:p>
    <w:tbl>
      <w:tblPr>
        <w:tblStyle w:val="TableGridLight"/>
        <w:tblW w:w="5000" w:type="pct"/>
        <w:tblLook w:val="0020" w:firstRow="1" w:lastRow="0" w:firstColumn="0" w:lastColumn="0" w:noHBand="0" w:noVBand="0"/>
        <w:tblCaption w:val="Table 2. Clinical parameters measured 7 days post-surgically (n=25). Parameter Crest dentifrice Mentadent dentifrice"/>
        <w:tblDescription w:val="Table 2. Clinical parameters measured 7 days post-surgically (n=25). Parameter Crest dentifrice Mentadent dentifrice"/>
      </w:tblPr>
      <w:tblGrid>
        <w:gridCol w:w="1887"/>
        <w:gridCol w:w="2960"/>
        <w:gridCol w:w="3633"/>
      </w:tblGrid>
      <w:tr w:rsidR="00B1546B" w:rsidRPr="00F01B36" w14:paraId="358C9E5D" w14:textId="77777777" w:rsidTr="00B73861">
        <w:trPr>
          <w:trHeight w:val="164"/>
        </w:trPr>
        <w:tc>
          <w:tcPr>
            <w:tcW w:w="1113" w:type="pct"/>
          </w:tcPr>
          <w:p w14:paraId="7557E398" w14:textId="77777777" w:rsidR="00B1546B" w:rsidRPr="00F01B36" w:rsidRDefault="00B1546B" w:rsidP="00786A3D">
            <w:pPr>
              <w:jc w:val="left"/>
              <w:rPr>
                <w:b/>
              </w:rPr>
            </w:pPr>
            <w:r w:rsidRPr="00A5088B">
              <w:rPr>
                <w:b/>
              </w:rPr>
              <w:t>Parameter</w:t>
            </w:r>
          </w:p>
        </w:tc>
        <w:tc>
          <w:tcPr>
            <w:tcW w:w="1745" w:type="pct"/>
          </w:tcPr>
          <w:p w14:paraId="47C32804" w14:textId="77777777" w:rsidR="00B1546B" w:rsidRPr="00F01B36" w:rsidRDefault="00B1546B" w:rsidP="00786A3D">
            <w:pPr>
              <w:jc w:val="left"/>
              <w:rPr>
                <w:b/>
              </w:rPr>
            </w:pPr>
            <w:r w:rsidRPr="00A5088B">
              <w:rPr>
                <w:b/>
              </w:rPr>
              <w:t>Crest dentifrice</w:t>
            </w:r>
          </w:p>
        </w:tc>
        <w:tc>
          <w:tcPr>
            <w:tcW w:w="2142" w:type="pct"/>
          </w:tcPr>
          <w:p w14:paraId="24E30D94" w14:textId="77777777" w:rsidR="00B1546B" w:rsidRPr="00F01B36" w:rsidRDefault="00B1546B" w:rsidP="00786A3D">
            <w:pPr>
              <w:jc w:val="left"/>
              <w:rPr>
                <w:b/>
              </w:rPr>
            </w:pPr>
            <w:r w:rsidRPr="00A5088B">
              <w:rPr>
                <w:b/>
              </w:rPr>
              <w:t>Mentadent dentifrice</w:t>
            </w:r>
          </w:p>
        </w:tc>
      </w:tr>
      <w:tr w:rsidR="00B73861" w:rsidRPr="00A5088B" w14:paraId="0D7B729D" w14:textId="77777777" w:rsidTr="00B73861">
        <w:trPr>
          <w:trHeight w:val="164"/>
        </w:trPr>
        <w:tc>
          <w:tcPr>
            <w:tcW w:w="1113" w:type="pct"/>
          </w:tcPr>
          <w:p w14:paraId="6EA42714" w14:textId="77777777" w:rsidR="00A5088B" w:rsidRPr="00A5088B" w:rsidRDefault="00A5088B" w:rsidP="00786A3D">
            <w:pPr>
              <w:spacing w:line="252" w:lineRule="auto"/>
              <w:jc w:val="left"/>
            </w:pPr>
            <w:r w:rsidRPr="00A5088B">
              <w:t>PI</w:t>
            </w:r>
          </w:p>
        </w:tc>
        <w:tc>
          <w:tcPr>
            <w:tcW w:w="1745" w:type="pct"/>
          </w:tcPr>
          <w:p w14:paraId="2A7C2D8B" w14:textId="77777777" w:rsidR="00A5088B" w:rsidRPr="00A5088B" w:rsidRDefault="00A5088B" w:rsidP="00786A3D">
            <w:pPr>
              <w:spacing w:line="252" w:lineRule="auto"/>
              <w:jc w:val="left"/>
            </w:pPr>
            <w:r w:rsidRPr="00A5088B">
              <w:t>0.71 (0.49)</w:t>
            </w:r>
          </w:p>
        </w:tc>
        <w:tc>
          <w:tcPr>
            <w:tcW w:w="2142" w:type="pct"/>
          </w:tcPr>
          <w:p w14:paraId="78EBE9F6" w14:textId="77777777" w:rsidR="00A5088B" w:rsidRPr="00A5088B" w:rsidRDefault="00A5088B" w:rsidP="00786A3D">
            <w:pPr>
              <w:spacing w:line="252" w:lineRule="auto"/>
              <w:jc w:val="left"/>
            </w:pPr>
            <w:r w:rsidRPr="00A5088B">
              <w:t>0.67 (0.47)</w:t>
            </w:r>
          </w:p>
        </w:tc>
      </w:tr>
      <w:tr w:rsidR="00B73861" w:rsidRPr="00A5088B" w14:paraId="21B814B4" w14:textId="77777777" w:rsidTr="00B73861">
        <w:trPr>
          <w:trHeight w:val="165"/>
        </w:trPr>
        <w:tc>
          <w:tcPr>
            <w:tcW w:w="1113" w:type="pct"/>
          </w:tcPr>
          <w:p w14:paraId="53E8A868" w14:textId="77777777" w:rsidR="00A5088B" w:rsidRPr="00A5088B" w:rsidRDefault="00A5088B" w:rsidP="00786A3D">
            <w:pPr>
              <w:spacing w:line="252" w:lineRule="auto"/>
              <w:jc w:val="left"/>
            </w:pPr>
            <w:r w:rsidRPr="00A5088B">
              <w:t>Color</w:t>
            </w:r>
          </w:p>
        </w:tc>
        <w:tc>
          <w:tcPr>
            <w:tcW w:w="1745" w:type="pct"/>
          </w:tcPr>
          <w:p w14:paraId="1F91808A" w14:textId="77777777" w:rsidR="00A5088B" w:rsidRPr="00A5088B" w:rsidRDefault="00A5088B" w:rsidP="00786A3D">
            <w:pPr>
              <w:spacing w:line="252" w:lineRule="auto"/>
              <w:jc w:val="left"/>
            </w:pPr>
            <w:r w:rsidRPr="00A5088B">
              <w:t>0.76 (0.52)</w:t>
            </w:r>
          </w:p>
        </w:tc>
        <w:tc>
          <w:tcPr>
            <w:tcW w:w="2142" w:type="pct"/>
          </w:tcPr>
          <w:p w14:paraId="2BFCF10C" w14:textId="77777777" w:rsidR="00A5088B" w:rsidRPr="00A5088B" w:rsidRDefault="00A5088B" w:rsidP="00786A3D">
            <w:pPr>
              <w:spacing w:line="252" w:lineRule="auto"/>
              <w:jc w:val="left"/>
            </w:pPr>
            <w:r w:rsidRPr="00A5088B">
              <w:t>0.36 (</w:t>
            </w:r>
            <w:proofErr w:type="gramStart"/>
            <w:r w:rsidRPr="00A5088B">
              <w:t>0.57)*</w:t>
            </w:r>
            <w:proofErr w:type="gramEnd"/>
          </w:p>
        </w:tc>
      </w:tr>
      <w:tr w:rsidR="00B73861" w:rsidRPr="00A5088B" w14:paraId="02793928" w14:textId="77777777" w:rsidTr="00B73861">
        <w:trPr>
          <w:trHeight w:val="165"/>
        </w:trPr>
        <w:tc>
          <w:tcPr>
            <w:tcW w:w="1113" w:type="pct"/>
          </w:tcPr>
          <w:p w14:paraId="2DFF11D6" w14:textId="77777777" w:rsidR="00A5088B" w:rsidRPr="00A5088B" w:rsidRDefault="00A5088B" w:rsidP="00786A3D">
            <w:pPr>
              <w:spacing w:line="252" w:lineRule="auto"/>
              <w:jc w:val="left"/>
            </w:pPr>
            <w:r w:rsidRPr="00A5088B">
              <w:t>Edema</w:t>
            </w:r>
          </w:p>
        </w:tc>
        <w:tc>
          <w:tcPr>
            <w:tcW w:w="1745" w:type="pct"/>
          </w:tcPr>
          <w:p w14:paraId="2D5C0D6B" w14:textId="77777777" w:rsidR="00A5088B" w:rsidRPr="00A5088B" w:rsidRDefault="00A5088B" w:rsidP="00786A3D">
            <w:pPr>
              <w:spacing w:line="252" w:lineRule="auto"/>
              <w:jc w:val="left"/>
            </w:pPr>
            <w:r w:rsidRPr="00A5088B">
              <w:t>1.16 (0.69)</w:t>
            </w:r>
          </w:p>
        </w:tc>
        <w:tc>
          <w:tcPr>
            <w:tcW w:w="2142" w:type="pct"/>
          </w:tcPr>
          <w:p w14:paraId="3F7B9112" w14:textId="77777777" w:rsidR="00A5088B" w:rsidRPr="00A5088B" w:rsidRDefault="00A5088B" w:rsidP="00786A3D">
            <w:pPr>
              <w:spacing w:line="252" w:lineRule="auto"/>
              <w:jc w:val="left"/>
            </w:pPr>
            <w:r w:rsidRPr="00A5088B">
              <w:t>0.96 (</w:t>
            </w:r>
            <w:proofErr w:type="gramStart"/>
            <w:r w:rsidRPr="00A5088B">
              <w:t>0.54)*</w:t>
            </w:r>
            <w:proofErr w:type="gramEnd"/>
            <w:r w:rsidRPr="00A5088B">
              <w:t>*</w:t>
            </w:r>
          </w:p>
        </w:tc>
      </w:tr>
      <w:tr w:rsidR="00B73861" w:rsidRPr="00A5088B" w14:paraId="4F94FFF3" w14:textId="77777777" w:rsidTr="00B73861">
        <w:trPr>
          <w:trHeight w:val="236"/>
        </w:trPr>
        <w:tc>
          <w:tcPr>
            <w:tcW w:w="1113" w:type="pct"/>
          </w:tcPr>
          <w:p w14:paraId="7F92704B" w14:textId="77777777" w:rsidR="00A5088B" w:rsidRPr="00A5088B" w:rsidRDefault="00A5088B" w:rsidP="00786A3D">
            <w:pPr>
              <w:spacing w:line="252" w:lineRule="auto"/>
              <w:jc w:val="left"/>
            </w:pPr>
            <w:r w:rsidRPr="00A5088B">
              <w:lastRenderedPageBreak/>
              <w:t>Pain</w:t>
            </w:r>
          </w:p>
        </w:tc>
        <w:tc>
          <w:tcPr>
            <w:tcW w:w="1745" w:type="pct"/>
          </w:tcPr>
          <w:p w14:paraId="2FEAF95E" w14:textId="77777777" w:rsidR="00A5088B" w:rsidRPr="00A5088B" w:rsidRDefault="00A5088B" w:rsidP="00786A3D">
            <w:pPr>
              <w:spacing w:line="252" w:lineRule="auto"/>
              <w:jc w:val="left"/>
            </w:pPr>
            <w:r w:rsidRPr="00A5088B">
              <w:t>1.19 (1.15)</w:t>
            </w:r>
          </w:p>
        </w:tc>
        <w:tc>
          <w:tcPr>
            <w:tcW w:w="2142" w:type="pct"/>
          </w:tcPr>
          <w:p w14:paraId="646D48F6" w14:textId="77777777" w:rsidR="00A5088B" w:rsidRPr="00A5088B" w:rsidRDefault="00A5088B" w:rsidP="00786A3D">
            <w:pPr>
              <w:spacing w:line="252" w:lineRule="auto"/>
              <w:jc w:val="left"/>
            </w:pPr>
            <w:r w:rsidRPr="00A5088B">
              <w:t>1.12 (0.88)</w:t>
            </w:r>
          </w:p>
        </w:tc>
      </w:tr>
    </w:tbl>
    <w:p w14:paraId="222BED6A" w14:textId="77777777" w:rsidR="00A5088B" w:rsidRPr="00A5088B" w:rsidRDefault="00A5088B" w:rsidP="00B47B72">
      <w:pPr>
        <w:spacing w:after="0"/>
        <w:jc w:val="left"/>
        <w:rPr>
          <w:sz w:val="22"/>
        </w:rPr>
      </w:pPr>
      <w:r w:rsidRPr="00A5088B">
        <w:rPr>
          <w:sz w:val="22"/>
        </w:rPr>
        <w:t>Numbers represent mean values (standard deviation).</w:t>
      </w:r>
    </w:p>
    <w:p w14:paraId="0A3FB0B6" w14:textId="77777777" w:rsidR="00A5088B" w:rsidRPr="00A5088B" w:rsidRDefault="00A5088B" w:rsidP="00B47B72">
      <w:pPr>
        <w:spacing w:after="0"/>
        <w:jc w:val="left"/>
        <w:rPr>
          <w:sz w:val="22"/>
        </w:rPr>
      </w:pPr>
      <w:r w:rsidRPr="00A5088B">
        <w:rPr>
          <w:sz w:val="22"/>
        </w:rPr>
        <w:t>* Significant at the P=0.05 level, paired t-test.</w:t>
      </w:r>
    </w:p>
    <w:p w14:paraId="486AE83E" w14:textId="77777777" w:rsidR="00A5088B" w:rsidRPr="00A5088B" w:rsidRDefault="00A5088B" w:rsidP="00B47B72">
      <w:pPr>
        <w:spacing w:after="0"/>
        <w:jc w:val="left"/>
        <w:rPr>
          <w:sz w:val="22"/>
        </w:rPr>
      </w:pPr>
      <w:r w:rsidRPr="00A5088B">
        <w:rPr>
          <w:sz w:val="22"/>
        </w:rPr>
        <w:t xml:space="preserve">** Significant at the P= 0.10 </w:t>
      </w:r>
      <w:proofErr w:type="gramStart"/>
      <w:r w:rsidRPr="00A5088B">
        <w:rPr>
          <w:sz w:val="22"/>
        </w:rPr>
        <w:t>level ,</w:t>
      </w:r>
      <w:proofErr w:type="gramEnd"/>
      <w:r w:rsidRPr="00A5088B">
        <w:rPr>
          <w:sz w:val="22"/>
        </w:rPr>
        <w:t xml:space="preserve"> paired t-test.</w:t>
      </w:r>
    </w:p>
    <w:p w14:paraId="485C8038" w14:textId="77777777" w:rsidR="00B47B72" w:rsidRDefault="00B47B72" w:rsidP="00F82131">
      <w:pPr>
        <w:spacing w:after="0"/>
        <w:jc w:val="left"/>
      </w:pPr>
    </w:p>
    <w:p w14:paraId="1FAFBB30" w14:textId="77777777" w:rsidR="00216589" w:rsidRDefault="00A5088B" w:rsidP="00216589">
      <w:pPr>
        <w:jc w:val="left"/>
      </w:pPr>
      <w:r w:rsidRPr="00A5088B">
        <w:t>Table 3. Clinical parameters measured 14 days post-surgically (n=25). Parameter Crest dentifrice Mentadent dentifrice</w:t>
      </w:r>
    </w:p>
    <w:tbl>
      <w:tblPr>
        <w:tblStyle w:val="TableGridLight"/>
        <w:tblW w:w="5000" w:type="pct"/>
        <w:tblLook w:val="0020" w:firstRow="1" w:lastRow="0" w:firstColumn="0" w:lastColumn="0" w:noHBand="0" w:noVBand="0"/>
        <w:tblCaption w:val="Table 3. Clinical parameters measured 14 days post-surgically (n=25). Parameter Crest dentifrice Mentadent dentifrice"/>
        <w:tblDescription w:val="Table 3. Clinical parameters measured 14 days post-surgically (n=25). Parameter Crest dentifrice Mentadent dentifrice"/>
      </w:tblPr>
      <w:tblGrid>
        <w:gridCol w:w="1725"/>
        <w:gridCol w:w="3458"/>
        <w:gridCol w:w="3075"/>
        <w:gridCol w:w="222"/>
      </w:tblGrid>
      <w:tr w:rsidR="00FF290A" w:rsidRPr="00F01B36" w14:paraId="25B11643" w14:textId="77777777" w:rsidTr="00B73861">
        <w:trPr>
          <w:trHeight w:val="255"/>
        </w:trPr>
        <w:tc>
          <w:tcPr>
            <w:tcW w:w="1032" w:type="pct"/>
          </w:tcPr>
          <w:p w14:paraId="33ACE7EC" w14:textId="77777777" w:rsidR="00FF290A" w:rsidRPr="00F01B36" w:rsidRDefault="00FF290A" w:rsidP="00753AA3">
            <w:pPr>
              <w:jc w:val="left"/>
              <w:rPr>
                <w:b/>
              </w:rPr>
            </w:pPr>
            <w:r w:rsidRPr="00F01B36">
              <w:rPr>
                <w:b/>
              </w:rPr>
              <w:t>Parameter</w:t>
            </w:r>
          </w:p>
        </w:tc>
        <w:tc>
          <w:tcPr>
            <w:tcW w:w="2053" w:type="pct"/>
          </w:tcPr>
          <w:p w14:paraId="0B4A0727" w14:textId="77777777" w:rsidR="00FF290A" w:rsidRPr="00F01B36" w:rsidRDefault="00FF290A" w:rsidP="00753AA3">
            <w:pPr>
              <w:jc w:val="left"/>
              <w:rPr>
                <w:b/>
              </w:rPr>
            </w:pPr>
            <w:r w:rsidRPr="00F01B36">
              <w:rPr>
                <w:b/>
              </w:rPr>
              <w:t>Crest dentifrice</w:t>
            </w:r>
          </w:p>
        </w:tc>
        <w:tc>
          <w:tcPr>
            <w:tcW w:w="1827" w:type="pct"/>
          </w:tcPr>
          <w:p w14:paraId="32012269" w14:textId="77777777" w:rsidR="00FF290A" w:rsidRPr="00F01B36" w:rsidRDefault="00FF290A" w:rsidP="00753AA3">
            <w:pPr>
              <w:jc w:val="left"/>
              <w:rPr>
                <w:b/>
              </w:rPr>
            </w:pPr>
            <w:r w:rsidRPr="00F01B36">
              <w:rPr>
                <w:b/>
              </w:rPr>
              <w:t>Mentadent dentifrice</w:t>
            </w:r>
          </w:p>
        </w:tc>
        <w:tc>
          <w:tcPr>
            <w:tcW w:w="88" w:type="pct"/>
          </w:tcPr>
          <w:p w14:paraId="7091D54E" w14:textId="77777777" w:rsidR="00FF290A" w:rsidRPr="00F01B36" w:rsidRDefault="00FF290A" w:rsidP="00753AA3">
            <w:pPr>
              <w:jc w:val="left"/>
              <w:rPr>
                <w:b/>
              </w:rPr>
            </w:pPr>
          </w:p>
        </w:tc>
      </w:tr>
      <w:tr w:rsidR="00216589" w:rsidRPr="00216589" w14:paraId="1F62AF9C" w14:textId="77777777" w:rsidTr="00B73861">
        <w:trPr>
          <w:trHeight w:val="255"/>
        </w:trPr>
        <w:tc>
          <w:tcPr>
            <w:tcW w:w="1032" w:type="pct"/>
          </w:tcPr>
          <w:p w14:paraId="15AFC4CF" w14:textId="77777777" w:rsidR="00216589" w:rsidRPr="00216589" w:rsidRDefault="00216589" w:rsidP="00753AA3">
            <w:pPr>
              <w:spacing w:line="252" w:lineRule="auto"/>
              <w:jc w:val="left"/>
            </w:pPr>
            <w:r w:rsidRPr="00216589">
              <w:t>PI</w:t>
            </w:r>
          </w:p>
        </w:tc>
        <w:tc>
          <w:tcPr>
            <w:tcW w:w="2053" w:type="pct"/>
          </w:tcPr>
          <w:p w14:paraId="131E0315" w14:textId="77777777" w:rsidR="00216589" w:rsidRPr="00216589" w:rsidRDefault="00216589" w:rsidP="00753AA3">
            <w:pPr>
              <w:spacing w:line="252" w:lineRule="auto"/>
              <w:jc w:val="left"/>
            </w:pPr>
            <w:r w:rsidRPr="00216589">
              <w:t>0.52 (0.39)</w:t>
            </w:r>
          </w:p>
        </w:tc>
        <w:tc>
          <w:tcPr>
            <w:tcW w:w="1827" w:type="pct"/>
          </w:tcPr>
          <w:p w14:paraId="0168F3DB" w14:textId="77777777" w:rsidR="00216589" w:rsidRPr="00216589" w:rsidRDefault="00216589" w:rsidP="00753AA3">
            <w:pPr>
              <w:spacing w:line="252" w:lineRule="auto"/>
              <w:jc w:val="left"/>
            </w:pPr>
            <w:r w:rsidRPr="00216589">
              <w:t>0.50 (0.42)</w:t>
            </w:r>
          </w:p>
        </w:tc>
        <w:tc>
          <w:tcPr>
            <w:tcW w:w="88" w:type="pct"/>
          </w:tcPr>
          <w:p w14:paraId="325FC704" w14:textId="77777777" w:rsidR="00216589" w:rsidRPr="00216589" w:rsidRDefault="00216589" w:rsidP="00753AA3">
            <w:pPr>
              <w:spacing w:line="252" w:lineRule="auto"/>
              <w:jc w:val="left"/>
            </w:pPr>
          </w:p>
        </w:tc>
      </w:tr>
      <w:tr w:rsidR="00216589" w:rsidRPr="00216589" w14:paraId="5CA3ADFB" w14:textId="77777777" w:rsidTr="00B73861">
        <w:trPr>
          <w:trHeight w:val="166"/>
        </w:trPr>
        <w:tc>
          <w:tcPr>
            <w:tcW w:w="1032" w:type="pct"/>
          </w:tcPr>
          <w:p w14:paraId="27F7B9C5" w14:textId="77777777" w:rsidR="00216589" w:rsidRPr="00216589" w:rsidRDefault="00216589" w:rsidP="00753AA3">
            <w:pPr>
              <w:spacing w:line="252" w:lineRule="auto"/>
              <w:jc w:val="left"/>
            </w:pPr>
            <w:r w:rsidRPr="00216589">
              <w:t>Color</w:t>
            </w:r>
          </w:p>
        </w:tc>
        <w:tc>
          <w:tcPr>
            <w:tcW w:w="2053" w:type="pct"/>
          </w:tcPr>
          <w:p w14:paraId="659E7E56" w14:textId="77777777" w:rsidR="00216589" w:rsidRPr="00216589" w:rsidRDefault="00216589" w:rsidP="00753AA3">
            <w:pPr>
              <w:spacing w:line="252" w:lineRule="auto"/>
              <w:jc w:val="left"/>
            </w:pPr>
            <w:r w:rsidRPr="00216589">
              <w:t>0.40 (0.50)</w:t>
            </w:r>
          </w:p>
        </w:tc>
        <w:tc>
          <w:tcPr>
            <w:tcW w:w="1827" w:type="pct"/>
          </w:tcPr>
          <w:p w14:paraId="0C61A18B" w14:textId="77777777" w:rsidR="00216589" w:rsidRPr="00216589" w:rsidRDefault="00216589" w:rsidP="00753AA3">
            <w:pPr>
              <w:spacing w:line="252" w:lineRule="auto"/>
              <w:jc w:val="left"/>
            </w:pPr>
            <w:r w:rsidRPr="00216589">
              <w:t>0.29 (0.46)</w:t>
            </w:r>
          </w:p>
        </w:tc>
        <w:tc>
          <w:tcPr>
            <w:tcW w:w="88" w:type="pct"/>
          </w:tcPr>
          <w:p w14:paraId="187F09B2" w14:textId="77777777" w:rsidR="00216589" w:rsidRPr="00216589" w:rsidRDefault="00216589" w:rsidP="00753AA3">
            <w:pPr>
              <w:spacing w:line="252" w:lineRule="auto"/>
              <w:jc w:val="left"/>
            </w:pPr>
          </w:p>
        </w:tc>
      </w:tr>
      <w:tr w:rsidR="00216589" w:rsidRPr="00216589" w14:paraId="0FBD1E4C" w14:textId="77777777" w:rsidTr="00B73861">
        <w:trPr>
          <w:trHeight w:val="168"/>
        </w:trPr>
        <w:tc>
          <w:tcPr>
            <w:tcW w:w="1032" w:type="pct"/>
          </w:tcPr>
          <w:p w14:paraId="0E56587E" w14:textId="77777777" w:rsidR="00216589" w:rsidRPr="00216589" w:rsidRDefault="00216589" w:rsidP="00753AA3">
            <w:pPr>
              <w:spacing w:line="252" w:lineRule="auto"/>
              <w:jc w:val="left"/>
            </w:pPr>
            <w:r w:rsidRPr="00216589">
              <w:t>Edema</w:t>
            </w:r>
          </w:p>
        </w:tc>
        <w:tc>
          <w:tcPr>
            <w:tcW w:w="2053" w:type="pct"/>
          </w:tcPr>
          <w:p w14:paraId="218D993D" w14:textId="77777777" w:rsidR="00216589" w:rsidRPr="00216589" w:rsidRDefault="00216589" w:rsidP="00753AA3">
            <w:pPr>
              <w:spacing w:line="252" w:lineRule="auto"/>
              <w:jc w:val="left"/>
            </w:pPr>
            <w:r w:rsidRPr="00216589">
              <w:t>0.64 (0.70)</w:t>
            </w:r>
          </w:p>
        </w:tc>
        <w:tc>
          <w:tcPr>
            <w:tcW w:w="1827" w:type="pct"/>
          </w:tcPr>
          <w:p w14:paraId="503C8D3B" w14:textId="77777777" w:rsidR="00216589" w:rsidRPr="00216589" w:rsidRDefault="00216589" w:rsidP="00753AA3">
            <w:pPr>
              <w:spacing w:line="252" w:lineRule="auto"/>
              <w:jc w:val="left"/>
            </w:pPr>
            <w:r w:rsidRPr="00216589">
              <w:t>0.60 (0.53)</w:t>
            </w:r>
          </w:p>
        </w:tc>
        <w:tc>
          <w:tcPr>
            <w:tcW w:w="88" w:type="pct"/>
          </w:tcPr>
          <w:p w14:paraId="3E02E2A1" w14:textId="77777777" w:rsidR="00216589" w:rsidRPr="00216589" w:rsidRDefault="00216589" w:rsidP="00753AA3">
            <w:pPr>
              <w:spacing w:line="252" w:lineRule="auto"/>
              <w:jc w:val="left"/>
            </w:pPr>
          </w:p>
        </w:tc>
      </w:tr>
      <w:tr w:rsidR="00216589" w:rsidRPr="00216589" w14:paraId="0C8E3955" w14:textId="77777777" w:rsidTr="00B73861">
        <w:trPr>
          <w:trHeight w:val="237"/>
        </w:trPr>
        <w:tc>
          <w:tcPr>
            <w:tcW w:w="1032" w:type="pct"/>
          </w:tcPr>
          <w:p w14:paraId="653FFAFC" w14:textId="77777777" w:rsidR="00216589" w:rsidRPr="00216589" w:rsidRDefault="00216589" w:rsidP="00753AA3">
            <w:pPr>
              <w:spacing w:line="252" w:lineRule="auto"/>
              <w:jc w:val="left"/>
            </w:pPr>
            <w:r w:rsidRPr="00216589">
              <w:t>Pain</w:t>
            </w:r>
          </w:p>
        </w:tc>
        <w:tc>
          <w:tcPr>
            <w:tcW w:w="2053" w:type="pct"/>
          </w:tcPr>
          <w:p w14:paraId="628C8A49" w14:textId="77777777" w:rsidR="00216589" w:rsidRPr="00216589" w:rsidRDefault="00216589" w:rsidP="00753AA3">
            <w:pPr>
              <w:spacing w:line="252" w:lineRule="auto"/>
              <w:jc w:val="left"/>
            </w:pPr>
            <w:r w:rsidRPr="00216589">
              <w:t>0.10 (0.32)</w:t>
            </w:r>
          </w:p>
        </w:tc>
        <w:tc>
          <w:tcPr>
            <w:tcW w:w="1827" w:type="pct"/>
          </w:tcPr>
          <w:p w14:paraId="44A1EC35" w14:textId="77777777" w:rsidR="00216589" w:rsidRPr="00216589" w:rsidRDefault="00216589" w:rsidP="00753AA3">
            <w:pPr>
              <w:spacing w:line="252" w:lineRule="auto"/>
              <w:jc w:val="left"/>
            </w:pPr>
            <w:r w:rsidRPr="00216589">
              <w:t>0.08 (0.29)</w:t>
            </w:r>
          </w:p>
        </w:tc>
        <w:tc>
          <w:tcPr>
            <w:tcW w:w="88" w:type="pct"/>
          </w:tcPr>
          <w:p w14:paraId="12EF975B" w14:textId="77777777" w:rsidR="00216589" w:rsidRPr="00216589" w:rsidRDefault="00216589" w:rsidP="00753AA3">
            <w:pPr>
              <w:spacing w:line="252" w:lineRule="auto"/>
              <w:jc w:val="left"/>
            </w:pPr>
          </w:p>
        </w:tc>
      </w:tr>
    </w:tbl>
    <w:p w14:paraId="473A18FE" w14:textId="77777777" w:rsidR="00A5088B" w:rsidRPr="00A5088B" w:rsidRDefault="00A5088B" w:rsidP="00BF172D">
      <w:pPr>
        <w:jc w:val="left"/>
        <w:rPr>
          <w:sz w:val="22"/>
        </w:rPr>
      </w:pPr>
      <w:r w:rsidRPr="00A5088B">
        <w:rPr>
          <w:sz w:val="22"/>
        </w:rPr>
        <w:t>Numbers represent mean values (standard deviation).</w:t>
      </w:r>
    </w:p>
    <w:p w14:paraId="1ADD9B12" w14:textId="77777777" w:rsidR="00DC468B" w:rsidRDefault="00A5088B" w:rsidP="00BF172D">
      <w:pPr>
        <w:jc w:val="left"/>
      </w:pPr>
      <w:r w:rsidRPr="00A5088B">
        <w:t xml:space="preserve">Table 4. Clinical parameters measured 28 days post-surgically (n=25). </w:t>
      </w:r>
    </w:p>
    <w:tbl>
      <w:tblPr>
        <w:tblStyle w:val="TableGridLight"/>
        <w:tblW w:w="5000" w:type="pct"/>
        <w:tblLook w:val="0020" w:firstRow="1" w:lastRow="0" w:firstColumn="0" w:lastColumn="0" w:noHBand="0" w:noVBand="0"/>
        <w:tblCaption w:val="Table 4. Clinical parameters measured 28 days post-surgically (n=25). "/>
        <w:tblDescription w:val="Table 4. Clinical parameters measured 28 days post-surgically (n=25). "/>
      </w:tblPr>
      <w:tblGrid>
        <w:gridCol w:w="1769"/>
        <w:gridCol w:w="2948"/>
        <w:gridCol w:w="3763"/>
      </w:tblGrid>
      <w:tr w:rsidR="00707FE9" w:rsidRPr="00F01B36" w14:paraId="56903EB0" w14:textId="77777777" w:rsidTr="00B73861">
        <w:trPr>
          <w:trHeight w:val="159"/>
        </w:trPr>
        <w:tc>
          <w:tcPr>
            <w:tcW w:w="1043" w:type="pct"/>
          </w:tcPr>
          <w:p w14:paraId="4292D05D" w14:textId="77777777" w:rsidR="00707FE9" w:rsidRPr="00F01B36" w:rsidRDefault="00707FE9" w:rsidP="00F82131">
            <w:pPr>
              <w:jc w:val="left"/>
              <w:rPr>
                <w:b/>
              </w:rPr>
            </w:pPr>
            <w:bookmarkStart w:id="0" w:name="_GoBack" w:colFirst="0" w:colLast="3"/>
            <w:r w:rsidRPr="00A5088B">
              <w:rPr>
                <w:b/>
              </w:rPr>
              <w:t>Parameter</w:t>
            </w:r>
          </w:p>
        </w:tc>
        <w:tc>
          <w:tcPr>
            <w:tcW w:w="1738" w:type="pct"/>
          </w:tcPr>
          <w:p w14:paraId="15505CED" w14:textId="77777777" w:rsidR="00707FE9" w:rsidRPr="00F01B36" w:rsidRDefault="00707FE9" w:rsidP="00F82131">
            <w:pPr>
              <w:jc w:val="left"/>
              <w:rPr>
                <w:b/>
              </w:rPr>
            </w:pPr>
            <w:r w:rsidRPr="00A5088B">
              <w:rPr>
                <w:b/>
              </w:rPr>
              <w:t>Crest dentifrice</w:t>
            </w:r>
          </w:p>
        </w:tc>
        <w:tc>
          <w:tcPr>
            <w:tcW w:w="2219" w:type="pct"/>
          </w:tcPr>
          <w:p w14:paraId="47099B1B" w14:textId="77777777" w:rsidR="00707FE9" w:rsidRPr="00F01B36" w:rsidRDefault="00707FE9" w:rsidP="00F82131">
            <w:pPr>
              <w:jc w:val="left"/>
              <w:rPr>
                <w:b/>
              </w:rPr>
            </w:pPr>
            <w:r w:rsidRPr="00A5088B">
              <w:rPr>
                <w:b/>
              </w:rPr>
              <w:t>Mentadent dentifrice</w:t>
            </w:r>
          </w:p>
        </w:tc>
      </w:tr>
      <w:bookmarkEnd w:id="0"/>
      <w:tr w:rsidR="00A5088B" w:rsidRPr="00A5088B" w14:paraId="4131AF8A" w14:textId="77777777" w:rsidTr="00B73861">
        <w:trPr>
          <w:trHeight w:val="159"/>
        </w:trPr>
        <w:tc>
          <w:tcPr>
            <w:tcW w:w="1043" w:type="pct"/>
          </w:tcPr>
          <w:p w14:paraId="76C1C4A5" w14:textId="77777777" w:rsidR="00A5088B" w:rsidRPr="00A5088B" w:rsidRDefault="00A5088B" w:rsidP="00F82131">
            <w:pPr>
              <w:spacing w:line="252" w:lineRule="auto"/>
              <w:jc w:val="left"/>
            </w:pPr>
            <w:r w:rsidRPr="00A5088B">
              <w:t>PI</w:t>
            </w:r>
          </w:p>
        </w:tc>
        <w:tc>
          <w:tcPr>
            <w:tcW w:w="1738" w:type="pct"/>
          </w:tcPr>
          <w:p w14:paraId="02A1DE90" w14:textId="77777777" w:rsidR="00A5088B" w:rsidRPr="00A5088B" w:rsidRDefault="00A5088B" w:rsidP="00F82131">
            <w:pPr>
              <w:spacing w:line="252" w:lineRule="auto"/>
              <w:jc w:val="left"/>
            </w:pPr>
            <w:r w:rsidRPr="00A5088B">
              <w:t>0.67 (0.46)</w:t>
            </w:r>
          </w:p>
        </w:tc>
        <w:tc>
          <w:tcPr>
            <w:tcW w:w="2219" w:type="pct"/>
          </w:tcPr>
          <w:p w14:paraId="16E3EE17" w14:textId="77777777" w:rsidR="00A5088B" w:rsidRPr="00A5088B" w:rsidRDefault="00A5088B" w:rsidP="00F82131">
            <w:pPr>
              <w:spacing w:line="252" w:lineRule="auto"/>
              <w:jc w:val="left"/>
            </w:pPr>
            <w:r w:rsidRPr="00A5088B">
              <w:t>0.62 (0.44)</w:t>
            </w:r>
          </w:p>
        </w:tc>
      </w:tr>
      <w:tr w:rsidR="00A5088B" w:rsidRPr="00A5088B" w14:paraId="7068AAE3" w14:textId="77777777" w:rsidTr="00B73861">
        <w:trPr>
          <w:trHeight w:val="168"/>
        </w:trPr>
        <w:tc>
          <w:tcPr>
            <w:tcW w:w="1043" w:type="pct"/>
          </w:tcPr>
          <w:p w14:paraId="2A28210B" w14:textId="77777777" w:rsidR="00A5088B" w:rsidRPr="00A5088B" w:rsidRDefault="00A5088B" w:rsidP="00F82131">
            <w:pPr>
              <w:spacing w:line="252" w:lineRule="auto"/>
              <w:jc w:val="left"/>
            </w:pPr>
            <w:r w:rsidRPr="00A5088B">
              <w:t>GI</w:t>
            </w:r>
          </w:p>
        </w:tc>
        <w:tc>
          <w:tcPr>
            <w:tcW w:w="1738" w:type="pct"/>
          </w:tcPr>
          <w:p w14:paraId="608869A7" w14:textId="77777777" w:rsidR="00A5088B" w:rsidRPr="00A5088B" w:rsidRDefault="00A5088B" w:rsidP="00F82131">
            <w:pPr>
              <w:spacing w:line="252" w:lineRule="auto"/>
              <w:jc w:val="left"/>
            </w:pPr>
            <w:r w:rsidRPr="00A5088B">
              <w:t>0 .99 (0.59)</w:t>
            </w:r>
          </w:p>
        </w:tc>
        <w:tc>
          <w:tcPr>
            <w:tcW w:w="2219" w:type="pct"/>
          </w:tcPr>
          <w:p w14:paraId="6C4A1085" w14:textId="77777777" w:rsidR="00A5088B" w:rsidRPr="00A5088B" w:rsidRDefault="00A5088B" w:rsidP="00F82131">
            <w:pPr>
              <w:spacing w:line="252" w:lineRule="auto"/>
              <w:jc w:val="left"/>
            </w:pPr>
            <w:r w:rsidRPr="00A5088B">
              <w:t>0.80 (0.50)</w:t>
            </w:r>
          </w:p>
        </w:tc>
      </w:tr>
      <w:tr w:rsidR="00A5088B" w:rsidRPr="00A5088B" w14:paraId="3E988B91" w14:textId="77777777" w:rsidTr="00B73861">
        <w:trPr>
          <w:trHeight w:val="162"/>
        </w:trPr>
        <w:tc>
          <w:tcPr>
            <w:tcW w:w="1043" w:type="pct"/>
          </w:tcPr>
          <w:p w14:paraId="7A70A7F1" w14:textId="77777777" w:rsidR="00A5088B" w:rsidRPr="00A5088B" w:rsidRDefault="00A5088B" w:rsidP="00F82131">
            <w:pPr>
              <w:spacing w:line="252" w:lineRule="auto"/>
              <w:jc w:val="left"/>
            </w:pPr>
            <w:r w:rsidRPr="00A5088B">
              <w:t>BI</w:t>
            </w:r>
          </w:p>
        </w:tc>
        <w:tc>
          <w:tcPr>
            <w:tcW w:w="1738" w:type="pct"/>
          </w:tcPr>
          <w:p w14:paraId="4EE7D4E4" w14:textId="77777777" w:rsidR="00A5088B" w:rsidRPr="00A5088B" w:rsidRDefault="00A5088B" w:rsidP="00F82131">
            <w:pPr>
              <w:spacing w:line="252" w:lineRule="auto"/>
              <w:jc w:val="left"/>
            </w:pPr>
            <w:r w:rsidRPr="00A5088B">
              <w:t>0.82 (0.63)</w:t>
            </w:r>
          </w:p>
        </w:tc>
        <w:tc>
          <w:tcPr>
            <w:tcW w:w="2219" w:type="pct"/>
          </w:tcPr>
          <w:p w14:paraId="2EDF10E9" w14:textId="77777777" w:rsidR="00A5088B" w:rsidRPr="00A5088B" w:rsidRDefault="00A5088B" w:rsidP="00F82131">
            <w:pPr>
              <w:spacing w:line="252" w:lineRule="auto"/>
              <w:jc w:val="left"/>
            </w:pPr>
            <w:r w:rsidRPr="00A5088B">
              <w:t>0.74 (0.63)</w:t>
            </w:r>
          </w:p>
        </w:tc>
      </w:tr>
      <w:tr w:rsidR="00A5088B" w:rsidRPr="00A5088B" w14:paraId="77650EC3" w14:textId="77777777" w:rsidTr="00B73861">
        <w:trPr>
          <w:trHeight w:val="163"/>
        </w:trPr>
        <w:tc>
          <w:tcPr>
            <w:tcW w:w="1043" w:type="pct"/>
          </w:tcPr>
          <w:p w14:paraId="7D2F1A1B" w14:textId="77777777" w:rsidR="00A5088B" w:rsidRPr="00A5088B" w:rsidRDefault="00A5088B" w:rsidP="00F82131">
            <w:pPr>
              <w:spacing w:line="252" w:lineRule="auto"/>
              <w:jc w:val="left"/>
            </w:pPr>
            <w:r w:rsidRPr="00A5088B">
              <w:t>PD change</w:t>
            </w:r>
          </w:p>
        </w:tc>
        <w:tc>
          <w:tcPr>
            <w:tcW w:w="1738" w:type="pct"/>
          </w:tcPr>
          <w:p w14:paraId="1309753F" w14:textId="77777777" w:rsidR="00A5088B" w:rsidRPr="00A5088B" w:rsidRDefault="00A5088B" w:rsidP="00F82131">
            <w:pPr>
              <w:spacing w:line="252" w:lineRule="auto"/>
              <w:jc w:val="left"/>
            </w:pPr>
            <w:r w:rsidRPr="00A5088B">
              <w:t>-1.04 (0.80)</w:t>
            </w:r>
          </w:p>
        </w:tc>
        <w:tc>
          <w:tcPr>
            <w:tcW w:w="2219" w:type="pct"/>
          </w:tcPr>
          <w:p w14:paraId="6CE3BA0A" w14:textId="77777777" w:rsidR="00A5088B" w:rsidRPr="00A5088B" w:rsidRDefault="00A5088B" w:rsidP="00F82131">
            <w:pPr>
              <w:spacing w:line="252" w:lineRule="auto"/>
              <w:jc w:val="left"/>
            </w:pPr>
            <w:r w:rsidRPr="00A5088B">
              <w:t>-1.11 (0.63)</w:t>
            </w:r>
          </w:p>
        </w:tc>
      </w:tr>
      <w:tr w:rsidR="00A5088B" w:rsidRPr="00A5088B" w14:paraId="5EE46472" w14:textId="77777777" w:rsidTr="00B73861">
        <w:trPr>
          <w:trHeight w:val="236"/>
        </w:trPr>
        <w:tc>
          <w:tcPr>
            <w:tcW w:w="1043" w:type="pct"/>
          </w:tcPr>
          <w:p w14:paraId="7AF435DD" w14:textId="77777777" w:rsidR="00A5088B" w:rsidRPr="00A5088B" w:rsidRDefault="00A5088B" w:rsidP="00F82131">
            <w:pPr>
              <w:spacing w:line="252" w:lineRule="auto"/>
              <w:jc w:val="left"/>
            </w:pPr>
            <w:r w:rsidRPr="00A5088B">
              <w:t>AL gain</w:t>
            </w:r>
          </w:p>
        </w:tc>
        <w:tc>
          <w:tcPr>
            <w:tcW w:w="1738" w:type="pct"/>
          </w:tcPr>
          <w:p w14:paraId="05C35633" w14:textId="77777777" w:rsidR="00A5088B" w:rsidRPr="00A5088B" w:rsidRDefault="00A5088B" w:rsidP="00F82131">
            <w:pPr>
              <w:spacing w:line="252" w:lineRule="auto"/>
              <w:jc w:val="left"/>
            </w:pPr>
            <w:r w:rsidRPr="00A5088B">
              <w:t>0.64 (0.81)</w:t>
            </w:r>
          </w:p>
        </w:tc>
        <w:tc>
          <w:tcPr>
            <w:tcW w:w="2219" w:type="pct"/>
          </w:tcPr>
          <w:p w14:paraId="31CEA032" w14:textId="77777777" w:rsidR="00A5088B" w:rsidRPr="00A5088B" w:rsidRDefault="00A5088B" w:rsidP="00F82131">
            <w:pPr>
              <w:spacing w:line="252" w:lineRule="auto"/>
              <w:jc w:val="left"/>
            </w:pPr>
            <w:r w:rsidRPr="00A5088B">
              <w:t>0.51 (0.81)</w:t>
            </w:r>
          </w:p>
        </w:tc>
      </w:tr>
    </w:tbl>
    <w:p w14:paraId="7AEE51C9" w14:textId="77777777" w:rsidR="00A5088B" w:rsidRPr="00A5088B" w:rsidRDefault="00A5088B" w:rsidP="00BF172D">
      <w:pPr>
        <w:jc w:val="left"/>
        <w:rPr>
          <w:sz w:val="22"/>
        </w:rPr>
      </w:pPr>
      <w:r w:rsidRPr="00A5088B">
        <w:rPr>
          <w:sz w:val="22"/>
        </w:rPr>
        <w:t>Numbers represent mean values (standard deviation).</w:t>
      </w:r>
    </w:p>
    <w:p w14:paraId="23C48D33" w14:textId="77777777" w:rsidR="00A5088B" w:rsidRPr="00A5088B" w:rsidRDefault="00A5088B" w:rsidP="00BF172D">
      <w:pPr>
        <w:jc w:val="left"/>
      </w:pPr>
      <w:r w:rsidRPr="00A5088B">
        <w:t xml:space="preserve">assessments </w:t>
      </w:r>
      <w:proofErr w:type="gramStart"/>
      <w:r w:rsidRPr="00A5088B">
        <w:t>at this time</w:t>
      </w:r>
      <w:proofErr w:type="gramEnd"/>
      <w:r w:rsidRPr="00A5088B">
        <w:t xml:space="preserve"> were nearly equivalent and patients were reporting little to no pain. Table 4 shows that at day 28 there were no significant differences in the measured parameters, however, the GI score did favor Mentadent when compared to the placebo dentifrice (0.80 </w:t>
      </w:r>
      <w:r w:rsidRPr="00A5088B">
        <w:rPr>
          <w:i/>
          <w:iCs/>
        </w:rPr>
        <w:t xml:space="preserve">vs. </w:t>
      </w:r>
      <w:r w:rsidRPr="00A5088B">
        <w:t>0.99). At the end of the study patients were asked to indicate their dentifrice preference and 75% of the participants preferred Mentadent over the placebo.</w:t>
      </w:r>
    </w:p>
    <w:p w14:paraId="466996B3" w14:textId="77777777" w:rsidR="00A5088B" w:rsidRPr="00A5088B" w:rsidRDefault="00A5088B" w:rsidP="00CE05E1">
      <w:pPr>
        <w:pStyle w:val="Heading1"/>
      </w:pPr>
      <w:r w:rsidRPr="00A5088B">
        <w:t>Discussion</w:t>
      </w:r>
    </w:p>
    <w:p w14:paraId="5BC71B34" w14:textId="77777777" w:rsidR="00A5088B" w:rsidRPr="00A5088B" w:rsidRDefault="00A5088B" w:rsidP="00CE05E1">
      <w:pPr>
        <w:ind w:firstLine="720"/>
        <w:jc w:val="left"/>
      </w:pPr>
      <w:r w:rsidRPr="00A5088B">
        <w:t xml:space="preserve">During the initial week following periodontal surgery, patient oral hygiene is important for proper healing and an optimal clinical result. In cases where primary wound closure is achieved at the completion of surgery, periodontists may choose to bypass the use of a periodontal dressing, because patients do as well or better without such a post-surgical dressing. For these patients, manual oral hygiene during this immediate post-operative period </w:t>
      </w:r>
      <w:r w:rsidRPr="00A5088B">
        <w:lastRenderedPageBreak/>
        <w:t>may be difficult, and painful, thereby jeopardizing the clinical result. In these cases, an antiseptic dentifrice which can retard plaque formation and/or enhance patient compliance with post-surgical</w:t>
      </w:r>
    </w:p>
    <w:p w14:paraId="006B935B" w14:textId="77777777" w:rsidR="00686EA1" w:rsidRPr="00A5088B" w:rsidRDefault="00A5088B" w:rsidP="00DA4FB9">
      <w:pPr>
        <w:jc w:val="right"/>
        <w:rPr>
          <w:sz w:val="20"/>
        </w:rPr>
      </w:pPr>
      <w:r w:rsidRPr="00A5088B">
        <w:rPr>
          <w:i/>
          <w:sz w:val="20"/>
        </w:rPr>
        <w:t>American Journal of Dentistry</w:t>
      </w:r>
      <w:r w:rsidRPr="00A5088B">
        <w:rPr>
          <w:sz w:val="20"/>
        </w:rPr>
        <w:t xml:space="preserve">, Vol. 8, </w:t>
      </w:r>
      <w:proofErr w:type="gramStart"/>
      <w:r w:rsidRPr="00A5088B">
        <w:rPr>
          <w:sz w:val="20"/>
        </w:rPr>
        <w:t>No .</w:t>
      </w:r>
      <w:proofErr w:type="gramEnd"/>
      <w:r w:rsidRPr="00A5088B">
        <w:rPr>
          <w:sz w:val="20"/>
        </w:rPr>
        <w:t xml:space="preserve"> 3, </w:t>
      </w:r>
      <w:proofErr w:type="gramStart"/>
      <w:r w:rsidRPr="00A5088B">
        <w:rPr>
          <w:sz w:val="20"/>
        </w:rPr>
        <w:t>June,</w:t>
      </w:r>
      <w:proofErr w:type="gramEnd"/>
      <w:r w:rsidRPr="00A5088B">
        <w:rPr>
          <w:sz w:val="20"/>
        </w:rPr>
        <w:t xml:space="preserve"> 1995</w:t>
      </w:r>
      <w:r w:rsidR="00686EA1" w:rsidRPr="00DA4FB9">
        <w:rPr>
          <w:sz w:val="20"/>
        </w:rPr>
        <w:t xml:space="preserve"> </w:t>
      </w:r>
      <w:r w:rsidR="00686EA1" w:rsidRPr="00A5088B">
        <w:rPr>
          <w:i/>
          <w:iCs/>
          <w:sz w:val="20"/>
        </w:rPr>
        <w:t xml:space="preserve">Dentifrice and wound healing </w:t>
      </w:r>
      <w:r w:rsidR="00686EA1" w:rsidRPr="00A5088B">
        <w:rPr>
          <w:sz w:val="20"/>
        </w:rPr>
        <w:t>127</w:t>
      </w:r>
    </w:p>
    <w:p w14:paraId="3A00A808" w14:textId="77777777" w:rsidR="00A5088B" w:rsidRPr="00A5088B" w:rsidRDefault="00A5088B" w:rsidP="00BF172D">
      <w:pPr>
        <w:jc w:val="left"/>
      </w:pPr>
      <w:r w:rsidRPr="00A5088B">
        <w:t>oral hygiene measures would certainly benefit the patient and clinician during the early stage of wound healing.</w:t>
      </w:r>
    </w:p>
    <w:p w14:paraId="463B078F" w14:textId="77777777" w:rsidR="00A5088B" w:rsidRPr="00A5088B" w:rsidRDefault="00A5088B" w:rsidP="00106BAD">
      <w:pPr>
        <w:ind w:firstLine="720"/>
        <w:jc w:val="left"/>
      </w:pPr>
      <w:r w:rsidRPr="00A5088B">
        <w:t xml:space="preserve">Results of this study showed a clinical reduction in supragingival plaque and gingival edema, as well as a statistically significant reduction in gingival redness during the first week after surgery when patients brushed for 2 minutes twice daily with Mentadent as opposed to the conventional fluoride dentifrice. Early wound healing, as assessed by the soft tissue appearance, consistently favored the Mentadent quadrant, and this tendency carried over through day 28 where the Mentadent quadrant showed a reduced GI. The use of this fluoride containing baking soda-hydrogen peroxide dentifrice was preferred for brushing over the placebo dentifrice by 75% of the subjects in this study, and the </w:t>
      </w:r>
      <w:proofErr w:type="spellStart"/>
      <w:r w:rsidRPr="00A5088B">
        <w:t>im­</w:t>
      </w:r>
      <w:proofErr w:type="spellEnd"/>
      <w:r w:rsidRPr="00A5088B">
        <w:t xml:space="preserve"> </w:t>
      </w:r>
      <w:proofErr w:type="spellStart"/>
      <w:r w:rsidRPr="00A5088B">
        <w:t>provements</w:t>
      </w:r>
      <w:proofErr w:type="spellEnd"/>
      <w:r w:rsidRPr="00A5088B">
        <w:t xml:space="preserve"> seen in the clinical parameters during the initial phase of wound healing may be attributable to the antiseptic properties of the dentifrice, better patient compliance or a combination of these two factors.</w:t>
      </w:r>
    </w:p>
    <w:p w14:paraId="619DD748" w14:textId="77777777" w:rsidR="00A5088B" w:rsidRPr="00A5088B" w:rsidRDefault="00A5088B" w:rsidP="00A52A60">
      <w:pPr>
        <w:ind w:firstLine="720"/>
        <w:jc w:val="left"/>
      </w:pPr>
      <w:proofErr w:type="gramStart"/>
      <w:r w:rsidRPr="00A5088B">
        <w:t>Although  previous</w:t>
      </w:r>
      <w:proofErr w:type="gramEnd"/>
      <w:r w:rsidRPr="00A5088B">
        <w:t xml:space="preserve">  studies  have  reported  a  decrease  in plaque  formation  with  the  use  of  antimicrobials  post-surgically  when compared to placebo,  no significant  difference  in PI was observed  in this study. This may </w:t>
      </w:r>
      <w:proofErr w:type="gramStart"/>
      <w:r w:rsidRPr="00A5088B">
        <w:t>be  partly</w:t>
      </w:r>
      <w:proofErr w:type="gramEnd"/>
      <w:r w:rsidRPr="00A5088B">
        <w:t xml:space="preserve"> due to the low-  concentration of  the  antimicrobial,  the  low  starting  values  for  the  PJ's,  the  index  used,  and/or  the  study  design which,  as  expected,  noted  the  PI  values  drop  steadily  over the first  14 days as the patients'  ability  to carry out oral h</w:t>
      </w:r>
      <w:r w:rsidR="00E56666">
        <w:t>y</w:t>
      </w:r>
      <w:r w:rsidRPr="00A5088B">
        <w:t>giene  procedures  improved.  At the 28-</w:t>
      </w:r>
      <w:proofErr w:type="gramStart"/>
      <w:r w:rsidRPr="00A5088B">
        <w:t>day  time</w:t>
      </w:r>
      <w:proofErr w:type="gramEnd"/>
      <w:r w:rsidRPr="00A5088B">
        <w:t xml:space="preserve">  point,  similar  probing  depth  reduction  (-1.04  mm  </w:t>
      </w:r>
      <w:r w:rsidRPr="00A5088B">
        <w:rPr>
          <w:i/>
          <w:iCs/>
        </w:rPr>
        <w:t xml:space="preserve">vs.  </w:t>
      </w:r>
      <w:r w:rsidRPr="00A5088B">
        <w:t>-1.</w:t>
      </w:r>
      <w:proofErr w:type="gramStart"/>
      <w:r w:rsidRPr="00A5088B">
        <w:t>11  mm</w:t>
      </w:r>
      <w:proofErr w:type="gramEnd"/>
      <w:r w:rsidRPr="00A5088B">
        <w:t xml:space="preserve">)  and gain in clinical attachment  level (0.64 mm </w:t>
      </w:r>
      <w:r w:rsidRPr="00A5088B">
        <w:rPr>
          <w:i/>
          <w:iCs/>
        </w:rPr>
        <w:t xml:space="preserve">vs.  </w:t>
      </w:r>
      <w:r w:rsidRPr="00A5088B">
        <w:t xml:space="preserve">0.51 mm) was seen   in   control   and   test   dentifrice   </w:t>
      </w:r>
      <w:proofErr w:type="gramStart"/>
      <w:r w:rsidRPr="00A5088B">
        <w:t xml:space="preserve">groups,   </w:t>
      </w:r>
      <w:proofErr w:type="gramEnd"/>
      <w:r w:rsidRPr="00A5088B">
        <w:t xml:space="preserve">respectively. </w:t>
      </w:r>
      <w:proofErr w:type="gramStart"/>
      <w:r w:rsidRPr="00A5088B">
        <w:t>These  findings</w:t>
      </w:r>
      <w:proofErr w:type="gramEnd"/>
      <w:r w:rsidRPr="00A5088B">
        <w:t xml:space="preserve">  indicate  that  neither  dentifrice  had  adverse effects on these parameters.</w:t>
      </w:r>
    </w:p>
    <w:p w14:paraId="7F58D94B" w14:textId="77777777" w:rsidR="00A5088B" w:rsidRPr="00A5088B" w:rsidRDefault="00A52A60" w:rsidP="00933042">
      <w:pPr>
        <w:spacing w:after="0"/>
        <w:jc w:val="left"/>
        <w:rPr>
          <w:bCs/>
        </w:rPr>
      </w:pPr>
      <w:proofErr w:type="spellStart"/>
      <w:r w:rsidRPr="00933042">
        <w:rPr>
          <w:vertAlign w:val="superscript"/>
        </w:rPr>
        <w:t>a</w:t>
      </w:r>
      <w:r w:rsidR="00A5088B" w:rsidRPr="00A5088B">
        <w:t>Chesebrough</w:t>
      </w:r>
      <w:proofErr w:type="spellEnd"/>
      <w:r w:rsidR="00A5088B" w:rsidRPr="00A5088B">
        <w:t xml:space="preserve">-Ponds, </w:t>
      </w:r>
      <w:proofErr w:type="gramStart"/>
      <w:r w:rsidR="00A5088B" w:rsidRPr="00A5088B">
        <w:t>Trumbull ,</w:t>
      </w:r>
      <w:proofErr w:type="gramEnd"/>
      <w:r w:rsidR="00A5088B" w:rsidRPr="00A5088B">
        <w:t xml:space="preserve"> CT, </w:t>
      </w:r>
      <w:r w:rsidR="00A5088B" w:rsidRPr="00A5088B">
        <w:rPr>
          <w:bCs/>
        </w:rPr>
        <w:t>USA.</w:t>
      </w:r>
    </w:p>
    <w:p w14:paraId="0E9500EB" w14:textId="77777777" w:rsidR="00A5088B" w:rsidRPr="00A5088B" w:rsidRDefault="00933042" w:rsidP="00933042">
      <w:pPr>
        <w:spacing w:after="0"/>
        <w:jc w:val="left"/>
        <w:rPr>
          <w:bCs/>
        </w:rPr>
      </w:pPr>
      <w:proofErr w:type="spellStart"/>
      <w:r w:rsidRPr="00933042">
        <w:rPr>
          <w:vertAlign w:val="superscript"/>
        </w:rPr>
        <w:t>b</w:t>
      </w:r>
      <w:r w:rsidR="00A5088B" w:rsidRPr="00A5088B">
        <w:t>Procter</w:t>
      </w:r>
      <w:proofErr w:type="spellEnd"/>
      <w:r w:rsidR="00A5088B" w:rsidRPr="00A5088B">
        <w:t xml:space="preserve"> &amp; Gamble, Cincinnati, </w:t>
      </w:r>
      <w:r w:rsidR="00A5088B" w:rsidRPr="00A5088B">
        <w:rPr>
          <w:bCs/>
        </w:rPr>
        <w:t>OH, USA.</w:t>
      </w:r>
    </w:p>
    <w:p w14:paraId="0550F5CA" w14:textId="77777777" w:rsidR="00A5088B" w:rsidRPr="00A5088B" w:rsidRDefault="00A5088B" w:rsidP="00BF172D">
      <w:pPr>
        <w:jc w:val="left"/>
        <w:rPr>
          <w:b/>
          <w:bCs/>
        </w:rPr>
      </w:pPr>
    </w:p>
    <w:p w14:paraId="0DF205A0" w14:textId="77777777" w:rsidR="00A5088B" w:rsidRPr="00A5088B" w:rsidRDefault="00A5088B" w:rsidP="00BF172D">
      <w:pPr>
        <w:jc w:val="left"/>
      </w:pPr>
      <w:r w:rsidRPr="00A5088B">
        <w:t xml:space="preserve">Dr. Dentino is Assistant Professor, Department of Periodontics , Marquette University, School of Dentistry, Milwaukee, Wisconsin, USA; Ms. </w:t>
      </w:r>
      <w:proofErr w:type="spellStart"/>
      <w:r w:rsidRPr="00A5088B">
        <w:t>Bessinger</w:t>
      </w:r>
      <w:proofErr w:type="spellEnd"/>
      <w:r w:rsidRPr="00A5088B">
        <w:t xml:space="preserve"> is a Clinical Research Assistant, Ms. </w:t>
      </w:r>
      <w:r w:rsidRPr="00A5088B">
        <w:lastRenderedPageBreak/>
        <w:t xml:space="preserve">Mather is a Clinical Research Associate; Dr. </w:t>
      </w:r>
      <w:proofErr w:type="spellStart"/>
      <w:r w:rsidRPr="00A5088B">
        <w:t>Ciancio</w:t>
      </w:r>
      <w:proofErr w:type="spellEnd"/>
      <w:r w:rsidRPr="00A5088B">
        <w:t xml:space="preserve"> is Professor and Chairman, Department of Periodontics, and Dr. </w:t>
      </w:r>
      <w:proofErr w:type="spellStart"/>
      <w:r w:rsidRPr="00A5088B">
        <w:t>Fischman</w:t>
      </w:r>
      <w:proofErr w:type="spellEnd"/>
      <w:r w:rsidRPr="00A5088B">
        <w:t xml:space="preserve"> is Professor, Department of Oral Medicine, SUNY at Buffalo, Buffalo, New York, USA; Mr. </w:t>
      </w:r>
      <w:proofErr w:type="spellStart"/>
      <w:r w:rsidRPr="00A5088B">
        <w:t>Cancro</w:t>
      </w:r>
      <w:proofErr w:type="spellEnd"/>
      <w:r w:rsidRPr="00A5088B">
        <w:t xml:space="preserve"> is Dental Consultant, </w:t>
      </w:r>
      <w:proofErr w:type="spellStart"/>
      <w:r w:rsidRPr="00A5088B">
        <w:t>Chesebrough</w:t>
      </w:r>
      <w:proofErr w:type="spellEnd"/>
      <w:r w:rsidRPr="00A5088B">
        <w:t>-Ponds, Trumbull, Connecticut, USA.</w:t>
      </w:r>
    </w:p>
    <w:p w14:paraId="18CE8A4B" w14:textId="77777777" w:rsidR="00A5088B" w:rsidRPr="00A5088B" w:rsidRDefault="00A5088B" w:rsidP="00D71DF3">
      <w:pPr>
        <w:pStyle w:val="Heading1"/>
      </w:pPr>
      <w:r w:rsidRPr="00A5088B">
        <w:t>References</w:t>
      </w:r>
    </w:p>
    <w:p w14:paraId="469C1771" w14:textId="77777777" w:rsidR="00A5088B" w:rsidRPr="00A5088B" w:rsidRDefault="00A5088B" w:rsidP="00D71DF3">
      <w:pPr>
        <w:numPr>
          <w:ilvl w:val="0"/>
          <w:numId w:val="1"/>
        </w:numPr>
        <w:spacing w:after="0"/>
        <w:jc w:val="left"/>
      </w:pPr>
      <w:proofErr w:type="spellStart"/>
      <w:r w:rsidRPr="00A5088B">
        <w:t>Lindhe</w:t>
      </w:r>
      <w:proofErr w:type="spellEnd"/>
      <w:r w:rsidRPr="00A5088B">
        <w:t xml:space="preserve"> J, Nyman S. The effect of plaque control and surgical pocket elimination on the establishment and maintenance of periodontal health. </w:t>
      </w:r>
      <w:r w:rsidRPr="00A5088B">
        <w:rPr>
          <w:i/>
          <w:iCs/>
        </w:rPr>
        <w:t xml:space="preserve">J Clin </w:t>
      </w:r>
      <w:proofErr w:type="spellStart"/>
      <w:r w:rsidRPr="00A5088B">
        <w:rPr>
          <w:i/>
          <w:iCs/>
        </w:rPr>
        <w:t>Periodontol</w:t>
      </w:r>
      <w:proofErr w:type="spellEnd"/>
      <w:r w:rsidRPr="00A5088B">
        <w:rPr>
          <w:i/>
          <w:iCs/>
        </w:rPr>
        <w:t xml:space="preserve"> </w:t>
      </w:r>
      <w:proofErr w:type="gramStart"/>
      <w:r w:rsidRPr="00A5088B">
        <w:t>1915 ;</w:t>
      </w:r>
      <w:proofErr w:type="gramEnd"/>
      <w:r w:rsidRPr="00A5088B">
        <w:t xml:space="preserve"> 2: 67-79.</w:t>
      </w:r>
    </w:p>
    <w:p w14:paraId="6D3C2CBB" w14:textId="77777777" w:rsidR="00A5088B" w:rsidRPr="00A5088B" w:rsidRDefault="00A5088B" w:rsidP="00D71DF3">
      <w:pPr>
        <w:numPr>
          <w:ilvl w:val="0"/>
          <w:numId w:val="1"/>
        </w:numPr>
        <w:spacing w:after="0"/>
        <w:jc w:val="left"/>
      </w:pPr>
      <w:r w:rsidRPr="00A5088B">
        <w:t xml:space="preserve">Nyman S, </w:t>
      </w:r>
      <w:proofErr w:type="spellStart"/>
      <w:r w:rsidRPr="00A5088B">
        <w:t>Rosling</w:t>
      </w:r>
      <w:proofErr w:type="spellEnd"/>
      <w:r w:rsidRPr="00A5088B">
        <w:t xml:space="preserve"> B, </w:t>
      </w:r>
      <w:proofErr w:type="spellStart"/>
      <w:r w:rsidRPr="00A5088B">
        <w:t>Lindhe</w:t>
      </w:r>
      <w:proofErr w:type="spellEnd"/>
      <w:r w:rsidRPr="00A5088B">
        <w:t xml:space="preserve"> J. Effect of professional tooth cleaning on healing after periodontal surge ry. </w:t>
      </w:r>
      <w:r w:rsidRPr="00A5088B">
        <w:rPr>
          <w:i/>
          <w:iCs/>
        </w:rPr>
        <w:t xml:space="preserve">J Clin </w:t>
      </w:r>
      <w:proofErr w:type="spellStart"/>
      <w:r w:rsidRPr="00A5088B">
        <w:rPr>
          <w:i/>
          <w:iCs/>
        </w:rPr>
        <w:t>Periodontol</w:t>
      </w:r>
      <w:proofErr w:type="spellEnd"/>
      <w:r w:rsidRPr="00A5088B">
        <w:rPr>
          <w:i/>
          <w:iCs/>
        </w:rPr>
        <w:t xml:space="preserve"> </w:t>
      </w:r>
      <w:r w:rsidRPr="00A5088B">
        <w:t>1975; 2: 80- 84.</w:t>
      </w:r>
    </w:p>
    <w:p w14:paraId="388CE43E" w14:textId="77777777" w:rsidR="00A5088B" w:rsidRPr="00A5088B" w:rsidRDefault="00A5088B" w:rsidP="00D71DF3">
      <w:pPr>
        <w:numPr>
          <w:ilvl w:val="0"/>
          <w:numId w:val="1"/>
        </w:numPr>
        <w:spacing w:after="0"/>
        <w:jc w:val="left"/>
      </w:pPr>
      <w:r w:rsidRPr="00A5088B">
        <w:t xml:space="preserve">Westfeldt E, </w:t>
      </w:r>
      <w:proofErr w:type="spellStart"/>
      <w:r w:rsidRPr="00A5088B">
        <w:t>Nyma</w:t>
      </w:r>
      <w:proofErr w:type="spellEnd"/>
      <w:r w:rsidRPr="00A5088B">
        <w:t xml:space="preserve"> n S, </w:t>
      </w:r>
      <w:proofErr w:type="spellStart"/>
      <w:r w:rsidRPr="00A5088B">
        <w:t>Lindhe</w:t>
      </w:r>
      <w:proofErr w:type="spellEnd"/>
      <w:r w:rsidRPr="00A5088B">
        <w:t xml:space="preserve"> J, </w:t>
      </w:r>
      <w:r w:rsidRPr="00A5088B">
        <w:rPr>
          <w:i/>
          <w:iCs/>
        </w:rPr>
        <w:t xml:space="preserve">et al. </w:t>
      </w:r>
      <w:r w:rsidRPr="00A5088B">
        <w:t xml:space="preserve">Use of chlorhexidine as a plaque control measure following surgical treatment of periodontal </w:t>
      </w:r>
      <w:proofErr w:type="gramStart"/>
      <w:r w:rsidRPr="00A5088B">
        <w:t>disease .</w:t>
      </w:r>
      <w:proofErr w:type="gramEnd"/>
      <w:r w:rsidRPr="00A5088B">
        <w:t xml:space="preserve"> </w:t>
      </w:r>
      <w:r w:rsidRPr="00A5088B">
        <w:rPr>
          <w:i/>
          <w:iCs/>
        </w:rPr>
        <w:t xml:space="preserve">J Clin </w:t>
      </w:r>
      <w:proofErr w:type="spellStart"/>
      <w:r w:rsidRPr="00A5088B">
        <w:rPr>
          <w:i/>
          <w:iCs/>
        </w:rPr>
        <w:t>Periodontol</w:t>
      </w:r>
      <w:proofErr w:type="spellEnd"/>
      <w:r w:rsidRPr="00A5088B">
        <w:rPr>
          <w:i/>
          <w:iCs/>
        </w:rPr>
        <w:t xml:space="preserve"> </w:t>
      </w:r>
      <w:proofErr w:type="gramStart"/>
      <w:r w:rsidRPr="00A5088B">
        <w:t>1983 ;</w:t>
      </w:r>
      <w:proofErr w:type="gramEnd"/>
      <w:r w:rsidRPr="00A5088B">
        <w:t xml:space="preserve"> 10 : 10-22.</w:t>
      </w:r>
    </w:p>
    <w:p w14:paraId="101CDDFE" w14:textId="77777777" w:rsidR="00A5088B" w:rsidRPr="00A5088B" w:rsidRDefault="00A5088B" w:rsidP="00D71DF3">
      <w:pPr>
        <w:numPr>
          <w:ilvl w:val="0"/>
          <w:numId w:val="1"/>
        </w:numPr>
        <w:spacing w:after="0"/>
        <w:jc w:val="left"/>
      </w:pPr>
      <w:r w:rsidRPr="00A5088B">
        <w:t xml:space="preserve">Sanz M, Newman MG, Anderson L, </w:t>
      </w:r>
      <w:r w:rsidRPr="00A5088B">
        <w:rPr>
          <w:i/>
          <w:iCs/>
        </w:rPr>
        <w:t xml:space="preserve">et al. </w:t>
      </w:r>
      <w:r w:rsidRPr="00A5088B">
        <w:t xml:space="preserve">A comparison of the effect of a 0.12% chlorhexidine gluconate </w:t>
      </w:r>
      <w:proofErr w:type="spellStart"/>
      <w:r w:rsidRPr="00A5088B">
        <w:t>mouthrinse</w:t>
      </w:r>
      <w:proofErr w:type="spellEnd"/>
      <w:r w:rsidRPr="00A5088B">
        <w:t xml:space="preserve"> and placebo on post periodontal surgical therapy. </w:t>
      </w:r>
      <w:r w:rsidRPr="00A5088B">
        <w:rPr>
          <w:b/>
          <w:bCs/>
          <w:i/>
          <w:iCs/>
        </w:rPr>
        <w:t xml:space="preserve">J </w:t>
      </w:r>
      <w:r w:rsidRPr="00A5088B">
        <w:rPr>
          <w:i/>
          <w:iCs/>
        </w:rPr>
        <w:t xml:space="preserve">Dent Res </w:t>
      </w:r>
      <w:r w:rsidRPr="00A5088B">
        <w:t>1987; 66: 280 -285.</w:t>
      </w:r>
    </w:p>
    <w:p w14:paraId="3E7D06FB" w14:textId="77777777" w:rsidR="00A5088B" w:rsidRPr="00A5088B" w:rsidRDefault="00A5088B" w:rsidP="00D71DF3">
      <w:pPr>
        <w:numPr>
          <w:ilvl w:val="0"/>
          <w:numId w:val="1"/>
        </w:numPr>
        <w:spacing w:after="0"/>
        <w:jc w:val="left"/>
      </w:pPr>
      <w:proofErr w:type="spellStart"/>
      <w:r w:rsidRPr="00A5088B">
        <w:t>Zambon</w:t>
      </w:r>
      <w:proofErr w:type="spellEnd"/>
      <w:r w:rsidRPr="00A5088B">
        <w:t xml:space="preserve"> JJ, </w:t>
      </w:r>
      <w:proofErr w:type="spellStart"/>
      <w:r w:rsidRPr="00A5088B">
        <w:t>Ciancio</w:t>
      </w:r>
      <w:proofErr w:type="spellEnd"/>
      <w:r w:rsidRPr="00A5088B">
        <w:t xml:space="preserve"> SG, Mather ML, </w:t>
      </w:r>
      <w:r w:rsidRPr="00A5088B">
        <w:rPr>
          <w:i/>
          <w:iCs/>
        </w:rPr>
        <w:t xml:space="preserve">et al. </w:t>
      </w:r>
      <w:r w:rsidRPr="00A5088B">
        <w:t xml:space="preserve">The effect of an </w:t>
      </w:r>
      <w:proofErr w:type="spellStart"/>
      <w:r w:rsidRPr="00A5088B">
        <w:t>antimi</w:t>
      </w:r>
      <w:proofErr w:type="spellEnd"/>
      <w:r w:rsidRPr="00A5088B">
        <w:t xml:space="preserve">­ </w:t>
      </w:r>
      <w:proofErr w:type="spellStart"/>
      <w:r w:rsidRPr="00A5088B">
        <w:t>crobial</w:t>
      </w:r>
      <w:proofErr w:type="spellEnd"/>
      <w:r w:rsidRPr="00A5088B">
        <w:t xml:space="preserve"> </w:t>
      </w:r>
      <w:proofErr w:type="spellStart"/>
      <w:r w:rsidRPr="00A5088B">
        <w:t>mouthrinse</w:t>
      </w:r>
      <w:proofErr w:type="spellEnd"/>
      <w:r w:rsidRPr="00A5088B">
        <w:t xml:space="preserve"> on early healing of gingival flap surgery wounds. </w:t>
      </w:r>
      <w:r w:rsidRPr="00A5088B">
        <w:rPr>
          <w:i/>
          <w:iCs/>
        </w:rPr>
        <w:t xml:space="preserve">J </w:t>
      </w:r>
      <w:proofErr w:type="spellStart"/>
      <w:r w:rsidRPr="00A5088B">
        <w:rPr>
          <w:i/>
          <w:iCs/>
        </w:rPr>
        <w:t>Periodontol</w:t>
      </w:r>
      <w:proofErr w:type="spellEnd"/>
      <w:r w:rsidRPr="00A5088B">
        <w:rPr>
          <w:i/>
          <w:iCs/>
        </w:rPr>
        <w:t xml:space="preserve"> </w:t>
      </w:r>
      <w:r w:rsidRPr="00A5088B">
        <w:t>1989; 60: 31-34.</w:t>
      </w:r>
    </w:p>
    <w:p w14:paraId="5D819D61" w14:textId="77777777" w:rsidR="00A5088B" w:rsidRPr="00A5088B" w:rsidRDefault="00A5088B" w:rsidP="00D71DF3">
      <w:pPr>
        <w:numPr>
          <w:ilvl w:val="0"/>
          <w:numId w:val="1"/>
        </w:numPr>
        <w:spacing w:after="0"/>
        <w:jc w:val="left"/>
      </w:pPr>
      <w:r w:rsidRPr="00A5088B">
        <w:t xml:space="preserve">Chilton NW, </w:t>
      </w:r>
      <w:proofErr w:type="spellStart"/>
      <w:r w:rsidRPr="00A5088B">
        <w:t>Diddio</w:t>
      </w:r>
      <w:proofErr w:type="spellEnd"/>
      <w:r w:rsidRPr="00A5088B">
        <w:t xml:space="preserve"> </w:t>
      </w:r>
      <w:r w:rsidRPr="00A5088B">
        <w:rPr>
          <w:b/>
          <w:bCs/>
        </w:rPr>
        <w:t xml:space="preserve">A. A </w:t>
      </w:r>
      <w:r w:rsidRPr="00A5088B">
        <w:t xml:space="preserve">controlled study of a new oxygen gel on the gingiva of healthy young </w:t>
      </w:r>
      <w:proofErr w:type="gramStart"/>
      <w:r w:rsidRPr="00A5088B">
        <w:t>adults .</w:t>
      </w:r>
      <w:proofErr w:type="gramEnd"/>
      <w:r w:rsidRPr="00A5088B">
        <w:t xml:space="preserve"> </w:t>
      </w:r>
      <w:proofErr w:type="spellStart"/>
      <w:r w:rsidRPr="00A5088B">
        <w:rPr>
          <w:i/>
          <w:iCs/>
        </w:rPr>
        <w:t>Pharmacol</w:t>
      </w:r>
      <w:proofErr w:type="spellEnd"/>
      <w:r w:rsidRPr="00A5088B">
        <w:rPr>
          <w:i/>
          <w:iCs/>
        </w:rPr>
        <w:t xml:space="preserve"> </w:t>
      </w:r>
      <w:proofErr w:type="spellStart"/>
      <w:r w:rsidRPr="00A5088B">
        <w:rPr>
          <w:i/>
          <w:iCs/>
        </w:rPr>
        <w:t>Therap</w:t>
      </w:r>
      <w:proofErr w:type="spellEnd"/>
      <w:r w:rsidRPr="00A5088B">
        <w:rPr>
          <w:i/>
          <w:iCs/>
        </w:rPr>
        <w:t xml:space="preserve"> Dent </w:t>
      </w:r>
      <w:r w:rsidRPr="00A5088B">
        <w:t xml:space="preserve">1971; </w:t>
      </w:r>
      <w:r w:rsidRPr="00A5088B">
        <w:rPr>
          <w:b/>
          <w:bCs/>
        </w:rPr>
        <w:t xml:space="preserve">1: </w:t>
      </w:r>
      <w:r w:rsidRPr="00A5088B">
        <w:t>83-89.</w:t>
      </w:r>
    </w:p>
    <w:p w14:paraId="507F760B" w14:textId="77777777" w:rsidR="00A5088B" w:rsidRPr="00A5088B" w:rsidRDefault="00A5088B" w:rsidP="00D71DF3">
      <w:pPr>
        <w:numPr>
          <w:ilvl w:val="0"/>
          <w:numId w:val="1"/>
        </w:numPr>
        <w:spacing w:after="0"/>
        <w:jc w:val="left"/>
      </w:pPr>
      <w:r w:rsidRPr="00A5088B">
        <w:t xml:space="preserve">Rich SK, </w:t>
      </w:r>
      <w:proofErr w:type="spellStart"/>
      <w:r w:rsidRPr="00A5088B">
        <w:t>Horikoski</w:t>
      </w:r>
      <w:proofErr w:type="spellEnd"/>
      <w:r w:rsidRPr="00A5088B">
        <w:t xml:space="preserve"> AK, Newman MG. Longitudinal effects of an oxygenating agent on clinical indices and oral mic </w:t>
      </w:r>
      <w:proofErr w:type="spellStart"/>
      <w:r w:rsidRPr="00A5088B">
        <w:t>robiota</w:t>
      </w:r>
      <w:proofErr w:type="spellEnd"/>
      <w:r w:rsidRPr="00A5088B">
        <w:t xml:space="preserve">. </w:t>
      </w:r>
      <w:r w:rsidRPr="00A5088B">
        <w:rPr>
          <w:i/>
          <w:iCs/>
        </w:rPr>
        <w:t xml:space="preserve">Clin </w:t>
      </w:r>
      <w:proofErr w:type="spellStart"/>
      <w:r w:rsidRPr="00A5088B">
        <w:rPr>
          <w:i/>
          <w:iCs/>
        </w:rPr>
        <w:t>Prev</w:t>
      </w:r>
      <w:proofErr w:type="spellEnd"/>
      <w:r w:rsidRPr="00A5088B">
        <w:rPr>
          <w:i/>
          <w:iCs/>
        </w:rPr>
        <w:t xml:space="preserve"> Dent </w:t>
      </w:r>
      <w:r w:rsidRPr="00A5088B">
        <w:t>1980; 2: 13-17.</w:t>
      </w:r>
    </w:p>
    <w:p w14:paraId="44E05BBD" w14:textId="77777777" w:rsidR="00A5088B" w:rsidRPr="00A5088B" w:rsidRDefault="00A5088B" w:rsidP="00D71DF3">
      <w:pPr>
        <w:numPr>
          <w:ilvl w:val="0"/>
          <w:numId w:val="1"/>
        </w:numPr>
        <w:spacing w:after="0"/>
        <w:jc w:val="left"/>
      </w:pPr>
      <w:r w:rsidRPr="00A5088B">
        <w:t xml:space="preserve">Keyes PH, Wright WE, Howard SA. The use of phase contrast mi­ </w:t>
      </w:r>
      <w:proofErr w:type="spellStart"/>
      <w:r w:rsidRPr="00A5088B">
        <w:t>croscopy</w:t>
      </w:r>
      <w:proofErr w:type="spellEnd"/>
      <w:r w:rsidRPr="00A5088B">
        <w:t xml:space="preserve"> and chemotherapy in the diagnosis and treatment of </w:t>
      </w:r>
      <w:proofErr w:type="spellStart"/>
      <w:r w:rsidRPr="00A5088B">
        <w:t>perio</w:t>
      </w:r>
      <w:proofErr w:type="spellEnd"/>
      <w:r w:rsidRPr="00A5088B">
        <w:t xml:space="preserve">­ </w:t>
      </w:r>
      <w:proofErr w:type="spellStart"/>
      <w:r w:rsidRPr="00A5088B">
        <w:t>dontal</w:t>
      </w:r>
      <w:proofErr w:type="spellEnd"/>
      <w:r w:rsidRPr="00A5088B">
        <w:t xml:space="preserve"> lesions. An initial report. (II). </w:t>
      </w:r>
      <w:r w:rsidRPr="00A5088B">
        <w:rPr>
          <w:i/>
          <w:iCs/>
        </w:rPr>
        <w:t xml:space="preserve">Quint Int </w:t>
      </w:r>
      <w:r w:rsidRPr="00A5088B">
        <w:t>1978; 9: 69-76.</w:t>
      </w:r>
    </w:p>
    <w:p w14:paraId="6E2C3008" w14:textId="77777777" w:rsidR="00A5088B" w:rsidRPr="00A5088B" w:rsidRDefault="00A5088B" w:rsidP="00D71DF3">
      <w:pPr>
        <w:numPr>
          <w:ilvl w:val="0"/>
          <w:numId w:val="1"/>
        </w:numPr>
        <w:spacing w:after="0"/>
        <w:jc w:val="left"/>
      </w:pPr>
      <w:r w:rsidRPr="00A5088B">
        <w:t xml:space="preserve">Gomes BC, </w:t>
      </w:r>
      <w:proofErr w:type="spellStart"/>
      <w:r w:rsidRPr="00A5088B">
        <w:t>Shakun</w:t>
      </w:r>
      <w:proofErr w:type="spellEnd"/>
      <w:r w:rsidRPr="00A5088B">
        <w:t xml:space="preserve"> ML, </w:t>
      </w:r>
      <w:proofErr w:type="spellStart"/>
      <w:r w:rsidRPr="00A5088B">
        <w:t>Ripa</w:t>
      </w:r>
      <w:proofErr w:type="spellEnd"/>
      <w:r w:rsidRPr="00A5088B">
        <w:t xml:space="preserve"> LW. Effect of rinsing with 1.5% hydrogen peroxide solution (Peroxyl) on gingivitis and plaque in handicapped and non-handicapped subjects. </w:t>
      </w:r>
      <w:r w:rsidRPr="00A5088B">
        <w:rPr>
          <w:i/>
          <w:iCs/>
        </w:rPr>
        <w:t xml:space="preserve">Clin </w:t>
      </w:r>
      <w:proofErr w:type="spellStart"/>
      <w:r w:rsidRPr="00A5088B">
        <w:rPr>
          <w:i/>
          <w:iCs/>
        </w:rPr>
        <w:t>Prev</w:t>
      </w:r>
      <w:proofErr w:type="spellEnd"/>
      <w:r w:rsidRPr="00A5088B">
        <w:rPr>
          <w:i/>
          <w:iCs/>
        </w:rPr>
        <w:t xml:space="preserve"> Dent </w:t>
      </w:r>
      <w:r w:rsidRPr="00A5088B">
        <w:t>1984; 6: 21-24.</w:t>
      </w:r>
    </w:p>
    <w:p w14:paraId="303BA2F6" w14:textId="77777777" w:rsidR="00A5088B" w:rsidRPr="00A5088B" w:rsidRDefault="00A5088B" w:rsidP="00D71DF3">
      <w:pPr>
        <w:numPr>
          <w:ilvl w:val="0"/>
          <w:numId w:val="1"/>
        </w:numPr>
        <w:spacing w:after="0"/>
        <w:jc w:val="left"/>
      </w:pPr>
      <w:proofErr w:type="spellStart"/>
      <w:r w:rsidRPr="00A5088B">
        <w:t>Greensrnith</w:t>
      </w:r>
      <w:proofErr w:type="spellEnd"/>
      <w:r w:rsidRPr="00A5088B">
        <w:t xml:space="preserve"> AL, Wade AB. Dressing after reverse bevel flap </w:t>
      </w:r>
      <w:proofErr w:type="spellStart"/>
      <w:r w:rsidRPr="00A5088B">
        <w:t>proce</w:t>
      </w:r>
      <w:proofErr w:type="spellEnd"/>
      <w:r w:rsidRPr="00A5088B">
        <w:t xml:space="preserve">­ </w:t>
      </w:r>
      <w:proofErr w:type="spellStart"/>
      <w:proofErr w:type="gramStart"/>
      <w:r w:rsidRPr="00A5088B">
        <w:t>dures</w:t>
      </w:r>
      <w:proofErr w:type="spellEnd"/>
      <w:r w:rsidRPr="00A5088B">
        <w:t xml:space="preserve"> .</w:t>
      </w:r>
      <w:proofErr w:type="gramEnd"/>
      <w:r w:rsidRPr="00A5088B">
        <w:t xml:space="preserve"> </w:t>
      </w:r>
      <w:r w:rsidRPr="00A5088B">
        <w:rPr>
          <w:i/>
          <w:iCs/>
        </w:rPr>
        <w:t xml:space="preserve">J Clin </w:t>
      </w:r>
      <w:proofErr w:type="spellStart"/>
      <w:r w:rsidRPr="00A5088B">
        <w:rPr>
          <w:i/>
          <w:iCs/>
        </w:rPr>
        <w:t>Periodontol</w:t>
      </w:r>
      <w:proofErr w:type="spellEnd"/>
      <w:r w:rsidRPr="00A5088B">
        <w:rPr>
          <w:i/>
          <w:iCs/>
        </w:rPr>
        <w:t xml:space="preserve"> </w:t>
      </w:r>
      <w:r w:rsidRPr="00A5088B">
        <w:t>1974; 1: 97-106.</w:t>
      </w:r>
    </w:p>
    <w:p w14:paraId="7AE77B2D" w14:textId="77777777" w:rsidR="00A5088B" w:rsidRPr="00A5088B" w:rsidRDefault="00A5088B" w:rsidP="00D71DF3">
      <w:pPr>
        <w:numPr>
          <w:ilvl w:val="0"/>
          <w:numId w:val="1"/>
        </w:numPr>
        <w:spacing w:after="0"/>
        <w:jc w:val="left"/>
      </w:pPr>
      <w:r w:rsidRPr="00A5088B">
        <w:t xml:space="preserve">Jones </w:t>
      </w:r>
      <w:proofErr w:type="gramStart"/>
      <w:r w:rsidRPr="00A5088B">
        <w:t>TM ,</w:t>
      </w:r>
      <w:proofErr w:type="gramEnd"/>
      <w:r w:rsidRPr="00A5088B">
        <w:t xml:space="preserve"> </w:t>
      </w:r>
      <w:proofErr w:type="spellStart"/>
      <w:r w:rsidRPr="00A5088B">
        <w:t>Cassingham</w:t>
      </w:r>
      <w:proofErr w:type="spellEnd"/>
      <w:r w:rsidRPr="00A5088B">
        <w:t xml:space="preserve"> RJ. Comparison of healing following </w:t>
      </w:r>
      <w:proofErr w:type="spellStart"/>
      <w:r w:rsidRPr="00A5088B">
        <w:t>perio</w:t>
      </w:r>
      <w:proofErr w:type="spellEnd"/>
      <w:r w:rsidRPr="00A5088B">
        <w:t xml:space="preserve">­ </w:t>
      </w:r>
      <w:proofErr w:type="spellStart"/>
      <w:r w:rsidRPr="00A5088B">
        <w:t>dontal</w:t>
      </w:r>
      <w:proofErr w:type="spellEnd"/>
      <w:r w:rsidRPr="00A5088B">
        <w:t xml:space="preserve"> surgery with and without dressings in humans. </w:t>
      </w:r>
      <w:r w:rsidRPr="00A5088B">
        <w:rPr>
          <w:i/>
          <w:iCs/>
        </w:rPr>
        <w:t xml:space="preserve">J </w:t>
      </w:r>
      <w:proofErr w:type="spellStart"/>
      <w:r w:rsidRPr="00A5088B">
        <w:rPr>
          <w:i/>
          <w:iCs/>
        </w:rPr>
        <w:t>Periodontol</w:t>
      </w:r>
      <w:proofErr w:type="spellEnd"/>
      <w:r w:rsidRPr="00A5088B">
        <w:rPr>
          <w:i/>
          <w:iCs/>
        </w:rPr>
        <w:t xml:space="preserve"> </w:t>
      </w:r>
      <w:r w:rsidRPr="00A5088B">
        <w:t>1979; 50: 387-393.</w:t>
      </w:r>
    </w:p>
    <w:p w14:paraId="1D6D55F3" w14:textId="77777777" w:rsidR="00A5088B" w:rsidRPr="00A5088B" w:rsidRDefault="00A5088B" w:rsidP="00D71DF3">
      <w:pPr>
        <w:numPr>
          <w:ilvl w:val="0"/>
          <w:numId w:val="1"/>
        </w:numPr>
        <w:spacing w:after="0"/>
        <w:jc w:val="left"/>
      </w:pPr>
      <w:proofErr w:type="spellStart"/>
      <w:r w:rsidRPr="00A5088B">
        <w:t>Ramfjord</w:t>
      </w:r>
      <w:proofErr w:type="spellEnd"/>
      <w:r w:rsidRPr="00A5088B">
        <w:t xml:space="preserve"> S. The present status of the modified Widman flap </w:t>
      </w:r>
      <w:proofErr w:type="spellStart"/>
      <w:r w:rsidRPr="00A5088B">
        <w:t>proce</w:t>
      </w:r>
      <w:proofErr w:type="spellEnd"/>
      <w:r w:rsidRPr="00A5088B">
        <w:t xml:space="preserve">­ </w:t>
      </w:r>
      <w:proofErr w:type="spellStart"/>
      <w:proofErr w:type="gramStart"/>
      <w:r w:rsidRPr="00A5088B">
        <w:t>dure</w:t>
      </w:r>
      <w:proofErr w:type="spellEnd"/>
      <w:r w:rsidRPr="00A5088B">
        <w:t xml:space="preserve"> .</w:t>
      </w:r>
      <w:proofErr w:type="gramEnd"/>
      <w:r w:rsidRPr="00A5088B">
        <w:t xml:space="preserve"> </w:t>
      </w:r>
      <w:r w:rsidRPr="00A5088B">
        <w:rPr>
          <w:i/>
          <w:iCs/>
        </w:rPr>
        <w:t xml:space="preserve">J </w:t>
      </w:r>
      <w:proofErr w:type="spellStart"/>
      <w:r w:rsidRPr="00A5088B">
        <w:rPr>
          <w:i/>
          <w:iCs/>
        </w:rPr>
        <w:t>Periodontol</w:t>
      </w:r>
      <w:proofErr w:type="spellEnd"/>
      <w:r w:rsidRPr="00A5088B">
        <w:rPr>
          <w:i/>
          <w:iCs/>
        </w:rPr>
        <w:t xml:space="preserve"> </w:t>
      </w:r>
      <w:r w:rsidRPr="00A5088B">
        <w:t>1988; 48: 558-562.</w:t>
      </w:r>
    </w:p>
    <w:p w14:paraId="068714A3" w14:textId="77777777" w:rsidR="00A5088B" w:rsidRPr="00A5088B" w:rsidRDefault="00A5088B" w:rsidP="00D71DF3">
      <w:pPr>
        <w:numPr>
          <w:ilvl w:val="0"/>
          <w:numId w:val="1"/>
        </w:numPr>
        <w:spacing w:after="0"/>
        <w:jc w:val="left"/>
      </w:pPr>
      <w:proofErr w:type="spellStart"/>
      <w:r w:rsidRPr="00A5088B">
        <w:t>Loe</w:t>
      </w:r>
      <w:proofErr w:type="spellEnd"/>
      <w:r w:rsidRPr="00A5088B">
        <w:t xml:space="preserve"> H. The gingival index, the plaque index and the retention sys­ </w:t>
      </w:r>
      <w:proofErr w:type="spellStart"/>
      <w:r w:rsidRPr="00A5088B">
        <w:t>tems</w:t>
      </w:r>
      <w:proofErr w:type="spellEnd"/>
      <w:r w:rsidRPr="00A5088B">
        <w:t xml:space="preserve">. </w:t>
      </w:r>
      <w:r w:rsidRPr="00A5088B">
        <w:rPr>
          <w:i/>
          <w:iCs/>
        </w:rPr>
        <w:t xml:space="preserve">J </w:t>
      </w:r>
      <w:proofErr w:type="spellStart"/>
      <w:r w:rsidRPr="00A5088B">
        <w:rPr>
          <w:i/>
          <w:iCs/>
        </w:rPr>
        <w:t>Periodontol</w:t>
      </w:r>
      <w:proofErr w:type="spellEnd"/>
      <w:r w:rsidRPr="00A5088B">
        <w:rPr>
          <w:i/>
          <w:iCs/>
        </w:rPr>
        <w:t xml:space="preserve"> </w:t>
      </w:r>
      <w:r w:rsidRPr="00A5088B">
        <w:t xml:space="preserve">1967; </w:t>
      </w:r>
      <w:proofErr w:type="gramStart"/>
      <w:r w:rsidRPr="00A5088B">
        <w:t>38 ;</w:t>
      </w:r>
      <w:proofErr w:type="gramEnd"/>
      <w:r w:rsidRPr="00A5088B">
        <w:t xml:space="preserve"> ,610 - 616 .</w:t>
      </w:r>
    </w:p>
    <w:p w14:paraId="072F5E07" w14:textId="77777777" w:rsidR="00A5088B" w:rsidRPr="00A5088B" w:rsidRDefault="00A5088B" w:rsidP="00D71DF3">
      <w:pPr>
        <w:numPr>
          <w:ilvl w:val="0"/>
          <w:numId w:val="1"/>
        </w:numPr>
        <w:spacing w:after="0"/>
        <w:jc w:val="left"/>
      </w:pPr>
      <w:r w:rsidRPr="00A5088B">
        <w:lastRenderedPageBreak/>
        <w:t xml:space="preserve">Barnett ML, </w:t>
      </w:r>
      <w:proofErr w:type="spellStart"/>
      <w:r w:rsidRPr="00A5088B">
        <w:t>Ciancio</w:t>
      </w:r>
      <w:proofErr w:type="spellEnd"/>
      <w:r w:rsidRPr="00A5088B">
        <w:t xml:space="preserve"> SG, Mather ML. The modified papillary bleeding index: Comparison with gingival index during the resolution of </w:t>
      </w:r>
      <w:proofErr w:type="gramStart"/>
      <w:r w:rsidRPr="00A5088B">
        <w:t>gingivitis .</w:t>
      </w:r>
      <w:proofErr w:type="gramEnd"/>
      <w:r w:rsidRPr="00A5088B">
        <w:t xml:space="preserve"> </w:t>
      </w:r>
      <w:r w:rsidRPr="00A5088B">
        <w:rPr>
          <w:i/>
          <w:iCs/>
        </w:rPr>
        <w:t xml:space="preserve">J </w:t>
      </w:r>
      <w:proofErr w:type="spellStart"/>
      <w:r w:rsidRPr="00A5088B">
        <w:rPr>
          <w:i/>
          <w:iCs/>
        </w:rPr>
        <w:t>Prev</w:t>
      </w:r>
      <w:proofErr w:type="spellEnd"/>
      <w:r w:rsidRPr="00A5088B">
        <w:rPr>
          <w:i/>
          <w:iCs/>
        </w:rPr>
        <w:t xml:space="preserve"> Dent </w:t>
      </w:r>
      <w:r w:rsidRPr="00A5088B">
        <w:t>1980; 6: 135-139.</w:t>
      </w:r>
    </w:p>
    <w:p w14:paraId="3F36D77C" w14:textId="77777777" w:rsidR="00D71DF3" w:rsidRDefault="00D71DF3" w:rsidP="00BF172D">
      <w:pPr>
        <w:jc w:val="left"/>
        <w:rPr>
          <w:b/>
          <w:bCs/>
        </w:rPr>
      </w:pPr>
    </w:p>
    <w:sectPr w:rsidR="00D71DF3" w:rsidSect="00BF172D">
      <w:type w:val="continuous"/>
      <w:pgSz w:w="10650" w:h="13780"/>
      <w:pgMar w:top="1440" w:right="1080" w:bottom="1440" w:left="1080" w:header="720" w:footer="720" w:gutter="0"/>
      <w:cols w:space="720" w:equalWidth="0">
        <w:col w:w="9210"/>
      </w:cols>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00000885"/>
    <w:lvl w:ilvl="0">
      <w:numFmt w:val="bullet"/>
      <w:lvlText w:val="·"/>
      <w:lvlJc w:val="left"/>
      <w:pPr>
        <w:ind w:left="294" w:hanging="183"/>
      </w:pPr>
      <w:rPr>
        <w:rFonts w:ascii="Times New Roman" w:hAnsi="Times New Roman" w:cs="Times New Roman"/>
        <w:b w:val="0"/>
        <w:bCs w:val="0"/>
        <w:color w:val="313131"/>
        <w:w w:val="65"/>
        <w:position w:val="-8"/>
        <w:sz w:val="19"/>
        <w:szCs w:val="19"/>
      </w:rPr>
    </w:lvl>
    <w:lvl w:ilvl="1">
      <w:numFmt w:val="bullet"/>
      <w:lvlText w:val="•"/>
      <w:lvlJc w:val="left"/>
      <w:pPr>
        <w:ind w:left="1270" w:hanging="183"/>
      </w:pPr>
    </w:lvl>
    <w:lvl w:ilvl="2">
      <w:numFmt w:val="bullet"/>
      <w:lvlText w:val="•"/>
      <w:lvlJc w:val="left"/>
      <w:pPr>
        <w:ind w:left="2240" w:hanging="183"/>
      </w:pPr>
    </w:lvl>
    <w:lvl w:ilvl="3">
      <w:numFmt w:val="bullet"/>
      <w:lvlText w:val="•"/>
      <w:lvlJc w:val="left"/>
      <w:pPr>
        <w:ind w:left="3210" w:hanging="183"/>
      </w:pPr>
    </w:lvl>
    <w:lvl w:ilvl="4">
      <w:numFmt w:val="bullet"/>
      <w:lvlText w:val="•"/>
      <w:lvlJc w:val="left"/>
      <w:pPr>
        <w:ind w:left="4180" w:hanging="183"/>
      </w:pPr>
    </w:lvl>
    <w:lvl w:ilvl="5">
      <w:numFmt w:val="bullet"/>
      <w:lvlText w:val="•"/>
      <w:lvlJc w:val="left"/>
      <w:pPr>
        <w:ind w:left="5150" w:hanging="183"/>
      </w:pPr>
    </w:lvl>
    <w:lvl w:ilvl="6">
      <w:numFmt w:val="bullet"/>
      <w:lvlText w:val="•"/>
      <w:lvlJc w:val="left"/>
      <w:pPr>
        <w:ind w:left="6120" w:hanging="183"/>
      </w:pPr>
    </w:lvl>
    <w:lvl w:ilvl="7">
      <w:numFmt w:val="bullet"/>
      <w:lvlText w:val="•"/>
      <w:lvlJc w:val="left"/>
      <w:pPr>
        <w:ind w:left="7090" w:hanging="183"/>
      </w:pPr>
    </w:lvl>
    <w:lvl w:ilvl="8">
      <w:numFmt w:val="bullet"/>
      <w:lvlText w:val="•"/>
      <w:lvlJc w:val="left"/>
      <w:pPr>
        <w:ind w:left="8060" w:hanging="183"/>
      </w:pPr>
    </w:lvl>
  </w:abstractNum>
  <w:abstractNum w:abstractNumId="1" w15:restartNumberingAfterBreak="0">
    <w:nsid w:val="00000403"/>
    <w:multiLevelType w:val="multilevel"/>
    <w:tmpl w:val="00000886"/>
    <w:lvl w:ilvl="0">
      <w:start w:val="1"/>
      <w:numFmt w:val="lowerLetter"/>
      <w:lvlText w:val="%1."/>
      <w:lvlJc w:val="left"/>
      <w:pPr>
        <w:ind w:left="267" w:hanging="266"/>
      </w:pPr>
      <w:rPr>
        <w:rFonts w:ascii="Times New Roman" w:hAnsi="Times New Roman" w:cs="Times New Roman"/>
        <w:b w:val="0"/>
        <w:bCs w:val="0"/>
        <w:color w:val="0E0E0E"/>
        <w:spacing w:val="-1"/>
        <w:w w:val="75"/>
        <w:sz w:val="14"/>
        <w:szCs w:val="14"/>
      </w:rPr>
    </w:lvl>
    <w:lvl w:ilvl="1">
      <w:numFmt w:val="bullet"/>
      <w:lvlText w:val="•"/>
      <w:lvlJc w:val="left"/>
      <w:pPr>
        <w:ind w:left="700" w:hanging="266"/>
      </w:pPr>
    </w:lvl>
    <w:lvl w:ilvl="2">
      <w:numFmt w:val="bullet"/>
      <w:lvlText w:val="•"/>
      <w:lvlJc w:val="left"/>
      <w:pPr>
        <w:ind w:left="1141" w:hanging="266"/>
      </w:pPr>
    </w:lvl>
    <w:lvl w:ilvl="3">
      <w:numFmt w:val="bullet"/>
      <w:lvlText w:val="•"/>
      <w:lvlJc w:val="left"/>
      <w:pPr>
        <w:ind w:left="1582" w:hanging="266"/>
      </w:pPr>
    </w:lvl>
    <w:lvl w:ilvl="4">
      <w:numFmt w:val="bullet"/>
      <w:lvlText w:val="•"/>
      <w:lvlJc w:val="left"/>
      <w:pPr>
        <w:ind w:left="2023" w:hanging="266"/>
      </w:pPr>
    </w:lvl>
    <w:lvl w:ilvl="5">
      <w:numFmt w:val="bullet"/>
      <w:lvlText w:val="•"/>
      <w:lvlJc w:val="left"/>
      <w:pPr>
        <w:ind w:left="2464" w:hanging="266"/>
      </w:pPr>
    </w:lvl>
    <w:lvl w:ilvl="6">
      <w:numFmt w:val="bullet"/>
      <w:lvlText w:val="•"/>
      <w:lvlJc w:val="left"/>
      <w:pPr>
        <w:ind w:left="2905" w:hanging="266"/>
      </w:pPr>
    </w:lvl>
    <w:lvl w:ilvl="7">
      <w:numFmt w:val="bullet"/>
      <w:lvlText w:val="•"/>
      <w:lvlJc w:val="left"/>
      <w:pPr>
        <w:ind w:left="3346" w:hanging="266"/>
      </w:pPr>
    </w:lvl>
    <w:lvl w:ilvl="8">
      <w:numFmt w:val="bullet"/>
      <w:lvlText w:val="•"/>
      <w:lvlJc w:val="left"/>
      <w:pPr>
        <w:ind w:left="3787" w:hanging="266"/>
      </w:pPr>
    </w:lvl>
  </w:abstractNum>
  <w:abstractNum w:abstractNumId="2" w15:restartNumberingAfterBreak="0">
    <w:nsid w:val="00000404"/>
    <w:multiLevelType w:val="multilevel"/>
    <w:tmpl w:val="88E07230"/>
    <w:lvl w:ilvl="0">
      <w:start w:val="1"/>
      <w:numFmt w:val="decimal"/>
      <w:lvlText w:val="%1."/>
      <w:lvlJc w:val="left"/>
      <w:pPr>
        <w:ind w:left="433" w:hanging="299"/>
      </w:pPr>
      <w:rPr>
        <w:rFonts w:ascii="Times New Roman" w:hAnsi="Times New Roman" w:cs="Times New Roman"/>
        <w:b w:val="0"/>
        <w:bCs w:val="0"/>
        <w:color w:val="0E0E0E"/>
        <w:w w:val="105"/>
        <w:sz w:val="22"/>
        <w:szCs w:val="22"/>
      </w:rPr>
    </w:lvl>
    <w:lvl w:ilvl="1">
      <w:numFmt w:val="bullet"/>
      <w:lvlText w:val="•"/>
      <w:lvlJc w:val="left"/>
      <w:pPr>
        <w:ind w:left="863" w:hanging="299"/>
      </w:pPr>
    </w:lvl>
    <w:lvl w:ilvl="2">
      <w:numFmt w:val="bullet"/>
      <w:lvlText w:val="•"/>
      <w:lvlJc w:val="left"/>
      <w:pPr>
        <w:ind w:left="1286" w:hanging="299"/>
      </w:pPr>
    </w:lvl>
    <w:lvl w:ilvl="3">
      <w:numFmt w:val="bullet"/>
      <w:lvlText w:val="•"/>
      <w:lvlJc w:val="left"/>
      <w:pPr>
        <w:ind w:left="1709" w:hanging="299"/>
      </w:pPr>
    </w:lvl>
    <w:lvl w:ilvl="4">
      <w:numFmt w:val="bullet"/>
      <w:lvlText w:val="•"/>
      <w:lvlJc w:val="left"/>
      <w:pPr>
        <w:ind w:left="2132" w:hanging="299"/>
      </w:pPr>
    </w:lvl>
    <w:lvl w:ilvl="5">
      <w:numFmt w:val="bullet"/>
      <w:lvlText w:val="•"/>
      <w:lvlJc w:val="left"/>
      <w:pPr>
        <w:ind w:left="2555" w:hanging="299"/>
      </w:pPr>
    </w:lvl>
    <w:lvl w:ilvl="6">
      <w:numFmt w:val="bullet"/>
      <w:lvlText w:val="•"/>
      <w:lvlJc w:val="left"/>
      <w:pPr>
        <w:ind w:left="2978" w:hanging="299"/>
      </w:pPr>
    </w:lvl>
    <w:lvl w:ilvl="7">
      <w:numFmt w:val="bullet"/>
      <w:lvlText w:val="•"/>
      <w:lvlJc w:val="left"/>
      <w:pPr>
        <w:ind w:left="3401" w:hanging="299"/>
      </w:pPr>
    </w:lvl>
    <w:lvl w:ilvl="8">
      <w:numFmt w:val="bullet"/>
      <w:lvlText w:val="•"/>
      <w:lvlJc w:val="left"/>
      <w:pPr>
        <w:ind w:left="3824" w:hanging="299"/>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revisionView w:inkAnnotations="0"/>
  <w:documentProtection w:edit="readOnly" w:formatting="1" w:enforcement="1" w:cryptProviderType="rsaAES" w:cryptAlgorithmClass="hash" w:cryptAlgorithmType="typeAny" w:cryptAlgorithmSid="14" w:cryptSpinCount="100000" w:hash="N0BMaX4tqnBnyTT26SqaD3RgKO/u3hYSaQbUGsLQu6VanwuHknhmMnhUrK50/8ATq5XAhgajaGizS9j4ogd9qg==" w:salt="jJeC39nx7YZCld5WR2tRAQ=="/>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88B"/>
    <w:rsid w:val="00003562"/>
    <w:rsid w:val="0000729D"/>
    <w:rsid w:val="0000734B"/>
    <w:rsid w:val="0000764D"/>
    <w:rsid w:val="00007F4F"/>
    <w:rsid w:val="0001001A"/>
    <w:rsid w:val="00010543"/>
    <w:rsid w:val="0001072F"/>
    <w:rsid w:val="000125F6"/>
    <w:rsid w:val="0001378E"/>
    <w:rsid w:val="00014F38"/>
    <w:rsid w:val="00015A2C"/>
    <w:rsid w:val="0001602F"/>
    <w:rsid w:val="000233C1"/>
    <w:rsid w:val="00024048"/>
    <w:rsid w:val="000266BE"/>
    <w:rsid w:val="0002681C"/>
    <w:rsid w:val="00026967"/>
    <w:rsid w:val="00026A77"/>
    <w:rsid w:val="00026BC7"/>
    <w:rsid w:val="0003036D"/>
    <w:rsid w:val="00030714"/>
    <w:rsid w:val="00030CD6"/>
    <w:rsid w:val="00030D64"/>
    <w:rsid w:val="00031823"/>
    <w:rsid w:val="00034205"/>
    <w:rsid w:val="00034C89"/>
    <w:rsid w:val="000356BD"/>
    <w:rsid w:val="00035704"/>
    <w:rsid w:val="000361BC"/>
    <w:rsid w:val="00037043"/>
    <w:rsid w:val="000371FE"/>
    <w:rsid w:val="0004000D"/>
    <w:rsid w:val="00041C27"/>
    <w:rsid w:val="000437DE"/>
    <w:rsid w:val="00043C8E"/>
    <w:rsid w:val="00044EBA"/>
    <w:rsid w:val="0004637E"/>
    <w:rsid w:val="0004717F"/>
    <w:rsid w:val="000525F1"/>
    <w:rsid w:val="0005313E"/>
    <w:rsid w:val="0005413F"/>
    <w:rsid w:val="00054ABF"/>
    <w:rsid w:val="000555DA"/>
    <w:rsid w:val="00056858"/>
    <w:rsid w:val="00057D20"/>
    <w:rsid w:val="000606A8"/>
    <w:rsid w:val="00061102"/>
    <w:rsid w:val="00062CB9"/>
    <w:rsid w:val="00064BB2"/>
    <w:rsid w:val="00064ECB"/>
    <w:rsid w:val="00071537"/>
    <w:rsid w:val="00072612"/>
    <w:rsid w:val="00072BE5"/>
    <w:rsid w:val="000735D6"/>
    <w:rsid w:val="00074718"/>
    <w:rsid w:val="0007477C"/>
    <w:rsid w:val="00074B64"/>
    <w:rsid w:val="00075A98"/>
    <w:rsid w:val="000769FD"/>
    <w:rsid w:val="00077000"/>
    <w:rsid w:val="00077BD6"/>
    <w:rsid w:val="00080992"/>
    <w:rsid w:val="00080A4F"/>
    <w:rsid w:val="000825A7"/>
    <w:rsid w:val="00082637"/>
    <w:rsid w:val="00083102"/>
    <w:rsid w:val="00083A4B"/>
    <w:rsid w:val="00083B7A"/>
    <w:rsid w:val="000846CC"/>
    <w:rsid w:val="00085797"/>
    <w:rsid w:val="000860EB"/>
    <w:rsid w:val="00087367"/>
    <w:rsid w:val="0008747C"/>
    <w:rsid w:val="0009064A"/>
    <w:rsid w:val="0009132A"/>
    <w:rsid w:val="00091815"/>
    <w:rsid w:val="00092DFF"/>
    <w:rsid w:val="00092F6C"/>
    <w:rsid w:val="00093C1A"/>
    <w:rsid w:val="00095142"/>
    <w:rsid w:val="00097FBC"/>
    <w:rsid w:val="000A0975"/>
    <w:rsid w:val="000A1D18"/>
    <w:rsid w:val="000A266C"/>
    <w:rsid w:val="000A2A84"/>
    <w:rsid w:val="000A325D"/>
    <w:rsid w:val="000A3F67"/>
    <w:rsid w:val="000A53DC"/>
    <w:rsid w:val="000A5B47"/>
    <w:rsid w:val="000A6C30"/>
    <w:rsid w:val="000A7A03"/>
    <w:rsid w:val="000A7F84"/>
    <w:rsid w:val="000B1EEB"/>
    <w:rsid w:val="000B22D3"/>
    <w:rsid w:val="000B2483"/>
    <w:rsid w:val="000B2768"/>
    <w:rsid w:val="000B3464"/>
    <w:rsid w:val="000B389E"/>
    <w:rsid w:val="000B42B6"/>
    <w:rsid w:val="000B430B"/>
    <w:rsid w:val="000B501D"/>
    <w:rsid w:val="000B5170"/>
    <w:rsid w:val="000B6A29"/>
    <w:rsid w:val="000C037F"/>
    <w:rsid w:val="000C0E5B"/>
    <w:rsid w:val="000C2FF6"/>
    <w:rsid w:val="000C3214"/>
    <w:rsid w:val="000C3D4F"/>
    <w:rsid w:val="000C4EA6"/>
    <w:rsid w:val="000C524C"/>
    <w:rsid w:val="000C6BA7"/>
    <w:rsid w:val="000D1CE1"/>
    <w:rsid w:val="000D33B7"/>
    <w:rsid w:val="000D3573"/>
    <w:rsid w:val="000D35EF"/>
    <w:rsid w:val="000D4CE6"/>
    <w:rsid w:val="000D4F0B"/>
    <w:rsid w:val="000D5D07"/>
    <w:rsid w:val="000D6BF2"/>
    <w:rsid w:val="000E3328"/>
    <w:rsid w:val="000E6658"/>
    <w:rsid w:val="000E69EF"/>
    <w:rsid w:val="000E73ED"/>
    <w:rsid w:val="000E7C46"/>
    <w:rsid w:val="000F0449"/>
    <w:rsid w:val="000F0807"/>
    <w:rsid w:val="000F09A4"/>
    <w:rsid w:val="000F0F94"/>
    <w:rsid w:val="000F14F0"/>
    <w:rsid w:val="000F1817"/>
    <w:rsid w:val="000F1D5E"/>
    <w:rsid w:val="000F1EF6"/>
    <w:rsid w:val="000F268D"/>
    <w:rsid w:val="000F33D0"/>
    <w:rsid w:val="000F3CF9"/>
    <w:rsid w:val="000F48CF"/>
    <w:rsid w:val="000F66A4"/>
    <w:rsid w:val="00101A98"/>
    <w:rsid w:val="001041CB"/>
    <w:rsid w:val="001049CE"/>
    <w:rsid w:val="00104CE6"/>
    <w:rsid w:val="001059F0"/>
    <w:rsid w:val="00106BAD"/>
    <w:rsid w:val="00107EA8"/>
    <w:rsid w:val="001117AB"/>
    <w:rsid w:val="00112BD7"/>
    <w:rsid w:val="0011352A"/>
    <w:rsid w:val="00114114"/>
    <w:rsid w:val="00117F89"/>
    <w:rsid w:val="00120313"/>
    <w:rsid w:val="00121201"/>
    <w:rsid w:val="0012289D"/>
    <w:rsid w:val="001233A5"/>
    <w:rsid w:val="00123BC0"/>
    <w:rsid w:val="00123E80"/>
    <w:rsid w:val="001249C7"/>
    <w:rsid w:val="00124C21"/>
    <w:rsid w:val="00130BA8"/>
    <w:rsid w:val="00131A15"/>
    <w:rsid w:val="00131C28"/>
    <w:rsid w:val="00132FC1"/>
    <w:rsid w:val="00134CF7"/>
    <w:rsid w:val="00137F46"/>
    <w:rsid w:val="0014182B"/>
    <w:rsid w:val="0014490B"/>
    <w:rsid w:val="0014491A"/>
    <w:rsid w:val="00145A36"/>
    <w:rsid w:val="0014620C"/>
    <w:rsid w:val="00146A5C"/>
    <w:rsid w:val="00146B67"/>
    <w:rsid w:val="00146E50"/>
    <w:rsid w:val="00147A9C"/>
    <w:rsid w:val="00150DB6"/>
    <w:rsid w:val="001528CE"/>
    <w:rsid w:val="00154268"/>
    <w:rsid w:val="00154D34"/>
    <w:rsid w:val="001550AB"/>
    <w:rsid w:val="001553A2"/>
    <w:rsid w:val="00160E1F"/>
    <w:rsid w:val="00161372"/>
    <w:rsid w:val="001622DB"/>
    <w:rsid w:val="001630F7"/>
    <w:rsid w:val="00163F71"/>
    <w:rsid w:val="00166636"/>
    <w:rsid w:val="00167F3C"/>
    <w:rsid w:val="00170625"/>
    <w:rsid w:val="0017104E"/>
    <w:rsid w:val="00171AC6"/>
    <w:rsid w:val="00173556"/>
    <w:rsid w:val="00174A35"/>
    <w:rsid w:val="00175940"/>
    <w:rsid w:val="00177AE4"/>
    <w:rsid w:val="0018114F"/>
    <w:rsid w:val="00181ADF"/>
    <w:rsid w:val="00183780"/>
    <w:rsid w:val="00183A38"/>
    <w:rsid w:val="001843CD"/>
    <w:rsid w:val="001854EA"/>
    <w:rsid w:val="00185C26"/>
    <w:rsid w:val="00186193"/>
    <w:rsid w:val="00194DE9"/>
    <w:rsid w:val="00196C7C"/>
    <w:rsid w:val="0019766F"/>
    <w:rsid w:val="001A17C1"/>
    <w:rsid w:val="001A1DF4"/>
    <w:rsid w:val="001A2AC9"/>
    <w:rsid w:val="001A34C4"/>
    <w:rsid w:val="001A47D5"/>
    <w:rsid w:val="001A60CB"/>
    <w:rsid w:val="001B2D35"/>
    <w:rsid w:val="001B3C8F"/>
    <w:rsid w:val="001B4979"/>
    <w:rsid w:val="001B6E76"/>
    <w:rsid w:val="001C06CD"/>
    <w:rsid w:val="001C2604"/>
    <w:rsid w:val="001C3A3F"/>
    <w:rsid w:val="001C436E"/>
    <w:rsid w:val="001C78C6"/>
    <w:rsid w:val="001D0F80"/>
    <w:rsid w:val="001D1087"/>
    <w:rsid w:val="001D1711"/>
    <w:rsid w:val="001D2448"/>
    <w:rsid w:val="001D3ADE"/>
    <w:rsid w:val="001D4926"/>
    <w:rsid w:val="001D4EB1"/>
    <w:rsid w:val="001D58D3"/>
    <w:rsid w:val="001D73BE"/>
    <w:rsid w:val="001D776C"/>
    <w:rsid w:val="001D7BCC"/>
    <w:rsid w:val="001E02CB"/>
    <w:rsid w:val="001E17BA"/>
    <w:rsid w:val="001E18FE"/>
    <w:rsid w:val="001E56DA"/>
    <w:rsid w:val="001E72FB"/>
    <w:rsid w:val="001F4219"/>
    <w:rsid w:val="001F55DF"/>
    <w:rsid w:val="001F70BC"/>
    <w:rsid w:val="001F75EB"/>
    <w:rsid w:val="001F7FBE"/>
    <w:rsid w:val="002016B1"/>
    <w:rsid w:val="00201875"/>
    <w:rsid w:val="00201AFD"/>
    <w:rsid w:val="00201FDC"/>
    <w:rsid w:val="002022D8"/>
    <w:rsid w:val="00205184"/>
    <w:rsid w:val="002054D9"/>
    <w:rsid w:val="00206486"/>
    <w:rsid w:val="00206CC8"/>
    <w:rsid w:val="00211422"/>
    <w:rsid w:val="00212109"/>
    <w:rsid w:val="0021337A"/>
    <w:rsid w:val="00213BD8"/>
    <w:rsid w:val="002143BF"/>
    <w:rsid w:val="00216589"/>
    <w:rsid w:val="002172EC"/>
    <w:rsid w:val="002222FF"/>
    <w:rsid w:val="002228CC"/>
    <w:rsid w:val="00224240"/>
    <w:rsid w:val="00225667"/>
    <w:rsid w:val="00226FA2"/>
    <w:rsid w:val="00227B6A"/>
    <w:rsid w:val="00230CE4"/>
    <w:rsid w:val="002353C9"/>
    <w:rsid w:val="0024134B"/>
    <w:rsid w:val="00241FB9"/>
    <w:rsid w:val="00242A7F"/>
    <w:rsid w:val="00243E39"/>
    <w:rsid w:val="00250050"/>
    <w:rsid w:val="00251132"/>
    <w:rsid w:val="002535DF"/>
    <w:rsid w:val="002558EB"/>
    <w:rsid w:val="00255B43"/>
    <w:rsid w:val="00255BDC"/>
    <w:rsid w:val="00255BEA"/>
    <w:rsid w:val="00256BA3"/>
    <w:rsid w:val="00261625"/>
    <w:rsid w:val="00261ABC"/>
    <w:rsid w:val="00261F59"/>
    <w:rsid w:val="002635A6"/>
    <w:rsid w:val="00263C5E"/>
    <w:rsid w:val="00265370"/>
    <w:rsid w:val="002660FA"/>
    <w:rsid w:val="002666B1"/>
    <w:rsid w:val="0027048B"/>
    <w:rsid w:val="00272AF4"/>
    <w:rsid w:val="00273E7D"/>
    <w:rsid w:val="0027542E"/>
    <w:rsid w:val="00276C06"/>
    <w:rsid w:val="002776E3"/>
    <w:rsid w:val="00280198"/>
    <w:rsid w:val="0028082B"/>
    <w:rsid w:val="00281417"/>
    <w:rsid w:val="00282094"/>
    <w:rsid w:val="002843BC"/>
    <w:rsid w:val="002849B6"/>
    <w:rsid w:val="00284A84"/>
    <w:rsid w:val="002852F5"/>
    <w:rsid w:val="0029124C"/>
    <w:rsid w:val="0029129F"/>
    <w:rsid w:val="00291581"/>
    <w:rsid w:val="00291C64"/>
    <w:rsid w:val="002920BC"/>
    <w:rsid w:val="00294C32"/>
    <w:rsid w:val="00296B90"/>
    <w:rsid w:val="00297296"/>
    <w:rsid w:val="002972DF"/>
    <w:rsid w:val="00297975"/>
    <w:rsid w:val="00297D49"/>
    <w:rsid w:val="002A0668"/>
    <w:rsid w:val="002A161E"/>
    <w:rsid w:val="002A48A1"/>
    <w:rsid w:val="002A6A17"/>
    <w:rsid w:val="002A6B8B"/>
    <w:rsid w:val="002A6DE1"/>
    <w:rsid w:val="002A78A9"/>
    <w:rsid w:val="002A7991"/>
    <w:rsid w:val="002A7FBB"/>
    <w:rsid w:val="002B073F"/>
    <w:rsid w:val="002B1A6D"/>
    <w:rsid w:val="002B1ED8"/>
    <w:rsid w:val="002B45EC"/>
    <w:rsid w:val="002B62C6"/>
    <w:rsid w:val="002C1511"/>
    <w:rsid w:val="002C17A7"/>
    <w:rsid w:val="002C2438"/>
    <w:rsid w:val="002C2DA5"/>
    <w:rsid w:val="002C3181"/>
    <w:rsid w:val="002C39A3"/>
    <w:rsid w:val="002C3DAD"/>
    <w:rsid w:val="002C4241"/>
    <w:rsid w:val="002C4714"/>
    <w:rsid w:val="002C6160"/>
    <w:rsid w:val="002C7C23"/>
    <w:rsid w:val="002D02F2"/>
    <w:rsid w:val="002D05E3"/>
    <w:rsid w:val="002D0AB4"/>
    <w:rsid w:val="002D0EAF"/>
    <w:rsid w:val="002D1585"/>
    <w:rsid w:val="002D28EA"/>
    <w:rsid w:val="002D40ED"/>
    <w:rsid w:val="002D51BB"/>
    <w:rsid w:val="002D5BAE"/>
    <w:rsid w:val="002D5DDC"/>
    <w:rsid w:val="002D6AA3"/>
    <w:rsid w:val="002D74A1"/>
    <w:rsid w:val="002E0448"/>
    <w:rsid w:val="002E1B62"/>
    <w:rsid w:val="002E37E9"/>
    <w:rsid w:val="002E3DA7"/>
    <w:rsid w:val="002E59CE"/>
    <w:rsid w:val="002E5D29"/>
    <w:rsid w:val="002E7505"/>
    <w:rsid w:val="002F0B93"/>
    <w:rsid w:val="002F0BA8"/>
    <w:rsid w:val="002F0CF3"/>
    <w:rsid w:val="002F617A"/>
    <w:rsid w:val="002F706D"/>
    <w:rsid w:val="002F7B07"/>
    <w:rsid w:val="00300EE4"/>
    <w:rsid w:val="0030197F"/>
    <w:rsid w:val="0030223E"/>
    <w:rsid w:val="00302756"/>
    <w:rsid w:val="00303A1E"/>
    <w:rsid w:val="00303BBD"/>
    <w:rsid w:val="00304B99"/>
    <w:rsid w:val="00305181"/>
    <w:rsid w:val="00305FF6"/>
    <w:rsid w:val="0030615E"/>
    <w:rsid w:val="00311ABE"/>
    <w:rsid w:val="00313440"/>
    <w:rsid w:val="00313AF8"/>
    <w:rsid w:val="00314FCD"/>
    <w:rsid w:val="00315692"/>
    <w:rsid w:val="00324290"/>
    <w:rsid w:val="003259C5"/>
    <w:rsid w:val="00326409"/>
    <w:rsid w:val="0033109A"/>
    <w:rsid w:val="00331737"/>
    <w:rsid w:val="0033243D"/>
    <w:rsid w:val="00332C11"/>
    <w:rsid w:val="003349B2"/>
    <w:rsid w:val="00335D44"/>
    <w:rsid w:val="0033652E"/>
    <w:rsid w:val="00337F51"/>
    <w:rsid w:val="00340617"/>
    <w:rsid w:val="00340B13"/>
    <w:rsid w:val="00340CDB"/>
    <w:rsid w:val="00340EA4"/>
    <w:rsid w:val="00342484"/>
    <w:rsid w:val="003427C6"/>
    <w:rsid w:val="00342A03"/>
    <w:rsid w:val="00343268"/>
    <w:rsid w:val="00343472"/>
    <w:rsid w:val="003455AA"/>
    <w:rsid w:val="00347634"/>
    <w:rsid w:val="00347C3A"/>
    <w:rsid w:val="003502FD"/>
    <w:rsid w:val="00351E90"/>
    <w:rsid w:val="00353BE7"/>
    <w:rsid w:val="00354018"/>
    <w:rsid w:val="003546E3"/>
    <w:rsid w:val="00360206"/>
    <w:rsid w:val="00361429"/>
    <w:rsid w:val="003624EE"/>
    <w:rsid w:val="003632E1"/>
    <w:rsid w:val="00363CD3"/>
    <w:rsid w:val="003656A9"/>
    <w:rsid w:val="00366852"/>
    <w:rsid w:val="003701E8"/>
    <w:rsid w:val="003706EF"/>
    <w:rsid w:val="003709E0"/>
    <w:rsid w:val="00370BE4"/>
    <w:rsid w:val="0037158F"/>
    <w:rsid w:val="00371D56"/>
    <w:rsid w:val="0037269E"/>
    <w:rsid w:val="00372B2E"/>
    <w:rsid w:val="00376AEC"/>
    <w:rsid w:val="0037755D"/>
    <w:rsid w:val="00380953"/>
    <w:rsid w:val="0038193F"/>
    <w:rsid w:val="00381F0E"/>
    <w:rsid w:val="0038204F"/>
    <w:rsid w:val="00383740"/>
    <w:rsid w:val="003842A0"/>
    <w:rsid w:val="00384AF3"/>
    <w:rsid w:val="0038549B"/>
    <w:rsid w:val="003860BF"/>
    <w:rsid w:val="0038628A"/>
    <w:rsid w:val="0038634F"/>
    <w:rsid w:val="00386643"/>
    <w:rsid w:val="00387CD8"/>
    <w:rsid w:val="00387CF4"/>
    <w:rsid w:val="00391C48"/>
    <w:rsid w:val="0039293F"/>
    <w:rsid w:val="003942E5"/>
    <w:rsid w:val="00394337"/>
    <w:rsid w:val="00394B90"/>
    <w:rsid w:val="00396043"/>
    <w:rsid w:val="00397B16"/>
    <w:rsid w:val="00397C5D"/>
    <w:rsid w:val="003A1902"/>
    <w:rsid w:val="003A2493"/>
    <w:rsid w:val="003A2EB7"/>
    <w:rsid w:val="003A437A"/>
    <w:rsid w:val="003A43C3"/>
    <w:rsid w:val="003A503E"/>
    <w:rsid w:val="003A5290"/>
    <w:rsid w:val="003A6039"/>
    <w:rsid w:val="003A6A5A"/>
    <w:rsid w:val="003B0C17"/>
    <w:rsid w:val="003B108B"/>
    <w:rsid w:val="003B47FA"/>
    <w:rsid w:val="003B5116"/>
    <w:rsid w:val="003B6208"/>
    <w:rsid w:val="003B636F"/>
    <w:rsid w:val="003B7F8F"/>
    <w:rsid w:val="003C128B"/>
    <w:rsid w:val="003C4172"/>
    <w:rsid w:val="003C437D"/>
    <w:rsid w:val="003C4456"/>
    <w:rsid w:val="003C55AA"/>
    <w:rsid w:val="003C677F"/>
    <w:rsid w:val="003C717C"/>
    <w:rsid w:val="003D3301"/>
    <w:rsid w:val="003D4641"/>
    <w:rsid w:val="003E05B7"/>
    <w:rsid w:val="003E0C0A"/>
    <w:rsid w:val="003E0C4B"/>
    <w:rsid w:val="003E20A6"/>
    <w:rsid w:val="003E2C48"/>
    <w:rsid w:val="003E36CE"/>
    <w:rsid w:val="003E6CFF"/>
    <w:rsid w:val="003F0D66"/>
    <w:rsid w:val="003F4D30"/>
    <w:rsid w:val="004010E3"/>
    <w:rsid w:val="00401354"/>
    <w:rsid w:val="004016DA"/>
    <w:rsid w:val="00403561"/>
    <w:rsid w:val="00403960"/>
    <w:rsid w:val="004055B8"/>
    <w:rsid w:val="0040709D"/>
    <w:rsid w:val="004109E2"/>
    <w:rsid w:val="004122F9"/>
    <w:rsid w:val="004124D3"/>
    <w:rsid w:val="0041253E"/>
    <w:rsid w:val="00412812"/>
    <w:rsid w:val="00412F39"/>
    <w:rsid w:val="004139BA"/>
    <w:rsid w:val="004178E7"/>
    <w:rsid w:val="004200A8"/>
    <w:rsid w:val="004206F3"/>
    <w:rsid w:val="00421CBC"/>
    <w:rsid w:val="00423740"/>
    <w:rsid w:val="004245C4"/>
    <w:rsid w:val="0043008C"/>
    <w:rsid w:val="0043078A"/>
    <w:rsid w:val="00430B91"/>
    <w:rsid w:val="00431200"/>
    <w:rsid w:val="004361DF"/>
    <w:rsid w:val="004374EF"/>
    <w:rsid w:val="00440F61"/>
    <w:rsid w:val="004414C3"/>
    <w:rsid w:val="004441CB"/>
    <w:rsid w:val="00450416"/>
    <w:rsid w:val="00450DB8"/>
    <w:rsid w:val="00450FCC"/>
    <w:rsid w:val="0045279A"/>
    <w:rsid w:val="00453D2C"/>
    <w:rsid w:val="00454851"/>
    <w:rsid w:val="00455F99"/>
    <w:rsid w:val="00456070"/>
    <w:rsid w:val="00456B26"/>
    <w:rsid w:val="004570E7"/>
    <w:rsid w:val="0045714B"/>
    <w:rsid w:val="00457268"/>
    <w:rsid w:val="004601C5"/>
    <w:rsid w:val="00460A1D"/>
    <w:rsid w:val="004613DF"/>
    <w:rsid w:val="00461BB2"/>
    <w:rsid w:val="0046232D"/>
    <w:rsid w:val="004633E4"/>
    <w:rsid w:val="00463F96"/>
    <w:rsid w:val="004660BE"/>
    <w:rsid w:val="0046696C"/>
    <w:rsid w:val="00466A00"/>
    <w:rsid w:val="00466DD7"/>
    <w:rsid w:val="004701B9"/>
    <w:rsid w:val="00471E7E"/>
    <w:rsid w:val="00471F7D"/>
    <w:rsid w:val="00472084"/>
    <w:rsid w:val="00473B19"/>
    <w:rsid w:val="00474CB3"/>
    <w:rsid w:val="00474ECD"/>
    <w:rsid w:val="004757B5"/>
    <w:rsid w:val="004816ED"/>
    <w:rsid w:val="00482190"/>
    <w:rsid w:val="004834F0"/>
    <w:rsid w:val="00483932"/>
    <w:rsid w:val="00483AF6"/>
    <w:rsid w:val="00484503"/>
    <w:rsid w:val="00485B73"/>
    <w:rsid w:val="00487185"/>
    <w:rsid w:val="004873AE"/>
    <w:rsid w:val="00487718"/>
    <w:rsid w:val="00490ABE"/>
    <w:rsid w:val="00490CBD"/>
    <w:rsid w:val="00492BF5"/>
    <w:rsid w:val="004932A8"/>
    <w:rsid w:val="004933E3"/>
    <w:rsid w:val="0049349A"/>
    <w:rsid w:val="00493CF4"/>
    <w:rsid w:val="004978F0"/>
    <w:rsid w:val="0049792C"/>
    <w:rsid w:val="00497E47"/>
    <w:rsid w:val="004A0368"/>
    <w:rsid w:val="004A2715"/>
    <w:rsid w:val="004A2894"/>
    <w:rsid w:val="004A2B41"/>
    <w:rsid w:val="004A3B3E"/>
    <w:rsid w:val="004A62A7"/>
    <w:rsid w:val="004B0F40"/>
    <w:rsid w:val="004B1076"/>
    <w:rsid w:val="004B2226"/>
    <w:rsid w:val="004B6BED"/>
    <w:rsid w:val="004B77C2"/>
    <w:rsid w:val="004B790A"/>
    <w:rsid w:val="004C0B3D"/>
    <w:rsid w:val="004C2522"/>
    <w:rsid w:val="004C2B9A"/>
    <w:rsid w:val="004C2D7B"/>
    <w:rsid w:val="004C4480"/>
    <w:rsid w:val="004C45D2"/>
    <w:rsid w:val="004C5104"/>
    <w:rsid w:val="004C5D93"/>
    <w:rsid w:val="004C60B2"/>
    <w:rsid w:val="004C6ECC"/>
    <w:rsid w:val="004D118A"/>
    <w:rsid w:val="004D1CB9"/>
    <w:rsid w:val="004D21C9"/>
    <w:rsid w:val="004D4715"/>
    <w:rsid w:val="004D52BD"/>
    <w:rsid w:val="004D5891"/>
    <w:rsid w:val="004D7E6D"/>
    <w:rsid w:val="004E0B19"/>
    <w:rsid w:val="004E165D"/>
    <w:rsid w:val="004E1FC0"/>
    <w:rsid w:val="004E317A"/>
    <w:rsid w:val="004E34F8"/>
    <w:rsid w:val="004E3C84"/>
    <w:rsid w:val="004E4436"/>
    <w:rsid w:val="004E5043"/>
    <w:rsid w:val="004E516D"/>
    <w:rsid w:val="004E528B"/>
    <w:rsid w:val="004E5C69"/>
    <w:rsid w:val="004E67BB"/>
    <w:rsid w:val="004F146C"/>
    <w:rsid w:val="004F1AFA"/>
    <w:rsid w:val="004F1E6D"/>
    <w:rsid w:val="004F1F3C"/>
    <w:rsid w:val="004F202F"/>
    <w:rsid w:val="004F4E92"/>
    <w:rsid w:val="004F5EAF"/>
    <w:rsid w:val="005027A3"/>
    <w:rsid w:val="0050408D"/>
    <w:rsid w:val="00504C6A"/>
    <w:rsid w:val="00505D81"/>
    <w:rsid w:val="00510364"/>
    <w:rsid w:val="005116C9"/>
    <w:rsid w:val="00511BEE"/>
    <w:rsid w:val="0051274C"/>
    <w:rsid w:val="00512789"/>
    <w:rsid w:val="00513F30"/>
    <w:rsid w:val="00514956"/>
    <w:rsid w:val="00514D19"/>
    <w:rsid w:val="00514EC8"/>
    <w:rsid w:val="00515BB3"/>
    <w:rsid w:val="005170FD"/>
    <w:rsid w:val="005175E9"/>
    <w:rsid w:val="00520368"/>
    <w:rsid w:val="00520871"/>
    <w:rsid w:val="0052161C"/>
    <w:rsid w:val="00523251"/>
    <w:rsid w:val="005244A6"/>
    <w:rsid w:val="00524619"/>
    <w:rsid w:val="0052658A"/>
    <w:rsid w:val="005273CC"/>
    <w:rsid w:val="00532E01"/>
    <w:rsid w:val="00533270"/>
    <w:rsid w:val="0053510A"/>
    <w:rsid w:val="005355F3"/>
    <w:rsid w:val="005371D9"/>
    <w:rsid w:val="00540146"/>
    <w:rsid w:val="00541830"/>
    <w:rsid w:val="00542483"/>
    <w:rsid w:val="00542690"/>
    <w:rsid w:val="00542895"/>
    <w:rsid w:val="00543C22"/>
    <w:rsid w:val="0054405B"/>
    <w:rsid w:val="005444BD"/>
    <w:rsid w:val="00544FBC"/>
    <w:rsid w:val="0054567F"/>
    <w:rsid w:val="00545B01"/>
    <w:rsid w:val="00545F72"/>
    <w:rsid w:val="00546B44"/>
    <w:rsid w:val="005473D6"/>
    <w:rsid w:val="005502A2"/>
    <w:rsid w:val="00553291"/>
    <w:rsid w:val="005546FF"/>
    <w:rsid w:val="005551AB"/>
    <w:rsid w:val="00556B72"/>
    <w:rsid w:val="0055717B"/>
    <w:rsid w:val="005605E4"/>
    <w:rsid w:val="005610D9"/>
    <w:rsid w:val="005611D9"/>
    <w:rsid w:val="005620D7"/>
    <w:rsid w:val="0056396B"/>
    <w:rsid w:val="00563D7B"/>
    <w:rsid w:val="00563E3B"/>
    <w:rsid w:val="005643C8"/>
    <w:rsid w:val="00566C32"/>
    <w:rsid w:val="005673D1"/>
    <w:rsid w:val="00570F38"/>
    <w:rsid w:val="00571951"/>
    <w:rsid w:val="005729BF"/>
    <w:rsid w:val="00573955"/>
    <w:rsid w:val="00576941"/>
    <w:rsid w:val="00576F1C"/>
    <w:rsid w:val="0058060B"/>
    <w:rsid w:val="00580E33"/>
    <w:rsid w:val="00583225"/>
    <w:rsid w:val="00584BD8"/>
    <w:rsid w:val="0058724D"/>
    <w:rsid w:val="005872CA"/>
    <w:rsid w:val="005928D9"/>
    <w:rsid w:val="00593D0E"/>
    <w:rsid w:val="00596151"/>
    <w:rsid w:val="00596593"/>
    <w:rsid w:val="00596A35"/>
    <w:rsid w:val="005979CD"/>
    <w:rsid w:val="005A12F0"/>
    <w:rsid w:val="005A1592"/>
    <w:rsid w:val="005A2A9D"/>
    <w:rsid w:val="005A33D9"/>
    <w:rsid w:val="005A3412"/>
    <w:rsid w:val="005A4265"/>
    <w:rsid w:val="005A46D7"/>
    <w:rsid w:val="005A5291"/>
    <w:rsid w:val="005A6FD1"/>
    <w:rsid w:val="005B08F1"/>
    <w:rsid w:val="005B1303"/>
    <w:rsid w:val="005B1E23"/>
    <w:rsid w:val="005B47BC"/>
    <w:rsid w:val="005B47BF"/>
    <w:rsid w:val="005B4F21"/>
    <w:rsid w:val="005C00EC"/>
    <w:rsid w:val="005C30E9"/>
    <w:rsid w:val="005C619B"/>
    <w:rsid w:val="005C663B"/>
    <w:rsid w:val="005C6C79"/>
    <w:rsid w:val="005D1410"/>
    <w:rsid w:val="005D1C38"/>
    <w:rsid w:val="005D1ED6"/>
    <w:rsid w:val="005D67E4"/>
    <w:rsid w:val="005D767A"/>
    <w:rsid w:val="005E0C48"/>
    <w:rsid w:val="005E0F29"/>
    <w:rsid w:val="005E2549"/>
    <w:rsid w:val="005E2628"/>
    <w:rsid w:val="005E3C5F"/>
    <w:rsid w:val="005E568D"/>
    <w:rsid w:val="005E5F66"/>
    <w:rsid w:val="005F06C7"/>
    <w:rsid w:val="005F089E"/>
    <w:rsid w:val="005F0CFB"/>
    <w:rsid w:val="005F1484"/>
    <w:rsid w:val="005F46EC"/>
    <w:rsid w:val="005F49C9"/>
    <w:rsid w:val="005F71CE"/>
    <w:rsid w:val="005F7A68"/>
    <w:rsid w:val="00600EA9"/>
    <w:rsid w:val="00601980"/>
    <w:rsid w:val="006026F6"/>
    <w:rsid w:val="0060332C"/>
    <w:rsid w:val="00604332"/>
    <w:rsid w:val="00604527"/>
    <w:rsid w:val="00604C5A"/>
    <w:rsid w:val="00607F1D"/>
    <w:rsid w:val="00611CD1"/>
    <w:rsid w:val="00612DE8"/>
    <w:rsid w:val="00615A83"/>
    <w:rsid w:val="00620A95"/>
    <w:rsid w:val="00623E47"/>
    <w:rsid w:val="00624A0D"/>
    <w:rsid w:val="00624CD2"/>
    <w:rsid w:val="006250D2"/>
    <w:rsid w:val="0062795C"/>
    <w:rsid w:val="006304F1"/>
    <w:rsid w:val="00631A06"/>
    <w:rsid w:val="00631EC6"/>
    <w:rsid w:val="00633354"/>
    <w:rsid w:val="00633D28"/>
    <w:rsid w:val="00633F1B"/>
    <w:rsid w:val="006343D4"/>
    <w:rsid w:val="00634D07"/>
    <w:rsid w:val="00635799"/>
    <w:rsid w:val="00635B64"/>
    <w:rsid w:val="00636A77"/>
    <w:rsid w:val="006371DE"/>
    <w:rsid w:val="006379B7"/>
    <w:rsid w:val="0064051B"/>
    <w:rsid w:val="006410E4"/>
    <w:rsid w:val="00641AEF"/>
    <w:rsid w:val="00645306"/>
    <w:rsid w:val="00645D2C"/>
    <w:rsid w:val="0064716B"/>
    <w:rsid w:val="00647324"/>
    <w:rsid w:val="00647B43"/>
    <w:rsid w:val="00650724"/>
    <w:rsid w:val="00650E7D"/>
    <w:rsid w:val="006517B5"/>
    <w:rsid w:val="00652076"/>
    <w:rsid w:val="00653DA3"/>
    <w:rsid w:val="00654D37"/>
    <w:rsid w:val="0065536A"/>
    <w:rsid w:val="00656971"/>
    <w:rsid w:val="0065765B"/>
    <w:rsid w:val="006621F0"/>
    <w:rsid w:val="006624D0"/>
    <w:rsid w:val="006647E7"/>
    <w:rsid w:val="00664B73"/>
    <w:rsid w:val="00666FD4"/>
    <w:rsid w:val="00667217"/>
    <w:rsid w:val="00667947"/>
    <w:rsid w:val="006702C6"/>
    <w:rsid w:val="0067102F"/>
    <w:rsid w:val="00673140"/>
    <w:rsid w:val="00674155"/>
    <w:rsid w:val="006769E6"/>
    <w:rsid w:val="00676C63"/>
    <w:rsid w:val="00677E9F"/>
    <w:rsid w:val="006812EF"/>
    <w:rsid w:val="0068218F"/>
    <w:rsid w:val="00682333"/>
    <w:rsid w:val="00683303"/>
    <w:rsid w:val="00683673"/>
    <w:rsid w:val="006844CA"/>
    <w:rsid w:val="00685476"/>
    <w:rsid w:val="00686EA1"/>
    <w:rsid w:val="006871E0"/>
    <w:rsid w:val="00687E55"/>
    <w:rsid w:val="006913FC"/>
    <w:rsid w:val="00693B53"/>
    <w:rsid w:val="00696D51"/>
    <w:rsid w:val="00697377"/>
    <w:rsid w:val="006A1F61"/>
    <w:rsid w:val="006A2697"/>
    <w:rsid w:val="006A3878"/>
    <w:rsid w:val="006A533C"/>
    <w:rsid w:val="006A5E52"/>
    <w:rsid w:val="006A712D"/>
    <w:rsid w:val="006A7B71"/>
    <w:rsid w:val="006B20FD"/>
    <w:rsid w:val="006B3B2B"/>
    <w:rsid w:val="006B5ED0"/>
    <w:rsid w:val="006B70C0"/>
    <w:rsid w:val="006B7A44"/>
    <w:rsid w:val="006C024E"/>
    <w:rsid w:val="006C2EBF"/>
    <w:rsid w:val="006C334F"/>
    <w:rsid w:val="006C6DAA"/>
    <w:rsid w:val="006C7379"/>
    <w:rsid w:val="006C73F4"/>
    <w:rsid w:val="006C7ED1"/>
    <w:rsid w:val="006D0C14"/>
    <w:rsid w:val="006D2DF4"/>
    <w:rsid w:val="006D551C"/>
    <w:rsid w:val="006D75E1"/>
    <w:rsid w:val="006D7670"/>
    <w:rsid w:val="006D7E5B"/>
    <w:rsid w:val="006E10F4"/>
    <w:rsid w:val="006E10FD"/>
    <w:rsid w:val="006E1AD0"/>
    <w:rsid w:val="006E20A4"/>
    <w:rsid w:val="006E2996"/>
    <w:rsid w:val="006E2EEC"/>
    <w:rsid w:val="006E471E"/>
    <w:rsid w:val="006E4859"/>
    <w:rsid w:val="006E49DA"/>
    <w:rsid w:val="006F1077"/>
    <w:rsid w:val="006F176B"/>
    <w:rsid w:val="006F24E3"/>
    <w:rsid w:val="006F2AC0"/>
    <w:rsid w:val="006F5C46"/>
    <w:rsid w:val="006F6F71"/>
    <w:rsid w:val="00704ED0"/>
    <w:rsid w:val="00705F37"/>
    <w:rsid w:val="007065D3"/>
    <w:rsid w:val="007065FF"/>
    <w:rsid w:val="007071B1"/>
    <w:rsid w:val="00707EC1"/>
    <w:rsid w:val="00707FE9"/>
    <w:rsid w:val="00710582"/>
    <w:rsid w:val="00714EE9"/>
    <w:rsid w:val="007155DD"/>
    <w:rsid w:val="0071586C"/>
    <w:rsid w:val="00715963"/>
    <w:rsid w:val="00716847"/>
    <w:rsid w:val="00717134"/>
    <w:rsid w:val="00721584"/>
    <w:rsid w:val="00721C8E"/>
    <w:rsid w:val="0072249A"/>
    <w:rsid w:val="00723E72"/>
    <w:rsid w:val="00724299"/>
    <w:rsid w:val="007246B0"/>
    <w:rsid w:val="00724C9A"/>
    <w:rsid w:val="007255E1"/>
    <w:rsid w:val="007258CB"/>
    <w:rsid w:val="007266FF"/>
    <w:rsid w:val="00726B89"/>
    <w:rsid w:val="00730E29"/>
    <w:rsid w:val="00731843"/>
    <w:rsid w:val="007324D1"/>
    <w:rsid w:val="00732C56"/>
    <w:rsid w:val="00732FF6"/>
    <w:rsid w:val="00734481"/>
    <w:rsid w:val="00735393"/>
    <w:rsid w:val="00735E73"/>
    <w:rsid w:val="0074291A"/>
    <w:rsid w:val="0074500D"/>
    <w:rsid w:val="00745E32"/>
    <w:rsid w:val="007466F7"/>
    <w:rsid w:val="00750B8C"/>
    <w:rsid w:val="00753AA3"/>
    <w:rsid w:val="00753F82"/>
    <w:rsid w:val="0075537D"/>
    <w:rsid w:val="00757D89"/>
    <w:rsid w:val="00760EF8"/>
    <w:rsid w:val="0076194B"/>
    <w:rsid w:val="00763676"/>
    <w:rsid w:val="007642A9"/>
    <w:rsid w:val="00765995"/>
    <w:rsid w:val="007710A6"/>
    <w:rsid w:val="00772738"/>
    <w:rsid w:val="00772776"/>
    <w:rsid w:val="00776E16"/>
    <w:rsid w:val="00776E56"/>
    <w:rsid w:val="00781619"/>
    <w:rsid w:val="00781812"/>
    <w:rsid w:val="00782A6A"/>
    <w:rsid w:val="00784972"/>
    <w:rsid w:val="007869E7"/>
    <w:rsid w:val="00786A3D"/>
    <w:rsid w:val="0078785F"/>
    <w:rsid w:val="0079146B"/>
    <w:rsid w:val="00791DD5"/>
    <w:rsid w:val="0079600D"/>
    <w:rsid w:val="00796875"/>
    <w:rsid w:val="00796BA8"/>
    <w:rsid w:val="0079756E"/>
    <w:rsid w:val="007A1233"/>
    <w:rsid w:val="007A258F"/>
    <w:rsid w:val="007A2669"/>
    <w:rsid w:val="007A3B3A"/>
    <w:rsid w:val="007A786C"/>
    <w:rsid w:val="007A795A"/>
    <w:rsid w:val="007B0BBA"/>
    <w:rsid w:val="007B3463"/>
    <w:rsid w:val="007B3AE0"/>
    <w:rsid w:val="007B5036"/>
    <w:rsid w:val="007B5514"/>
    <w:rsid w:val="007B5756"/>
    <w:rsid w:val="007B7A2D"/>
    <w:rsid w:val="007C0963"/>
    <w:rsid w:val="007C110B"/>
    <w:rsid w:val="007C16F7"/>
    <w:rsid w:val="007C1AF2"/>
    <w:rsid w:val="007C229D"/>
    <w:rsid w:val="007C7687"/>
    <w:rsid w:val="007D09FD"/>
    <w:rsid w:val="007D3314"/>
    <w:rsid w:val="007D3449"/>
    <w:rsid w:val="007D51E8"/>
    <w:rsid w:val="007D655B"/>
    <w:rsid w:val="007D762B"/>
    <w:rsid w:val="007D76A0"/>
    <w:rsid w:val="007D7C64"/>
    <w:rsid w:val="007E1819"/>
    <w:rsid w:val="007E2E07"/>
    <w:rsid w:val="007E336A"/>
    <w:rsid w:val="007E491C"/>
    <w:rsid w:val="007E5281"/>
    <w:rsid w:val="007E53E2"/>
    <w:rsid w:val="007E604C"/>
    <w:rsid w:val="007E714E"/>
    <w:rsid w:val="007F0413"/>
    <w:rsid w:val="007F12C0"/>
    <w:rsid w:val="007F12FA"/>
    <w:rsid w:val="007F14AA"/>
    <w:rsid w:val="007F19DB"/>
    <w:rsid w:val="007F1AC5"/>
    <w:rsid w:val="007F30B1"/>
    <w:rsid w:val="007F336A"/>
    <w:rsid w:val="007F3658"/>
    <w:rsid w:val="007F3932"/>
    <w:rsid w:val="007F4E20"/>
    <w:rsid w:val="007F7A0B"/>
    <w:rsid w:val="0080037D"/>
    <w:rsid w:val="00803272"/>
    <w:rsid w:val="00803569"/>
    <w:rsid w:val="00803914"/>
    <w:rsid w:val="00805723"/>
    <w:rsid w:val="008061E0"/>
    <w:rsid w:val="0080711D"/>
    <w:rsid w:val="00807B7E"/>
    <w:rsid w:val="00810C4F"/>
    <w:rsid w:val="00813292"/>
    <w:rsid w:val="00813633"/>
    <w:rsid w:val="00813E40"/>
    <w:rsid w:val="00814D31"/>
    <w:rsid w:val="00815F87"/>
    <w:rsid w:val="00816489"/>
    <w:rsid w:val="008164E4"/>
    <w:rsid w:val="00817C16"/>
    <w:rsid w:val="00820049"/>
    <w:rsid w:val="0082013E"/>
    <w:rsid w:val="0082050A"/>
    <w:rsid w:val="00820BE5"/>
    <w:rsid w:val="00822617"/>
    <w:rsid w:val="00824B15"/>
    <w:rsid w:val="00827C1A"/>
    <w:rsid w:val="00827D5E"/>
    <w:rsid w:val="00827F0D"/>
    <w:rsid w:val="00830FC0"/>
    <w:rsid w:val="00831F08"/>
    <w:rsid w:val="00831F5C"/>
    <w:rsid w:val="008322E3"/>
    <w:rsid w:val="008327DC"/>
    <w:rsid w:val="00832DD8"/>
    <w:rsid w:val="00833230"/>
    <w:rsid w:val="00834BEB"/>
    <w:rsid w:val="00834DF7"/>
    <w:rsid w:val="00836F01"/>
    <w:rsid w:val="008406F5"/>
    <w:rsid w:val="00841F1E"/>
    <w:rsid w:val="00842203"/>
    <w:rsid w:val="00842E6C"/>
    <w:rsid w:val="008431ED"/>
    <w:rsid w:val="00846DE5"/>
    <w:rsid w:val="008475AC"/>
    <w:rsid w:val="00850E3E"/>
    <w:rsid w:val="008528EA"/>
    <w:rsid w:val="00853A66"/>
    <w:rsid w:val="00856D83"/>
    <w:rsid w:val="00862717"/>
    <w:rsid w:val="00864432"/>
    <w:rsid w:val="008649A3"/>
    <w:rsid w:val="008652F6"/>
    <w:rsid w:val="008653CC"/>
    <w:rsid w:val="0086670A"/>
    <w:rsid w:val="00870BA1"/>
    <w:rsid w:val="00872ABF"/>
    <w:rsid w:val="00873CDE"/>
    <w:rsid w:val="00874421"/>
    <w:rsid w:val="00875997"/>
    <w:rsid w:val="0087796C"/>
    <w:rsid w:val="00877A24"/>
    <w:rsid w:val="00877D5B"/>
    <w:rsid w:val="00880932"/>
    <w:rsid w:val="008825B5"/>
    <w:rsid w:val="00885E74"/>
    <w:rsid w:val="008862A3"/>
    <w:rsid w:val="00886B14"/>
    <w:rsid w:val="00886D8D"/>
    <w:rsid w:val="0089152B"/>
    <w:rsid w:val="00891679"/>
    <w:rsid w:val="00892562"/>
    <w:rsid w:val="008927F4"/>
    <w:rsid w:val="00893293"/>
    <w:rsid w:val="00893B58"/>
    <w:rsid w:val="00894E4C"/>
    <w:rsid w:val="0089642A"/>
    <w:rsid w:val="00896B49"/>
    <w:rsid w:val="008A1743"/>
    <w:rsid w:val="008A1B7C"/>
    <w:rsid w:val="008A23DD"/>
    <w:rsid w:val="008A2D26"/>
    <w:rsid w:val="008A354A"/>
    <w:rsid w:val="008A36C3"/>
    <w:rsid w:val="008A5E4B"/>
    <w:rsid w:val="008A6C51"/>
    <w:rsid w:val="008B1145"/>
    <w:rsid w:val="008B15CF"/>
    <w:rsid w:val="008B2242"/>
    <w:rsid w:val="008B29DB"/>
    <w:rsid w:val="008B41A3"/>
    <w:rsid w:val="008B4AD1"/>
    <w:rsid w:val="008B6B22"/>
    <w:rsid w:val="008B6D93"/>
    <w:rsid w:val="008B7AF1"/>
    <w:rsid w:val="008C0761"/>
    <w:rsid w:val="008C3543"/>
    <w:rsid w:val="008C4C8C"/>
    <w:rsid w:val="008C6C98"/>
    <w:rsid w:val="008C6E6E"/>
    <w:rsid w:val="008C7012"/>
    <w:rsid w:val="008C78B0"/>
    <w:rsid w:val="008D0750"/>
    <w:rsid w:val="008D0F0D"/>
    <w:rsid w:val="008D0FF2"/>
    <w:rsid w:val="008D14D6"/>
    <w:rsid w:val="008D1D7F"/>
    <w:rsid w:val="008D227A"/>
    <w:rsid w:val="008D3526"/>
    <w:rsid w:val="008D6E51"/>
    <w:rsid w:val="008E05C5"/>
    <w:rsid w:val="008E213C"/>
    <w:rsid w:val="008E217A"/>
    <w:rsid w:val="008E628B"/>
    <w:rsid w:val="008E7909"/>
    <w:rsid w:val="008E7A5A"/>
    <w:rsid w:val="008F0401"/>
    <w:rsid w:val="008F04C1"/>
    <w:rsid w:val="008F2457"/>
    <w:rsid w:val="008F252A"/>
    <w:rsid w:val="008F3094"/>
    <w:rsid w:val="008F6AFD"/>
    <w:rsid w:val="008F7645"/>
    <w:rsid w:val="009011DA"/>
    <w:rsid w:val="00901CE0"/>
    <w:rsid w:val="0090248F"/>
    <w:rsid w:val="0090253F"/>
    <w:rsid w:val="00902F25"/>
    <w:rsid w:val="00903C27"/>
    <w:rsid w:val="00904059"/>
    <w:rsid w:val="0090407E"/>
    <w:rsid w:val="00904DF1"/>
    <w:rsid w:val="00905334"/>
    <w:rsid w:val="00905F86"/>
    <w:rsid w:val="009073AC"/>
    <w:rsid w:val="009079AB"/>
    <w:rsid w:val="00907ABB"/>
    <w:rsid w:val="00911307"/>
    <w:rsid w:val="0091152D"/>
    <w:rsid w:val="00911E38"/>
    <w:rsid w:val="00912F57"/>
    <w:rsid w:val="00912FE3"/>
    <w:rsid w:val="0091339D"/>
    <w:rsid w:val="00915110"/>
    <w:rsid w:val="009151B5"/>
    <w:rsid w:val="00916ADA"/>
    <w:rsid w:val="00916C64"/>
    <w:rsid w:val="00922A22"/>
    <w:rsid w:val="00925107"/>
    <w:rsid w:val="00925421"/>
    <w:rsid w:val="00925DE6"/>
    <w:rsid w:val="009267EE"/>
    <w:rsid w:val="00927998"/>
    <w:rsid w:val="009304CD"/>
    <w:rsid w:val="00932185"/>
    <w:rsid w:val="00933042"/>
    <w:rsid w:val="009346E4"/>
    <w:rsid w:val="00935F23"/>
    <w:rsid w:val="00935F72"/>
    <w:rsid w:val="009372D8"/>
    <w:rsid w:val="0093770D"/>
    <w:rsid w:val="00937D12"/>
    <w:rsid w:val="00940ED2"/>
    <w:rsid w:val="009437CC"/>
    <w:rsid w:val="00944762"/>
    <w:rsid w:val="00946810"/>
    <w:rsid w:val="00946997"/>
    <w:rsid w:val="00947014"/>
    <w:rsid w:val="0094737A"/>
    <w:rsid w:val="00950094"/>
    <w:rsid w:val="0095139E"/>
    <w:rsid w:val="00951536"/>
    <w:rsid w:val="0095175F"/>
    <w:rsid w:val="00952B32"/>
    <w:rsid w:val="00952C61"/>
    <w:rsid w:val="00952E6E"/>
    <w:rsid w:val="009542F6"/>
    <w:rsid w:val="00954B3E"/>
    <w:rsid w:val="009552EE"/>
    <w:rsid w:val="009554A6"/>
    <w:rsid w:val="00956FEB"/>
    <w:rsid w:val="00957112"/>
    <w:rsid w:val="00960DC0"/>
    <w:rsid w:val="00962B10"/>
    <w:rsid w:val="00963089"/>
    <w:rsid w:val="00963FBD"/>
    <w:rsid w:val="00963FDD"/>
    <w:rsid w:val="009650D5"/>
    <w:rsid w:val="0096535F"/>
    <w:rsid w:val="00965F35"/>
    <w:rsid w:val="00966500"/>
    <w:rsid w:val="00966D34"/>
    <w:rsid w:val="00967901"/>
    <w:rsid w:val="00972833"/>
    <w:rsid w:val="009729A3"/>
    <w:rsid w:val="00972C28"/>
    <w:rsid w:val="00973397"/>
    <w:rsid w:val="00974C68"/>
    <w:rsid w:val="009760EF"/>
    <w:rsid w:val="00977F1D"/>
    <w:rsid w:val="00982217"/>
    <w:rsid w:val="00984B39"/>
    <w:rsid w:val="00986A83"/>
    <w:rsid w:val="00990645"/>
    <w:rsid w:val="009933FA"/>
    <w:rsid w:val="00994E0E"/>
    <w:rsid w:val="00996F52"/>
    <w:rsid w:val="009A09E2"/>
    <w:rsid w:val="009A130B"/>
    <w:rsid w:val="009A2639"/>
    <w:rsid w:val="009A397F"/>
    <w:rsid w:val="009B4970"/>
    <w:rsid w:val="009B4F83"/>
    <w:rsid w:val="009B5DDC"/>
    <w:rsid w:val="009B6983"/>
    <w:rsid w:val="009B7813"/>
    <w:rsid w:val="009B783F"/>
    <w:rsid w:val="009C2070"/>
    <w:rsid w:val="009C2B3A"/>
    <w:rsid w:val="009C380F"/>
    <w:rsid w:val="009C4845"/>
    <w:rsid w:val="009C5450"/>
    <w:rsid w:val="009C5716"/>
    <w:rsid w:val="009D0CEE"/>
    <w:rsid w:val="009D1710"/>
    <w:rsid w:val="009D316A"/>
    <w:rsid w:val="009D3527"/>
    <w:rsid w:val="009D3C6A"/>
    <w:rsid w:val="009D5368"/>
    <w:rsid w:val="009D54DF"/>
    <w:rsid w:val="009E19E2"/>
    <w:rsid w:val="009E2B1A"/>
    <w:rsid w:val="009E4CE3"/>
    <w:rsid w:val="009E56AC"/>
    <w:rsid w:val="009E56AF"/>
    <w:rsid w:val="009E5864"/>
    <w:rsid w:val="009E678D"/>
    <w:rsid w:val="009F141F"/>
    <w:rsid w:val="009F245A"/>
    <w:rsid w:val="009F28E2"/>
    <w:rsid w:val="009F4A8D"/>
    <w:rsid w:val="009F4BDF"/>
    <w:rsid w:val="009F60BA"/>
    <w:rsid w:val="009F66B0"/>
    <w:rsid w:val="009F7F44"/>
    <w:rsid w:val="00A00AC5"/>
    <w:rsid w:val="00A019D8"/>
    <w:rsid w:val="00A01B8D"/>
    <w:rsid w:val="00A034AE"/>
    <w:rsid w:val="00A035F5"/>
    <w:rsid w:val="00A03797"/>
    <w:rsid w:val="00A03988"/>
    <w:rsid w:val="00A03D2C"/>
    <w:rsid w:val="00A0519B"/>
    <w:rsid w:val="00A11F34"/>
    <w:rsid w:val="00A1350A"/>
    <w:rsid w:val="00A207B7"/>
    <w:rsid w:val="00A22225"/>
    <w:rsid w:val="00A231A4"/>
    <w:rsid w:val="00A24FF6"/>
    <w:rsid w:val="00A27965"/>
    <w:rsid w:val="00A310DA"/>
    <w:rsid w:val="00A32FCB"/>
    <w:rsid w:val="00A34262"/>
    <w:rsid w:val="00A3561C"/>
    <w:rsid w:val="00A356DE"/>
    <w:rsid w:val="00A400BC"/>
    <w:rsid w:val="00A4029B"/>
    <w:rsid w:val="00A40701"/>
    <w:rsid w:val="00A42169"/>
    <w:rsid w:val="00A424F1"/>
    <w:rsid w:val="00A426B2"/>
    <w:rsid w:val="00A45EE8"/>
    <w:rsid w:val="00A465FC"/>
    <w:rsid w:val="00A47B50"/>
    <w:rsid w:val="00A50459"/>
    <w:rsid w:val="00A50696"/>
    <w:rsid w:val="00A506CB"/>
    <w:rsid w:val="00A5088B"/>
    <w:rsid w:val="00A52369"/>
    <w:rsid w:val="00A52A60"/>
    <w:rsid w:val="00A52A88"/>
    <w:rsid w:val="00A5568E"/>
    <w:rsid w:val="00A55701"/>
    <w:rsid w:val="00A56ED1"/>
    <w:rsid w:val="00A57DA3"/>
    <w:rsid w:val="00A605E3"/>
    <w:rsid w:val="00A612F9"/>
    <w:rsid w:val="00A615CF"/>
    <w:rsid w:val="00A61658"/>
    <w:rsid w:val="00A61ECF"/>
    <w:rsid w:val="00A626C9"/>
    <w:rsid w:val="00A62D0F"/>
    <w:rsid w:val="00A648A4"/>
    <w:rsid w:val="00A64DC4"/>
    <w:rsid w:val="00A650B2"/>
    <w:rsid w:val="00A66899"/>
    <w:rsid w:val="00A71394"/>
    <w:rsid w:val="00A7290A"/>
    <w:rsid w:val="00A73780"/>
    <w:rsid w:val="00A742A6"/>
    <w:rsid w:val="00A75006"/>
    <w:rsid w:val="00A76971"/>
    <w:rsid w:val="00A817FB"/>
    <w:rsid w:val="00A82932"/>
    <w:rsid w:val="00A82D07"/>
    <w:rsid w:val="00A85851"/>
    <w:rsid w:val="00A868FB"/>
    <w:rsid w:val="00A915ED"/>
    <w:rsid w:val="00A91CF2"/>
    <w:rsid w:val="00A93BA4"/>
    <w:rsid w:val="00A9416E"/>
    <w:rsid w:val="00A95E52"/>
    <w:rsid w:val="00AA0723"/>
    <w:rsid w:val="00AA1794"/>
    <w:rsid w:val="00AA2739"/>
    <w:rsid w:val="00AA30B5"/>
    <w:rsid w:val="00AA4696"/>
    <w:rsid w:val="00AA493D"/>
    <w:rsid w:val="00AB1B85"/>
    <w:rsid w:val="00AB46F0"/>
    <w:rsid w:val="00AB4807"/>
    <w:rsid w:val="00AB4813"/>
    <w:rsid w:val="00AB4F62"/>
    <w:rsid w:val="00AB67DF"/>
    <w:rsid w:val="00AB6D92"/>
    <w:rsid w:val="00AC0052"/>
    <w:rsid w:val="00AC04D6"/>
    <w:rsid w:val="00AC1274"/>
    <w:rsid w:val="00AC23F7"/>
    <w:rsid w:val="00AC2A14"/>
    <w:rsid w:val="00AC3DB4"/>
    <w:rsid w:val="00AC3EB6"/>
    <w:rsid w:val="00AD0685"/>
    <w:rsid w:val="00AD261E"/>
    <w:rsid w:val="00AD38C1"/>
    <w:rsid w:val="00AD5A78"/>
    <w:rsid w:val="00AD7BBA"/>
    <w:rsid w:val="00AE1517"/>
    <w:rsid w:val="00AE2939"/>
    <w:rsid w:val="00AE4078"/>
    <w:rsid w:val="00AE4230"/>
    <w:rsid w:val="00AE45DB"/>
    <w:rsid w:val="00AE50E1"/>
    <w:rsid w:val="00AE52F1"/>
    <w:rsid w:val="00AE5929"/>
    <w:rsid w:val="00AE5E00"/>
    <w:rsid w:val="00AE69D7"/>
    <w:rsid w:val="00AE71AA"/>
    <w:rsid w:val="00AF1374"/>
    <w:rsid w:val="00AF1E8A"/>
    <w:rsid w:val="00AF2DE8"/>
    <w:rsid w:val="00AF5947"/>
    <w:rsid w:val="00AF692A"/>
    <w:rsid w:val="00AF6D69"/>
    <w:rsid w:val="00AF7424"/>
    <w:rsid w:val="00AF7626"/>
    <w:rsid w:val="00B00848"/>
    <w:rsid w:val="00B024B2"/>
    <w:rsid w:val="00B03D08"/>
    <w:rsid w:val="00B05BF7"/>
    <w:rsid w:val="00B07287"/>
    <w:rsid w:val="00B079F6"/>
    <w:rsid w:val="00B1094A"/>
    <w:rsid w:val="00B129D1"/>
    <w:rsid w:val="00B12F61"/>
    <w:rsid w:val="00B14129"/>
    <w:rsid w:val="00B14CBC"/>
    <w:rsid w:val="00B1546B"/>
    <w:rsid w:val="00B16EB8"/>
    <w:rsid w:val="00B1760D"/>
    <w:rsid w:val="00B17FF0"/>
    <w:rsid w:val="00B22421"/>
    <w:rsid w:val="00B244E7"/>
    <w:rsid w:val="00B24981"/>
    <w:rsid w:val="00B24FF9"/>
    <w:rsid w:val="00B26EA5"/>
    <w:rsid w:val="00B270BC"/>
    <w:rsid w:val="00B30468"/>
    <w:rsid w:val="00B30898"/>
    <w:rsid w:val="00B32160"/>
    <w:rsid w:val="00B32B07"/>
    <w:rsid w:val="00B336E9"/>
    <w:rsid w:val="00B3397D"/>
    <w:rsid w:val="00B3426B"/>
    <w:rsid w:val="00B34F7B"/>
    <w:rsid w:val="00B35999"/>
    <w:rsid w:val="00B37FFD"/>
    <w:rsid w:val="00B4064E"/>
    <w:rsid w:val="00B41D9B"/>
    <w:rsid w:val="00B44213"/>
    <w:rsid w:val="00B44237"/>
    <w:rsid w:val="00B454DB"/>
    <w:rsid w:val="00B46015"/>
    <w:rsid w:val="00B46D0E"/>
    <w:rsid w:val="00B47B72"/>
    <w:rsid w:val="00B47D09"/>
    <w:rsid w:val="00B50108"/>
    <w:rsid w:val="00B52556"/>
    <w:rsid w:val="00B52575"/>
    <w:rsid w:val="00B525D3"/>
    <w:rsid w:val="00B545E5"/>
    <w:rsid w:val="00B55B5C"/>
    <w:rsid w:val="00B56290"/>
    <w:rsid w:val="00B6130E"/>
    <w:rsid w:val="00B61B54"/>
    <w:rsid w:val="00B61DD7"/>
    <w:rsid w:val="00B6351D"/>
    <w:rsid w:val="00B63911"/>
    <w:rsid w:val="00B64203"/>
    <w:rsid w:val="00B6519E"/>
    <w:rsid w:val="00B65DF1"/>
    <w:rsid w:val="00B66AF1"/>
    <w:rsid w:val="00B70245"/>
    <w:rsid w:val="00B703C2"/>
    <w:rsid w:val="00B723A1"/>
    <w:rsid w:val="00B72631"/>
    <w:rsid w:val="00B73118"/>
    <w:rsid w:val="00B73861"/>
    <w:rsid w:val="00B74E41"/>
    <w:rsid w:val="00B750C2"/>
    <w:rsid w:val="00B7740D"/>
    <w:rsid w:val="00B77EBF"/>
    <w:rsid w:val="00B802FA"/>
    <w:rsid w:val="00B80EE7"/>
    <w:rsid w:val="00B81077"/>
    <w:rsid w:val="00B81C09"/>
    <w:rsid w:val="00B823A7"/>
    <w:rsid w:val="00B82F58"/>
    <w:rsid w:val="00B835ED"/>
    <w:rsid w:val="00B84461"/>
    <w:rsid w:val="00B84C63"/>
    <w:rsid w:val="00B86814"/>
    <w:rsid w:val="00B90726"/>
    <w:rsid w:val="00B9100D"/>
    <w:rsid w:val="00B910CB"/>
    <w:rsid w:val="00B91743"/>
    <w:rsid w:val="00B91D38"/>
    <w:rsid w:val="00B927D2"/>
    <w:rsid w:val="00B92C1E"/>
    <w:rsid w:val="00B934D3"/>
    <w:rsid w:val="00B935A4"/>
    <w:rsid w:val="00B94093"/>
    <w:rsid w:val="00B945E5"/>
    <w:rsid w:val="00B94E07"/>
    <w:rsid w:val="00B95B56"/>
    <w:rsid w:val="00B9636B"/>
    <w:rsid w:val="00B974AD"/>
    <w:rsid w:val="00BA02AE"/>
    <w:rsid w:val="00BA22C6"/>
    <w:rsid w:val="00BA316D"/>
    <w:rsid w:val="00BA5F2B"/>
    <w:rsid w:val="00BA5F5E"/>
    <w:rsid w:val="00BA5FEF"/>
    <w:rsid w:val="00BA6B89"/>
    <w:rsid w:val="00BA74F0"/>
    <w:rsid w:val="00BA7628"/>
    <w:rsid w:val="00BA76D1"/>
    <w:rsid w:val="00BB2130"/>
    <w:rsid w:val="00BB30B6"/>
    <w:rsid w:val="00BB40CB"/>
    <w:rsid w:val="00BB4325"/>
    <w:rsid w:val="00BB5115"/>
    <w:rsid w:val="00BB7C37"/>
    <w:rsid w:val="00BC168F"/>
    <w:rsid w:val="00BC1E95"/>
    <w:rsid w:val="00BC1F55"/>
    <w:rsid w:val="00BC2262"/>
    <w:rsid w:val="00BC3D81"/>
    <w:rsid w:val="00BC420A"/>
    <w:rsid w:val="00BC540B"/>
    <w:rsid w:val="00BC61BA"/>
    <w:rsid w:val="00BC7302"/>
    <w:rsid w:val="00BD01F3"/>
    <w:rsid w:val="00BD0B9D"/>
    <w:rsid w:val="00BD0D8D"/>
    <w:rsid w:val="00BD439F"/>
    <w:rsid w:val="00BD493D"/>
    <w:rsid w:val="00BD4F14"/>
    <w:rsid w:val="00BE2644"/>
    <w:rsid w:val="00BE3624"/>
    <w:rsid w:val="00BE42F3"/>
    <w:rsid w:val="00BE4FAD"/>
    <w:rsid w:val="00BE551C"/>
    <w:rsid w:val="00BE5DCD"/>
    <w:rsid w:val="00BE62DD"/>
    <w:rsid w:val="00BF0E22"/>
    <w:rsid w:val="00BF172D"/>
    <w:rsid w:val="00BF202A"/>
    <w:rsid w:val="00BF4FFA"/>
    <w:rsid w:val="00BF6ECD"/>
    <w:rsid w:val="00BF790B"/>
    <w:rsid w:val="00C01E67"/>
    <w:rsid w:val="00C0482F"/>
    <w:rsid w:val="00C05302"/>
    <w:rsid w:val="00C06B6B"/>
    <w:rsid w:val="00C06F37"/>
    <w:rsid w:val="00C0799A"/>
    <w:rsid w:val="00C113E0"/>
    <w:rsid w:val="00C1254C"/>
    <w:rsid w:val="00C13438"/>
    <w:rsid w:val="00C13685"/>
    <w:rsid w:val="00C15FDA"/>
    <w:rsid w:val="00C170FF"/>
    <w:rsid w:val="00C173E1"/>
    <w:rsid w:val="00C2019E"/>
    <w:rsid w:val="00C205D5"/>
    <w:rsid w:val="00C26391"/>
    <w:rsid w:val="00C27AEF"/>
    <w:rsid w:val="00C27B23"/>
    <w:rsid w:val="00C3110E"/>
    <w:rsid w:val="00C311CF"/>
    <w:rsid w:val="00C33481"/>
    <w:rsid w:val="00C344C0"/>
    <w:rsid w:val="00C3466C"/>
    <w:rsid w:val="00C354FC"/>
    <w:rsid w:val="00C355FF"/>
    <w:rsid w:val="00C37408"/>
    <w:rsid w:val="00C40721"/>
    <w:rsid w:val="00C41367"/>
    <w:rsid w:val="00C41A64"/>
    <w:rsid w:val="00C45C02"/>
    <w:rsid w:val="00C45DCF"/>
    <w:rsid w:val="00C47122"/>
    <w:rsid w:val="00C47959"/>
    <w:rsid w:val="00C47CEA"/>
    <w:rsid w:val="00C47F5B"/>
    <w:rsid w:val="00C51071"/>
    <w:rsid w:val="00C515E0"/>
    <w:rsid w:val="00C526E4"/>
    <w:rsid w:val="00C531A3"/>
    <w:rsid w:val="00C55785"/>
    <w:rsid w:val="00C55861"/>
    <w:rsid w:val="00C57F24"/>
    <w:rsid w:val="00C61CEF"/>
    <w:rsid w:val="00C63EA6"/>
    <w:rsid w:val="00C6619F"/>
    <w:rsid w:val="00C6624A"/>
    <w:rsid w:val="00C668F0"/>
    <w:rsid w:val="00C70BBE"/>
    <w:rsid w:val="00C719BE"/>
    <w:rsid w:val="00C71AA6"/>
    <w:rsid w:val="00C742C3"/>
    <w:rsid w:val="00C75559"/>
    <w:rsid w:val="00C76D88"/>
    <w:rsid w:val="00C7785D"/>
    <w:rsid w:val="00C77A26"/>
    <w:rsid w:val="00C80685"/>
    <w:rsid w:val="00C80D73"/>
    <w:rsid w:val="00C848B9"/>
    <w:rsid w:val="00C85BDD"/>
    <w:rsid w:val="00C85F97"/>
    <w:rsid w:val="00C86B81"/>
    <w:rsid w:val="00C87BBF"/>
    <w:rsid w:val="00C9035F"/>
    <w:rsid w:val="00C91557"/>
    <w:rsid w:val="00C92F74"/>
    <w:rsid w:val="00C932EE"/>
    <w:rsid w:val="00C951A6"/>
    <w:rsid w:val="00C9684E"/>
    <w:rsid w:val="00C97E8D"/>
    <w:rsid w:val="00CA0D07"/>
    <w:rsid w:val="00CA0DF4"/>
    <w:rsid w:val="00CA1989"/>
    <w:rsid w:val="00CA1C19"/>
    <w:rsid w:val="00CA204D"/>
    <w:rsid w:val="00CA2D9C"/>
    <w:rsid w:val="00CA2E14"/>
    <w:rsid w:val="00CA60CD"/>
    <w:rsid w:val="00CB10E9"/>
    <w:rsid w:val="00CB11D6"/>
    <w:rsid w:val="00CB1FD7"/>
    <w:rsid w:val="00CB5475"/>
    <w:rsid w:val="00CB5CAE"/>
    <w:rsid w:val="00CB665E"/>
    <w:rsid w:val="00CB6E09"/>
    <w:rsid w:val="00CB7ABC"/>
    <w:rsid w:val="00CB7FC1"/>
    <w:rsid w:val="00CC09A7"/>
    <w:rsid w:val="00CC0FD9"/>
    <w:rsid w:val="00CC1235"/>
    <w:rsid w:val="00CC1F8F"/>
    <w:rsid w:val="00CC3066"/>
    <w:rsid w:val="00CC354E"/>
    <w:rsid w:val="00CC713A"/>
    <w:rsid w:val="00CD00B7"/>
    <w:rsid w:val="00CD139B"/>
    <w:rsid w:val="00CD482C"/>
    <w:rsid w:val="00CD4999"/>
    <w:rsid w:val="00CD4ACA"/>
    <w:rsid w:val="00CD5E59"/>
    <w:rsid w:val="00CD5EE7"/>
    <w:rsid w:val="00CD68E7"/>
    <w:rsid w:val="00CD7831"/>
    <w:rsid w:val="00CD7F7A"/>
    <w:rsid w:val="00CE05D4"/>
    <w:rsid w:val="00CE05E1"/>
    <w:rsid w:val="00CE1FBE"/>
    <w:rsid w:val="00CE263C"/>
    <w:rsid w:val="00CE4712"/>
    <w:rsid w:val="00CE7906"/>
    <w:rsid w:val="00CF197B"/>
    <w:rsid w:val="00CF53EE"/>
    <w:rsid w:val="00CF551B"/>
    <w:rsid w:val="00CF613C"/>
    <w:rsid w:val="00CF7D93"/>
    <w:rsid w:val="00D01E5B"/>
    <w:rsid w:val="00D02378"/>
    <w:rsid w:val="00D02BE9"/>
    <w:rsid w:val="00D0345E"/>
    <w:rsid w:val="00D0459E"/>
    <w:rsid w:val="00D05AAD"/>
    <w:rsid w:val="00D07AEC"/>
    <w:rsid w:val="00D101DD"/>
    <w:rsid w:val="00D11593"/>
    <w:rsid w:val="00D12A75"/>
    <w:rsid w:val="00D14A36"/>
    <w:rsid w:val="00D16448"/>
    <w:rsid w:val="00D17394"/>
    <w:rsid w:val="00D17B7F"/>
    <w:rsid w:val="00D21541"/>
    <w:rsid w:val="00D23FFF"/>
    <w:rsid w:val="00D26D5D"/>
    <w:rsid w:val="00D2778A"/>
    <w:rsid w:val="00D31043"/>
    <w:rsid w:val="00D31D9B"/>
    <w:rsid w:val="00D32077"/>
    <w:rsid w:val="00D32179"/>
    <w:rsid w:val="00D324C0"/>
    <w:rsid w:val="00D337FA"/>
    <w:rsid w:val="00D345B3"/>
    <w:rsid w:val="00D34A13"/>
    <w:rsid w:val="00D3640D"/>
    <w:rsid w:val="00D40F34"/>
    <w:rsid w:val="00D42AE0"/>
    <w:rsid w:val="00D43682"/>
    <w:rsid w:val="00D43F4A"/>
    <w:rsid w:val="00D45233"/>
    <w:rsid w:val="00D45330"/>
    <w:rsid w:val="00D45705"/>
    <w:rsid w:val="00D45A48"/>
    <w:rsid w:val="00D45DB8"/>
    <w:rsid w:val="00D45FAE"/>
    <w:rsid w:val="00D46EAD"/>
    <w:rsid w:val="00D505CD"/>
    <w:rsid w:val="00D5067D"/>
    <w:rsid w:val="00D50821"/>
    <w:rsid w:val="00D5107C"/>
    <w:rsid w:val="00D51C2E"/>
    <w:rsid w:val="00D51EAD"/>
    <w:rsid w:val="00D52D25"/>
    <w:rsid w:val="00D5354A"/>
    <w:rsid w:val="00D5497D"/>
    <w:rsid w:val="00D55F04"/>
    <w:rsid w:val="00D60690"/>
    <w:rsid w:val="00D6337D"/>
    <w:rsid w:val="00D65A57"/>
    <w:rsid w:val="00D65E95"/>
    <w:rsid w:val="00D66306"/>
    <w:rsid w:val="00D66B18"/>
    <w:rsid w:val="00D6742E"/>
    <w:rsid w:val="00D71DF3"/>
    <w:rsid w:val="00D726DB"/>
    <w:rsid w:val="00D7298C"/>
    <w:rsid w:val="00D73164"/>
    <w:rsid w:val="00D743D9"/>
    <w:rsid w:val="00D74D3E"/>
    <w:rsid w:val="00D77936"/>
    <w:rsid w:val="00D77DF9"/>
    <w:rsid w:val="00D77E53"/>
    <w:rsid w:val="00D801F5"/>
    <w:rsid w:val="00D8135F"/>
    <w:rsid w:val="00D81DD5"/>
    <w:rsid w:val="00D84FF7"/>
    <w:rsid w:val="00D857FB"/>
    <w:rsid w:val="00D87BB8"/>
    <w:rsid w:val="00D90BD9"/>
    <w:rsid w:val="00D90EC1"/>
    <w:rsid w:val="00D93241"/>
    <w:rsid w:val="00D932C5"/>
    <w:rsid w:val="00D939A7"/>
    <w:rsid w:val="00D9401F"/>
    <w:rsid w:val="00D94E7C"/>
    <w:rsid w:val="00D9581C"/>
    <w:rsid w:val="00D95DCB"/>
    <w:rsid w:val="00D96228"/>
    <w:rsid w:val="00D9721E"/>
    <w:rsid w:val="00DA009F"/>
    <w:rsid w:val="00DA11F5"/>
    <w:rsid w:val="00DA2B1C"/>
    <w:rsid w:val="00DA4FB9"/>
    <w:rsid w:val="00DA5459"/>
    <w:rsid w:val="00DA5D0D"/>
    <w:rsid w:val="00DA7318"/>
    <w:rsid w:val="00DB2EA8"/>
    <w:rsid w:val="00DB357A"/>
    <w:rsid w:val="00DB4233"/>
    <w:rsid w:val="00DB5097"/>
    <w:rsid w:val="00DB7559"/>
    <w:rsid w:val="00DC0046"/>
    <w:rsid w:val="00DC0B45"/>
    <w:rsid w:val="00DC15F7"/>
    <w:rsid w:val="00DC1EA9"/>
    <w:rsid w:val="00DC468B"/>
    <w:rsid w:val="00DC4F7C"/>
    <w:rsid w:val="00DC6FE3"/>
    <w:rsid w:val="00DC7134"/>
    <w:rsid w:val="00DC7C2C"/>
    <w:rsid w:val="00DD2256"/>
    <w:rsid w:val="00DD2F33"/>
    <w:rsid w:val="00DD4B55"/>
    <w:rsid w:val="00DD5871"/>
    <w:rsid w:val="00DD6ED5"/>
    <w:rsid w:val="00DD74CC"/>
    <w:rsid w:val="00DD7C34"/>
    <w:rsid w:val="00DD7D90"/>
    <w:rsid w:val="00DD7E9C"/>
    <w:rsid w:val="00DE0693"/>
    <w:rsid w:val="00DE1C67"/>
    <w:rsid w:val="00DE2F66"/>
    <w:rsid w:val="00DE4173"/>
    <w:rsid w:val="00DE4592"/>
    <w:rsid w:val="00DF015C"/>
    <w:rsid w:val="00DF4EED"/>
    <w:rsid w:val="00DF6125"/>
    <w:rsid w:val="00E00C6B"/>
    <w:rsid w:val="00E01391"/>
    <w:rsid w:val="00E03368"/>
    <w:rsid w:val="00E03B2D"/>
    <w:rsid w:val="00E0621D"/>
    <w:rsid w:val="00E13E05"/>
    <w:rsid w:val="00E15750"/>
    <w:rsid w:val="00E15784"/>
    <w:rsid w:val="00E15C5A"/>
    <w:rsid w:val="00E15CA8"/>
    <w:rsid w:val="00E16734"/>
    <w:rsid w:val="00E17472"/>
    <w:rsid w:val="00E179BE"/>
    <w:rsid w:val="00E20401"/>
    <w:rsid w:val="00E220E6"/>
    <w:rsid w:val="00E22547"/>
    <w:rsid w:val="00E2457F"/>
    <w:rsid w:val="00E24747"/>
    <w:rsid w:val="00E264D8"/>
    <w:rsid w:val="00E304E2"/>
    <w:rsid w:val="00E319F9"/>
    <w:rsid w:val="00E331C7"/>
    <w:rsid w:val="00E35240"/>
    <w:rsid w:val="00E35920"/>
    <w:rsid w:val="00E36E18"/>
    <w:rsid w:val="00E37099"/>
    <w:rsid w:val="00E37CC4"/>
    <w:rsid w:val="00E4076A"/>
    <w:rsid w:val="00E40A15"/>
    <w:rsid w:val="00E40CCE"/>
    <w:rsid w:val="00E41A69"/>
    <w:rsid w:val="00E43654"/>
    <w:rsid w:val="00E459FA"/>
    <w:rsid w:val="00E45A4B"/>
    <w:rsid w:val="00E45C7C"/>
    <w:rsid w:val="00E45FAB"/>
    <w:rsid w:val="00E46996"/>
    <w:rsid w:val="00E50522"/>
    <w:rsid w:val="00E51FCE"/>
    <w:rsid w:val="00E52F87"/>
    <w:rsid w:val="00E560B4"/>
    <w:rsid w:val="00E56666"/>
    <w:rsid w:val="00E6120D"/>
    <w:rsid w:val="00E61D06"/>
    <w:rsid w:val="00E63711"/>
    <w:rsid w:val="00E668D0"/>
    <w:rsid w:val="00E70373"/>
    <w:rsid w:val="00E7043E"/>
    <w:rsid w:val="00E70515"/>
    <w:rsid w:val="00E70C07"/>
    <w:rsid w:val="00E747D9"/>
    <w:rsid w:val="00E75D5D"/>
    <w:rsid w:val="00E766CA"/>
    <w:rsid w:val="00E76F1F"/>
    <w:rsid w:val="00E76FEE"/>
    <w:rsid w:val="00E816DB"/>
    <w:rsid w:val="00E81F85"/>
    <w:rsid w:val="00E8413D"/>
    <w:rsid w:val="00E84C2A"/>
    <w:rsid w:val="00E866A6"/>
    <w:rsid w:val="00E90CA1"/>
    <w:rsid w:val="00E91D25"/>
    <w:rsid w:val="00E94E66"/>
    <w:rsid w:val="00E95F4D"/>
    <w:rsid w:val="00E96D8C"/>
    <w:rsid w:val="00E97067"/>
    <w:rsid w:val="00EA20D1"/>
    <w:rsid w:val="00EA241E"/>
    <w:rsid w:val="00EA6E8E"/>
    <w:rsid w:val="00EA7978"/>
    <w:rsid w:val="00EA7D19"/>
    <w:rsid w:val="00EB39FD"/>
    <w:rsid w:val="00EB3EFB"/>
    <w:rsid w:val="00EB50C5"/>
    <w:rsid w:val="00EB5C2C"/>
    <w:rsid w:val="00EB6AC0"/>
    <w:rsid w:val="00EB7F70"/>
    <w:rsid w:val="00EC06A2"/>
    <w:rsid w:val="00EC474A"/>
    <w:rsid w:val="00EC4C2A"/>
    <w:rsid w:val="00EC6764"/>
    <w:rsid w:val="00EC726F"/>
    <w:rsid w:val="00EC7743"/>
    <w:rsid w:val="00EC7A2A"/>
    <w:rsid w:val="00EC7B8C"/>
    <w:rsid w:val="00EC7E59"/>
    <w:rsid w:val="00ED1071"/>
    <w:rsid w:val="00ED1F6D"/>
    <w:rsid w:val="00ED35A4"/>
    <w:rsid w:val="00ED48A6"/>
    <w:rsid w:val="00ED521A"/>
    <w:rsid w:val="00ED65E6"/>
    <w:rsid w:val="00ED6737"/>
    <w:rsid w:val="00ED6CE0"/>
    <w:rsid w:val="00EE1693"/>
    <w:rsid w:val="00EE188F"/>
    <w:rsid w:val="00EE1F48"/>
    <w:rsid w:val="00EE3C5A"/>
    <w:rsid w:val="00EE4E0F"/>
    <w:rsid w:val="00EE504D"/>
    <w:rsid w:val="00EE6494"/>
    <w:rsid w:val="00EE75E3"/>
    <w:rsid w:val="00EE7777"/>
    <w:rsid w:val="00EF0C86"/>
    <w:rsid w:val="00EF1241"/>
    <w:rsid w:val="00EF586D"/>
    <w:rsid w:val="00EF7277"/>
    <w:rsid w:val="00EF7CFD"/>
    <w:rsid w:val="00F0050E"/>
    <w:rsid w:val="00F00761"/>
    <w:rsid w:val="00F00B9A"/>
    <w:rsid w:val="00F01B36"/>
    <w:rsid w:val="00F0246E"/>
    <w:rsid w:val="00F0258B"/>
    <w:rsid w:val="00F026DB"/>
    <w:rsid w:val="00F04133"/>
    <w:rsid w:val="00F07574"/>
    <w:rsid w:val="00F11E59"/>
    <w:rsid w:val="00F12233"/>
    <w:rsid w:val="00F12CE1"/>
    <w:rsid w:val="00F136AC"/>
    <w:rsid w:val="00F14096"/>
    <w:rsid w:val="00F14820"/>
    <w:rsid w:val="00F214AB"/>
    <w:rsid w:val="00F24428"/>
    <w:rsid w:val="00F30DED"/>
    <w:rsid w:val="00F31A6E"/>
    <w:rsid w:val="00F31DB2"/>
    <w:rsid w:val="00F325DA"/>
    <w:rsid w:val="00F330FD"/>
    <w:rsid w:val="00F36BA6"/>
    <w:rsid w:val="00F37720"/>
    <w:rsid w:val="00F37C0D"/>
    <w:rsid w:val="00F4046D"/>
    <w:rsid w:val="00F40A6C"/>
    <w:rsid w:val="00F44621"/>
    <w:rsid w:val="00F44EA5"/>
    <w:rsid w:val="00F4518D"/>
    <w:rsid w:val="00F4526D"/>
    <w:rsid w:val="00F46AEA"/>
    <w:rsid w:val="00F46C28"/>
    <w:rsid w:val="00F46CF6"/>
    <w:rsid w:val="00F46FDF"/>
    <w:rsid w:val="00F47325"/>
    <w:rsid w:val="00F47AC4"/>
    <w:rsid w:val="00F47C20"/>
    <w:rsid w:val="00F503A1"/>
    <w:rsid w:val="00F51019"/>
    <w:rsid w:val="00F51021"/>
    <w:rsid w:val="00F52179"/>
    <w:rsid w:val="00F52B79"/>
    <w:rsid w:val="00F53A0E"/>
    <w:rsid w:val="00F54881"/>
    <w:rsid w:val="00F55150"/>
    <w:rsid w:val="00F5515A"/>
    <w:rsid w:val="00F559A5"/>
    <w:rsid w:val="00F55F9D"/>
    <w:rsid w:val="00F561BC"/>
    <w:rsid w:val="00F561EA"/>
    <w:rsid w:val="00F56E1A"/>
    <w:rsid w:val="00F606A8"/>
    <w:rsid w:val="00F60EEE"/>
    <w:rsid w:val="00F60FA0"/>
    <w:rsid w:val="00F6191C"/>
    <w:rsid w:val="00F6194C"/>
    <w:rsid w:val="00F6204B"/>
    <w:rsid w:val="00F6213A"/>
    <w:rsid w:val="00F62CDA"/>
    <w:rsid w:val="00F630DE"/>
    <w:rsid w:val="00F6448C"/>
    <w:rsid w:val="00F659DD"/>
    <w:rsid w:val="00F65D8A"/>
    <w:rsid w:val="00F70230"/>
    <w:rsid w:val="00F7224E"/>
    <w:rsid w:val="00F73FA1"/>
    <w:rsid w:val="00F74422"/>
    <w:rsid w:val="00F75D8C"/>
    <w:rsid w:val="00F76222"/>
    <w:rsid w:val="00F76FF2"/>
    <w:rsid w:val="00F82131"/>
    <w:rsid w:val="00F83712"/>
    <w:rsid w:val="00F8678D"/>
    <w:rsid w:val="00F86BEC"/>
    <w:rsid w:val="00F93897"/>
    <w:rsid w:val="00F9447B"/>
    <w:rsid w:val="00F944E0"/>
    <w:rsid w:val="00F95C39"/>
    <w:rsid w:val="00F960C1"/>
    <w:rsid w:val="00F97A1F"/>
    <w:rsid w:val="00FA132A"/>
    <w:rsid w:val="00FA1529"/>
    <w:rsid w:val="00FA1FC3"/>
    <w:rsid w:val="00FA431A"/>
    <w:rsid w:val="00FA45B3"/>
    <w:rsid w:val="00FA54C6"/>
    <w:rsid w:val="00FA574E"/>
    <w:rsid w:val="00FA5E0B"/>
    <w:rsid w:val="00FA73F5"/>
    <w:rsid w:val="00FA7BFA"/>
    <w:rsid w:val="00FB00F5"/>
    <w:rsid w:val="00FB0527"/>
    <w:rsid w:val="00FB2748"/>
    <w:rsid w:val="00FB3A37"/>
    <w:rsid w:val="00FB635D"/>
    <w:rsid w:val="00FB6BC1"/>
    <w:rsid w:val="00FB6FAB"/>
    <w:rsid w:val="00FC0EED"/>
    <w:rsid w:val="00FC11D2"/>
    <w:rsid w:val="00FC1405"/>
    <w:rsid w:val="00FC5089"/>
    <w:rsid w:val="00FC5134"/>
    <w:rsid w:val="00FD0FFF"/>
    <w:rsid w:val="00FD21BD"/>
    <w:rsid w:val="00FD305E"/>
    <w:rsid w:val="00FD366A"/>
    <w:rsid w:val="00FD6FC5"/>
    <w:rsid w:val="00FD748A"/>
    <w:rsid w:val="00FE2208"/>
    <w:rsid w:val="00FE2769"/>
    <w:rsid w:val="00FE2ED0"/>
    <w:rsid w:val="00FE33BE"/>
    <w:rsid w:val="00FE3C8C"/>
    <w:rsid w:val="00FE430B"/>
    <w:rsid w:val="00FE46AF"/>
    <w:rsid w:val="00FE73C3"/>
    <w:rsid w:val="00FF1F94"/>
    <w:rsid w:val="00FF290A"/>
    <w:rsid w:val="00FF2B49"/>
    <w:rsid w:val="00FF3001"/>
    <w:rsid w:val="00FF5582"/>
    <w:rsid w:val="00FF5629"/>
    <w:rsid w:val="00FF728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36C3F4D8"/>
  <w15:chartTrackingRefBased/>
  <w15:docId w15:val="{3AC131E8-3056-4C19-9089-170E6DBAF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1102"/>
    <w:rPr>
      <w:sz w:val="24"/>
    </w:rPr>
  </w:style>
  <w:style w:type="paragraph" w:styleId="Heading1">
    <w:name w:val="heading 1"/>
    <w:basedOn w:val="Normal"/>
    <w:next w:val="Normal"/>
    <w:link w:val="Heading1Char"/>
    <w:uiPriority w:val="1"/>
    <w:qFormat/>
    <w:rsid w:val="00061102"/>
    <w:pPr>
      <w:keepNext/>
      <w:keepLines/>
      <w:spacing w:before="320" w:after="40"/>
      <w:outlineLvl w:val="0"/>
    </w:pPr>
    <w:rPr>
      <w:rFonts w:eastAsiaTheme="majorEastAsia" w:cstheme="minorHAnsi"/>
      <w:b/>
      <w:bCs/>
      <w:spacing w:val="4"/>
      <w:sz w:val="28"/>
      <w:szCs w:val="28"/>
    </w:rPr>
  </w:style>
  <w:style w:type="paragraph" w:styleId="Heading2">
    <w:name w:val="heading 2"/>
    <w:basedOn w:val="Normal"/>
    <w:next w:val="Normal"/>
    <w:link w:val="Heading2Char"/>
    <w:uiPriority w:val="9"/>
    <w:unhideWhenUsed/>
    <w:qFormat/>
    <w:rsid w:val="00061102"/>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semiHidden/>
    <w:unhideWhenUsed/>
    <w:qFormat/>
    <w:rsid w:val="00061102"/>
    <w:pPr>
      <w:keepNext/>
      <w:keepLines/>
      <w:spacing w:before="120" w:after="0"/>
      <w:outlineLvl w:val="2"/>
    </w:pPr>
    <w:rPr>
      <w:rFonts w:asciiTheme="majorHAnsi" w:eastAsiaTheme="majorEastAsia" w:hAnsiTheme="majorHAnsi" w:cstheme="majorBidi"/>
      <w:spacing w:val="4"/>
      <w:szCs w:val="24"/>
    </w:rPr>
  </w:style>
  <w:style w:type="paragraph" w:styleId="Heading4">
    <w:name w:val="heading 4"/>
    <w:basedOn w:val="Normal"/>
    <w:next w:val="Normal"/>
    <w:link w:val="Heading4Char"/>
    <w:uiPriority w:val="9"/>
    <w:semiHidden/>
    <w:unhideWhenUsed/>
    <w:qFormat/>
    <w:rsid w:val="00061102"/>
    <w:pPr>
      <w:keepNext/>
      <w:keepLines/>
      <w:spacing w:before="120" w:after="0"/>
      <w:outlineLvl w:val="3"/>
    </w:pPr>
    <w:rPr>
      <w:rFonts w:asciiTheme="majorHAnsi" w:eastAsiaTheme="majorEastAsia" w:hAnsiTheme="majorHAnsi" w:cstheme="majorBidi"/>
      <w:i/>
      <w:iCs/>
      <w:szCs w:val="24"/>
    </w:rPr>
  </w:style>
  <w:style w:type="paragraph" w:styleId="Heading5">
    <w:name w:val="heading 5"/>
    <w:basedOn w:val="Normal"/>
    <w:next w:val="Normal"/>
    <w:link w:val="Heading5Char"/>
    <w:uiPriority w:val="9"/>
    <w:semiHidden/>
    <w:unhideWhenUsed/>
    <w:qFormat/>
    <w:rsid w:val="00061102"/>
    <w:pPr>
      <w:keepNext/>
      <w:keepLines/>
      <w:spacing w:before="120" w:after="0"/>
      <w:outlineLvl w:val="4"/>
    </w:pPr>
    <w:rPr>
      <w:rFonts w:asciiTheme="majorHAnsi" w:eastAsiaTheme="majorEastAsia" w:hAnsiTheme="majorHAnsi" w:cstheme="majorBidi"/>
      <w:b/>
      <w:bCs/>
      <w:sz w:val="22"/>
    </w:rPr>
  </w:style>
  <w:style w:type="paragraph" w:styleId="Heading6">
    <w:name w:val="heading 6"/>
    <w:basedOn w:val="Normal"/>
    <w:next w:val="Normal"/>
    <w:link w:val="Heading6Char"/>
    <w:uiPriority w:val="9"/>
    <w:semiHidden/>
    <w:unhideWhenUsed/>
    <w:qFormat/>
    <w:rsid w:val="00061102"/>
    <w:pPr>
      <w:keepNext/>
      <w:keepLines/>
      <w:spacing w:before="120" w:after="0"/>
      <w:outlineLvl w:val="5"/>
    </w:pPr>
    <w:rPr>
      <w:rFonts w:asciiTheme="majorHAnsi" w:eastAsiaTheme="majorEastAsia" w:hAnsiTheme="majorHAnsi" w:cstheme="majorBidi"/>
      <w:b/>
      <w:bCs/>
      <w:i/>
      <w:iCs/>
      <w:sz w:val="22"/>
    </w:rPr>
  </w:style>
  <w:style w:type="paragraph" w:styleId="Heading7">
    <w:name w:val="heading 7"/>
    <w:basedOn w:val="Normal"/>
    <w:next w:val="Normal"/>
    <w:link w:val="Heading7Char"/>
    <w:uiPriority w:val="9"/>
    <w:semiHidden/>
    <w:unhideWhenUsed/>
    <w:qFormat/>
    <w:rsid w:val="00061102"/>
    <w:pPr>
      <w:keepNext/>
      <w:keepLines/>
      <w:spacing w:before="120" w:after="0"/>
      <w:outlineLvl w:val="6"/>
    </w:pPr>
    <w:rPr>
      <w:i/>
      <w:iCs/>
      <w:sz w:val="22"/>
    </w:rPr>
  </w:style>
  <w:style w:type="paragraph" w:styleId="Heading8">
    <w:name w:val="heading 8"/>
    <w:basedOn w:val="Normal"/>
    <w:next w:val="Normal"/>
    <w:link w:val="Heading8Char"/>
    <w:uiPriority w:val="9"/>
    <w:semiHidden/>
    <w:unhideWhenUsed/>
    <w:qFormat/>
    <w:rsid w:val="00061102"/>
    <w:pPr>
      <w:keepNext/>
      <w:keepLines/>
      <w:spacing w:before="120" w:after="0"/>
      <w:outlineLvl w:val="7"/>
    </w:pPr>
    <w:rPr>
      <w:b/>
      <w:bCs/>
      <w:sz w:val="22"/>
    </w:rPr>
  </w:style>
  <w:style w:type="paragraph" w:styleId="Heading9">
    <w:name w:val="heading 9"/>
    <w:basedOn w:val="Normal"/>
    <w:next w:val="Normal"/>
    <w:link w:val="Heading9Char"/>
    <w:uiPriority w:val="9"/>
    <w:semiHidden/>
    <w:unhideWhenUsed/>
    <w:qFormat/>
    <w:rsid w:val="00061102"/>
    <w:pPr>
      <w:keepNext/>
      <w:keepLines/>
      <w:spacing w:before="120" w:after="0"/>
      <w:outlineLvl w:val="8"/>
    </w:pPr>
    <w:rPr>
      <w:i/>
      <w:iCs/>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061102"/>
    <w:rPr>
      <w:rFonts w:eastAsiaTheme="majorEastAsia" w:cstheme="minorHAnsi"/>
      <w:b/>
      <w:bCs/>
      <w:spacing w:val="4"/>
      <w:sz w:val="28"/>
      <w:szCs w:val="28"/>
    </w:rPr>
  </w:style>
  <w:style w:type="character" w:customStyle="1" w:styleId="Heading2Char">
    <w:name w:val="Heading 2 Char"/>
    <w:basedOn w:val="DefaultParagraphFont"/>
    <w:link w:val="Heading2"/>
    <w:uiPriority w:val="9"/>
    <w:rsid w:val="00061102"/>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semiHidden/>
    <w:rsid w:val="00061102"/>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semiHidden/>
    <w:rsid w:val="00061102"/>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061102"/>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061102"/>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061102"/>
    <w:rPr>
      <w:i/>
      <w:iCs/>
    </w:rPr>
  </w:style>
  <w:style w:type="character" w:customStyle="1" w:styleId="Heading8Char">
    <w:name w:val="Heading 8 Char"/>
    <w:basedOn w:val="DefaultParagraphFont"/>
    <w:link w:val="Heading8"/>
    <w:uiPriority w:val="9"/>
    <w:semiHidden/>
    <w:rsid w:val="00061102"/>
    <w:rPr>
      <w:b/>
      <w:bCs/>
    </w:rPr>
  </w:style>
  <w:style w:type="character" w:customStyle="1" w:styleId="Heading9Char">
    <w:name w:val="Heading 9 Char"/>
    <w:basedOn w:val="DefaultParagraphFont"/>
    <w:link w:val="Heading9"/>
    <w:uiPriority w:val="9"/>
    <w:semiHidden/>
    <w:rsid w:val="00061102"/>
    <w:rPr>
      <w:i/>
      <w:iCs/>
    </w:rPr>
  </w:style>
  <w:style w:type="paragraph" w:styleId="Caption">
    <w:name w:val="caption"/>
    <w:basedOn w:val="Normal"/>
    <w:next w:val="Normal"/>
    <w:uiPriority w:val="35"/>
    <w:semiHidden/>
    <w:unhideWhenUsed/>
    <w:qFormat/>
    <w:rsid w:val="00061102"/>
    <w:rPr>
      <w:b/>
      <w:bCs/>
      <w:sz w:val="18"/>
      <w:szCs w:val="18"/>
    </w:rPr>
  </w:style>
  <w:style w:type="paragraph" w:styleId="Title">
    <w:name w:val="Title"/>
    <w:basedOn w:val="Normal"/>
    <w:next w:val="Normal"/>
    <w:link w:val="TitleChar"/>
    <w:uiPriority w:val="10"/>
    <w:qFormat/>
    <w:rsid w:val="00061102"/>
    <w:pPr>
      <w:spacing w:after="0" w:line="240" w:lineRule="auto"/>
      <w:contextualSpacing/>
      <w:jc w:val="center"/>
    </w:pPr>
    <w:rPr>
      <w:rFonts w:eastAsiaTheme="majorEastAsia" w:cstheme="minorHAnsi"/>
      <w:b/>
      <w:bCs/>
      <w:spacing w:val="-7"/>
      <w:sz w:val="48"/>
      <w:szCs w:val="48"/>
    </w:rPr>
  </w:style>
  <w:style w:type="character" w:customStyle="1" w:styleId="TitleChar">
    <w:name w:val="Title Char"/>
    <w:basedOn w:val="DefaultParagraphFont"/>
    <w:link w:val="Title"/>
    <w:uiPriority w:val="10"/>
    <w:rsid w:val="00061102"/>
    <w:rPr>
      <w:rFonts w:eastAsiaTheme="majorEastAsia" w:cstheme="minorHAnsi"/>
      <w:b/>
      <w:bCs/>
      <w:spacing w:val="-7"/>
      <w:sz w:val="48"/>
      <w:szCs w:val="48"/>
    </w:rPr>
  </w:style>
  <w:style w:type="paragraph" w:styleId="Subtitle">
    <w:name w:val="Subtitle"/>
    <w:basedOn w:val="Normal"/>
    <w:next w:val="Normal"/>
    <w:link w:val="SubtitleChar"/>
    <w:uiPriority w:val="11"/>
    <w:qFormat/>
    <w:rsid w:val="00061102"/>
    <w:pPr>
      <w:numPr>
        <w:ilvl w:val="1"/>
      </w:numPr>
      <w:spacing w:after="240"/>
      <w:jc w:val="center"/>
    </w:pPr>
    <w:rPr>
      <w:rFonts w:asciiTheme="majorHAnsi" w:eastAsiaTheme="majorEastAsia" w:hAnsiTheme="majorHAnsi" w:cstheme="majorBidi"/>
      <w:szCs w:val="24"/>
    </w:rPr>
  </w:style>
  <w:style w:type="character" w:customStyle="1" w:styleId="SubtitleChar">
    <w:name w:val="Subtitle Char"/>
    <w:basedOn w:val="DefaultParagraphFont"/>
    <w:link w:val="Subtitle"/>
    <w:uiPriority w:val="11"/>
    <w:rsid w:val="00061102"/>
    <w:rPr>
      <w:rFonts w:asciiTheme="majorHAnsi" w:eastAsiaTheme="majorEastAsia" w:hAnsiTheme="majorHAnsi" w:cstheme="majorBidi"/>
      <w:sz w:val="24"/>
      <w:szCs w:val="24"/>
    </w:rPr>
  </w:style>
  <w:style w:type="character" w:styleId="Strong">
    <w:name w:val="Strong"/>
    <w:basedOn w:val="DefaultParagraphFont"/>
    <w:uiPriority w:val="22"/>
    <w:qFormat/>
    <w:rsid w:val="00061102"/>
    <w:rPr>
      <w:b/>
      <w:bCs/>
      <w:color w:val="auto"/>
    </w:rPr>
  </w:style>
  <w:style w:type="character" w:styleId="Emphasis">
    <w:name w:val="Emphasis"/>
    <w:basedOn w:val="DefaultParagraphFont"/>
    <w:uiPriority w:val="20"/>
    <w:qFormat/>
    <w:rsid w:val="00061102"/>
    <w:rPr>
      <w:i/>
      <w:iCs/>
      <w:color w:val="auto"/>
    </w:rPr>
  </w:style>
  <w:style w:type="paragraph" w:styleId="NoSpacing">
    <w:name w:val="No Spacing"/>
    <w:uiPriority w:val="1"/>
    <w:qFormat/>
    <w:rsid w:val="00061102"/>
    <w:pPr>
      <w:spacing w:after="0" w:line="240" w:lineRule="auto"/>
    </w:pPr>
  </w:style>
  <w:style w:type="paragraph" w:styleId="ListParagraph">
    <w:name w:val="List Paragraph"/>
    <w:basedOn w:val="Normal"/>
    <w:uiPriority w:val="1"/>
    <w:qFormat/>
    <w:rsid w:val="00061102"/>
    <w:pPr>
      <w:ind w:left="720"/>
      <w:contextualSpacing/>
    </w:pPr>
  </w:style>
  <w:style w:type="paragraph" w:styleId="Quote">
    <w:name w:val="Quote"/>
    <w:basedOn w:val="Normal"/>
    <w:next w:val="Normal"/>
    <w:link w:val="QuoteChar"/>
    <w:uiPriority w:val="29"/>
    <w:qFormat/>
    <w:rsid w:val="00061102"/>
    <w:pPr>
      <w:spacing w:before="200" w:line="264" w:lineRule="auto"/>
      <w:ind w:left="864" w:right="864"/>
      <w:jc w:val="center"/>
    </w:pPr>
    <w:rPr>
      <w:rFonts w:asciiTheme="majorHAnsi" w:eastAsiaTheme="majorEastAsia" w:hAnsiTheme="majorHAnsi" w:cstheme="majorBidi"/>
      <w:i/>
      <w:iCs/>
      <w:szCs w:val="24"/>
    </w:rPr>
  </w:style>
  <w:style w:type="character" w:customStyle="1" w:styleId="QuoteChar">
    <w:name w:val="Quote Char"/>
    <w:basedOn w:val="DefaultParagraphFont"/>
    <w:link w:val="Quote"/>
    <w:uiPriority w:val="29"/>
    <w:rsid w:val="00061102"/>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061102"/>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061102"/>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061102"/>
    <w:rPr>
      <w:i/>
      <w:iCs/>
      <w:color w:val="auto"/>
    </w:rPr>
  </w:style>
  <w:style w:type="character" w:styleId="IntenseEmphasis">
    <w:name w:val="Intense Emphasis"/>
    <w:basedOn w:val="DefaultParagraphFont"/>
    <w:uiPriority w:val="21"/>
    <w:qFormat/>
    <w:rsid w:val="00061102"/>
    <w:rPr>
      <w:b/>
      <w:bCs/>
      <w:i/>
      <w:iCs/>
      <w:color w:val="auto"/>
    </w:rPr>
  </w:style>
  <w:style w:type="character" w:styleId="SubtleReference">
    <w:name w:val="Subtle Reference"/>
    <w:basedOn w:val="DefaultParagraphFont"/>
    <w:uiPriority w:val="31"/>
    <w:qFormat/>
    <w:rsid w:val="00061102"/>
    <w:rPr>
      <w:smallCaps/>
      <w:color w:val="auto"/>
      <w:u w:val="single" w:color="7F7F7F" w:themeColor="text1" w:themeTint="80"/>
    </w:rPr>
  </w:style>
  <w:style w:type="character" w:styleId="IntenseReference">
    <w:name w:val="Intense Reference"/>
    <w:basedOn w:val="DefaultParagraphFont"/>
    <w:uiPriority w:val="32"/>
    <w:qFormat/>
    <w:rsid w:val="00061102"/>
    <w:rPr>
      <w:b/>
      <w:bCs/>
      <w:smallCaps/>
      <w:color w:val="auto"/>
      <w:u w:val="single"/>
    </w:rPr>
  </w:style>
  <w:style w:type="character" w:styleId="BookTitle">
    <w:name w:val="Book Title"/>
    <w:basedOn w:val="DefaultParagraphFont"/>
    <w:uiPriority w:val="33"/>
    <w:qFormat/>
    <w:rsid w:val="00061102"/>
    <w:rPr>
      <w:b/>
      <w:bCs/>
      <w:smallCaps/>
      <w:color w:val="auto"/>
    </w:rPr>
  </w:style>
  <w:style w:type="paragraph" w:styleId="TOCHeading">
    <w:name w:val="TOC Heading"/>
    <w:basedOn w:val="Heading1"/>
    <w:next w:val="Normal"/>
    <w:uiPriority w:val="39"/>
    <w:semiHidden/>
    <w:unhideWhenUsed/>
    <w:qFormat/>
    <w:rsid w:val="00061102"/>
    <w:pPr>
      <w:outlineLvl w:val="9"/>
    </w:pPr>
  </w:style>
  <w:style w:type="paragraph" w:styleId="BodyText">
    <w:name w:val="Body Text"/>
    <w:basedOn w:val="Normal"/>
    <w:link w:val="BodyTextChar"/>
    <w:uiPriority w:val="1"/>
    <w:qFormat/>
    <w:rsid w:val="00A5088B"/>
    <w:pPr>
      <w:autoSpaceDE w:val="0"/>
      <w:autoSpaceDN w:val="0"/>
      <w:adjustRightInd w:val="0"/>
      <w:spacing w:after="0" w:line="240" w:lineRule="auto"/>
      <w:jc w:val="left"/>
    </w:pPr>
    <w:rPr>
      <w:rFonts w:ascii="Times New Roman" w:hAnsi="Times New Roman" w:cs="Times New Roman"/>
      <w:sz w:val="19"/>
      <w:szCs w:val="19"/>
    </w:rPr>
  </w:style>
  <w:style w:type="character" w:customStyle="1" w:styleId="BodyTextChar">
    <w:name w:val="Body Text Char"/>
    <w:basedOn w:val="DefaultParagraphFont"/>
    <w:link w:val="BodyText"/>
    <w:uiPriority w:val="1"/>
    <w:rsid w:val="00A5088B"/>
    <w:rPr>
      <w:rFonts w:ascii="Times New Roman" w:hAnsi="Times New Roman" w:cs="Times New Roman"/>
      <w:sz w:val="19"/>
      <w:szCs w:val="19"/>
    </w:rPr>
  </w:style>
  <w:style w:type="paragraph" w:customStyle="1" w:styleId="TableParagraph">
    <w:name w:val="Table Paragraph"/>
    <w:basedOn w:val="Normal"/>
    <w:uiPriority w:val="1"/>
    <w:qFormat/>
    <w:rsid w:val="00A5088B"/>
    <w:pPr>
      <w:autoSpaceDE w:val="0"/>
      <w:autoSpaceDN w:val="0"/>
      <w:adjustRightInd w:val="0"/>
      <w:spacing w:after="0" w:line="143" w:lineRule="exact"/>
      <w:ind w:left="264"/>
      <w:jc w:val="left"/>
    </w:pPr>
    <w:rPr>
      <w:rFonts w:ascii="Times New Roman" w:hAnsi="Times New Roman" w:cs="Times New Roman"/>
      <w:szCs w:val="24"/>
    </w:rPr>
  </w:style>
  <w:style w:type="table" w:styleId="TableGridLight">
    <w:name w:val="Grid Table Light"/>
    <w:basedOn w:val="TableNormal"/>
    <w:uiPriority w:val="40"/>
    <w:rsid w:val="00B7386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b26d341fd9139462a3fcbc41e25a9bcd">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59855e73d7103bde26452a7648e240b2"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E98E06-4E31-48E5-993E-80194CB913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D66D73-0ABA-42F8-B330-4B207010DAF6}">
  <ds:schemaRefs>
    <ds:schemaRef ds:uri="http://schemas.microsoft.com/sharepoint/v3/contenttype/forms"/>
  </ds:schemaRefs>
</ds:datastoreItem>
</file>

<file path=customXml/itemProps3.xml><?xml version="1.0" encoding="utf-8"?>
<ds:datastoreItem xmlns:ds="http://schemas.openxmlformats.org/officeDocument/2006/customXml" ds:itemID="{4F843D19-5C39-49E3-B0D7-9A1BE16581A0}">
  <ds:schemaRefs>
    <ds:schemaRef ds:uri="1dc5a16d-a9e1-4107-81af-b56e13c8526c"/>
    <ds:schemaRef ds:uri="http://purl.org/dc/dcmitype/"/>
    <ds:schemaRef ds:uri="http://www.w3.org/XML/1998/namespace"/>
    <ds:schemaRef ds:uri="http://schemas.microsoft.com/office/2006/documentManagement/types"/>
    <ds:schemaRef ds:uri="http://purl.org/dc/terms/"/>
    <ds:schemaRef ds:uri="455b151d-75b8-4438-a72d-e06b314124a1"/>
    <ds:schemaRef ds:uri="http://purl.org/dc/elements/1.1/"/>
    <ds:schemaRef ds:uri="http://schemas.openxmlformats.org/package/2006/metadata/core-properties"/>
    <ds:schemaRef ds:uri="http://schemas.microsoft.com/office/infopath/2007/PartnerControl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8</Pages>
  <Words>2363</Words>
  <Characters>13471</Characters>
  <Application>Microsoft Office Word</Application>
  <DocSecurity>8</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cp:revision>
  <dcterms:created xsi:type="dcterms:W3CDTF">2019-04-16T14:50:00Z</dcterms:created>
  <dcterms:modified xsi:type="dcterms:W3CDTF">2019-04-16T15:35:00Z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