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FE039D7" w:rsidR="000A7622" w:rsidRPr="00C04F25" w:rsidRDefault="00D42257" w:rsidP="00D14423">
      <w:pPr>
        <w:autoSpaceDE w:val="0"/>
        <w:autoSpaceDN w:val="0"/>
        <w:adjustRightInd w:val="0"/>
        <w:rPr>
          <w:rFonts w:cstheme="minorHAnsi"/>
          <w:b/>
          <w:bCs/>
          <w:i/>
          <w:iCs/>
          <w:sz w:val="32"/>
          <w:szCs w:val="32"/>
        </w:rPr>
      </w:pPr>
      <w:r>
        <w:rPr>
          <w:rFonts w:cstheme="minorHAnsi"/>
          <w:b/>
          <w:bCs/>
          <w:i/>
          <w:iCs/>
          <w:sz w:val="32"/>
          <w:szCs w:val="32"/>
        </w:rPr>
        <w:t>Sociology</w:t>
      </w:r>
      <w:r w:rsidR="00765F1D">
        <w:rPr>
          <w:rFonts w:cstheme="minorHAnsi"/>
          <w:b/>
          <w:bCs/>
          <w:i/>
          <w:iCs/>
          <w:sz w:val="32"/>
          <w:szCs w:val="32"/>
        </w:rPr>
        <w:t xml:space="preserve"> and Cultural Sciences</w:t>
      </w:r>
      <w:r>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Arts &amp; </w:t>
      </w:r>
      <w:r w:rsidR="00A30B16">
        <w:rPr>
          <w:rFonts w:cstheme="minorHAnsi"/>
          <w:b/>
          <w:bCs/>
          <w:i/>
          <w:iCs/>
          <w:sz w:val="32"/>
          <w:szCs w:val="32"/>
        </w:rPr>
        <w:t>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B5D48EE" w:rsidR="00440BC4" w:rsidRDefault="00BA0529" w:rsidP="00D42257">
      <w:pPr>
        <w:rPr>
          <w:rFonts w:cstheme="minorHAnsi"/>
          <w:b/>
          <w:bCs/>
          <w:sz w:val="24"/>
          <w:szCs w:val="24"/>
        </w:rPr>
      </w:pPr>
      <w:r>
        <w:rPr>
          <w:rFonts w:cstheme="minorHAnsi"/>
          <w:i/>
          <w:iCs/>
          <w:sz w:val="24"/>
          <w:szCs w:val="24"/>
          <w:lang w:val="fr-FR"/>
        </w:rPr>
        <w:t>Journal of Crime &amp; Justice</w:t>
      </w:r>
      <w:r w:rsidR="000A7622" w:rsidRPr="00C04F25">
        <w:rPr>
          <w:rFonts w:cstheme="minorHAnsi"/>
          <w:sz w:val="24"/>
          <w:szCs w:val="24"/>
          <w:lang w:val="fr-FR"/>
        </w:rPr>
        <w:t xml:space="preserve">, Vol. </w:t>
      </w:r>
      <w:r w:rsidR="007440E5">
        <w:rPr>
          <w:rFonts w:cstheme="minorHAnsi"/>
          <w:sz w:val="24"/>
          <w:szCs w:val="24"/>
          <w:lang w:val="fr-FR"/>
        </w:rPr>
        <w:t>40</w:t>
      </w:r>
      <w:r w:rsidR="000A7622" w:rsidRPr="00C04F25">
        <w:rPr>
          <w:rFonts w:cstheme="minorHAnsi"/>
          <w:sz w:val="24"/>
          <w:szCs w:val="24"/>
          <w:lang w:val="fr-FR"/>
        </w:rPr>
        <w:t xml:space="preserve">, No. </w:t>
      </w:r>
      <w:r w:rsidR="007440E5">
        <w:rPr>
          <w:rFonts w:cstheme="minorHAnsi"/>
          <w:sz w:val="24"/>
          <w:szCs w:val="24"/>
          <w:lang w:val="fr-FR"/>
        </w:rPr>
        <w:t>4</w:t>
      </w:r>
      <w:r w:rsidR="000A7622" w:rsidRPr="00C04F25">
        <w:rPr>
          <w:rFonts w:cstheme="minorHAnsi"/>
          <w:sz w:val="24"/>
          <w:szCs w:val="24"/>
          <w:lang w:val="fr-FR"/>
        </w:rPr>
        <w:t xml:space="preserve"> (</w:t>
      </w:r>
      <w:r w:rsidR="007440E5">
        <w:rPr>
          <w:rFonts w:cstheme="minorHAnsi"/>
          <w:sz w:val="24"/>
          <w:szCs w:val="24"/>
          <w:lang w:val="fr-FR"/>
        </w:rPr>
        <w:t>2017</w:t>
      </w:r>
      <w:r w:rsidR="000A7622" w:rsidRPr="00C04F25">
        <w:rPr>
          <w:rFonts w:cstheme="minorHAnsi"/>
          <w:sz w:val="24"/>
          <w:szCs w:val="24"/>
          <w:lang w:val="fr-FR"/>
        </w:rPr>
        <w:t xml:space="preserve">): </w:t>
      </w:r>
      <w:r w:rsidR="00BF4948">
        <w:rPr>
          <w:rFonts w:cstheme="minorHAnsi"/>
          <w:sz w:val="24"/>
          <w:szCs w:val="24"/>
          <w:lang w:val="fr-FR"/>
        </w:rPr>
        <w:t>430</w:t>
      </w:r>
      <w:r w:rsidR="000A7622" w:rsidRPr="00C04F25">
        <w:rPr>
          <w:rFonts w:cstheme="minorHAnsi"/>
          <w:sz w:val="24"/>
          <w:szCs w:val="24"/>
          <w:lang w:val="fr-FR"/>
        </w:rPr>
        <w:t>-</w:t>
      </w:r>
      <w:r w:rsidR="00BF4948">
        <w:rPr>
          <w:rFonts w:cstheme="minorHAnsi"/>
          <w:sz w:val="24"/>
          <w:szCs w:val="24"/>
          <w:lang w:val="fr-FR"/>
        </w:rPr>
        <w:t>445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42257">
        <w:rPr>
          <w:rFonts w:cstheme="minorHAnsi"/>
          <w:sz w:val="24"/>
          <w:szCs w:val="24"/>
        </w:rPr>
        <w:t xml:space="preserve">Taylor &amp; Francis </w:t>
      </w:r>
      <w:r w:rsidR="000A7622" w:rsidRPr="00C04F25">
        <w:rPr>
          <w:rFonts w:cstheme="minorHAnsi"/>
          <w:sz w:val="24"/>
          <w:szCs w:val="24"/>
        </w:rPr>
        <w:t xml:space="preserve">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42257">
        <w:rPr>
          <w:rFonts w:cstheme="minorHAnsi"/>
          <w:sz w:val="24"/>
          <w:szCs w:val="24"/>
        </w:rPr>
        <w:t>Taylor &amp; Francis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D42257">
        <w:rPr>
          <w:rFonts w:cstheme="minorHAnsi"/>
          <w:sz w:val="24"/>
          <w:szCs w:val="24"/>
        </w:rPr>
        <w:t>Taylor &amp; Francis</w:t>
      </w:r>
      <w:r w:rsidR="000A7622" w:rsidRPr="00E77278">
        <w:rPr>
          <w:rFonts w:cstheme="minorHAnsi"/>
          <w:sz w:val="24"/>
          <w:szCs w:val="24"/>
        </w:rPr>
        <w:t>.</w:t>
      </w:r>
      <w:bookmarkEnd w:id="1"/>
    </w:p>
    <w:p w14:paraId="39AF6E05" w14:textId="63E3AC36" w:rsidR="005E0C6B" w:rsidRDefault="005E0C6B" w:rsidP="00CA7511">
      <w:pPr>
        <w:pStyle w:val="Title"/>
      </w:pPr>
      <w:r w:rsidRPr="005E0C6B">
        <w:t>Alcohol Outlets, Social Disorganization, and Non-Violent Crimes in Urban Neighborhoods</w:t>
      </w:r>
    </w:p>
    <w:p w14:paraId="494CE494" w14:textId="77777777" w:rsidR="00A24B43" w:rsidRPr="00A24B43" w:rsidRDefault="00A24B43" w:rsidP="00A24B43"/>
    <w:p w14:paraId="08DE5B32" w14:textId="77777777" w:rsidR="00CA7511" w:rsidRPr="00A24B43" w:rsidRDefault="00CA7511" w:rsidP="00CA7511">
      <w:pPr>
        <w:pStyle w:val="NoSpacing"/>
        <w:rPr>
          <w:sz w:val="32"/>
          <w:szCs w:val="32"/>
        </w:rPr>
      </w:pPr>
      <w:r w:rsidRPr="00A24B43">
        <w:rPr>
          <w:sz w:val="32"/>
          <w:szCs w:val="32"/>
        </w:rPr>
        <w:t>Aleksandra J. Snowden</w:t>
      </w:r>
    </w:p>
    <w:p w14:paraId="2ACABA2B" w14:textId="77777777" w:rsidR="00CA7511" w:rsidRPr="00A24B43" w:rsidRDefault="00CA7511" w:rsidP="00CA7511">
      <w:pPr>
        <w:pStyle w:val="NoSpacing"/>
        <w:rPr>
          <w:sz w:val="24"/>
          <w:szCs w:val="24"/>
        </w:rPr>
      </w:pPr>
      <w:r w:rsidRPr="00A24B43">
        <w:rPr>
          <w:sz w:val="24"/>
          <w:szCs w:val="24"/>
        </w:rPr>
        <w:t>University of Wisconsin-Milwaukee</w:t>
      </w:r>
    </w:p>
    <w:p w14:paraId="5B328FD6" w14:textId="09E17ED0" w:rsidR="00CA7511" w:rsidRPr="00A24B43" w:rsidRDefault="00CA7511" w:rsidP="00CA7511">
      <w:pPr>
        <w:pStyle w:val="NoSpacing"/>
        <w:rPr>
          <w:sz w:val="24"/>
          <w:szCs w:val="24"/>
        </w:rPr>
      </w:pPr>
      <w:r w:rsidRPr="00A24B43">
        <w:rPr>
          <w:sz w:val="32"/>
          <w:szCs w:val="32"/>
        </w:rPr>
        <w:t>Thomas D. Stucky</w:t>
      </w:r>
      <w:r w:rsidRPr="00A24B43">
        <w:rPr>
          <w:sz w:val="32"/>
          <w:szCs w:val="32"/>
        </w:rPr>
        <w:br/>
      </w:r>
      <w:r w:rsidRPr="00A24B43">
        <w:rPr>
          <w:sz w:val="24"/>
          <w:szCs w:val="24"/>
        </w:rPr>
        <w:t>Indiana University</w:t>
      </w:r>
    </w:p>
    <w:p w14:paraId="662E9E40" w14:textId="7E72ECBE" w:rsidR="00CA7511" w:rsidRPr="00A24B43" w:rsidRDefault="00CA7511" w:rsidP="00CA7511">
      <w:pPr>
        <w:pStyle w:val="NoSpacing"/>
        <w:rPr>
          <w:sz w:val="32"/>
          <w:szCs w:val="32"/>
        </w:rPr>
      </w:pPr>
      <w:r w:rsidRPr="00A24B43">
        <w:rPr>
          <w:sz w:val="32"/>
          <w:szCs w:val="32"/>
        </w:rPr>
        <w:t>William A. Pridemore</w:t>
      </w:r>
    </w:p>
    <w:p w14:paraId="547CF070" w14:textId="065D28CD" w:rsidR="00CA7511" w:rsidRPr="00A24B43" w:rsidRDefault="00CA7511" w:rsidP="00CA7511">
      <w:pPr>
        <w:pStyle w:val="NoSpacing"/>
        <w:rPr>
          <w:sz w:val="24"/>
          <w:szCs w:val="24"/>
        </w:rPr>
      </w:pPr>
      <w:r w:rsidRPr="00A24B43">
        <w:rPr>
          <w:sz w:val="24"/>
          <w:szCs w:val="24"/>
        </w:rPr>
        <w:t>University at Albany</w:t>
      </w:r>
    </w:p>
    <w:p w14:paraId="73636F53" w14:textId="77777777" w:rsidR="00CA7511" w:rsidRPr="00CA7511" w:rsidRDefault="00CA7511" w:rsidP="00CA7511">
      <w:pPr>
        <w:pStyle w:val="NoSpacing"/>
      </w:pPr>
    </w:p>
    <w:p w14:paraId="4B9DBCBA" w14:textId="7BDAA7E1" w:rsidR="00CD62F1" w:rsidRDefault="00CD62F1" w:rsidP="00CA7511">
      <w:pPr>
        <w:pStyle w:val="Heading1"/>
      </w:pPr>
      <w:r>
        <w:t>Abstract</w:t>
      </w:r>
    </w:p>
    <w:p w14:paraId="0C322D3D" w14:textId="4D0E82A2" w:rsidR="00AE26B3" w:rsidRDefault="00AE26B3" w:rsidP="00D14423">
      <w:pPr>
        <w:rPr>
          <w:rFonts w:cstheme="minorHAnsi"/>
          <w:sz w:val="24"/>
          <w:szCs w:val="24"/>
        </w:rPr>
      </w:pPr>
      <w:r w:rsidRPr="00AE26B3">
        <w:rPr>
          <w:rFonts w:cstheme="minorHAnsi"/>
          <w:sz w:val="24"/>
          <w:szCs w:val="24"/>
        </w:rPr>
        <w:t>Many studies show an association between alcohol outlets and violence, though fewer consider non-violent crime. We add to this literature using block group data from Milwaukee, Wisconsin, to explore whether (1) on- and off-premise alcohol outlet density is related to thefts from vehicles and vandalism and (2) social disorganization moderates these associations. Using spatially informed regression models, we found positive effects of on-premise alcohol outlet density on thefts from vehicles. We also found positive effects of on- and off-premise alcohol outlet density on vandalism. Social disorganization was not a consistent moderator of these associations.</w:t>
      </w:r>
    </w:p>
    <w:p w14:paraId="4525F67B" w14:textId="035147C7" w:rsidR="00AE26B3" w:rsidRDefault="00AE26B3" w:rsidP="00CA7511">
      <w:pPr>
        <w:pStyle w:val="Heading1"/>
      </w:pPr>
      <w:r>
        <w:t>Keywords</w:t>
      </w:r>
    </w:p>
    <w:p w14:paraId="5C9C7E00" w14:textId="70A98343" w:rsidR="00AE26B3" w:rsidRDefault="00AE26B3" w:rsidP="00D14423">
      <w:pPr>
        <w:rPr>
          <w:rFonts w:cstheme="minorHAnsi"/>
          <w:sz w:val="24"/>
          <w:szCs w:val="24"/>
        </w:rPr>
      </w:pPr>
      <w:r>
        <w:rPr>
          <w:rFonts w:cstheme="minorHAnsi"/>
          <w:sz w:val="24"/>
          <w:szCs w:val="24"/>
        </w:rPr>
        <w:t>Alcohol outlet density, non-violent</w:t>
      </w:r>
      <w:r w:rsidR="0068725E">
        <w:rPr>
          <w:rFonts w:cstheme="minorHAnsi"/>
          <w:sz w:val="24"/>
          <w:szCs w:val="24"/>
        </w:rPr>
        <w:t>, social disorganization</w:t>
      </w:r>
    </w:p>
    <w:p w14:paraId="316A15AE" w14:textId="15993DDA" w:rsidR="0068725E" w:rsidRDefault="0068725E" w:rsidP="00CA7511">
      <w:pPr>
        <w:pStyle w:val="Heading1"/>
      </w:pPr>
      <w:r>
        <w:lastRenderedPageBreak/>
        <w:t>Introduction</w:t>
      </w:r>
    </w:p>
    <w:p w14:paraId="38501463" w14:textId="578C1FEE" w:rsidR="002C1178" w:rsidRPr="002C1178" w:rsidRDefault="002C1178" w:rsidP="002C1178">
      <w:pPr>
        <w:rPr>
          <w:rFonts w:cstheme="minorHAnsi"/>
          <w:sz w:val="24"/>
          <w:szCs w:val="24"/>
        </w:rPr>
      </w:pPr>
      <w:r w:rsidRPr="002C1178">
        <w:rPr>
          <w:rFonts w:cstheme="minorHAnsi"/>
          <w:sz w:val="24"/>
          <w:szCs w:val="24"/>
        </w:rPr>
        <w:t xml:space="preserve">There is substantial evidence from studies in multiple disciplines like criminology, public health, and epidemiology of an association between alcohol availability and violent crime rates (Snowden </w:t>
      </w:r>
      <w:hyperlink r:id="rId11" w:history="1">
        <w:r w:rsidRPr="002C1178">
          <w:rPr>
            <w:rStyle w:val="Hyperlink"/>
            <w:rFonts w:cstheme="minorHAnsi"/>
            <w:sz w:val="24"/>
            <w:szCs w:val="24"/>
          </w:rPr>
          <w:t>2015</w:t>
        </w:r>
      </w:hyperlink>
      <w:r w:rsidRPr="002C1178">
        <w:rPr>
          <w:rFonts w:cstheme="minorHAnsi"/>
          <w:sz w:val="24"/>
          <w:szCs w:val="24"/>
        </w:rPr>
        <w:t xml:space="preserve">). Alcohol availability is usually operationalized as alcohol outlet density and has been found to be associated with rates of homicide (Scribner et al. </w:t>
      </w:r>
      <w:hyperlink r:id="rId12" w:history="1">
        <w:r w:rsidRPr="002C1178">
          <w:rPr>
            <w:rStyle w:val="Hyperlink"/>
            <w:rFonts w:cstheme="minorHAnsi"/>
            <w:sz w:val="24"/>
            <w:szCs w:val="24"/>
          </w:rPr>
          <w:t>1999</w:t>
        </w:r>
      </w:hyperlink>
      <w:r w:rsidRPr="002C1178">
        <w:rPr>
          <w:rFonts w:cstheme="minorHAnsi"/>
          <w:sz w:val="24"/>
          <w:szCs w:val="24"/>
        </w:rPr>
        <w:t>), simple and aggravated assaults (</w:t>
      </w:r>
      <w:proofErr w:type="spellStart"/>
      <w:r w:rsidRPr="002C1178">
        <w:rPr>
          <w:rFonts w:cstheme="minorHAnsi"/>
          <w:sz w:val="24"/>
          <w:szCs w:val="24"/>
        </w:rPr>
        <w:t>Pridemore</w:t>
      </w:r>
      <w:proofErr w:type="spellEnd"/>
      <w:r w:rsidRPr="002C1178">
        <w:rPr>
          <w:rFonts w:cstheme="minorHAnsi"/>
          <w:sz w:val="24"/>
          <w:szCs w:val="24"/>
        </w:rPr>
        <w:t xml:space="preserve"> and Grubesic </w:t>
      </w:r>
      <w:hyperlink r:id="rId13" w:history="1">
        <w:r w:rsidRPr="002C1178">
          <w:rPr>
            <w:rStyle w:val="Hyperlink"/>
            <w:rFonts w:cstheme="minorHAnsi"/>
            <w:sz w:val="24"/>
            <w:szCs w:val="24"/>
          </w:rPr>
          <w:t>2013</w:t>
        </w:r>
      </w:hyperlink>
      <w:r w:rsidRPr="002C1178">
        <w:rPr>
          <w:rFonts w:cstheme="minorHAnsi"/>
          <w:sz w:val="24"/>
          <w:szCs w:val="24"/>
        </w:rPr>
        <w:t xml:space="preserve">; Snowden and </w:t>
      </w:r>
      <w:proofErr w:type="spellStart"/>
      <w:r w:rsidRPr="002C1178">
        <w:rPr>
          <w:rFonts w:cstheme="minorHAnsi"/>
          <w:sz w:val="24"/>
          <w:szCs w:val="24"/>
        </w:rPr>
        <w:t>Pridemore</w:t>
      </w:r>
      <w:proofErr w:type="spellEnd"/>
      <w:r w:rsidRPr="002C1178">
        <w:rPr>
          <w:rFonts w:cstheme="minorHAnsi"/>
          <w:sz w:val="24"/>
          <w:szCs w:val="24"/>
        </w:rPr>
        <w:t xml:space="preserve"> </w:t>
      </w:r>
      <w:hyperlink r:id="rId14" w:history="1">
        <w:r w:rsidRPr="002C1178">
          <w:rPr>
            <w:rStyle w:val="Hyperlink"/>
            <w:rFonts w:cstheme="minorHAnsi"/>
            <w:sz w:val="24"/>
            <w:szCs w:val="24"/>
          </w:rPr>
          <w:t>2013a</w:t>
        </w:r>
      </w:hyperlink>
      <w:r w:rsidRPr="002C1178">
        <w:rPr>
          <w:rFonts w:cstheme="minorHAnsi"/>
          <w:sz w:val="24"/>
          <w:szCs w:val="24"/>
        </w:rPr>
        <w:t xml:space="preserve">), and other types of violent crimes like rape, robbery, and domestic violence (Livingston </w:t>
      </w:r>
      <w:hyperlink r:id="rId15" w:history="1">
        <w:r w:rsidRPr="002C1178">
          <w:rPr>
            <w:rStyle w:val="Hyperlink"/>
            <w:rFonts w:cstheme="minorHAnsi"/>
            <w:sz w:val="24"/>
            <w:szCs w:val="24"/>
          </w:rPr>
          <w:t>2011</w:t>
        </w:r>
      </w:hyperlink>
      <w:r w:rsidRPr="002C1178">
        <w:rPr>
          <w:rFonts w:cstheme="minorHAnsi"/>
          <w:sz w:val="24"/>
          <w:szCs w:val="24"/>
        </w:rPr>
        <w:t xml:space="preserve">; Scribner, MacKinnon, and Dwyer </w:t>
      </w:r>
      <w:hyperlink r:id="rId16" w:history="1">
        <w:r w:rsidRPr="002C1178">
          <w:rPr>
            <w:rStyle w:val="Hyperlink"/>
            <w:rFonts w:cstheme="minorHAnsi"/>
            <w:sz w:val="24"/>
            <w:szCs w:val="24"/>
          </w:rPr>
          <w:t>1995</w:t>
        </w:r>
      </w:hyperlink>
      <w:r w:rsidRPr="002C1178">
        <w:rPr>
          <w:rFonts w:cstheme="minorHAnsi"/>
          <w:sz w:val="24"/>
          <w:szCs w:val="24"/>
        </w:rPr>
        <w:t xml:space="preserve">; Snowden, </w:t>
      </w:r>
      <w:hyperlink r:id="rId17" w:history="1">
        <w:r w:rsidRPr="002C1178">
          <w:rPr>
            <w:rStyle w:val="Hyperlink"/>
            <w:rFonts w:cstheme="minorHAnsi"/>
            <w:sz w:val="24"/>
            <w:szCs w:val="24"/>
          </w:rPr>
          <w:t>2016a</w:t>
        </w:r>
      </w:hyperlink>
      <w:r w:rsidRPr="002C1178">
        <w:rPr>
          <w:rFonts w:cstheme="minorHAnsi"/>
          <w:sz w:val="24"/>
          <w:szCs w:val="24"/>
        </w:rPr>
        <w:t xml:space="preserve">; Snowden and </w:t>
      </w:r>
      <w:proofErr w:type="spellStart"/>
      <w:r w:rsidRPr="002C1178">
        <w:rPr>
          <w:rFonts w:cstheme="minorHAnsi"/>
          <w:sz w:val="24"/>
          <w:szCs w:val="24"/>
        </w:rPr>
        <w:t>Freiburger</w:t>
      </w:r>
      <w:proofErr w:type="spellEnd"/>
      <w:r w:rsidRPr="002C1178">
        <w:rPr>
          <w:rFonts w:cstheme="minorHAnsi"/>
          <w:sz w:val="24"/>
          <w:szCs w:val="24"/>
        </w:rPr>
        <w:t xml:space="preserve"> </w:t>
      </w:r>
      <w:hyperlink r:id="rId18" w:history="1">
        <w:r w:rsidRPr="002C1178">
          <w:rPr>
            <w:rStyle w:val="Hyperlink"/>
            <w:rFonts w:cstheme="minorHAnsi"/>
            <w:sz w:val="24"/>
            <w:szCs w:val="24"/>
          </w:rPr>
          <w:t>2015b</w:t>
        </w:r>
      </w:hyperlink>
      <w:r w:rsidRPr="002C1178">
        <w:rPr>
          <w:rFonts w:cstheme="minorHAnsi"/>
          <w:sz w:val="24"/>
          <w:szCs w:val="24"/>
        </w:rPr>
        <w:t>). Less is known, however, about the impact of alcohol outlets on non-violent crimes. This is important because non-violent and violent crimes often have different structural correlates and because there are theoretical reasons to believe the effects of alcohol outlet density on these types of crime may vary. Although non-violent crimes are less serious than violent crimes, they are much more common and play a key role in the daily quality of life of community members and in their perceptions of neighborhood safety and vitality, all of which hold important implications for individuals and neighborhoods. Therefore, the goal of this study was to examine the impact of alcohol outlet density on non-violent crimes.</w:t>
      </w:r>
    </w:p>
    <w:p w14:paraId="732AF29A" w14:textId="020951B3" w:rsidR="002C1178" w:rsidRPr="002C1178" w:rsidRDefault="002C1178" w:rsidP="002C1178">
      <w:pPr>
        <w:rPr>
          <w:rFonts w:cstheme="minorHAnsi"/>
          <w:sz w:val="24"/>
          <w:szCs w:val="24"/>
        </w:rPr>
      </w:pPr>
      <w:r w:rsidRPr="002C1178">
        <w:rPr>
          <w:rFonts w:cstheme="minorHAnsi"/>
          <w:sz w:val="24"/>
          <w:szCs w:val="24"/>
        </w:rPr>
        <w:t>Our study makes several important contributions to the literature on alcohol outlets and crime. First, we focus on non-violent crimes as an outcome. Second, we test the hypothesis of differential effects of on- and off-premise alcohol outlets. Third, we test a recent innovative hypothesis in this literature that community-level social disorganization moderates the association between alcohol outlet density and crime (</w:t>
      </w:r>
      <w:proofErr w:type="spellStart"/>
      <w:r w:rsidRPr="002C1178">
        <w:rPr>
          <w:rFonts w:cstheme="minorHAnsi"/>
          <w:sz w:val="24"/>
          <w:szCs w:val="24"/>
        </w:rPr>
        <w:t>Pridemore</w:t>
      </w:r>
      <w:proofErr w:type="spellEnd"/>
      <w:r w:rsidRPr="002C1178">
        <w:rPr>
          <w:rFonts w:cstheme="minorHAnsi"/>
          <w:sz w:val="24"/>
          <w:szCs w:val="24"/>
        </w:rPr>
        <w:t xml:space="preserve"> and Grubesic </w:t>
      </w:r>
      <w:hyperlink r:id="rId19" w:history="1">
        <w:r w:rsidRPr="002C1178">
          <w:rPr>
            <w:rStyle w:val="Hyperlink"/>
            <w:rFonts w:cstheme="minorHAnsi"/>
            <w:sz w:val="24"/>
            <w:szCs w:val="24"/>
          </w:rPr>
          <w:t>2012</w:t>
        </w:r>
      </w:hyperlink>
      <w:r w:rsidRPr="002C1178">
        <w:rPr>
          <w:rFonts w:cstheme="minorHAnsi"/>
          <w:sz w:val="24"/>
          <w:szCs w:val="24"/>
        </w:rPr>
        <w:t>). Finally, we take important methodological factors into account, including (1) using block groups as our units of analysis, which are the smallest units for which common measures of structural covariates of crime are available and which are generally accepted proxies for neighborhoods in crime and health research, and (2) estimating spatially informed regression models, which is important because of the likelihood of spatial autocorrelation generally and because research on incivilities and fear of crime reveals the presence of supra-neighborhood localized processes (</w:t>
      </w:r>
      <w:proofErr w:type="spellStart"/>
      <w:r w:rsidRPr="002C1178">
        <w:rPr>
          <w:rFonts w:cstheme="minorHAnsi"/>
          <w:sz w:val="24"/>
          <w:szCs w:val="24"/>
        </w:rPr>
        <w:t>Wyant</w:t>
      </w:r>
      <w:proofErr w:type="spellEnd"/>
      <w:r w:rsidRPr="002C1178">
        <w:rPr>
          <w:rFonts w:cstheme="minorHAnsi"/>
          <w:sz w:val="24"/>
          <w:szCs w:val="24"/>
        </w:rPr>
        <w:t xml:space="preserve"> </w:t>
      </w:r>
      <w:hyperlink r:id="rId20" w:history="1">
        <w:r w:rsidRPr="002C1178">
          <w:rPr>
            <w:rStyle w:val="Hyperlink"/>
            <w:rFonts w:cstheme="minorHAnsi"/>
            <w:sz w:val="24"/>
            <w:szCs w:val="24"/>
          </w:rPr>
          <w:t>2008</w:t>
        </w:r>
      </w:hyperlink>
      <w:r w:rsidRPr="002C1178">
        <w:rPr>
          <w:rFonts w:cstheme="minorHAnsi"/>
          <w:sz w:val="24"/>
          <w:szCs w:val="24"/>
        </w:rPr>
        <w:t>).</w:t>
      </w:r>
    </w:p>
    <w:p w14:paraId="4804DD1A" w14:textId="77777777" w:rsidR="00A47C56" w:rsidRPr="00A47C56" w:rsidRDefault="00A47C56" w:rsidP="00CA7511">
      <w:pPr>
        <w:pStyle w:val="Heading1"/>
      </w:pPr>
      <w:r w:rsidRPr="00A47C56">
        <w:t>Literature review</w:t>
      </w:r>
    </w:p>
    <w:p w14:paraId="7DA30283" w14:textId="77777777" w:rsidR="00A47C56" w:rsidRPr="00A47C56" w:rsidRDefault="00A47C56" w:rsidP="00CA7511">
      <w:pPr>
        <w:pStyle w:val="Heading2"/>
      </w:pPr>
      <w:r w:rsidRPr="00A47C56">
        <w:t>The importance of studying non-violent crimes</w:t>
      </w:r>
    </w:p>
    <w:p w14:paraId="71A45426" w14:textId="64B1A44B" w:rsidR="00A47C56" w:rsidRPr="00A47C56" w:rsidRDefault="00A47C56" w:rsidP="00A47C56">
      <w:pPr>
        <w:rPr>
          <w:rFonts w:cstheme="minorHAnsi"/>
          <w:sz w:val="24"/>
          <w:szCs w:val="24"/>
        </w:rPr>
      </w:pPr>
      <w:r w:rsidRPr="00A47C56">
        <w:rPr>
          <w:rFonts w:cstheme="minorHAnsi"/>
          <w:sz w:val="24"/>
          <w:szCs w:val="24"/>
        </w:rPr>
        <w:t>Prior research on the effects of alcohol outlets has mainly focused on violent crime. There are meaningful reasons to extend this research to non-violent crimes. First, non-violent and violent crimes often possess differential structural-level predictors. Second, there are theoretical reasons to believe the effects of alcohol outlets will vary for non-violent and violent crime. Third, non-violent crimes are much more common in everyday life and research shows quality of life in an area can be adversely affected by non-violent crime, disorder, and incivilities. For example, in a phone survey of Houston residents Zhao, Lawton, and Longmire (</w:t>
      </w:r>
      <w:hyperlink r:id="rId21" w:history="1">
        <w:r w:rsidRPr="00A47C56">
          <w:rPr>
            <w:rStyle w:val="Hyperlink"/>
            <w:rFonts w:cstheme="minorHAnsi"/>
            <w:sz w:val="24"/>
            <w:szCs w:val="24"/>
          </w:rPr>
          <w:t>2015</w:t>
        </w:r>
      </w:hyperlink>
      <w:r w:rsidRPr="00A47C56">
        <w:rPr>
          <w:rFonts w:cstheme="minorHAnsi"/>
          <w:sz w:val="24"/>
          <w:szCs w:val="24"/>
        </w:rPr>
        <w:t>) found respondents’ fear of crime was associated with the incidence of reported violent, non-violent, and disorder offenses near their homes. Similarly, McGarrell, Giacomazzi, and Thurman (</w:t>
      </w:r>
      <w:hyperlink r:id="rId22" w:history="1">
        <w:r w:rsidRPr="00A47C56">
          <w:rPr>
            <w:rStyle w:val="Hyperlink"/>
            <w:rFonts w:cstheme="minorHAnsi"/>
            <w:sz w:val="24"/>
            <w:szCs w:val="24"/>
          </w:rPr>
          <w:t>1997</w:t>
        </w:r>
      </w:hyperlink>
      <w:r w:rsidRPr="00A47C56">
        <w:rPr>
          <w:rFonts w:cstheme="minorHAnsi"/>
          <w:sz w:val="24"/>
          <w:szCs w:val="24"/>
        </w:rPr>
        <w:t xml:space="preserve">) found fear of crime was associated with neighborhood disorder in a survey of residents of Spokane, Washington (see also Robinson et al. </w:t>
      </w:r>
      <w:hyperlink r:id="rId23" w:history="1">
        <w:r w:rsidRPr="00A47C56">
          <w:rPr>
            <w:rStyle w:val="Hyperlink"/>
            <w:rFonts w:cstheme="minorHAnsi"/>
            <w:sz w:val="24"/>
            <w:szCs w:val="24"/>
          </w:rPr>
          <w:t>2003</w:t>
        </w:r>
      </w:hyperlink>
      <w:r w:rsidRPr="00A47C56">
        <w:rPr>
          <w:rFonts w:cstheme="minorHAnsi"/>
          <w:sz w:val="24"/>
          <w:szCs w:val="24"/>
        </w:rPr>
        <w:t xml:space="preserve">; </w:t>
      </w:r>
      <w:proofErr w:type="spellStart"/>
      <w:r w:rsidRPr="00A47C56">
        <w:rPr>
          <w:rFonts w:cstheme="minorHAnsi"/>
          <w:sz w:val="24"/>
          <w:szCs w:val="24"/>
        </w:rPr>
        <w:t>Wyant</w:t>
      </w:r>
      <w:proofErr w:type="spellEnd"/>
      <w:r w:rsidRPr="00A47C56">
        <w:rPr>
          <w:rFonts w:cstheme="minorHAnsi"/>
          <w:sz w:val="24"/>
          <w:szCs w:val="24"/>
        </w:rPr>
        <w:t xml:space="preserve"> </w:t>
      </w:r>
      <w:hyperlink r:id="rId24" w:history="1">
        <w:r w:rsidRPr="00A47C56">
          <w:rPr>
            <w:rStyle w:val="Hyperlink"/>
            <w:rFonts w:cstheme="minorHAnsi"/>
            <w:sz w:val="24"/>
            <w:szCs w:val="24"/>
          </w:rPr>
          <w:t>2008</w:t>
        </w:r>
      </w:hyperlink>
      <w:r w:rsidRPr="00A47C56">
        <w:rPr>
          <w:rFonts w:cstheme="minorHAnsi"/>
          <w:sz w:val="24"/>
          <w:szCs w:val="24"/>
        </w:rPr>
        <w:t xml:space="preserve">). Some research showed neighborhood disorder has negative effects on the level of health for residents, and this may be because neighborhood disorder increases </w:t>
      </w:r>
      <w:r w:rsidRPr="00A47C56">
        <w:rPr>
          <w:rFonts w:cstheme="minorHAnsi"/>
          <w:sz w:val="24"/>
          <w:szCs w:val="24"/>
        </w:rPr>
        <w:lastRenderedPageBreak/>
        <w:t xml:space="preserve">depression and anxiety for residents (Hill, Ross, and Angel </w:t>
      </w:r>
      <w:hyperlink r:id="rId25" w:history="1">
        <w:r w:rsidRPr="00A47C56">
          <w:rPr>
            <w:rStyle w:val="Hyperlink"/>
            <w:rFonts w:cstheme="minorHAnsi"/>
            <w:sz w:val="24"/>
            <w:szCs w:val="24"/>
          </w:rPr>
          <w:t>2005</w:t>
        </w:r>
      </w:hyperlink>
      <w:r w:rsidRPr="00A47C56">
        <w:rPr>
          <w:rFonts w:cstheme="minorHAnsi"/>
          <w:sz w:val="24"/>
          <w:szCs w:val="24"/>
        </w:rPr>
        <w:t>). Thus, studying whether alcohol outlets are associated with non-violent crimes is a worthwhile extension to the literature.</w:t>
      </w:r>
    </w:p>
    <w:p w14:paraId="483D19AF" w14:textId="77777777" w:rsidR="00A47C56" w:rsidRPr="00A47C56" w:rsidRDefault="00A47C56" w:rsidP="00CA7511">
      <w:pPr>
        <w:pStyle w:val="Heading2"/>
      </w:pPr>
      <w:r w:rsidRPr="00A47C56">
        <w:t>Alcohol outlet density and non-violent crimes: theory and research</w:t>
      </w:r>
    </w:p>
    <w:p w14:paraId="6B0F2D5B" w14:textId="75C20A67" w:rsidR="00A47C56" w:rsidRPr="00A47C56" w:rsidRDefault="00A47C56" w:rsidP="00A47C56">
      <w:pPr>
        <w:rPr>
          <w:rFonts w:cstheme="minorHAnsi"/>
          <w:sz w:val="24"/>
          <w:szCs w:val="24"/>
        </w:rPr>
      </w:pPr>
      <w:r w:rsidRPr="00A47C56">
        <w:rPr>
          <w:rFonts w:cstheme="minorHAnsi"/>
          <w:sz w:val="24"/>
          <w:szCs w:val="24"/>
        </w:rPr>
        <w:t xml:space="preserve">Two broad theories could explain why alcohol outlets might play a role in community rates of non-violent crimes. First, place-based theories (Gorman, Gruenewald, and Waller </w:t>
      </w:r>
      <w:hyperlink r:id="rId26" w:history="1">
        <w:r w:rsidRPr="00A47C56">
          <w:rPr>
            <w:rStyle w:val="Hyperlink"/>
            <w:rFonts w:cstheme="minorHAnsi"/>
            <w:sz w:val="24"/>
            <w:szCs w:val="24"/>
          </w:rPr>
          <w:t>2013</w:t>
        </w:r>
      </w:hyperlink>
      <w:r w:rsidRPr="00A47C56">
        <w:rPr>
          <w:rFonts w:cstheme="minorHAnsi"/>
          <w:sz w:val="24"/>
          <w:szCs w:val="24"/>
        </w:rPr>
        <w:t xml:space="preserve">) like routine activities theory posit an association between alcohol outlet density and non-violent crime rates due to the routinized behaviors of individuals who purchase and consume alcohol, with motivated offenders and suitable targets converging in time and space, absent capable guardians (Cohen and Felson </w:t>
      </w:r>
      <w:hyperlink r:id="rId27" w:history="1">
        <w:r w:rsidRPr="00A47C56">
          <w:rPr>
            <w:rStyle w:val="Hyperlink"/>
            <w:rFonts w:cstheme="minorHAnsi"/>
            <w:sz w:val="24"/>
            <w:szCs w:val="24"/>
          </w:rPr>
          <w:t>1979</w:t>
        </w:r>
      </w:hyperlink>
      <w:r w:rsidRPr="00A47C56">
        <w:rPr>
          <w:rFonts w:cstheme="minorHAnsi"/>
          <w:sz w:val="24"/>
          <w:szCs w:val="24"/>
        </w:rPr>
        <w:t>). There are more suitable targets for non-violent relative to violent crime because of the widespread availability of insufficiently protected public and private properties. Further, increased alcohol consumption generally accompanies high alcohol availability (</w:t>
      </w:r>
      <w:proofErr w:type="spellStart"/>
      <w:r w:rsidRPr="00A47C56">
        <w:rPr>
          <w:rFonts w:cstheme="minorHAnsi"/>
          <w:sz w:val="24"/>
          <w:szCs w:val="24"/>
        </w:rPr>
        <w:t>Stockwell</w:t>
      </w:r>
      <w:proofErr w:type="spellEnd"/>
      <w:r w:rsidRPr="00A47C56">
        <w:rPr>
          <w:rFonts w:cstheme="minorHAnsi"/>
          <w:sz w:val="24"/>
          <w:szCs w:val="24"/>
        </w:rPr>
        <w:t xml:space="preserve"> and Gruenewald </w:t>
      </w:r>
      <w:hyperlink r:id="rId28" w:history="1">
        <w:r w:rsidRPr="00A47C56">
          <w:rPr>
            <w:rStyle w:val="Hyperlink"/>
            <w:rFonts w:cstheme="minorHAnsi"/>
            <w:sz w:val="24"/>
            <w:szCs w:val="24"/>
          </w:rPr>
          <w:t>2001</w:t>
        </w:r>
      </w:hyperlink>
      <w:r w:rsidRPr="00A47C56">
        <w:rPr>
          <w:rFonts w:cstheme="minorHAnsi"/>
          <w:sz w:val="24"/>
          <w:szCs w:val="24"/>
        </w:rPr>
        <w:t>). In areas with high alcohol availability, more individuals may thus be disinhibited and take advantage of opportunities for crime (becoming motivated offenders), while intoxicated individuals are less capable of being effective guardians. In these situations, one might expect increases in destruction of property, vandalism of unprotected structures, and similar low-level offenses. Additionally, areas with high alcohol availability may draw motivated offenders because they may contain more vulnerable victims and less effective guardianship (</w:t>
      </w:r>
      <w:proofErr w:type="spellStart"/>
      <w:r w:rsidRPr="00A47C56">
        <w:rPr>
          <w:rFonts w:cstheme="minorHAnsi"/>
          <w:sz w:val="24"/>
          <w:szCs w:val="24"/>
        </w:rPr>
        <w:t>Brantingham</w:t>
      </w:r>
      <w:proofErr w:type="spellEnd"/>
      <w:r w:rsidRPr="00A47C56">
        <w:rPr>
          <w:rFonts w:cstheme="minorHAnsi"/>
          <w:sz w:val="24"/>
          <w:szCs w:val="24"/>
        </w:rPr>
        <w:t xml:space="preserve"> and </w:t>
      </w:r>
      <w:proofErr w:type="spellStart"/>
      <w:r w:rsidRPr="00A47C56">
        <w:rPr>
          <w:rFonts w:cstheme="minorHAnsi"/>
          <w:sz w:val="24"/>
          <w:szCs w:val="24"/>
        </w:rPr>
        <w:t>Brantingham</w:t>
      </w:r>
      <w:proofErr w:type="spellEnd"/>
      <w:r w:rsidRPr="00A47C56">
        <w:rPr>
          <w:rFonts w:cstheme="minorHAnsi"/>
          <w:sz w:val="24"/>
          <w:szCs w:val="24"/>
        </w:rPr>
        <w:t xml:space="preserve"> </w:t>
      </w:r>
      <w:hyperlink r:id="rId29" w:history="1">
        <w:r w:rsidRPr="00A47C56">
          <w:rPr>
            <w:rStyle w:val="Hyperlink"/>
            <w:rFonts w:cstheme="minorHAnsi"/>
            <w:sz w:val="24"/>
            <w:szCs w:val="24"/>
          </w:rPr>
          <w:t>1995</w:t>
        </w:r>
      </w:hyperlink>
      <w:r w:rsidRPr="00A47C56">
        <w:rPr>
          <w:rFonts w:cstheme="minorHAnsi"/>
          <w:sz w:val="24"/>
          <w:szCs w:val="24"/>
        </w:rPr>
        <w:t>).</w:t>
      </w:r>
    </w:p>
    <w:p w14:paraId="404BF3A5" w14:textId="70F62F08" w:rsidR="00A47C56" w:rsidRPr="00A47C56" w:rsidRDefault="00A47C56" w:rsidP="00A47C56">
      <w:pPr>
        <w:rPr>
          <w:rFonts w:cstheme="minorHAnsi"/>
          <w:sz w:val="24"/>
          <w:szCs w:val="24"/>
        </w:rPr>
      </w:pPr>
      <w:r w:rsidRPr="00A47C56">
        <w:rPr>
          <w:rFonts w:cstheme="minorHAnsi"/>
          <w:sz w:val="24"/>
          <w:szCs w:val="24"/>
        </w:rPr>
        <w:t xml:space="preserve">Second, social integration explanations (Gorman, Gruenewald, and Waller </w:t>
      </w:r>
      <w:hyperlink r:id="rId30" w:history="1">
        <w:r w:rsidRPr="00A47C56">
          <w:rPr>
            <w:rStyle w:val="Hyperlink"/>
            <w:rFonts w:cstheme="minorHAnsi"/>
            <w:sz w:val="24"/>
            <w:szCs w:val="24"/>
          </w:rPr>
          <w:t>2013</w:t>
        </w:r>
      </w:hyperlink>
      <w:r w:rsidRPr="00A47C56">
        <w:rPr>
          <w:rFonts w:cstheme="minorHAnsi"/>
          <w:sz w:val="24"/>
          <w:szCs w:val="24"/>
        </w:rPr>
        <w:t xml:space="preserve">) like social disorganization theory argue some neighborhoods possess reduced levels of the collective efficacy necessary to exert informal social control over the behavior of community members or other events in their community (Sampson and Groves </w:t>
      </w:r>
      <w:hyperlink r:id="rId31" w:history="1">
        <w:r w:rsidRPr="00A47C56">
          <w:rPr>
            <w:rStyle w:val="Hyperlink"/>
            <w:rFonts w:cstheme="minorHAnsi"/>
            <w:sz w:val="24"/>
            <w:szCs w:val="24"/>
          </w:rPr>
          <w:t>1989</w:t>
        </w:r>
      </w:hyperlink>
      <w:r w:rsidRPr="00A47C56">
        <w:rPr>
          <w:rFonts w:cstheme="minorHAnsi"/>
          <w:sz w:val="24"/>
          <w:szCs w:val="24"/>
        </w:rPr>
        <w:t xml:space="preserve">; Sampson, </w:t>
      </w:r>
      <w:proofErr w:type="spellStart"/>
      <w:r w:rsidRPr="00A47C56">
        <w:rPr>
          <w:rFonts w:cstheme="minorHAnsi"/>
          <w:sz w:val="24"/>
          <w:szCs w:val="24"/>
        </w:rPr>
        <w:t>Raudenbush</w:t>
      </w:r>
      <w:proofErr w:type="spellEnd"/>
      <w:r w:rsidRPr="00A47C56">
        <w:rPr>
          <w:rFonts w:cstheme="minorHAnsi"/>
          <w:sz w:val="24"/>
          <w:szCs w:val="24"/>
        </w:rPr>
        <w:t xml:space="preserve">, and Earls </w:t>
      </w:r>
      <w:hyperlink r:id="rId32" w:history="1">
        <w:r w:rsidRPr="00A47C56">
          <w:rPr>
            <w:rStyle w:val="Hyperlink"/>
            <w:rFonts w:cstheme="minorHAnsi"/>
            <w:sz w:val="24"/>
            <w:szCs w:val="24"/>
          </w:rPr>
          <w:t>1997</w:t>
        </w:r>
      </w:hyperlink>
      <w:r w:rsidRPr="00A47C56">
        <w:rPr>
          <w:rFonts w:cstheme="minorHAnsi"/>
          <w:sz w:val="24"/>
          <w:szCs w:val="24"/>
        </w:rPr>
        <w:t xml:space="preserve">). Socially disorganized communities may also lack the neighborhood ties, mutual trust, and institutional resources (Sampson, </w:t>
      </w:r>
      <w:proofErr w:type="spellStart"/>
      <w:r w:rsidRPr="00A47C56">
        <w:rPr>
          <w:rFonts w:cstheme="minorHAnsi"/>
          <w:sz w:val="24"/>
          <w:szCs w:val="24"/>
        </w:rPr>
        <w:t>Morenoff</w:t>
      </w:r>
      <w:proofErr w:type="spellEnd"/>
      <w:r w:rsidRPr="00A47C56">
        <w:rPr>
          <w:rFonts w:cstheme="minorHAnsi"/>
          <w:sz w:val="24"/>
          <w:szCs w:val="24"/>
        </w:rPr>
        <w:t xml:space="preserve">, and Gannon-Rowley </w:t>
      </w:r>
      <w:hyperlink r:id="rId33" w:history="1">
        <w:r w:rsidRPr="00A47C56">
          <w:rPr>
            <w:rStyle w:val="Hyperlink"/>
            <w:rFonts w:cstheme="minorHAnsi"/>
            <w:sz w:val="24"/>
            <w:szCs w:val="24"/>
          </w:rPr>
          <w:t>2002</w:t>
        </w:r>
      </w:hyperlink>
      <w:r w:rsidRPr="00A47C56">
        <w:rPr>
          <w:rFonts w:cstheme="minorHAnsi"/>
          <w:sz w:val="24"/>
          <w:szCs w:val="24"/>
        </w:rPr>
        <w:t>) to garner political power and to work with local stakeholders to limit the opening and licensing of alcohol outlets in their neighborhood. Alcohol outlets may also be nuisance facilities that disrupt community organization because they attract outsiders and young people and sell intoxicating beverages. Thus, high alcohol outlet density may both result from and contribute to the community disorganization that is so often associated with crime.</w:t>
      </w:r>
    </w:p>
    <w:p w14:paraId="3CCED6E2" w14:textId="7D0347AA" w:rsidR="00A47C56" w:rsidRPr="00A47C56" w:rsidRDefault="00A47C56" w:rsidP="00A47C56">
      <w:pPr>
        <w:rPr>
          <w:rFonts w:cstheme="minorHAnsi"/>
          <w:sz w:val="24"/>
          <w:szCs w:val="24"/>
        </w:rPr>
      </w:pPr>
      <w:r w:rsidRPr="00A47C56">
        <w:rPr>
          <w:rFonts w:cstheme="minorHAnsi"/>
          <w:sz w:val="24"/>
          <w:szCs w:val="24"/>
        </w:rPr>
        <w:t xml:space="preserve">Although only a few studies examined the relationship between alcohol outlets and non-violent crimes, their findings suggest an association. In one study, total, on-, and off-premise alcohol outlet density were significantly associated with several types of non-violent crimes, including vandalism, nuisance crimes, public alcohol consumption, driving while intoxicated, and underage alcohol possession and consumption (Toomey et al. </w:t>
      </w:r>
      <w:hyperlink r:id="rId34" w:history="1">
        <w:r w:rsidRPr="00A47C56">
          <w:rPr>
            <w:rStyle w:val="Hyperlink"/>
            <w:rFonts w:cstheme="minorHAnsi"/>
            <w:sz w:val="24"/>
            <w:szCs w:val="24"/>
          </w:rPr>
          <w:t>2012</w:t>
        </w:r>
      </w:hyperlink>
      <w:r w:rsidRPr="00A47C56">
        <w:rPr>
          <w:rFonts w:cstheme="minorHAnsi"/>
          <w:sz w:val="24"/>
          <w:szCs w:val="24"/>
        </w:rPr>
        <w:t xml:space="preserve">). Two other studies found alcohol outlet density was associated with several types of disorder and incivility like drunkenness (Donelly et al. </w:t>
      </w:r>
      <w:hyperlink r:id="rId35" w:history="1">
        <w:r w:rsidRPr="00A47C56">
          <w:rPr>
            <w:rStyle w:val="Hyperlink"/>
            <w:rFonts w:cstheme="minorHAnsi"/>
            <w:sz w:val="24"/>
            <w:szCs w:val="24"/>
          </w:rPr>
          <w:t>2006</w:t>
        </w:r>
      </w:hyperlink>
      <w:r w:rsidRPr="00A47C56">
        <w:rPr>
          <w:rFonts w:cstheme="minorHAnsi"/>
          <w:sz w:val="24"/>
          <w:szCs w:val="24"/>
        </w:rPr>
        <w:t xml:space="preserve">) and with vandalism, public urination, vomiting, and drunkenness near college campuses (Wechsler et al. </w:t>
      </w:r>
      <w:hyperlink r:id="rId36" w:history="1">
        <w:r w:rsidRPr="00A47C56">
          <w:rPr>
            <w:rStyle w:val="Hyperlink"/>
            <w:rFonts w:cstheme="minorHAnsi"/>
            <w:sz w:val="24"/>
            <w:szCs w:val="24"/>
          </w:rPr>
          <w:t>2002</w:t>
        </w:r>
      </w:hyperlink>
      <w:r w:rsidRPr="00A47C56">
        <w:rPr>
          <w:rFonts w:cstheme="minorHAnsi"/>
          <w:sz w:val="24"/>
          <w:szCs w:val="24"/>
        </w:rPr>
        <w:t xml:space="preserve">). Further, although one study found no significant association between total alcohol outlet density and malicious property damage like destruction and defacement of public, commercial, and private properties (Stevenson, Lind, and </w:t>
      </w:r>
      <w:proofErr w:type="spellStart"/>
      <w:r w:rsidRPr="00A47C56">
        <w:rPr>
          <w:rFonts w:cstheme="minorHAnsi"/>
          <w:sz w:val="24"/>
          <w:szCs w:val="24"/>
        </w:rPr>
        <w:t>Weatherburn</w:t>
      </w:r>
      <w:proofErr w:type="spellEnd"/>
      <w:r w:rsidRPr="00A47C56">
        <w:rPr>
          <w:rFonts w:cstheme="minorHAnsi"/>
          <w:sz w:val="24"/>
          <w:szCs w:val="24"/>
        </w:rPr>
        <w:t xml:space="preserve">, </w:t>
      </w:r>
      <w:hyperlink r:id="rId37" w:history="1">
        <w:r w:rsidRPr="00A47C56">
          <w:rPr>
            <w:rStyle w:val="Hyperlink"/>
            <w:rFonts w:cstheme="minorHAnsi"/>
            <w:sz w:val="24"/>
            <w:szCs w:val="24"/>
          </w:rPr>
          <w:t>1999</w:t>
        </w:r>
      </w:hyperlink>
      <w:r w:rsidRPr="00A47C56">
        <w:rPr>
          <w:rFonts w:cstheme="minorHAnsi"/>
          <w:sz w:val="24"/>
          <w:szCs w:val="24"/>
        </w:rPr>
        <w:t xml:space="preserve">), another found the density of bars and clubs (but not off-premise outlet density) was significantly associated with property damage (Cameron et al. </w:t>
      </w:r>
      <w:hyperlink r:id="rId38" w:history="1">
        <w:r w:rsidRPr="00A47C56">
          <w:rPr>
            <w:rStyle w:val="Hyperlink"/>
            <w:rFonts w:cstheme="minorHAnsi"/>
            <w:sz w:val="24"/>
            <w:szCs w:val="24"/>
          </w:rPr>
          <w:t>2012</w:t>
        </w:r>
      </w:hyperlink>
      <w:r w:rsidRPr="00A47C56">
        <w:rPr>
          <w:rFonts w:cstheme="minorHAnsi"/>
          <w:sz w:val="24"/>
          <w:szCs w:val="24"/>
        </w:rPr>
        <w:t xml:space="preserve">). Finally, living in close proximity to bars, clubs, or pubs has been found to be associated with being kept awake at night, and those who lived in close proximity to liquor stores reported greater property damage (Wilkinson and Livingston </w:t>
      </w:r>
      <w:hyperlink r:id="rId39" w:history="1">
        <w:r w:rsidRPr="00A47C56">
          <w:rPr>
            <w:rStyle w:val="Hyperlink"/>
            <w:rFonts w:cstheme="minorHAnsi"/>
            <w:sz w:val="24"/>
            <w:szCs w:val="24"/>
          </w:rPr>
          <w:t>2012</w:t>
        </w:r>
      </w:hyperlink>
      <w:r w:rsidRPr="00A47C56">
        <w:rPr>
          <w:rFonts w:cstheme="minorHAnsi"/>
          <w:sz w:val="24"/>
          <w:szCs w:val="24"/>
        </w:rPr>
        <w:t>).</w:t>
      </w:r>
    </w:p>
    <w:p w14:paraId="6616830D" w14:textId="01E14065" w:rsidR="00A47C56" w:rsidRPr="00A47C56" w:rsidRDefault="00A47C56" w:rsidP="00A47C56">
      <w:pPr>
        <w:rPr>
          <w:rFonts w:cstheme="minorHAnsi"/>
          <w:sz w:val="24"/>
          <w:szCs w:val="24"/>
        </w:rPr>
      </w:pPr>
      <w:r w:rsidRPr="00A47C56">
        <w:rPr>
          <w:rFonts w:cstheme="minorHAnsi"/>
          <w:sz w:val="24"/>
          <w:szCs w:val="24"/>
        </w:rPr>
        <w:t>Several questions remain unanswered that are important for a nuanced understanding of the role that alcohol availability plays in non-violent crimes. First, do the effects of outlets on non-violent crime vary by outlet type? Second, are any low-level effects of alcohol outlet density limited to disorder and amenity-related outcomes or are they consistently related to non-violent crimes such as vandalism or thefts from vehicles? Finally, the finding that community social disorganization moderates the impact of alcohol outlet density on violent crime (</w:t>
      </w:r>
      <w:proofErr w:type="spellStart"/>
      <w:r w:rsidRPr="00A47C56">
        <w:rPr>
          <w:rFonts w:cstheme="minorHAnsi"/>
          <w:sz w:val="24"/>
          <w:szCs w:val="24"/>
        </w:rPr>
        <w:t>Pridemore</w:t>
      </w:r>
      <w:proofErr w:type="spellEnd"/>
      <w:r w:rsidRPr="00A47C56">
        <w:rPr>
          <w:rFonts w:cstheme="minorHAnsi"/>
          <w:sz w:val="24"/>
          <w:szCs w:val="24"/>
        </w:rPr>
        <w:t xml:space="preserve"> and Grubesic </w:t>
      </w:r>
      <w:hyperlink r:id="rId40" w:history="1">
        <w:r w:rsidRPr="00A47C56">
          <w:rPr>
            <w:rStyle w:val="Hyperlink"/>
            <w:rFonts w:cstheme="minorHAnsi"/>
            <w:sz w:val="24"/>
            <w:szCs w:val="24"/>
          </w:rPr>
          <w:t>2012</w:t>
        </w:r>
      </w:hyperlink>
      <w:r w:rsidRPr="00A47C56">
        <w:rPr>
          <w:rFonts w:cstheme="minorHAnsi"/>
          <w:sz w:val="24"/>
          <w:szCs w:val="24"/>
        </w:rPr>
        <w:t>) has not been tested for non-violent crime.</w:t>
      </w:r>
    </w:p>
    <w:p w14:paraId="08AE7998" w14:textId="77777777" w:rsidR="00A47C56" w:rsidRPr="00AB6BE2" w:rsidRDefault="00A47C56" w:rsidP="00AB6BE2">
      <w:pPr>
        <w:pStyle w:val="Heading3"/>
        <w:rPr>
          <w:i/>
          <w:iCs/>
        </w:rPr>
      </w:pPr>
      <w:r w:rsidRPr="00AB6BE2">
        <w:rPr>
          <w:i/>
          <w:iCs/>
        </w:rPr>
        <w:t>Distinguishing the effects of on- and off-</w:t>
      </w:r>
      <w:proofErr w:type="gramStart"/>
      <w:r w:rsidRPr="00AB6BE2">
        <w:rPr>
          <w:i/>
          <w:iCs/>
        </w:rPr>
        <w:t>premise</w:t>
      </w:r>
      <w:proofErr w:type="gramEnd"/>
      <w:r w:rsidRPr="00AB6BE2">
        <w:rPr>
          <w:i/>
          <w:iCs/>
        </w:rPr>
        <w:t xml:space="preserve"> outlets</w:t>
      </w:r>
    </w:p>
    <w:p w14:paraId="287B76F7" w14:textId="14FBF308" w:rsidR="00A47C56" w:rsidRPr="00A47C56" w:rsidRDefault="00A47C56" w:rsidP="00A47C56">
      <w:pPr>
        <w:rPr>
          <w:rFonts w:cstheme="minorHAnsi"/>
          <w:sz w:val="24"/>
          <w:szCs w:val="24"/>
        </w:rPr>
      </w:pPr>
      <w:r w:rsidRPr="00A47C56">
        <w:rPr>
          <w:rFonts w:cstheme="minorHAnsi"/>
          <w:sz w:val="24"/>
          <w:szCs w:val="24"/>
        </w:rPr>
        <w:t xml:space="preserve">Alcohol outlets are retail establishments licensed to sell alcohol beverages and they vary in fundamental ways. Broadly speaking, on-premise alcohol outlets are places where alcohol is purchased and consumed while at the premises (e.g., bars, pubs, taverns, or restaurants). Off-premise alcohol outlets are places where alcohol is purchased but cannot be consumed at the business (e.g., liquor, convenience, or grocery stores). There are theoretical reasons to believe different outlet types may have a different influence on crime. Some of the possible differential effects include reduced guardianship (Cohen and Felson </w:t>
      </w:r>
      <w:hyperlink r:id="rId41" w:history="1">
        <w:r w:rsidRPr="00A47C56">
          <w:rPr>
            <w:rStyle w:val="Hyperlink"/>
            <w:rFonts w:cstheme="minorHAnsi"/>
            <w:sz w:val="24"/>
            <w:szCs w:val="24"/>
          </w:rPr>
          <w:t>1979</w:t>
        </w:r>
      </w:hyperlink>
      <w:r w:rsidRPr="00A47C56">
        <w:rPr>
          <w:rFonts w:cstheme="minorHAnsi"/>
          <w:sz w:val="24"/>
          <w:szCs w:val="24"/>
        </w:rPr>
        <w:t xml:space="preserve">) and the micro-environment where alcohol outlets are located (Eck and Weisburd </w:t>
      </w:r>
      <w:hyperlink r:id="rId42" w:history="1">
        <w:r w:rsidRPr="00A47C56">
          <w:rPr>
            <w:rStyle w:val="Hyperlink"/>
            <w:rFonts w:cstheme="minorHAnsi"/>
            <w:sz w:val="24"/>
            <w:szCs w:val="24"/>
          </w:rPr>
          <w:t>1995</w:t>
        </w:r>
      </w:hyperlink>
      <w:r w:rsidRPr="00A47C56">
        <w:rPr>
          <w:rFonts w:cstheme="minorHAnsi"/>
          <w:sz w:val="24"/>
          <w:szCs w:val="24"/>
        </w:rPr>
        <w:t xml:space="preserve">; Roman et al. </w:t>
      </w:r>
      <w:hyperlink r:id="rId43" w:history="1">
        <w:r w:rsidRPr="00A47C56">
          <w:rPr>
            <w:rStyle w:val="Hyperlink"/>
            <w:rFonts w:cstheme="minorHAnsi"/>
            <w:sz w:val="24"/>
            <w:szCs w:val="24"/>
          </w:rPr>
          <w:t>2008</w:t>
        </w:r>
      </w:hyperlink>
      <w:r w:rsidRPr="00A47C56">
        <w:rPr>
          <w:rFonts w:cstheme="minorHAnsi"/>
          <w:sz w:val="24"/>
          <w:szCs w:val="24"/>
        </w:rPr>
        <w:t xml:space="preserve">). For example, on-premise alcohol outlets may contribute to crime by providing a flow of inebriated patrons who are disinhibited from socially acceptable behavior and who take advantage of opportunities for vandalism of property. Additionally, areas with high availability of on-premise alcohol outlets are likely attractive for motivated offenders (e.g., local residents or non-intoxicated non-patrons) coming to these areas because on-premise patrons leave their cars unattended for longer periods of time relative to vehicles of off-premise outlet patrons. However, the larger social and micro-environment where alcohol outlets are located can also have an effect on non-violent crimes (e.g., Eck and Weisburd </w:t>
      </w:r>
      <w:hyperlink r:id="rId44" w:history="1">
        <w:r w:rsidRPr="00A47C56">
          <w:rPr>
            <w:rStyle w:val="Hyperlink"/>
            <w:rFonts w:cstheme="minorHAnsi"/>
            <w:sz w:val="24"/>
            <w:szCs w:val="24"/>
          </w:rPr>
          <w:t>1995</w:t>
        </w:r>
      </w:hyperlink>
      <w:r w:rsidRPr="00A47C56">
        <w:rPr>
          <w:rFonts w:cstheme="minorHAnsi"/>
          <w:sz w:val="24"/>
          <w:szCs w:val="24"/>
        </w:rPr>
        <w:t xml:space="preserve">). Off-premise alcohol outlets tend to be concentrated in economically disadvantaged and minority communities (LaVeist and Wallace </w:t>
      </w:r>
      <w:hyperlink r:id="rId45" w:history="1">
        <w:r w:rsidRPr="00A47C56">
          <w:rPr>
            <w:rStyle w:val="Hyperlink"/>
            <w:rFonts w:cstheme="minorHAnsi"/>
            <w:sz w:val="24"/>
            <w:szCs w:val="24"/>
          </w:rPr>
          <w:t>2000</w:t>
        </w:r>
      </w:hyperlink>
      <w:r w:rsidRPr="00A47C56">
        <w:rPr>
          <w:rFonts w:cstheme="minorHAnsi"/>
          <w:sz w:val="24"/>
          <w:szCs w:val="24"/>
        </w:rPr>
        <w:t xml:space="preserve">; Nielsen et al. </w:t>
      </w:r>
      <w:hyperlink r:id="rId46" w:history="1">
        <w:r w:rsidRPr="00A47C56">
          <w:rPr>
            <w:rStyle w:val="Hyperlink"/>
            <w:rFonts w:cstheme="minorHAnsi"/>
            <w:sz w:val="24"/>
            <w:szCs w:val="24"/>
          </w:rPr>
          <w:t>2010</w:t>
        </w:r>
      </w:hyperlink>
      <w:r w:rsidRPr="00A47C56">
        <w:rPr>
          <w:rFonts w:cstheme="minorHAnsi"/>
          <w:sz w:val="24"/>
          <w:szCs w:val="24"/>
        </w:rPr>
        <w:t xml:space="preserve">; Snowden, </w:t>
      </w:r>
      <w:hyperlink r:id="rId47" w:history="1">
        <w:r w:rsidRPr="00A47C56">
          <w:rPr>
            <w:rStyle w:val="Hyperlink"/>
            <w:rFonts w:cstheme="minorHAnsi"/>
            <w:sz w:val="24"/>
            <w:szCs w:val="24"/>
          </w:rPr>
          <w:t>2016b</w:t>
        </w:r>
      </w:hyperlink>
      <w:r w:rsidRPr="00A47C56">
        <w:rPr>
          <w:rFonts w:cstheme="minorHAnsi"/>
          <w:sz w:val="24"/>
          <w:szCs w:val="24"/>
        </w:rPr>
        <w:t xml:space="preserve">) either because of a lower retail operating cost due to lower land and structure rents common in socioeconomically disadvantaged areas or because these areas lack the collective efficacy necessary to limit the opening of off-premise alcohol outlets (Morrison, Gruenewald, and </w:t>
      </w:r>
      <w:proofErr w:type="spellStart"/>
      <w:r w:rsidRPr="00A47C56">
        <w:rPr>
          <w:rFonts w:cstheme="minorHAnsi"/>
          <w:sz w:val="24"/>
          <w:szCs w:val="24"/>
        </w:rPr>
        <w:t>Ponicki</w:t>
      </w:r>
      <w:proofErr w:type="spellEnd"/>
      <w:r w:rsidRPr="00A47C56">
        <w:rPr>
          <w:rFonts w:cstheme="minorHAnsi"/>
          <w:sz w:val="24"/>
          <w:szCs w:val="24"/>
        </w:rPr>
        <w:t xml:space="preserve"> </w:t>
      </w:r>
      <w:hyperlink r:id="rId48" w:history="1">
        <w:r w:rsidRPr="00A47C56">
          <w:rPr>
            <w:rStyle w:val="Hyperlink"/>
            <w:rFonts w:cstheme="minorHAnsi"/>
            <w:sz w:val="24"/>
            <w:szCs w:val="24"/>
          </w:rPr>
          <w:t>2015</w:t>
        </w:r>
      </w:hyperlink>
      <w:r w:rsidRPr="00A47C56">
        <w:rPr>
          <w:rFonts w:cstheme="minorHAnsi"/>
          <w:sz w:val="24"/>
          <w:szCs w:val="24"/>
        </w:rPr>
        <w:t xml:space="preserve">; </w:t>
      </w:r>
      <w:proofErr w:type="spellStart"/>
      <w:r w:rsidRPr="00A47C56">
        <w:rPr>
          <w:rFonts w:cstheme="minorHAnsi"/>
          <w:sz w:val="24"/>
          <w:szCs w:val="24"/>
        </w:rPr>
        <w:t>Pridemore</w:t>
      </w:r>
      <w:proofErr w:type="spellEnd"/>
      <w:r w:rsidRPr="00A47C56">
        <w:rPr>
          <w:rFonts w:cstheme="minorHAnsi"/>
          <w:sz w:val="24"/>
          <w:szCs w:val="24"/>
        </w:rPr>
        <w:t xml:space="preserve"> and Grubesic </w:t>
      </w:r>
      <w:hyperlink r:id="rId49" w:history="1">
        <w:r w:rsidRPr="00A47C56">
          <w:rPr>
            <w:rStyle w:val="Hyperlink"/>
            <w:rFonts w:cstheme="minorHAnsi"/>
            <w:sz w:val="24"/>
            <w:szCs w:val="24"/>
          </w:rPr>
          <w:t>2012</w:t>
        </w:r>
      </w:hyperlink>
      <w:r w:rsidRPr="00A47C56">
        <w:rPr>
          <w:rFonts w:cstheme="minorHAnsi"/>
          <w:sz w:val="24"/>
          <w:szCs w:val="24"/>
        </w:rPr>
        <w:t>).</w:t>
      </w:r>
    </w:p>
    <w:p w14:paraId="238FA4CB" w14:textId="77777777" w:rsidR="00A47C56" w:rsidRPr="00A47C56" w:rsidRDefault="00A47C56" w:rsidP="00A47C56">
      <w:pPr>
        <w:rPr>
          <w:rFonts w:cstheme="minorHAnsi"/>
          <w:sz w:val="24"/>
          <w:szCs w:val="24"/>
        </w:rPr>
      </w:pPr>
      <w:r w:rsidRPr="00A47C56">
        <w:rPr>
          <w:rFonts w:cstheme="minorHAnsi"/>
          <w:sz w:val="24"/>
          <w:szCs w:val="24"/>
        </w:rPr>
        <w:t>Therefore, any association between on-premise alcohol outlets and vandalism may be due to disinhibition of outlet patrons, while any association between on-premise alcohol outlets and thefts from vehicles may be due to attractive targets and lack of guardianship. Additionally, any association between off-premise alcohol outlets and vandalism, and between off-premise alcohol outlets and thefts from vehicles, may be due to the larger micro-environment in which off-premise alcohol outlets are embedded.</w:t>
      </w:r>
    </w:p>
    <w:p w14:paraId="58B1C906" w14:textId="4B09609C" w:rsidR="00A47C56" w:rsidRPr="00A47C56" w:rsidRDefault="00A47C56" w:rsidP="00A47C56">
      <w:pPr>
        <w:rPr>
          <w:rFonts w:cstheme="minorHAnsi"/>
          <w:sz w:val="24"/>
          <w:szCs w:val="24"/>
        </w:rPr>
      </w:pPr>
      <w:r w:rsidRPr="00A47C56">
        <w:rPr>
          <w:rFonts w:cstheme="minorHAnsi"/>
          <w:sz w:val="24"/>
          <w:szCs w:val="24"/>
        </w:rPr>
        <w:t xml:space="preserve">A large body of empirical literature suggests both types of outlets are also associated with violent crime rates (e.g., Gruenewald and Remer </w:t>
      </w:r>
      <w:hyperlink r:id="rId50" w:history="1">
        <w:r w:rsidRPr="00A47C56">
          <w:rPr>
            <w:rStyle w:val="Hyperlink"/>
            <w:rFonts w:cstheme="minorHAnsi"/>
            <w:sz w:val="24"/>
            <w:szCs w:val="24"/>
          </w:rPr>
          <w:t>2006</w:t>
        </w:r>
      </w:hyperlink>
      <w:r w:rsidRPr="00A47C56">
        <w:rPr>
          <w:rFonts w:cstheme="minorHAnsi"/>
          <w:sz w:val="24"/>
          <w:szCs w:val="24"/>
        </w:rPr>
        <w:t xml:space="preserve">; Lipton et al. </w:t>
      </w:r>
      <w:hyperlink r:id="rId51" w:history="1">
        <w:r w:rsidRPr="00A47C56">
          <w:rPr>
            <w:rStyle w:val="Hyperlink"/>
            <w:rFonts w:cstheme="minorHAnsi"/>
            <w:sz w:val="24"/>
            <w:szCs w:val="24"/>
          </w:rPr>
          <w:t>2013</w:t>
        </w:r>
      </w:hyperlink>
      <w:r w:rsidRPr="00A47C56">
        <w:rPr>
          <w:rFonts w:cstheme="minorHAnsi"/>
          <w:sz w:val="24"/>
          <w:szCs w:val="24"/>
        </w:rPr>
        <w:t xml:space="preserve">; Livingston </w:t>
      </w:r>
      <w:hyperlink r:id="rId52" w:history="1">
        <w:r w:rsidRPr="00A47C56">
          <w:rPr>
            <w:rStyle w:val="Hyperlink"/>
            <w:rFonts w:cstheme="minorHAnsi"/>
            <w:sz w:val="24"/>
            <w:szCs w:val="24"/>
          </w:rPr>
          <w:t>2008a, 2008b</w:t>
        </w:r>
      </w:hyperlink>
      <w:r w:rsidRPr="00A47C56">
        <w:rPr>
          <w:rFonts w:cstheme="minorHAnsi"/>
          <w:sz w:val="24"/>
          <w:szCs w:val="24"/>
        </w:rPr>
        <w:t xml:space="preserve">; </w:t>
      </w:r>
      <w:proofErr w:type="spellStart"/>
      <w:r w:rsidRPr="00A47C56">
        <w:rPr>
          <w:rFonts w:cstheme="minorHAnsi"/>
          <w:sz w:val="24"/>
          <w:szCs w:val="24"/>
        </w:rPr>
        <w:t>Pridemore</w:t>
      </w:r>
      <w:proofErr w:type="spellEnd"/>
      <w:r w:rsidRPr="00A47C56">
        <w:rPr>
          <w:rFonts w:cstheme="minorHAnsi"/>
          <w:sz w:val="24"/>
          <w:szCs w:val="24"/>
        </w:rPr>
        <w:t xml:space="preserve"> and Grubesic </w:t>
      </w:r>
      <w:hyperlink r:id="rId53" w:history="1">
        <w:r w:rsidRPr="00A47C56">
          <w:rPr>
            <w:rStyle w:val="Hyperlink"/>
            <w:rFonts w:cstheme="minorHAnsi"/>
            <w:sz w:val="24"/>
            <w:szCs w:val="24"/>
          </w:rPr>
          <w:t>2013</w:t>
        </w:r>
      </w:hyperlink>
      <w:r w:rsidRPr="00A47C56">
        <w:rPr>
          <w:rFonts w:cstheme="minorHAnsi"/>
          <w:sz w:val="24"/>
          <w:szCs w:val="24"/>
        </w:rPr>
        <w:t xml:space="preserve">; Roman et al. </w:t>
      </w:r>
      <w:hyperlink r:id="rId54" w:history="1">
        <w:r w:rsidRPr="00A47C56">
          <w:rPr>
            <w:rStyle w:val="Hyperlink"/>
            <w:rFonts w:cstheme="minorHAnsi"/>
            <w:sz w:val="24"/>
            <w:szCs w:val="24"/>
          </w:rPr>
          <w:t>2008</w:t>
        </w:r>
      </w:hyperlink>
      <w:r w:rsidRPr="00A47C56">
        <w:rPr>
          <w:rFonts w:cstheme="minorHAnsi"/>
          <w:sz w:val="24"/>
          <w:szCs w:val="24"/>
        </w:rPr>
        <w:t xml:space="preserve">; Snowden and </w:t>
      </w:r>
      <w:proofErr w:type="spellStart"/>
      <w:r w:rsidRPr="00A47C56">
        <w:rPr>
          <w:rFonts w:cstheme="minorHAnsi"/>
          <w:sz w:val="24"/>
          <w:szCs w:val="24"/>
        </w:rPr>
        <w:t>Pridemore</w:t>
      </w:r>
      <w:proofErr w:type="spellEnd"/>
      <w:r w:rsidRPr="00A47C56">
        <w:rPr>
          <w:rFonts w:cstheme="minorHAnsi"/>
          <w:sz w:val="24"/>
          <w:szCs w:val="24"/>
        </w:rPr>
        <w:t xml:space="preserve"> </w:t>
      </w:r>
      <w:hyperlink r:id="rId55" w:history="1">
        <w:r w:rsidRPr="00A47C56">
          <w:rPr>
            <w:rStyle w:val="Hyperlink"/>
            <w:rFonts w:cstheme="minorHAnsi"/>
            <w:sz w:val="24"/>
            <w:szCs w:val="24"/>
          </w:rPr>
          <w:t>2013a, 2013b</w:t>
        </w:r>
      </w:hyperlink>
      <w:r w:rsidRPr="00A47C56">
        <w:rPr>
          <w:rFonts w:cstheme="minorHAnsi"/>
          <w:sz w:val="24"/>
          <w:szCs w:val="24"/>
        </w:rPr>
        <w:t xml:space="preserve">; Zhu, Gorman, and </w:t>
      </w:r>
      <w:proofErr w:type="spellStart"/>
      <w:r w:rsidRPr="00A47C56">
        <w:rPr>
          <w:rFonts w:cstheme="minorHAnsi"/>
          <w:sz w:val="24"/>
          <w:szCs w:val="24"/>
        </w:rPr>
        <w:t>Horel</w:t>
      </w:r>
      <w:proofErr w:type="spellEnd"/>
      <w:r w:rsidRPr="00A47C56">
        <w:rPr>
          <w:rFonts w:cstheme="minorHAnsi"/>
          <w:sz w:val="24"/>
          <w:szCs w:val="24"/>
        </w:rPr>
        <w:t xml:space="preserve"> </w:t>
      </w:r>
      <w:hyperlink r:id="rId56" w:history="1">
        <w:r w:rsidRPr="00A47C56">
          <w:rPr>
            <w:rStyle w:val="Hyperlink"/>
            <w:rFonts w:cstheme="minorHAnsi"/>
            <w:sz w:val="24"/>
            <w:szCs w:val="24"/>
          </w:rPr>
          <w:t>2004</w:t>
        </w:r>
      </w:hyperlink>
      <w:r w:rsidRPr="00A47C56">
        <w:rPr>
          <w:rFonts w:cstheme="minorHAnsi"/>
          <w:sz w:val="24"/>
          <w:szCs w:val="24"/>
        </w:rPr>
        <w:t xml:space="preserve">). For example, density of on-premise alcohol outlets is associated with assaults at relatively large (Lipton and Gruenewald </w:t>
      </w:r>
      <w:hyperlink r:id="rId57" w:history="1">
        <w:r w:rsidRPr="00A47C56">
          <w:rPr>
            <w:rStyle w:val="Hyperlink"/>
            <w:rFonts w:cstheme="minorHAnsi"/>
            <w:sz w:val="24"/>
            <w:szCs w:val="24"/>
          </w:rPr>
          <w:t>2002</w:t>
        </w:r>
      </w:hyperlink>
      <w:r w:rsidRPr="00A47C56">
        <w:rPr>
          <w:rFonts w:cstheme="minorHAnsi"/>
          <w:sz w:val="24"/>
          <w:szCs w:val="24"/>
        </w:rPr>
        <w:t xml:space="preserve">) and smaller levels of aggregation (e.g., </w:t>
      </w:r>
      <w:proofErr w:type="spellStart"/>
      <w:r w:rsidRPr="00A47C56">
        <w:rPr>
          <w:rFonts w:cstheme="minorHAnsi"/>
          <w:sz w:val="24"/>
          <w:szCs w:val="24"/>
        </w:rPr>
        <w:t>Pridemore</w:t>
      </w:r>
      <w:proofErr w:type="spellEnd"/>
      <w:r w:rsidRPr="00A47C56">
        <w:rPr>
          <w:rFonts w:cstheme="minorHAnsi"/>
          <w:sz w:val="24"/>
          <w:szCs w:val="24"/>
        </w:rPr>
        <w:t xml:space="preserve"> and Grubesic </w:t>
      </w:r>
      <w:hyperlink r:id="rId58" w:history="1">
        <w:r w:rsidRPr="00A47C56">
          <w:rPr>
            <w:rStyle w:val="Hyperlink"/>
            <w:rFonts w:cstheme="minorHAnsi"/>
            <w:sz w:val="24"/>
            <w:szCs w:val="24"/>
          </w:rPr>
          <w:t>2013</w:t>
        </w:r>
      </w:hyperlink>
      <w:r w:rsidRPr="00A47C56">
        <w:rPr>
          <w:rFonts w:cstheme="minorHAnsi"/>
          <w:sz w:val="24"/>
          <w:szCs w:val="24"/>
        </w:rPr>
        <w:t xml:space="preserve">; Snowden and </w:t>
      </w:r>
      <w:proofErr w:type="spellStart"/>
      <w:r w:rsidRPr="00A47C56">
        <w:rPr>
          <w:rFonts w:cstheme="minorHAnsi"/>
          <w:sz w:val="24"/>
          <w:szCs w:val="24"/>
        </w:rPr>
        <w:t>Pridemore</w:t>
      </w:r>
      <w:proofErr w:type="spellEnd"/>
      <w:r w:rsidRPr="00A47C56">
        <w:rPr>
          <w:rFonts w:cstheme="minorHAnsi"/>
          <w:sz w:val="24"/>
          <w:szCs w:val="24"/>
        </w:rPr>
        <w:t xml:space="preserve"> </w:t>
      </w:r>
      <w:hyperlink r:id="rId59" w:history="1">
        <w:r w:rsidRPr="00A47C56">
          <w:rPr>
            <w:rStyle w:val="Hyperlink"/>
            <w:rFonts w:cstheme="minorHAnsi"/>
            <w:sz w:val="24"/>
            <w:szCs w:val="24"/>
          </w:rPr>
          <w:t>2013a</w:t>
        </w:r>
      </w:hyperlink>
      <w:r w:rsidRPr="00A47C56">
        <w:rPr>
          <w:rFonts w:cstheme="minorHAnsi"/>
          <w:sz w:val="24"/>
          <w:szCs w:val="24"/>
        </w:rPr>
        <w:t xml:space="preserve">). Off-premise alcohol outlet density is also associated with violence (Gruenewald and Remer </w:t>
      </w:r>
      <w:hyperlink r:id="rId60" w:history="1">
        <w:r w:rsidRPr="00A47C56">
          <w:rPr>
            <w:rStyle w:val="Hyperlink"/>
            <w:rFonts w:cstheme="minorHAnsi"/>
            <w:sz w:val="24"/>
            <w:szCs w:val="24"/>
          </w:rPr>
          <w:t>2006</w:t>
        </w:r>
      </w:hyperlink>
      <w:r w:rsidRPr="00A47C56">
        <w:rPr>
          <w:rFonts w:cstheme="minorHAnsi"/>
          <w:sz w:val="24"/>
          <w:szCs w:val="24"/>
        </w:rPr>
        <w:t xml:space="preserve">; Snowden and </w:t>
      </w:r>
      <w:proofErr w:type="spellStart"/>
      <w:r w:rsidRPr="00A47C56">
        <w:rPr>
          <w:rFonts w:cstheme="minorHAnsi"/>
          <w:sz w:val="24"/>
          <w:szCs w:val="24"/>
        </w:rPr>
        <w:t>Freiburger</w:t>
      </w:r>
      <w:proofErr w:type="spellEnd"/>
      <w:r w:rsidRPr="00A47C56">
        <w:rPr>
          <w:rFonts w:cstheme="minorHAnsi"/>
          <w:sz w:val="24"/>
          <w:szCs w:val="24"/>
        </w:rPr>
        <w:t xml:space="preserve"> </w:t>
      </w:r>
      <w:hyperlink r:id="rId61" w:history="1">
        <w:r w:rsidRPr="00A47C56">
          <w:rPr>
            <w:rStyle w:val="Hyperlink"/>
            <w:rFonts w:cstheme="minorHAnsi"/>
            <w:sz w:val="24"/>
            <w:szCs w:val="24"/>
          </w:rPr>
          <w:t>2015b</w:t>
        </w:r>
      </w:hyperlink>
      <w:r w:rsidRPr="00A47C56">
        <w:rPr>
          <w:rFonts w:cstheme="minorHAnsi"/>
          <w:sz w:val="24"/>
          <w:szCs w:val="24"/>
        </w:rPr>
        <w:t>), and these types of alcohol outlets appear to have a greater effect on violence relative to on-premise alcohol outlets (</w:t>
      </w:r>
      <w:proofErr w:type="spellStart"/>
      <w:r w:rsidRPr="00A47C56">
        <w:rPr>
          <w:rFonts w:cstheme="minorHAnsi"/>
          <w:sz w:val="24"/>
          <w:szCs w:val="24"/>
        </w:rPr>
        <w:t>Pridemore</w:t>
      </w:r>
      <w:proofErr w:type="spellEnd"/>
      <w:r w:rsidRPr="00A47C56">
        <w:rPr>
          <w:rFonts w:cstheme="minorHAnsi"/>
          <w:sz w:val="24"/>
          <w:szCs w:val="24"/>
        </w:rPr>
        <w:t xml:space="preserve"> and Grubesic </w:t>
      </w:r>
      <w:hyperlink r:id="rId62" w:history="1">
        <w:r w:rsidRPr="00A47C56">
          <w:rPr>
            <w:rStyle w:val="Hyperlink"/>
            <w:rFonts w:cstheme="minorHAnsi"/>
            <w:sz w:val="24"/>
            <w:szCs w:val="24"/>
          </w:rPr>
          <w:t>2013</w:t>
        </w:r>
      </w:hyperlink>
      <w:r w:rsidRPr="00A47C56">
        <w:rPr>
          <w:rFonts w:cstheme="minorHAnsi"/>
          <w:sz w:val="24"/>
          <w:szCs w:val="24"/>
        </w:rPr>
        <w:t>). Due to the smaller number of studies of the association between alcohol outlets and non-violent crimes, however, any differential effects of on- and off-premise alcohol outlets on non-violent crimes are unclear and so we disaggregated alcohol outlet density by outlet type in our study.</w:t>
      </w:r>
    </w:p>
    <w:p w14:paraId="3779DDBF" w14:textId="77777777" w:rsidR="00A47C56" w:rsidRPr="00AB6BE2" w:rsidRDefault="00A47C56" w:rsidP="00AB6BE2">
      <w:pPr>
        <w:pStyle w:val="Heading3"/>
        <w:rPr>
          <w:i/>
          <w:iCs/>
        </w:rPr>
      </w:pPr>
      <w:r w:rsidRPr="00AB6BE2">
        <w:rPr>
          <w:i/>
          <w:iCs/>
        </w:rPr>
        <w:t>The moderating role of social disorganization</w:t>
      </w:r>
    </w:p>
    <w:p w14:paraId="593CB7CF" w14:textId="487DA50A" w:rsidR="00A47C56" w:rsidRPr="00A47C56" w:rsidRDefault="00A47C56" w:rsidP="00A47C56">
      <w:pPr>
        <w:rPr>
          <w:rFonts w:cstheme="minorHAnsi"/>
          <w:sz w:val="24"/>
          <w:szCs w:val="24"/>
        </w:rPr>
      </w:pPr>
      <w:r w:rsidRPr="00A47C56">
        <w:rPr>
          <w:rFonts w:cstheme="minorHAnsi"/>
          <w:sz w:val="24"/>
          <w:szCs w:val="24"/>
        </w:rPr>
        <w:t>Bringing multiple literatures together, Pridemore and Grubesic (</w:t>
      </w:r>
      <w:hyperlink r:id="rId63" w:history="1">
        <w:r w:rsidRPr="00A47C56">
          <w:rPr>
            <w:rStyle w:val="Hyperlink"/>
            <w:rFonts w:cstheme="minorHAnsi"/>
            <w:sz w:val="24"/>
            <w:szCs w:val="24"/>
          </w:rPr>
          <w:t>2012</w:t>
        </w:r>
      </w:hyperlink>
      <w:r w:rsidRPr="00A47C56">
        <w:rPr>
          <w:rFonts w:cstheme="minorHAnsi"/>
          <w:sz w:val="24"/>
          <w:szCs w:val="24"/>
        </w:rPr>
        <w:t xml:space="preserve">) argued organized neighborhoods are better able to exercise social control over residents and visitors in multiple ways to diminish the effects of alcohol outlet density on violent crime. They hypothesized organized communities can reduce the impact of alcohol outlet density on violence by influencing the behavior of (1) patrons of both on- and off-premise outlets, (2) alcohol outlet owners, management, and staff, and (3) law enforcement and other officials. For example, organized neighborhoods are likely better able to provide informal surveillance of outlet patrons and their social interaction around alcohol outlets. Organized neighborhoods are probably also in a stronger position to make demands on outlet owners and managers for more responsible retail practices (Responsible Retailing </w:t>
      </w:r>
      <w:hyperlink r:id="rId64" w:history="1">
        <w:r w:rsidRPr="00A47C56">
          <w:rPr>
            <w:rStyle w:val="Hyperlink"/>
            <w:rFonts w:cstheme="minorHAnsi"/>
            <w:sz w:val="24"/>
            <w:szCs w:val="24"/>
          </w:rPr>
          <w:t>2010</w:t>
        </w:r>
      </w:hyperlink>
      <w:r w:rsidRPr="00A47C56">
        <w:rPr>
          <w:rFonts w:cstheme="minorHAnsi"/>
          <w:sz w:val="24"/>
          <w:szCs w:val="24"/>
        </w:rPr>
        <w:t>) that can help prevent them from becoming deviant places. Finally, if organized communities cannot affect the behavior of alcohol outlet patrons and management, they are probably more likely than disorganized neighborhoods to seek and receive the aid of formal social control agents like the police, alcohol regulatory agencies, and other local officials. Thus, Pridemore and Grubesic (</w:t>
      </w:r>
      <w:hyperlink r:id="rId65" w:history="1">
        <w:r w:rsidRPr="00A47C56">
          <w:rPr>
            <w:rStyle w:val="Hyperlink"/>
            <w:rFonts w:cstheme="minorHAnsi"/>
            <w:sz w:val="24"/>
            <w:szCs w:val="24"/>
          </w:rPr>
          <w:t>2012</w:t>
        </w:r>
      </w:hyperlink>
      <w:r w:rsidRPr="00A47C56">
        <w:rPr>
          <w:rFonts w:cstheme="minorHAnsi"/>
          <w:sz w:val="24"/>
          <w:szCs w:val="24"/>
        </w:rPr>
        <w:t>) hypothesized that even given similar alcohol outlet densities, we should expect rates of crime and violence to be lower in socially organized communities. Their study revealed strong support for their hypothesis for violent crime. We examine this hypothesis for non-violent crime.</w:t>
      </w:r>
    </w:p>
    <w:p w14:paraId="09646EB9" w14:textId="77777777" w:rsidR="00A47C56" w:rsidRPr="00A47C56" w:rsidRDefault="00A47C56" w:rsidP="004B4EE4">
      <w:pPr>
        <w:pStyle w:val="Heading1"/>
      </w:pPr>
      <w:r w:rsidRPr="00A47C56">
        <w:t>Data and methods</w:t>
      </w:r>
    </w:p>
    <w:p w14:paraId="6CF85F9C" w14:textId="77777777" w:rsidR="00A47C56" w:rsidRPr="00A47C56" w:rsidRDefault="00A47C56" w:rsidP="004B4EE4">
      <w:pPr>
        <w:pStyle w:val="Heading2"/>
      </w:pPr>
      <w:r w:rsidRPr="00A47C56">
        <w:t>Research site and units of analysis</w:t>
      </w:r>
    </w:p>
    <w:p w14:paraId="0F78CA8D" w14:textId="7476D764" w:rsidR="00A47C56" w:rsidRPr="00A47C56" w:rsidRDefault="00A47C56" w:rsidP="00A47C56">
      <w:pPr>
        <w:rPr>
          <w:rFonts w:cstheme="minorHAnsi"/>
          <w:sz w:val="24"/>
          <w:szCs w:val="24"/>
        </w:rPr>
      </w:pPr>
      <w:r w:rsidRPr="00A47C56">
        <w:rPr>
          <w:rFonts w:cstheme="minorHAnsi"/>
          <w:sz w:val="24"/>
          <w:szCs w:val="24"/>
        </w:rPr>
        <w:t xml:space="preserve">We used block group data from Milwaukee, Wisconsin. Milwaukee is the largest city in Wisconsin, covering land area of about 96 square miles with an estimated population of about 600,000 residents (US Census Bureau </w:t>
      </w:r>
      <w:hyperlink r:id="rId66" w:history="1">
        <w:r w:rsidRPr="00A47C56">
          <w:rPr>
            <w:rStyle w:val="Hyperlink"/>
            <w:rFonts w:cstheme="minorHAnsi"/>
            <w:sz w:val="24"/>
            <w:szCs w:val="24"/>
          </w:rPr>
          <w:t>2014</w:t>
        </w:r>
      </w:hyperlink>
      <w:r w:rsidRPr="00A47C56">
        <w:rPr>
          <w:rFonts w:cstheme="minorHAnsi"/>
          <w:sz w:val="24"/>
          <w:szCs w:val="24"/>
        </w:rPr>
        <w:t xml:space="preserve">). Relative to the rest of the state, Milwaukee is an exceptionally diverse city, with 45% of the residents being white, 40% African-American, 17% Hispanic or Latino, and 4% Asian (US Census Bureau </w:t>
      </w:r>
      <w:hyperlink r:id="rId67" w:history="1">
        <w:r w:rsidRPr="00A47C56">
          <w:rPr>
            <w:rStyle w:val="Hyperlink"/>
            <w:rFonts w:cstheme="minorHAnsi"/>
            <w:sz w:val="24"/>
            <w:szCs w:val="24"/>
          </w:rPr>
          <w:t>2014</w:t>
        </w:r>
      </w:hyperlink>
      <w:r w:rsidRPr="00A47C56">
        <w:rPr>
          <w:rFonts w:cstheme="minorHAnsi"/>
          <w:sz w:val="24"/>
          <w:szCs w:val="24"/>
        </w:rPr>
        <w:t xml:space="preserve">). Milwaukee home ownership rates and median household income are below and poverty above the state average (US Census Bureau </w:t>
      </w:r>
      <w:hyperlink r:id="rId68" w:history="1">
        <w:r w:rsidRPr="00A47C56">
          <w:rPr>
            <w:rStyle w:val="Hyperlink"/>
            <w:rFonts w:cstheme="minorHAnsi"/>
            <w:sz w:val="24"/>
            <w:szCs w:val="24"/>
          </w:rPr>
          <w:t>2014</w:t>
        </w:r>
      </w:hyperlink>
      <w:r w:rsidRPr="00A47C56">
        <w:rPr>
          <w:rFonts w:cstheme="minorHAnsi"/>
          <w:sz w:val="24"/>
          <w:szCs w:val="24"/>
        </w:rPr>
        <w:t>).</w:t>
      </w:r>
    </w:p>
    <w:p w14:paraId="27FF45D6" w14:textId="2FB57113" w:rsidR="00A47C56" w:rsidRPr="00A47C56" w:rsidRDefault="00A47C56" w:rsidP="00A47C56">
      <w:pPr>
        <w:rPr>
          <w:rFonts w:cstheme="minorHAnsi"/>
          <w:sz w:val="24"/>
          <w:szCs w:val="24"/>
        </w:rPr>
      </w:pPr>
      <w:r w:rsidRPr="00A47C56">
        <w:rPr>
          <w:rFonts w:cstheme="minorHAnsi"/>
          <w:sz w:val="24"/>
          <w:szCs w:val="24"/>
        </w:rPr>
        <w:t xml:space="preserve">The units of analysis were 572 census block groups that lie within the city of Milwaukee boundaries. The population of these census block groups ranged between 288 and 3391, with a mean of 1045 (US Census Bureau </w:t>
      </w:r>
      <w:hyperlink r:id="rId69" w:history="1">
        <w:r w:rsidRPr="00A47C56">
          <w:rPr>
            <w:rStyle w:val="Hyperlink"/>
            <w:rFonts w:cstheme="minorHAnsi"/>
            <w:sz w:val="24"/>
            <w:szCs w:val="24"/>
          </w:rPr>
          <w:t>2010</w:t>
        </w:r>
      </w:hyperlink>
      <w:r w:rsidRPr="00A47C56">
        <w:rPr>
          <w:rFonts w:cstheme="minorHAnsi"/>
          <w:sz w:val="24"/>
          <w:szCs w:val="24"/>
        </w:rPr>
        <w:t xml:space="preserve">). The area of these 572 census block groups ranged from 0.03 square miles to 3.70 square miles, with a mean of 0.17 square miles (US Census Bureau </w:t>
      </w:r>
      <w:hyperlink r:id="rId70" w:history="1">
        <w:r w:rsidRPr="00A47C56">
          <w:rPr>
            <w:rStyle w:val="Hyperlink"/>
            <w:rFonts w:cstheme="minorHAnsi"/>
            <w:sz w:val="24"/>
            <w:szCs w:val="24"/>
          </w:rPr>
          <w:t>2010</w:t>
        </w:r>
      </w:hyperlink>
      <w:r w:rsidRPr="00A47C56">
        <w:rPr>
          <w:rFonts w:cstheme="minorHAnsi"/>
          <w:sz w:val="24"/>
          <w:szCs w:val="24"/>
        </w:rPr>
        <w:t>).</w:t>
      </w:r>
    </w:p>
    <w:p w14:paraId="0726E894" w14:textId="77777777" w:rsidR="00A47C56" w:rsidRPr="00A47C56" w:rsidRDefault="00A47C56" w:rsidP="004B4EE4">
      <w:pPr>
        <w:pStyle w:val="Heading2"/>
      </w:pPr>
      <w:r w:rsidRPr="00A47C56">
        <w:t>Dependent variables</w:t>
      </w:r>
    </w:p>
    <w:p w14:paraId="7AB53454" w14:textId="161A3210" w:rsidR="00A47C56" w:rsidRPr="00A47C56" w:rsidRDefault="00A47C56" w:rsidP="00A47C56">
      <w:pPr>
        <w:rPr>
          <w:rFonts w:cstheme="minorHAnsi"/>
          <w:sz w:val="24"/>
          <w:szCs w:val="24"/>
        </w:rPr>
      </w:pPr>
      <w:r w:rsidRPr="00A47C56">
        <w:rPr>
          <w:rFonts w:cstheme="minorHAnsi"/>
          <w:sz w:val="24"/>
          <w:szCs w:val="24"/>
        </w:rPr>
        <w:t xml:space="preserve">Our non-violent crime-dependent variables were (1) thefts from vehicles and (2) vandalism of property. We examined thefts from vehicles because to date, no prior study examined this particular non-violent crime type, but it is a crime that might be expected to occur near alcohol outlets, and we examined vandalism of property to allow for comparison with prior studies that examined this non-violent crime type. Additionally, we examined thefts from vehicles and vandalism of property together because these crimes usually result in a small dollar value loss, but they increase residents’ fear of crime and erode residents’ feelings of security and safety and their confidence in police (Keister </w:t>
      </w:r>
      <w:hyperlink r:id="rId71" w:history="1">
        <w:r w:rsidRPr="00A47C56">
          <w:rPr>
            <w:rStyle w:val="Hyperlink"/>
            <w:rFonts w:cstheme="minorHAnsi"/>
            <w:sz w:val="24"/>
            <w:szCs w:val="24"/>
          </w:rPr>
          <w:t>2007</w:t>
        </w:r>
      </w:hyperlink>
      <w:r w:rsidRPr="00A47C56">
        <w:rPr>
          <w:rFonts w:cstheme="minorHAnsi"/>
          <w:sz w:val="24"/>
          <w:szCs w:val="24"/>
        </w:rPr>
        <w:t>). We obtained these data from the City of Milwaukee Community Mapping and Analysis for Safety Strategies public applications website. Data were based on incidents that occurred between 1 January 2013, and 31 August 2013. This seven-month window into crime data was used because of availability of comparable data across the two crime types. The data included incident number, date, time, and location of the incident, which we geocoded using ArcMap 10.</w:t>
      </w:r>
      <w:hyperlink r:id="rId72" w:history="1">
        <w:r w:rsidRPr="00A47C56">
          <w:rPr>
            <w:rStyle w:val="Hyperlink"/>
            <w:rFonts w:cstheme="minorHAnsi"/>
            <w:sz w:val="24"/>
            <w:szCs w:val="24"/>
            <w:vertAlign w:val="superscript"/>
          </w:rPr>
          <w:t>1</w:t>
        </w:r>
      </w:hyperlink>
      <w:r w:rsidRPr="00A47C56">
        <w:rPr>
          <w:rFonts w:cstheme="minorHAnsi"/>
          <w:sz w:val="24"/>
          <w:szCs w:val="24"/>
        </w:rPr>
        <w:t xml:space="preserve"> For each block group, we calculated the density per square mile of thefts from vehicles and of vandalism of property. We standardized the dependent variables per square mile (i.e., spatial density) rather than by the population of the census block groups. If we standardized the data with a traditional population-based rate, the resulting measure would take into account only the population that lives in each block group and fail to account that offenders and victims travel to other block groups as they go about their daily activities and their involvement in the nighttime economy (</w:t>
      </w:r>
      <w:proofErr w:type="spellStart"/>
      <w:r w:rsidRPr="00A47C56">
        <w:rPr>
          <w:rFonts w:cstheme="minorHAnsi"/>
          <w:sz w:val="24"/>
          <w:szCs w:val="24"/>
        </w:rPr>
        <w:t>Pridemore</w:t>
      </w:r>
      <w:proofErr w:type="spellEnd"/>
      <w:r w:rsidRPr="00A47C56">
        <w:rPr>
          <w:rFonts w:cstheme="minorHAnsi"/>
          <w:sz w:val="24"/>
          <w:szCs w:val="24"/>
        </w:rPr>
        <w:t xml:space="preserve"> and Grubesic </w:t>
      </w:r>
      <w:hyperlink r:id="rId73" w:history="1">
        <w:r w:rsidRPr="00A47C56">
          <w:rPr>
            <w:rStyle w:val="Hyperlink"/>
            <w:rFonts w:cstheme="minorHAnsi"/>
            <w:sz w:val="24"/>
            <w:szCs w:val="24"/>
          </w:rPr>
          <w:t>2013</w:t>
        </w:r>
      </w:hyperlink>
      <w:r w:rsidRPr="00A47C56">
        <w:rPr>
          <w:rFonts w:cstheme="minorHAnsi"/>
          <w:sz w:val="24"/>
          <w:szCs w:val="24"/>
        </w:rPr>
        <w:t>). The distribution of each of these variables was positively skewed and so we recalculated these scores using a square root transformation. This transformation worked better than using a log base 10 function to reduce the skewness of the distribution.</w:t>
      </w:r>
    </w:p>
    <w:p w14:paraId="14A56E0F" w14:textId="77777777" w:rsidR="00A47C56" w:rsidRPr="00A47C56" w:rsidRDefault="00A47C56" w:rsidP="004B4EE4">
      <w:pPr>
        <w:pStyle w:val="Heading2"/>
      </w:pPr>
      <w:r w:rsidRPr="00A47C56">
        <w:t>Independent variables</w:t>
      </w:r>
    </w:p>
    <w:p w14:paraId="297BEC86" w14:textId="05FF51FA" w:rsidR="00A47C56" w:rsidRPr="00A47C56" w:rsidRDefault="00A47C56" w:rsidP="00A47C56">
      <w:pPr>
        <w:rPr>
          <w:rFonts w:cstheme="minorHAnsi"/>
          <w:sz w:val="24"/>
          <w:szCs w:val="24"/>
        </w:rPr>
      </w:pPr>
      <w:r w:rsidRPr="00A47C56">
        <w:rPr>
          <w:rFonts w:cstheme="minorHAnsi"/>
          <w:sz w:val="24"/>
          <w:szCs w:val="24"/>
        </w:rPr>
        <w:t>We obtained data on all active alcohol outlet licenses from the Wisconsin Department of Revenue in summer 2013. These data included license address, which we geocoded using ArcMap 10</w:t>
      </w:r>
      <w:hyperlink r:id="rId74" w:history="1">
        <w:r w:rsidRPr="00A47C56">
          <w:rPr>
            <w:rStyle w:val="Hyperlink"/>
            <w:rFonts w:cstheme="minorHAnsi"/>
            <w:sz w:val="24"/>
            <w:szCs w:val="24"/>
            <w:vertAlign w:val="superscript"/>
          </w:rPr>
          <w:t>2</w:t>
        </w:r>
      </w:hyperlink>
      <w:r w:rsidRPr="00A47C56">
        <w:rPr>
          <w:rFonts w:cstheme="minorHAnsi"/>
          <w:sz w:val="24"/>
          <w:szCs w:val="24"/>
        </w:rPr>
        <w:t>, and license type (i.e., on-premise or off-premise). Using these data, we calculated on- and off-premise alcohol outlet density per square mile for each block group. Since the distribution of each of these densities was skewed, we recalculated the scores using a square root transformation. As with the dependent variables, this transformation yielded the most appropriate reduction in skewness values relative to other transformations.</w:t>
      </w:r>
    </w:p>
    <w:p w14:paraId="122D9791" w14:textId="77777777" w:rsidR="00A47C56" w:rsidRPr="00A47C56" w:rsidRDefault="00A47C56" w:rsidP="004B4EE4">
      <w:pPr>
        <w:pStyle w:val="Heading2"/>
      </w:pPr>
      <w:r w:rsidRPr="00A47C56">
        <w:t>Control variables</w:t>
      </w:r>
    </w:p>
    <w:p w14:paraId="7A1C42B4" w14:textId="2B54F283" w:rsidR="00A47C56" w:rsidRPr="00A47C56" w:rsidRDefault="00A47C56" w:rsidP="00A47C56">
      <w:pPr>
        <w:rPr>
          <w:rFonts w:cstheme="minorHAnsi"/>
          <w:sz w:val="24"/>
          <w:szCs w:val="24"/>
        </w:rPr>
      </w:pPr>
      <w:r w:rsidRPr="00A47C56">
        <w:rPr>
          <w:rFonts w:cstheme="minorHAnsi"/>
          <w:sz w:val="24"/>
          <w:szCs w:val="24"/>
        </w:rPr>
        <w:t xml:space="preserve">Consistent with previous alcohol crime research also considering the influence of social disorganization (e.g., Nielsen, Martinez, and Lee </w:t>
      </w:r>
      <w:hyperlink r:id="rId75" w:history="1">
        <w:r w:rsidRPr="00A47C56">
          <w:rPr>
            <w:rStyle w:val="Hyperlink"/>
            <w:rFonts w:cstheme="minorHAnsi"/>
            <w:sz w:val="24"/>
            <w:szCs w:val="24"/>
          </w:rPr>
          <w:t>2005</w:t>
        </w:r>
      </w:hyperlink>
      <w:r w:rsidRPr="00A47C56">
        <w:rPr>
          <w:rFonts w:cstheme="minorHAnsi"/>
          <w:sz w:val="24"/>
          <w:szCs w:val="24"/>
        </w:rPr>
        <w:t xml:space="preserve">; Snowden and </w:t>
      </w:r>
      <w:proofErr w:type="spellStart"/>
      <w:r w:rsidRPr="00A47C56">
        <w:rPr>
          <w:rFonts w:cstheme="minorHAnsi"/>
          <w:sz w:val="24"/>
          <w:szCs w:val="24"/>
        </w:rPr>
        <w:t>Freiburger</w:t>
      </w:r>
      <w:proofErr w:type="spellEnd"/>
      <w:r w:rsidRPr="00A47C56">
        <w:rPr>
          <w:rFonts w:cstheme="minorHAnsi"/>
          <w:sz w:val="24"/>
          <w:szCs w:val="24"/>
        </w:rPr>
        <w:t xml:space="preserve"> </w:t>
      </w:r>
      <w:hyperlink r:id="rId76" w:history="1">
        <w:r w:rsidRPr="00A47C56">
          <w:rPr>
            <w:rStyle w:val="Hyperlink"/>
            <w:rFonts w:cstheme="minorHAnsi"/>
            <w:sz w:val="24"/>
            <w:szCs w:val="24"/>
          </w:rPr>
          <w:t>2015b</w:t>
        </w:r>
      </w:hyperlink>
      <w:r w:rsidRPr="00A47C56">
        <w:rPr>
          <w:rFonts w:cstheme="minorHAnsi"/>
          <w:sz w:val="24"/>
          <w:szCs w:val="24"/>
        </w:rPr>
        <w:t xml:space="preserve">), we created a variable to directly measure social disorganization levels in census block groups. We operationalized social disorganization as an index consisting of four traditional measures of social disorganization: poverty, residential instability, single-headed households, and ethnic heterogeneity. This approach follows those utilized by prior alcohol availability studies from criminology, sociology, epidemiology, and public health (e.g., Benson et al. </w:t>
      </w:r>
      <w:hyperlink r:id="rId77" w:history="1">
        <w:r w:rsidRPr="00A47C56">
          <w:rPr>
            <w:rStyle w:val="Hyperlink"/>
            <w:rFonts w:cstheme="minorHAnsi"/>
            <w:sz w:val="24"/>
            <w:szCs w:val="24"/>
          </w:rPr>
          <w:t>2004</w:t>
        </w:r>
      </w:hyperlink>
      <w:r w:rsidRPr="00A47C56">
        <w:rPr>
          <w:rFonts w:cstheme="minorHAnsi"/>
          <w:sz w:val="24"/>
          <w:szCs w:val="24"/>
        </w:rPr>
        <w:t xml:space="preserve">; Emerick et al. </w:t>
      </w:r>
      <w:hyperlink r:id="rId78" w:history="1">
        <w:r w:rsidRPr="00A47C56">
          <w:rPr>
            <w:rStyle w:val="Hyperlink"/>
            <w:rFonts w:cstheme="minorHAnsi"/>
            <w:sz w:val="24"/>
            <w:szCs w:val="24"/>
          </w:rPr>
          <w:t>2014</w:t>
        </w:r>
      </w:hyperlink>
      <w:r w:rsidRPr="00A47C56">
        <w:rPr>
          <w:rFonts w:cstheme="minorHAnsi"/>
          <w:sz w:val="24"/>
          <w:szCs w:val="24"/>
        </w:rPr>
        <w:t xml:space="preserve">; Nielsen, Martinez, and Lee </w:t>
      </w:r>
      <w:hyperlink r:id="rId79" w:history="1">
        <w:r w:rsidRPr="00A47C56">
          <w:rPr>
            <w:rStyle w:val="Hyperlink"/>
            <w:rFonts w:cstheme="minorHAnsi"/>
            <w:sz w:val="24"/>
            <w:szCs w:val="24"/>
          </w:rPr>
          <w:t>2005</w:t>
        </w:r>
      </w:hyperlink>
      <w:r w:rsidRPr="00A47C56">
        <w:rPr>
          <w:rFonts w:cstheme="minorHAnsi"/>
          <w:sz w:val="24"/>
          <w:szCs w:val="24"/>
        </w:rPr>
        <w:t xml:space="preserve">; </w:t>
      </w:r>
      <w:proofErr w:type="spellStart"/>
      <w:r w:rsidRPr="00A47C56">
        <w:rPr>
          <w:rFonts w:cstheme="minorHAnsi"/>
          <w:sz w:val="24"/>
          <w:szCs w:val="24"/>
        </w:rPr>
        <w:t>Pridemore</w:t>
      </w:r>
      <w:proofErr w:type="spellEnd"/>
      <w:r w:rsidRPr="00A47C56">
        <w:rPr>
          <w:rFonts w:cstheme="minorHAnsi"/>
          <w:sz w:val="24"/>
          <w:szCs w:val="24"/>
        </w:rPr>
        <w:t xml:space="preserve"> and Grubesic </w:t>
      </w:r>
      <w:hyperlink r:id="rId80" w:history="1">
        <w:r w:rsidRPr="00A47C56">
          <w:rPr>
            <w:rStyle w:val="Hyperlink"/>
            <w:rFonts w:cstheme="minorHAnsi"/>
            <w:sz w:val="24"/>
            <w:szCs w:val="24"/>
          </w:rPr>
          <w:t>2012</w:t>
        </w:r>
      </w:hyperlink>
      <w:r w:rsidRPr="00A47C56">
        <w:rPr>
          <w:rFonts w:cstheme="minorHAnsi"/>
          <w:sz w:val="24"/>
          <w:szCs w:val="24"/>
        </w:rPr>
        <w:t xml:space="preserve">; Roman et al. </w:t>
      </w:r>
      <w:hyperlink r:id="rId81" w:history="1">
        <w:r w:rsidRPr="00A47C56">
          <w:rPr>
            <w:rStyle w:val="Hyperlink"/>
            <w:rFonts w:cstheme="minorHAnsi"/>
            <w:sz w:val="24"/>
            <w:szCs w:val="24"/>
          </w:rPr>
          <w:t>2008</w:t>
        </w:r>
      </w:hyperlink>
      <w:r w:rsidRPr="00A47C56">
        <w:rPr>
          <w:rFonts w:cstheme="minorHAnsi"/>
          <w:sz w:val="24"/>
          <w:szCs w:val="24"/>
        </w:rPr>
        <w:t xml:space="preserve">; Snowden and </w:t>
      </w:r>
      <w:proofErr w:type="spellStart"/>
      <w:r w:rsidRPr="00A47C56">
        <w:rPr>
          <w:rFonts w:cstheme="minorHAnsi"/>
          <w:sz w:val="24"/>
          <w:szCs w:val="24"/>
        </w:rPr>
        <w:t>Pridemore</w:t>
      </w:r>
      <w:proofErr w:type="spellEnd"/>
      <w:r w:rsidRPr="00A47C56">
        <w:rPr>
          <w:rFonts w:cstheme="minorHAnsi"/>
          <w:sz w:val="24"/>
          <w:szCs w:val="24"/>
        </w:rPr>
        <w:t xml:space="preserve"> </w:t>
      </w:r>
      <w:hyperlink r:id="rId82" w:history="1">
        <w:r w:rsidRPr="00A47C56">
          <w:rPr>
            <w:rStyle w:val="Hyperlink"/>
            <w:rFonts w:cstheme="minorHAnsi"/>
            <w:sz w:val="24"/>
            <w:szCs w:val="24"/>
          </w:rPr>
          <w:t>2013b</w:t>
        </w:r>
      </w:hyperlink>
      <w:r w:rsidRPr="00A47C56">
        <w:rPr>
          <w:rFonts w:cstheme="minorHAnsi"/>
          <w:sz w:val="24"/>
          <w:szCs w:val="24"/>
        </w:rPr>
        <w:t xml:space="preserve">). While there are many slight variations using measures from the U.S. Census, we used very frequently used measures that capture classical (Shaw and McKay </w:t>
      </w:r>
      <w:hyperlink r:id="rId83" w:history="1">
        <w:r w:rsidRPr="00A47C56">
          <w:rPr>
            <w:rStyle w:val="Hyperlink"/>
            <w:rFonts w:cstheme="minorHAnsi"/>
            <w:sz w:val="24"/>
            <w:szCs w:val="24"/>
          </w:rPr>
          <w:t>1942</w:t>
        </w:r>
      </w:hyperlink>
      <w:r w:rsidRPr="00A47C56">
        <w:rPr>
          <w:rFonts w:cstheme="minorHAnsi"/>
          <w:sz w:val="24"/>
          <w:szCs w:val="24"/>
        </w:rPr>
        <w:t xml:space="preserve">) – like poverty, residential mobility, and ethnic heterogeneity – and contemporary (Sampson and Groves </w:t>
      </w:r>
      <w:hyperlink r:id="rId84" w:history="1">
        <w:r w:rsidRPr="00A47C56">
          <w:rPr>
            <w:rStyle w:val="Hyperlink"/>
            <w:rFonts w:cstheme="minorHAnsi"/>
            <w:sz w:val="24"/>
            <w:szCs w:val="24"/>
          </w:rPr>
          <w:t>1989</w:t>
        </w:r>
      </w:hyperlink>
      <w:r w:rsidRPr="00A47C56">
        <w:rPr>
          <w:rFonts w:cstheme="minorHAnsi"/>
          <w:sz w:val="24"/>
          <w:szCs w:val="24"/>
        </w:rPr>
        <w:t>) – like single-headed households – aspects of social disorganization.</w:t>
      </w:r>
    </w:p>
    <w:p w14:paraId="2937F9F7" w14:textId="0A6D4BC0" w:rsidR="00A47C56" w:rsidRPr="00A47C56" w:rsidRDefault="00A47C56" w:rsidP="00A47C56">
      <w:pPr>
        <w:rPr>
          <w:rFonts w:cstheme="minorHAnsi"/>
          <w:sz w:val="24"/>
          <w:szCs w:val="24"/>
        </w:rPr>
      </w:pPr>
      <w:r w:rsidRPr="00A47C56">
        <w:rPr>
          <w:rFonts w:cstheme="minorHAnsi"/>
          <w:sz w:val="24"/>
          <w:szCs w:val="24"/>
        </w:rPr>
        <w:t xml:space="preserve">Our measure of poverty – calculated based on the proportion of individuals in the block group with income below poverty level – was consistent with the measurement of poverty carried in our prior studies. Our measure of residential instability was calculated as the proportion of renter-occupied housing units, which is consistent with prior research in this area (e.g., Evans et al. </w:t>
      </w:r>
      <w:hyperlink r:id="rId85" w:history="1">
        <w:r w:rsidRPr="00A47C56">
          <w:rPr>
            <w:rStyle w:val="Hyperlink"/>
            <w:rFonts w:cstheme="minorHAnsi"/>
            <w:sz w:val="24"/>
            <w:szCs w:val="24"/>
          </w:rPr>
          <w:t>1995</w:t>
        </w:r>
      </w:hyperlink>
      <w:r w:rsidRPr="00A47C56">
        <w:rPr>
          <w:rFonts w:cstheme="minorHAnsi"/>
          <w:sz w:val="24"/>
          <w:szCs w:val="24"/>
        </w:rPr>
        <w:t xml:space="preserve">; Lipton et al. </w:t>
      </w:r>
      <w:hyperlink r:id="rId86" w:history="1">
        <w:r w:rsidRPr="00A47C56">
          <w:rPr>
            <w:rStyle w:val="Hyperlink"/>
            <w:rFonts w:cstheme="minorHAnsi"/>
            <w:sz w:val="24"/>
            <w:szCs w:val="24"/>
          </w:rPr>
          <w:t>2013</w:t>
        </w:r>
      </w:hyperlink>
      <w:r w:rsidRPr="00A47C56">
        <w:rPr>
          <w:rFonts w:cstheme="minorHAnsi"/>
          <w:sz w:val="24"/>
          <w:szCs w:val="24"/>
        </w:rPr>
        <w:t xml:space="preserve">; Lockwood </w:t>
      </w:r>
      <w:hyperlink r:id="rId87" w:history="1">
        <w:r w:rsidRPr="00A47C56">
          <w:rPr>
            <w:rStyle w:val="Hyperlink"/>
            <w:rFonts w:cstheme="minorHAnsi"/>
            <w:sz w:val="24"/>
            <w:szCs w:val="24"/>
          </w:rPr>
          <w:t>2007</w:t>
        </w:r>
      </w:hyperlink>
      <w:r w:rsidRPr="00A47C56">
        <w:rPr>
          <w:rFonts w:cstheme="minorHAnsi"/>
          <w:sz w:val="24"/>
          <w:szCs w:val="24"/>
        </w:rPr>
        <w:t xml:space="preserve">; McCord and Ratcliffe </w:t>
      </w:r>
      <w:hyperlink r:id="rId88" w:history="1">
        <w:r w:rsidRPr="00A47C56">
          <w:rPr>
            <w:rStyle w:val="Hyperlink"/>
            <w:rFonts w:cstheme="minorHAnsi"/>
            <w:sz w:val="24"/>
            <w:szCs w:val="24"/>
          </w:rPr>
          <w:t>2007</w:t>
        </w:r>
      </w:hyperlink>
      <w:r w:rsidRPr="00A47C56">
        <w:rPr>
          <w:rFonts w:cstheme="minorHAnsi"/>
          <w:sz w:val="24"/>
          <w:szCs w:val="24"/>
        </w:rPr>
        <w:t xml:space="preserve">; Peterson, </w:t>
      </w:r>
      <w:proofErr w:type="spellStart"/>
      <w:r w:rsidRPr="00A47C56">
        <w:rPr>
          <w:rFonts w:cstheme="minorHAnsi"/>
          <w:sz w:val="24"/>
          <w:szCs w:val="24"/>
        </w:rPr>
        <w:t>Krivo</w:t>
      </w:r>
      <w:proofErr w:type="spellEnd"/>
      <w:r w:rsidRPr="00A47C56">
        <w:rPr>
          <w:rFonts w:cstheme="minorHAnsi"/>
          <w:sz w:val="24"/>
          <w:szCs w:val="24"/>
        </w:rPr>
        <w:t xml:space="preserve">, and Harris </w:t>
      </w:r>
      <w:hyperlink r:id="rId89" w:history="1">
        <w:r w:rsidRPr="00A47C56">
          <w:rPr>
            <w:rStyle w:val="Hyperlink"/>
            <w:rFonts w:cstheme="minorHAnsi"/>
            <w:sz w:val="24"/>
            <w:szCs w:val="24"/>
          </w:rPr>
          <w:t>2000</w:t>
        </w:r>
      </w:hyperlink>
      <w:r w:rsidRPr="00A47C56">
        <w:rPr>
          <w:rFonts w:cstheme="minorHAnsi"/>
          <w:sz w:val="24"/>
          <w:szCs w:val="24"/>
        </w:rPr>
        <w:t xml:space="preserve">; Snowden and </w:t>
      </w:r>
      <w:proofErr w:type="spellStart"/>
      <w:r w:rsidRPr="00A47C56">
        <w:rPr>
          <w:rFonts w:cstheme="minorHAnsi"/>
          <w:sz w:val="24"/>
          <w:szCs w:val="24"/>
        </w:rPr>
        <w:t>Freiburger</w:t>
      </w:r>
      <w:proofErr w:type="spellEnd"/>
      <w:r w:rsidRPr="00A47C56">
        <w:rPr>
          <w:rFonts w:cstheme="minorHAnsi"/>
          <w:sz w:val="24"/>
          <w:szCs w:val="24"/>
        </w:rPr>
        <w:t xml:space="preserve"> </w:t>
      </w:r>
      <w:hyperlink r:id="rId90" w:history="1">
        <w:r w:rsidRPr="00A47C56">
          <w:rPr>
            <w:rStyle w:val="Hyperlink"/>
            <w:rFonts w:cstheme="minorHAnsi"/>
            <w:sz w:val="24"/>
            <w:szCs w:val="24"/>
          </w:rPr>
          <w:t>2015b</w:t>
        </w:r>
      </w:hyperlink>
      <w:r w:rsidRPr="00A47C56">
        <w:rPr>
          <w:rFonts w:cstheme="minorHAnsi"/>
          <w:sz w:val="24"/>
          <w:szCs w:val="24"/>
        </w:rPr>
        <w:t xml:space="preserve">). Our measure of family disruption was consistent with prior research in this area and was calculated as the proportion of all households in the block group that had a single parent (either female- or male-headed) and with a child under the age of 18. Our last measure of social disorganization was ethnic heterogeneity, which was calculated using the </w:t>
      </w:r>
      <w:proofErr w:type="spellStart"/>
      <w:r w:rsidRPr="00A47C56">
        <w:rPr>
          <w:rFonts w:cstheme="minorHAnsi"/>
          <w:sz w:val="24"/>
          <w:szCs w:val="24"/>
        </w:rPr>
        <w:t>Lieberson</w:t>
      </w:r>
      <w:proofErr w:type="spellEnd"/>
      <w:r w:rsidRPr="00A47C56">
        <w:rPr>
          <w:rFonts w:cstheme="minorHAnsi"/>
          <w:sz w:val="24"/>
          <w:szCs w:val="24"/>
        </w:rPr>
        <w:t xml:space="preserve"> Index (</w:t>
      </w:r>
      <w:proofErr w:type="spellStart"/>
      <w:r w:rsidRPr="00A47C56">
        <w:rPr>
          <w:rFonts w:cstheme="minorHAnsi"/>
          <w:sz w:val="24"/>
          <w:szCs w:val="24"/>
        </w:rPr>
        <w:t>Lieberson</w:t>
      </w:r>
      <w:proofErr w:type="spellEnd"/>
      <w:r w:rsidRPr="00A47C56">
        <w:rPr>
          <w:rFonts w:cstheme="minorHAnsi"/>
          <w:sz w:val="24"/>
          <w:szCs w:val="24"/>
        </w:rPr>
        <w:t xml:space="preserve"> </w:t>
      </w:r>
      <w:hyperlink r:id="rId91" w:history="1">
        <w:r w:rsidRPr="00A47C56">
          <w:rPr>
            <w:rStyle w:val="Hyperlink"/>
            <w:rFonts w:cstheme="minorHAnsi"/>
            <w:sz w:val="24"/>
            <w:szCs w:val="24"/>
          </w:rPr>
          <w:t>1969</w:t>
        </w:r>
      </w:hyperlink>
      <w:r w:rsidRPr="00A47C56">
        <w:rPr>
          <w:rFonts w:cstheme="minorHAnsi"/>
          <w:sz w:val="24"/>
          <w:szCs w:val="24"/>
        </w:rPr>
        <w:t xml:space="preserve">) and is consistent with prior research (Morgan and </w:t>
      </w:r>
      <w:proofErr w:type="spellStart"/>
      <w:r w:rsidRPr="00A47C56">
        <w:rPr>
          <w:rFonts w:cstheme="minorHAnsi"/>
          <w:sz w:val="24"/>
          <w:szCs w:val="24"/>
        </w:rPr>
        <w:t>Jasinski</w:t>
      </w:r>
      <w:proofErr w:type="spellEnd"/>
      <w:r w:rsidRPr="00A47C56">
        <w:rPr>
          <w:rFonts w:cstheme="minorHAnsi"/>
          <w:sz w:val="24"/>
          <w:szCs w:val="24"/>
        </w:rPr>
        <w:t xml:space="preserve">, </w:t>
      </w:r>
      <w:hyperlink r:id="rId92" w:history="1">
        <w:r w:rsidRPr="00A47C56">
          <w:rPr>
            <w:rStyle w:val="Hyperlink"/>
            <w:rFonts w:cstheme="minorHAnsi"/>
            <w:sz w:val="24"/>
            <w:szCs w:val="24"/>
          </w:rPr>
          <w:t>forthcoming</w:t>
        </w:r>
      </w:hyperlink>
      <w:r w:rsidRPr="00A47C56">
        <w:rPr>
          <w:rFonts w:cstheme="minorHAnsi"/>
          <w:sz w:val="24"/>
          <w:szCs w:val="24"/>
        </w:rPr>
        <w:t xml:space="preserve">; Osgood and Chambers </w:t>
      </w:r>
      <w:hyperlink r:id="rId93" w:history="1">
        <w:r w:rsidRPr="00A47C56">
          <w:rPr>
            <w:rStyle w:val="Hyperlink"/>
            <w:rFonts w:cstheme="minorHAnsi"/>
            <w:sz w:val="24"/>
            <w:szCs w:val="24"/>
          </w:rPr>
          <w:t>2000</w:t>
        </w:r>
      </w:hyperlink>
      <w:r w:rsidRPr="00A47C56">
        <w:rPr>
          <w:rFonts w:cstheme="minorHAnsi"/>
          <w:sz w:val="24"/>
          <w:szCs w:val="24"/>
        </w:rPr>
        <w:t xml:space="preserve">; Roman et al. </w:t>
      </w:r>
      <w:hyperlink r:id="rId94" w:history="1">
        <w:r w:rsidRPr="00A47C56">
          <w:rPr>
            <w:rStyle w:val="Hyperlink"/>
            <w:rFonts w:cstheme="minorHAnsi"/>
            <w:sz w:val="24"/>
            <w:szCs w:val="24"/>
          </w:rPr>
          <w:t>2008</w:t>
        </w:r>
      </w:hyperlink>
      <w:r w:rsidRPr="00A47C56">
        <w:rPr>
          <w:rFonts w:cstheme="minorHAnsi"/>
          <w:sz w:val="24"/>
          <w:szCs w:val="24"/>
        </w:rPr>
        <w:t xml:space="preserve">; Warner and Pierce </w:t>
      </w:r>
      <w:hyperlink r:id="rId95" w:history="1">
        <w:r w:rsidRPr="00A47C56">
          <w:rPr>
            <w:rStyle w:val="Hyperlink"/>
            <w:rFonts w:cstheme="minorHAnsi"/>
            <w:sz w:val="24"/>
            <w:szCs w:val="24"/>
          </w:rPr>
          <w:t>1993</w:t>
        </w:r>
      </w:hyperlink>
      <w:r w:rsidRPr="00A47C56">
        <w:rPr>
          <w:rFonts w:cstheme="minorHAnsi"/>
          <w:sz w:val="24"/>
          <w:szCs w:val="24"/>
        </w:rPr>
        <w:t>). Once we calculated the raw scores for each of these four individual variables, we created a social disorganization index by standardizing the raw scores and then summing these standardized scores and dividing by four.</w:t>
      </w:r>
    </w:p>
    <w:p w14:paraId="637D34E5" w14:textId="1ED44202" w:rsidR="00A47C56" w:rsidRPr="00A47C56" w:rsidRDefault="00A47C56" w:rsidP="00A47C56">
      <w:pPr>
        <w:rPr>
          <w:rFonts w:cstheme="minorHAnsi"/>
          <w:sz w:val="24"/>
          <w:szCs w:val="24"/>
        </w:rPr>
      </w:pPr>
      <w:r w:rsidRPr="00A47C56">
        <w:rPr>
          <w:rFonts w:cstheme="minorHAnsi"/>
          <w:sz w:val="24"/>
          <w:szCs w:val="24"/>
        </w:rPr>
        <w:t>More recent research in this area has identified additional community characteristics, such as population density and young males that may influence social cohesion, solidarity, and integration. Therefore, we included these additional control variables in our models. We measured population density based on the number of residents per square mile and we measured young males as the proportion of all block group residents who were 15 to 24 years of age. We also controlled for the distance of census block centroids from the city center because both Park and Burgess (</w:t>
      </w:r>
      <w:hyperlink r:id="rId96" w:history="1">
        <w:r w:rsidRPr="00A47C56">
          <w:rPr>
            <w:rStyle w:val="Hyperlink"/>
            <w:rFonts w:cstheme="minorHAnsi"/>
            <w:sz w:val="24"/>
            <w:szCs w:val="24"/>
          </w:rPr>
          <w:t>1969</w:t>
        </w:r>
      </w:hyperlink>
      <w:r w:rsidRPr="00A47C56">
        <w:rPr>
          <w:rFonts w:cstheme="minorHAnsi"/>
          <w:sz w:val="24"/>
          <w:szCs w:val="24"/>
        </w:rPr>
        <w:t>) and Shaw and McKay (</w:t>
      </w:r>
      <w:hyperlink r:id="rId97" w:history="1">
        <w:r w:rsidRPr="00A47C56">
          <w:rPr>
            <w:rStyle w:val="Hyperlink"/>
            <w:rFonts w:cstheme="minorHAnsi"/>
            <w:sz w:val="24"/>
            <w:szCs w:val="24"/>
          </w:rPr>
          <w:t>1942</w:t>
        </w:r>
      </w:hyperlink>
      <w:r w:rsidRPr="00A47C56">
        <w:rPr>
          <w:rFonts w:cstheme="minorHAnsi"/>
          <w:sz w:val="24"/>
          <w:szCs w:val="24"/>
        </w:rPr>
        <w:t xml:space="preserve">) found that downtown areas tend to have higher crime rates, as was also done with more recent research on social disorganization (Rice and </w:t>
      </w:r>
      <w:proofErr w:type="spellStart"/>
      <w:r w:rsidRPr="00A47C56">
        <w:rPr>
          <w:rFonts w:cstheme="minorHAnsi"/>
          <w:sz w:val="24"/>
          <w:szCs w:val="24"/>
        </w:rPr>
        <w:t>Csmith</w:t>
      </w:r>
      <w:proofErr w:type="spellEnd"/>
      <w:r w:rsidRPr="00A47C56">
        <w:rPr>
          <w:rFonts w:cstheme="minorHAnsi"/>
          <w:sz w:val="24"/>
          <w:szCs w:val="24"/>
        </w:rPr>
        <w:t xml:space="preserve"> </w:t>
      </w:r>
      <w:hyperlink r:id="rId98" w:history="1">
        <w:r w:rsidRPr="00A47C56">
          <w:rPr>
            <w:rStyle w:val="Hyperlink"/>
            <w:rFonts w:cstheme="minorHAnsi"/>
            <w:sz w:val="24"/>
            <w:szCs w:val="24"/>
          </w:rPr>
          <w:t>2002</w:t>
        </w:r>
      </w:hyperlink>
      <w:r w:rsidRPr="00A47C56">
        <w:rPr>
          <w:rFonts w:cstheme="minorHAnsi"/>
          <w:sz w:val="24"/>
          <w:szCs w:val="24"/>
        </w:rPr>
        <w:t xml:space="preserve">; Smith, Frazee, and Davison </w:t>
      </w:r>
      <w:hyperlink r:id="rId99" w:history="1">
        <w:r w:rsidRPr="00A47C56">
          <w:rPr>
            <w:rStyle w:val="Hyperlink"/>
            <w:rFonts w:cstheme="minorHAnsi"/>
            <w:sz w:val="24"/>
            <w:szCs w:val="24"/>
          </w:rPr>
          <w:t>2000</w:t>
        </w:r>
      </w:hyperlink>
      <w:r w:rsidRPr="00A47C56">
        <w:rPr>
          <w:rFonts w:cstheme="minorHAnsi"/>
          <w:sz w:val="24"/>
          <w:szCs w:val="24"/>
        </w:rPr>
        <w:t>). We obtained the socioeconomic data for the control variables from the US Census Bureau. Our models do not control for proportion African American or proportion non-white because we capture these constructs in our neighborhood ethnic heterogeneity measure.</w:t>
      </w:r>
    </w:p>
    <w:p w14:paraId="55632FEC" w14:textId="77777777" w:rsidR="00A47C56" w:rsidRPr="00A47C56" w:rsidRDefault="00A47C56" w:rsidP="004B4EE4">
      <w:pPr>
        <w:pStyle w:val="Heading2"/>
      </w:pPr>
      <w:r w:rsidRPr="00A47C56">
        <w:t>Analytic method</w:t>
      </w:r>
    </w:p>
    <w:p w14:paraId="59325ECE" w14:textId="5526C3C9" w:rsidR="00A47C56" w:rsidRPr="00A47C56" w:rsidRDefault="00A47C56" w:rsidP="00A47C56">
      <w:pPr>
        <w:rPr>
          <w:rFonts w:cstheme="minorHAnsi"/>
          <w:sz w:val="24"/>
          <w:szCs w:val="24"/>
        </w:rPr>
      </w:pPr>
      <w:r w:rsidRPr="00A47C56">
        <w:rPr>
          <w:rFonts w:cstheme="minorHAnsi"/>
          <w:sz w:val="24"/>
          <w:szCs w:val="24"/>
        </w:rPr>
        <w:t xml:space="preserve">We used ArcMap 10 software to clean, geocode, and manage data and employed GeoDa and GeoDaSpace software (Anselin, </w:t>
      </w:r>
      <w:proofErr w:type="spellStart"/>
      <w:r w:rsidRPr="00A47C56">
        <w:rPr>
          <w:rFonts w:cstheme="minorHAnsi"/>
          <w:sz w:val="24"/>
          <w:szCs w:val="24"/>
        </w:rPr>
        <w:t>Syabri</w:t>
      </w:r>
      <w:proofErr w:type="spellEnd"/>
      <w:r w:rsidRPr="00A47C56">
        <w:rPr>
          <w:rFonts w:cstheme="minorHAnsi"/>
          <w:sz w:val="24"/>
          <w:szCs w:val="24"/>
        </w:rPr>
        <w:t xml:space="preserve">, and Kho </w:t>
      </w:r>
      <w:hyperlink r:id="rId100" w:history="1">
        <w:r w:rsidRPr="00A47C56">
          <w:rPr>
            <w:rStyle w:val="Hyperlink"/>
            <w:rFonts w:cstheme="minorHAnsi"/>
            <w:sz w:val="24"/>
            <w:szCs w:val="24"/>
          </w:rPr>
          <w:t>2006</w:t>
        </w:r>
      </w:hyperlink>
      <w:r w:rsidRPr="00A47C56">
        <w:rPr>
          <w:rFonts w:cstheme="minorHAnsi"/>
          <w:sz w:val="24"/>
          <w:szCs w:val="24"/>
        </w:rPr>
        <w:t>) to estimate spatially lagged models and account for spatial autocorrelation of non-violent crimes across neighboring block groups. We estimated spatial regression models using a first-order queen contiguity spatial weight matrix.</w:t>
      </w:r>
      <w:hyperlink r:id="rId101" w:history="1">
        <w:r w:rsidRPr="00A47C56">
          <w:rPr>
            <w:rStyle w:val="Hyperlink"/>
            <w:rFonts w:cstheme="minorHAnsi"/>
            <w:sz w:val="24"/>
            <w:szCs w:val="24"/>
            <w:vertAlign w:val="superscript"/>
          </w:rPr>
          <w:t>3</w:t>
        </w:r>
      </w:hyperlink>
      <w:r w:rsidRPr="00A47C56">
        <w:rPr>
          <w:rFonts w:cstheme="minorHAnsi"/>
          <w:sz w:val="24"/>
          <w:szCs w:val="24"/>
        </w:rPr>
        <w:t xml:space="preserve"> We conducted four sets of analyses. The first two sets of analyses examined thefts from vehicles and vandalism of property, respectively,</w:t>
      </w:r>
      <w:hyperlink r:id="rId102" w:history="1">
        <w:r w:rsidRPr="00A47C56">
          <w:rPr>
            <w:rStyle w:val="Hyperlink"/>
            <w:rFonts w:cstheme="minorHAnsi"/>
            <w:sz w:val="24"/>
            <w:szCs w:val="24"/>
            <w:vertAlign w:val="superscript"/>
          </w:rPr>
          <w:t>4</w:t>
        </w:r>
      </w:hyperlink>
      <w:r w:rsidRPr="00A47C56">
        <w:rPr>
          <w:rFonts w:cstheme="minorHAnsi"/>
          <w:sz w:val="24"/>
          <w:szCs w:val="24"/>
        </w:rPr>
        <w:t xml:space="preserve"> and we estimated separate models for on- and off-premise alcohol outlet density.</w:t>
      </w:r>
      <w:hyperlink r:id="rId103" w:history="1">
        <w:r w:rsidRPr="00A47C56">
          <w:rPr>
            <w:rStyle w:val="Hyperlink"/>
            <w:rFonts w:cstheme="minorHAnsi"/>
            <w:sz w:val="24"/>
            <w:szCs w:val="24"/>
            <w:vertAlign w:val="superscript"/>
          </w:rPr>
          <w:t>5</w:t>
        </w:r>
      </w:hyperlink>
      <w:r w:rsidRPr="00A47C56">
        <w:rPr>
          <w:rFonts w:cstheme="minorHAnsi"/>
          <w:sz w:val="24"/>
          <w:szCs w:val="24"/>
        </w:rPr>
        <w:t xml:space="preserve"> The last two sets of analyses tested for the moderating effects of social disorganization on the relationship between alcohol outlet types and thefts from vehicles and vandalism of property, respectively.</w:t>
      </w:r>
    </w:p>
    <w:p w14:paraId="7C6BD827" w14:textId="77777777" w:rsidR="00A47C56" w:rsidRPr="00A47C56" w:rsidRDefault="00A47C56" w:rsidP="004B4EE4">
      <w:pPr>
        <w:pStyle w:val="Heading1"/>
      </w:pPr>
      <w:r w:rsidRPr="00A47C56">
        <w:t>Results</w:t>
      </w:r>
    </w:p>
    <w:p w14:paraId="34111F4B" w14:textId="6B485DBD" w:rsidR="00A47C56" w:rsidRPr="00A47C56" w:rsidRDefault="00A47C56" w:rsidP="00A47C56">
      <w:pPr>
        <w:rPr>
          <w:rFonts w:cstheme="minorHAnsi"/>
          <w:sz w:val="24"/>
          <w:szCs w:val="24"/>
        </w:rPr>
      </w:pPr>
      <w:r w:rsidRPr="00A47C56">
        <w:rPr>
          <w:rFonts w:cstheme="minorHAnsi"/>
          <w:sz w:val="24"/>
          <w:szCs w:val="24"/>
        </w:rPr>
        <w:t xml:space="preserve">Descriptive statistics for all variables are presented in Table </w:t>
      </w:r>
      <w:r w:rsidR="0084020D">
        <w:rPr>
          <w:rFonts w:cstheme="minorHAnsi"/>
          <w:sz w:val="24"/>
          <w:szCs w:val="24"/>
        </w:rPr>
        <w:t>1</w:t>
      </w:r>
      <w:r w:rsidRPr="00A47C56">
        <w:rPr>
          <w:rFonts w:cstheme="minorHAnsi"/>
          <w:sz w:val="24"/>
          <w:szCs w:val="24"/>
        </w:rPr>
        <w:t>. The table shows the densities of thefts from vehicles, vandalism of property, and alcohol outlets, per square mile. Milwaukee block groups contained on average about 34 incidents of thefts from vehicles per square mile and about 46 incidents of vandalism of property per square mile (i.e., about 5 counts of thefts from vehicles and about 4 counts of vandalism of property). Milwaukee block groups averaged about 22 alcohol outlets per square mile (i.e., about 2 alcohol outlets), most of which (73%) were on-premise alcohol outlets (e.g., bars and restaurants). The social disorganization index ranged from −6.02 (lower levels of social disorganization) to 8.16 (higher levels of social disorganization).</w:t>
      </w:r>
    </w:p>
    <w:p w14:paraId="0FEA5B36" w14:textId="77777777" w:rsidR="00A47C56" w:rsidRPr="00AB6BE2" w:rsidRDefault="00A47C56" w:rsidP="0084020D">
      <w:pPr>
        <w:pStyle w:val="NoSpacing"/>
        <w:rPr>
          <w:sz w:val="24"/>
          <w:szCs w:val="24"/>
        </w:rPr>
      </w:pPr>
      <w:r w:rsidRPr="00AB6BE2">
        <w:rPr>
          <w:sz w:val="24"/>
          <w:szCs w:val="24"/>
        </w:rPr>
        <w:t>Table 1. Descriptive statistics for Milwaukee (</w:t>
      </w:r>
      <w:r w:rsidRPr="00AB6BE2">
        <w:rPr>
          <w:i/>
          <w:iCs/>
          <w:sz w:val="24"/>
          <w:szCs w:val="24"/>
        </w:rPr>
        <w:t>N</w:t>
      </w:r>
      <w:r w:rsidRPr="00AB6BE2">
        <w:rPr>
          <w:sz w:val="24"/>
          <w:szCs w:val="24"/>
        </w:rPr>
        <w:t> = 572) block groups.</w:t>
      </w:r>
    </w:p>
    <w:tbl>
      <w:tblPr>
        <w:tblStyle w:val="TableGrid"/>
        <w:tblW w:w="0" w:type="auto"/>
        <w:tblLook w:val="04A0" w:firstRow="1" w:lastRow="0" w:firstColumn="1" w:lastColumn="0" w:noHBand="0" w:noVBand="1"/>
      </w:tblPr>
      <w:tblGrid>
        <w:gridCol w:w="3551"/>
        <w:gridCol w:w="1129"/>
        <w:gridCol w:w="1007"/>
        <w:gridCol w:w="885"/>
        <w:gridCol w:w="1129"/>
      </w:tblGrid>
      <w:tr w:rsidR="00A84472" w14:paraId="5C04F50C" w14:textId="77777777" w:rsidTr="00B507DD">
        <w:tc>
          <w:tcPr>
            <w:tcW w:w="0" w:type="auto"/>
          </w:tcPr>
          <w:p w14:paraId="34B2C5A9" w14:textId="77777777" w:rsidR="00A84472" w:rsidRDefault="00A84472" w:rsidP="00A47C56">
            <w:pPr>
              <w:rPr>
                <w:rFonts w:cstheme="minorHAnsi"/>
                <w:sz w:val="24"/>
                <w:szCs w:val="24"/>
              </w:rPr>
            </w:pPr>
          </w:p>
        </w:tc>
        <w:tc>
          <w:tcPr>
            <w:tcW w:w="0" w:type="auto"/>
          </w:tcPr>
          <w:p w14:paraId="4955A249" w14:textId="3C781BCA" w:rsidR="00A84472" w:rsidRDefault="00A84472" w:rsidP="00A47C56">
            <w:pPr>
              <w:rPr>
                <w:rFonts w:cstheme="minorHAnsi"/>
                <w:sz w:val="24"/>
                <w:szCs w:val="24"/>
              </w:rPr>
            </w:pPr>
            <w:r>
              <w:rPr>
                <w:rFonts w:cstheme="minorHAnsi"/>
                <w:sz w:val="24"/>
                <w:szCs w:val="24"/>
              </w:rPr>
              <w:t>Mean</w:t>
            </w:r>
          </w:p>
        </w:tc>
        <w:tc>
          <w:tcPr>
            <w:tcW w:w="0" w:type="auto"/>
          </w:tcPr>
          <w:p w14:paraId="753FA5B4" w14:textId="2A2E828C" w:rsidR="00A84472" w:rsidRDefault="00A84472" w:rsidP="00A47C56">
            <w:pPr>
              <w:rPr>
                <w:rFonts w:cstheme="minorHAnsi"/>
                <w:sz w:val="24"/>
                <w:szCs w:val="24"/>
              </w:rPr>
            </w:pPr>
            <w:r>
              <w:rPr>
                <w:rFonts w:cstheme="minorHAnsi"/>
                <w:sz w:val="24"/>
                <w:szCs w:val="24"/>
              </w:rPr>
              <w:t>SD</w:t>
            </w:r>
          </w:p>
        </w:tc>
        <w:tc>
          <w:tcPr>
            <w:tcW w:w="0" w:type="auto"/>
          </w:tcPr>
          <w:p w14:paraId="25C4ECC5" w14:textId="0BAFB09F" w:rsidR="00A84472" w:rsidRDefault="00A84472" w:rsidP="00A47C56">
            <w:pPr>
              <w:rPr>
                <w:rFonts w:cstheme="minorHAnsi"/>
                <w:sz w:val="24"/>
                <w:szCs w:val="24"/>
              </w:rPr>
            </w:pPr>
            <w:r>
              <w:rPr>
                <w:rFonts w:cstheme="minorHAnsi"/>
                <w:sz w:val="24"/>
                <w:szCs w:val="24"/>
              </w:rPr>
              <w:t>Min.</w:t>
            </w:r>
          </w:p>
        </w:tc>
        <w:tc>
          <w:tcPr>
            <w:tcW w:w="0" w:type="auto"/>
          </w:tcPr>
          <w:p w14:paraId="0EBBF725" w14:textId="19D09ACA" w:rsidR="00A84472" w:rsidRDefault="00A84472" w:rsidP="00A47C56">
            <w:pPr>
              <w:rPr>
                <w:rFonts w:cstheme="minorHAnsi"/>
                <w:sz w:val="24"/>
                <w:szCs w:val="24"/>
              </w:rPr>
            </w:pPr>
            <w:r>
              <w:rPr>
                <w:rFonts w:cstheme="minorHAnsi"/>
                <w:sz w:val="24"/>
                <w:szCs w:val="24"/>
              </w:rPr>
              <w:t>Max.</w:t>
            </w:r>
          </w:p>
        </w:tc>
      </w:tr>
      <w:tr w:rsidR="00A84472" w14:paraId="0E309629" w14:textId="77777777" w:rsidTr="00B507DD">
        <w:tc>
          <w:tcPr>
            <w:tcW w:w="0" w:type="auto"/>
          </w:tcPr>
          <w:p w14:paraId="4539A673" w14:textId="37B7D77B" w:rsidR="00A84472" w:rsidRDefault="00A84472" w:rsidP="00A47C56">
            <w:pPr>
              <w:rPr>
                <w:rFonts w:cstheme="minorHAnsi"/>
                <w:sz w:val="24"/>
                <w:szCs w:val="24"/>
              </w:rPr>
            </w:pPr>
            <w:r>
              <w:rPr>
                <w:rFonts w:cstheme="minorHAnsi"/>
                <w:sz w:val="24"/>
                <w:szCs w:val="24"/>
              </w:rPr>
              <w:t>Thefts from vehicles density</w:t>
            </w:r>
          </w:p>
        </w:tc>
        <w:tc>
          <w:tcPr>
            <w:tcW w:w="0" w:type="auto"/>
          </w:tcPr>
          <w:p w14:paraId="4FB3627E" w14:textId="63DC2013" w:rsidR="00A84472" w:rsidRDefault="00C30CE5" w:rsidP="00A47C56">
            <w:pPr>
              <w:rPr>
                <w:rFonts w:cstheme="minorHAnsi"/>
                <w:sz w:val="24"/>
                <w:szCs w:val="24"/>
              </w:rPr>
            </w:pPr>
            <w:r>
              <w:rPr>
                <w:rFonts w:cstheme="minorHAnsi"/>
                <w:sz w:val="24"/>
                <w:szCs w:val="24"/>
              </w:rPr>
              <w:t>33.83</w:t>
            </w:r>
          </w:p>
        </w:tc>
        <w:tc>
          <w:tcPr>
            <w:tcW w:w="0" w:type="auto"/>
          </w:tcPr>
          <w:p w14:paraId="2FD65803" w14:textId="593B485A" w:rsidR="00A84472" w:rsidRDefault="0066443E" w:rsidP="00A47C56">
            <w:pPr>
              <w:rPr>
                <w:rFonts w:cstheme="minorHAnsi"/>
                <w:sz w:val="24"/>
                <w:szCs w:val="24"/>
              </w:rPr>
            </w:pPr>
            <w:r>
              <w:rPr>
                <w:rFonts w:cstheme="minorHAnsi"/>
                <w:sz w:val="24"/>
                <w:szCs w:val="24"/>
              </w:rPr>
              <w:t>42.19</w:t>
            </w:r>
          </w:p>
        </w:tc>
        <w:tc>
          <w:tcPr>
            <w:tcW w:w="0" w:type="auto"/>
          </w:tcPr>
          <w:p w14:paraId="4CFB3591" w14:textId="6A09FA31" w:rsidR="00A84472" w:rsidRDefault="00021B26" w:rsidP="00A47C56">
            <w:pPr>
              <w:rPr>
                <w:rFonts w:cstheme="minorHAnsi"/>
                <w:sz w:val="24"/>
                <w:szCs w:val="24"/>
              </w:rPr>
            </w:pPr>
            <w:r>
              <w:rPr>
                <w:rFonts w:cstheme="minorHAnsi"/>
                <w:sz w:val="24"/>
                <w:szCs w:val="24"/>
              </w:rPr>
              <w:t>0</w:t>
            </w:r>
          </w:p>
        </w:tc>
        <w:tc>
          <w:tcPr>
            <w:tcW w:w="0" w:type="auto"/>
          </w:tcPr>
          <w:p w14:paraId="5C42EAA5" w14:textId="1BF3E9BE" w:rsidR="00A84472" w:rsidRDefault="00021B26" w:rsidP="00A47C56">
            <w:pPr>
              <w:rPr>
                <w:rFonts w:cstheme="minorHAnsi"/>
                <w:sz w:val="24"/>
                <w:szCs w:val="24"/>
              </w:rPr>
            </w:pPr>
            <w:r>
              <w:rPr>
                <w:rFonts w:cstheme="minorHAnsi"/>
                <w:sz w:val="24"/>
                <w:szCs w:val="24"/>
              </w:rPr>
              <w:t>400.00</w:t>
            </w:r>
          </w:p>
        </w:tc>
      </w:tr>
      <w:tr w:rsidR="00A84472" w14:paraId="273249B3" w14:textId="77777777" w:rsidTr="00B507DD">
        <w:tc>
          <w:tcPr>
            <w:tcW w:w="0" w:type="auto"/>
          </w:tcPr>
          <w:p w14:paraId="78FD4AAE" w14:textId="6277AAF4" w:rsidR="00A84472" w:rsidRDefault="00A84472" w:rsidP="00A47C56">
            <w:pPr>
              <w:rPr>
                <w:rFonts w:cstheme="minorHAnsi"/>
                <w:sz w:val="24"/>
                <w:szCs w:val="24"/>
              </w:rPr>
            </w:pPr>
            <w:r>
              <w:rPr>
                <w:rFonts w:cstheme="minorHAnsi"/>
                <w:sz w:val="24"/>
                <w:szCs w:val="24"/>
              </w:rPr>
              <w:t>Vandalism of property density</w:t>
            </w:r>
          </w:p>
        </w:tc>
        <w:tc>
          <w:tcPr>
            <w:tcW w:w="0" w:type="auto"/>
          </w:tcPr>
          <w:p w14:paraId="2826E05C" w14:textId="124F256F" w:rsidR="00A84472" w:rsidRDefault="00C30CE5" w:rsidP="00A47C56">
            <w:pPr>
              <w:rPr>
                <w:rFonts w:cstheme="minorHAnsi"/>
                <w:sz w:val="24"/>
                <w:szCs w:val="24"/>
              </w:rPr>
            </w:pPr>
            <w:r>
              <w:rPr>
                <w:rFonts w:cstheme="minorHAnsi"/>
                <w:sz w:val="24"/>
                <w:szCs w:val="24"/>
              </w:rPr>
              <w:t>46.26</w:t>
            </w:r>
          </w:p>
        </w:tc>
        <w:tc>
          <w:tcPr>
            <w:tcW w:w="0" w:type="auto"/>
          </w:tcPr>
          <w:p w14:paraId="7679F9AB" w14:textId="6529624E" w:rsidR="00A84472" w:rsidRDefault="0066443E" w:rsidP="00A47C56">
            <w:pPr>
              <w:rPr>
                <w:rFonts w:cstheme="minorHAnsi"/>
                <w:sz w:val="24"/>
                <w:szCs w:val="24"/>
              </w:rPr>
            </w:pPr>
            <w:r>
              <w:rPr>
                <w:rFonts w:cstheme="minorHAnsi"/>
                <w:sz w:val="24"/>
                <w:szCs w:val="24"/>
              </w:rPr>
              <w:t>44.46</w:t>
            </w:r>
          </w:p>
        </w:tc>
        <w:tc>
          <w:tcPr>
            <w:tcW w:w="0" w:type="auto"/>
          </w:tcPr>
          <w:p w14:paraId="406C0391" w14:textId="1BD0225D" w:rsidR="00A84472" w:rsidRDefault="00021B26" w:rsidP="00A47C56">
            <w:pPr>
              <w:rPr>
                <w:rFonts w:cstheme="minorHAnsi"/>
                <w:sz w:val="24"/>
                <w:szCs w:val="24"/>
              </w:rPr>
            </w:pPr>
            <w:r>
              <w:rPr>
                <w:rFonts w:cstheme="minorHAnsi"/>
                <w:sz w:val="24"/>
                <w:szCs w:val="24"/>
              </w:rPr>
              <w:t>0</w:t>
            </w:r>
          </w:p>
        </w:tc>
        <w:tc>
          <w:tcPr>
            <w:tcW w:w="0" w:type="auto"/>
          </w:tcPr>
          <w:p w14:paraId="0AD1A1A1" w14:textId="4A990CB9" w:rsidR="00A84472" w:rsidRDefault="00021B26" w:rsidP="00A47C56">
            <w:pPr>
              <w:rPr>
                <w:rFonts w:cstheme="minorHAnsi"/>
                <w:sz w:val="24"/>
                <w:szCs w:val="24"/>
              </w:rPr>
            </w:pPr>
            <w:r>
              <w:rPr>
                <w:rFonts w:cstheme="minorHAnsi"/>
                <w:sz w:val="24"/>
                <w:szCs w:val="24"/>
              </w:rPr>
              <w:t>300.00</w:t>
            </w:r>
          </w:p>
        </w:tc>
      </w:tr>
      <w:tr w:rsidR="00A84472" w14:paraId="23019121" w14:textId="77777777" w:rsidTr="00B507DD">
        <w:tc>
          <w:tcPr>
            <w:tcW w:w="0" w:type="auto"/>
          </w:tcPr>
          <w:p w14:paraId="4F4211F2" w14:textId="72B51B89" w:rsidR="00A84472" w:rsidRDefault="00A84472" w:rsidP="00A47C56">
            <w:pPr>
              <w:rPr>
                <w:rFonts w:cstheme="minorHAnsi"/>
                <w:sz w:val="24"/>
                <w:szCs w:val="24"/>
              </w:rPr>
            </w:pPr>
            <w:r>
              <w:rPr>
                <w:rFonts w:cstheme="minorHAnsi"/>
                <w:sz w:val="24"/>
                <w:szCs w:val="24"/>
              </w:rPr>
              <w:t>Total alcohol density</w:t>
            </w:r>
          </w:p>
        </w:tc>
        <w:tc>
          <w:tcPr>
            <w:tcW w:w="0" w:type="auto"/>
          </w:tcPr>
          <w:p w14:paraId="34B75A6A" w14:textId="21E77617" w:rsidR="00A84472" w:rsidRDefault="00C30CE5" w:rsidP="00A47C56">
            <w:pPr>
              <w:rPr>
                <w:rFonts w:cstheme="minorHAnsi"/>
                <w:sz w:val="24"/>
                <w:szCs w:val="24"/>
              </w:rPr>
            </w:pPr>
            <w:r>
              <w:rPr>
                <w:rFonts w:cstheme="minorHAnsi"/>
                <w:sz w:val="24"/>
                <w:szCs w:val="24"/>
              </w:rPr>
              <w:t>22.39</w:t>
            </w:r>
          </w:p>
        </w:tc>
        <w:tc>
          <w:tcPr>
            <w:tcW w:w="0" w:type="auto"/>
          </w:tcPr>
          <w:p w14:paraId="791464C1" w14:textId="7A894435" w:rsidR="00A84472" w:rsidRDefault="0066443E" w:rsidP="00A47C56">
            <w:pPr>
              <w:rPr>
                <w:rFonts w:cstheme="minorHAnsi"/>
                <w:sz w:val="24"/>
                <w:szCs w:val="24"/>
              </w:rPr>
            </w:pPr>
            <w:r>
              <w:rPr>
                <w:rFonts w:cstheme="minorHAnsi"/>
                <w:sz w:val="24"/>
                <w:szCs w:val="24"/>
              </w:rPr>
              <w:t>39.77</w:t>
            </w:r>
          </w:p>
        </w:tc>
        <w:tc>
          <w:tcPr>
            <w:tcW w:w="0" w:type="auto"/>
          </w:tcPr>
          <w:p w14:paraId="1E6A2E8F" w14:textId="1AC3073B" w:rsidR="00A84472" w:rsidRDefault="00021B26" w:rsidP="00A47C56">
            <w:pPr>
              <w:rPr>
                <w:rFonts w:cstheme="minorHAnsi"/>
                <w:sz w:val="24"/>
                <w:szCs w:val="24"/>
              </w:rPr>
            </w:pPr>
            <w:r>
              <w:rPr>
                <w:rFonts w:cstheme="minorHAnsi"/>
                <w:sz w:val="24"/>
                <w:szCs w:val="24"/>
              </w:rPr>
              <w:t>0</w:t>
            </w:r>
          </w:p>
        </w:tc>
        <w:tc>
          <w:tcPr>
            <w:tcW w:w="0" w:type="auto"/>
          </w:tcPr>
          <w:p w14:paraId="6A88F3E5" w14:textId="49E292C7" w:rsidR="00A84472" w:rsidRDefault="00021B26" w:rsidP="00A47C56">
            <w:pPr>
              <w:rPr>
                <w:rFonts w:cstheme="minorHAnsi"/>
                <w:sz w:val="24"/>
                <w:szCs w:val="24"/>
              </w:rPr>
            </w:pPr>
            <w:r>
              <w:rPr>
                <w:rFonts w:cstheme="minorHAnsi"/>
                <w:sz w:val="24"/>
                <w:szCs w:val="24"/>
              </w:rPr>
              <w:t>400.00</w:t>
            </w:r>
          </w:p>
        </w:tc>
      </w:tr>
      <w:tr w:rsidR="00A84472" w14:paraId="68692B20" w14:textId="77777777" w:rsidTr="00B507DD">
        <w:tc>
          <w:tcPr>
            <w:tcW w:w="0" w:type="auto"/>
          </w:tcPr>
          <w:p w14:paraId="0E2958E9" w14:textId="634C41BA" w:rsidR="00A84472" w:rsidRDefault="00A84472" w:rsidP="00A47C56">
            <w:pPr>
              <w:rPr>
                <w:rFonts w:cstheme="minorHAnsi"/>
                <w:sz w:val="24"/>
                <w:szCs w:val="24"/>
              </w:rPr>
            </w:pPr>
            <w:r>
              <w:rPr>
                <w:rFonts w:cstheme="minorHAnsi"/>
                <w:sz w:val="24"/>
                <w:szCs w:val="24"/>
              </w:rPr>
              <w:t>On-premise alcohol outlet density</w:t>
            </w:r>
          </w:p>
        </w:tc>
        <w:tc>
          <w:tcPr>
            <w:tcW w:w="0" w:type="auto"/>
          </w:tcPr>
          <w:p w14:paraId="6344A5C7" w14:textId="17D6CA97" w:rsidR="00A84472" w:rsidRDefault="00C30CE5" w:rsidP="00A47C56">
            <w:pPr>
              <w:rPr>
                <w:rFonts w:cstheme="minorHAnsi"/>
                <w:sz w:val="24"/>
                <w:szCs w:val="24"/>
              </w:rPr>
            </w:pPr>
            <w:r>
              <w:rPr>
                <w:rFonts w:cstheme="minorHAnsi"/>
                <w:sz w:val="24"/>
                <w:szCs w:val="24"/>
              </w:rPr>
              <w:t>16.20</w:t>
            </w:r>
          </w:p>
        </w:tc>
        <w:tc>
          <w:tcPr>
            <w:tcW w:w="0" w:type="auto"/>
          </w:tcPr>
          <w:p w14:paraId="5B98B9E7" w14:textId="6AEE1572" w:rsidR="00A84472" w:rsidRDefault="0066443E" w:rsidP="00A47C56">
            <w:pPr>
              <w:rPr>
                <w:rFonts w:cstheme="minorHAnsi"/>
                <w:sz w:val="24"/>
                <w:szCs w:val="24"/>
              </w:rPr>
            </w:pPr>
            <w:r>
              <w:rPr>
                <w:rFonts w:cstheme="minorHAnsi"/>
                <w:sz w:val="24"/>
                <w:szCs w:val="24"/>
              </w:rPr>
              <w:t>35.5</w:t>
            </w:r>
          </w:p>
        </w:tc>
        <w:tc>
          <w:tcPr>
            <w:tcW w:w="0" w:type="auto"/>
          </w:tcPr>
          <w:p w14:paraId="0D20C15E" w14:textId="46F913D0" w:rsidR="00A84472" w:rsidRDefault="00021B26" w:rsidP="00A47C56">
            <w:pPr>
              <w:rPr>
                <w:rFonts w:cstheme="minorHAnsi"/>
                <w:sz w:val="24"/>
                <w:szCs w:val="24"/>
              </w:rPr>
            </w:pPr>
            <w:r>
              <w:rPr>
                <w:rFonts w:cstheme="minorHAnsi"/>
                <w:sz w:val="24"/>
                <w:szCs w:val="24"/>
              </w:rPr>
              <w:t>0</w:t>
            </w:r>
          </w:p>
        </w:tc>
        <w:tc>
          <w:tcPr>
            <w:tcW w:w="0" w:type="auto"/>
          </w:tcPr>
          <w:p w14:paraId="3CA6DC96" w14:textId="2CC1F48E" w:rsidR="00A84472" w:rsidRDefault="004907D0" w:rsidP="00A47C56">
            <w:pPr>
              <w:rPr>
                <w:rFonts w:cstheme="minorHAnsi"/>
                <w:sz w:val="24"/>
                <w:szCs w:val="24"/>
              </w:rPr>
            </w:pPr>
            <w:r>
              <w:rPr>
                <w:rFonts w:cstheme="minorHAnsi"/>
                <w:sz w:val="24"/>
                <w:szCs w:val="24"/>
              </w:rPr>
              <w:t>377.78</w:t>
            </w:r>
          </w:p>
        </w:tc>
      </w:tr>
      <w:tr w:rsidR="00A84472" w14:paraId="7A97F4D5" w14:textId="77777777" w:rsidTr="00B507DD">
        <w:tc>
          <w:tcPr>
            <w:tcW w:w="0" w:type="auto"/>
          </w:tcPr>
          <w:p w14:paraId="25A85327" w14:textId="35152CA9" w:rsidR="00A84472" w:rsidRDefault="00A84472" w:rsidP="00A47C56">
            <w:pPr>
              <w:rPr>
                <w:rFonts w:cstheme="minorHAnsi"/>
                <w:sz w:val="24"/>
                <w:szCs w:val="24"/>
              </w:rPr>
            </w:pPr>
            <w:r>
              <w:rPr>
                <w:rFonts w:cstheme="minorHAnsi"/>
                <w:sz w:val="24"/>
                <w:szCs w:val="24"/>
              </w:rPr>
              <w:t>Off-premise alcohol outlet density</w:t>
            </w:r>
          </w:p>
        </w:tc>
        <w:tc>
          <w:tcPr>
            <w:tcW w:w="0" w:type="auto"/>
          </w:tcPr>
          <w:p w14:paraId="458AC18E" w14:textId="5C128F9C" w:rsidR="00A84472" w:rsidRDefault="00C30CE5" w:rsidP="00A47C56">
            <w:pPr>
              <w:rPr>
                <w:rFonts w:cstheme="minorHAnsi"/>
                <w:sz w:val="24"/>
                <w:szCs w:val="24"/>
              </w:rPr>
            </w:pPr>
            <w:r>
              <w:rPr>
                <w:rFonts w:cstheme="minorHAnsi"/>
                <w:sz w:val="24"/>
                <w:szCs w:val="24"/>
              </w:rPr>
              <w:t>6.19</w:t>
            </w:r>
          </w:p>
        </w:tc>
        <w:tc>
          <w:tcPr>
            <w:tcW w:w="0" w:type="auto"/>
          </w:tcPr>
          <w:p w14:paraId="77303BE0" w14:textId="225F3AB2" w:rsidR="00A84472" w:rsidRDefault="0066443E" w:rsidP="00A47C56">
            <w:pPr>
              <w:rPr>
                <w:rFonts w:cstheme="minorHAnsi"/>
                <w:sz w:val="24"/>
                <w:szCs w:val="24"/>
              </w:rPr>
            </w:pPr>
            <w:r>
              <w:rPr>
                <w:rFonts w:cstheme="minorHAnsi"/>
                <w:sz w:val="24"/>
                <w:szCs w:val="24"/>
              </w:rPr>
              <w:t>11.47</w:t>
            </w:r>
          </w:p>
        </w:tc>
        <w:tc>
          <w:tcPr>
            <w:tcW w:w="0" w:type="auto"/>
          </w:tcPr>
          <w:p w14:paraId="1075F1AB" w14:textId="5C79E0F0" w:rsidR="00A84472" w:rsidRDefault="00021B26" w:rsidP="00A47C56">
            <w:pPr>
              <w:rPr>
                <w:rFonts w:cstheme="minorHAnsi"/>
                <w:sz w:val="24"/>
                <w:szCs w:val="24"/>
              </w:rPr>
            </w:pPr>
            <w:r>
              <w:rPr>
                <w:rFonts w:cstheme="minorHAnsi"/>
                <w:sz w:val="24"/>
                <w:szCs w:val="24"/>
              </w:rPr>
              <w:t>0</w:t>
            </w:r>
          </w:p>
        </w:tc>
        <w:tc>
          <w:tcPr>
            <w:tcW w:w="0" w:type="auto"/>
          </w:tcPr>
          <w:p w14:paraId="17C4F92D" w14:textId="3F90CD97" w:rsidR="00A84472" w:rsidRDefault="004907D0" w:rsidP="00A47C56">
            <w:pPr>
              <w:rPr>
                <w:rFonts w:cstheme="minorHAnsi"/>
                <w:sz w:val="24"/>
                <w:szCs w:val="24"/>
              </w:rPr>
            </w:pPr>
            <w:r>
              <w:rPr>
                <w:rFonts w:cstheme="minorHAnsi"/>
                <w:sz w:val="24"/>
                <w:szCs w:val="24"/>
              </w:rPr>
              <w:t>83.33</w:t>
            </w:r>
          </w:p>
        </w:tc>
      </w:tr>
      <w:tr w:rsidR="00A84472" w14:paraId="0E9F16FA" w14:textId="77777777" w:rsidTr="00B507DD">
        <w:tc>
          <w:tcPr>
            <w:tcW w:w="0" w:type="auto"/>
          </w:tcPr>
          <w:p w14:paraId="32988624" w14:textId="3B1934EF" w:rsidR="00A84472" w:rsidRDefault="00A84472" w:rsidP="00A47C56">
            <w:pPr>
              <w:rPr>
                <w:rFonts w:cstheme="minorHAnsi"/>
                <w:sz w:val="24"/>
                <w:szCs w:val="24"/>
              </w:rPr>
            </w:pPr>
            <w:r>
              <w:rPr>
                <w:rFonts w:cstheme="minorHAnsi"/>
                <w:sz w:val="24"/>
                <w:szCs w:val="24"/>
              </w:rPr>
              <w:t>Social Disorganization Index</w:t>
            </w:r>
          </w:p>
        </w:tc>
        <w:tc>
          <w:tcPr>
            <w:tcW w:w="0" w:type="auto"/>
          </w:tcPr>
          <w:p w14:paraId="205EE92C" w14:textId="6DC734C3" w:rsidR="00A84472" w:rsidRDefault="00C30CE5" w:rsidP="00A47C56">
            <w:pPr>
              <w:rPr>
                <w:rFonts w:cstheme="minorHAnsi"/>
                <w:sz w:val="24"/>
                <w:szCs w:val="24"/>
              </w:rPr>
            </w:pPr>
            <w:r>
              <w:rPr>
                <w:rFonts w:cstheme="minorHAnsi"/>
                <w:sz w:val="24"/>
                <w:szCs w:val="24"/>
              </w:rPr>
              <w:t>0.01</w:t>
            </w:r>
          </w:p>
        </w:tc>
        <w:tc>
          <w:tcPr>
            <w:tcW w:w="0" w:type="auto"/>
          </w:tcPr>
          <w:p w14:paraId="74240B82" w14:textId="7B4A02DF" w:rsidR="00A84472" w:rsidRDefault="0066443E" w:rsidP="00A47C56">
            <w:pPr>
              <w:rPr>
                <w:rFonts w:cstheme="minorHAnsi"/>
                <w:sz w:val="24"/>
                <w:szCs w:val="24"/>
              </w:rPr>
            </w:pPr>
            <w:r>
              <w:rPr>
                <w:rFonts w:cstheme="minorHAnsi"/>
                <w:sz w:val="24"/>
                <w:szCs w:val="24"/>
              </w:rPr>
              <w:t>2.56</w:t>
            </w:r>
          </w:p>
        </w:tc>
        <w:tc>
          <w:tcPr>
            <w:tcW w:w="0" w:type="auto"/>
          </w:tcPr>
          <w:p w14:paraId="25DA61DB" w14:textId="00EC526C" w:rsidR="00A84472" w:rsidRDefault="00021B26" w:rsidP="00A47C56">
            <w:pPr>
              <w:rPr>
                <w:rFonts w:cstheme="minorHAnsi"/>
                <w:sz w:val="24"/>
                <w:szCs w:val="24"/>
              </w:rPr>
            </w:pPr>
            <w:r>
              <w:rPr>
                <w:rFonts w:cstheme="minorHAnsi"/>
                <w:sz w:val="24"/>
                <w:szCs w:val="24"/>
              </w:rPr>
              <w:t>-6.02</w:t>
            </w:r>
          </w:p>
        </w:tc>
        <w:tc>
          <w:tcPr>
            <w:tcW w:w="0" w:type="auto"/>
          </w:tcPr>
          <w:p w14:paraId="45E8CA20" w14:textId="25499305" w:rsidR="00A84472" w:rsidRDefault="004907D0" w:rsidP="00A47C56">
            <w:pPr>
              <w:rPr>
                <w:rFonts w:cstheme="minorHAnsi"/>
                <w:sz w:val="24"/>
                <w:szCs w:val="24"/>
              </w:rPr>
            </w:pPr>
            <w:r>
              <w:rPr>
                <w:rFonts w:cstheme="minorHAnsi"/>
                <w:sz w:val="24"/>
                <w:szCs w:val="24"/>
              </w:rPr>
              <w:t>8.16</w:t>
            </w:r>
          </w:p>
        </w:tc>
      </w:tr>
      <w:tr w:rsidR="00A84472" w14:paraId="0A05D2D8" w14:textId="77777777" w:rsidTr="00B507DD">
        <w:tc>
          <w:tcPr>
            <w:tcW w:w="0" w:type="auto"/>
          </w:tcPr>
          <w:p w14:paraId="08413723" w14:textId="20696F1A" w:rsidR="00A84472" w:rsidRDefault="00A84472" w:rsidP="00A47C56">
            <w:pPr>
              <w:rPr>
                <w:rFonts w:cstheme="minorHAnsi"/>
                <w:sz w:val="24"/>
                <w:szCs w:val="24"/>
              </w:rPr>
            </w:pPr>
            <w:r>
              <w:rPr>
                <w:rFonts w:cstheme="minorHAnsi"/>
                <w:sz w:val="24"/>
                <w:szCs w:val="24"/>
              </w:rPr>
              <w:t>Population density</w:t>
            </w:r>
          </w:p>
        </w:tc>
        <w:tc>
          <w:tcPr>
            <w:tcW w:w="0" w:type="auto"/>
          </w:tcPr>
          <w:p w14:paraId="48ECE3AD" w14:textId="0F0FAD0C" w:rsidR="00A84472" w:rsidRDefault="00C30CE5" w:rsidP="00A47C56">
            <w:pPr>
              <w:rPr>
                <w:rFonts w:cstheme="minorHAnsi"/>
                <w:sz w:val="24"/>
                <w:szCs w:val="24"/>
              </w:rPr>
            </w:pPr>
            <w:r>
              <w:rPr>
                <w:rFonts w:cstheme="minorHAnsi"/>
                <w:sz w:val="24"/>
                <w:szCs w:val="24"/>
              </w:rPr>
              <w:t>10489.05</w:t>
            </w:r>
          </w:p>
        </w:tc>
        <w:tc>
          <w:tcPr>
            <w:tcW w:w="0" w:type="auto"/>
          </w:tcPr>
          <w:p w14:paraId="42E732E6" w14:textId="4FF982C8" w:rsidR="00A84472" w:rsidRDefault="0066443E" w:rsidP="00A47C56">
            <w:pPr>
              <w:rPr>
                <w:rFonts w:cstheme="minorHAnsi"/>
                <w:sz w:val="24"/>
                <w:szCs w:val="24"/>
              </w:rPr>
            </w:pPr>
            <w:r>
              <w:rPr>
                <w:rFonts w:cstheme="minorHAnsi"/>
                <w:sz w:val="24"/>
                <w:szCs w:val="24"/>
              </w:rPr>
              <w:t>6583.87</w:t>
            </w:r>
          </w:p>
        </w:tc>
        <w:tc>
          <w:tcPr>
            <w:tcW w:w="0" w:type="auto"/>
          </w:tcPr>
          <w:p w14:paraId="3A986D3C" w14:textId="28E73644" w:rsidR="00A84472" w:rsidRDefault="00021B26" w:rsidP="00A47C56">
            <w:pPr>
              <w:rPr>
                <w:rFonts w:cstheme="minorHAnsi"/>
                <w:sz w:val="24"/>
                <w:szCs w:val="24"/>
              </w:rPr>
            </w:pPr>
            <w:r>
              <w:rPr>
                <w:rFonts w:cstheme="minorHAnsi"/>
                <w:sz w:val="24"/>
                <w:szCs w:val="24"/>
              </w:rPr>
              <w:t>376.50</w:t>
            </w:r>
          </w:p>
        </w:tc>
        <w:tc>
          <w:tcPr>
            <w:tcW w:w="0" w:type="auto"/>
          </w:tcPr>
          <w:p w14:paraId="04A35BCF" w14:textId="4996A77E" w:rsidR="00A84472" w:rsidRDefault="004907D0" w:rsidP="00A47C56">
            <w:pPr>
              <w:rPr>
                <w:rFonts w:cstheme="minorHAnsi"/>
                <w:sz w:val="24"/>
                <w:szCs w:val="24"/>
              </w:rPr>
            </w:pPr>
            <w:r>
              <w:rPr>
                <w:rFonts w:cstheme="minorHAnsi"/>
                <w:sz w:val="24"/>
                <w:szCs w:val="24"/>
              </w:rPr>
              <w:t>51050.00</w:t>
            </w:r>
          </w:p>
        </w:tc>
      </w:tr>
      <w:tr w:rsidR="00A84472" w14:paraId="18076775" w14:textId="77777777" w:rsidTr="00B507DD">
        <w:tc>
          <w:tcPr>
            <w:tcW w:w="0" w:type="auto"/>
          </w:tcPr>
          <w:p w14:paraId="1C765641" w14:textId="0337E467" w:rsidR="00A84472" w:rsidRDefault="00A84472" w:rsidP="00A47C56">
            <w:pPr>
              <w:rPr>
                <w:rFonts w:cstheme="minorHAnsi"/>
                <w:sz w:val="24"/>
                <w:szCs w:val="24"/>
              </w:rPr>
            </w:pPr>
            <w:r>
              <w:rPr>
                <w:rFonts w:cstheme="minorHAnsi"/>
                <w:sz w:val="24"/>
                <w:szCs w:val="24"/>
              </w:rPr>
              <w:t>Proportion young</w:t>
            </w:r>
          </w:p>
        </w:tc>
        <w:tc>
          <w:tcPr>
            <w:tcW w:w="0" w:type="auto"/>
          </w:tcPr>
          <w:p w14:paraId="02D7AE6B" w14:textId="2406FC18" w:rsidR="00A84472" w:rsidRDefault="00C30CE5" w:rsidP="00A47C56">
            <w:pPr>
              <w:rPr>
                <w:rFonts w:cstheme="minorHAnsi"/>
                <w:sz w:val="24"/>
                <w:szCs w:val="24"/>
              </w:rPr>
            </w:pPr>
            <w:r>
              <w:rPr>
                <w:rFonts w:cstheme="minorHAnsi"/>
                <w:sz w:val="24"/>
                <w:szCs w:val="24"/>
              </w:rPr>
              <w:t>0.17</w:t>
            </w:r>
          </w:p>
        </w:tc>
        <w:tc>
          <w:tcPr>
            <w:tcW w:w="0" w:type="auto"/>
          </w:tcPr>
          <w:p w14:paraId="274AF831" w14:textId="26BEE1D8" w:rsidR="00A84472" w:rsidRDefault="0066443E" w:rsidP="00A47C56">
            <w:pPr>
              <w:rPr>
                <w:rFonts w:cstheme="minorHAnsi"/>
                <w:sz w:val="24"/>
                <w:szCs w:val="24"/>
              </w:rPr>
            </w:pPr>
            <w:r>
              <w:rPr>
                <w:rFonts w:cstheme="minorHAnsi"/>
                <w:sz w:val="24"/>
                <w:szCs w:val="24"/>
              </w:rPr>
              <w:t>0.10</w:t>
            </w:r>
          </w:p>
        </w:tc>
        <w:tc>
          <w:tcPr>
            <w:tcW w:w="0" w:type="auto"/>
          </w:tcPr>
          <w:p w14:paraId="022047EC" w14:textId="702F4200" w:rsidR="00A84472" w:rsidRDefault="00021B26" w:rsidP="00A47C56">
            <w:pPr>
              <w:rPr>
                <w:rFonts w:cstheme="minorHAnsi"/>
                <w:sz w:val="24"/>
                <w:szCs w:val="24"/>
              </w:rPr>
            </w:pPr>
            <w:r>
              <w:rPr>
                <w:rFonts w:cstheme="minorHAnsi"/>
                <w:sz w:val="24"/>
                <w:szCs w:val="24"/>
              </w:rPr>
              <w:t>0.03</w:t>
            </w:r>
          </w:p>
        </w:tc>
        <w:tc>
          <w:tcPr>
            <w:tcW w:w="0" w:type="auto"/>
          </w:tcPr>
          <w:p w14:paraId="2B73E43B" w14:textId="5F74C2E5" w:rsidR="00A84472" w:rsidRDefault="004907D0" w:rsidP="00A47C56">
            <w:pPr>
              <w:rPr>
                <w:rFonts w:cstheme="minorHAnsi"/>
                <w:sz w:val="24"/>
                <w:szCs w:val="24"/>
              </w:rPr>
            </w:pPr>
            <w:r>
              <w:rPr>
                <w:rFonts w:cstheme="minorHAnsi"/>
                <w:sz w:val="24"/>
                <w:szCs w:val="24"/>
              </w:rPr>
              <w:t>0.88</w:t>
            </w:r>
          </w:p>
        </w:tc>
      </w:tr>
      <w:tr w:rsidR="00A84472" w14:paraId="2533CB09" w14:textId="77777777" w:rsidTr="00B507DD">
        <w:tc>
          <w:tcPr>
            <w:tcW w:w="0" w:type="auto"/>
          </w:tcPr>
          <w:p w14:paraId="6F18AA93" w14:textId="410964D8" w:rsidR="00A84472" w:rsidRDefault="00A84472" w:rsidP="00A47C56">
            <w:pPr>
              <w:rPr>
                <w:rFonts w:cstheme="minorHAnsi"/>
                <w:sz w:val="24"/>
                <w:szCs w:val="24"/>
              </w:rPr>
            </w:pPr>
            <w:r>
              <w:rPr>
                <w:rFonts w:cstheme="minorHAnsi"/>
                <w:sz w:val="24"/>
                <w:szCs w:val="24"/>
              </w:rPr>
              <w:t>Distance from city center</w:t>
            </w:r>
          </w:p>
        </w:tc>
        <w:tc>
          <w:tcPr>
            <w:tcW w:w="0" w:type="auto"/>
          </w:tcPr>
          <w:p w14:paraId="2054B6A6" w14:textId="3A33C71F" w:rsidR="00A84472" w:rsidRDefault="00C30CE5" w:rsidP="00A47C56">
            <w:pPr>
              <w:rPr>
                <w:rFonts w:cstheme="minorHAnsi"/>
                <w:sz w:val="24"/>
                <w:szCs w:val="24"/>
              </w:rPr>
            </w:pPr>
            <w:r>
              <w:rPr>
                <w:rFonts w:cstheme="minorHAnsi"/>
                <w:sz w:val="24"/>
                <w:szCs w:val="24"/>
              </w:rPr>
              <w:t>3.90</w:t>
            </w:r>
          </w:p>
        </w:tc>
        <w:tc>
          <w:tcPr>
            <w:tcW w:w="0" w:type="auto"/>
          </w:tcPr>
          <w:p w14:paraId="6CEFD1D9" w14:textId="044F1CA1" w:rsidR="00A84472" w:rsidRDefault="00021B26" w:rsidP="00A47C56">
            <w:pPr>
              <w:rPr>
                <w:rFonts w:cstheme="minorHAnsi"/>
                <w:sz w:val="24"/>
                <w:szCs w:val="24"/>
              </w:rPr>
            </w:pPr>
            <w:r>
              <w:rPr>
                <w:rFonts w:cstheme="minorHAnsi"/>
                <w:sz w:val="24"/>
                <w:szCs w:val="24"/>
              </w:rPr>
              <w:t>2.21</w:t>
            </w:r>
          </w:p>
        </w:tc>
        <w:tc>
          <w:tcPr>
            <w:tcW w:w="0" w:type="auto"/>
          </w:tcPr>
          <w:p w14:paraId="47525FFA" w14:textId="306FA866" w:rsidR="00A84472" w:rsidRDefault="00021B26" w:rsidP="00A47C56">
            <w:pPr>
              <w:rPr>
                <w:rFonts w:cstheme="minorHAnsi"/>
                <w:sz w:val="24"/>
                <w:szCs w:val="24"/>
              </w:rPr>
            </w:pPr>
            <w:r>
              <w:rPr>
                <w:rFonts w:cstheme="minorHAnsi"/>
                <w:sz w:val="24"/>
                <w:szCs w:val="24"/>
              </w:rPr>
              <w:t>0</w:t>
            </w:r>
          </w:p>
        </w:tc>
        <w:tc>
          <w:tcPr>
            <w:tcW w:w="0" w:type="auto"/>
          </w:tcPr>
          <w:p w14:paraId="3E38D442" w14:textId="1FBCFD2F" w:rsidR="00A84472" w:rsidRDefault="004907D0" w:rsidP="00A47C56">
            <w:pPr>
              <w:rPr>
                <w:rFonts w:cstheme="minorHAnsi"/>
                <w:sz w:val="24"/>
                <w:szCs w:val="24"/>
              </w:rPr>
            </w:pPr>
            <w:r>
              <w:rPr>
                <w:rFonts w:cstheme="minorHAnsi"/>
                <w:sz w:val="24"/>
                <w:szCs w:val="24"/>
              </w:rPr>
              <w:t>10.97</w:t>
            </w:r>
          </w:p>
        </w:tc>
      </w:tr>
    </w:tbl>
    <w:p w14:paraId="30FAC230" w14:textId="77777777" w:rsidR="0084020D" w:rsidRDefault="0084020D" w:rsidP="00A47C56">
      <w:pPr>
        <w:rPr>
          <w:rFonts w:cstheme="minorHAnsi"/>
          <w:sz w:val="24"/>
          <w:szCs w:val="24"/>
        </w:rPr>
      </w:pPr>
    </w:p>
    <w:p w14:paraId="35BCE113" w14:textId="7C6B070F" w:rsidR="00A47C56" w:rsidRPr="00A47C56" w:rsidRDefault="00A47C56" w:rsidP="00A47C56">
      <w:pPr>
        <w:rPr>
          <w:rFonts w:cstheme="minorHAnsi"/>
          <w:sz w:val="24"/>
          <w:szCs w:val="24"/>
        </w:rPr>
      </w:pPr>
      <w:r w:rsidRPr="00A47C56">
        <w:rPr>
          <w:rFonts w:cstheme="minorHAnsi"/>
          <w:sz w:val="24"/>
          <w:szCs w:val="24"/>
        </w:rPr>
        <w:t xml:space="preserve">Table </w:t>
      </w:r>
      <w:r w:rsidR="0084020D">
        <w:rPr>
          <w:rFonts w:cstheme="minorHAnsi"/>
          <w:sz w:val="24"/>
          <w:szCs w:val="24"/>
        </w:rPr>
        <w:t xml:space="preserve">2 </w:t>
      </w:r>
      <w:r w:rsidRPr="00A47C56">
        <w:rPr>
          <w:rFonts w:cstheme="minorHAnsi"/>
          <w:sz w:val="24"/>
          <w:szCs w:val="24"/>
        </w:rPr>
        <w:t>shows the results of spatial lag regression models when thefts from vehicles density were regressed on alcohol outlet types, social disorganization, and control variables for Milwaukee block groups. Model 1 shows the results for on-premise alcohol outlet density, net of control variables, revealing a positive and significant association with thefts from vehicles density (</w:t>
      </w:r>
      <w:r w:rsidRPr="00A47C56">
        <w:rPr>
          <w:rFonts w:cstheme="minorHAnsi"/>
          <w:i/>
          <w:iCs/>
          <w:sz w:val="24"/>
          <w:szCs w:val="24"/>
        </w:rPr>
        <w:t>b</w:t>
      </w:r>
      <w:r w:rsidRPr="00A47C56">
        <w:rPr>
          <w:rFonts w:cstheme="minorHAnsi"/>
          <w:sz w:val="24"/>
          <w:szCs w:val="24"/>
        </w:rPr>
        <w:t xml:space="preserve"> = 0.25, </w:t>
      </w:r>
      <w:r w:rsidRPr="00A47C56">
        <w:rPr>
          <w:rFonts w:cstheme="minorHAnsi"/>
          <w:i/>
          <w:iCs/>
          <w:sz w:val="24"/>
          <w:szCs w:val="24"/>
        </w:rPr>
        <w:t>p</w:t>
      </w:r>
      <w:r w:rsidRPr="00A47C56">
        <w:rPr>
          <w:rFonts w:cstheme="minorHAnsi"/>
          <w:sz w:val="24"/>
          <w:szCs w:val="24"/>
        </w:rPr>
        <w:t> = 0.00). Model 2 shows results for off-premise alcohol outlets. The results fail to reject the null hypothesis of no association between off-premise alcohol outlet density and thefts from vehicles density (</w:t>
      </w:r>
      <w:r w:rsidRPr="00A47C56">
        <w:rPr>
          <w:rFonts w:cstheme="minorHAnsi"/>
          <w:i/>
          <w:iCs/>
          <w:sz w:val="24"/>
          <w:szCs w:val="24"/>
        </w:rPr>
        <w:t>b</w:t>
      </w:r>
      <w:r w:rsidRPr="00A47C56">
        <w:rPr>
          <w:rFonts w:cstheme="minorHAnsi"/>
          <w:sz w:val="24"/>
          <w:szCs w:val="24"/>
        </w:rPr>
        <w:t xml:space="preserve"> = 0.08, </w:t>
      </w:r>
      <w:r w:rsidRPr="00A47C56">
        <w:rPr>
          <w:rFonts w:cstheme="minorHAnsi"/>
          <w:i/>
          <w:iCs/>
          <w:sz w:val="24"/>
          <w:szCs w:val="24"/>
        </w:rPr>
        <w:t>p</w:t>
      </w:r>
      <w:r w:rsidRPr="00A47C56">
        <w:rPr>
          <w:rFonts w:cstheme="minorHAnsi"/>
          <w:sz w:val="24"/>
          <w:szCs w:val="24"/>
        </w:rPr>
        <w:t xml:space="preserve"> = 0.14), but this two-tailed </w:t>
      </w:r>
      <w:r w:rsidRPr="00A47C56">
        <w:rPr>
          <w:rFonts w:cstheme="minorHAnsi"/>
          <w:i/>
          <w:iCs/>
          <w:sz w:val="24"/>
          <w:szCs w:val="24"/>
        </w:rPr>
        <w:t>p</w:t>
      </w:r>
      <w:r w:rsidRPr="00A47C56">
        <w:rPr>
          <w:rFonts w:cstheme="minorHAnsi"/>
          <w:sz w:val="24"/>
          <w:szCs w:val="24"/>
        </w:rPr>
        <w:t>-value suggests a possibility of a marginal effect given our one-tailed hypothesis, though again we caution against drawing strong conclusions for this finding.</w:t>
      </w:r>
    </w:p>
    <w:p w14:paraId="2A135345" w14:textId="77777777" w:rsidR="00A47C56" w:rsidRPr="00AB6BE2" w:rsidRDefault="00A47C56" w:rsidP="004907D0">
      <w:pPr>
        <w:pStyle w:val="NoSpacing"/>
        <w:rPr>
          <w:sz w:val="24"/>
          <w:szCs w:val="24"/>
        </w:rPr>
      </w:pPr>
      <w:r w:rsidRPr="00AB6BE2">
        <w:rPr>
          <w:sz w:val="24"/>
          <w:szCs w:val="24"/>
        </w:rPr>
        <w:t>Table 2. Spatial lag regression for thefts from vehicles density regressed on alcohol outlet types, social disorganization, and control variables for Milwaukee (</w:t>
      </w:r>
      <w:r w:rsidRPr="00AB6BE2">
        <w:rPr>
          <w:i/>
          <w:iCs/>
          <w:sz w:val="24"/>
          <w:szCs w:val="24"/>
        </w:rPr>
        <w:t>N</w:t>
      </w:r>
      <w:r w:rsidRPr="00AB6BE2">
        <w:rPr>
          <w:sz w:val="24"/>
          <w:szCs w:val="24"/>
        </w:rPr>
        <w:t> = 572) block groups.</w:t>
      </w:r>
    </w:p>
    <w:tbl>
      <w:tblPr>
        <w:tblStyle w:val="TableGrid"/>
        <w:tblW w:w="0" w:type="auto"/>
        <w:tblLook w:val="04A0" w:firstRow="1" w:lastRow="0" w:firstColumn="1" w:lastColumn="0" w:noHBand="0" w:noVBand="1"/>
      </w:tblPr>
      <w:tblGrid>
        <w:gridCol w:w="3865"/>
        <w:gridCol w:w="1080"/>
        <w:gridCol w:w="1350"/>
        <w:gridCol w:w="810"/>
        <w:gridCol w:w="990"/>
        <w:gridCol w:w="1368"/>
        <w:gridCol w:w="607"/>
      </w:tblGrid>
      <w:tr w:rsidR="00F067C7" w:rsidRPr="004B404C" w14:paraId="0F1D4951" w14:textId="77777777" w:rsidTr="00053DA8">
        <w:tc>
          <w:tcPr>
            <w:tcW w:w="3865" w:type="dxa"/>
          </w:tcPr>
          <w:p w14:paraId="46CAC60D" w14:textId="77777777" w:rsidR="00F067C7" w:rsidRPr="004B404C" w:rsidRDefault="00F067C7" w:rsidP="00F067C7">
            <w:pPr>
              <w:pStyle w:val="NoSpacing"/>
            </w:pPr>
          </w:p>
        </w:tc>
        <w:tc>
          <w:tcPr>
            <w:tcW w:w="1080" w:type="dxa"/>
          </w:tcPr>
          <w:p w14:paraId="6C1CB397" w14:textId="25D4C787" w:rsidR="00F067C7" w:rsidRPr="004B404C" w:rsidRDefault="00F067C7" w:rsidP="00420EAA">
            <w:pPr>
              <w:pStyle w:val="NoSpacing"/>
              <w:jc w:val="center"/>
            </w:pPr>
          </w:p>
        </w:tc>
        <w:tc>
          <w:tcPr>
            <w:tcW w:w="1350" w:type="dxa"/>
          </w:tcPr>
          <w:p w14:paraId="2422A404" w14:textId="351984C2" w:rsidR="00F067C7" w:rsidRPr="004B404C" w:rsidRDefault="00F067C7" w:rsidP="00420EAA">
            <w:pPr>
              <w:pStyle w:val="NoSpacing"/>
              <w:jc w:val="center"/>
            </w:pPr>
            <w:r w:rsidRPr="004B404C">
              <w:t>Model 1: On-premise</w:t>
            </w:r>
          </w:p>
        </w:tc>
        <w:tc>
          <w:tcPr>
            <w:tcW w:w="810" w:type="dxa"/>
          </w:tcPr>
          <w:p w14:paraId="5FFAE02E" w14:textId="25F0E8BD" w:rsidR="00F067C7" w:rsidRPr="004B404C" w:rsidRDefault="00F067C7" w:rsidP="00420EAA">
            <w:pPr>
              <w:pStyle w:val="NoSpacing"/>
              <w:jc w:val="center"/>
            </w:pPr>
          </w:p>
        </w:tc>
        <w:tc>
          <w:tcPr>
            <w:tcW w:w="990" w:type="dxa"/>
          </w:tcPr>
          <w:p w14:paraId="36771D6D" w14:textId="26DEE071" w:rsidR="00F067C7" w:rsidRPr="004B404C" w:rsidRDefault="00F067C7" w:rsidP="00420EAA">
            <w:pPr>
              <w:pStyle w:val="NoSpacing"/>
              <w:jc w:val="center"/>
            </w:pPr>
          </w:p>
        </w:tc>
        <w:tc>
          <w:tcPr>
            <w:tcW w:w="1368" w:type="dxa"/>
          </w:tcPr>
          <w:p w14:paraId="12B0BAD6" w14:textId="4F55170E" w:rsidR="00F067C7" w:rsidRPr="004B404C" w:rsidRDefault="00F067C7" w:rsidP="00420EAA">
            <w:pPr>
              <w:pStyle w:val="NoSpacing"/>
              <w:jc w:val="center"/>
            </w:pPr>
            <w:r w:rsidRPr="004B404C">
              <w:t>Model 2: Off-premise</w:t>
            </w:r>
          </w:p>
        </w:tc>
        <w:tc>
          <w:tcPr>
            <w:tcW w:w="0" w:type="auto"/>
          </w:tcPr>
          <w:p w14:paraId="20FC6E39" w14:textId="77777777" w:rsidR="00F067C7" w:rsidRPr="004B404C" w:rsidRDefault="00F067C7" w:rsidP="00420EAA">
            <w:pPr>
              <w:pStyle w:val="NoSpacing"/>
              <w:jc w:val="center"/>
            </w:pPr>
          </w:p>
        </w:tc>
      </w:tr>
      <w:tr w:rsidR="00F067C7" w:rsidRPr="004B404C" w14:paraId="0782A3E1" w14:textId="77777777" w:rsidTr="00053DA8">
        <w:tc>
          <w:tcPr>
            <w:tcW w:w="3865" w:type="dxa"/>
          </w:tcPr>
          <w:p w14:paraId="71925C46" w14:textId="4AE95F1B" w:rsidR="00F067C7" w:rsidRPr="004B404C" w:rsidRDefault="00F067C7" w:rsidP="00F067C7">
            <w:pPr>
              <w:pStyle w:val="NoSpacing"/>
            </w:pPr>
          </w:p>
        </w:tc>
        <w:tc>
          <w:tcPr>
            <w:tcW w:w="1080" w:type="dxa"/>
          </w:tcPr>
          <w:p w14:paraId="16EADDF2" w14:textId="50408E90" w:rsidR="00F067C7" w:rsidRPr="004B404C" w:rsidRDefault="00F067C7" w:rsidP="00420EAA">
            <w:pPr>
              <w:pStyle w:val="NoSpacing"/>
              <w:jc w:val="center"/>
            </w:pPr>
            <w:r w:rsidRPr="004B404C">
              <w:t>b</w:t>
            </w:r>
          </w:p>
        </w:tc>
        <w:tc>
          <w:tcPr>
            <w:tcW w:w="1350" w:type="dxa"/>
          </w:tcPr>
          <w:p w14:paraId="4B5151C6" w14:textId="3308FFD6" w:rsidR="00F067C7" w:rsidRPr="004B404C" w:rsidRDefault="00F067C7" w:rsidP="00420EAA">
            <w:pPr>
              <w:pStyle w:val="NoSpacing"/>
              <w:jc w:val="center"/>
            </w:pPr>
            <w:r w:rsidRPr="004B404C">
              <w:t>se</w:t>
            </w:r>
          </w:p>
        </w:tc>
        <w:tc>
          <w:tcPr>
            <w:tcW w:w="810" w:type="dxa"/>
          </w:tcPr>
          <w:p w14:paraId="09BAF000" w14:textId="25DE43E4" w:rsidR="00F067C7" w:rsidRPr="004B404C" w:rsidRDefault="00F067C7" w:rsidP="00420EAA">
            <w:pPr>
              <w:pStyle w:val="NoSpacing"/>
              <w:jc w:val="center"/>
            </w:pPr>
            <w:r w:rsidRPr="004B404C">
              <w:t>p</w:t>
            </w:r>
          </w:p>
        </w:tc>
        <w:tc>
          <w:tcPr>
            <w:tcW w:w="990" w:type="dxa"/>
          </w:tcPr>
          <w:p w14:paraId="6395E605" w14:textId="3F039398" w:rsidR="00F067C7" w:rsidRPr="004B404C" w:rsidRDefault="00F067C7" w:rsidP="00420EAA">
            <w:pPr>
              <w:pStyle w:val="NoSpacing"/>
              <w:jc w:val="center"/>
            </w:pPr>
            <w:r w:rsidRPr="004B404C">
              <w:t>b</w:t>
            </w:r>
          </w:p>
        </w:tc>
        <w:tc>
          <w:tcPr>
            <w:tcW w:w="1368" w:type="dxa"/>
          </w:tcPr>
          <w:p w14:paraId="08A64C99" w14:textId="1F677A0E" w:rsidR="00F067C7" w:rsidRPr="004B404C" w:rsidRDefault="00420EAA" w:rsidP="00420EAA">
            <w:pPr>
              <w:pStyle w:val="NoSpacing"/>
              <w:jc w:val="center"/>
            </w:pPr>
            <w:r w:rsidRPr="004B404C">
              <w:t>S</w:t>
            </w:r>
            <w:r w:rsidR="00F067C7" w:rsidRPr="004B404C">
              <w:t>e</w:t>
            </w:r>
          </w:p>
        </w:tc>
        <w:tc>
          <w:tcPr>
            <w:tcW w:w="0" w:type="auto"/>
          </w:tcPr>
          <w:p w14:paraId="6ED549F1" w14:textId="2F3D9828" w:rsidR="00F067C7" w:rsidRPr="004B404C" w:rsidRDefault="00F067C7" w:rsidP="00420EAA">
            <w:pPr>
              <w:pStyle w:val="NoSpacing"/>
              <w:jc w:val="center"/>
            </w:pPr>
            <w:r w:rsidRPr="004B404C">
              <w:t>p</w:t>
            </w:r>
          </w:p>
        </w:tc>
      </w:tr>
      <w:tr w:rsidR="00F067C7" w:rsidRPr="004B404C" w14:paraId="582FC89E" w14:textId="77777777" w:rsidTr="00053DA8">
        <w:tc>
          <w:tcPr>
            <w:tcW w:w="3865" w:type="dxa"/>
          </w:tcPr>
          <w:p w14:paraId="39D5B5FF" w14:textId="5B16CA78" w:rsidR="00F067C7" w:rsidRPr="004B404C" w:rsidRDefault="00F067C7" w:rsidP="00F067C7">
            <w:pPr>
              <w:pStyle w:val="NoSpacing"/>
            </w:pPr>
            <w:r w:rsidRPr="004B404C">
              <w:t>On-premise density</w:t>
            </w:r>
          </w:p>
        </w:tc>
        <w:tc>
          <w:tcPr>
            <w:tcW w:w="1080" w:type="dxa"/>
          </w:tcPr>
          <w:p w14:paraId="56B3C782" w14:textId="053E8D0A" w:rsidR="00F067C7" w:rsidRPr="004B404C" w:rsidRDefault="00F067C7" w:rsidP="00420EAA">
            <w:pPr>
              <w:pStyle w:val="NoSpacing"/>
              <w:jc w:val="center"/>
            </w:pPr>
            <w:r w:rsidRPr="004B404C">
              <w:t>0.25</w:t>
            </w:r>
          </w:p>
        </w:tc>
        <w:tc>
          <w:tcPr>
            <w:tcW w:w="1350" w:type="dxa"/>
          </w:tcPr>
          <w:p w14:paraId="49F9B831" w14:textId="1A4A7595" w:rsidR="00F067C7" w:rsidRPr="004B404C" w:rsidRDefault="00B64BDB" w:rsidP="00420EAA">
            <w:pPr>
              <w:pStyle w:val="NoSpacing"/>
              <w:jc w:val="center"/>
            </w:pPr>
            <w:r w:rsidRPr="004B404C">
              <w:t>0.04</w:t>
            </w:r>
          </w:p>
        </w:tc>
        <w:tc>
          <w:tcPr>
            <w:tcW w:w="810" w:type="dxa"/>
          </w:tcPr>
          <w:p w14:paraId="0C1C1435" w14:textId="3ACC82B6" w:rsidR="00F067C7" w:rsidRPr="004B404C" w:rsidRDefault="00BE2979" w:rsidP="00420EAA">
            <w:pPr>
              <w:pStyle w:val="NoSpacing"/>
              <w:jc w:val="center"/>
            </w:pPr>
            <w:r w:rsidRPr="004B404C">
              <w:t>0.00</w:t>
            </w:r>
          </w:p>
        </w:tc>
        <w:tc>
          <w:tcPr>
            <w:tcW w:w="990" w:type="dxa"/>
          </w:tcPr>
          <w:p w14:paraId="2C3FF804" w14:textId="5030FA24" w:rsidR="00F067C7" w:rsidRPr="004B404C" w:rsidRDefault="00D0323D" w:rsidP="00420EAA">
            <w:pPr>
              <w:pStyle w:val="NoSpacing"/>
              <w:jc w:val="center"/>
            </w:pPr>
            <w:r w:rsidRPr="004B404C">
              <w:t>-</w:t>
            </w:r>
          </w:p>
        </w:tc>
        <w:tc>
          <w:tcPr>
            <w:tcW w:w="1368" w:type="dxa"/>
          </w:tcPr>
          <w:p w14:paraId="2D1A8539" w14:textId="5FC22BE6" w:rsidR="00F067C7" w:rsidRPr="004B404C" w:rsidRDefault="00420EAA" w:rsidP="00420EAA">
            <w:pPr>
              <w:pStyle w:val="NoSpacing"/>
              <w:jc w:val="center"/>
            </w:pPr>
            <w:r w:rsidRPr="004B404C">
              <w:t>-</w:t>
            </w:r>
          </w:p>
        </w:tc>
        <w:tc>
          <w:tcPr>
            <w:tcW w:w="0" w:type="auto"/>
          </w:tcPr>
          <w:p w14:paraId="6D75B864" w14:textId="0A6390F8" w:rsidR="00F067C7" w:rsidRPr="004B404C" w:rsidRDefault="00420EAA" w:rsidP="00420EAA">
            <w:pPr>
              <w:pStyle w:val="NoSpacing"/>
              <w:jc w:val="center"/>
            </w:pPr>
            <w:r w:rsidRPr="004B404C">
              <w:t>-</w:t>
            </w:r>
          </w:p>
        </w:tc>
      </w:tr>
      <w:tr w:rsidR="00F067C7" w:rsidRPr="004B404C" w14:paraId="7907742C" w14:textId="77777777" w:rsidTr="00053DA8">
        <w:tc>
          <w:tcPr>
            <w:tcW w:w="3865" w:type="dxa"/>
          </w:tcPr>
          <w:p w14:paraId="3C302BA4" w14:textId="14625016" w:rsidR="00F067C7" w:rsidRPr="004B404C" w:rsidRDefault="00F067C7" w:rsidP="00F067C7">
            <w:pPr>
              <w:pStyle w:val="NoSpacing"/>
            </w:pPr>
            <w:r w:rsidRPr="004B404C">
              <w:t>Off-premise density</w:t>
            </w:r>
          </w:p>
        </w:tc>
        <w:tc>
          <w:tcPr>
            <w:tcW w:w="1080" w:type="dxa"/>
          </w:tcPr>
          <w:p w14:paraId="1F070F0B" w14:textId="4BB5789F" w:rsidR="00F067C7" w:rsidRPr="004B404C" w:rsidRDefault="00F067C7" w:rsidP="00420EAA">
            <w:pPr>
              <w:pStyle w:val="NoSpacing"/>
              <w:jc w:val="center"/>
            </w:pPr>
            <w:r w:rsidRPr="004B404C">
              <w:t>-</w:t>
            </w:r>
          </w:p>
        </w:tc>
        <w:tc>
          <w:tcPr>
            <w:tcW w:w="1350" w:type="dxa"/>
          </w:tcPr>
          <w:p w14:paraId="6CD8D204" w14:textId="62F25EAE" w:rsidR="00F067C7" w:rsidRPr="004B404C" w:rsidRDefault="00BE2979" w:rsidP="00420EAA">
            <w:pPr>
              <w:pStyle w:val="NoSpacing"/>
              <w:jc w:val="center"/>
            </w:pPr>
            <w:r w:rsidRPr="004B404C">
              <w:t>-</w:t>
            </w:r>
          </w:p>
        </w:tc>
        <w:tc>
          <w:tcPr>
            <w:tcW w:w="810" w:type="dxa"/>
          </w:tcPr>
          <w:p w14:paraId="54FDC60F" w14:textId="52BF4FB1" w:rsidR="00F067C7" w:rsidRPr="004B404C" w:rsidRDefault="00BE2979" w:rsidP="00420EAA">
            <w:pPr>
              <w:pStyle w:val="NoSpacing"/>
              <w:jc w:val="center"/>
            </w:pPr>
            <w:r w:rsidRPr="004B404C">
              <w:t>-</w:t>
            </w:r>
          </w:p>
        </w:tc>
        <w:tc>
          <w:tcPr>
            <w:tcW w:w="990" w:type="dxa"/>
          </w:tcPr>
          <w:p w14:paraId="26A408CA" w14:textId="1F8D09C7" w:rsidR="00F067C7" w:rsidRPr="004B404C" w:rsidRDefault="00D0323D" w:rsidP="00420EAA">
            <w:pPr>
              <w:pStyle w:val="NoSpacing"/>
              <w:jc w:val="center"/>
            </w:pPr>
            <w:r w:rsidRPr="004B404C">
              <w:t>0.08</w:t>
            </w:r>
          </w:p>
        </w:tc>
        <w:tc>
          <w:tcPr>
            <w:tcW w:w="1368" w:type="dxa"/>
          </w:tcPr>
          <w:p w14:paraId="7DF1F0F7" w14:textId="1DF0F1F2" w:rsidR="00F067C7" w:rsidRPr="004B404C" w:rsidRDefault="00420EAA" w:rsidP="00420EAA">
            <w:pPr>
              <w:pStyle w:val="NoSpacing"/>
              <w:jc w:val="center"/>
            </w:pPr>
            <w:r w:rsidRPr="004B404C">
              <w:t>0.06</w:t>
            </w:r>
          </w:p>
        </w:tc>
        <w:tc>
          <w:tcPr>
            <w:tcW w:w="0" w:type="auto"/>
          </w:tcPr>
          <w:p w14:paraId="45B62DCA" w14:textId="72A939F0" w:rsidR="00F067C7" w:rsidRPr="004B404C" w:rsidRDefault="00420EAA" w:rsidP="00420EAA">
            <w:pPr>
              <w:pStyle w:val="NoSpacing"/>
              <w:jc w:val="center"/>
            </w:pPr>
            <w:r w:rsidRPr="004B404C">
              <w:t>0.14</w:t>
            </w:r>
          </w:p>
        </w:tc>
      </w:tr>
      <w:tr w:rsidR="00F067C7" w:rsidRPr="004B404C" w14:paraId="75A7ADED" w14:textId="77777777" w:rsidTr="00053DA8">
        <w:tc>
          <w:tcPr>
            <w:tcW w:w="3865" w:type="dxa"/>
          </w:tcPr>
          <w:p w14:paraId="2E00BB5D" w14:textId="1AA72473" w:rsidR="00F067C7" w:rsidRPr="004B404C" w:rsidRDefault="00F067C7" w:rsidP="00F067C7">
            <w:pPr>
              <w:pStyle w:val="NoSpacing"/>
            </w:pPr>
            <w:r w:rsidRPr="004B404C">
              <w:t>Social disorganization</w:t>
            </w:r>
          </w:p>
        </w:tc>
        <w:tc>
          <w:tcPr>
            <w:tcW w:w="1080" w:type="dxa"/>
          </w:tcPr>
          <w:p w14:paraId="6D20B088" w14:textId="3D76B0DA" w:rsidR="00F067C7" w:rsidRPr="004B404C" w:rsidRDefault="00F067C7" w:rsidP="00420EAA">
            <w:pPr>
              <w:pStyle w:val="NoSpacing"/>
              <w:jc w:val="center"/>
            </w:pPr>
            <w:r w:rsidRPr="004B404C">
              <w:t>0.04</w:t>
            </w:r>
          </w:p>
        </w:tc>
        <w:tc>
          <w:tcPr>
            <w:tcW w:w="1350" w:type="dxa"/>
          </w:tcPr>
          <w:p w14:paraId="1A2131C4" w14:textId="57FE8E05" w:rsidR="00F067C7" w:rsidRPr="004B404C" w:rsidRDefault="00BE2979" w:rsidP="00420EAA">
            <w:pPr>
              <w:pStyle w:val="NoSpacing"/>
              <w:jc w:val="center"/>
            </w:pPr>
            <w:r w:rsidRPr="004B404C">
              <w:t>0.04</w:t>
            </w:r>
          </w:p>
        </w:tc>
        <w:tc>
          <w:tcPr>
            <w:tcW w:w="810" w:type="dxa"/>
          </w:tcPr>
          <w:p w14:paraId="067EF676" w14:textId="6F13DC04" w:rsidR="00F067C7" w:rsidRPr="004B404C" w:rsidRDefault="00D0323D" w:rsidP="00420EAA">
            <w:pPr>
              <w:pStyle w:val="NoSpacing"/>
              <w:jc w:val="center"/>
            </w:pPr>
            <w:r w:rsidRPr="004B404C">
              <w:t>0.39</w:t>
            </w:r>
          </w:p>
        </w:tc>
        <w:tc>
          <w:tcPr>
            <w:tcW w:w="990" w:type="dxa"/>
          </w:tcPr>
          <w:p w14:paraId="4FC1C091" w14:textId="212A50ED" w:rsidR="00F067C7" w:rsidRPr="004B404C" w:rsidRDefault="00420EAA" w:rsidP="00420EAA">
            <w:pPr>
              <w:pStyle w:val="NoSpacing"/>
              <w:jc w:val="center"/>
            </w:pPr>
            <w:r w:rsidRPr="004B404C">
              <w:t>0.01</w:t>
            </w:r>
          </w:p>
        </w:tc>
        <w:tc>
          <w:tcPr>
            <w:tcW w:w="1368" w:type="dxa"/>
          </w:tcPr>
          <w:p w14:paraId="57056140" w14:textId="71914526" w:rsidR="00F067C7" w:rsidRPr="004B404C" w:rsidRDefault="00420EAA" w:rsidP="00420EAA">
            <w:pPr>
              <w:pStyle w:val="NoSpacing"/>
              <w:jc w:val="center"/>
            </w:pPr>
            <w:r w:rsidRPr="004B404C">
              <w:t>0.05</w:t>
            </w:r>
          </w:p>
        </w:tc>
        <w:tc>
          <w:tcPr>
            <w:tcW w:w="0" w:type="auto"/>
          </w:tcPr>
          <w:p w14:paraId="0470C7A5" w14:textId="5BBDD563" w:rsidR="00F067C7" w:rsidRPr="004B404C" w:rsidRDefault="00420EAA" w:rsidP="00420EAA">
            <w:pPr>
              <w:pStyle w:val="NoSpacing"/>
              <w:jc w:val="center"/>
            </w:pPr>
            <w:r w:rsidRPr="004B404C">
              <w:t>0.89</w:t>
            </w:r>
          </w:p>
        </w:tc>
      </w:tr>
      <w:tr w:rsidR="00F067C7" w:rsidRPr="004B404C" w14:paraId="25AEDC55" w14:textId="77777777" w:rsidTr="00053DA8">
        <w:tc>
          <w:tcPr>
            <w:tcW w:w="3865" w:type="dxa"/>
          </w:tcPr>
          <w:p w14:paraId="3CC844A6" w14:textId="192E1C0F" w:rsidR="00F067C7" w:rsidRPr="004B404C" w:rsidRDefault="00F067C7" w:rsidP="00F067C7">
            <w:pPr>
              <w:pStyle w:val="NoSpacing"/>
            </w:pPr>
            <w:r w:rsidRPr="004B404C">
              <w:t>Population density</w:t>
            </w:r>
          </w:p>
        </w:tc>
        <w:tc>
          <w:tcPr>
            <w:tcW w:w="1080" w:type="dxa"/>
          </w:tcPr>
          <w:p w14:paraId="69FE6F57" w14:textId="55806710" w:rsidR="00F067C7" w:rsidRPr="004B404C" w:rsidRDefault="00F067C7" w:rsidP="00420EAA">
            <w:pPr>
              <w:pStyle w:val="NoSpacing"/>
              <w:jc w:val="center"/>
            </w:pPr>
            <w:r w:rsidRPr="004B404C">
              <w:t>0.00</w:t>
            </w:r>
          </w:p>
        </w:tc>
        <w:tc>
          <w:tcPr>
            <w:tcW w:w="1350" w:type="dxa"/>
          </w:tcPr>
          <w:p w14:paraId="6102510B" w14:textId="459E3E32" w:rsidR="00F067C7" w:rsidRPr="004B404C" w:rsidRDefault="00BE2979" w:rsidP="00420EAA">
            <w:pPr>
              <w:pStyle w:val="NoSpacing"/>
              <w:jc w:val="center"/>
            </w:pPr>
            <w:r w:rsidRPr="004B404C">
              <w:t>0.00</w:t>
            </w:r>
          </w:p>
        </w:tc>
        <w:tc>
          <w:tcPr>
            <w:tcW w:w="810" w:type="dxa"/>
          </w:tcPr>
          <w:p w14:paraId="30EBF72D" w14:textId="5953256C" w:rsidR="00F067C7" w:rsidRPr="004B404C" w:rsidRDefault="00D0323D" w:rsidP="00420EAA">
            <w:pPr>
              <w:pStyle w:val="NoSpacing"/>
              <w:jc w:val="center"/>
            </w:pPr>
            <w:r w:rsidRPr="004B404C">
              <w:t>0.00</w:t>
            </w:r>
          </w:p>
        </w:tc>
        <w:tc>
          <w:tcPr>
            <w:tcW w:w="990" w:type="dxa"/>
          </w:tcPr>
          <w:p w14:paraId="67764D91" w14:textId="5FCD2910" w:rsidR="00F067C7" w:rsidRPr="004B404C" w:rsidRDefault="00420EAA" w:rsidP="00420EAA">
            <w:pPr>
              <w:pStyle w:val="NoSpacing"/>
              <w:jc w:val="center"/>
            </w:pPr>
            <w:r w:rsidRPr="004B404C">
              <w:t>0.00</w:t>
            </w:r>
          </w:p>
        </w:tc>
        <w:tc>
          <w:tcPr>
            <w:tcW w:w="1368" w:type="dxa"/>
          </w:tcPr>
          <w:p w14:paraId="408A93CF" w14:textId="3607C3B1" w:rsidR="00F067C7" w:rsidRPr="004B404C" w:rsidRDefault="00420EAA" w:rsidP="00420EAA">
            <w:pPr>
              <w:pStyle w:val="NoSpacing"/>
              <w:jc w:val="center"/>
            </w:pPr>
            <w:r w:rsidRPr="004B404C">
              <w:t>0.00</w:t>
            </w:r>
          </w:p>
        </w:tc>
        <w:tc>
          <w:tcPr>
            <w:tcW w:w="0" w:type="auto"/>
          </w:tcPr>
          <w:p w14:paraId="1F5547C4" w14:textId="5336EC45" w:rsidR="00F067C7" w:rsidRPr="004B404C" w:rsidRDefault="00420EAA" w:rsidP="00420EAA">
            <w:pPr>
              <w:pStyle w:val="NoSpacing"/>
              <w:jc w:val="center"/>
            </w:pPr>
            <w:r w:rsidRPr="004B404C">
              <w:t>0.00</w:t>
            </w:r>
          </w:p>
        </w:tc>
      </w:tr>
      <w:tr w:rsidR="00F067C7" w:rsidRPr="004B404C" w14:paraId="1907B65E" w14:textId="77777777" w:rsidTr="00053DA8">
        <w:tc>
          <w:tcPr>
            <w:tcW w:w="3865" w:type="dxa"/>
          </w:tcPr>
          <w:p w14:paraId="40477036" w14:textId="18F71B7B" w:rsidR="00F067C7" w:rsidRPr="004B404C" w:rsidRDefault="00F067C7" w:rsidP="00F067C7">
            <w:pPr>
              <w:pStyle w:val="NoSpacing"/>
            </w:pPr>
            <w:r w:rsidRPr="004B404C">
              <w:t>Proportion young</w:t>
            </w:r>
          </w:p>
        </w:tc>
        <w:tc>
          <w:tcPr>
            <w:tcW w:w="1080" w:type="dxa"/>
          </w:tcPr>
          <w:p w14:paraId="0FA89E76" w14:textId="22B34033" w:rsidR="00F067C7" w:rsidRPr="004B404C" w:rsidRDefault="00F067C7" w:rsidP="00420EAA">
            <w:pPr>
              <w:pStyle w:val="NoSpacing"/>
              <w:jc w:val="center"/>
            </w:pPr>
            <w:r w:rsidRPr="004B404C">
              <w:t>-1.13</w:t>
            </w:r>
          </w:p>
        </w:tc>
        <w:tc>
          <w:tcPr>
            <w:tcW w:w="1350" w:type="dxa"/>
          </w:tcPr>
          <w:p w14:paraId="52D3DC59" w14:textId="02739805" w:rsidR="00F067C7" w:rsidRPr="004B404C" w:rsidRDefault="00BE2979" w:rsidP="00420EAA">
            <w:pPr>
              <w:pStyle w:val="NoSpacing"/>
              <w:jc w:val="center"/>
            </w:pPr>
            <w:r w:rsidRPr="004B404C">
              <w:t>1.13</w:t>
            </w:r>
          </w:p>
        </w:tc>
        <w:tc>
          <w:tcPr>
            <w:tcW w:w="810" w:type="dxa"/>
          </w:tcPr>
          <w:p w14:paraId="24B9271D" w14:textId="5BC4E4F5" w:rsidR="00F067C7" w:rsidRPr="004B404C" w:rsidRDefault="00D0323D" w:rsidP="00420EAA">
            <w:pPr>
              <w:pStyle w:val="NoSpacing"/>
              <w:jc w:val="center"/>
            </w:pPr>
            <w:r w:rsidRPr="004B404C">
              <w:t>0.32</w:t>
            </w:r>
          </w:p>
        </w:tc>
        <w:tc>
          <w:tcPr>
            <w:tcW w:w="990" w:type="dxa"/>
          </w:tcPr>
          <w:p w14:paraId="6E1E42C6" w14:textId="02560858" w:rsidR="00F067C7" w:rsidRPr="004B404C" w:rsidRDefault="00420EAA" w:rsidP="00420EAA">
            <w:pPr>
              <w:pStyle w:val="NoSpacing"/>
              <w:jc w:val="center"/>
            </w:pPr>
            <w:r w:rsidRPr="004B404C">
              <w:t>-0.50</w:t>
            </w:r>
          </w:p>
        </w:tc>
        <w:tc>
          <w:tcPr>
            <w:tcW w:w="1368" w:type="dxa"/>
          </w:tcPr>
          <w:p w14:paraId="19F48B76" w14:textId="27D95716" w:rsidR="00F067C7" w:rsidRPr="004B404C" w:rsidRDefault="00420EAA" w:rsidP="00420EAA">
            <w:pPr>
              <w:pStyle w:val="NoSpacing"/>
              <w:jc w:val="center"/>
            </w:pPr>
            <w:r w:rsidRPr="004B404C">
              <w:t>1.15</w:t>
            </w:r>
          </w:p>
        </w:tc>
        <w:tc>
          <w:tcPr>
            <w:tcW w:w="0" w:type="auto"/>
          </w:tcPr>
          <w:p w14:paraId="5596E623" w14:textId="43B6753D" w:rsidR="00F067C7" w:rsidRPr="004B404C" w:rsidRDefault="00420EAA" w:rsidP="00420EAA">
            <w:pPr>
              <w:pStyle w:val="NoSpacing"/>
              <w:jc w:val="center"/>
            </w:pPr>
            <w:r w:rsidRPr="004B404C">
              <w:t>0.66</w:t>
            </w:r>
          </w:p>
        </w:tc>
      </w:tr>
      <w:tr w:rsidR="00F067C7" w:rsidRPr="004B404C" w14:paraId="585CD3C6" w14:textId="77777777" w:rsidTr="00053DA8">
        <w:tc>
          <w:tcPr>
            <w:tcW w:w="3865" w:type="dxa"/>
          </w:tcPr>
          <w:p w14:paraId="57EBEBF8" w14:textId="5AE601B8" w:rsidR="00F067C7" w:rsidRPr="004B404C" w:rsidRDefault="00F067C7" w:rsidP="00F067C7">
            <w:pPr>
              <w:pStyle w:val="NoSpacing"/>
            </w:pPr>
            <w:r w:rsidRPr="004B404C">
              <w:t>Distance from city center</w:t>
            </w:r>
          </w:p>
        </w:tc>
        <w:tc>
          <w:tcPr>
            <w:tcW w:w="1080" w:type="dxa"/>
          </w:tcPr>
          <w:p w14:paraId="10C86F4D" w14:textId="6FB566A0" w:rsidR="00F067C7" w:rsidRPr="004B404C" w:rsidRDefault="00F067C7" w:rsidP="00420EAA">
            <w:pPr>
              <w:pStyle w:val="NoSpacing"/>
              <w:jc w:val="center"/>
            </w:pPr>
            <w:r w:rsidRPr="004B404C">
              <w:t>-0.26</w:t>
            </w:r>
          </w:p>
        </w:tc>
        <w:tc>
          <w:tcPr>
            <w:tcW w:w="1350" w:type="dxa"/>
          </w:tcPr>
          <w:p w14:paraId="74628728" w14:textId="36307087" w:rsidR="00F067C7" w:rsidRPr="004B404C" w:rsidRDefault="00BE2979" w:rsidP="00420EAA">
            <w:pPr>
              <w:pStyle w:val="NoSpacing"/>
              <w:jc w:val="center"/>
            </w:pPr>
            <w:r w:rsidRPr="004B404C">
              <w:t>0.07</w:t>
            </w:r>
          </w:p>
        </w:tc>
        <w:tc>
          <w:tcPr>
            <w:tcW w:w="810" w:type="dxa"/>
          </w:tcPr>
          <w:p w14:paraId="02E7ED7D" w14:textId="57D2AD59" w:rsidR="00F067C7" w:rsidRPr="004B404C" w:rsidRDefault="00D0323D" w:rsidP="00420EAA">
            <w:pPr>
              <w:pStyle w:val="NoSpacing"/>
              <w:jc w:val="center"/>
            </w:pPr>
            <w:r w:rsidRPr="004B404C">
              <w:t>0.00</w:t>
            </w:r>
          </w:p>
        </w:tc>
        <w:tc>
          <w:tcPr>
            <w:tcW w:w="990" w:type="dxa"/>
          </w:tcPr>
          <w:p w14:paraId="168E93E1" w14:textId="540B1D0D" w:rsidR="00F067C7" w:rsidRPr="004B404C" w:rsidRDefault="00420EAA" w:rsidP="00420EAA">
            <w:pPr>
              <w:pStyle w:val="NoSpacing"/>
              <w:jc w:val="center"/>
            </w:pPr>
            <w:r w:rsidRPr="004B404C">
              <w:t>-0.33</w:t>
            </w:r>
          </w:p>
        </w:tc>
        <w:tc>
          <w:tcPr>
            <w:tcW w:w="1368" w:type="dxa"/>
          </w:tcPr>
          <w:p w14:paraId="76CBCC72" w14:textId="0E3451CF" w:rsidR="00F067C7" w:rsidRPr="004B404C" w:rsidRDefault="00420EAA" w:rsidP="00420EAA">
            <w:pPr>
              <w:pStyle w:val="NoSpacing"/>
              <w:jc w:val="center"/>
            </w:pPr>
            <w:r w:rsidRPr="004B404C">
              <w:t>0.07</w:t>
            </w:r>
          </w:p>
        </w:tc>
        <w:tc>
          <w:tcPr>
            <w:tcW w:w="0" w:type="auto"/>
          </w:tcPr>
          <w:p w14:paraId="036F1A9E" w14:textId="17843D0E" w:rsidR="00F067C7" w:rsidRPr="004B404C" w:rsidRDefault="00420EAA" w:rsidP="00420EAA">
            <w:pPr>
              <w:pStyle w:val="NoSpacing"/>
              <w:jc w:val="center"/>
            </w:pPr>
            <w:r w:rsidRPr="004B404C">
              <w:t>0.00</w:t>
            </w:r>
          </w:p>
        </w:tc>
      </w:tr>
      <w:tr w:rsidR="00F067C7" w:rsidRPr="004B404C" w14:paraId="2EF96BC8" w14:textId="77777777" w:rsidTr="00053DA8">
        <w:tc>
          <w:tcPr>
            <w:tcW w:w="3865" w:type="dxa"/>
          </w:tcPr>
          <w:p w14:paraId="7C352B7E" w14:textId="44DCC6FC" w:rsidR="00F067C7" w:rsidRPr="004B404C" w:rsidRDefault="00F067C7" w:rsidP="00F067C7">
            <w:pPr>
              <w:pStyle w:val="NoSpacing"/>
            </w:pPr>
            <w:r w:rsidRPr="004B404C">
              <w:t>Rho Thefts from vehicles density</w:t>
            </w:r>
          </w:p>
        </w:tc>
        <w:tc>
          <w:tcPr>
            <w:tcW w:w="1080" w:type="dxa"/>
          </w:tcPr>
          <w:p w14:paraId="1ED27570" w14:textId="5E8AC311" w:rsidR="00F067C7" w:rsidRPr="004B404C" w:rsidRDefault="00F067C7" w:rsidP="00420EAA">
            <w:pPr>
              <w:pStyle w:val="NoSpacing"/>
              <w:jc w:val="center"/>
            </w:pPr>
            <w:r w:rsidRPr="004B404C">
              <w:t>0.29</w:t>
            </w:r>
          </w:p>
        </w:tc>
        <w:tc>
          <w:tcPr>
            <w:tcW w:w="1350" w:type="dxa"/>
          </w:tcPr>
          <w:p w14:paraId="0AF01C7D" w14:textId="39B2332B" w:rsidR="00F067C7" w:rsidRPr="004B404C" w:rsidRDefault="00BE2979" w:rsidP="00420EAA">
            <w:pPr>
              <w:pStyle w:val="NoSpacing"/>
              <w:jc w:val="center"/>
            </w:pPr>
            <w:r w:rsidRPr="004B404C">
              <w:t>0.06</w:t>
            </w:r>
          </w:p>
        </w:tc>
        <w:tc>
          <w:tcPr>
            <w:tcW w:w="810" w:type="dxa"/>
          </w:tcPr>
          <w:p w14:paraId="38818FDF" w14:textId="47C7DA83" w:rsidR="00F067C7" w:rsidRPr="004B404C" w:rsidRDefault="00D0323D" w:rsidP="00420EAA">
            <w:pPr>
              <w:pStyle w:val="NoSpacing"/>
              <w:jc w:val="center"/>
            </w:pPr>
            <w:r w:rsidRPr="004B404C">
              <w:t>0.00</w:t>
            </w:r>
          </w:p>
        </w:tc>
        <w:tc>
          <w:tcPr>
            <w:tcW w:w="990" w:type="dxa"/>
          </w:tcPr>
          <w:p w14:paraId="5D793B25" w14:textId="2EB57D15" w:rsidR="00F067C7" w:rsidRPr="004B404C" w:rsidRDefault="00420EAA" w:rsidP="00420EAA">
            <w:pPr>
              <w:pStyle w:val="NoSpacing"/>
              <w:jc w:val="center"/>
            </w:pPr>
            <w:r w:rsidRPr="004B404C">
              <w:t>0.38</w:t>
            </w:r>
          </w:p>
        </w:tc>
        <w:tc>
          <w:tcPr>
            <w:tcW w:w="1368" w:type="dxa"/>
          </w:tcPr>
          <w:p w14:paraId="0EDEF22E" w14:textId="1D67AF69" w:rsidR="00F067C7" w:rsidRPr="004B404C" w:rsidRDefault="00420EAA" w:rsidP="00420EAA">
            <w:pPr>
              <w:pStyle w:val="NoSpacing"/>
              <w:jc w:val="center"/>
            </w:pPr>
            <w:r w:rsidRPr="004B404C">
              <w:t>0.06</w:t>
            </w:r>
          </w:p>
        </w:tc>
        <w:tc>
          <w:tcPr>
            <w:tcW w:w="0" w:type="auto"/>
          </w:tcPr>
          <w:p w14:paraId="19FD8C3B" w14:textId="1FE07C19" w:rsidR="00F067C7" w:rsidRPr="004B404C" w:rsidRDefault="00420EAA" w:rsidP="00420EAA">
            <w:pPr>
              <w:pStyle w:val="NoSpacing"/>
              <w:jc w:val="center"/>
            </w:pPr>
            <w:r w:rsidRPr="004B404C">
              <w:t>0.00</w:t>
            </w:r>
          </w:p>
        </w:tc>
      </w:tr>
      <w:tr w:rsidR="00F067C7" w:rsidRPr="004B404C" w14:paraId="15562D90" w14:textId="77777777" w:rsidTr="00053DA8">
        <w:tc>
          <w:tcPr>
            <w:tcW w:w="3865" w:type="dxa"/>
          </w:tcPr>
          <w:p w14:paraId="31A8A1E9" w14:textId="64CA94E6" w:rsidR="00F067C7" w:rsidRPr="004B404C" w:rsidRDefault="00F067C7" w:rsidP="00F067C7">
            <w:pPr>
              <w:pStyle w:val="NoSpacing"/>
            </w:pPr>
            <w:r w:rsidRPr="004B404C">
              <w:t>Constant</w:t>
            </w:r>
          </w:p>
        </w:tc>
        <w:tc>
          <w:tcPr>
            <w:tcW w:w="1080" w:type="dxa"/>
          </w:tcPr>
          <w:p w14:paraId="2D5841B6" w14:textId="07268146" w:rsidR="00F067C7" w:rsidRPr="004B404C" w:rsidRDefault="00F067C7" w:rsidP="00420EAA">
            <w:pPr>
              <w:pStyle w:val="NoSpacing"/>
              <w:jc w:val="center"/>
            </w:pPr>
            <w:r w:rsidRPr="004B404C">
              <w:t>3.46</w:t>
            </w:r>
          </w:p>
        </w:tc>
        <w:tc>
          <w:tcPr>
            <w:tcW w:w="1350" w:type="dxa"/>
          </w:tcPr>
          <w:p w14:paraId="2DDDA355" w14:textId="10983730" w:rsidR="00F067C7" w:rsidRPr="004B404C" w:rsidRDefault="00BE2979" w:rsidP="00420EAA">
            <w:pPr>
              <w:pStyle w:val="NoSpacing"/>
              <w:jc w:val="center"/>
            </w:pPr>
            <w:r w:rsidRPr="004B404C">
              <w:t>0.57</w:t>
            </w:r>
          </w:p>
        </w:tc>
        <w:tc>
          <w:tcPr>
            <w:tcW w:w="810" w:type="dxa"/>
          </w:tcPr>
          <w:p w14:paraId="2ACFC0E8" w14:textId="37659C7B" w:rsidR="00F067C7" w:rsidRPr="004B404C" w:rsidRDefault="00D0323D" w:rsidP="00420EAA">
            <w:pPr>
              <w:pStyle w:val="NoSpacing"/>
              <w:jc w:val="center"/>
            </w:pPr>
            <w:r w:rsidRPr="004B404C">
              <w:t>0.00</w:t>
            </w:r>
          </w:p>
        </w:tc>
        <w:tc>
          <w:tcPr>
            <w:tcW w:w="990" w:type="dxa"/>
          </w:tcPr>
          <w:p w14:paraId="7F2853A0" w14:textId="13738F20" w:rsidR="00F067C7" w:rsidRPr="004B404C" w:rsidRDefault="00420EAA" w:rsidP="00420EAA">
            <w:pPr>
              <w:pStyle w:val="NoSpacing"/>
              <w:jc w:val="center"/>
            </w:pPr>
            <w:r w:rsidRPr="004B404C">
              <w:t>3.59</w:t>
            </w:r>
          </w:p>
        </w:tc>
        <w:tc>
          <w:tcPr>
            <w:tcW w:w="1368" w:type="dxa"/>
          </w:tcPr>
          <w:p w14:paraId="491D2F0A" w14:textId="4CC05AAE" w:rsidR="00F067C7" w:rsidRPr="004B404C" w:rsidRDefault="00420EAA" w:rsidP="00420EAA">
            <w:pPr>
              <w:pStyle w:val="NoSpacing"/>
              <w:jc w:val="center"/>
            </w:pPr>
            <w:r w:rsidRPr="004B404C">
              <w:t>0.58</w:t>
            </w:r>
          </w:p>
        </w:tc>
        <w:tc>
          <w:tcPr>
            <w:tcW w:w="0" w:type="auto"/>
          </w:tcPr>
          <w:p w14:paraId="7FA26DAB" w14:textId="7CC15FC8" w:rsidR="00F067C7" w:rsidRPr="004B404C" w:rsidRDefault="00420EAA" w:rsidP="00420EAA">
            <w:pPr>
              <w:pStyle w:val="NoSpacing"/>
              <w:jc w:val="center"/>
            </w:pPr>
            <w:r w:rsidRPr="004B404C">
              <w:t>0.00</w:t>
            </w:r>
          </w:p>
        </w:tc>
      </w:tr>
      <w:tr w:rsidR="00F067C7" w:rsidRPr="004B404C" w14:paraId="2B099148" w14:textId="77777777" w:rsidTr="00053DA8">
        <w:tc>
          <w:tcPr>
            <w:tcW w:w="3865" w:type="dxa"/>
          </w:tcPr>
          <w:p w14:paraId="261EAB48" w14:textId="4ABF3636" w:rsidR="00F067C7" w:rsidRPr="004B404C" w:rsidRDefault="00F067C7" w:rsidP="00F067C7">
            <w:pPr>
              <w:pStyle w:val="NoSpacing"/>
            </w:pPr>
            <w:r w:rsidRPr="004B404C">
              <w:t>Pseudo-R-squared</w:t>
            </w:r>
          </w:p>
        </w:tc>
        <w:tc>
          <w:tcPr>
            <w:tcW w:w="1080" w:type="dxa"/>
          </w:tcPr>
          <w:p w14:paraId="019DA4F4" w14:textId="77777777" w:rsidR="00F067C7" w:rsidRPr="004B404C" w:rsidRDefault="00F067C7" w:rsidP="00420EAA">
            <w:pPr>
              <w:pStyle w:val="NoSpacing"/>
              <w:jc w:val="center"/>
            </w:pPr>
          </w:p>
        </w:tc>
        <w:tc>
          <w:tcPr>
            <w:tcW w:w="1350" w:type="dxa"/>
          </w:tcPr>
          <w:p w14:paraId="17CDD62C" w14:textId="351229F1" w:rsidR="00F067C7" w:rsidRPr="004B404C" w:rsidRDefault="00F067C7" w:rsidP="00420EAA">
            <w:pPr>
              <w:pStyle w:val="NoSpacing"/>
              <w:jc w:val="center"/>
            </w:pPr>
            <w:r w:rsidRPr="004B404C">
              <w:t>0.38</w:t>
            </w:r>
          </w:p>
        </w:tc>
        <w:tc>
          <w:tcPr>
            <w:tcW w:w="810" w:type="dxa"/>
          </w:tcPr>
          <w:p w14:paraId="4E9E0BEF" w14:textId="77777777" w:rsidR="00F067C7" w:rsidRPr="004B404C" w:rsidRDefault="00F067C7" w:rsidP="00420EAA">
            <w:pPr>
              <w:pStyle w:val="NoSpacing"/>
              <w:jc w:val="center"/>
            </w:pPr>
          </w:p>
        </w:tc>
        <w:tc>
          <w:tcPr>
            <w:tcW w:w="990" w:type="dxa"/>
          </w:tcPr>
          <w:p w14:paraId="203CACC6" w14:textId="77777777" w:rsidR="00F067C7" w:rsidRPr="004B404C" w:rsidRDefault="00F067C7" w:rsidP="00420EAA">
            <w:pPr>
              <w:pStyle w:val="NoSpacing"/>
              <w:jc w:val="center"/>
            </w:pPr>
          </w:p>
        </w:tc>
        <w:tc>
          <w:tcPr>
            <w:tcW w:w="1368" w:type="dxa"/>
          </w:tcPr>
          <w:p w14:paraId="52BCFB19" w14:textId="543D8F07" w:rsidR="00F067C7" w:rsidRPr="004B404C" w:rsidRDefault="00420EAA" w:rsidP="00420EAA">
            <w:pPr>
              <w:pStyle w:val="NoSpacing"/>
              <w:jc w:val="center"/>
            </w:pPr>
            <w:r w:rsidRPr="004B404C">
              <w:t>0.35</w:t>
            </w:r>
          </w:p>
        </w:tc>
        <w:tc>
          <w:tcPr>
            <w:tcW w:w="0" w:type="auto"/>
          </w:tcPr>
          <w:p w14:paraId="36F9DFC0" w14:textId="77777777" w:rsidR="00F067C7" w:rsidRPr="004B404C" w:rsidRDefault="00F067C7" w:rsidP="00420EAA">
            <w:pPr>
              <w:pStyle w:val="NoSpacing"/>
              <w:jc w:val="center"/>
            </w:pPr>
          </w:p>
        </w:tc>
      </w:tr>
      <w:tr w:rsidR="00F067C7" w:rsidRPr="004B404C" w14:paraId="7A95E975" w14:textId="77777777" w:rsidTr="00053DA8">
        <w:tc>
          <w:tcPr>
            <w:tcW w:w="3865" w:type="dxa"/>
          </w:tcPr>
          <w:p w14:paraId="29174A67" w14:textId="6E9951B3" w:rsidR="00F067C7" w:rsidRPr="004B404C" w:rsidRDefault="00F067C7" w:rsidP="00F067C7">
            <w:pPr>
              <w:pStyle w:val="NoSpacing"/>
            </w:pPr>
            <w:r w:rsidRPr="004B404C">
              <w:t>Multicollinearity condition number</w:t>
            </w:r>
          </w:p>
        </w:tc>
        <w:tc>
          <w:tcPr>
            <w:tcW w:w="1080" w:type="dxa"/>
          </w:tcPr>
          <w:p w14:paraId="7D8E23B0" w14:textId="77777777" w:rsidR="00F067C7" w:rsidRPr="004B404C" w:rsidRDefault="00F067C7" w:rsidP="00420EAA">
            <w:pPr>
              <w:pStyle w:val="NoSpacing"/>
              <w:jc w:val="center"/>
            </w:pPr>
          </w:p>
        </w:tc>
        <w:tc>
          <w:tcPr>
            <w:tcW w:w="1350" w:type="dxa"/>
          </w:tcPr>
          <w:p w14:paraId="50FC01B6" w14:textId="04EC41F7" w:rsidR="00F067C7" w:rsidRPr="004B404C" w:rsidRDefault="00F067C7" w:rsidP="00420EAA">
            <w:pPr>
              <w:pStyle w:val="NoSpacing"/>
              <w:jc w:val="center"/>
            </w:pPr>
            <w:r w:rsidRPr="004B404C">
              <w:t>9.54</w:t>
            </w:r>
          </w:p>
        </w:tc>
        <w:tc>
          <w:tcPr>
            <w:tcW w:w="810" w:type="dxa"/>
          </w:tcPr>
          <w:p w14:paraId="6EDA76CF" w14:textId="77777777" w:rsidR="00F067C7" w:rsidRPr="004B404C" w:rsidRDefault="00F067C7" w:rsidP="00420EAA">
            <w:pPr>
              <w:pStyle w:val="NoSpacing"/>
              <w:jc w:val="center"/>
            </w:pPr>
          </w:p>
        </w:tc>
        <w:tc>
          <w:tcPr>
            <w:tcW w:w="990" w:type="dxa"/>
          </w:tcPr>
          <w:p w14:paraId="4E0CDF48" w14:textId="77777777" w:rsidR="00F067C7" w:rsidRPr="004B404C" w:rsidRDefault="00F067C7" w:rsidP="00420EAA">
            <w:pPr>
              <w:pStyle w:val="NoSpacing"/>
              <w:jc w:val="center"/>
            </w:pPr>
          </w:p>
        </w:tc>
        <w:tc>
          <w:tcPr>
            <w:tcW w:w="1368" w:type="dxa"/>
          </w:tcPr>
          <w:p w14:paraId="5EDE9F34" w14:textId="099F4829" w:rsidR="00F067C7" w:rsidRPr="004B404C" w:rsidRDefault="00420EAA" w:rsidP="00420EAA">
            <w:pPr>
              <w:pStyle w:val="NoSpacing"/>
              <w:jc w:val="center"/>
            </w:pPr>
            <w:r w:rsidRPr="004B404C">
              <w:t>9.22</w:t>
            </w:r>
          </w:p>
        </w:tc>
        <w:tc>
          <w:tcPr>
            <w:tcW w:w="0" w:type="auto"/>
          </w:tcPr>
          <w:p w14:paraId="1D8E63C3" w14:textId="77777777" w:rsidR="00F067C7" w:rsidRPr="004B404C" w:rsidRDefault="00F067C7" w:rsidP="00420EAA">
            <w:pPr>
              <w:pStyle w:val="NoSpacing"/>
              <w:jc w:val="center"/>
            </w:pPr>
          </w:p>
        </w:tc>
      </w:tr>
      <w:tr w:rsidR="00F067C7" w:rsidRPr="004B404C" w14:paraId="2205ADF1" w14:textId="77777777" w:rsidTr="00053DA8">
        <w:tc>
          <w:tcPr>
            <w:tcW w:w="3865" w:type="dxa"/>
          </w:tcPr>
          <w:p w14:paraId="642A217E" w14:textId="347C1649" w:rsidR="00F067C7" w:rsidRPr="004B404C" w:rsidRDefault="00F067C7" w:rsidP="00F067C7">
            <w:pPr>
              <w:pStyle w:val="NoSpacing"/>
            </w:pPr>
            <w:r w:rsidRPr="004B404C">
              <w:t>S.E. of Regression</w:t>
            </w:r>
          </w:p>
        </w:tc>
        <w:tc>
          <w:tcPr>
            <w:tcW w:w="1080" w:type="dxa"/>
          </w:tcPr>
          <w:p w14:paraId="3F53BF82" w14:textId="77777777" w:rsidR="00F067C7" w:rsidRPr="004B404C" w:rsidRDefault="00F067C7" w:rsidP="00420EAA">
            <w:pPr>
              <w:pStyle w:val="NoSpacing"/>
              <w:jc w:val="center"/>
            </w:pPr>
          </w:p>
        </w:tc>
        <w:tc>
          <w:tcPr>
            <w:tcW w:w="1350" w:type="dxa"/>
          </w:tcPr>
          <w:p w14:paraId="0AE6A4D0" w14:textId="114CE3A0" w:rsidR="00F067C7" w:rsidRPr="004B404C" w:rsidRDefault="00F067C7" w:rsidP="00420EAA">
            <w:pPr>
              <w:pStyle w:val="NoSpacing"/>
              <w:jc w:val="center"/>
            </w:pPr>
            <w:r w:rsidRPr="004B404C">
              <w:t>2.48</w:t>
            </w:r>
          </w:p>
        </w:tc>
        <w:tc>
          <w:tcPr>
            <w:tcW w:w="810" w:type="dxa"/>
          </w:tcPr>
          <w:p w14:paraId="4D4D7715" w14:textId="77777777" w:rsidR="00F067C7" w:rsidRPr="004B404C" w:rsidRDefault="00F067C7" w:rsidP="00420EAA">
            <w:pPr>
              <w:pStyle w:val="NoSpacing"/>
              <w:jc w:val="center"/>
            </w:pPr>
          </w:p>
        </w:tc>
        <w:tc>
          <w:tcPr>
            <w:tcW w:w="990" w:type="dxa"/>
          </w:tcPr>
          <w:p w14:paraId="2FDE5153" w14:textId="77777777" w:rsidR="00F067C7" w:rsidRPr="004B404C" w:rsidRDefault="00F067C7" w:rsidP="00420EAA">
            <w:pPr>
              <w:pStyle w:val="NoSpacing"/>
              <w:jc w:val="center"/>
            </w:pPr>
          </w:p>
        </w:tc>
        <w:tc>
          <w:tcPr>
            <w:tcW w:w="1368" w:type="dxa"/>
          </w:tcPr>
          <w:p w14:paraId="7EE297D1" w14:textId="04289913" w:rsidR="00F067C7" w:rsidRPr="004B404C" w:rsidRDefault="00420EAA" w:rsidP="00420EAA">
            <w:pPr>
              <w:pStyle w:val="NoSpacing"/>
              <w:jc w:val="center"/>
            </w:pPr>
            <w:r w:rsidRPr="004B404C">
              <w:t>2.55</w:t>
            </w:r>
          </w:p>
        </w:tc>
        <w:tc>
          <w:tcPr>
            <w:tcW w:w="0" w:type="auto"/>
          </w:tcPr>
          <w:p w14:paraId="55E735BE" w14:textId="77777777" w:rsidR="00F067C7" w:rsidRPr="004B404C" w:rsidRDefault="00F067C7" w:rsidP="00420EAA">
            <w:pPr>
              <w:pStyle w:val="NoSpacing"/>
              <w:jc w:val="center"/>
            </w:pPr>
          </w:p>
        </w:tc>
      </w:tr>
    </w:tbl>
    <w:p w14:paraId="463E2EF4" w14:textId="77777777" w:rsidR="004907D0" w:rsidRPr="00A47C56" w:rsidRDefault="004907D0" w:rsidP="004907D0">
      <w:pPr>
        <w:pStyle w:val="NoSpacing"/>
      </w:pPr>
    </w:p>
    <w:p w14:paraId="1CD3609B" w14:textId="77777777" w:rsidR="00A47C56" w:rsidRPr="00A47C56" w:rsidRDefault="00A47C56" w:rsidP="00A47C56">
      <w:pPr>
        <w:rPr>
          <w:rFonts w:cstheme="minorHAnsi"/>
          <w:sz w:val="24"/>
          <w:szCs w:val="24"/>
        </w:rPr>
      </w:pPr>
      <w:r w:rsidRPr="00A47C56">
        <w:rPr>
          <w:rFonts w:cstheme="minorHAnsi"/>
          <w:sz w:val="24"/>
          <w:szCs w:val="24"/>
        </w:rPr>
        <w:t>To explore the potential moderating effects of social disorganization, we first estimated baseline effects of social disorganization on these property crimes. Results of Model 1 suggest no significant association between social disorganization and thefts from vehicles density (</w:t>
      </w:r>
      <w:r w:rsidRPr="00A47C56">
        <w:rPr>
          <w:rFonts w:cstheme="minorHAnsi"/>
          <w:i/>
          <w:iCs/>
          <w:sz w:val="24"/>
          <w:szCs w:val="24"/>
        </w:rPr>
        <w:t>b</w:t>
      </w:r>
      <w:r w:rsidRPr="00A47C56">
        <w:rPr>
          <w:rFonts w:cstheme="minorHAnsi"/>
          <w:sz w:val="24"/>
          <w:szCs w:val="24"/>
        </w:rPr>
        <w:t xml:space="preserve"> = 0.04, </w:t>
      </w:r>
      <w:r w:rsidRPr="00A47C56">
        <w:rPr>
          <w:rFonts w:cstheme="minorHAnsi"/>
          <w:i/>
          <w:iCs/>
          <w:sz w:val="24"/>
          <w:szCs w:val="24"/>
        </w:rPr>
        <w:t>p</w:t>
      </w:r>
      <w:r w:rsidRPr="00A47C56">
        <w:rPr>
          <w:rFonts w:cstheme="minorHAnsi"/>
          <w:sz w:val="24"/>
          <w:szCs w:val="24"/>
        </w:rPr>
        <w:t> = 0.39), net of on-premise alcohol outlet density. Results of Model 2 suggest social disorganization was not significantly associated with thefts from vehicles density (</w:t>
      </w:r>
      <w:r w:rsidRPr="00A47C56">
        <w:rPr>
          <w:rFonts w:cstheme="minorHAnsi"/>
          <w:i/>
          <w:iCs/>
          <w:sz w:val="24"/>
          <w:szCs w:val="24"/>
        </w:rPr>
        <w:t>b</w:t>
      </w:r>
      <w:r w:rsidRPr="00A47C56">
        <w:rPr>
          <w:rFonts w:cstheme="minorHAnsi"/>
          <w:sz w:val="24"/>
          <w:szCs w:val="24"/>
        </w:rPr>
        <w:t xml:space="preserve"> = 0.01, </w:t>
      </w:r>
      <w:r w:rsidRPr="00A47C56">
        <w:rPr>
          <w:rFonts w:cstheme="minorHAnsi"/>
          <w:i/>
          <w:iCs/>
          <w:sz w:val="24"/>
          <w:szCs w:val="24"/>
        </w:rPr>
        <w:t>p</w:t>
      </w:r>
      <w:r w:rsidRPr="00A47C56">
        <w:rPr>
          <w:rFonts w:cstheme="minorHAnsi"/>
          <w:sz w:val="24"/>
          <w:szCs w:val="24"/>
        </w:rPr>
        <w:t> = 0.89), net of off-premise alcohol outlet density.</w:t>
      </w:r>
    </w:p>
    <w:p w14:paraId="1C284A99" w14:textId="35236B07" w:rsidR="00A47C56" w:rsidRPr="00A47C56" w:rsidRDefault="00A47C56" w:rsidP="00A47C56">
      <w:pPr>
        <w:rPr>
          <w:rFonts w:cstheme="minorHAnsi"/>
          <w:sz w:val="24"/>
          <w:szCs w:val="24"/>
        </w:rPr>
      </w:pPr>
      <w:r w:rsidRPr="00A47C56">
        <w:rPr>
          <w:rFonts w:cstheme="minorHAnsi"/>
          <w:sz w:val="24"/>
          <w:szCs w:val="24"/>
        </w:rPr>
        <w:t>To get a general estimate of overall model fit for these models, we employed a pseudo-</w:t>
      </w:r>
      <w:r w:rsidRPr="00A47C56">
        <w:rPr>
          <w:rFonts w:cstheme="minorHAnsi"/>
          <w:i/>
          <w:iCs/>
          <w:sz w:val="24"/>
          <w:szCs w:val="24"/>
        </w:rPr>
        <w:t>R</w:t>
      </w:r>
      <w:r w:rsidRPr="00A47C56">
        <w:rPr>
          <w:rFonts w:cstheme="minorHAnsi"/>
          <w:sz w:val="24"/>
          <w:szCs w:val="24"/>
        </w:rPr>
        <w:t xml:space="preserve">-square metric. The models in Table </w:t>
      </w:r>
      <w:r w:rsidR="00AF13D5">
        <w:rPr>
          <w:rFonts w:cstheme="minorHAnsi"/>
          <w:sz w:val="24"/>
          <w:szCs w:val="24"/>
        </w:rPr>
        <w:t xml:space="preserve">2 </w:t>
      </w:r>
      <w:r w:rsidRPr="00A47C56">
        <w:rPr>
          <w:rFonts w:cstheme="minorHAnsi"/>
          <w:sz w:val="24"/>
          <w:szCs w:val="24"/>
        </w:rPr>
        <w:t>explained 35–38% of the variance in the density of thefts from vehicles. We also found the spatial lag term (</w:t>
      </w:r>
      <w:r w:rsidRPr="00A47C56">
        <w:rPr>
          <w:rFonts w:cstheme="minorHAnsi"/>
          <w:i/>
          <w:iCs/>
          <w:sz w:val="24"/>
          <w:szCs w:val="24"/>
        </w:rPr>
        <w:t>Rho</w:t>
      </w:r>
      <w:r w:rsidRPr="00A47C56">
        <w:rPr>
          <w:rFonts w:cstheme="minorHAnsi"/>
          <w:sz w:val="24"/>
          <w:szCs w:val="24"/>
        </w:rPr>
        <w:t>) associated with thefts from vehicles was a positive and significant contributor to the models, revealing the importance of controlling for spatial dependence when examining this relationship at the block group level. Finally, we consulted the multicollinearity condition number (a diagnostic that can suggest problems with the stability of the regression results due to multicollinearity when the condition number is greater than 30), and found that multicollinearity was not a problem in the models.</w:t>
      </w:r>
    </w:p>
    <w:p w14:paraId="556EF6FA" w14:textId="40A3507D" w:rsidR="00A47C56" w:rsidRPr="00A47C56" w:rsidRDefault="00A47C56" w:rsidP="00A47C56">
      <w:pPr>
        <w:rPr>
          <w:rFonts w:cstheme="minorHAnsi"/>
          <w:sz w:val="24"/>
          <w:szCs w:val="24"/>
        </w:rPr>
      </w:pPr>
      <w:r w:rsidRPr="00A47C56">
        <w:rPr>
          <w:rFonts w:cstheme="minorHAnsi"/>
          <w:sz w:val="24"/>
          <w:szCs w:val="24"/>
        </w:rPr>
        <w:t xml:space="preserve">Table </w:t>
      </w:r>
      <w:r w:rsidR="004B404C">
        <w:rPr>
          <w:rFonts w:cstheme="minorHAnsi"/>
          <w:sz w:val="24"/>
          <w:szCs w:val="24"/>
        </w:rPr>
        <w:t xml:space="preserve">3 </w:t>
      </w:r>
      <w:r w:rsidRPr="00A47C56">
        <w:rPr>
          <w:rFonts w:cstheme="minorHAnsi"/>
          <w:sz w:val="24"/>
          <w:szCs w:val="24"/>
        </w:rPr>
        <w:t>shows the results of spatial lag regression models when vandalism of property density was regressed on alcohol outlet types, social disorganization, and control variables for Milwaukee census block groups. Model 3 shows results for on-premise alcohol outlet density, revealing that on-premise alcohol outlet density was positively and significantly associated with vandalism of property density (</w:t>
      </w:r>
      <w:r w:rsidRPr="00A47C56">
        <w:rPr>
          <w:rFonts w:cstheme="minorHAnsi"/>
          <w:i/>
          <w:iCs/>
          <w:sz w:val="24"/>
          <w:szCs w:val="24"/>
        </w:rPr>
        <w:t>b</w:t>
      </w:r>
      <w:r w:rsidRPr="00A47C56">
        <w:rPr>
          <w:rFonts w:cstheme="minorHAnsi"/>
          <w:sz w:val="24"/>
          <w:szCs w:val="24"/>
        </w:rPr>
        <w:t xml:space="preserve"> = 0.10, </w:t>
      </w:r>
      <w:r w:rsidRPr="00A47C56">
        <w:rPr>
          <w:rFonts w:cstheme="minorHAnsi"/>
          <w:i/>
          <w:iCs/>
          <w:sz w:val="24"/>
          <w:szCs w:val="24"/>
        </w:rPr>
        <w:t>p</w:t>
      </w:r>
      <w:r w:rsidRPr="00A47C56">
        <w:rPr>
          <w:rFonts w:cstheme="minorHAnsi"/>
          <w:sz w:val="24"/>
          <w:szCs w:val="24"/>
        </w:rPr>
        <w:t> = 0.00). Model 4 provides the results for off-premise alcohol outlet density, showing that off-premise alcohol outlet density was positively and significantly associated with vandalism of property density in Milwaukee (</w:t>
      </w:r>
      <w:r w:rsidRPr="00A47C56">
        <w:rPr>
          <w:rFonts w:cstheme="minorHAnsi"/>
          <w:i/>
          <w:iCs/>
          <w:sz w:val="24"/>
          <w:szCs w:val="24"/>
        </w:rPr>
        <w:t>b</w:t>
      </w:r>
      <w:r w:rsidRPr="00A47C56">
        <w:rPr>
          <w:rFonts w:cstheme="minorHAnsi"/>
          <w:sz w:val="24"/>
          <w:szCs w:val="24"/>
        </w:rPr>
        <w:t xml:space="preserve"> = 0.10, </w:t>
      </w:r>
      <w:r w:rsidRPr="00A47C56">
        <w:rPr>
          <w:rFonts w:cstheme="minorHAnsi"/>
          <w:i/>
          <w:iCs/>
          <w:sz w:val="24"/>
          <w:szCs w:val="24"/>
        </w:rPr>
        <w:t>p</w:t>
      </w:r>
      <w:r w:rsidRPr="00A47C56">
        <w:rPr>
          <w:rFonts w:cstheme="minorHAnsi"/>
          <w:sz w:val="24"/>
          <w:szCs w:val="24"/>
        </w:rPr>
        <w:t> = 0.05), although the borderline significance value prohibits us from making strong conclusions.</w:t>
      </w:r>
    </w:p>
    <w:p w14:paraId="1D05B51B" w14:textId="77777777" w:rsidR="00A47C56" w:rsidRPr="00AF13D5" w:rsidRDefault="00A47C56" w:rsidP="004B404C">
      <w:pPr>
        <w:pStyle w:val="NoSpacing"/>
        <w:rPr>
          <w:sz w:val="24"/>
          <w:szCs w:val="24"/>
        </w:rPr>
      </w:pPr>
      <w:r w:rsidRPr="00AF13D5">
        <w:rPr>
          <w:sz w:val="24"/>
          <w:szCs w:val="24"/>
        </w:rPr>
        <w:t>Table 3. Spatial lag regression for vandalism of property density regressed on alcohol outlet types, social disorganization, and control variables for Milwaukee (</w:t>
      </w:r>
      <w:r w:rsidRPr="00AF13D5">
        <w:rPr>
          <w:i/>
          <w:iCs/>
          <w:sz w:val="24"/>
          <w:szCs w:val="24"/>
        </w:rPr>
        <w:t>N</w:t>
      </w:r>
      <w:r w:rsidRPr="00AF13D5">
        <w:rPr>
          <w:sz w:val="24"/>
          <w:szCs w:val="24"/>
        </w:rPr>
        <w:t> = 572) block groups.</w:t>
      </w:r>
    </w:p>
    <w:tbl>
      <w:tblPr>
        <w:tblStyle w:val="TableGrid"/>
        <w:tblW w:w="0" w:type="auto"/>
        <w:tblLook w:val="04A0" w:firstRow="1" w:lastRow="0" w:firstColumn="1" w:lastColumn="0" w:noHBand="0" w:noVBand="1"/>
      </w:tblPr>
      <w:tblGrid>
        <w:gridCol w:w="3775"/>
        <w:gridCol w:w="990"/>
        <w:gridCol w:w="1306"/>
        <w:gridCol w:w="1124"/>
        <w:gridCol w:w="900"/>
        <w:gridCol w:w="1368"/>
        <w:gridCol w:w="607"/>
      </w:tblGrid>
      <w:tr w:rsidR="000D4659" w14:paraId="31B7882B" w14:textId="77777777" w:rsidTr="00053DA8">
        <w:tc>
          <w:tcPr>
            <w:tcW w:w="3775" w:type="dxa"/>
          </w:tcPr>
          <w:p w14:paraId="3657BF85" w14:textId="77777777" w:rsidR="000D4659" w:rsidRDefault="000D4659" w:rsidP="00903041">
            <w:pPr>
              <w:pStyle w:val="NoSpacing"/>
            </w:pPr>
          </w:p>
        </w:tc>
        <w:tc>
          <w:tcPr>
            <w:tcW w:w="990" w:type="dxa"/>
          </w:tcPr>
          <w:p w14:paraId="5F5B107B" w14:textId="77777777" w:rsidR="000D4659" w:rsidRDefault="000D4659" w:rsidP="00903041">
            <w:pPr>
              <w:pStyle w:val="NoSpacing"/>
              <w:jc w:val="center"/>
            </w:pPr>
          </w:p>
        </w:tc>
        <w:tc>
          <w:tcPr>
            <w:tcW w:w="1306" w:type="dxa"/>
          </w:tcPr>
          <w:p w14:paraId="43941D3E" w14:textId="77777777" w:rsidR="000D4659" w:rsidRDefault="000D4659" w:rsidP="00903041">
            <w:pPr>
              <w:pStyle w:val="NoSpacing"/>
              <w:jc w:val="center"/>
            </w:pPr>
            <w:r>
              <w:t>Model 3: On-premise</w:t>
            </w:r>
          </w:p>
        </w:tc>
        <w:tc>
          <w:tcPr>
            <w:tcW w:w="1124" w:type="dxa"/>
          </w:tcPr>
          <w:p w14:paraId="2432B635" w14:textId="77777777" w:rsidR="000D4659" w:rsidRDefault="000D4659" w:rsidP="00903041">
            <w:pPr>
              <w:pStyle w:val="NoSpacing"/>
              <w:jc w:val="center"/>
            </w:pPr>
          </w:p>
        </w:tc>
        <w:tc>
          <w:tcPr>
            <w:tcW w:w="900" w:type="dxa"/>
          </w:tcPr>
          <w:p w14:paraId="4884CB32" w14:textId="77777777" w:rsidR="000D4659" w:rsidRDefault="000D4659" w:rsidP="00903041">
            <w:pPr>
              <w:pStyle w:val="NoSpacing"/>
              <w:jc w:val="center"/>
            </w:pPr>
          </w:p>
        </w:tc>
        <w:tc>
          <w:tcPr>
            <w:tcW w:w="1368" w:type="dxa"/>
          </w:tcPr>
          <w:p w14:paraId="297422FE" w14:textId="77777777" w:rsidR="000D4659" w:rsidRDefault="000D4659" w:rsidP="00903041">
            <w:pPr>
              <w:pStyle w:val="NoSpacing"/>
              <w:jc w:val="center"/>
            </w:pPr>
            <w:r>
              <w:t>Model 4: Off-premise</w:t>
            </w:r>
          </w:p>
        </w:tc>
        <w:tc>
          <w:tcPr>
            <w:tcW w:w="0" w:type="auto"/>
          </w:tcPr>
          <w:p w14:paraId="676F3E57" w14:textId="77777777" w:rsidR="000D4659" w:rsidRDefault="000D4659" w:rsidP="00903041">
            <w:pPr>
              <w:pStyle w:val="NoSpacing"/>
              <w:jc w:val="center"/>
            </w:pPr>
          </w:p>
        </w:tc>
      </w:tr>
      <w:tr w:rsidR="000D4659" w14:paraId="6EC64E3A" w14:textId="77777777" w:rsidTr="00053DA8">
        <w:tc>
          <w:tcPr>
            <w:tcW w:w="3775" w:type="dxa"/>
          </w:tcPr>
          <w:p w14:paraId="68EF970F" w14:textId="77777777" w:rsidR="000D4659" w:rsidRDefault="000D4659" w:rsidP="00903041">
            <w:pPr>
              <w:pStyle w:val="NoSpacing"/>
            </w:pPr>
          </w:p>
        </w:tc>
        <w:tc>
          <w:tcPr>
            <w:tcW w:w="990" w:type="dxa"/>
          </w:tcPr>
          <w:p w14:paraId="4A83188E" w14:textId="77777777" w:rsidR="000D4659" w:rsidRDefault="000D4659" w:rsidP="00903041">
            <w:pPr>
              <w:pStyle w:val="NoSpacing"/>
              <w:jc w:val="center"/>
            </w:pPr>
            <w:r>
              <w:t>b</w:t>
            </w:r>
          </w:p>
        </w:tc>
        <w:tc>
          <w:tcPr>
            <w:tcW w:w="1306" w:type="dxa"/>
          </w:tcPr>
          <w:p w14:paraId="2251CDF7" w14:textId="77777777" w:rsidR="000D4659" w:rsidRDefault="000D4659" w:rsidP="00903041">
            <w:pPr>
              <w:pStyle w:val="NoSpacing"/>
              <w:jc w:val="center"/>
            </w:pPr>
            <w:r>
              <w:t>se</w:t>
            </w:r>
          </w:p>
        </w:tc>
        <w:tc>
          <w:tcPr>
            <w:tcW w:w="1124" w:type="dxa"/>
          </w:tcPr>
          <w:p w14:paraId="3757300F" w14:textId="77777777" w:rsidR="000D4659" w:rsidRPr="00F935F6" w:rsidRDefault="000D4659" w:rsidP="00903041">
            <w:pPr>
              <w:pStyle w:val="NoSpacing"/>
              <w:jc w:val="center"/>
              <w:rPr>
                <w:i/>
                <w:iCs/>
              </w:rPr>
            </w:pPr>
            <w:r>
              <w:rPr>
                <w:i/>
                <w:iCs/>
              </w:rPr>
              <w:t>p</w:t>
            </w:r>
          </w:p>
        </w:tc>
        <w:tc>
          <w:tcPr>
            <w:tcW w:w="900" w:type="dxa"/>
          </w:tcPr>
          <w:p w14:paraId="26DB7330" w14:textId="77777777" w:rsidR="000D4659" w:rsidRDefault="000D4659" w:rsidP="00903041">
            <w:pPr>
              <w:pStyle w:val="NoSpacing"/>
              <w:jc w:val="center"/>
            </w:pPr>
            <w:r>
              <w:t>b</w:t>
            </w:r>
          </w:p>
        </w:tc>
        <w:tc>
          <w:tcPr>
            <w:tcW w:w="1368" w:type="dxa"/>
          </w:tcPr>
          <w:p w14:paraId="4BDEB3B5" w14:textId="77777777" w:rsidR="000D4659" w:rsidRDefault="000D4659" w:rsidP="00903041">
            <w:pPr>
              <w:pStyle w:val="NoSpacing"/>
              <w:jc w:val="center"/>
            </w:pPr>
            <w:r>
              <w:t>Se</w:t>
            </w:r>
          </w:p>
        </w:tc>
        <w:tc>
          <w:tcPr>
            <w:tcW w:w="0" w:type="auto"/>
          </w:tcPr>
          <w:p w14:paraId="39A0F43B" w14:textId="77777777" w:rsidR="000D4659" w:rsidRPr="00F935F6" w:rsidRDefault="000D4659" w:rsidP="00903041">
            <w:pPr>
              <w:pStyle w:val="NoSpacing"/>
              <w:jc w:val="center"/>
              <w:rPr>
                <w:i/>
                <w:iCs/>
              </w:rPr>
            </w:pPr>
            <w:r>
              <w:rPr>
                <w:i/>
                <w:iCs/>
              </w:rPr>
              <w:t>p</w:t>
            </w:r>
          </w:p>
        </w:tc>
      </w:tr>
      <w:tr w:rsidR="000D4659" w14:paraId="1164733F" w14:textId="77777777" w:rsidTr="00053DA8">
        <w:tc>
          <w:tcPr>
            <w:tcW w:w="3775" w:type="dxa"/>
          </w:tcPr>
          <w:p w14:paraId="48B3FC42" w14:textId="77777777" w:rsidR="000D4659" w:rsidRPr="00B507DD" w:rsidRDefault="000D4659" w:rsidP="00903041">
            <w:pPr>
              <w:pStyle w:val="NoSpacing"/>
            </w:pPr>
            <w:r>
              <w:t>On-premise density</w:t>
            </w:r>
          </w:p>
        </w:tc>
        <w:tc>
          <w:tcPr>
            <w:tcW w:w="990" w:type="dxa"/>
          </w:tcPr>
          <w:p w14:paraId="3BE14D1D" w14:textId="77777777" w:rsidR="000D4659" w:rsidRDefault="000D4659" w:rsidP="00903041">
            <w:pPr>
              <w:pStyle w:val="NoSpacing"/>
              <w:jc w:val="center"/>
            </w:pPr>
            <w:r>
              <w:t>0.10</w:t>
            </w:r>
          </w:p>
        </w:tc>
        <w:tc>
          <w:tcPr>
            <w:tcW w:w="1306" w:type="dxa"/>
          </w:tcPr>
          <w:p w14:paraId="4D5822E8" w14:textId="77777777" w:rsidR="000D4659" w:rsidRDefault="000D4659" w:rsidP="00903041">
            <w:pPr>
              <w:pStyle w:val="NoSpacing"/>
              <w:jc w:val="center"/>
            </w:pPr>
            <w:r>
              <w:t>0.03</w:t>
            </w:r>
          </w:p>
        </w:tc>
        <w:tc>
          <w:tcPr>
            <w:tcW w:w="1124" w:type="dxa"/>
          </w:tcPr>
          <w:p w14:paraId="379FBD9B" w14:textId="23039D62" w:rsidR="000D4659" w:rsidRDefault="000D4659" w:rsidP="00053DA8">
            <w:pPr>
              <w:pStyle w:val="NoSpacing"/>
              <w:jc w:val="center"/>
            </w:pPr>
            <w:r>
              <w:t>0.00</w:t>
            </w:r>
          </w:p>
        </w:tc>
        <w:tc>
          <w:tcPr>
            <w:tcW w:w="900" w:type="dxa"/>
          </w:tcPr>
          <w:p w14:paraId="0639AD91" w14:textId="77777777" w:rsidR="000D4659" w:rsidRDefault="000D4659" w:rsidP="00903041">
            <w:pPr>
              <w:pStyle w:val="NoSpacing"/>
              <w:jc w:val="center"/>
            </w:pPr>
            <w:r>
              <w:t>-</w:t>
            </w:r>
          </w:p>
        </w:tc>
        <w:tc>
          <w:tcPr>
            <w:tcW w:w="1368" w:type="dxa"/>
          </w:tcPr>
          <w:p w14:paraId="6DC44760" w14:textId="77777777" w:rsidR="000D4659" w:rsidRDefault="000D4659" w:rsidP="00903041">
            <w:pPr>
              <w:pStyle w:val="NoSpacing"/>
              <w:jc w:val="center"/>
            </w:pPr>
            <w:r>
              <w:t>-</w:t>
            </w:r>
          </w:p>
        </w:tc>
        <w:tc>
          <w:tcPr>
            <w:tcW w:w="0" w:type="auto"/>
          </w:tcPr>
          <w:p w14:paraId="1DF31474" w14:textId="77777777" w:rsidR="000D4659" w:rsidRDefault="000D4659" w:rsidP="00903041">
            <w:pPr>
              <w:pStyle w:val="NoSpacing"/>
              <w:jc w:val="center"/>
            </w:pPr>
            <w:r>
              <w:t>-</w:t>
            </w:r>
          </w:p>
        </w:tc>
      </w:tr>
      <w:tr w:rsidR="000D4659" w14:paraId="5FCD6FA6" w14:textId="77777777" w:rsidTr="00053DA8">
        <w:tc>
          <w:tcPr>
            <w:tcW w:w="3775" w:type="dxa"/>
          </w:tcPr>
          <w:p w14:paraId="55A5E7D7" w14:textId="77777777" w:rsidR="000D4659" w:rsidRDefault="000D4659" w:rsidP="00903041">
            <w:pPr>
              <w:pStyle w:val="NoSpacing"/>
            </w:pPr>
            <w:r>
              <w:t>Off-premise density</w:t>
            </w:r>
          </w:p>
        </w:tc>
        <w:tc>
          <w:tcPr>
            <w:tcW w:w="990" w:type="dxa"/>
          </w:tcPr>
          <w:p w14:paraId="58BC0689" w14:textId="77777777" w:rsidR="000D4659" w:rsidRDefault="000D4659" w:rsidP="00903041">
            <w:pPr>
              <w:pStyle w:val="NoSpacing"/>
              <w:jc w:val="center"/>
            </w:pPr>
            <w:r>
              <w:t>-</w:t>
            </w:r>
          </w:p>
        </w:tc>
        <w:tc>
          <w:tcPr>
            <w:tcW w:w="1306" w:type="dxa"/>
          </w:tcPr>
          <w:p w14:paraId="40539108" w14:textId="77777777" w:rsidR="000D4659" w:rsidRDefault="000D4659" w:rsidP="00903041">
            <w:pPr>
              <w:pStyle w:val="NoSpacing"/>
              <w:jc w:val="center"/>
            </w:pPr>
            <w:r>
              <w:t>-</w:t>
            </w:r>
          </w:p>
        </w:tc>
        <w:tc>
          <w:tcPr>
            <w:tcW w:w="1124" w:type="dxa"/>
          </w:tcPr>
          <w:p w14:paraId="60EFC2E3" w14:textId="77777777" w:rsidR="000D4659" w:rsidRDefault="000D4659" w:rsidP="00903041">
            <w:pPr>
              <w:pStyle w:val="NoSpacing"/>
              <w:jc w:val="center"/>
            </w:pPr>
            <w:r>
              <w:t>-</w:t>
            </w:r>
          </w:p>
        </w:tc>
        <w:tc>
          <w:tcPr>
            <w:tcW w:w="900" w:type="dxa"/>
          </w:tcPr>
          <w:p w14:paraId="69145647" w14:textId="77777777" w:rsidR="000D4659" w:rsidRDefault="000D4659" w:rsidP="00903041">
            <w:pPr>
              <w:pStyle w:val="NoSpacing"/>
              <w:jc w:val="center"/>
            </w:pPr>
            <w:r>
              <w:t>0.10</w:t>
            </w:r>
          </w:p>
        </w:tc>
        <w:tc>
          <w:tcPr>
            <w:tcW w:w="1368" w:type="dxa"/>
          </w:tcPr>
          <w:p w14:paraId="4C3EDD80" w14:textId="77777777" w:rsidR="000D4659" w:rsidRDefault="000D4659" w:rsidP="00903041">
            <w:pPr>
              <w:pStyle w:val="NoSpacing"/>
              <w:jc w:val="center"/>
            </w:pPr>
            <w:r>
              <w:t>0.05</w:t>
            </w:r>
          </w:p>
        </w:tc>
        <w:tc>
          <w:tcPr>
            <w:tcW w:w="0" w:type="auto"/>
          </w:tcPr>
          <w:p w14:paraId="22C44D12" w14:textId="77777777" w:rsidR="000D4659" w:rsidRDefault="000D4659" w:rsidP="00903041">
            <w:pPr>
              <w:pStyle w:val="NoSpacing"/>
              <w:jc w:val="center"/>
            </w:pPr>
            <w:r>
              <w:t>0.05</w:t>
            </w:r>
          </w:p>
        </w:tc>
      </w:tr>
      <w:tr w:rsidR="000D4659" w14:paraId="1B522D0F" w14:textId="77777777" w:rsidTr="00053DA8">
        <w:tc>
          <w:tcPr>
            <w:tcW w:w="3775" w:type="dxa"/>
          </w:tcPr>
          <w:p w14:paraId="6741116A" w14:textId="77777777" w:rsidR="000D4659" w:rsidRDefault="000D4659" w:rsidP="00903041">
            <w:pPr>
              <w:pStyle w:val="NoSpacing"/>
            </w:pPr>
            <w:r>
              <w:t>Social disorganization</w:t>
            </w:r>
          </w:p>
        </w:tc>
        <w:tc>
          <w:tcPr>
            <w:tcW w:w="990" w:type="dxa"/>
          </w:tcPr>
          <w:p w14:paraId="4645EEBE" w14:textId="77777777" w:rsidR="000D4659" w:rsidRDefault="000D4659" w:rsidP="00903041">
            <w:pPr>
              <w:pStyle w:val="NoSpacing"/>
              <w:jc w:val="center"/>
            </w:pPr>
            <w:r>
              <w:t>0.28</w:t>
            </w:r>
          </w:p>
        </w:tc>
        <w:tc>
          <w:tcPr>
            <w:tcW w:w="1306" w:type="dxa"/>
          </w:tcPr>
          <w:p w14:paraId="03E4C3B2" w14:textId="77777777" w:rsidR="000D4659" w:rsidRDefault="000D4659" w:rsidP="00903041">
            <w:pPr>
              <w:pStyle w:val="NoSpacing"/>
              <w:jc w:val="center"/>
            </w:pPr>
            <w:r>
              <w:t>0.04</w:t>
            </w:r>
          </w:p>
        </w:tc>
        <w:tc>
          <w:tcPr>
            <w:tcW w:w="1124" w:type="dxa"/>
          </w:tcPr>
          <w:p w14:paraId="7A3440E1" w14:textId="77777777" w:rsidR="000D4659" w:rsidRDefault="000D4659" w:rsidP="00903041">
            <w:pPr>
              <w:pStyle w:val="NoSpacing"/>
              <w:jc w:val="center"/>
            </w:pPr>
            <w:r>
              <w:t>0.00</w:t>
            </w:r>
          </w:p>
        </w:tc>
        <w:tc>
          <w:tcPr>
            <w:tcW w:w="900" w:type="dxa"/>
          </w:tcPr>
          <w:p w14:paraId="41A9E0F0" w14:textId="77777777" w:rsidR="000D4659" w:rsidRDefault="000D4659" w:rsidP="00903041">
            <w:pPr>
              <w:pStyle w:val="NoSpacing"/>
              <w:jc w:val="center"/>
            </w:pPr>
            <w:r>
              <w:t>0.26</w:t>
            </w:r>
          </w:p>
        </w:tc>
        <w:tc>
          <w:tcPr>
            <w:tcW w:w="1368" w:type="dxa"/>
          </w:tcPr>
          <w:p w14:paraId="2D2731ED" w14:textId="77777777" w:rsidR="000D4659" w:rsidRDefault="000D4659" w:rsidP="00903041">
            <w:pPr>
              <w:pStyle w:val="NoSpacing"/>
              <w:jc w:val="center"/>
            </w:pPr>
            <w:r>
              <w:t>0.04</w:t>
            </w:r>
          </w:p>
        </w:tc>
        <w:tc>
          <w:tcPr>
            <w:tcW w:w="0" w:type="auto"/>
          </w:tcPr>
          <w:p w14:paraId="53B329A9" w14:textId="77777777" w:rsidR="000D4659" w:rsidRDefault="000D4659" w:rsidP="00903041">
            <w:pPr>
              <w:pStyle w:val="NoSpacing"/>
              <w:jc w:val="center"/>
            </w:pPr>
            <w:r>
              <w:t>0.00</w:t>
            </w:r>
          </w:p>
        </w:tc>
      </w:tr>
      <w:tr w:rsidR="000D4659" w14:paraId="0C1C8810" w14:textId="77777777" w:rsidTr="00053DA8">
        <w:tc>
          <w:tcPr>
            <w:tcW w:w="3775" w:type="dxa"/>
          </w:tcPr>
          <w:p w14:paraId="3A976B2C" w14:textId="77777777" w:rsidR="000D4659" w:rsidRDefault="000D4659" w:rsidP="00903041">
            <w:pPr>
              <w:pStyle w:val="NoSpacing"/>
            </w:pPr>
            <w:r>
              <w:t>Population density</w:t>
            </w:r>
          </w:p>
        </w:tc>
        <w:tc>
          <w:tcPr>
            <w:tcW w:w="990" w:type="dxa"/>
          </w:tcPr>
          <w:p w14:paraId="5DF73ED7" w14:textId="77777777" w:rsidR="000D4659" w:rsidRDefault="000D4659" w:rsidP="00903041">
            <w:pPr>
              <w:pStyle w:val="NoSpacing"/>
              <w:jc w:val="center"/>
            </w:pPr>
            <w:r>
              <w:t>0.00</w:t>
            </w:r>
          </w:p>
        </w:tc>
        <w:tc>
          <w:tcPr>
            <w:tcW w:w="1306" w:type="dxa"/>
          </w:tcPr>
          <w:p w14:paraId="71329F5C" w14:textId="77777777" w:rsidR="000D4659" w:rsidRDefault="000D4659" w:rsidP="00903041">
            <w:pPr>
              <w:pStyle w:val="NoSpacing"/>
              <w:jc w:val="center"/>
            </w:pPr>
            <w:r>
              <w:t>0.00</w:t>
            </w:r>
          </w:p>
        </w:tc>
        <w:tc>
          <w:tcPr>
            <w:tcW w:w="1124" w:type="dxa"/>
          </w:tcPr>
          <w:p w14:paraId="3E1883C8" w14:textId="77777777" w:rsidR="000D4659" w:rsidRDefault="000D4659" w:rsidP="00903041">
            <w:pPr>
              <w:pStyle w:val="NoSpacing"/>
              <w:jc w:val="center"/>
            </w:pPr>
            <w:r>
              <w:t>0.00</w:t>
            </w:r>
          </w:p>
        </w:tc>
        <w:tc>
          <w:tcPr>
            <w:tcW w:w="900" w:type="dxa"/>
          </w:tcPr>
          <w:p w14:paraId="4D847722" w14:textId="77777777" w:rsidR="000D4659" w:rsidRDefault="000D4659" w:rsidP="00903041">
            <w:pPr>
              <w:pStyle w:val="NoSpacing"/>
              <w:jc w:val="center"/>
            </w:pPr>
            <w:r>
              <w:t>0.00</w:t>
            </w:r>
          </w:p>
        </w:tc>
        <w:tc>
          <w:tcPr>
            <w:tcW w:w="1368" w:type="dxa"/>
          </w:tcPr>
          <w:p w14:paraId="6DDB2745" w14:textId="77777777" w:rsidR="000D4659" w:rsidRDefault="000D4659" w:rsidP="00903041">
            <w:pPr>
              <w:pStyle w:val="NoSpacing"/>
              <w:jc w:val="center"/>
            </w:pPr>
            <w:r>
              <w:t>0.00</w:t>
            </w:r>
          </w:p>
        </w:tc>
        <w:tc>
          <w:tcPr>
            <w:tcW w:w="0" w:type="auto"/>
          </w:tcPr>
          <w:p w14:paraId="0B7E6CB1" w14:textId="77777777" w:rsidR="000D4659" w:rsidRDefault="000D4659" w:rsidP="00903041">
            <w:pPr>
              <w:pStyle w:val="NoSpacing"/>
              <w:jc w:val="center"/>
            </w:pPr>
            <w:r>
              <w:t>0.00</w:t>
            </w:r>
          </w:p>
        </w:tc>
      </w:tr>
      <w:tr w:rsidR="000D4659" w14:paraId="530AC53F" w14:textId="77777777" w:rsidTr="00053DA8">
        <w:tc>
          <w:tcPr>
            <w:tcW w:w="3775" w:type="dxa"/>
          </w:tcPr>
          <w:p w14:paraId="3D9C8569" w14:textId="77777777" w:rsidR="000D4659" w:rsidRDefault="000D4659" w:rsidP="00903041">
            <w:pPr>
              <w:pStyle w:val="NoSpacing"/>
            </w:pPr>
            <w:r>
              <w:t>Proportion young</w:t>
            </w:r>
          </w:p>
        </w:tc>
        <w:tc>
          <w:tcPr>
            <w:tcW w:w="990" w:type="dxa"/>
          </w:tcPr>
          <w:p w14:paraId="38B6DE71" w14:textId="77777777" w:rsidR="000D4659" w:rsidRDefault="000D4659" w:rsidP="00903041">
            <w:pPr>
              <w:pStyle w:val="NoSpacing"/>
              <w:jc w:val="center"/>
            </w:pPr>
            <w:r>
              <w:t>-1.71</w:t>
            </w:r>
          </w:p>
        </w:tc>
        <w:tc>
          <w:tcPr>
            <w:tcW w:w="1306" w:type="dxa"/>
          </w:tcPr>
          <w:p w14:paraId="5A8071F6" w14:textId="77777777" w:rsidR="000D4659" w:rsidRDefault="000D4659" w:rsidP="00903041">
            <w:pPr>
              <w:pStyle w:val="NoSpacing"/>
              <w:jc w:val="center"/>
            </w:pPr>
            <w:r>
              <w:t>1.02</w:t>
            </w:r>
          </w:p>
        </w:tc>
        <w:tc>
          <w:tcPr>
            <w:tcW w:w="1124" w:type="dxa"/>
          </w:tcPr>
          <w:p w14:paraId="0CA0CD33" w14:textId="77777777" w:rsidR="000D4659" w:rsidRDefault="000D4659" w:rsidP="00903041">
            <w:pPr>
              <w:pStyle w:val="NoSpacing"/>
              <w:jc w:val="center"/>
            </w:pPr>
            <w:r>
              <w:t>0.09</w:t>
            </w:r>
          </w:p>
        </w:tc>
        <w:tc>
          <w:tcPr>
            <w:tcW w:w="900" w:type="dxa"/>
          </w:tcPr>
          <w:p w14:paraId="0FECE769" w14:textId="77777777" w:rsidR="000D4659" w:rsidRDefault="000D4659" w:rsidP="00903041">
            <w:pPr>
              <w:pStyle w:val="NoSpacing"/>
              <w:jc w:val="center"/>
            </w:pPr>
            <w:r>
              <w:t>-1.42</w:t>
            </w:r>
          </w:p>
        </w:tc>
        <w:tc>
          <w:tcPr>
            <w:tcW w:w="1368" w:type="dxa"/>
          </w:tcPr>
          <w:p w14:paraId="0E765E5F" w14:textId="77777777" w:rsidR="000D4659" w:rsidRDefault="000D4659" w:rsidP="00903041">
            <w:pPr>
              <w:pStyle w:val="NoSpacing"/>
              <w:jc w:val="center"/>
            </w:pPr>
            <w:r>
              <w:t>1.02</w:t>
            </w:r>
          </w:p>
        </w:tc>
        <w:tc>
          <w:tcPr>
            <w:tcW w:w="0" w:type="auto"/>
          </w:tcPr>
          <w:p w14:paraId="6E0F10F7" w14:textId="77777777" w:rsidR="000D4659" w:rsidRDefault="000D4659" w:rsidP="00903041">
            <w:pPr>
              <w:pStyle w:val="NoSpacing"/>
              <w:jc w:val="center"/>
            </w:pPr>
            <w:r>
              <w:t>0.17</w:t>
            </w:r>
          </w:p>
        </w:tc>
      </w:tr>
      <w:tr w:rsidR="000D4659" w14:paraId="0DB27249" w14:textId="77777777" w:rsidTr="00053DA8">
        <w:tc>
          <w:tcPr>
            <w:tcW w:w="3775" w:type="dxa"/>
          </w:tcPr>
          <w:p w14:paraId="5F3DE2EB" w14:textId="77777777" w:rsidR="000D4659" w:rsidRPr="00B507DD" w:rsidRDefault="000D4659" w:rsidP="00903041">
            <w:pPr>
              <w:pStyle w:val="NoSpacing"/>
            </w:pPr>
            <w:r>
              <w:t>Distance from city center</w:t>
            </w:r>
          </w:p>
        </w:tc>
        <w:tc>
          <w:tcPr>
            <w:tcW w:w="990" w:type="dxa"/>
          </w:tcPr>
          <w:p w14:paraId="643733D3" w14:textId="77777777" w:rsidR="000D4659" w:rsidRDefault="000D4659" w:rsidP="00903041">
            <w:pPr>
              <w:pStyle w:val="NoSpacing"/>
              <w:jc w:val="center"/>
            </w:pPr>
            <w:r>
              <w:t>-0.04</w:t>
            </w:r>
          </w:p>
        </w:tc>
        <w:tc>
          <w:tcPr>
            <w:tcW w:w="1306" w:type="dxa"/>
          </w:tcPr>
          <w:p w14:paraId="34CC196B" w14:textId="77777777" w:rsidR="000D4659" w:rsidRDefault="000D4659" w:rsidP="00903041">
            <w:pPr>
              <w:pStyle w:val="NoSpacing"/>
              <w:jc w:val="center"/>
            </w:pPr>
            <w:r>
              <w:t>0.05</w:t>
            </w:r>
          </w:p>
        </w:tc>
        <w:tc>
          <w:tcPr>
            <w:tcW w:w="1124" w:type="dxa"/>
          </w:tcPr>
          <w:p w14:paraId="14F7E9B4" w14:textId="77777777" w:rsidR="000D4659" w:rsidRDefault="000D4659" w:rsidP="00903041">
            <w:pPr>
              <w:pStyle w:val="NoSpacing"/>
              <w:jc w:val="center"/>
            </w:pPr>
            <w:r>
              <w:t>0.47</w:t>
            </w:r>
          </w:p>
        </w:tc>
        <w:tc>
          <w:tcPr>
            <w:tcW w:w="900" w:type="dxa"/>
          </w:tcPr>
          <w:p w14:paraId="05CD4AFA" w14:textId="77777777" w:rsidR="000D4659" w:rsidRDefault="000D4659" w:rsidP="00903041">
            <w:pPr>
              <w:pStyle w:val="NoSpacing"/>
              <w:jc w:val="center"/>
            </w:pPr>
            <w:r>
              <w:t>-0.07</w:t>
            </w:r>
          </w:p>
        </w:tc>
        <w:tc>
          <w:tcPr>
            <w:tcW w:w="1368" w:type="dxa"/>
          </w:tcPr>
          <w:p w14:paraId="2FC20F38" w14:textId="77777777" w:rsidR="000D4659" w:rsidRDefault="000D4659" w:rsidP="00903041">
            <w:pPr>
              <w:pStyle w:val="NoSpacing"/>
              <w:jc w:val="center"/>
            </w:pPr>
            <w:r>
              <w:t>0.05</w:t>
            </w:r>
          </w:p>
        </w:tc>
        <w:tc>
          <w:tcPr>
            <w:tcW w:w="0" w:type="auto"/>
          </w:tcPr>
          <w:p w14:paraId="42CEAC3D" w14:textId="77777777" w:rsidR="000D4659" w:rsidRDefault="000D4659" w:rsidP="00903041">
            <w:pPr>
              <w:pStyle w:val="NoSpacing"/>
              <w:jc w:val="center"/>
            </w:pPr>
            <w:r>
              <w:t>0.16</w:t>
            </w:r>
          </w:p>
        </w:tc>
      </w:tr>
      <w:tr w:rsidR="000D4659" w14:paraId="335D3780" w14:textId="77777777" w:rsidTr="00053DA8">
        <w:tc>
          <w:tcPr>
            <w:tcW w:w="3775" w:type="dxa"/>
          </w:tcPr>
          <w:p w14:paraId="11D710FF" w14:textId="77777777" w:rsidR="000D4659" w:rsidRDefault="000D4659" w:rsidP="00903041">
            <w:pPr>
              <w:pStyle w:val="NoSpacing"/>
            </w:pPr>
            <w:r>
              <w:rPr>
                <w:i/>
                <w:iCs/>
              </w:rPr>
              <w:t>Rho</w:t>
            </w:r>
            <w:r>
              <w:t xml:space="preserve"> Vandalism density</w:t>
            </w:r>
          </w:p>
        </w:tc>
        <w:tc>
          <w:tcPr>
            <w:tcW w:w="990" w:type="dxa"/>
          </w:tcPr>
          <w:p w14:paraId="02B3BC24" w14:textId="77777777" w:rsidR="000D4659" w:rsidRDefault="000D4659" w:rsidP="00903041">
            <w:pPr>
              <w:pStyle w:val="NoSpacing"/>
              <w:jc w:val="center"/>
            </w:pPr>
            <w:r>
              <w:t>0.33</w:t>
            </w:r>
          </w:p>
        </w:tc>
        <w:tc>
          <w:tcPr>
            <w:tcW w:w="1306" w:type="dxa"/>
          </w:tcPr>
          <w:p w14:paraId="444558B7" w14:textId="77777777" w:rsidR="000D4659" w:rsidRDefault="000D4659" w:rsidP="00903041">
            <w:pPr>
              <w:pStyle w:val="NoSpacing"/>
              <w:jc w:val="center"/>
            </w:pPr>
            <w:r>
              <w:t>0.05</w:t>
            </w:r>
          </w:p>
        </w:tc>
        <w:tc>
          <w:tcPr>
            <w:tcW w:w="1124" w:type="dxa"/>
          </w:tcPr>
          <w:p w14:paraId="336941B2" w14:textId="77777777" w:rsidR="000D4659" w:rsidRDefault="000D4659" w:rsidP="00903041">
            <w:pPr>
              <w:pStyle w:val="NoSpacing"/>
              <w:jc w:val="center"/>
            </w:pPr>
            <w:r>
              <w:t>0.00</w:t>
            </w:r>
          </w:p>
        </w:tc>
        <w:tc>
          <w:tcPr>
            <w:tcW w:w="900" w:type="dxa"/>
          </w:tcPr>
          <w:p w14:paraId="680A12A4" w14:textId="77777777" w:rsidR="000D4659" w:rsidRDefault="000D4659" w:rsidP="00903041">
            <w:pPr>
              <w:pStyle w:val="NoSpacing"/>
              <w:jc w:val="center"/>
            </w:pPr>
            <w:r>
              <w:t>0.33</w:t>
            </w:r>
          </w:p>
        </w:tc>
        <w:tc>
          <w:tcPr>
            <w:tcW w:w="1368" w:type="dxa"/>
          </w:tcPr>
          <w:p w14:paraId="657A1AA2" w14:textId="77777777" w:rsidR="000D4659" w:rsidRDefault="000D4659" w:rsidP="00903041">
            <w:pPr>
              <w:pStyle w:val="NoSpacing"/>
              <w:jc w:val="center"/>
            </w:pPr>
            <w:r>
              <w:t>0.05</w:t>
            </w:r>
          </w:p>
        </w:tc>
        <w:tc>
          <w:tcPr>
            <w:tcW w:w="0" w:type="auto"/>
          </w:tcPr>
          <w:p w14:paraId="185C98C3" w14:textId="77777777" w:rsidR="000D4659" w:rsidRDefault="000D4659" w:rsidP="00903041">
            <w:pPr>
              <w:pStyle w:val="NoSpacing"/>
              <w:jc w:val="center"/>
            </w:pPr>
            <w:r>
              <w:t>0.00</w:t>
            </w:r>
          </w:p>
        </w:tc>
      </w:tr>
      <w:tr w:rsidR="000D4659" w14:paraId="7AE17342" w14:textId="77777777" w:rsidTr="00053DA8">
        <w:tc>
          <w:tcPr>
            <w:tcW w:w="3775" w:type="dxa"/>
          </w:tcPr>
          <w:p w14:paraId="1A26E7FE" w14:textId="77777777" w:rsidR="000D4659" w:rsidRPr="00B507DD" w:rsidRDefault="000D4659" w:rsidP="00903041">
            <w:pPr>
              <w:pStyle w:val="NoSpacing"/>
            </w:pPr>
            <w:r>
              <w:t>Constant</w:t>
            </w:r>
          </w:p>
        </w:tc>
        <w:tc>
          <w:tcPr>
            <w:tcW w:w="990" w:type="dxa"/>
          </w:tcPr>
          <w:p w14:paraId="619EC17B" w14:textId="77777777" w:rsidR="000D4659" w:rsidRDefault="000D4659" w:rsidP="00903041">
            <w:pPr>
              <w:pStyle w:val="NoSpacing"/>
              <w:jc w:val="center"/>
            </w:pPr>
            <w:r>
              <w:t>2.49</w:t>
            </w:r>
          </w:p>
        </w:tc>
        <w:tc>
          <w:tcPr>
            <w:tcW w:w="1306" w:type="dxa"/>
          </w:tcPr>
          <w:p w14:paraId="22716D18" w14:textId="77777777" w:rsidR="000D4659" w:rsidRDefault="000D4659" w:rsidP="00903041">
            <w:pPr>
              <w:pStyle w:val="NoSpacing"/>
              <w:jc w:val="center"/>
            </w:pPr>
            <w:r>
              <w:t>0.50</w:t>
            </w:r>
          </w:p>
        </w:tc>
        <w:tc>
          <w:tcPr>
            <w:tcW w:w="1124" w:type="dxa"/>
          </w:tcPr>
          <w:p w14:paraId="7472EA49" w14:textId="77777777" w:rsidR="000D4659" w:rsidRDefault="000D4659" w:rsidP="00903041">
            <w:pPr>
              <w:pStyle w:val="NoSpacing"/>
              <w:jc w:val="center"/>
            </w:pPr>
            <w:r>
              <w:t>0.00</w:t>
            </w:r>
          </w:p>
        </w:tc>
        <w:tc>
          <w:tcPr>
            <w:tcW w:w="900" w:type="dxa"/>
          </w:tcPr>
          <w:p w14:paraId="7792F80A" w14:textId="77777777" w:rsidR="000D4659" w:rsidRDefault="000D4659" w:rsidP="00903041">
            <w:pPr>
              <w:pStyle w:val="NoSpacing"/>
              <w:jc w:val="center"/>
            </w:pPr>
            <w:r>
              <w:t>2.66</w:t>
            </w:r>
          </w:p>
        </w:tc>
        <w:tc>
          <w:tcPr>
            <w:tcW w:w="1368" w:type="dxa"/>
          </w:tcPr>
          <w:p w14:paraId="5C428BD8" w14:textId="77777777" w:rsidR="000D4659" w:rsidRDefault="000D4659" w:rsidP="00903041">
            <w:pPr>
              <w:pStyle w:val="NoSpacing"/>
              <w:jc w:val="center"/>
            </w:pPr>
            <w:r>
              <w:t>0.50</w:t>
            </w:r>
          </w:p>
        </w:tc>
        <w:tc>
          <w:tcPr>
            <w:tcW w:w="0" w:type="auto"/>
          </w:tcPr>
          <w:p w14:paraId="7FFBD32D" w14:textId="77777777" w:rsidR="000D4659" w:rsidRDefault="000D4659" w:rsidP="00903041">
            <w:pPr>
              <w:pStyle w:val="NoSpacing"/>
              <w:jc w:val="center"/>
            </w:pPr>
            <w:r>
              <w:t>0.00</w:t>
            </w:r>
          </w:p>
        </w:tc>
      </w:tr>
      <w:tr w:rsidR="000D4659" w14:paraId="401BF941" w14:textId="77777777" w:rsidTr="00053DA8">
        <w:tc>
          <w:tcPr>
            <w:tcW w:w="3775" w:type="dxa"/>
          </w:tcPr>
          <w:p w14:paraId="360FAC61" w14:textId="77777777" w:rsidR="000D4659" w:rsidRDefault="000D4659" w:rsidP="00903041">
            <w:pPr>
              <w:pStyle w:val="NoSpacing"/>
            </w:pPr>
            <w:r>
              <w:t>Pseudo-</w:t>
            </w:r>
            <w:r>
              <w:rPr>
                <w:i/>
                <w:iCs/>
              </w:rPr>
              <w:t>R</w:t>
            </w:r>
            <w:r>
              <w:t>-squared</w:t>
            </w:r>
          </w:p>
        </w:tc>
        <w:tc>
          <w:tcPr>
            <w:tcW w:w="990" w:type="dxa"/>
          </w:tcPr>
          <w:p w14:paraId="1254D364" w14:textId="77777777" w:rsidR="000D4659" w:rsidRDefault="000D4659" w:rsidP="00903041">
            <w:pPr>
              <w:pStyle w:val="NoSpacing"/>
              <w:jc w:val="center"/>
            </w:pPr>
          </w:p>
        </w:tc>
        <w:tc>
          <w:tcPr>
            <w:tcW w:w="1306" w:type="dxa"/>
          </w:tcPr>
          <w:p w14:paraId="5B3E681C" w14:textId="77777777" w:rsidR="000D4659" w:rsidRDefault="000D4659" w:rsidP="00903041">
            <w:pPr>
              <w:pStyle w:val="NoSpacing"/>
              <w:jc w:val="center"/>
            </w:pPr>
            <w:r>
              <w:t>0.52</w:t>
            </w:r>
          </w:p>
        </w:tc>
        <w:tc>
          <w:tcPr>
            <w:tcW w:w="1124" w:type="dxa"/>
          </w:tcPr>
          <w:p w14:paraId="042CF0A3" w14:textId="77777777" w:rsidR="000D4659" w:rsidRDefault="000D4659" w:rsidP="00903041">
            <w:pPr>
              <w:pStyle w:val="NoSpacing"/>
              <w:jc w:val="center"/>
            </w:pPr>
          </w:p>
        </w:tc>
        <w:tc>
          <w:tcPr>
            <w:tcW w:w="900" w:type="dxa"/>
          </w:tcPr>
          <w:p w14:paraId="4B18575C" w14:textId="77777777" w:rsidR="000D4659" w:rsidRDefault="000D4659" w:rsidP="00903041">
            <w:pPr>
              <w:pStyle w:val="NoSpacing"/>
              <w:jc w:val="center"/>
            </w:pPr>
          </w:p>
        </w:tc>
        <w:tc>
          <w:tcPr>
            <w:tcW w:w="1368" w:type="dxa"/>
          </w:tcPr>
          <w:p w14:paraId="7FDC3C76" w14:textId="77777777" w:rsidR="000D4659" w:rsidRDefault="000D4659" w:rsidP="00903041">
            <w:pPr>
              <w:pStyle w:val="NoSpacing"/>
              <w:jc w:val="center"/>
            </w:pPr>
            <w:r>
              <w:t>0.51</w:t>
            </w:r>
          </w:p>
        </w:tc>
        <w:tc>
          <w:tcPr>
            <w:tcW w:w="0" w:type="auto"/>
          </w:tcPr>
          <w:p w14:paraId="3F08651E" w14:textId="77777777" w:rsidR="000D4659" w:rsidRDefault="000D4659" w:rsidP="00903041">
            <w:pPr>
              <w:pStyle w:val="NoSpacing"/>
              <w:jc w:val="center"/>
            </w:pPr>
          </w:p>
        </w:tc>
      </w:tr>
      <w:tr w:rsidR="000D4659" w14:paraId="3DC3E0C4" w14:textId="77777777" w:rsidTr="00053DA8">
        <w:tc>
          <w:tcPr>
            <w:tcW w:w="3775" w:type="dxa"/>
          </w:tcPr>
          <w:p w14:paraId="0C3605CA" w14:textId="77777777" w:rsidR="000D4659" w:rsidRDefault="000D4659" w:rsidP="00903041">
            <w:pPr>
              <w:pStyle w:val="NoSpacing"/>
            </w:pPr>
            <w:r>
              <w:t>Multicollinearity condition number</w:t>
            </w:r>
          </w:p>
        </w:tc>
        <w:tc>
          <w:tcPr>
            <w:tcW w:w="990" w:type="dxa"/>
          </w:tcPr>
          <w:p w14:paraId="0F88BB53" w14:textId="77777777" w:rsidR="000D4659" w:rsidRDefault="000D4659" w:rsidP="00903041">
            <w:pPr>
              <w:pStyle w:val="NoSpacing"/>
              <w:jc w:val="center"/>
            </w:pPr>
          </w:p>
        </w:tc>
        <w:tc>
          <w:tcPr>
            <w:tcW w:w="1306" w:type="dxa"/>
          </w:tcPr>
          <w:p w14:paraId="0B8727B0" w14:textId="77777777" w:rsidR="000D4659" w:rsidRDefault="000D4659" w:rsidP="00903041">
            <w:pPr>
              <w:pStyle w:val="NoSpacing"/>
              <w:jc w:val="center"/>
            </w:pPr>
            <w:r>
              <w:t>9.55</w:t>
            </w:r>
          </w:p>
        </w:tc>
        <w:tc>
          <w:tcPr>
            <w:tcW w:w="1124" w:type="dxa"/>
          </w:tcPr>
          <w:p w14:paraId="5B0A37D1" w14:textId="77777777" w:rsidR="000D4659" w:rsidRDefault="000D4659" w:rsidP="00903041">
            <w:pPr>
              <w:pStyle w:val="NoSpacing"/>
              <w:jc w:val="center"/>
            </w:pPr>
          </w:p>
        </w:tc>
        <w:tc>
          <w:tcPr>
            <w:tcW w:w="900" w:type="dxa"/>
          </w:tcPr>
          <w:p w14:paraId="320C4590" w14:textId="77777777" w:rsidR="000D4659" w:rsidRDefault="000D4659" w:rsidP="00903041">
            <w:pPr>
              <w:pStyle w:val="NoSpacing"/>
              <w:jc w:val="center"/>
            </w:pPr>
          </w:p>
        </w:tc>
        <w:tc>
          <w:tcPr>
            <w:tcW w:w="1368" w:type="dxa"/>
          </w:tcPr>
          <w:p w14:paraId="1BD569B9" w14:textId="77777777" w:rsidR="000D4659" w:rsidRDefault="000D4659" w:rsidP="00903041">
            <w:pPr>
              <w:pStyle w:val="NoSpacing"/>
              <w:jc w:val="center"/>
            </w:pPr>
            <w:r>
              <w:t>9.22</w:t>
            </w:r>
          </w:p>
        </w:tc>
        <w:tc>
          <w:tcPr>
            <w:tcW w:w="0" w:type="auto"/>
          </w:tcPr>
          <w:p w14:paraId="6545B1D3" w14:textId="77777777" w:rsidR="000D4659" w:rsidRDefault="000D4659" w:rsidP="00903041">
            <w:pPr>
              <w:pStyle w:val="NoSpacing"/>
              <w:jc w:val="center"/>
            </w:pPr>
          </w:p>
        </w:tc>
      </w:tr>
      <w:tr w:rsidR="000D4659" w14:paraId="6040BABA" w14:textId="77777777" w:rsidTr="00053DA8">
        <w:tc>
          <w:tcPr>
            <w:tcW w:w="3775" w:type="dxa"/>
          </w:tcPr>
          <w:p w14:paraId="1E92955F" w14:textId="77777777" w:rsidR="000D4659" w:rsidRDefault="000D4659" w:rsidP="00903041">
            <w:pPr>
              <w:pStyle w:val="NoSpacing"/>
            </w:pPr>
            <w:r>
              <w:t>S.E. of Regression</w:t>
            </w:r>
          </w:p>
        </w:tc>
        <w:tc>
          <w:tcPr>
            <w:tcW w:w="990" w:type="dxa"/>
          </w:tcPr>
          <w:p w14:paraId="78793300" w14:textId="77777777" w:rsidR="000D4659" w:rsidRDefault="000D4659" w:rsidP="00903041">
            <w:pPr>
              <w:pStyle w:val="NoSpacing"/>
              <w:jc w:val="center"/>
            </w:pPr>
          </w:p>
        </w:tc>
        <w:tc>
          <w:tcPr>
            <w:tcW w:w="1306" w:type="dxa"/>
          </w:tcPr>
          <w:p w14:paraId="5CA690DE" w14:textId="77777777" w:rsidR="000D4659" w:rsidRDefault="000D4659" w:rsidP="00903041">
            <w:pPr>
              <w:pStyle w:val="NoSpacing"/>
              <w:jc w:val="center"/>
            </w:pPr>
            <w:r>
              <w:t>2.24</w:t>
            </w:r>
          </w:p>
        </w:tc>
        <w:tc>
          <w:tcPr>
            <w:tcW w:w="1124" w:type="dxa"/>
          </w:tcPr>
          <w:p w14:paraId="7D1076E0" w14:textId="77777777" w:rsidR="000D4659" w:rsidRDefault="000D4659" w:rsidP="00903041">
            <w:pPr>
              <w:pStyle w:val="NoSpacing"/>
              <w:jc w:val="center"/>
            </w:pPr>
          </w:p>
        </w:tc>
        <w:tc>
          <w:tcPr>
            <w:tcW w:w="900" w:type="dxa"/>
          </w:tcPr>
          <w:p w14:paraId="7BAD7498" w14:textId="77777777" w:rsidR="000D4659" w:rsidRDefault="000D4659" w:rsidP="00903041">
            <w:pPr>
              <w:pStyle w:val="NoSpacing"/>
              <w:jc w:val="center"/>
            </w:pPr>
          </w:p>
        </w:tc>
        <w:tc>
          <w:tcPr>
            <w:tcW w:w="1368" w:type="dxa"/>
          </w:tcPr>
          <w:p w14:paraId="485EE9EC" w14:textId="77777777" w:rsidR="000D4659" w:rsidRDefault="000D4659" w:rsidP="00903041">
            <w:pPr>
              <w:pStyle w:val="NoSpacing"/>
              <w:jc w:val="center"/>
            </w:pPr>
            <w:r>
              <w:t>2.25</w:t>
            </w:r>
          </w:p>
        </w:tc>
        <w:tc>
          <w:tcPr>
            <w:tcW w:w="0" w:type="auto"/>
          </w:tcPr>
          <w:p w14:paraId="7C40E290" w14:textId="77777777" w:rsidR="000D4659" w:rsidRDefault="000D4659" w:rsidP="00903041">
            <w:pPr>
              <w:pStyle w:val="NoSpacing"/>
              <w:jc w:val="center"/>
            </w:pPr>
          </w:p>
        </w:tc>
      </w:tr>
    </w:tbl>
    <w:p w14:paraId="5A992AD5" w14:textId="77777777" w:rsidR="004B404C" w:rsidRDefault="004B404C" w:rsidP="00A47C56">
      <w:pPr>
        <w:rPr>
          <w:rFonts w:cstheme="minorHAnsi"/>
          <w:sz w:val="24"/>
          <w:szCs w:val="24"/>
        </w:rPr>
      </w:pPr>
    </w:p>
    <w:p w14:paraId="54AB9E6A" w14:textId="52A14660" w:rsidR="00A47C56" w:rsidRPr="00A47C56" w:rsidRDefault="00A47C56" w:rsidP="00A47C56">
      <w:pPr>
        <w:rPr>
          <w:rFonts w:cstheme="minorHAnsi"/>
          <w:sz w:val="24"/>
          <w:szCs w:val="24"/>
        </w:rPr>
      </w:pPr>
      <w:r w:rsidRPr="00A47C56">
        <w:rPr>
          <w:rFonts w:cstheme="minorHAnsi"/>
          <w:sz w:val="24"/>
          <w:szCs w:val="24"/>
        </w:rPr>
        <w:t>As with thefts from vehicles, we also estimated baseline effects of social disorganization on vandalism of property. Model 3 shows social disorganization was positively and significantly associated with vandalism of property density (</w:t>
      </w:r>
      <w:r w:rsidRPr="00A47C56">
        <w:rPr>
          <w:rFonts w:cstheme="minorHAnsi"/>
          <w:i/>
          <w:iCs/>
          <w:sz w:val="24"/>
          <w:szCs w:val="24"/>
        </w:rPr>
        <w:t>b</w:t>
      </w:r>
      <w:r w:rsidRPr="00A47C56">
        <w:rPr>
          <w:rFonts w:cstheme="minorHAnsi"/>
          <w:sz w:val="24"/>
          <w:szCs w:val="24"/>
        </w:rPr>
        <w:t xml:space="preserve"> = 0.28, </w:t>
      </w:r>
      <w:r w:rsidRPr="00A47C56">
        <w:rPr>
          <w:rFonts w:cstheme="minorHAnsi"/>
          <w:i/>
          <w:iCs/>
          <w:sz w:val="24"/>
          <w:szCs w:val="24"/>
        </w:rPr>
        <w:t>p</w:t>
      </w:r>
      <w:r w:rsidRPr="00A47C56">
        <w:rPr>
          <w:rFonts w:cstheme="minorHAnsi"/>
          <w:sz w:val="24"/>
          <w:szCs w:val="24"/>
        </w:rPr>
        <w:t> = 0.00), net of on-premise alcohol outlet density. Model 4 shows a positive and significant association between social disorganization and vandalism of property density (</w:t>
      </w:r>
      <w:r w:rsidRPr="00A47C56">
        <w:rPr>
          <w:rFonts w:cstheme="minorHAnsi"/>
          <w:i/>
          <w:iCs/>
          <w:sz w:val="24"/>
          <w:szCs w:val="24"/>
        </w:rPr>
        <w:t>b</w:t>
      </w:r>
      <w:r w:rsidRPr="00A47C56">
        <w:rPr>
          <w:rFonts w:cstheme="minorHAnsi"/>
          <w:sz w:val="24"/>
          <w:szCs w:val="24"/>
        </w:rPr>
        <w:t xml:space="preserve"> = 0.26, </w:t>
      </w:r>
      <w:r w:rsidRPr="00A47C56">
        <w:rPr>
          <w:rFonts w:cstheme="minorHAnsi"/>
          <w:i/>
          <w:iCs/>
          <w:sz w:val="24"/>
          <w:szCs w:val="24"/>
        </w:rPr>
        <w:t>p</w:t>
      </w:r>
      <w:r w:rsidRPr="00A47C56">
        <w:rPr>
          <w:rFonts w:cstheme="minorHAnsi"/>
          <w:sz w:val="24"/>
          <w:szCs w:val="24"/>
        </w:rPr>
        <w:t> = 0.00), net of off-premise outlet density. In terms of the overall model fit using the pseudo-</w:t>
      </w:r>
      <w:r w:rsidRPr="00A47C56">
        <w:rPr>
          <w:rFonts w:cstheme="minorHAnsi"/>
          <w:i/>
          <w:iCs/>
          <w:sz w:val="24"/>
          <w:szCs w:val="24"/>
        </w:rPr>
        <w:t>R</w:t>
      </w:r>
      <w:r w:rsidRPr="00A47C56">
        <w:rPr>
          <w:rFonts w:cstheme="minorHAnsi"/>
          <w:sz w:val="24"/>
          <w:szCs w:val="24"/>
        </w:rPr>
        <w:t xml:space="preserve">-square metric, the models shown in Table </w:t>
      </w:r>
      <w:r w:rsidR="009B4FC7">
        <w:rPr>
          <w:rFonts w:cstheme="minorHAnsi"/>
          <w:sz w:val="24"/>
          <w:szCs w:val="24"/>
        </w:rPr>
        <w:t xml:space="preserve">3 </w:t>
      </w:r>
      <w:r w:rsidRPr="00A47C56">
        <w:rPr>
          <w:rFonts w:cstheme="minorHAnsi"/>
          <w:sz w:val="24"/>
          <w:szCs w:val="24"/>
        </w:rPr>
        <w:t>explained 51–52% percent of the variance in vandalism of property density. The spatial lag term (</w:t>
      </w:r>
      <w:r w:rsidRPr="00A47C56">
        <w:rPr>
          <w:rFonts w:cstheme="minorHAnsi"/>
          <w:i/>
          <w:iCs/>
          <w:sz w:val="24"/>
          <w:szCs w:val="24"/>
        </w:rPr>
        <w:t>Rho</w:t>
      </w:r>
      <w:r w:rsidRPr="00A47C56">
        <w:rPr>
          <w:rFonts w:cstheme="minorHAnsi"/>
          <w:sz w:val="24"/>
          <w:szCs w:val="24"/>
        </w:rPr>
        <w:t>) for vandalism density was positive and a significant contributor to the models. The value of the multicollinearity condition number for Models 3 and 4 suggested multicollinearity was not present in the models.</w:t>
      </w:r>
    </w:p>
    <w:p w14:paraId="56E91F59" w14:textId="77777777" w:rsidR="00A47C56" w:rsidRPr="00A47C56" w:rsidRDefault="00A47C56" w:rsidP="00A47C56">
      <w:pPr>
        <w:rPr>
          <w:rFonts w:cstheme="minorHAnsi"/>
          <w:sz w:val="24"/>
          <w:szCs w:val="24"/>
        </w:rPr>
      </w:pPr>
      <w:r w:rsidRPr="00A47C56">
        <w:rPr>
          <w:rFonts w:cstheme="minorHAnsi"/>
          <w:sz w:val="24"/>
          <w:szCs w:val="24"/>
        </w:rPr>
        <w:t>To summarize the main effects, on-premise alcohol outlet density was positively and significantly associated with density of thefts from vehicles. Results suggested a possible marginal association between off-premise alcohol outlet density and thefts from vehicles density. Additionally, both on- and off-premise alcohol outlet densities were associated with vandalism of property. Our results also showed social disorganization was associated with vandalism of property, but not with thefts from vehicles, net of both on- and off-premise alcohol outlet densities.</w:t>
      </w:r>
    </w:p>
    <w:p w14:paraId="22FEE73B" w14:textId="64197646" w:rsidR="00A47C56" w:rsidRPr="00A47C56" w:rsidRDefault="00A47C56" w:rsidP="00A47C56">
      <w:pPr>
        <w:rPr>
          <w:rFonts w:cstheme="minorHAnsi"/>
          <w:sz w:val="24"/>
          <w:szCs w:val="24"/>
        </w:rPr>
      </w:pPr>
      <w:r w:rsidRPr="00A47C56">
        <w:rPr>
          <w:rFonts w:cstheme="minorHAnsi"/>
          <w:sz w:val="24"/>
          <w:szCs w:val="24"/>
        </w:rPr>
        <w:t xml:space="preserve">To test for the possibility that social disorganization moderates the impact of alcohol outlet density on non-violent crimes, we calculated two interaction terms: social disorganization index by on- and by off-premise alcohol outlet densities. Table </w:t>
      </w:r>
      <w:r w:rsidR="003F2355">
        <w:rPr>
          <w:rFonts w:cstheme="minorHAnsi"/>
          <w:sz w:val="24"/>
          <w:szCs w:val="24"/>
        </w:rPr>
        <w:t xml:space="preserve">4 </w:t>
      </w:r>
      <w:r w:rsidRPr="00A47C56">
        <w:rPr>
          <w:rFonts w:cstheme="minorHAnsi"/>
          <w:sz w:val="24"/>
          <w:szCs w:val="24"/>
        </w:rPr>
        <w:t>shows the results when thefts from vehicles density were regressed on social disorganization interaction terms, alcohol outlet types, and control variables for Milwaukee census block groups. The results shown in Models 5 and 6 suggest social disorganization did not moderate the relationship between on-premise outlet density and thefts from vehicles density (</w:t>
      </w:r>
      <w:r w:rsidRPr="00A47C56">
        <w:rPr>
          <w:rFonts w:cstheme="minorHAnsi"/>
          <w:i/>
          <w:iCs/>
          <w:sz w:val="24"/>
          <w:szCs w:val="24"/>
        </w:rPr>
        <w:t>b</w:t>
      </w:r>
      <w:r w:rsidRPr="00A47C56">
        <w:rPr>
          <w:rFonts w:cstheme="minorHAnsi"/>
          <w:sz w:val="24"/>
          <w:szCs w:val="24"/>
        </w:rPr>
        <w:t xml:space="preserve"> = −0.02, </w:t>
      </w:r>
      <w:r w:rsidRPr="00A47C56">
        <w:rPr>
          <w:rFonts w:cstheme="minorHAnsi"/>
          <w:i/>
          <w:iCs/>
          <w:sz w:val="24"/>
          <w:szCs w:val="24"/>
        </w:rPr>
        <w:t>p</w:t>
      </w:r>
      <w:r w:rsidRPr="00A47C56">
        <w:rPr>
          <w:rFonts w:cstheme="minorHAnsi"/>
          <w:sz w:val="24"/>
          <w:szCs w:val="24"/>
        </w:rPr>
        <w:t> = 0.17) and between off-premise outlet density and thefts from vehicles density (</w:t>
      </w:r>
      <w:r w:rsidRPr="00A47C56">
        <w:rPr>
          <w:rFonts w:cstheme="minorHAnsi"/>
          <w:i/>
          <w:iCs/>
          <w:sz w:val="24"/>
          <w:szCs w:val="24"/>
        </w:rPr>
        <w:t>b</w:t>
      </w:r>
      <w:r w:rsidRPr="00A47C56">
        <w:rPr>
          <w:rFonts w:cstheme="minorHAnsi"/>
          <w:sz w:val="24"/>
          <w:szCs w:val="24"/>
        </w:rPr>
        <w:t xml:space="preserve"> = 0.01, </w:t>
      </w:r>
      <w:r w:rsidRPr="00A47C56">
        <w:rPr>
          <w:rFonts w:cstheme="minorHAnsi"/>
          <w:i/>
          <w:iCs/>
          <w:sz w:val="24"/>
          <w:szCs w:val="24"/>
        </w:rPr>
        <w:t>p</w:t>
      </w:r>
      <w:r w:rsidRPr="00A47C56">
        <w:rPr>
          <w:rFonts w:cstheme="minorHAnsi"/>
          <w:sz w:val="24"/>
          <w:szCs w:val="24"/>
        </w:rPr>
        <w:t xml:space="preserve"> = 0.79). The models estimated in Table </w:t>
      </w:r>
      <w:r w:rsidR="003F2355">
        <w:rPr>
          <w:rFonts w:cstheme="minorHAnsi"/>
          <w:sz w:val="24"/>
          <w:szCs w:val="24"/>
        </w:rPr>
        <w:t xml:space="preserve">4 </w:t>
      </w:r>
      <w:r w:rsidRPr="00A47C56">
        <w:rPr>
          <w:rFonts w:cstheme="minorHAnsi"/>
          <w:sz w:val="24"/>
          <w:szCs w:val="24"/>
        </w:rPr>
        <w:t>explained 38% of the variance in thefts from vehicles density. The spatial lag term (</w:t>
      </w:r>
      <w:r w:rsidRPr="00A47C56">
        <w:rPr>
          <w:rFonts w:cstheme="minorHAnsi"/>
          <w:i/>
          <w:iCs/>
          <w:sz w:val="24"/>
          <w:szCs w:val="24"/>
        </w:rPr>
        <w:t>Rho</w:t>
      </w:r>
      <w:r w:rsidRPr="00A47C56">
        <w:rPr>
          <w:rFonts w:cstheme="minorHAnsi"/>
          <w:sz w:val="24"/>
          <w:szCs w:val="24"/>
        </w:rPr>
        <w:t>) for thefts from vehicle density remained a significant contributor to the models, and multicollinearity was not evident in the models.</w:t>
      </w:r>
    </w:p>
    <w:p w14:paraId="27F9819A" w14:textId="77777777" w:rsidR="00A47C56" w:rsidRPr="00053DA8" w:rsidRDefault="00A47C56" w:rsidP="003F2355">
      <w:pPr>
        <w:pStyle w:val="NoSpacing"/>
        <w:rPr>
          <w:sz w:val="24"/>
          <w:szCs w:val="24"/>
        </w:rPr>
      </w:pPr>
      <w:r w:rsidRPr="00053DA8">
        <w:rPr>
          <w:sz w:val="24"/>
          <w:szCs w:val="24"/>
        </w:rPr>
        <w:t>Table 4. Spatial lag regression for thefts from vehicles density regressed on social disorganization interaction terms, alcohol outlet types, and control variables for Milwaukee (</w:t>
      </w:r>
      <w:r w:rsidRPr="00053DA8">
        <w:rPr>
          <w:i/>
          <w:iCs/>
          <w:sz w:val="24"/>
          <w:szCs w:val="24"/>
        </w:rPr>
        <w:t>N</w:t>
      </w:r>
      <w:r w:rsidRPr="00053DA8">
        <w:rPr>
          <w:sz w:val="24"/>
          <w:szCs w:val="24"/>
        </w:rPr>
        <w:t> = 572) block groups.</w:t>
      </w:r>
    </w:p>
    <w:tbl>
      <w:tblPr>
        <w:tblStyle w:val="TableGrid"/>
        <w:tblW w:w="0" w:type="auto"/>
        <w:tblLook w:val="04A0" w:firstRow="1" w:lastRow="0" w:firstColumn="1" w:lastColumn="0" w:noHBand="0" w:noVBand="1"/>
      </w:tblPr>
      <w:tblGrid>
        <w:gridCol w:w="4045"/>
        <w:gridCol w:w="1260"/>
        <w:gridCol w:w="1350"/>
        <w:gridCol w:w="720"/>
        <w:gridCol w:w="720"/>
        <w:gridCol w:w="1368"/>
        <w:gridCol w:w="607"/>
      </w:tblGrid>
      <w:tr w:rsidR="000D4659" w14:paraId="3967FA39" w14:textId="77777777" w:rsidTr="00053DA8">
        <w:tc>
          <w:tcPr>
            <w:tcW w:w="4045" w:type="dxa"/>
          </w:tcPr>
          <w:p w14:paraId="2E485AB2" w14:textId="77777777" w:rsidR="000D4659" w:rsidRDefault="000D4659" w:rsidP="00903041">
            <w:pPr>
              <w:pStyle w:val="NoSpacing"/>
            </w:pPr>
          </w:p>
        </w:tc>
        <w:tc>
          <w:tcPr>
            <w:tcW w:w="1260" w:type="dxa"/>
          </w:tcPr>
          <w:p w14:paraId="28CC3270" w14:textId="77777777" w:rsidR="000D4659" w:rsidRDefault="000D4659" w:rsidP="00903041">
            <w:pPr>
              <w:pStyle w:val="NoSpacing"/>
              <w:jc w:val="center"/>
            </w:pPr>
          </w:p>
        </w:tc>
        <w:tc>
          <w:tcPr>
            <w:tcW w:w="1350" w:type="dxa"/>
          </w:tcPr>
          <w:p w14:paraId="3CB7A903" w14:textId="77777777" w:rsidR="000D4659" w:rsidRDefault="000D4659" w:rsidP="00903041">
            <w:pPr>
              <w:pStyle w:val="NoSpacing"/>
              <w:jc w:val="center"/>
            </w:pPr>
            <w:r>
              <w:t>Model 3: On-premise</w:t>
            </w:r>
          </w:p>
        </w:tc>
        <w:tc>
          <w:tcPr>
            <w:tcW w:w="720" w:type="dxa"/>
          </w:tcPr>
          <w:p w14:paraId="6CDBA603" w14:textId="77777777" w:rsidR="000D4659" w:rsidRDefault="000D4659" w:rsidP="00903041">
            <w:pPr>
              <w:pStyle w:val="NoSpacing"/>
              <w:jc w:val="center"/>
            </w:pPr>
          </w:p>
        </w:tc>
        <w:tc>
          <w:tcPr>
            <w:tcW w:w="720" w:type="dxa"/>
          </w:tcPr>
          <w:p w14:paraId="417CBDB2" w14:textId="77777777" w:rsidR="000D4659" w:rsidRDefault="000D4659" w:rsidP="00903041">
            <w:pPr>
              <w:pStyle w:val="NoSpacing"/>
              <w:jc w:val="center"/>
            </w:pPr>
          </w:p>
        </w:tc>
        <w:tc>
          <w:tcPr>
            <w:tcW w:w="1368" w:type="dxa"/>
          </w:tcPr>
          <w:p w14:paraId="69863233" w14:textId="77777777" w:rsidR="000D4659" w:rsidRDefault="000D4659" w:rsidP="00903041">
            <w:pPr>
              <w:pStyle w:val="NoSpacing"/>
              <w:jc w:val="center"/>
            </w:pPr>
            <w:r>
              <w:t>Model 4: Off-premise</w:t>
            </w:r>
          </w:p>
        </w:tc>
        <w:tc>
          <w:tcPr>
            <w:tcW w:w="0" w:type="auto"/>
          </w:tcPr>
          <w:p w14:paraId="5C40B4E1" w14:textId="77777777" w:rsidR="000D4659" w:rsidRDefault="000D4659" w:rsidP="00903041">
            <w:pPr>
              <w:pStyle w:val="NoSpacing"/>
              <w:jc w:val="center"/>
            </w:pPr>
          </w:p>
        </w:tc>
      </w:tr>
      <w:tr w:rsidR="000D4659" w14:paraId="7FD66CB4" w14:textId="77777777" w:rsidTr="00053DA8">
        <w:tc>
          <w:tcPr>
            <w:tcW w:w="4045" w:type="dxa"/>
          </w:tcPr>
          <w:p w14:paraId="64F7386B" w14:textId="77777777" w:rsidR="000D4659" w:rsidRDefault="000D4659" w:rsidP="00903041">
            <w:pPr>
              <w:pStyle w:val="NoSpacing"/>
            </w:pPr>
          </w:p>
        </w:tc>
        <w:tc>
          <w:tcPr>
            <w:tcW w:w="1260" w:type="dxa"/>
          </w:tcPr>
          <w:p w14:paraId="7B3C474B" w14:textId="77777777" w:rsidR="000D4659" w:rsidRDefault="000D4659" w:rsidP="00903041">
            <w:pPr>
              <w:pStyle w:val="NoSpacing"/>
              <w:jc w:val="center"/>
            </w:pPr>
            <w:r>
              <w:t>b</w:t>
            </w:r>
          </w:p>
        </w:tc>
        <w:tc>
          <w:tcPr>
            <w:tcW w:w="1350" w:type="dxa"/>
          </w:tcPr>
          <w:p w14:paraId="52881410" w14:textId="77777777" w:rsidR="000D4659" w:rsidRDefault="000D4659" w:rsidP="00903041">
            <w:pPr>
              <w:pStyle w:val="NoSpacing"/>
              <w:jc w:val="center"/>
            </w:pPr>
            <w:r>
              <w:t>se</w:t>
            </w:r>
          </w:p>
        </w:tc>
        <w:tc>
          <w:tcPr>
            <w:tcW w:w="720" w:type="dxa"/>
          </w:tcPr>
          <w:p w14:paraId="4976818E" w14:textId="77777777" w:rsidR="000D4659" w:rsidRPr="00F935F6" w:rsidRDefault="000D4659" w:rsidP="00903041">
            <w:pPr>
              <w:pStyle w:val="NoSpacing"/>
              <w:jc w:val="center"/>
              <w:rPr>
                <w:i/>
                <w:iCs/>
              </w:rPr>
            </w:pPr>
            <w:r>
              <w:rPr>
                <w:i/>
                <w:iCs/>
              </w:rPr>
              <w:t>p</w:t>
            </w:r>
          </w:p>
        </w:tc>
        <w:tc>
          <w:tcPr>
            <w:tcW w:w="720" w:type="dxa"/>
          </w:tcPr>
          <w:p w14:paraId="6254F2F6" w14:textId="77777777" w:rsidR="000D4659" w:rsidRDefault="000D4659" w:rsidP="00903041">
            <w:pPr>
              <w:pStyle w:val="NoSpacing"/>
              <w:jc w:val="center"/>
            </w:pPr>
            <w:r>
              <w:t>b</w:t>
            </w:r>
          </w:p>
        </w:tc>
        <w:tc>
          <w:tcPr>
            <w:tcW w:w="1368" w:type="dxa"/>
          </w:tcPr>
          <w:p w14:paraId="6FF9A10E" w14:textId="77777777" w:rsidR="000D4659" w:rsidRDefault="000D4659" w:rsidP="00903041">
            <w:pPr>
              <w:pStyle w:val="NoSpacing"/>
              <w:jc w:val="center"/>
            </w:pPr>
            <w:r>
              <w:t>Se</w:t>
            </w:r>
          </w:p>
        </w:tc>
        <w:tc>
          <w:tcPr>
            <w:tcW w:w="0" w:type="auto"/>
          </w:tcPr>
          <w:p w14:paraId="56A4802F" w14:textId="77777777" w:rsidR="000D4659" w:rsidRPr="00F935F6" w:rsidRDefault="000D4659" w:rsidP="00903041">
            <w:pPr>
              <w:pStyle w:val="NoSpacing"/>
              <w:jc w:val="center"/>
              <w:rPr>
                <w:i/>
                <w:iCs/>
              </w:rPr>
            </w:pPr>
            <w:r>
              <w:rPr>
                <w:i/>
                <w:iCs/>
              </w:rPr>
              <w:t>p</w:t>
            </w:r>
          </w:p>
        </w:tc>
      </w:tr>
      <w:tr w:rsidR="000D4659" w14:paraId="2CB0F64D" w14:textId="77777777" w:rsidTr="00053DA8">
        <w:tc>
          <w:tcPr>
            <w:tcW w:w="4045" w:type="dxa"/>
          </w:tcPr>
          <w:p w14:paraId="6015293A" w14:textId="00194755" w:rsidR="000D4659" w:rsidRPr="00B507DD" w:rsidRDefault="00D44B7E" w:rsidP="00903041">
            <w:pPr>
              <w:pStyle w:val="NoSpacing"/>
            </w:pPr>
            <w:r>
              <w:t>On x Social disorganization</w:t>
            </w:r>
          </w:p>
        </w:tc>
        <w:tc>
          <w:tcPr>
            <w:tcW w:w="1260" w:type="dxa"/>
          </w:tcPr>
          <w:p w14:paraId="26DB8F62" w14:textId="3C39B927" w:rsidR="000D4659" w:rsidRDefault="000A2A5F" w:rsidP="00903041">
            <w:pPr>
              <w:pStyle w:val="NoSpacing"/>
              <w:jc w:val="center"/>
            </w:pPr>
            <w:r>
              <w:t>-0.02</w:t>
            </w:r>
          </w:p>
        </w:tc>
        <w:tc>
          <w:tcPr>
            <w:tcW w:w="1350" w:type="dxa"/>
          </w:tcPr>
          <w:p w14:paraId="50185900" w14:textId="203BCCF2" w:rsidR="000D4659" w:rsidRDefault="000A2A5F" w:rsidP="00903041">
            <w:pPr>
              <w:pStyle w:val="NoSpacing"/>
              <w:jc w:val="center"/>
            </w:pPr>
            <w:r>
              <w:t>0.01</w:t>
            </w:r>
          </w:p>
        </w:tc>
        <w:tc>
          <w:tcPr>
            <w:tcW w:w="720" w:type="dxa"/>
          </w:tcPr>
          <w:p w14:paraId="1A230851" w14:textId="0FF5E390" w:rsidR="000D4659" w:rsidRDefault="000A2A5F" w:rsidP="00903041">
            <w:pPr>
              <w:pStyle w:val="NoSpacing"/>
            </w:pPr>
            <w:r>
              <w:t>0.17</w:t>
            </w:r>
          </w:p>
        </w:tc>
        <w:tc>
          <w:tcPr>
            <w:tcW w:w="720" w:type="dxa"/>
          </w:tcPr>
          <w:p w14:paraId="4D02C1E6" w14:textId="77777777" w:rsidR="000D4659" w:rsidRDefault="000D4659" w:rsidP="00903041">
            <w:pPr>
              <w:pStyle w:val="NoSpacing"/>
              <w:jc w:val="center"/>
            </w:pPr>
            <w:r>
              <w:t>-</w:t>
            </w:r>
          </w:p>
        </w:tc>
        <w:tc>
          <w:tcPr>
            <w:tcW w:w="1368" w:type="dxa"/>
          </w:tcPr>
          <w:p w14:paraId="7DD5706A" w14:textId="77777777" w:rsidR="000D4659" w:rsidRDefault="000D4659" w:rsidP="00903041">
            <w:pPr>
              <w:pStyle w:val="NoSpacing"/>
              <w:jc w:val="center"/>
            </w:pPr>
            <w:r>
              <w:t>-</w:t>
            </w:r>
          </w:p>
        </w:tc>
        <w:tc>
          <w:tcPr>
            <w:tcW w:w="0" w:type="auto"/>
          </w:tcPr>
          <w:p w14:paraId="004686E0" w14:textId="77777777" w:rsidR="000D4659" w:rsidRDefault="000D4659" w:rsidP="00903041">
            <w:pPr>
              <w:pStyle w:val="NoSpacing"/>
              <w:jc w:val="center"/>
            </w:pPr>
            <w:r>
              <w:t>-</w:t>
            </w:r>
          </w:p>
        </w:tc>
      </w:tr>
      <w:tr w:rsidR="000D4659" w14:paraId="4BD991FA" w14:textId="77777777" w:rsidTr="00053DA8">
        <w:tc>
          <w:tcPr>
            <w:tcW w:w="4045" w:type="dxa"/>
          </w:tcPr>
          <w:p w14:paraId="1BE5A0EC" w14:textId="70F2B126" w:rsidR="000D4659" w:rsidRDefault="00D44B7E" w:rsidP="00903041">
            <w:pPr>
              <w:pStyle w:val="NoSpacing"/>
            </w:pPr>
            <w:r>
              <w:t>Off x Social disorganization</w:t>
            </w:r>
          </w:p>
        </w:tc>
        <w:tc>
          <w:tcPr>
            <w:tcW w:w="1260" w:type="dxa"/>
          </w:tcPr>
          <w:p w14:paraId="535B4165" w14:textId="77777777" w:rsidR="000D4659" w:rsidRDefault="000D4659" w:rsidP="00903041">
            <w:pPr>
              <w:pStyle w:val="NoSpacing"/>
              <w:jc w:val="center"/>
            </w:pPr>
            <w:r>
              <w:t>-</w:t>
            </w:r>
          </w:p>
        </w:tc>
        <w:tc>
          <w:tcPr>
            <w:tcW w:w="1350" w:type="dxa"/>
          </w:tcPr>
          <w:p w14:paraId="6EE89A5A" w14:textId="77777777" w:rsidR="000D4659" w:rsidRDefault="000D4659" w:rsidP="00903041">
            <w:pPr>
              <w:pStyle w:val="NoSpacing"/>
              <w:jc w:val="center"/>
            </w:pPr>
            <w:r>
              <w:t>-</w:t>
            </w:r>
          </w:p>
        </w:tc>
        <w:tc>
          <w:tcPr>
            <w:tcW w:w="720" w:type="dxa"/>
          </w:tcPr>
          <w:p w14:paraId="6C7666A7" w14:textId="77777777" w:rsidR="000D4659" w:rsidRDefault="000D4659" w:rsidP="00903041">
            <w:pPr>
              <w:pStyle w:val="NoSpacing"/>
              <w:jc w:val="center"/>
            </w:pPr>
            <w:r>
              <w:t>-</w:t>
            </w:r>
          </w:p>
        </w:tc>
        <w:tc>
          <w:tcPr>
            <w:tcW w:w="720" w:type="dxa"/>
          </w:tcPr>
          <w:p w14:paraId="154D0D88" w14:textId="5F6A295D" w:rsidR="000D4659" w:rsidRDefault="000A2A5F" w:rsidP="00903041">
            <w:pPr>
              <w:pStyle w:val="NoSpacing"/>
              <w:jc w:val="center"/>
            </w:pPr>
            <w:r>
              <w:t>0.01</w:t>
            </w:r>
          </w:p>
        </w:tc>
        <w:tc>
          <w:tcPr>
            <w:tcW w:w="1368" w:type="dxa"/>
          </w:tcPr>
          <w:p w14:paraId="480CCD6F" w14:textId="51455E41" w:rsidR="000D4659" w:rsidRDefault="000A2A5F" w:rsidP="00903041">
            <w:pPr>
              <w:pStyle w:val="NoSpacing"/>
              <w:jc w:val="center"/>
            </w:pPr>
            <w:r>
              <w:t>0.02</w:t>
            </w:r>
          </w:p>
        </w:tc>
        <w:tc>
          <w:tcPr>
            <w:tcW w:w="0" w:type="auto"/>
          </w:tcPr>
          <w:p w14:paraId="2E31E98D" w14:textId="649A7FDC" w:rsidR="000D4659" w:rsidRDefault="000A2A5F" w:rsidP="00903041">
            <w:pPr>
              <w:pStyle w:val="NoSpacing"/>
              <w:jc w:val="center"/>
            </w:pPr>
            <w:r>
              <w:t>0.79</w:t>
            </w:r>
          </w:p>
        </w:tc>
      </w:tr>
      <w:tr w:rsidR="000D4659" w14:paraId="3AB36F7A" w14:textId="77777777" w:rsidTr="00053DA8">
        <w:tc>
          <w:tcPr>
            <w:tcW w:w="4045" w:type="dxa"/>
          </w:tcPr>
          <w:p w14:paraId="74C1EFCB" w14:textId="77777777" w:rsidR="000D4659" w:rsidRDefault="000D4659" w:rsidP="00903041">
            <w:pPr>
              <w:pStyle w:val="NoSpacing"/>
            </w:pPr>
            <w:r>
              <w:t>Social disorganization</w:t>
            </w:r>
          </w:p>
        </w:tc>
        <w:tc>
          <w:tcPr>
            <w:tcW w:w="1260" w:type="dxa"/>
          </w:tcPr>
          <w:p w14:paraId="4F1945FE" w14:textId="6927D71C" w:rsidR="000D4659" w:rsidRDefault="00CC0B6A" w:rsidP="00903041">
            <w:pPr>
              <w:pStyle w:val="NoSpacing"/>
              <w:jc w:val="center"/>
            </w:pPr>
            <w:r>
              <w:t>0.07</w:t>
            </w:r>
          </w:p>
        </w:tc>
        <w:tc>
          <w:tcPr>
            <w:tcW w:w="1350" w:type="dxa"/>
          </w:tcPr>
          <w:p w14:paraId="179EF5DF" w14:textId="5BBFDB99" w:rsidR="000D4659" w:rsidRDefault="00CC0B6A" w:rsidP="00903041">
            <w:pPr>
              <w:pStyle w:val="NoSpacing"/>
              <w:jc w:val="center"/>
            </w:pPr>
            <w:r>
              <w:t>0.05</w:t>
            </w:r>
          </w:p>
        </w:tc>
        <w:tc>
          <w:tcPr>
            <w:tcW w:w="720" w:type="dxa"/>
          </w:tcPr>
          <w:p w14:paraId="484B2242" w14:textId="00D2F783" w:rsidR="000D4659" w:rsidRDefault="00CC0B6A" w:rsidP="00903041">
            <w:pPr>
              <w:pStyle w:val="NoSpacing"/>
              <w:jc w:val="center"/>
            </w:pPr>
            <w:r>
              <w:t>0.18</w:t>
            </w:r>
          </w:p>
        </w:tc>
        <w:tc>
          <w:tcPr>
            <w:tcW w:w="720" w:type="dxa"/>
          </w:tcPr>
          <w:p w14:paraId="056E2B4D" w14:textId="2ECC4C05" w:rsidR="000D4659" w:rsidRDefault="00CC0B6A" w:rsidP="00903041">
            <w:pPr>
              <w:pStyle w:val="NoSpacing"/>
              <w:jc w:val="center"/>
            </w:pPr>
            <w:r>
              <w:t>0.03</w:t>
            </w:r>
          </w:p>
        </w:tc>
        <w:tc>
          <w:tcPr>
            <w:tcW w:w="1368" w:type="dxa"/>
          </w:tcPr>
          <w:p w14:paraId="6E7FDCF8" w14:textId="33AFBCC9" w:rsidR="000D4659" w:rsidRDefault="00CC0B6A" w:rsidP="00903041">
            <w:pPr>
              <w:pStyle w:val="NoSpacing"/>
              <w:jc w:val="center"/>
            </w:pPr>
            <w:r>
              <w:t>0.05</w:t>
            </w:r>
          </w:p>
        </w:tc>
        <w:tc>
          <w:tcPr>
            <w:tcW w:w="0" w:type="auto"/>
          </w:tcPr>
          <w:p w14:paraId="3A4D188B" w14:textId="045B9824" w:rsidR="000D4659" w:rsidRDefault="00CC0B6A" w:rsidP="00903041">
            <w:pPr>
              <w:pStyle w:val="NoSpacing"/>
              <w:jc w:val="center"/>
            </w:pPr>
            <w:r>
              <w:t>0.62</w:t>
            </w:r>
          </w:p>
        </w:tc>
      </w:tr>
      <w:tr w:rsidR="000D4659" w14:paraId="5EA3E295" w14:textId="77777777" w:rsidTr="00053DA8">
        <w:tc>
          <w:tcPr>
            <w:tcW w:w="4045" w:type="dxa"/>
          </w:tcPr>
          <w:p w14:paraId="10C87324" w14:textId="1ABE2586" w:rsidR="000D4659" w:rsidRDefault="00E17219" w:rsidP="00903041">
            <w:pPr>
              <w:pStyle w:val="NoSpacing"/>
            </w:pPr>
            <w:r>
              <w:t>On-premise density</w:t>
            </w:r>
          </w:p>
        </w:tc>
        <w:tc>
          <w:tcPr>
            <w:tcW w:w="1260" w:type="dxa"/>
          </w:tcPr>
          <w:p w14:paraId="74F5DB0E" w14:textId="5C813717" w:rsidR="000D4659" w:rsidRDefault="00CC0B6A" w:rsidP="00903041">
            <w:pPr>
              <w:pStyle w:val="NoSpacing"/>
              <w:jc w:val="center"/>
            </w:pPr>
            <w:r>
              <w:t>0.26</w:t>
            </w:r>
          </w:p>
        </w:tc>
        <w:tc>
          <w:tcPr>
            <w:tcW w:w="1350" w:type="dxa"/>
          </w:tcPr>
          <w:p w14:paraId="16E1A405" w14:textId="29C8F707" w:rsidR="000D4659" w:rsidRDefault="00CC0B6A" w:rsidP="00903041">
            <w:pPr>
              <w:pStyle w:val="NoSpacing"/>
              <w:jc w:val="center"/>
            </w:pPr>
            <w:r>
              <w:t>0.04</w:t>
            </w:r>
          </w:p>
        </w:tc>
        <w:tc>
          <w:tcPr>
            <w:tcW w:w="720" w:type="dxa"/>
          </w:tcPr>
          <w:p w14:paraId="695E1813" w14:textId="43A40EF5" w:rsidR="000D4659" w:rsidRDefault="00CC0B6A" w:rsidP="00903041">
            <w:pPr>
              <w:pStyle w:val="NoSpacing"/>
              <w:jc w:val="center"/>
            </w:pPr>
            <w:r>
              <w:t>0.00</w:t>
            </w:r>
          </w:p>
        </w:tc>
        <w:tc>
          <w:tcPr>
            <w:tcW w:w="720" w:type="dxa"/>
          </w:tcPr>
          <w:p w14:paraId="59CE7CF3" w14:textId="3E9C17CB" w:rsidR="000D4659" w:rsidRDefault="00CC0B6A" w:rsidP="00903041">
            <w:pPr>
              <w:pStyle w:val="NoSpacing"/>
              <w:jc w:val="center"/>
            </w:pPr>
            <w:r>
              <w:t>0.25</w:t>
            </w:r>
          </w:p>
        </w:tc>
        <w:tc>
          <w:tcPr>
            <w:tcW w:w="1368" w:type="dxa"/>
          </w:tcPr>
          <w:p w14:paraId="619C4D44" w14:textId="6A5D5834" w:rsidR="000D4659" w:rsidRDefault="00CC0B6A" w:rsidP="00903041">
            <w:pPr>
              <w:pStyle w:val="NoSpacing"/>
              <w:jc w:val="center"/>
            </w:pPr>
            <w:r>
              <w:t>0.04</w:t>
            </w:r>
          </w:p>
        </w:tc>
        <w:tc>
          <w:tcPr>
            <w:tcW w:w="0" w:type="auto"/>
          </w:tcPr>
          <w:p w14:paraId="444D257C" w14:textId="67F5F93E" w:rsidR="000D4659" w:rsidRDefault="00CC0B6A" w:rsidP="00903041">
            <w:pPr>
              <w:pStyle w:val="NoSpacing"/>
              <w:jc w:val="center"/>
            </w:pPr>
            <w:r>
              <w:t>0.00</w:t>
            </w:r>
          </w:p>
        </w:tc>
      </w:tr>
      <w:tr w:rsidR="000D4659" w14:paraId="548A3EB0" w14:textId="77777777" w:rsidTr="00053DA8">
        <w:tc>
          <w:tcPr>
            <w:tcW w:w="4045" w:type="dxa"/>
          </w:tcPr>
          <w:p w14:paraId="5038547B" w14:textId="54914E9E" w:rsidR="000D4659" w:rsidRDefault="00E17219" w:rsidP="00903041">
            <w:pPr>
              <w:pStyle w:val="NoSpacing"/>
            </w:pPr>
            <w:r>
              <w:t>Off-premise density</w:t>
            </w:r>
          </w:p>
        </w:tc>
        <w:tc>
          <w:tcPr>
            <w:tcW w:w="1260" w:type="dxa"/>
          </w:tcPr>
          <w:p w14:paraId="1C0DD12C" w14:textId="7CB88210" w:rsidR="000D4659" w:rsidRDefault="00CC0B6A" w:rsidP="00903041">
            <w:pPr>
              <w:pStyle w:val="NoSpacing"/>
              <w:jc w:val="center"/>
            </w:pPr>
            <w:r>
              <w:t>0.05</w:t>
            </w:r>
          </w:p>
        </w:tc>
        <w:tc>
          <w:tcPr>
            <w:tcW w:w="1350" w:type="dxa"/>
          </w:tcPr>
          <w:p w14:paraId="591E3A55" w14:textId="3C3405BF" w:rsidR="000D4659" w:rsidRDefault="00CC0B6A" w:rsidP="00903041">
            <w:pPr>
              <w:pStyle w:val="NoSpacing"/>
              <w:jc w:val="center"/>
            </w:pPr>
            <w:r>
              <w:t>0.06</w:t>
            </w:r>
          </w:p>
        </w:tc>
        <w:tc>
          <w:tcPr>
            <w:tcW w:w="720" w:type="dxa"/>
          </w:tcPr>
          <w:p w14:paraId="77B0B54E" w14:textId="5577FAA8" w:rsidR="000D4659" w:rsidRDefault="00CC0B6A" w:rsidP="00903041">
            <w:pPr>
              <w:pStyle w:val="NoSpacing"/>
              <w:jc w:val="center"/>
            </w:pPr>
            <w:r>
              <w:t>0.41</w:t>
            </w:r>
          </w:p>
        </w:tc>
        <w:tc>
          <w:tcPr>
            <w:tcW w:w="720" w:type="dxa"/>
          </w:tcPr>
          <w:p w14:paraId="512856CA" w14:textId="3EA22AA6" w:rsidR="000D4659" w:rsidRDefault="00CC0B6A" w:rsidP="00903041">
            <w:pPr>
              <w:pStyle w:val="NoSpacing"/>
              <w:jc w:val="center"/>
            </w:pPr>
            <w:r>
              <w:t>0.03</w:t>
            </w:r>
          </w:p>
        </w:tc>
        <w:tc>
          <w:tcPr>
            <w:tcW w:w="1368" w:type="dxa"/>
          </w:tcPr>
          <w:p w14:paraId="13965B20" w14:textId="7903C9A6" w:rsidR="000D4659" w:rsidRDefault="00CC0B6A" w:rsidP="00903041">
            <w:pPr>
              <w:pStyle w:val="NoSpacing"/>
              <w:jc w:val="center"/>
            </w:pPr>
            <w:r>
              <w:t>0.06</w:t>
            </w:r>
          </w:p>
        </w:tc>
        <w:tc>
          <w:tcPr>
            <w:tcW w:w="0" w:type="auto"/>
          </w:tcPr>
          <w:p w14:paraId="0A32A901" w14:textId="4D072DD2" w:rsidR="000D4659" w:rsidRDefault="00CC0B6A" w:rsidP="00903041">
            <w:pPr>
              <w:pStyle w:val="NoSpacing"/>
              <w:jc w:val="center"/>
            </w:pPr>
            <w:r>
              <w:t>0.58</w:t>
            </w:r>
          </w:p>
        </w:tc>
      </w:tr>
      <w:tr w:rsidR="000D4659" w14:paraId="7C4894C7" w14:textId="77777777" w:rsidTr="00053DA8">
        <w:tc>
          <w:tcPr>
            <w:tcW w:w="4045" w:type="dxa"/>
          </w:tcPr>
          <w:p w14:paraId="5693D009" w14:textId="4C835E3D" w:rsidR="000D4659" w:rsidRPr="00B507DD" w:rsidRDefault="00E17219" w:rsidP="00903041">
            <w:pPr>
              <w:pStyle w:val="NoSpacing"/>
            </w:pPr>
            <w:r>
              <w:t>Population density</w:t>
            </w:r>
          </w:p>
        </w:tc>
        <w:tc>
          <w:tcPr>
            <w:tcW w:w="1260" w:type="dxa"/>
          </w:tcPr>
          <w:p w14:paraId="7FA0CAE6" w14:textId="6654A15B" w:rsidR="000D4659" w:rsidRDefault="00A612BF" w:rsidP="00903041">
            <w:pPr>
              <w:pStyle w:val="NoSpacing"/>
              <w:jc w:val="center"/>
            </w:pPr>
            <w:r>
              <w:t>0.00</w:t>
            </w:r>
          </w:p>
        </w:tc>
        <w:tc>
          <w:tcPr>
            <w:tcW w:w="1350" w:type="dxa"/>
          </w:tcPr>
          <w:p w14:paraId="5694CD65" w14:textId="103CB4E0" w:rsidR="000D4659" w:rsidRDefault="00A612BF" w:rsidP="00903041">
            <w:pPr>
              <w:pStyle w:val="NoSpacing"/>
              <w:jc w:val="center"/>
            </w:pPr>
            <w:r>
              <w:t>0.00</w:t>
            </w:r>
          </w:p>
        </w:tc>
        <w:tc>
          <w:tcPr>
            <w:tcW w:w="720" w:type="dxa"/>
          </w:tcPr>
          <w:p w14:paraId="25986EA4" w14:textId="1065C60E" w:rsidR="000D4659" w:rsidRDefault="00A612BF" w:rsidP="00903041">
            <w:pPr>
              <w:pStyle w:val="NoSpacing"/>
              <w:jc w:val="center"/>
            </w:pPr>
            <w:r>
              <w:t>0.00</w:t>
            </w:r>
          </w:p>
        </w:tc>
        <w:tc>
          <w:tcPr>
            <w:tcW w:w="720" w:type="dxa"/>
          </w:tcPr>
          <w:p w14:paraId="63D93FF9" w14:textId="3B5195E8" w:rsidR="000D4659" w:rsidRDefault="00A612BF" w:rsidP="00903041">
            <w:pPr>
              <w:pStyle w:val="NoSpacing"/>
              <w:jc w:val="center"/>
            </w:pPr>
            <w:r>
              <w:t>0.00</w:t>
            </w:r>
          </w:p>
        </w:tc>
        <w:tc>
          <w:tcPr>
            <w:tcW w:w="1368" w:type="dxa"/>
          </w:tcPr>
          <w:p w14:paraId="20782EB7" w14:textId="14D68512" w:rsidR="000D4659" w:rsidRDefault="00A612BF" w:rsidP="00903041">
            <w:pPr>
              <w:pStyle w:val="NoSpacing"/>
              <w:jc w:val="center"/>
            </w:pPr>
            <w:r>
              <w:t>0.00</w:t>
            </w:r>
          </w:p>
        </w:tc>
        <w:tc>
          <w:tcPr>
            <w:tcW w:w="0" w:type="auto"/>
          </w:tcPr>
          <w:p w14:paraId="3DA4F49A" w14:textId="3FCD1F0B" w:rsidR="000D4659" w:rsidRDefault="00A612BF" w:rsidP="00903041">
            <w:pPr>
              <w:pStyle w:val="NoSpacing"/>
              <w:jc w:val="center"/>
            </w:pPr>
            <w:r>
              <w:t>0.01</w:t>
            </w:r>
          </w:p>
        </w:tc>
      </w:tr>
      <w:tr w:rsidR="00E17219" w14:paraId="25E3F75A" w14:textId="77777777" w:rsidTr="00053DA8">
        <w:tc>
          <w:tcPr>
            <w:tcW w:w="4045" w:type="dxa"/>
          </w:tcPr>
          <w:p w14:paraId="17BAA8CB" w14:textId="7188C8F7" w:rsidR="00E17219" w:rsidRDefault="00E17219" w:rsidP="00903041">
            <w:pPr>
              <w:pStyle w:val="NoSpacing"/>
            </w:pPr>
            <w:r>
              <w:t>Proportion young</w:t>
            </w:r>
          </w:p>
        </w:tc>
        <w:tc>
          <w:tcPr>
            <w:tcW w:w="1260" w:type="dxa"/>
          </w:tcPr>
          <w:p w14:paraId="6EEA444B" w14:textId="0850BB53" w:rsidR="00E17219" w:rsidRDefault="00A612BF" w:rsidP="00903041">
            <w:pPr>
              <w:pStyle w:val="NoSpacing"/>
              <w:jc w:val="center"/>
            </w:pPr>
            <w:r>
              <w:t>-1.25</w:t>
            </w:r>
          </w:p>
        </w:tc>
        <w:tc>
          <w:tcPr>
            <w:tcW w:w="1350" w:type="dxa"/>
          </w:tcPr>
          <w:p w14:paraId="2C4AD534" w14:textId="7D5AF019" w:rsidR="00E17219" w:rsidRDefault="00A612BF" w:rsidP="00903041">
            <w:pPr>
              <w:pStyle w:val="NoSpacing"/>
              <w:jc w:val="center"/>
            </w:pPr>
            <w:r>
              <w:t>1.13</w:t>
            </w:r>
          </w:p>
        </w:tc>
        <w:tc>
          <w:tcPr>
            <w:tcW w:w="720" w:type="dxa"/>
          </w:tcPr>
          <w:p w14:paraId="4DE1EB5B" w14:textId="71BD76C6" w:rsidR="00E17219" w:rsidRDefault="00A612BF" w:rsidP="00903041">
            <w:pPr>
              <w:pStyle w:val="NoSpacing"/>
              <w:jc w:val="center"/>
            </w:pPr>
            <w:r>
              <w:t>0.26</w:t>
            </w:r>
          </w:p>
        </w:tc>
        <w:tc>
          <w:tcPr>
            <w:tcW w:w="720" w:type="dxa"/>
          </w:tcPr>
          <w:p w14:paraId="6F0ED620" w14:textId="61261909" w:rsidR="00E17219" w:rsidRDefault="00A612BF" w:rsidP="00903041">
            <w:pPr>
              <w:pStyle w:val="NoSpacing"/>
              <w:jc w:val="center"/>
            </w:pPr>
            <w:r>
              <w:t>-1.09</w:t>
            </w:r>
          </w:p>
        </w:tc>
        <w:tc>
          <w:tcPr>
            <w:tcW w:w="1368" w:type="dxa"/>
          </w:tcPr>
          <w:p w14:paraId="27398230" w14:textId="20C20EF3" w:rsidR="00E17219" w:rsidRDefault="00A612BF" w:rsidP="00903041">
            <w:pPr>
              <w:pStyle w:val="NoSpacing"/>
              <w:jc w:val="center"/>
            </w:pPr>
            <w:r>
              <w:t>1.14</w:t>
            </w:r>
          </w:p>
        </w:tc>
        <w:tc>
          <w:tcPr>
            <w:tcW w:w="0" w:type="auto"/>
          </w:tcPr>
          <w:p w14:paraId="644428F4" w14:textId="56336D48" w:rsidR="00E17219" w:rsidRDefault="00A612BF" w:rsidP="00903041">
            <w:pPr>
              <w:pStyle w:val="NoSpacing"/>
              <w:jc w:val="center"/>
            </w:pPr>
            <w:r>
              <w:t>0.34</w:t>
            </w:r>
          </w:p>
        </w:tc>
      </w:tr>
      <w:tr w:rsidR="00E17219" w14:paraId="61022B28" w14:textId="77777777" w:rsidTr="00053DA8">
        <w:tc>
          <w:tcPr>
            <w:tcW w:w="4045" w:type="dxa"/>
          </w:tcPr>
          <w:p w14:paraId="6FA65E17" w14:textId="780EE793" w:rsidR="00E17219" w:rsidRDefault="00E17219" w:rsidP="00903041">
            <w:pPr>
              <w:pStyle w:val="NoSpacing"/>
            </w:pPr>
            <w:r>
              <w:t>Distance from city center</w:t>
            </w:r>
          </w:p>
        </w:tc>
        <w:tc>
          <w:tcPr>
            <w:tcW w:w="1260" w:type="dxa"/>
          </w:tcPr>
          <w:p w14:paraId="5C747963" w14:textId="423A57B3" w:rsidR="00E17219" w:rsidRDefault="00A612BF" w:rsidP="00903041">
            <w:pPr>
              <w:pStyle w:val="NoSpacing"/>
              <w:jc w:val="center"/>
            </w:pPr>
            <w:r>
              <w:t>-0.26</w:t>
            </w:r>
          </w:p>
        </w:tc>
        <w:tc>
          <w:tcPr>
            <w:tcW w:w="1350" w:type="dxa"/>
          </w:tcPr>
          <w:p w14:paraId="7B61AD7E" w14:textId="6CC19AEE" w:rsidR="00E17219" w:rsidRDefault="00FB36B0" w:rsidP="00903041">
            <w:pPr>
              <w:pStyle w:val="NoSpacing"/>
              <w:jc w:val="center"/>
            </w:pPr>
            <w:r>
              <w:t>0.07</w:t>
            </w:r>
          </w:p>
        </w:tc>
        <w:tc>
          <w:tcPr>
            <w:tcW w:w="720" w:type="dxa"/>
          </w:tcPr>
          <w:p w14:paraId="6D49B581" w14:textId="2731C2EC" w:rsidR="00E17219" w:rsidRDefault="005B73F8" w:rsidP="00903041">
            <w:pPr>
              <w:pStyle w:val="NoSpacing"/>
              <w:jc w:val="center"/>
            </w:pPr>
            <w:r>
              <w:t>0.00</w:t>
            </w:r>
          </w:p>
        </w:tc>
        <w:tc>
          <w:tcPr>
            <w:tcW w:w="720" w:type="dxa"/>
          </w:tcPr>
          <w:p w14:paraId="3FC50415" w14:textId="42AC7FBB" w:rsidR="00E17219" w:rsidRDefault="0073027D" w:rsidP="00903041">
            <w:pPr>
              <w:pStyle w:val="NoSpacing"/>
              <w:jc w:val="center"/>
            </w:pPr>
            <w:r>
              <w:t>-0.26</w:t>
            </w:r>
          </w:p>
        </w:tc>
        <w:tc>
          <w:tcPr>
            <w:tcW w:w="1368" w:type="dxa"/>
          </w:tcPr>
          <w:p w14:paraId="043A7AF7" w14:textId="76DDF636" w:rsidR="00E17219" w:rsidRDefault="0073027D" w:rsidP="00903041">
            <w:pPr>
              <w:pStyle w:val="NoSpacing"/>
              <w:jc w:val="center"/>
            </w:pPr>
            <w:r>
              <w:t>0.07</w:t>
            </w:r>
          </w:p>
        </w:tc>
        <w:tc>
          <w:tcPr>
            <w:tcW w:w="0" w:type="auto"/>
          </w:tcPr>
          <w:p w14:paraId="528C0755" w14:textId="1658AB57" w:rsidR="00E17219" w:rsidRDefault="0073027D" w:rsidP="00903041">
            <w:pPr>
              <w:pStyle w:val="NoSpacing"/>
              <w:jc w:val="center"/>
            </w:pPr>
            <w:r>
              <w:t>0.00</w:t>
            </w:r>
          </w:p>
        </w:tc>
      </w:tr>
      <w:tr w:rsidR="000D4659" w14:paraId="2A8022CC" w14:textId="77777777" w:rsidTr="00053DA8">
        <w:tc>
          <w:tcPr>
            <w:tcW w:w="4045" w:type="dxa"/>
          </w:tcPr>
          <w:p w14:paraId="07809886" w14:textId="36D23E08" w:rsidR="000D4659" w:rsidRDefault="000D4659" w:rsidP="00903041">
            <w:pPr>
              <w:pStyle w:val="NoSpacing"/>
            </w:pPr>
            <w:r>
              <w:rPr>
                <w:i/>
                <w:iCs/>
              </w:rPr>
              <w:t>Rh</w:t>
            </w:r>
            <w:r w:rsidR="006E2A93">
              <w:rPr>
                <w:i/>
                <w:iCs/>
              </w:rPr>
              <w:t xml:space="preserve">o </w:t>
            </w:r>
            <w:r w:rsidR="006E2A93">
              <w:t xml:space="preserve">Thefts from vehicles </w:t>
            </w:r>
            <w:r>
              <w:t>density</w:t>
            </w:r>
          </w:p>
        </w:tc>
        <w:tc>
          <w:tcPr>
            <w:tcW w:w="1260" w:type="dxa"/>
          </w:tcPr>
          <w:p w14:paraId="6B67F477" w14:textId="7EF86DA1" w:rsidR="000D4659" w:rsidRDefault="0073027D" w:rsidP="00903041">
            <w:pPr>
              <w:pStyle w:val="NoSpacing"/>
              <w:jc w:val="center"/>
            </w:pPr>
            <w:r>
              <w:t>0.29</w:t>
            </w:r>
          </w:p>
        </w:tc>
        <w:tc>
          <w:tcPr>
            <w:tcW w:w="1350" w:type="dxa"/>
          </w:tcPr>
          <w:p w14:paraId="0E1A6462" w14:textId="35B8B1D4" w:rsidR="000D4659" w:rsidRDefault="0073027D" w:rsidP="00903041">
            <w:pPr>
              <w:pStyle w:val="NoSpacing"/>
              <w:jc w:val="center"/>
            </w:pPr>
            <w:r>
              <w:t>0.06</w:t>
            </w:r>
          </w:p>
        </w:tc>
        <w:tc>
          <w:tcPr>
            <w:tcW w:w="720" w:type="dxa"/>
          </w:tcPr>
          <w:p w14:paraId="2589AD7D" w14:textId="5C1A99C5" w:rsidR="000D4659" w:rsidRDefault="0073027D" w:rsidP="00903041">
            <w:pPr>
              <w:pStyle w:val="NoSpacing"/>
              <w:jc w:val="center"/>
            </w:pPr>
            <w:r>
              <w:t>0.00</w:t>
            </w:r>
          </w:p>
        </w:tc>
        <w:tc>
          <w:tcPr>
            <w:tcW w:w="720" w:type="dxa"/>
          </w:tcPr>
          <w:p w14:paraId="2DD15C7E" w14:textId="7A875B9B" w:rsidR="000D4659" w:rsidRDefault="0073027D" w:rsidP="00903041">
            <w:pPr>
              <w:pStyle w:val="NoSpacing"/>
              <w:jc w:val="center"/>
            </w:pPr>
            <w:r>
              <w:t>0.29</w:t>
            </w:r>
          </w:p>
        </w:tc>
        <w:tc>
          <w:tcPr>
            <w:tcW w:w="1368" w:type="dxa"/>
          </w:tcPr>
          <w:p w14:paraId="53D61D92" w14:textId="195CC44F" w:rsidR="000D4659" w:rsidRDefault="0073027D" w:rsidP="00903041">
            <w:pPr>
              <w:pStyle w:val="NoSpacing"/>
              <w:jc w:val="center"/>
            </w:pPr>
            <w:r>
              <w:t>0.06</w:t>
            </w:r>
          </w:p>
        </w:tc>
        <w:tc>
          <w:tcPr>
            <w:tcW w:w="0" w:type="auto"/>
          </w:tcPr>
          <w:p w14:paraId="58395509" w14:textId="0BBD5A77" w:rsidR="000D4659" w:rsidRDefault="0073027D" w:rsidP="00903041">
            <w:pPr>
              <w:pStyle w:val="NoSpacing"/>
              <w:jc w:val="center"/>
            </w:pPr>
            <w:r>
              <w:t>0.00</w:t>
            </w:r>
          </w:p>
        </w:tc>
      </w:tr>
      <w:tr w:rsidR="000D4659" w14:paraId="426DDA47" w14:textId="77777777" w:rsidTr="00053DA8">
        <w:tc>
          <w:tcPr>
            <w:tcW w:w="4045" w:type="dxa"/>
          </w:tcPr>
          <w:p w14:paraId="10C3AE80" w14:textId="77777777" w:rsidR="000D4659" w:rsidRPr="00B507DD" w:rsidRDefault="000D4659" w:rsidP="00903041">
            <w:pPr>
              <w:pStyle w:val="NoSpacing"/>
            </w:pPr>
            <w:r>
              <w:t>Constant</w:t>
            </w:r>
          </w:p>
        </w:tc>
        <w:tc>
          <w:tcPr>
            <w:tcW w:w="1260" w:type="dxa"/>
          </w:tcPr>
          <w:p w14:paraId="3E0A156E" w14:textId="4F0F005B" w:rsidR="000D4659" w:rsidRDefault="00B77FA2" w:rsidP="00903041">
            <w:pPr>
              <w:pStyle w:val="NoSpacing"/>
              <w:jc w:val="center"/>
            </w:pPr>
            <w:r>
              <w:t>3.43</w:t>
            </w:r>
          </w:p>
        </w:tc>
        <w:tc>
          <w:tcPr>
            <w:tcW w:w="1350" w:type="dxa"/>
          </w:tcPr>
          <w:p w14:paraId="23E4E7E4" w14:textId="50B08BDA" w:rsidR="000D4659" w:rsidRDefault="00B77FA2" w:rsidP="00903041">
            <w:pPr>
              <w:pStyle w:val="NoSpacing"/>
              <w:jc w:val="center"/>
            </w:pPr>
            <w:r>
              <w:t>0.58</w:t>
            </w:r>
          </w:p>
        </w:tc>
        <w:tc>
          <w:tcPr>
            <w:tcW w:w="720" w:type="dxa"/>
          </w:tcPr>
          <w:p w14:paraId="1FA0E1E2" w14:textId="4A59FF80" w:rsidR="000D4659" w:rsidRDefault="00B77FA2" w:rsidP="00903041">
            <w:pPr>
              <w:pStyle w:val="NoSpacing"/>
              <w:jc w:val="center"/>
            </w:pPr>
            <w:r>
              <w:t>0.00</w:t>
            </w:r>
          </w:p>
        </w:tc>
        <w:tc>
          <w:tcPr>
            <w:tcW w:w="720" w:type="dxa"/>
          </w:tcPr>
          <w:p w14:paraId="7A065C96" w14:textId="6BB63104" w:rsidR="000D4659" w:rsidRDefault="00B77FA2" w:rsidP="00903041">
            <w:pPr>
              <w:pStyle w:val="NoSpacing"/>
              <w:jc w:val="center"/>
            </w:pPr>
            <w:r>
              <w:t>3.43</w:t>
            </w:r>
          </w:p>
        </w:tc>
        <w:tc>
          <w:tcPr>
            <w:tcW w:w="1368" w:type="dxa"/>
          </w:tcPr>
          <w:p w14:paraId="611ADD40" w14:textId="064C3AFA" w:rsidR="000D4659" w:rsidRDefault="00B77FA2" w:rsidP="00903041">
            <w:pPr>
              <w:pStyle w:val="NoSpacing"/>
              <w:jc w:val="center"/>
            </w:pPr>
            <w:r>
              <w:t>0.58</w:t>
            </w:r>
          </w:p>
        </w:tc>
        <w:tc>
          <w:tcPr>
            <w:tcW w:w="0" w:type="auto"/>
          </w:tcPr>
          <w:p w14:paraId="5EA6DCB4" w14:textId="26404A1A" w:rsidR="000D4659" w:rsidRDefault="00B77FA2" w:rsidP="00903041">
            <w:pPr>
              <w:pStyle w:val="NoSpacing"/>
              <w:jc w:val="center"/>
            </w:pPr>
            <w:r>
              <w:t>0.00</w:t>
            </w:r>
          </w:p>
        </w:tc>
      </w:tr>
      <w:tr w:rsidR="000D4659" w14:paraId="49ECF48C" w14:textId="77777777" w:rsidTr="00053DA8">
        <w:tc>
          <w:tcPr>
            <w:tcW w:w="4045" w:type="dxa"/>
          </w:tcPr>
          <w:p w14:paraId="0B5BBD6C" w14:textId="77777777" w:rsidR="000D4659" w:rsidRDefault="000D4659" w:rsidP="00903041">
            <w:pPr>
              <w:pStyle w:val="NoSpacing"/>
            </w:pPr>
            <w:r>
              <w:t>Pseudo-</w:t>
            </w:r>
            <w:r>
              <w:rPr>
                <w:i/>
                <w:iCs/>
              </w:rPr>
              <w:t>R</w:t>
            </w:r>
            <w:r>
              <w:t>-squared</w:t>
            </w:r>
          </w:p>
        </w:tc>
        <w:tc>
          <w:tcPr>
            <w:tcW w:w="1260" w:type="dxa"/>
          </w:tcPr>
          <w:p w14:paraId="597E93BA" w14:textId="77777777" w:rsidR="000D4659" w:rsidRDefault="000D4659" w:rsidP="00903041">
            <w:pPr>
              <w:pStyle w:val="NoSpacing"/>
              <w:jc w:val="center"/>
            </w:pPr>
          </w:p>
        </w:tc>
        <w:tc>
          <w:tcPr>
            <w:tcW w:w="1350" w:type="dxa"/>
          </w:tcPr>
          <w:p w14:paraId="67F628F3" w14:textId="09FF0CDA" w:rsidR="000D4659" w:rsidRDefault="00B77FA2" w:rsidP="00903041">
            <w:pPr>
              <w:pStyle w:val="NoSpacing"/>
              <w:jc w:val="center"/>
            </w:pPr>
            <w:r>
              <w:t>0.38</w:t>
            </w:r>
          </w:p>
        </w:tc>
        <w:tc>
          <w:tcPr>
            <w:tcW w:w="720" w:type="dxa"/>
          </w:tcPr>
          <w:p w14:paraId="698DDF12" w14:textId="77777777" w:rsidR="000D4659" w:rsidRDefault="000D4659" w:rsidP="00903041">
            <w:pPr>
              <w:pStyle w:val="NoSpacing"/>
              <w:jc w:val="center"/>
            </w:pPr>
          </w:p>
        </w:tc>
        <w:tc>
          <w:tcPr>
            <w:tcW w:w="720" w:type="dxa"/>
          </w:tcPr>
          <w:p w14:paraId="02B3ABDB" w14:textId="77777777" w:rsidR="000D4659" w:rsidRDefault="000D4659" w:rsidP="00903041">
            <w:pPr>
              <w:pStyle w:val="NoSpacing"/>
              <w:jc w:val="center"/>
            </w:pPr>
          </w:p>
        </w:tc>
        <w:tc>
          <w:tcPr>
            <w:tcW w:w="1368" w:type="dxa"/>
          </w:tcPr>
          <w:p w14:paraId="41D49CC4" w14:textId="0ABB0765" w:rsidR="000D4659" w:rsidRDefault="00B77FA2" w:rsidP="00903041">
            <w:pPr>
              <w:pStyle w:val="NoSpacing"/>
              <w:jc w:val="center"/>
            </w:pPr>
            <w:r>
              <w:t>0.38</w:t>
            </w:r>
          </w:p>
        </w:tc>
        <w:tc>
          <w:tcPr>
            <w:tcW w:w="0" w:type="auto"/>
          </w:tcPr>
          <w:p w14:paraId="148EEB7E" w14:textId="77777777" w:rsidR="000D4659" w:rsidRDefault="000D4659" w:rsidP="00903041">
            <w:pPr>
              <w:pStyle w:val="NoSpacing"/>
              <w:jc w:val="center"/>
            </w:pPr>
          </w:p>
        </w:tc>
      </w:tr>
      <w:tr w:rsidR="000D4659" w14:paraId="65D9F7DD" w14:textId="77777777" w:rsidTr="00053DA8">
        <w:tc>
          <w:tcPr>
            <w:tcW w:w="4045" w:type="dxa"/>
          </w:tcPr>
          <w:p w14:paraId="226E8C68" w14:textId="77777777" w:rsidR="000D4659" w:rsidRDefault="000D4659" w:rsidP="00903041">
            <w:pPr>
              <w:pStyle w:val="NoSpacing"/>
            </w:pPr>
            <w:r>
              <w:t>Multicollinearity condition number</w:t>
            </w:r>
          </w:p>
        </w:tc>
        <w:tc>
          <w:tcPr>
            <w:tcW w:w="1260" w:type="dxa"/>
          </w:tcPr>
          <w:p w14:paraId="060D3AB1" w14:textId="77777777" w:rsidR="000D4659" w:rsidRDefault="000D4659" w:rsidP="00903041">
            <w:pPr>
              <w:pStyle w:val="NoSpacing"/>
              <w:jc w:val="center"/>
            </w:pPr>
          </w:p>
        </w:tc>
        <w:tc>
          <w:tcPr>
            <w:tcW w:w="1350" w:type="dxa"/>
          </w:tcPr>
          <w:p w14:paraId="449141A9" w14:textId="201EF021" w:rsidR="000D4659" w:rsidRDefault="00B77FA2" w:rsidP="00903041">
            <w:pPr>
              <w:pStyle w:val="NoSpacing"/>
              <w:jc w:val="center"/>
            </w:pPr>
            <w:r>
              <w:t>10.31</w:t>
            </w:r>
          </w:p>
        </w:tc>
        <w:tc>
          <w:tcPr>
            <w:tcW w:w="720" w:type="dxa"/>
          </w:tcPr>
          <w:p w14:paraId="1390D46D" w14:textId="77777777" w:rsidR="000D4659" w:rsidRDefault="000D4659" w:rsidP="00903041">
            <w:pPr>
              <w:pStyle w:val="NoSpacing"/>
              <w:jc w:val="center"/>
            </w:pPr>
          </w:p>
        </w:tc>
        <w:tc>
          <w:tcPr>
            <w:tcW w:w="720" w:type="dxa"/>
          </w:tcPr>
          <w:p w14:paraId="36321FE2" w14:textId="77777777" w:rsidR="000D4659" w:rsidRDefault="000D4659" w:rsidP="00903041">
            <w:pPr>
              <w:pStyle w:val="NoSpacing"/>
              <w:jc w:val="center"/>
            </w:pPr>
          </w:p>
        </w:tc>
        <w:tc>
          <w:tcPr>
            <w:tcW w:w="1368" w:type="dxa"/>
          </w:tcPr>
          <w:p w14:paraId="3BFDE31D" w14:textId="414EE4B5" w:rsidR="000D4659" w:rsidRDefault="00B77FA2" w:rsidP="00903041">
            <w:pPr>
              <w:pStyle w:val="NoSpacing"/>
              <w:jc w:val="center"/>
            </w:pPr>
            <w:r>
              <w:t>10.48</w:t>
            </w:r>
          </w:p>
        </w:tc>
        <w:tc>
          <w:tcPr>
            <w:tcW w:w="0" w:type="auto"/>
          </w:tcPr>
          <w:p w14:paraId="15FEAA5A" w14:textId="77777777" w:rsidR="000D4659" w:rsidRDefault="000D4659" w:rsidP="00903041">
            <w:pPr>
              <w:pStyle w:val="NoSpacing"/>
              <w:jc w:val="center"/>
            </w:pPr>
          </w:p>
        </w:tc>
      </w:tr>
      <w:tr w:rsidR="000D4659" w14:paraId="70588501" w14:textId="77777777" w:rsidTr="00053DA8">
        <w:tc>
          <w:tcPr>
            <w:tcW w:w="4045" w:type="dxa"/>
          </w:tcPr>
          <w:p w14:paraId="7606C9D3" w14:textId="77777777" w:rsidR="000D4659" w:rsidRDefault="000D4659" w:rsidP="00903041">
            <w:pPr>
              <w:pStyle w:val="NoSpacing"/>
            </w:pPr>
            <w:r>
              <w:t>S.E. of Regression</w:t>
            </w:r>
          </w:p>
        </w:tc>
        <w:tc>
          <w:tcPr>
            <w:tcW w:w="1260" w:type="dxa"/>
          </w:tcPr>
          <w:p w14:paraId="7D799D1C" w14:textId="77777777" w:rsidR="000D4659" w:rsidRDefault="000D4659" w:rsidP="00903041">
            <w:pPr>
              <w:pStyle w:val="NoSpacing"/>
              <w:jc w:val="center"/>
            </w:pPr>
          </w:p>
        </w:tc>
        <w:tc>
          <w:tcPr>
            <w:tcW w:w="1350" w:type="dxa"/>
          </w:tcPr>
          <w:p w14:paraId="3D8D25F2" w14:textId="22BABDF0" w:rsidR="000D4659" w:rsidRDefault="00B77FA2" w:rsidP="00903041">
            <w:pPr>
              <w:pStyle w:val="NoSpacing"/>
              <w:jc w:val="center"/>
            </w:pPr>
            <w:r>
              <w:t>2.48</w:t>
            </w:r>
          </w:p>
        </w:tc>
        <w:tc>
          <w:tcPr>
            <w:tcW w:w="720" w:type="dxa"/>
          </w:tcPr>
          <w:p w14:paraId="6AF5889B" w14:textId="77777777" w:rsidR="000D4659" w:rsidRDefault="000D4659" w:rsidP="00903041">
            <w:pPr>
              <w:pStyle w:val="NoSpacing"/>
              <w:jc w:val="center"/>
            </w:pPr>
          </w:p>
        </w:tc>
        <w:tc>
          <w:tcPr>
            <w:tcW w:w="720" w:type="dxa"/>
          </w:tcPr>
          <w:p w14:paraId="68869E63" w14:textId="77777777" w:rsidR="000D4659" w:rsidRDefault="000D4659" w:rsidP="00903041">
            <w:pPr>
              <w:pStyle w:val="NoSpacing"/>
              <w:jc w:val="center"/>
            </w:pPr>
          </w:p>
        </w:tc>
        <w:tc>
          <w:tcPr>
            <w:tcW w:w="1368" w:type="dxa"/>
          </w:tcPr>
          <w:p w14:paraId="0F773461" w14:textId="45CDCC7E" w:rsidR="000D4659" w:rsidRDefault="00B77FA2" w:rsidP="00903041">
            <w:pPr>
              <w:pStyle w:val="NoSpacing"/>
              <w:jc w:val="center"/>
            </w:pPr>
            <w:r>
              <w:t>2.48</w:t>
            </w:r>
          </w:p>
        </w:tc>
        <w:tc>
          <w:tcPr>
            <w:tcW w:w="0" w:type="auto"/>
          </w:tcPr>
          <w:p w14:paraId="6B211CBE" w14:textId="77777777" w:rsidR="000D4659" w:rsidRDefault="000D4659" w:rsidP="00903041">
            <w:pPr>
              <w:pStyle w:val="NoSpacing"/>
              <w:jc w:val="center"/>
            </w:pPr>
          </w:p>
        </w:tc>
      </w:tr>
    </w:tbl>
    <w:p w14:paraId="5A39ED1B" w14:textId="77777777" w:rsidR="003F2355" w:rsidRDefault="003F2355" w:rsidP="00A47C56">
      <w:pPr>
        <w:rPr>
          <w:rFonts w:cstheme="minorHAnsi"/>
          <w:sz w:val="24"/>
          <w:szCs w:val="24"/>
        </w:rPr>
      </w:pPr>
    </w:p>
    <w:p w14:paraId="35118E7C" w14:textId="6C03D890" w:rsidR="00A47C56" w:rsidRPr="00A47C56" w:rsidRDefault="00A47C56" w:rsidP="00A47C56">
      <w:pPr>
        <w:rPr>
          <w:rFonts w:cstheme="minorHAnsi"/>
          <w:sz w:val="24"/>
          <w:szCs w:val="24"/>
        </w:rPr>
      </w:pPr>
      <w:r w:rsidRPr="00A47C56">
        <w:rPr>
          <w:rFonts w:cstheme="minorHAnsi"/>
          <w:sz w:val="24"/>
          <w:szCs w:val="24"/>
        </w:rPr>
        <w:t xml:space="preserve">We also tested for moderating effects of social disorganization on the relationship between alcohol outlet types and vandalism density. Table </w:t>
      </w:r>
      <w:r w:rsidR="00A76919">
        <w:rPr>
          <w:rFonts w:cstheme="minorHAnsi"/>
          <w:sz w:val="24"/>
          <w:szCs w:val="24"/>
        </w:rPr>
        <w:t xml:space="preserve">5 </w:t>
      </w:r>
      <w:r w:rsidRPr="00A47C56">
        <w:rPr>
          <w:rFonts w:cstheme="minorHAnsi"/>
          <w:sz w:val="24"/>
          <w:szCs w:val="24"/>
        </w:rPr>
        <w:t>shows the results when vandalism of property density was regressed on social disorganization interaction terms, alcohol outlet types, and control variables for Milwaukee. The results shown in Models 7 and 8 suggest social disorganization moderated the effects of both on-premise (</w:t>
      </w:r>
      <w:r w:rsidRPr="00A47C56">
        <w:rPr>
          <w:rFonts w:cstheme="minorHAnsi"/>
          <w:i/>
          <w:iCs/>
          <w:sz w:val="24"/>
          <w:szCs w:val="24"/>
        </w:rPr>
        <w:t>b</w:t>
      </w:r>
      <w:r w:rsidRPr="00A47C56">
        <w:rPr>
          <w:rFonts w:cstheme="minorHAnsi"/>
          <w:sz w:val="24"/>
          <w:szCs w:val="24"/>
        </w:rPr>
        <w:t xml:space="preserve"> = −0.03, </w:t>
      </w:r>
      <w:r w:rsidRPr="00A47C56">
        <w:rPr>
          <w:rFonts w:cstheme="minorHAnsi"/>
          <w:i/>
          <w:iCs/>
          <w:sz w:val="24"/>
          <w:szCs w:val="24"/>
        </w:rPr>
        <w:t>p</w:t>
      </w:r>
      <w:r w:rsidRPr="00A47C56">
        <w:rPr>
          <w:rFonts w:cstheme="minorHAnsi"/>
          <w:sz w:val="24"/>
          <w:szCs w:val="24"/>
        </w:rPr>
        <w:t> = 0.01) and off-premise (</w:t>
      </w:r>
      <w:r w:rsidRPr="00A47C56">
        <w:rPr>
          <w:rFonts w:cstheme="minorHAnsi"/>
          <w:i/>
          <w:iCs/>
          <w:sz w:val="24"/>
          <w:szCs w:val="24"/>
        </w:rPr>
        <w:t>b</w:t>
      </w:r>
      <w:r w:rsidRPr="00A47C56">
        <w:rPr>
          <w:rFonts w:cstheme="minorHAnsi"/>
          <w:sz w:val="24"/>
          <w:szCs w:val="24"/>
        </w:rPr>
        <w:t xml:space="preserve"> = −0.04, </w:t>
      </w:r>
      <w:r w:rsidRPr="00A47C56">
        <w:rPr>
          <w:rFonts w:cstheme="minorHAnsi"/>
          <w:i/>
          <w:iCs/>
          <w:sz w:val="24"/>
          <w:szCs w:val="24"/>
        </w:rPr>
        <w:t>p</w:t>
      </w:r>
      <w:r w:rsidRPr="00A47C56">
        <w:rPr>
          <w:rFonts w:cstheme="minorHAnsi"/>
          <w:sz w:val="24"/>
          <w:szCs w:val="24"/>
        </w:rPr>
        <w:t xml:space="preserve"> = 0.04) alcohol outlet densities on vandalism of property, although in the </w:t>
      </w:r>
      <w:r w:rsidRPr="00A47C56">
        <w:rPr>
          <w:rFonts w:cstheme="minorHAnsi"/>
          <w:i/>
          <w:iCs/>
          <w:sz w:val="24"/>
          <w:szCs w:val="24"/>
        </w:rPr>
        <w:t>opposite</w:t>
      </w:r>
      <w:r w:rsidRPr="00A47C56">
        <w:rPr>
          <w:rFonts w:cstheme="minorHAnsi"/>
          <w:sz w:val="24"/>
          <w:szCs w:val="24"/>
        </w:rPr>
        <w:t xml:space="preserve"> direction of what we expected. The models estimated in Table </w:t>
      </w:r>
      <w:r w:rsidR="00A76919">
        <w:rPr>
          <w:rFonts w:cstheme="minorHAnsi"/>
          <w:sz w:val="24"/>
          <w:szCs w:val="24"/>
        </w:rPr>
        <w:t xml:space="preserve">5 </w:t>
      </w:r>
      <w:r w:rsidRPr="00A47C56">
        <w:rPr>
          <w:rFonts w:cstheme="minorHAnsi"/>
          <w:sz w:val="24"/>
          <w:szCs w:val="24"/>
        </w:rPr>
        <w:t>explained 52% of the variance in vandalism density. As with earlier models, the spatial lag term (</w:t>
      </w:r>
      <w:r w:rsidRPr="00A47C56">
        <w:rPr>
          <w:rFonts w:cstheme="minorHAnsi"/>
          <w:i/>
          <w:iCs/>
          <w:sz w:val="24"/>
          <w:szCs w:val="24"/>
        </w:rPr>
        <w:t>Rho</w:t>
      </w:r>
      <w:r w:rsidRPr="00A47C56">
        <w:rPr>
          <w:rFonts w:cstheme="minorHAnsi"/>
          <w:sz w:val="24"/>
          <w:szCs w:val="24"/>
        </w:rPr>
        <w:t>) for vandalism of property density remained a significant contributor to the models, and multicollinearity was not evident in the models.</w:t>
      </w:r>
    </w:p>
    <w:p w14:paraId="7D93FF1D" w14:textId="77777777" w:rsidR="00A47C56" w:rsidRPr="00053DA8" w:rsidRDefault="00A47C56" w:rsidP="00A76919">
      <w:pPr>
        <w:pStyle w:val="NoSpacing"/>
        <w:rPr>
          <w:sz w:val="24"/>
          <w:szCs w:val="24"/>
        </w:rPr>
      </w:pPr>
      <w:r w:rsidRPr="00053DA8">
        <w:rPr>
          <w:sz w:val="24"/>
          <w:szCs w:val="24"/>
        </w:rPr>
        <w:t>Table 5. Spatial lag regression for vandalism of property density regressed on social disorganization interaction terms, alcohol outlet types, and control variables for Milwaukee (</w:t>
      </w:r>
      <w:r w:rsidRPr="00053DA8">
        <w:rPr>
          <w:i/>
          <w:iCs/>
          <w:sz w:val="24"/>
          <w:szCs w:val="24"/>
        </w:rPr>
        <w:t>N</w:t>
      </w:r>
      <w:r w:rsidRPr="00053DA8">
        <w:rPr>
          <w:sz w:val="24"/>
          <w:szCs w:val="24"/>
        </w:rPr>
        <w:t> = 572) block groups.</w:t>
      </w:r>
    </w:p>
    <w:tbl>
      <w:tblPr>
        <w:tblStyle w:val="TableGrid"/>
        <w:tblW w:w="0" w:type="auto"/>
        <w:tblLook w:val="04A0" w:firstRow="1" w:lastRow="0" w:firstColumn="1" w:lastColumn="0" w:noHBand="0" w:noVBand="1"/>
      </w:tblPr>
      <w:tblGrid>
        <w:gridCol w:w="4225"/>
        <w:gridCol w:w="900"/>
        <w:gridCol w:w="1350"/>
        <w:gridCol w:w="900"/>
        <w:gridCol w:w="720"/>
        <w:gridCol w:w="1368"/>
        <w:gridCol w:w="607"/>
      </w:tblGrid>
      <w:tr w:rsidR="003F3DDF" w14:paraId="4B0F8D3D" w14:textId="77777777" w:rsidTr="00053DA8">
        <w:tc>
          <w:tcPr>
            <w:tcW w:w="4225" w:type="dxa"/>
          </w:tcPr>
          <w:p w14:paraId="43A749C9" w14:textId="77777777" w:rsidR="00A76919" w:rsidRDefault="00A76919" w:rsidP="00903041">
            <w:pPr>
              <w:pStyle w:val="NoSpacing"/>
            </w:pPr>
          </w:p>
        </w:tc>
        <w:tc>
          <w:tcPr>
            <w:tcW w:w="900" w:type="dxa"/>
          </w:tcPr>
          <w:p w14:paraId="03C68A87" w14:textId="77777777" w:rsidR="00A76919" w:rsidRDefault="00A76919" w:rsidP="00903041">
            <w:pPr>
              <w:pStyle w:val="NoSpacing"/>
              <w:jc w:val="center"/>
            </w:pPr>
          </w:p>
        </w:tc>
        <w:tc>
          <w:tcPr>
            <w:tcW w:w="1350" w:type="dxa"/>
          </w:tcPr>
          <w:p w14:paraId="72BCFCBC" w14:textId="77777777" w:rsidR="00A76919" w:rsidRDefault="00A76919" w:rsidP="00903041">
            <w:pPr>
              <w:pStyle w:val="NoSpacing"/>
              <w:jc w:val="center"/>
            </w:pPr>
            <w:r>
              <w:t>Model 3: On-premise</w:t>
            </w:r>
          </w:p>
        </w:tc>
        <w:tc>
          <w:tcPr>
            <w:tcW w:w="900" w:type="dxa"/>
          </w:tcPr>
          <w:p w14:paraId="5738B221" w14:textId="77777777" w:rsidR="00A76919" w:rsidRDefault="00A76919" w:rsidP="00903041">
            <w:pPr>
              <w:pStyle w:val="NoSpacing"/>
              <w:jc w:val="center"/>
            </w:pPr>
          </w:p>
        </w:tc>
        <w:tc>
          <w:tcPr>
            <w:tcW w:w="720" w:type="dxa"/>
          </w:tcPr>
          <w:p w14:paraId="35168351" w14:textId="77777777" w:rsidR="00A76919" w:rsidRDefault="00A76919" w:rsidP="00903041">
            <w:pPr>
              <w:pStyle w:val="NoSpacing"/>
              <w:jc w:val="center"/>
            </w:pPr>
          </w:p>
        </w:tc>
        <w:tc>
          <w:tcPr>
            <w:tcW w:w="1368" w:type="dxa"/>
          </w:tcPr>
          <w:p w14:paraId="3BB88069" w14:textId="77777777" w:rsidR="00A76919" w:rsidRDefault="00A76919" w:rsidP="00903041">
            <w:pPr>
              <w:pStyle w:val="NoSpacing"/>
              <w:jc w:val="center"/>
            </w:pPr>
            <w:r>
              <w:t>Model 4: Off-premise</w:t>
            </w:r>
          </w:p>
        </w:tc>
        <w:tc>
          <w:tcPr>
            <w:tcW w:w="0" w:type="auto"/>
          </w:tcPr>
          <w:p w14:paraId="302308A6" w14:textId="77777777" w:rsidR="00A76919" w:rsidRDefault="00A76919" w:rsidP="00903041">
            <w:pPr>
              <w:pStyle w:val="NoSpacing"/>
              <w:jc w:val="center"/>
            </w:pPr>
          </w:p>
        </w:tc>
      </w:tr>
      <w:tr w:rsidR="003F3DDF" w14:paraId="204D841A" w14:textId="77777777" w:rsidTr="00053DA8">
        <w:tc>
          <w:tcPr>
            <w:tcW w:w="4225" w:type="dxa"/>
          </w:tcPr>
          <w:p w14:paraId="2EAA3B32" w14:textId="77777777" w:rsidR="00A76919" w:rsidRDefault="00A76919" w:rsidP="00903041">
            <w:pPr>
              <w:pStyle w:val="NoSpacing"/>
            </w:pPr>
          </w:p>
        </w:tc>
        <w:tc>
          <w:tcPr>
            <w:tcW w:w="900" w:type="dxa"/>
          </w:tcPr>
          <w:p w14:paraId="53ADC56E" w14:textId="77777777" w:rsidR="00A76919" w:rsidRDefault="00A76919" w:rsidP="00903041">
            <w:pPr>
              <w:pStyle w:val="NoSpacing"/>
              <w:jc w:val="center"/>
            </w:pPr>
            <w:r>
              <w:t>b</w:t>
            </w:r>
          </w:p>
        </w:tc>
        <w:tc>
          <w:tcPr>
            <w:tcW w:w="1350" w:type="dxa"/>
          </w:tcPr>
          <w:p w14:paraId="4C7BE5C0" w14:textId="77777777" w:rsidR="00A76919" w:rsidRDefault="00A76919" w:rsidP="00903041">
            <w:pPr>
              <w:pStyle w:val="NoSpacing"/>
              <w:jc w:val="center"/>
            </w:pPr>
            <w:r>
              <w:t>se</w:t>
            </w:r>
          </w:p>
        </w:tc>
        <w:tc>
          <w:tcPr>
            <w:tcW w:w="900" w:type="dxa"/>
          </w:tcPr>
          <w:p w14:paraId="4829D9F4" w14:textId="77777777" w:rsidR="00A76919" w:rsidRPr="00F935F6" w:rsidRDefault="00A76919" w:rsidP="00903041">
            <w:pPr>
              <w:pStyle w:val="NoSpacing"/>
              <w:jc w:val="center"/>
              <w:rPr>
                <w:i/>
                <w:iCs/>
              </w:rPr>
            </w:pPr>
            <w:r>
              <w:rPr>
                <w:i/>
                <w:iCs/>
              </w:rPr>
              <w:t>p</w:t>
            </w:r>
          </w:p>
        </w:tc>
        <w:tc>
          <w:tcPr>
            <w:tcW w:w="720" w:type="dxa"/>
          </w:tcPr>
          <w:p w14:paraId="089B525E" w14:textId="77777777" w:rsidR="00A76919" w:rsidRDefault="00A76919" w:rsidP="00903041">
            <w:pPr>
              <w:pStyle w:val="NoSpacing"/>
              <w:jc w:val="center"/>
            </w:pPr>
            <w:r>
              <w:t>b</w:t>
            </w:r>
          </w:p>
        </w:tc>
        <w:tc>
          <w:tcPr>
            <w:tcW w:w="1368" w:type="dxa"/>
          </w:tcPr>
          <w:p w14:paraId="49B382C4" w14:textId="77777777" w:rsidR="00A76919" w:rsidRDefault="00A76919" w:rsidP="00903041">
            <w:pPr>
              <w:pStyle w:val="NoSpacing"/>
              <w:jc w:val="center"/>
            </w:pPr>
            <w:r>
              <w:t>Se</w:t>
            </w:r>
          </w:p>
        </w:tc>
        <w:tc>
          <w:tcPr>
            <w:tcW w:w="0" w:type="auto"/>
          </w:tcPr>
          <w:p w14:paraId="06AC6FE6" w14:textId="77777777" w:rsidR="00A76919" w:rsidRPr="00F935F6" w:rsidRDefault="00A76919" w:rsidP="00903041">
            <w:pPr>
              <w:pStyle w:val="NoSpacing"/>
              <w:jc w:val="center"/>
              <w:rPr>
                <w:i/>
                <w:iCs/>
              </w:rPr>
            </w:pPr>
            <w:r>
              <w:rPr>
                <w:i/>
                <w:iCs/>
              </w:rPr>
              <w:t>p</w:t>
            </w:r>
          </w:p>
        </w:tc>
      </w:tr>
      <w:tr w:rsidR="00A76919" w14:paraId="178E2B70" w14:textId="77777777" w:rsidTr="00053DA8">
        <w:tc>
          <w:tcPr>
            <w:tcW w:w="4225" w:type="dxa"/>
          </w:tcPr>
          <w:p w14:paraId="5281D1C9" w14:textId="073E947D" w:rsidR="00A76919" w:rsidRDefault="00A76919" w:rsidP="00903041">
            <w:pPr>
              <w:pStyle w:val="NoSpacing"/>
            </w:pPr>
            <w:r>
              <w:t>On x social disorganization</w:t>
            </w:r>
          </w:p>
        </w:tc>
        <w:tc>
          <w:tcPr>
            <w:tcW w:w="900" w:type="dxa"/>
          </w:tcPr>
          <w:p w14:paraId="5959DE5D" w14:textId="6824FBAB" w:rsidR="00A76919" w:rsidRDefault="00A76919" w:rsidP="003F3DDF">
            <w:pPr>
              <w:pStyle w:val="NoSpacing"/>
              <w:jc w:val="center"/>
            </w:pPr>
            <w:r>
              <w:t>-0.03</w:t>
            </w:r>
          </w:p>
        </w:tc>
        <w:tc>
          <w:tcPr>
            <w:tcW w:w="1350" w:type="dxa"/>
          </w:tcPr>
          <w:p w14:paraId="67B48786" w14:textId="603799AF" w:rsidR="00A76919" w:rsidRDefault="00BC1221" w:rsidP="003F3DDF">
            <w:pPr>
              <w:pStyle w:val="NoSpacing"/>
              <w:jc w:val="center"/>
            </w:pPr>
            <w:r>
              <w:t>0.01</w:t>
            </w:r>
          </w:p>
        </w:tc>
        <w:tc>
          <w:tcPr>
            <w:tcW w:w="900" w:type="dxa"/>
          </w:tcPr>
          <w:p w14:paraId="13C0158B" w14:textId="3D9599CD" w:rsidR="00A76919" w:rsidRDefault="00BC1221" w:rsidP="003F3DDF">
            <w:pPr>
              <w:pStyle w:val="NoSpacing"/>
              <w:jc w:val="center"/>
            </w:pPr>
            <w:r>
              <w:t>0.01</w:t>
            </w:r>
          </w:p>
        </w:tc>
        <w:tc>
          <w:tcPr>
            <w:tcW w:w="720" w:type="dxa"/>
          </w:tcPr>
          <w:p w14:paraId="4B07449F" w14:textId="3D5B9F7A" w:rsidR="00A76919" w:rsidRDefault="00BC1221" w:rsidP="003F3DDF">
            <w:pPr>
              <w:pStyle w:val="NoSpacing"/>
              <w:jc w:val="center"/>
            </w:pPr>
            <w:r>
              <w:t>-</w:t>
            </w:r>
          </w:p>
        </w:tc>
        <w:tc>
          <w:tcPr>
            <w:tcW w:w="1368" w:type="dxa"/>
          </w:tcPr>
          <w:p w14:paraId="70E05A68" w14:textId="7F01CD7A" w:rsidR="00A76919" w:rsidRDefault="00BC1221" w:rsidP="003F3DDF">
            <w:pPr>
              <w:pStyle w:val="NoSpacing"/>
              <w:jc w:val="center"/>
            </w:pPr>
            <w:r>
              <w:t>-</w:t>
            </w:r>
          </w:p>
        </w:tc>
        <w:tc>
          <w:tcPr>
            <w:tcW w:w="0" w:type="auto"/>
          </w:tcPr>
          <w:p w14:paraId="69F92F08" w14:textId="0334D070" w:rsidR="00A76919" w:rsidRDefault="00BC1221" w:rsidP="003F3DDF">
            <w:pPr>
              <w:pStyle w:val="NoSpacing"/>
              <w:jc w:val="center"/>
            </w:pPr>
            <w:r>
              <w:t>-</w:t>
            </w:r>
          </w:p>
        </w:tc>
      </w:tr>
      <w:tr w:rsidR="00A76919" w14:paraId="6E061A9E" w14:textId="77777777" w:rsidTr="00053DA8">
        <w:tc>
          <w:tcPr>
            <w:tcW w:w="4225" w:type="dxa"/>
          </w:tcPr>
          <w:p w14:paraId="3EEC5FF8" w14:textId="7227945F" w:rsidR="00A76919" w:rsidRDefault="00A76919" w:rsidP="00903041">
            <w:pPr>
              <w:pStyle w:val="NoSpacing"/>
            </w:pPr>
            <w:r>
              <w:t>Off x social disorganization</w:t>
            </w:r>
          </w:p>
        </w:tc>
        <w:tc>
          <w:tcPr>
            <w:tcW w:w="900" w:type="dxa"/>
          </w:tcPr>
          <w:p w14:paraId="0D2A819E" w14:textId="1C2D09C5" w:rsidR="00A76919" w:rsidRDefault="00BC1221" w:rsidP="003F3DDF">
            <w:pPr>
              <w:pStyle w:val="NoSpacing"/>
              <w:jc w:val="center"/>
            </w:pPr>
            <w:r>
              <w:t>-</w:t>
            </w:r>
          </w:p>
        </w:tc>
        <w:tc>
          <w:tcPr>
            <w:tcW w:w="1350" w:type="dxa"/>
          </w:tcPr>
          <w:p w14:paraId="32BB39AE" w14:textId="06DC7D13" w:rsidR="00A76919" w:rsidRDefault="00BC1221" w:rsidP="003F3DDF">
            <w:pPr>
              <w:pStyle w:val="NoSpacing"/>
              <w:jc w:val="center"/>
            </w:pPr>
            <w:r>
              <w:t>-</w:t>
            </w:r>
          </w:p>
        </w:tc>
        <w:tc>
          <w:tcPr>
            <w:tcW w:w="900" w:type="dxa"/>
          </w:tcPr>
          <w:p w14:paraId="53A0934A" w14:textId="53B6F65A" w:rsidR="00A76919" w:rsidRDefault="00BC1221" w:rsidP="003F3DDF">
            <w:pPr>
              <w:pStyle w:val="NoSpacing"/>
              <w:jc w:val="center"/>
            </w:pPr>
            <w:r>
              <w:t>-</w:t>
            </w:r>
          </w:p>
        </w:tc>
        <w:tc>
          <w:tcPr>
            <w:tcW w:w="720" w:type="dxa"/>
          </w:tcPr>
          <w:p w14:paraId="523F57DF" w14:textId="4843AE3F" w:rsidR="00A76919" w:rsidRDefault="00BC1221" w:rsidP="003F3DDF">
            <w:pPr>
              <w:pStyle w:val="NoSpacing"/>
              <w:jc w:val="center"/>
            </w:pPr>
            <w:r>
              <w:t>-0.04</w:t>
            </w:r>
          </w:p>
        </w:tc>
        <w:tc>
          <w:tcPr>
            <w:tcW w:w="1368" w:type="dxa"/>
          </w:tcPr>
          <w:p w14:paraId="631AE59E" w14:textId="350B10E5" w:rsidR="00A76919" w:rsidRDefault="00BC1221" w:rsidP="003F3DDF">
            <w:pPr>
              <w:pStyle w:val="NoSpacing"/>
              <w:jc w:val="center"/>
            </w:pPr>
            <w:r>
              <w:t>0.02</w:t>
            </w:r>
          </w:p>
        </w:tc>
        <w:tc>
          <w:tcPr>
            <w:tcW w:w="0" w:type="auto"/>
          </w:tcPr>
          <w:p w14:paraId="19E7D5E9" w14:textId="525E43E6" w:rsidR="00A76919" w:rsidRDefault="00BC1221" w:rsidP="003F3DDF">
            <w:pPr>
              <w:pStyle w:val="NoSpacing"/>
              <w:jc w:val="center"/>
            </w:pPr>
            <w:r>
              <w:t>0.04</w:t>
            </w:r>
          </w:p>
        </w:tc>
      </w:tr>
      <w:tr w:rsidR="003F3DDF" w14:paraId="25EB5473" w14:textId="77777777" w:rsidTr="00053DA8">
        <w:tc>
          <w:tcPr>
            <w:tcW w:w="4225" w:type="dxa"/>
          </w:tcPr>
          <w:p w14:paraId="58D1A01A" w14:textId="09BBC9B3" w:rsidR="00A76919" w:rsidRPr="00A76919" w:rsidRDefault="00A76919" w:rsidP="00903041">
            <w:pPr>
              <w:pStyle w:val="NoSpacing"/>
            </w:pPr>
            <w:r>
              <w:t>Social disorganization</w:t>
            </w:r>
          </w:p>
        </w:tc>
        <w:tc>
          <w:tcPr>
            <w:tcW w:w="900" w:type="dxa"/>
          </w:tcPr>
          <w:p w14:paraId="7CF7EA4C" w14:textId="4B8FD6E6" w:rsidR="00A76919" w:rsidRDefault="00BC1221" w:rsidP="003F3DDF">
            <w:pPr>
              <w:pStyle w:val="NoSpacing"/>
              <w:jc w:val="center"/>
            </w:pPr>
            <w:r>
              <w:t>0.34</w:t>
            </w:r>
          </w:p>
        </w:tc>
        <w:tc>
          <w:tcPr>
            <w:tcW w:w="1350" w:type="dxa"/>
          </w:tcPr>
          <w:p w14:paraId="4DE4522E" w14:textId="2C113B28" w:rsidR="00A76919" w:rsidRDefault="00BC1221" w:rsidP="003F3DDF">
            <w:pPr>
              <w:pStyle w:val="NoSpacing"/>
              <w:jc w:val="center"/>
            </w:pPr>
            <w:r>
              <w:t>0.05</w:t>
            </w:r>
          </w:p>
        </w:tc>
        <w:tc>
          <w:tcPr>
            <w:tcW w:w="900" w:type="dxa"/>
          </w:tcPr>
          <w:p w14:paraId="4B319031" w14:textId="0889F3C3" w:rsidR="00A76919" w:rsidRDefault="00BC1221" w:rsidP="003F3DDF">
            <w:pPr>
              <w:pStyle w:val="NoSpacing"/>
              <w:jc w:val="center"/>
            </w:pPr>
            <w:r>
              <w:t>0.00</w:t>
            </w:r>
          </w:p>
        </w:tc>
        <w:tc>
          <w:tcPr>
            <w:tcW w:w="720" w:type="dxa"/>
          </w:tcPr>
          <w:p w14:paraId="47758DB4" w14:textId="6D029BB0" w:rsidR="00A76919" w:rsidRDefault="00BC1221" w:rsidP="003F3DDF">
            <w:pPr>
              <w:pStyle w:val="NoSpacing"/>
              <w:jc w:val="center"/>
            </w:pPr>
            <w:r>
              <w:t>0.3</w:t>
            </w:r>
          </w:p>
        </w:tc>
        <w:tc>
          <w:tcPr>
            <w:tcW w:w="1368" w:type="dxa"/>
          </w:tcPr>
          <w:p w14:paraId="03CA0D6F" w14:textId="439451B2" w:rsidR="00A76919" w:rsidRDefault="00BC1221" w:rsidP="003F3DDF">
            <w:pPr>
              <w:pStyle w:val="NoSpacing"/>
              <w:jc w:val="center"/>
            </w:pPr>
            <w:r>
              <w:t>0.05</w:t>
            </w:r>
          </w:p>
        </w:tc>
        <w:tc>
          <w:tcPr>
            <w:tcW w:w="0" w:type="auto"/>
          </w:tcPr>
          <w:p w14:paraId="79720308" w14:textId="5EB1B8F8" w:rsidR="00A76919" w:rsidRDefault="00BC1221" w:rsidP="003F3DDF">
            <w:pPr>
              <w:pStyle w:val="NoSpacing"/>
              <w:jc w:val="center"/>
            </w:pPr>
            <w:r>
              <w:t>0.00</w:t>
            </w:r>
          </w:p>
        </w:tc>
      </w:tr>
      <w:tr w:rsidR="003F3DDF" w14:paraId="173AF824" w14:textId="77777777" w:rsidTr="00053DA8">
        <w:tc>
          <w:tcPr>
            <w:tcW w:w="4225" w:type="dxa"/>
          </w:tcPr>
          <w:p w14:paraId="50139412" w14:textId="15AC300B" w:rsidR="00A76919" w:rsidRDefault="00A76919" w:rsidP="00903041">
            <w:pPr>
              <w:pStyle w:val="NoSpacing"/>
            </w:pPr>
            <w:r>
              <w:t>On-premise density</w:t>
            </w:r>
          </w:p>
        </w:tc>
        <w:tc>
          <w:tcPr>
            <w:tcW w:w="900" w:type="dxa"/>
          </w:tcPr>
          <w:p w14:paraId="1A245DA5" w14:textId="0FF8CB88" w:rsidR="00A76919" w:rsidRDefault="00BC1221" w:rsidP="003F3DDF">
            <w:pPr>
              <w:pStyle w:val="NoSpacing"/>
              <w:jc w:val="center"/>
            </w:pPr>
            <w:r>
              <w:t>0.10</w:t>
            </w:r>
          </w:p>
        </w:tc>
        <w:tc>
          <w:tcPr>
            <w:tcW w:w="1350" w:type="dxa"/>
          </w:tcPr>
          <w:p w14:paraId="00293406" w14:textId="24A25106" w:rsidR="00A76919" w:rsidRDefault="00BC1221" w:rsidP="003F3DDF">
            <w:pPr>
              <w:pStyle w:val="NoSpacing"/>
              <w:jc w:val="center"/>
            </w:pPr>
            <w:r>
              <w:t>0.03</w:t>
            </w:r>
          </w:p>
        </w:tc>
        <w:tc>
          <w:tcPr>
            <w:tcW w:w="900" w:type="dxa"/>
          </w:tcPr>
          <w:p w14:paraId="47BD7CAE" w14:textId="3A9EC840" w:rsidR="00A76919" w:rsidRDefault="00BC1221" w:rsidP="003F3DDF">
            <w:pPr>
              <w:pStyle w:val="NoSpacing"/>
              <w:jc w:val="center"/>
            </w:pPr>
            <w:r>
              <w:t>0.00</w:t>
            </w:r>
          </w:p>
        </w:tc>
        <w:tc>
          <w:tcPr>
            <w:tcW w:w="720" w:type="dxa"/>
          </w:tcPr>
          <w:p w14:paraId="4B650963" w14:textId="57372F0C" w:rsidR="00A76919" w:rsidRDefault="00BC1221" w:rsidP="003F3DDF">
            <w:pPr>
              <w:pStyle w:val="NoSpacing"/>
              <w:jc w:val="center"/>
            </w:pPr>
            <w:r>
              <w:t>0.09</w:t>
            </w:r>
          </w:p>
        </w:tc>
        <w:tc>
          <w:tcPr>
            <w:tcW w:w="1368" w:type="dxa"/>
          </w:tcPr>
          <w:p w14:paraId="7E25EB96" w14:textId="3E737A88" w:rsidR="00A76919" w:rsidRDefault="00150E3E" w:rsidP="003F3DDF">
            <w:pPr>
              <w:pStyle w:val="NoSpacing"/>
              <w:jc w:val="center"/>
            </w:pPr>
            <w:r>
              <w:t>0.03</w:t>
            </w:r>
          </w:p>
        </w:tc>
        <w:tc>
          <w:tcPr>
            <w:tcW w:w="0" w:type="auto"/>
          </w:tcPr>
          <w:p w14:paraId="0FCBC46B" w14:textId="1E937A71" w:rsidR="00A76919" w:rsidRDefault="00150E3E" w:rsidP="003F3DDF">
            <w:pPr>
              <w:pStyle w:val="NoSpacing"/>
              <w:jc w:val="center"/>
            </w:pPr>
            <w:r>
              <w:t>0.01</w:t>
            </w:r>
          </w:p>
        </w:tc>
      </w:tr>
      <w:tr w:rsidR="003F3DDF" w14:paraId="03E1AF94" w14:textId="77777777" w:rsidTr="00053DA8">
        <w:tc>
          <w:tcPr>
            <w:tcW w:w="4225" w:type="dxa"/>
          </w:tcPr>
          <w:p w14:paraId="4C4E4A8E" w14:textId="76C8DA94" w:rsidR="00A76919" w:rsidRDefault="00A76919" w:rsidP="00A76919">
            <w:pPr>
              <w:pStyle w:val="NoSpacing"/>
            </w:pPr>
            <w:r>
              <w:t>Off-premise density</w:t>
            </w:r>
          </w:p>
        </w:tc>
        <w:tc>
          <w:tcPr>
            <w:tcW w:w="900" w:type="dxa"/>
          </w:tcPr>
          <w:p w14:paraId="728EFC61" w14:textId="4BDF90F2" w:rsidR="00A76919" w:rsidRDefault="00150E3E" w:rsidP="003F3DDF">
            <w:pPr>
              <w:pStyle w:val="NoSpacing"/>
              <w:jc w:val="center"/>
            </w:pPr>
            <w:r>
              <w:t>0.09</w:t>
            </w:r>
          </w:p>
        </w:tc>
        <w:tc>
          <w:tcPr>
            <w:tcW w:w="1350" w:type="dxa"/>
          </w:tcPr>
          <w:p w14:paraId="72750A6C" w14:textId="05918CDF" w:rsidR="00A76919" w:rsidRDefault="00150E3E" w:rsidP="003F3DDF">
            <w:pPr>
              <w:pStyle w:val="NoSpacing"/>
              <w:jc w:val="center"/>
            </w:pPr>
            <w:r>
              <w:t>0.05</w:t>
            </w:r>
          </w:p>
        </w:tc>
        <w:tc>
          <w:tcPr>
            <w:tcW w:w="900" w:type="dxa"/>
          </w:tcPr>
          <w:p w14:paraId="0F1DD4BD" w14:textId="36C55366" w:rsidR="00A76919" w:rsidRDefault="00150E3E" w:rsidP="003F3DDF">
            <w:pPr>
              <w:pStyle w:val="NoSpacing"/>
              <w:jc w:val="center"/>
            </w:pPr>
            <w:r>
              <w:t>0.07</w:t>
            </w:r>
          </w:p>
        </w:tc>
        <w:tc>
          <w:tcPr>
            <w:tcW w:w="720" w:type="dxa"/>
          </w:tcPr>
          <w:p w14:paraId="067701BF" w14:textId="79B8205A" w:rsidR="00A76919" w:rsidRDefault="00150E3E" w:rsidP="003F3DDF">
            <w:pPr>
              <w:pStyle w:val="NoSpacing"/>
              <w:jc w:val="center"/>
            </w:pPr>
            <w:r>
              <w:t>0.14</w:t>
            </w:r>
          </w:p>
        </w:tc>
        <w:tc>
          <w:tcPr>
            <w:tcW w:w="1368" w:type="dxa"/>
          </w:tcPr>
          <w:p w14:paraId="1E8AC0E0" w14:textId="5EFFB213" w:rsidR="00A76919" w:rsidRDefault="00150E3E" w:rsidP="003F3DDF">
            <w:pPr>
              <w:pStyle w:val="NoSpacing"/>
              <w:jc w:val="center"/>
            </w:pPr>
            <w:r>
              <w:t>0.06</w:t>
            </w:r>
          </w:p>
        </w:tc>
        <w:tc>
          <w:tcPr>
            <w:tcW w:w="0" w:type="auto"/>
          </w:tcPr>
          <w:p w14:paraId="4C16059A" w14:textId="7BDB5A42" w:rsidR="00A76919" w:rsidRDefault="00150E3E" w:rsidP="003F3DDF">
            <w:pPr>
              <w:pStyle w:val="NoSpacing"/>
              <w:jc w:val="center"/>
            </w:pPr>
            <w:r>
              <w:t>0.01</w:t>
            </w:r>
          </w:p>
        </w:tc>
      </w:tr>
      <w:tr w:rsidR="003F3DDF" w14:paraId="1F7A89C5" w14:textId="77777777" w:rsidTr="00053DA8">
        <w:tc>
          <w:tcPr>
            <w:tcW w:w="4225" w:type="dxa"/>
          </w:tcPr>
          <w:p w14:paraId="041970F3" w14:textId="77777777" w:rsidR="00A76919" w:rsidRDefault="00A76919" w:rsidP="00A76919">
            <w:pPr>
              <w:pStyle w:val="NoSpacing"/>
            </w:pPr>
            <w:r>
              <w:t>Population density</w:t>
            </w:r>
          </w:p>
        </w:tc>
        <w:tc>
          <w:tcPr>
            <w:tcW w:w="900" w:type="dxa"/>
          </w:tcPr>
          <w:p w14:paraId="5F0EC5E2" w14:textId="67A83CE5" w:rsidR="00A76919" w:rsidRDefault="00150E3E" w:rsidP="003F3DDF">
            <w:pPr>
              <w:pStyle w:val="NoSpacing"/>
              <w:jc w:val="center"/>
            </w:pPr>
            <w:r>
              <w:t>0.00</w:t>
            </w:r>
          </w:p>
        </w:tc>
        <w:tc>
          <w:tcPr>
            <w:tcW w:w="1350" w:type="dxa"/>
          </w:tcPr>
          <w:p w14:paraId="54CA645D" w14:textId="178730E1" w:rsidR="00A76919" w:rsidRDefault="00150E3E" w:rsidP="003F3DDF">
            <w:pPr>
              <w:pStyle w:val="NoSpacing"/>
              <w:jc w:val="center"/>
            </w:pPr>
            <w:r>
              <w:t>0.00</w:t>
            </w:r>
          </w:p>
        </w:tc>
        <w:tc>
          <w:tcPr>
            <w:tcW w:w="900" w:type="dxa"/>
          </w:tcPr>
          <w:p w14:paraId="737927E3" w14:textId="2E507B12" w:rsidR="00A76919" w:rsidRDefault="00150E3E" w:rsidP="003F3DDF">
            <w:pPr>
              <w:pStyle w:val="NoSpacing"/>
              <w:jc w:val="center"/>
            </w:pPr>
            <w:r>
              <w:t>0.00</w:t>
            </w:r>
          </w:p>
        </w:tc>
        <w:tc>
          <w:tcPr>
            <w:tcW w:w="720" w:type="dxa"/>
          </w:tcPr>
          <w:p w14:paraId="09FC2315" w14:textId="3D6033BD" w:rsidR="00A76919" w:rsidRDefault="00150E3E" w:rsidP="003F3DDF">
            <w:pPr>
              <w:pStyle w:val="NoSpacing"/>
              <w:jc w:val="center"/>
            </w:pPr>
            <w:r>
              <w:t>0.00</w:t>
            </w:r>
          </w:p>
        </w:tc>
        <w:tc>
          <w:tcPr>
            <w:tcW w:w="1368" w:type="dxa"/>
          </w:tcPr>
          <w:p w14:paraId="28DA9A99" w14:textId="741F35D1" w:rsidR="00A76919" w:rsidRDefault="00150E3E" w:rsidP="003F3DDF">
            <w:pPr>
              <w:pStyle w:val="NoSpacing"/>
              <w:jc w:val="center"/>
            </w:pPr>
            <w:r>
              <w:t>0.00</w:t>
            </w:r>
          </w:p>
        </w:tc>
        <w:tc>
          <w:tcPr>
            <w:tcW w:w="0" w:type="auto"/>
          </w:tcPr>
          <w:p w14:paraId="65699B5F" w14:textId="00C62641" w:rsidR="00A76919" w:rsidRDefault="00150E3E" w:rsidP="003F3DDF">
            <w:pPr>
              <w:pStyle w:val="NoSpacing"/>
              <w:jc w:val="center"/>
            </w:pPr>
            <w:r>
              <w:t>0.00</w:t>
            </w:r>
          </w:p>
        </w:tc>
      </w:tr>
      <w:tr w:rsidR="003F3DDF" w14:paraId="622EB3C5" w14:textId="77777777" w:rsidTr="00053DA8">
        <w:tc>
          <w:tcPr>
            <w:tcW w:w="4225" w:type="dxa"/>
          </w:tcPr>
          <w:p w14:paraId="3B040084" w14:textId="77777777" w:rsidR="00A76919" w:rsidRDefault="00A76919" w:rsidP="00A76919">
            <w:pPr>
              <w:pStyle w:val="NoSpacing"/>
            </w:pPr>
            <w:r>
              <w:t>Proportion young</w:t>
            </w:r>
          </w:p>
        </w:tc>
        <w:tc>
          <w:tcPr>
            <w:tcW w:w="900" w:type="dxa"/>
          </w:tcPr>
          <w:p w14:paraId="23949967" w14:textId="438B942C" w:rsidR="00A76919" w:rsidRDefault="00150E3E" w:rsidP="003F3DDF">
            <w:pPr>
              <w:pStyle w:val="NoSpacing"/>
              <w:jc w:val="center"/>
            </w:pPr>
            <w:r>
              <w:t>-1.88</w:t>
            </w:r>
          </w:p>
        </w:tc>
        <w:tc>
          <w:tcPr>
            <w:tcW w:w="1350" w:type="dxa"/>
          </w:tcPr>
          <w:p w14:paraId="16CDC8E8" w14:textId="48F4E69E" w:rsidR="00A76919" w:rsidRDefault="00150E3E" w:rsidP="003F3DDF">
            <w:pPr>
              <w:pStyle w:val="NoSpacing"/>
              <w:jc w:val="center"/>
            </w:pPr>
            <w:r>
              <w:t>1.02</w:t>
            </w:r>
          </w:p>
        </w:tc>
        <w:tc>
          <w:tcPr>
            <w:tcW w:w="900" w:type="dxa"/>
          </w:tcPr>
          <w:p w14:paraId="6FA12081" w14:textId="66661A82" w:rsidR="00A76919" w:rsidRDefault="00150E3E" w:rsidP="003F3DDF">
            <w:pPr>
              <w:pStyle w:val="NoSpacing"/>
              <w:jc w:val="center"/>
            </w:pPr>
            <w:r>
              <w:t>0.07</w:t>
            </w:r>
          </w:p>
        </w:tc>
        <w:tc>
          <w:tcPr>
            <w:tcW w:w="720" w:type="dxa"/>
          </w:tcPr>
          <w:p w14:paraId="1368E5DC" w14:textId="477A827E" w:rsidR="00A76919" w:rsidRDefault="0013723E" w:rsidP="003F3DDF">
            <w:pPr>
              <w:pStyle w:val="NoSpacing"/>
              <w:jc w:val="center"/>
            </w:pPr>
            <w:r>
              <w:t>-1.96</w:t>
            </w:r>
          </w:p>
        </w:tc>
        <w:tc>
          <w:tcPr>
            <w:tcW w:w="1368" w:type="dxa"/>
          </w:tcPr>
          <w:p w14:paraId="3A46D91A" w14:textId="03C705CF" w:rsidR="00A76919" w:rsidRDefault="0013723E" w:rsidP="003F3DDF">
            <w:pPr>
              <w:pStyle w:val="NoSpacing"/>
              <w:jc w:val="center"/>
            </w:pPr>
            <w:r>
              <w:t>1.03</w:t>
            </w:r>
          </w:p>
        </w:tc>
        <w:tc>
          <w:tcPr>
            <w:tcW w:w="0" w:type="auto"/>
          </w:tcPr>
          <w:p w14:paraId="4B038C6B" w14:textId="0A22A9E6" w:rsidR="00A76919" w:rsidRDefault="0013723E" w:rsidP="003F3DDF">
            <w:pPr>
              <w:pStyle w:val="NoSpacing"/>
              <w:jc w:val="center"/>
            </w:pPr>
            <w:r>
              <w:t>0.06</w:t>
            </w:r>
          </w:p>
        </w:tc>
      </w:tr>
      <w:tr w:rsidR="003F3DDF" w14:paraId="10A53668" w14:textId="77777777" w:rsidTr="00053DA8">
        <w:tc>
          <w:tcPr>
            <w:tcW w:w="4225" w:type="dxa"/>
          </w:tcPr>
          <w:p w14:paraId="34B370AC" w14:textId="77777777" w:rsidR="00A76919" w:rsidRPr="00B507DD" w:rsidRDefault="00A76919" w:rsidP="00A76919">
            <w:pPr>
              <w:pStyle w:val="NoSpacing"/>
            </w:pPr>
            <w:r>
              <w:t>Distance from city center</w:t>
            </w:r>
          </w:p>
        </w:tc>
        <w:tc>
          <w:tcPr>
            <w:tcW w:w="900" w:type="dxa"/>
          </w:tcPr>
          <w:p w14:paraId="62F643BC" w14:textId="43C8984F" w:rsidR="00A76919" w:rsidRDefault="0013723E" w:rsidP="003F3DDF">
            <w:pPr>
              <w:pStyle w:val="NoSpacing"/>
              <w:jc w:val="center"/>
            </w:pPr>
            <w:r>
              <w:t>-0.02</w:t>
            </w:r>
          </w:p>
        </w:tc>
        <w:tc>
          <w:tcPr>
            <w:tcW w:w="1350" w:type="dxa"/>
          </w:tcPr>
          <w:p w14:paraId="1C91678E" w14:textId="082BBEF6" w:rsidR="00A76919" w:rsidRDefault="0013723E" w:rsidP="003F3DDF">
            <w:pPr>
              <w:pStyle w:val="NoSpacing"/>
              <w:jc w:val="center"/>
            </w:pPr>
            <w:r>
              <w:t>0.06</w:t>
            </w:r>
          </w:p>
        </w:tc>
        <w:tc>
          <w:tcPr>
            <w:tcW w:w="900" w:type="dxa"/>
          </w:tcPr>
          <w:p w14:paraId="113E676A" w14:textId="78CAD31B" w:rsidR="00A76919" w:rsidRDefault="0013723E" w:rsidP="003F3DDF">
            <w:pPr>
              <w:pStyle w:val="NoSpacing"/>
              <w:jc w:val="center"/>
            </w:pPr>
            <w:r>
              <w:t>0.70</w:t>
            </w:r>
          </w:p>
        </w:tc>
        <w:tc>
          <w:tcPr>
            <w:tcW w:w="720" w:type="dxa"/>
          </w:tcPr>
          <w:p w14:paraId="22120329" w14:textId="7BD0E2C7" w:rsidR="00A76919" w:rsidRDefault="0013723E" w:rsidP="003F3DDF">
            <w:pPr>
              <w:pStyle w:val="NoSpacing"/>
              <w:jc w:val="center"/>
            </w:pPr>
            <w:r>
              <w:t>-0.03</w:t>
            </w:r>
          </w:p>
        </w:tc>
        <w:tc>
          <w:tcPr>
            <w:tcW w:w="1368" w:type="dxa"/>
          </w:tcPr>
          <w:p w14:paraId="280FF178" w14:textId="4F3E1F9F" w:rsidR="00A76919" w:rsidRDefault="0013723E" w:rsidP="003F3DDF">
            <w:pPr>
              <w:pStyle w:val="NoSpacing"/>
              <w:jc w:val="center"/>
            </w:pPr>
            <w:r>
              <w:t>0.06</w:t>
            </w:r>
          </w:p>
        </w:tc>
        <w:tc>
          <w:tcPr>
            <w:tcW w:w="0" w:type="auto"/>
          </w:tcPr>
          <w:p w14:paraId="06AF5D91" w14:textId="5671FDCC" w:rsidR="00A76919" w:rsidRDefault="0013723E" w:rsidP="003F3DDF">
            <w:pPr>
              <w:pStyle w:val="NoSpacing"/>
              <w:jc w:val="center"/>
            </w:pPr>
            <w:r>
              <w:t>0.60</w:t>
            </w:r>
          </w:p>
        </w:tc>
      </w:tr>
      <w:tr w:rsidR="003F3DDF" w14:paraId="4BAB10B6" w14:textId="77777777" w:rsidTr="00053DA8">
        <w:tc>
          <w:tcPr>
            <w:tcW w:w="4225" w:type="dxa"/>
          </w:tcPr>
          <w:p w14:paraId="2D24E622" w14:textId="33B085EB" w:rsidR="00A76919" w:rsidRDefault="00A76919" w:rsidP="00A76919">
            <w:pPr>
              <w:pStyle w:val="NoSpacing"/>
            </w:pPr>
            <w:r>
              <w:rPr>
                <w:i/>
                <w:iCs/>
              </w:rPr>
              <w:t>Rho</w:t>
            </w:r>
            <w:r>
              <w:t xml:space="preserve"> Vandalism density</w:t>
            </w:r>
          </w:p>
        </w:tc>
        <w:tc>
          <w:tcPr>
            <w:tcW w:w="900" w:type="dxa"/>
          </w:tcPr>
          <w:p w14:paraId="7B9D8296" w14:textId="37857C17" w:rsidR="00A76919" w:rsidRDefault="0013723E" w:rsidP="003F3DDF">
            <w:pPr>
              <w:pStyle w:val="NoSpacing"/>
              <w:jc w:val="center"/>
            </w:pPr>
            <w:r>
              <w:t>0.33</w:t>
            </w:r>
          </w:p>
        </w:tc>
        <w:tc>
          <w:tcPr>
            <w:tcW w:w="1350" w:type="dxa"/>
          </w:tcPr>
          <w:p w14:paraId="64A7A555" w14:textId="7044A827" w:rsidR="00A76919" w:rsidRDefault="0013723E" w:rsidP="003F3DDF">
            <w:pPr>
              <w:pStyle w:val="NoSpacing"/>
              <w:jc w:val="center"/>
            </w:pPr>
            <w:r>
              <w:t>0.05</w:t>
            </w:r>
          </w:p>
        </w:tc>
        <w:tc>
          <w:tcPr>
            <w:tcW w:w="900" w:type="dxa"/>
          </w:tcPr>
          <w:p w14:paraId="0E7E9D00" w14:textId="4F89CD40" w:rsidR="00A76919" w:rsidRDefault="003F3DDF" w:rsidP="003F3DDF">
            <w:pPr>
              <w:pStyle w:val="NoSpacing"/>
              <w:jc w:val="center"/>
            </w:pPr>
            <w:r>
              <w:t>0.00</w:t>
            </w:r>
          </w:p>
        </w:tc>
        <w:tc>
          <w:tcPr>
            <w:tcW w:w="720" w:type="dxa"/>
          </w:tcPr>
          <w:p w14:paraId="2A59CACA" w14:textId="70A9D0FF" w:rsidR="00A76919" w:rsidRDefault="003F3DDF" w:rsidP="003F3DDF">
            <w:pPr>
              <w:pStyle w:val="NoSpacing"/>
              <w:jc w:val="center"/>
            </w:pPr>
            <w:r>
              <w:t>0.32</w:t>
            </w:r>
          </w:p>
        </w:tc>
        <w:tc>
          <w:tcPr>
            <w:tcW w:w="1368" w:type="dxa"/>
          </w:tcPr>
          <w:p w14:paraId="51C56D4A" w14:textId="6BA82530" w:rsidR="00A76919" w:rsidRDefault="003F3DDF" w:rsidP="003F3DDF">
            <w:pPr>
              <w:pStyle w:val="NoSpacing"/>
              <w:jc w:val="center"/>
            </w:pPr>
            <w:r>
              <w:t>0.05</w:t>
            </w:r>
          </w:p>
        </w:tc>
        <w:tc>
          <w:tcPr>
            <w:tcW w:w="0" w:type="auto"/>
          </w:tcPr>
          <w:p w14:paraId="1DFE9BC8" w14:textId="4EACCF46" w:rsidR="00A76919" w:rsidRDefault="003F3DDF" w:rsidP="003F3DDF">
            <w:pPr>
              <w:pStyle w:val="NoSpacing"/>
              <w:jc w:val="center"/>
            </w:pPr>
            <w:r>
              <w:t>0.00</w:t>
            </w:r>
          </w:p>
        </w:tc>
      </w:tr>
      <w:tr w:rsidR="003F3DDF" w14:paraId="66322D7C" w14:textId="77777777" w:rsidTr="00053DA8">
        <w:tc>
          <w:tcPr>
            <w:tcW w:w="4225" w:type="dxa"/>
          </w:tcPr>
          <w:p w14:paraId="7CACF3C6" w14:textId="77777777" w:rsidR="00A76919" w:rsidRPr="00B507DD" w:rsidRDefault="00A76919" w:rsidP="00A76919">
            <w:pPr>
              <w:pStyle w:val="NoSpacing"/>
            </w:pPr>
            <w:r>
              <w:t>Constant</w:t>
            </w:r>
          </w:p>
        </w:tc>
        <w:tc>
          <w:tcPr>
            <w:tcW w:w="900" w:type="dxa"/>
          </w:tcPr>
          <w:p w14:paraId="1210F515" w14:textId="104CB1AE" w:rsidR="00A76919" w:rsidRDefault="003F3DDF" w:rsidP="003F3DDF">
            <w:pPr>
              <w:pStyle w:val="NoSpacing"/>
              <w:jc w:val="center"/>
            </w:pPr>
            <w:r>
              <w:t>2.35</w:t>
            </w:r>
          </w:p>
        </w:tc>
        <w:tc>
          <w:tcPr>
            <w:tcW w:w="1350" w:type="dxa"/>
          </w:tcPr>
          <w:p w14:paraId="2F96EDBD" w14:textId="17074011" w:rsidR="00A76919" w:rsidRDefault="003F3DDF" w:rsidP="003F3DDF">
            <w:pPr>
              <w:pStyle w:val="NoSpacing"/>
              <w:jc w:val="center"/>
            </w:pPr>
            <w:r>
              <w:t>0.51</w:t>
            </w:r>
          </w:p>
        </w:tc>
        <w:tc>
          <w:tcPr>
            <w:tcW w:w="900" w:type="dxa"/>
          </w:tcPr>
          <w:p w14:paraId="4C2B2D99" w14:textId="009EDC14" w:rsidR="00A76919" w:rsidRDefault="003F3DDF" w:rsidP="003F3DDF">
            <w:pPr>
              <w:pStyle w:val="NoSpacing"/>
              <w:jc w:val="center"/>
            </w:pPr>
            <w:r>
              <w:t>0.00</w:t>
            </w:r>
          </w:p>
        </w:tc>
        <w:tc>
          <w:tcPr>
            <w:tcW w:w="720" w:type="dxa"/>
          </w:tcPr>
          <w:p w14:paraId="2F811A6E" w14:textId="0505352E" w:rsidR="00A76919" w:rsidRDefault="003F3DDF" w:rsidP="003F3DDF">
            <w:pPr>
              <w:pStyle w:val="NoSpacing"/>
              <w:jc w:val="center"/>
            </w:pPr>
            <w:r>
              <w:t>2.42</w:t>
            </w:r>
          </w:p>
        </w:tc>
        <w:tc>
          <w:tcPr>
            <w:tcW w:w="1368" w:type="dxa"/>
          </w:tcPr>
          <w:p w14:paraId="06DFAB42" w14:textId="306F4A7F" w:rsidR="00A76919" w:rsidRDefault="003F3DDF" w:rsidP="003F3DDF">
            <w:pPr>
              <w:pStyle w:val="NoSpacing"/>
              <w:jc w:val="center"/>
            </w:pPr>
            <w:r>
              <w:t>0.51</w:t>
            </w:r>
          </w:p>
        </w:tc>
        <w:tc>
          <w:tcPr>
            <w:tcW w:w="0" w:type="auto"/>
          </w:tcPr>
          <w:p w14:paraId="4DB9A66B" w14:textId="5A4C182F" w:rsidR="00A76919" w:rsidRDefault="003F3DDF" w:rsidP="003F3DDF">
            <w:pPr>
              <w:pStyle w:val="NoSpacing"/>
              <w:jc w:val="center"/>
            </w:pPr>
            <w:r>
              <w:t>0.00</w:t>
            </w:r>
          </w:p>
        </w:tc>
      </w:tr>
      <w:tr w:rsidR="003F3DDF" w14:paraId="28A3E4A4" w14:textId="77777777" w:rsidTr="00053DA8">
        <w:tc>
          <w:tcPr>
            <w:tcW w:w="4225" w:type="dxa"/>
          </w:tcPr>
          <w:p w14:paraId="2E07ED5A" w14:textId="77777777" w:rsidR="00A76919" w:rsidRDefault="00A76919" w:rsidP="00A76919">
            <w:pPr>
              <w:pStyle w:val="NoSpacing"/>
            </w:pPr>
            <w:r>
              <w:t>Pseudo-</w:t>
            </w:r>
            <w:r>
              <w:rPr>
                <w:i/>
                <w:iCs/>
              </w:rPr>
              <w:t>R</w:t>
            </w:r>
            <w:r>
              <w:t>-squared</w:t>
            </w:r>
          </w:p>
        </w:tc>
        <w:tc>
          <w:tcPr>
            <w:tcW w:w="900" w:type="dxa"/>
          </w:tcPr>
          <w:p w14:paraId="0129607A" w14:textId="77777777" w:rsidR="00A76919" w:rsidRDefault="00A76919" w:rsidP="003F3DDF">
            <w:pPr>
              <w:pStyle w:val="NoSpacing"/>
              <w:jc w:val="center"/>
            </w:pPr>
          </w:p>
        </w:tc>
        <w:tc>
          <w:tcPr>
            <w:tcW w:w="1350" w:type="dxa"/>
          </w:tcPr>
          <w:p w14:paraId="2B66E670" w14:textId="798315AE" w:rsidR="00A76919" w:rsidRDefault="003F3DDF" w:rsidP="003F3DDF">
            <w:pPr>
              <w:pStyle w:val="NoSpacing"/>
              <w:jc w:val="center"/>
            </w:pPr>
            <w:r>
              <w:t>0.52</w:t>
            </w:r>
          </w:p>
        </w:tc>
        <w:tc>
          <w:tcPr>
            <w:tcW w:w="900" w:type="dxa"/>
          </w:tcPr>
          <w:p w14:paraId="25A3206C" w14:textId="77777777" w:rsidR="00A76919" w:rsidRDefault="00A76919" w:rsidP="003F3DDF">
            <w:pPr>
              <w:pStyle w:val="NoSpacing"/>
              <w:jc w:val="center"/>
            </w:pPr>
          </w:p>
        </w:tc>
        <w:tc>
          <w:tcPr>
            <w:tcW w:w="720" w:type="dxa"/>
          </w:tcPr>
          <w:p w14:paraId="7E1F8405" w14:textId="77777777" w:rsidR="00A76919" w:rsidRDefault="00A76919" w:rsidP="003F3DDF">
            <w:pPr>
              <w:pStyle w:val="NoSpacing"/>
              <w:jc w:val="center"/>
            </w:pPr>
          </w:p>
        </w:tc>
        <w:tc>
          <w:tcPr>
            <w:tcW w:w="1368" w:type="dxa"/>
          </w:tcPr>
          <w:p w14:paraId="1A189F87" w14:textId="314FC893" w:rsidR="00A76919" w:rsidRDefault="003F3DDF" w:rsidP="003F3DDF">
            <w:pPr>
              <w:pStyle w:val="NoSpacing"/>
              <w:jc w:val="center"/>
            </w:pPr>
            <w:r>
              <w:t>0.52</w:t>
            </w:r>
          </w:p>
        </w:tc>
        <w:tc>
          <w:tcPr>
            <w:tcW w:w="0" w:type="auto"/>
          </w:tcPr>
          <w:p w14:paraId="3DACC8E6" w14:textId="77777777" w:rsidR="00A76919" w:rsidRDefault="00A76919" w:rsidP="003F3DDF">
            <w:pPr>
              <w:pStyle w:val="NoSpacing"/>
              <w:jc w:val="center"/>
            </w:pPr>
          </w:p>
        </w:tc>
      </w:tr>
      <w:tr w:rsidR="003F3DDF" w14:paraId="5F0F393D" w14:textId="77777777" w:rsidTr="00053DA8">
        <w:tc>
          <w:tcPr>
            <w:tcW w:w="4225" w:type="dxa"/>
          </w:tcPr>
          <w:p w14:paraId="32872D30" w14:textId="77777777" w:rsidR="00A76919" w:rsidRDefault="00A76919" w:rsidP="00A76919">
            <w:pPr>
              <w:pStyle w:val="NoSpacing"/>
            </w:pPr>
            <w:r>
              <w:t>Multicollinearity condition number</w:t>
            </w:r>
          </w:p>
        </w:tc>
        <w:tc>
          <w:tcPr>
            <w:tcW w:w="900" w:type="dxa"/>
          </w:tcPr>
          <w:p w14:paraId="06DD5A77" w14:textId="77777777" w:rsidR="00A76919" w:rsidRDefault="00A76919" w:rsidP="003F3DDF">
            <w:pPr>
              <w:pStyle w:val="NoSpacing"/>
              <w:jc w:val="center"/>
            </w:pPr>
          </w:p>
        </w:tc>
        <w:tc>
          <w:tcPr>
            <w:tcW w:w="1350" w:type="dxa"/>
          </w:tcPr>
          <w:p w14:paraId="74E43A67" w14:textId="0E48E79A" w:rsidR="00A76919" w:rsidRDefault="003F3DDF" w:rsidP="003F3DDF">
            <w:pPr>
              <w:pStyle w:val="NoSpacing"/>
              <w:jc w:val="center"/>
            </w:pPr>
            <w:r>
              <w:t>10.31</w:t>
            </w:r>
          </w:p>
        </w:tc>
        <w:tc>
          <w:tcPr>
            <w:tcW w:w="900" w:type="dxa"/>
          </w:tcPr>
          <w:p w14:paraId="72A183F1" w14:textId="77777777" w:rsidR="00A76919" w:rsidRDefault="00A76919" w:rsidP="003F3DDF">
            <w:pPr>
              <w:pStyle w:val="NoSpacing"/>
              <w:jc w:val="center"/>
            </w:pPr>
          </w:p>
        </w:tc>
        <w:tc>
          <w:tcPr>
            <w:tcW w:w="720" w:type="dxa"/>
          </w:tcPr>
          <w:p w14:paraId="394F9E93" w14:textId="77777777" w:rsidR="00A76919" w:rsidRDefault="00A76919" w:rsidP="003F3DDF">
            <w:pPr>
              <w:pStyle w:val="NoSpacing"/>
              <w:jc w:val="center"/>
            </w:pPr>
          </w:p>
        </w:tc>
        <w:tc>
          <w:tcPr>
            <w:tcW w:w="1368" w:type="dxa"/>
          </w:tcPr>
          <w:p w14:paraId="3E834824" w14:textId="33B17101" w:rsidR="00A76919" w:rsidRDefault="003F3DDF" w:rsidP="003F3DDF">
            <w:pPr>
              <w:pStyle w:val="NoSpacing"/>
              <w:jc w:val="center"/>
            </w:pPr>
            <w:r>
              <w:t>10.48</w:t>
            </w:r>
          </w:p>
        </w:tc>
        <w:tc>
          <w:tcPr>
            <w:tcW w:w="0" w:type="auto"/>
          </w:tcPr>
          <w:p w14:paraId="4D7365A5" w14:textId="77777777" w:rsidR="00A76919" w:rsidRDefault="00A76919" w:rsidP="003F3DDF">
            <w:pPr>
              <w:pStyle w:val="NoSpacing"/>
              <w:jc w:val="center"/>
            </w:pPr>
          </w:p>
        </w:tc>
      </w:tr>
      <w:tr w:rsidR="003F3DDF" w14:paraId="1253897E" w14:textId="77777777" w:rsidTr="00053DA8">
        <w:tc>
          <w:tcPr>
            <w:tcW w:w="4225" w:type="dxa"/>
          </w:tcPr>
          <w:p w14:paraId="6613D23E" w14:textId="77777777" w:rsidR="00A76919" w:rsidRDefault="00A76919" w:rsidP="00A76919">
            <w:pPr>
              <w:pStyle w:val="NoSpacing"/>
            </w:pPr>
            <w:r>
              <w:t>S.E. of Regression</w:t>
            </w:r>
          </w:p>
        </w:tc>
        <w:tc>
          <w:tcPr>
            <w:tcW w:w="900" w:type="dxa"/>
          </w:tcPr>
          <w:p w14:paraId="217582BF" w14:textId="77777777" w:rsidR="00A76919" w:rsidRDefault="00A76919" w:rsidP="003F3DDF">
            <w:pPr>
              <w:pStyle w:val="NoSpacing"/>
              <w:jc w:val="center"/>
            </w:pPr>
          </w:p>
        </w:tc>
        <w:tc>
          <w:tcPr>
            <w:tcW w:w="1350" w:type="dxa"/>
          </w:tcPr>
          <w:p w14:paraId="34259448" w14:textId="11950ECF" w:rsidR="00A76919" w:rsidRDefault="003F3DDF" w:rsidP="003F3DDF">
            <w:pPr>
              <w:pStyle w:val="NoSpacing"/>
              <w:jc w:val="center"/>
            </w:pPr>
            <w:r>
              <w:t>2.23</w:t>
            </w:r>
          </w:p>
        </w:tc>
        <w:tc>
          <w:tcPr>
            <w:tcW w:w="900" w:type="dxa"/>
          </w:tcPr>
          <w:p w14:paraId="20B65F28" w14:textId="77777777" w:rsidR="00A76919" w:rsidRDefault="00A76919" w:rsidP="003F3DDF">
            <w:pPr>
              <w:pStyle w:val="NoSpacing"/>
              <w:jc w:val="center"/>
            </w:pPr>
          </w:p>
        </w:tc>
        <w:tc>
          <w:tcPr>
            <w:tcW w:w="720" w:type="dxa"/>
          </w:tcPr>
          <w:p w14:paraId="0F6D4293" w14:textId="77777777" w:rsidR="00A76919" w:rsidRDefault="00A76919" w:rsidP="003F3DDF">
            <w:pPr>
              <w:pStyle w:val="NoSpacing"/>
              <w:jc w:val="center"/>
            </w:pPr>
          </w:p>
        </w:tc>
        <w:tc>
          <w:tcPr>
            <w:tcW w:w="1368" w:type="dxa"/>
          </w:tcPr>
          <w:p w14:paraId="6D9FA7FD" w14:textId="292F124D" w:rsidR="00A76919" w:rsidRDefault="003F3DDF" w:rsidP="003F3DDF">
            <w:pPr>
              <w:pStyle w:val="NoSpacing"/>
              <w:jc w:val="center"/>
            </w:pPr>
            <w:r>
              <w:t>2.23</w:t>
            </w:r>
          </w:p>
        </w:tc>
        <w:tc>
          <w:tcPr>
            <w:tcW w:w="0" w:type="auto"/>
          </w:tcPr>
          <w:p w14:paraId="20FC83A8" w14:textId="77777777" w:rsidR="00A76919" w:rsidRDefault="00A76919" w:rsidP="003F3DDF">
            <w:pPr>
              <w:pStyle w:val="NoSpacing"/>
              <w:jc w:val="center"/>
            </w:pPr>
          </w:p>
        </w:tc>
      </w:tr>
    </w:tbl>
    <w:p w14:paraId="1B200EBC" w14:textId="77777777" w:rsidR="00053DA8" w:rsidRDefault="00053DA8" w:rsidP="00A47C56">
      <w:pPr>
        <w:rPr>
          <w:rFonts w:cstheme="minorHAnsi"/>
          <w:sz w:val="24"/>
          <w:szCs w:val="24"/>
        </w:rPr>
      </w:pPr>
    </w:p>
    <w:p w14:paraId="1FD7209A" w14:textId="14C31597" w:rsidR="00A47C56" w:rsidRPr="00A47C56" w:rsidRDefault="00A47C56" w:rsidP="00A47C56">
      <w:pPr>
        <w:rPr>
          <w:rFonts w:cstheme="minorHAnsi"/>
          <w:sz w:val="24"/>
          <w:szCs w:val="24"/>
        </w:rPr>
      </w:pPr>
      <w:r w:rsidRPr="00A47C56">
        <w:rPr>
          <w:rFonts w:cstheme="minorHAnsi"/>
          <w:sz w:val="24"/>
          <w:szCs w:val="24"/>
        </w:rPr>
        <w:t xml:space="preserve">To identify the presence of more global processes that operate in the association between alcohol outlets and non-violent crime and to test the reliability of our findings, we also estimated these associations using data from a similar large Midwestern city, and we report these findings in the Appendix </w:t>
      </w:r>
      <w:hyperlink r:id="rId104" w:anchor="APP0001" w:history="1">
        <w:r w:rsidRPr="00A47C56">
          <w:rPr>
            <w:rStyle w:val="Hyperlink"/>
            <w:rFonts w:cstheme="minorHAnsi"/>
            <w:sz w:val="24"/>
            <w:szCs w:val="24"/>
          </w:rPr>
          <w:t>A</w:t>
        </w:r>
      </w:hyperlink>
      <w:r w:rsidRPr="00A47C56">
        <w:rPr>
          <w:rFonts w:cstheme="minorHAnsi"/>
          <w:sz w:val="24"/>
          <w:szCs w:val="24"/>
        </w:rPr>
        <w:t>. Results were generally similar. In Indianapolis, we found similar positive effects of on-premise alcohol outlet density on thefts from vehicles and a similar lack of moderating effects of social disorganization on the association between off-premise alcohol outlet density and thefts from vehicles.</w:t>
      </w:r>
    </w:p>
    <w:p w14:paraId="1B0A6C4B" w14:textId="77777777" w:rsidR="00A47C56" w:rsidRPr="00A47C56" w:rsidRDefault="00A47C56" w:rsidP="00416C13">
      <w:pPr>
        <w:pStyle w:val="Heading1"/>
      </w:pPr>
      <w:r w:rsidRPr="00A47C56">
        <w:t>Discussion</w:t>
      </w:r>
    </w:p>
    <w:p w14:paraId="79E9437F" w14:textId="77777777" w:rsidR="00A47C56" w:rsidRPr="00A47C56" w:rsidRDefault="00A47C56" w:rsidP="00A47C56">
      <w:pPr>
        <w:rPr>
          <w:rFonts w:cstheme="minorHAnsi"/>
          <w:sz w:val="24"/>
          <w:szCs w:val="24"/>
        </w:rPr>
      </w:pPr>
      <w:r w:rsidRPr="00A47C56">
        <w:rPr>
          <w:rFonts w:cstheme="minorHAnsi"/>
          <w:sz w:val="24"/>
          <w:szCs w:val="24"/>
        </w:rPr>
        <w:t xml:space="preserve">Using Milwaukee, Wisconsin, block groups as units of analysis, crime data from the Milwaukee Police Department, and controlling for several structural characteristics associated with crime, we found evidence of an association between alcohol outlets and non-violent crimes. Areas with higher densities of on-premise alcohol outlets (e.g., bars and restaurants) had higher densities of thefts from vehicles, net of control variables. Areas with higher densities of off-premise alcohol outlets (e.g., convenience and liquor stores) had higher densities of thefts from vehicles, although </w:t>
      </w:r>
      <w:r w:rsidRPr="00A47C56">
        <w:rPr>
          <w:rFonts w:cstheme="minorHAnsi"/>
          <w:i/>
          <w:iCs/>
          <w:sz w:val="24"/>
          <w:szCs w:val="24"/>
        </w:rPr>
        <w:t>p</w:t>
      </w:r>
      <w:r w:rsidRPr="00A47C56">
        <w:rPr>
          <w:rFonts w:cstheme="minorHAnsi"/>
          <w:sz w:val="24"/>
          <w:szCs w:val="24"/>
        </w:rPr>
        <w:t>-values did not allow for strong conclusions. Areas with higher densities of both on- and off-premise alcohol outlet densities had higher densities of vandalism of property.</w:t>
      </w:r>
    </w:p>
    <w:p w14:paraId="04CF5F91" w14:textId="1E2016B2" w:rsidR="00A47C56" w:rsidRPr="00A47C56" w:rsidRDefault="00A47C56" w:rsidP="00A47C56">
      <w:pPr>
        <w:rPr>
          <w:rFonts w:cstheme="minorHAnsi"/>
          <w:sz w:val="24"/>
          <w:szCs w:val="24"/>
        </w:rPr>
      </w:pPr>
      <w:r w:rsidRPr="00A47C56">
        <w:rPr>
          <w:rFonts w:cstheme="minorHAnsi"/>
          <w:sz w:val="24"/>
          <w:szCs w:val="24"/>
        </w:rPr>
        <w:t xml:space="preserve">Taken together, these findings are similar to few previous studies that examined associations between alcohol outlet density and non-violent crimes. For example, density of on- and off-premise alcohol outlets was found to be significantly associated with vandalism in prior studies (Toomey et al. </w:t>
      </w:r>
      <w:hyperlink r:id="rId105" w:history="1">
        <w:r w:rsidRPr="00A47C56">
          <w:rPr>
            <w:rStyle w:val="Hyperlink"/>
            <w:rFonts w:cstheme="minorHAnsi"/>
            <w:sz w:val="24"/>
            <w:szCs w:val="24"/>
          </w:rPr>
          <w:t>2012</w:t>
        </w:r>
      </w:hyperlink>
      <w:r w:rsidRPr="00A47C56">
        <w:rPr>
          <w:rFonts w:cstheme="minorHAnsi"/>
          <w:sz w:val="24"/>
          <w:szCs w:val="24"/>
        </w:rPr>
        <w:t xml:space="preserve">; Wechsler et al. </w:t>
      </w:r>
      <w:hyperlink r:id="rId106" w:history="1">
        <w:r w:rsidRPr="00A47C56">
          <w:rPr>
            <w:rStyle w:val="Hyperlink"/>
            <w:rFonts w:cstheme="minorHAnsi"/>
            <w:sz w:val="24"/>
            <w:szCs w:val="24"/>
          </w:rPr>
          <w:t>2002</w:t>
        </w:r>
      </w:hyperlink>
      <w:r w:rsidRPr="00A47C56">
        <w:rPr>
          <w:rFonts w:cstheme="minorHAnsi"/>
          <w:sz w:val="24"/>
          <w:szCs w:val="24"/>
        </w:rPr>
        <w:t xml:space="preserve">). Prior studies also found density of bars and clubs was significantly associated with property damage (Cameron et al. </w:t>
      </w:r>
      <w:hyperlink r:id="rId107" w:history="1">
        <w:r w:rsidRPr="00A47C56">
          <w:rPr>
            <w:rStyle w:val="Hyperlink"/>
            <w:rFonts w:cstheme="minorHAnsi"/>
            <w:sz w:val="24"/>
            <w:szCs w:val="24"/>
          </w:rPr>
          <w:t>2012</w:t>
        </w:r>
      </w:hyperlink>
      <w:r w:rsidRPr="00A47C56">
        <w:rPr>
          <w:rFonts w:cstheme="minorHAnsi"/>
          <w:sz w:val="24"/>
          <w:szCs w:val="24"/>
        </w:rPr>
        <w:t xml:space="preserve">) and that living in proximity to liquor stores was associated with reports of property damage (Wilkinson and Livingston </w:t>
      </w:r>
      <w:hyperlink r:id="rId108" w:history="1">
        <w:r w:rsidRPr="00A47C56">
          <w:rPr>
            <w:rStyle w:val="Hyperlink"/>
            <w:rFonts w:cstheme="minorHAnsi"/>
            <w:sz w:val="24"/>
            <w:szCs w:val="24"/>
          </w:rPr>
          <w:t>2012</w:t>
        </w:r>
      </w:hyperlink>
      <w:r w:rsidRPr="00A47C56">
        <w:rPr>
          <w:rFonts w:cstheme="minorHAnsi"/>
          <w:sz w:val="24"/>
          <w:szCs w:val="24"/>
        </w:rPr>
        <w:t>), and our study supports similar conclusions. To our knowledge, there are no such studies that examined the role of alcohol outlets in thefts from vehicles. The findings of our study about the associations between alcohol outlets and thefts from vehicles suggest that this type of non-violent crime is associated with the density of on-premise alcohol outlets (and we found some evidence of a marginal effect for off-premise alcohol outlets).</w:t>
      </w:r>
    </w:p>
    <w:p w14:paraId="2291FE0B" w14:textId="77777777" w:rsidR="00A47C56" w:rsidRPr="00A47C56" w:rsidRDefault="00A47C56" w:rsidP="00A47C56">
      <w:pPr>
        <w:rPr>
          <w:rFonts w:cstheme="minorHAnsi"/>
          <w:sz w:val="24"/>
          <w:szCs w:val="24"/>
        </w:rPr>
      </w:pPr>
      <w:r w:rsidRPr="00A47C56">
        <w:rPr>
          <w:rFonts w:cstheme="minorHAnsi"/>
          <w:sz w:val="24"/>
          <w:szCs w:val="24"/>
        </w:rPr>
        <w:t>The results suggest that the effects on property crime of alcohol outlets are more consistent for on-premise outlets than for off-premise outlets. This makes sense if one considers the situation from a routine activities perspective. Both types of outlets might bring strangers together for a short period of time, but only on-premise outlets bring these individuals together for lengthy periods of time and likely involve much greater effects in respect to guardianship. The vehicles near a bar are likely to be left unattended for much longer than near a carryout or liquor store. Additionally, the patrons of a tavern are much more likely to be intoxicated, both reducing guardianship and potentially increasing the supply of motivated offenders. Therefore, another avenue for future research is to explore whether these differences between on- and off-premise outlets are robust for other types of non-violent crime.</w:t>
      </w:r>
    </w:p>
    <w:p w14:paraId="55CBA098" w14:textId="5DEBC537" w:rsidR="00A47C56" w:rsidRPr="00A47C56" w:rsidRDefault="00A47C56" w:rsidP="00A47C56">
      <w:pPr>
        <w:rPr>
          <w:rFonts w:cstheme="minorHAnsi"/>
          <w:sz w:val="24"/>
          <w:szCs w:val="24"/>
        </w:rPr>
      </w:pPr>
      <w:r w:rsidRPr="00A47C56">
        <w:rPr>
          <w:rFonts w:cstheme="minorHAnsi"/>
          <w:sz w:val="24"/>
          <w:szCs w:val="24"/>
        </w:rPr>
        <w:t>We also tested whether social disorganization moderated the effects of alcohol outlets on non-violent crime. Our results for non-violent crime are not consistent with those of Pridemore and Grubesic (</w:t>
      </w:r>
      <w:hyperlink r:id="rId109" w:history="1">
        <w:r w:rsidRPr="00A47C56">
          <w:rPr>
            <w:rStyle w:val="Hyperlink"/>
            <w:rFonts w:cstheme="minorHAnsi"/>
            <w:sz w:val="24"/>
            <w:szCs w:val="24"/>
          </w:rPr>
          <w:t>2012</w:t>
        </w:r>
      </w:hyperlink>
      <w:r w:rsidRPr="00A47C56">
        <w:rPr>
          <w:rFonts w:cstheme="minorHAnsi"/>
          <w:sz w:val="24"/>
          <w:szCs w:val="24"/>
        </w:rPr>
        <w:t xml:space="preserve">) who found that alcohol outlet density had a greater impact on violent crime in socially disorganized areas. Although we did find some evidence that social disorganization moderated the effect of alcohol outlet premises on non-violent crime, social disorganization appeared to </w:t>
      </w:r>
      <w:r w:rsidRPr="00A47C56">
        <w:rPr>
          <w:rFonts w:cstheme="minorHAnsi"/>
          <w:i/>
          <w:iCs/>
          <w:sz w:val="24"/>
          <w:szCs w:val="24"/>
        </w:rPr>
        <w:t>dampen</w:t>
      </w:r>
      <w:r w:rsidRPr="00A47C56">
        <w:rPr>
          <w:rFonts w:cstheme="minorHAnsi"/>
          <w:sz w:val="24"/>
          <w:szCs w:val="24"/>
        </w:rPr>
        <w:t xml:space="preserve"> the effect of alcohol outlets on vandalism rather than enhance it. One possible explanation for this could be in the types of crimes we studied. It could be that the minor crimes examined in this study are less likely to be reported in socially disorganized areas (see </w:t>
      </w:r>
      <w:proofErr w:type="spellStart"/>
      <w:r w:rsidRPr="00A47C56">
        <w:rPr>
          <w:rFonts w:cstheme="minorHAnsi"/>
          <w:sz w:val="24"/>
          <w:szCs w:val="24"/>
        </w:rPr>
        <w:t>Baumer</w:t>
      </w:r>
      <w:proofErr w:type="spellEnd"/>
      <w:r w:rsidRPr="00A47C56">
        <w:rPr>
          <w:rFonts w:cstheme="minorHAnsi"/>
          <w:sz w:val="24"/>
          <w:szCs w:val="24"/>
        </w:rPr>
        <w:t xml:space="preserve"> </w:t>
      </w:r>
      <w:hyperlink r:id="rId110" w:history="1">
        <w:r w:rsidRPr="00A47C56">
          <w:rPr>
            <w:rStyle w:val="Hyperlink"/>
            <w:rFonts w:cstheme="minorHAnsi"/>
            <w:sz w:val="24"/>
            <w:szCs w:val="24"/>
          </w:rPr>
          <w:t>2002</w:t>
        </w:r>
      </w:hyperlink>
      <w:r w:rsidRPr="00A47C56">
        <w:rPr>
          <w:rFonts w:cstheme="minorHAnsi"/>
          <w:sz w:val="24"/>
          <w:szCs w:val="24"/>
        </w:rPr>
        <w:t xml:space="preserve">). Another possible explanation could be differences in attractive targets across communities with different levels of social disorganization. There is evidence that poorer and socially disorganized communities have greater alcohol outlet density (Snowden, </w:t>
      </w:r>
      <w:hyperlink r:id="rId111" w:history="1">
        <w:r w:rsidRPr="00A47C56">
          <w:rPr>
            <w:rStyle w:val="Hyperlink"/>
            <w:rFonts w:cstheme="minorHAnsi"/>
            <w:sz w:val="24"/>
            <w:szCs w:val="24"/>
          </w:rPr>
          <w:t>2016b</w:t>
        </w:r>
      </w:hyperlink>
      <w:r w:rsidRPr="00A47C56">
        <w:rPr>
          <w:rFonts w:cstheme="minorHAnsi"/>
          <w:sz w:val="24"/>
          <w:szCs w:val="24"/>
        </w:rPr>
        <w:t>), but they also probably possess fewer attractive targets for theft. Given these divergent findings across crime types on the moderating effects of social disorganization, further study is warranted.</w:t>
      </w:r>
    </w:p>
    <w:p w14:paraId="7FDCD4AF" w14:textId="77777777" w:rsidR="00A47C56" w:rsidRPr="00A47C56" w:rsidRDefault="00A47C56" w:rsidP="00416C13">
      <w:pPr>
        <w:pStyle w:val="Heading2"/>
      </w:pPr>
      <w:r w:rsidRPr="00A47C56">
        <w:t>Limitations</w:t>
      </w:r>
    </w:p>
    <w:p w14:paraId="55D84C3D" w14:textId="20AA510A" w:rsidR="00A47C56" w:rsidRPr="00A47C56" w:rsidRDefault="00A47C56" w:rsidP="00A47C56">
      <w:pPr>
        <w:rPr>
          <w:rFonts w:cstheme="minorHAnsi"/>
          <w:sz w:val="24"/>
          <w:szCs w:val="24"/>
        </w:rPr>
      </w:pPr>
      <w:r w:rsidRPr="00A47C56">
        <w:rPr>
          <w:rFonts w:cstheme="minorHAnsi"/>
          <w:sz w:val="24"/>
          <w:szCs w:val="24"/>
        </w:rPr>
        <w:t xml:space="preserve">To measure our dependent variables, we used police data that included only incidents reported to the police. A significant proportion of non-violent crimes go unreported and </w:t>
      </w:r>
      <w:proofErr w:type="spellStart"/>
      <w:r w:rsidRPr="00A47C56">
        <w:rPr>
          <w:rFonts w:cstheme="minorHAnsi"/>
          <w:sz w:val="24"/>
          <w:szCs w:val="24"/>
        </w:rPr>
        <w:t>Baumer</w:t>
      </w:r>
      <w:proofErr w:type="spellEnd"/>
      <w:r w:rsidRPr="00A47C56">
        <w:rPr>
          <w:rFonts w:cstheme="minorHAnsi"/>
          <w:sz w:val="24"/>
          <w:szCs w:val="24"/>
        </w:rPr>
        <w:t xml:space="preserve"> (</w:t>
      </w:r>
      <w:hyperlink r:id="rId112" w:history="1">
        <w:r w:rsidRPr="00A47C56">
          <w:rPr>
            <w:rStyle w:val="Hyperlink"/>
            <w:rFonts w:cstheme="minorHAnsi"/>
            <w:sz w:val="24"/>
            <w:szCs w:val="24"/>
          </w:rPr>
          <w:t>2002</w:t>
        </w:r>
      </w:hyperlink>
      <w:r w:rsidRPr="00A47C56">
        <w:rPr>
          <w:rFonts w:cstheme="minorHAnsi"/>
          <w:sz w:val="24"/>
          <w:szCs w:val="24"/>
        </w:rPr>
        <w:t xml:space="preserve">) found differential reporting of less serious crimes to police by socioeconomic disadvantage, which could bias estimates when using police data. Second, we examined crimes that occurred in the first nine months of the year, and the results may not be generalizable to fall months (September–December). Third, we examined only two types of non-violent crimes, thefts from vehicles and vandalism of property. Future research should examine other types of non-violent crimes that are important to safety, public order, and quality of life. Fourth, we were unable to control for other retail outlets that may contribute to the observed effects of alcohol outlets on non-violent crimes due to bringing potential offenders and victims together in retail areas. However, prior studies have shown that the effect of alcohol outlets on crime rates remains, even when controlling for land use and for the presence of other retail outlets (Grubesic et al. </w:t>
      </w:r>
      <w:hyperlink r:id="rId113" w:history="1">
        <w:r w:rsidRPr="00A47C56">
          <w:rPr>
            <w:rStyle w:val="Hyperlink"/>
            <w:rFonts w:cstheme="minorHAnsi"/>
            <w:sz w:val="24"/>
            <w:szCs w:val="24"/>
          </w:rPr>
          <w:t>2013</w:t>
        </w:r>
      </w:hyperlink>
      <w:r w:rsidRPr="00A47C56">
        <w:rPr>
          <w:rFonts w:cstheme="minorHAnsi"/>
          <w:sz w:val="24"/>
          <w:szCs w:val="24"/>
        </w:rPr>
        <w:t xml:space="preserve">; Snowden and </w:t>
      </w:r>
      <w:proofErr w:type="spellStart"/>
      <w:r w:rsidRPr="00A47C56">
        <w:rPr>
          <w:rFonts w:cstheme="minorHAnsi"/>
          <w:sz w:val="24"/>
          <w:szCs w:val="24"/>
        </w:rPr>
        <w:t>Pridemore</w:t>
      </w:r>
      <w:proofErr w:type="spellEnd"/>
      <w:r w:rsidRPr="00A47C56">
        <w:rPr>
          <w:rFonts w:cstheme="minorHAnsi"/>
          <w:sz w:val="24"/>
          <w:szCs w:val="24"/>
        </w:rPr>
        <w:t xml:space="preserve"> </w:t>
      </w:r>
      <w:hyperlink r:id="rId114" w:history="1">
        <w:r w:rsidRPr="00A47C56">
          <w:rPr>
            <w:rStyle w:val="Hyperlink"/>
            <w:rFonts w:cstheme="minorHAnsi"/>
            <w:sz w:val="24"/>
            <w:szCs w:val="24"/>
          </w:rPr>
          <w:t>2013b</w:t>
        </w:r>
      </w:hyperlink>
      <w:r w:rsidRPr="00A47C56">
        <w:rPr>
          <w:rFonts w:cstheme="minorHAnsi"/>
          <w:sz w:val="24"/>
          <w:szCs w:val="24"/>
        </w:rPr>
        <w:t>). Lastly, our data do not allow us to examine the proximity of alcohol outlets to main streets, intersections, or bus stops, all of which could also contribute to neighborhood levels of thefts from vehicles and vandalism of property.</w:t>
      </w:r>
    </w:p>
    <w:p w14:paraId="65F19401" w14:textId="77777777" w:rsidR="00A47C56" w:rsidRPr="00A47C56" w:rsidRDefault="00A47C56" w:rsidP="00416C13">
      <w:pPr>
        <w:pStyle w:val="Heading1"/>
      </w:pPr>
      <w:r w:rsidRPr="00A47C56">
        <w:t>Conclusion</w:t>
      </w:r>
    </w:p>
    <w:p w14:paraId="7FC7CE04" w14:textId="614BB610" w:rsidR="00A47C56" w:rsidRPr="00A47C56" w:rsidRDefault="00A47C56" w:rsidP="00A47C56">
      <w:pPr>
        <w:rPr>
          <w:rFonts w:cstheme="minorHAnsi"/>
          <w:sz w:val="24"/>
          <w:szCs w:val="24"/>
        </w:rPr>
      </w:pPr>
      <w:r w:rsidRPr="00A47C56">
        <w:rPr>
          <w:rFonts w:cstheme="minorHAnsi"/>
          <w:sz w:val="24"/>
          <w:szCs w:val="24"/>
        </w:rPr>
        <w:t xml:space="preserve">Most empirical studies of alcohol outlets and crime examine violence rates as the outcome (e.g., Livingston </w:t>
      </w:r>
      <w:hyperlink r:id="rId115" w:history="1">
        <w:r w:rsidRPr="00A47C56">
          <w:rPr>
            <w:rStyle w:val="Hyperlink"/>
            <w:rFonts w:cstheme="minorHAnsi"/>
            <w:sz w:val="24"/>
            <w:szCs w:val="24"/>
          </w:rPr>
          <w:t>2008b</w:t>
        </w:r>
      </w:hyperlink>
      <w:r w:rsidRPr="00A47C56">
        <w:rPr>
          <w:rFonts w:cstheme="minorHAnsi"/>
          <w:sz w:val="24"/>
          <w:szCs w:val="24"/>
        </w:rPr>
        <w:t xml:space="preserve">; Sparks </w:t>
      </w:r>
      <w:hyperlink r:id="rId116" w:history="1">
        <w:r w:rsidRPr="00A47C56">
          <w:rPr>
            <w:rStyle w:val="Hyperlink"/>
            <w:rFonts w:cstheme="minorHAnsi"/>
            <w:sz w:val="24"/>
            <w:szCs w:val="24"/>
          </w:rPr>
          <w:t>2011</w:t>
        </w:r>
      </w:hyperlink>
      <w:r w:rsidRPr="00A47C56">
        <w:rPr>
          <w:rFonts w:cstheme="minorHAnsi"/>
          <w:sz w:val="24"/>
          <w:szCs w:val="24"/>
        </w:rPr>
        <w:t>). Our study is one of the few to examine whether alcohol outlets are associated with less serious non-violent crimes. Although these types of crimes are less serious, they are more common than violent crimes and are very important for daily quality of life of community members. Our study controlled for several structural variables associated with major theoretical explanations of crime and examined if on-premise and off-premise alcohol outlet densities were associated with two non-violent crimes – thefts from vehicles and vandalism of property – and if the association between alcohol outlets and non-violent crimes was moderated by social disorganization levels. We found that on-premise alcohol outlet density was associated with thefts from vehicles and vandalism of property and that off-premise alcohol outlet density is associated with vandalism of property. Unlike a prior study of outlet density and violence, we found no evidence social disorganization exacerbates the effect of outlet density on non-violent crime, which is a theoretically important finding.</w:t>
      </w:r>
    </w:p>
    <w:p w14:paraId="2F375F9F" w14:textId="77777777" w:rsidR="00A47C56" w:rsidRPr="00A47C56" w:rsidRDefault="00A47C56" w:rsidP="00A47C56">
      <w:pPr>
        <w:rPr>
          <w:rFonts w:cstheme="minorHAnsi"/>
          <w:sz w:val="24"/>
          <w:szCs w:val="24"/>
        </w:rPr>
      </w:pPr>
      <w:r w:rsidRPr="00A47C56">
        <w:rPr>
          <w:rFonts w:cstheme="minorHAnsi"/>
          <w:sz w:val="24"/>
          <w:szCs w:val="24"/>
        </w:rPr>
        <w:t>Our findings have clear policy implications for local jurisdictions. Accumulation of empirical evidence suggests density of alcohol outlets is important for both violent and non-violent crimes. While not as serious as violent crimes, non-violent crimes can have an important influence on the overall well-being and perceptions of safety of community residents. Local jurisdictions can reduce non-violent crimes by limiting the licensing of alcohol selling establishments, perhaps especially those that engage in irresponsible retail practices.</w:t>
      </w:r>
    </w:p>
    <w:p w14:paraId="57029CED" w14:textId="77777777" w:rsidR="00A47C56" w:rsidRPr="00A47C56" w:rsidRDefault="00A47C56" w:rsidP="00416C13">
      <w:pPr>
        <w:pStyle w:val="Heading1"/>
      </w:pPr>
      <w:r w:rsidRPr="00A47C56">
        <w:t>Notes</w:t>
      </w:r>
    </w:p>
    <w:p w14:paraId="1A4B1195" w14:textId="51037EF6" w:rsidR="00A47C56" w:rsidRPr="00A47C56" w:rsidRDefault="00A47C56" w:rsidP="00053DA8">
      <w:pPr>
        <w:spacing w:after="0"/>
        <w:ind w:left="720" w:hanging="720"/>
        <w:rPr>
          <w:rFonts w:cstheme="minorHAnsi"/>
          <w:sz w:val="24"/>
          <w:szCs w:val="24"/>
        </w:rPr>
      </w:pPr>
      <w:r w:rsidRPr="00A47C56">
        <w:rPr>
          <w:rFonts w:cstheme="minorHAnsi"/>
          <w:sz w:val="24"/>
          <w:szCs w:val="24"/>
        </w:rPr>
        <w:t>1 97% successful match for thefts from vehicles and 99% successful match for vandalism of property.</w:t>
      </w:r>
    </w:p>
    <w:p w14:paraId="4CEE40AB" w14:textId="0E2A8F91" w:rsidR="00A47C56" w:rsidRPr="00A47C56" w:rsidRDefault="00A47C56" w:rsidP="00053DA8">
      <w:pPr>
        <w:spacing w:after="0"/>
        <w:ind w:left="720" w:hanging="720"/>
        <w:rPr>
          <w:rFonts w:cstheme="minorHAnsi"/>
          <w:sz w:val="24"/>
          <w:szCs w:val="24"/>
        </w:rPr>
      </w:pPr>
      <w:r w:rsidRPr="00A47C56">
        <w:rPr>
          <w:rFonts w:cstheme="minorHAnsi"/>
          <w:sz w:val="24"/>
          <w:szCs w:val="24"/>
        </w:rPr>
        <w:t>2 99.7% successful match rate.</w:t>
      </w:r>
    </w:p>
    <w:p w14:paraId="6B33BB28" w14:textId="11D26C3E" w:rsidR="00A47C56" w:rsidRPr="00A47C56" w:rsidRDefault="00A47C56" w:rsidP="00053DA8">
      <w:pPr>
        <w:spacing w:after="0"/>
        <w:ind w:left="720" w:hanging="720"/>
        <w:rPr>
          <w:rFonts w:cstheme="minorHAnsi"/>
          <w:sz w:val="24"/>
          <w:szCs w:val="24"/>
        </w:rPr>
      </w:pPr>
      <w:r w:rsidRPr="00A47C56">
        <w:rPr>
          <w:rFonts w:cstheme="minorHAnsi"/>
          <w:sz w:val="24"/>
          <w:szCs w:val="24"/>
        </w:rPr>
        <w:t>3 We chose the contiguity spatial weight matrix because the units of analysis (i.e., census block groups) are arranged in a grid-like manner. We used first-order queen contiguity because we wanted to allow for equal influence of neighboring crime levels on our units of analysis. We considered but decided not to use the first-order rook contiguity matrix because rook weights would have produced fewer neighbors relative to the queen weights. As such, on average, each neighboring observation would have more influence on our census block groups.</w:t>
      </w:r>
    </w:p>
    <w:p w14:paraId="3A9FE1F8" w14:textId="508F53B3" w:rsidR="00A47C56" w:rsidRPr="00A47C56" w:rsidRDefault="00A47C56" w:rsidP="00053DA8">
      <w:pPr>
        <w:spacing w:after="0"/>
        <w:ind w:left="720" w:hanging="720"/>
        <w:rPr>
          <w:rFonts w:cstheme="minorHAnsi"/>
          <w:sz w:val="24"/>
          <w:szCs w:val="24"/>
        </w:rPr>
      </w:pPr>
      <w:r w:rsidRPr="00A47C56">
        <w:rPr>
          <w:rFonts w:cstheme="minorHAnsi"/>
          <w:sz w:val="24"/>
          <w:szCs w:val="24"/>
        </w:rPr>
        <w:t>4 We chose not to combine the dependent variables because little is known about the association of alcohol outlet density with these two non-violent crime types.</w:t>
      </w:r>
    </w:p>
    <w:p w14:paraId="22ACCB6D" w14:textId="258AD751" w:rsidR="00A47C56" w:rsidRPr="00A47C56" w:rsidRDefault="00A47C56" w:rsidP="00053DA8">
      <w:pPr>
        <w:spacing w:after="0"/>
        <w:ind w:left="720" w:hanging="720"/>
        <w:rPr>
          <w:rFonts w:cstheme="minorHAnsi"/>
          <w:sz w:val="24"/>
          <w:szCs w:val="24"/>
        </w:rPr>
      </w:pPr>
      <w:r w:rsidRPr="00A47C56">
        <w:rPr>
          <w:rFonts w:cstheme="minorHAnsi"/>
          <w:sz w:val="24"/>
          <w:szCs w:val="24"/>
        </w:rPr>
        <w:t>5 We estimated separate models for on- and off-</w:t>
      </w:r>
      <w:proofErr w:type="gramStart"/>
      <w:r w:rsidRPr="00A47C56">
        <w:rPr>
          <w:rFonts w:cstheme="minorHAnsi"/>
          <w:sz w:val="24"/>
          <w:szCs w:val="24"/>
        </w:rPr>
        <w:t>premise</w:t>
      </w:r>
      <w:proofErr w:type="gramEnd"/>
      <w:r w:rsidRPr="00A47C56">
        <w:rPr>
          <w:rFonts w:cstheme="minorHAnsi"/>
          <w:sz w:val="24"/>
          <w:szCs w:val="24"/>
        </w:rPr>
        <w:t xml:space="preserve"> alcohol outlets because we were interested in examining if there were differences in this association by alcohol outlet type. We estimated additional models in our sensitivity analyses that included on- and off-premise alcohol outlets in the same model. We found effects remained consistent with those presented here.</w:t>
      </w:r>
    </w:p>
    <w:p w14:paraId="05BB6439" w14:textId="77777777" w:rsidR="00A47C56" w:rsidRPr="00A47C56" w:rsidRDefault="00A47C56" w:rsidP="00416C13">
      <w:pPr>
        <w:pStyle w:val="Heading1"/>
      </w:pPr>
      <w:r w:rsidRPr="00A47C56">
        <w:t>References</w:t>
      </w:r>
    </w:p>
    <w:p w14:paraId="010094A9" w14:textId="4AF516FC" w:rsidR="00A47C56" w:rsidRPr="00053DA8" w:rsidRDefault="00A47C56" w:rsidP="00053DA8">
      <w:pPr>
        <w:spacing w:after="0"/>
        <w:ind w:left="720" w:hanging="720"/>
        <w:rPr>
          <w:sz w:val="24"/>
          <w:szCs w:val="24"/>
        </w:rPr>
      </w:pPr>
      <w:r w:rsidRPr="00053DA8">
        <w:rPr>
          <w:sz w:val="24"/>
          <w:szCs w:val="24"/>
        </w:rPr>
        <w:t xml:space="preserve">Anselin, L., I. Syabri, and Y. Kho. 2006. “GeoDa: An Introduction to Spatial Data Analysis.” </w:t>
      </w:r>
      <w:r w:rsidRPr="00053DA8">
        <w:rPr>
          <w:i/>
          <w:iCs/>
          <w:sz w:val="24"/>
          <w:szCs w:val="24"/>
        </w:rPr>
        <w:t>Geographical Analysis</w:t>
      </w:r>
      <w:r w:rsidRPr="00053DA8">
        <w:rPr>
          <w:sz w:val="24"/>
          <w:szCs w:val="24"/>
        </w:rPr>
        <w:t xml:space="preserve"> 38: 5–22.10.1111/gean.2006.38.issue-1</w:t>
      </w:r>
    </w:p>
    <w:p w14:paraId="0E53C27B" w14:textId="377F9398" w:rsidR="00A47C56" w:rsidRPr="00053DA8" w:rsidRDefault="00A47C56" w:rsidP="00053DA8">
      <w:pPr>
        <w:spacing w:after="0"/>
        <w:ind w:left="720" w:hanging="720"/>
        <w:rPr>
          <w:sz w:val="24"/>
          <w:szCs w:val="24"/>
        </w:rPr>
      </w:pPr>
      <w:r w:rsidRPr="00053DA8">
        <w:rPr>
          <w:sz w:val="24"/>
          <w:szCs w:val="24"/>
        </w:rPr>
        <w:t xml:space="preserve">Baumer, E. 2002. “Neighborhood Disadvantage and Police Notification </w:t>
      </w:r>
      <w:proofErr w:type="gramStart"/>
      <w:r w:rsidRPr="00053DA8">
        <w:rPr>
          <w:sz w:val="24"/>
          <w:szCs w:val="24"/>
        </w:rPr>
        <w:t>By</w:t>
      </w:r>
      <w:proofErr w:type="gramEnd"/>
      <w:r w:rsidRPr="00053DA8">
        <w:rPr>
          <w:sz w:val="24"/>
          <w:szCs w:val="24"/>
        </w:rPr>
        <w:t xml:space="preserve"> Victims of Violence.” </w:t>
      </w:r>
      <w:r w:rsidRPr="00053DA8">
        <w:rPr>
          <w:i/>
          <w:iCs/>
          <w:sz w:val="24"/>
          <w:szCs w:val="24"/>
        </w:rPr>
        <w:t>Criminology</w:t>
      </w:r>
      <w:r w:rsidRPr="00053DA8">
        <w:rPr>
          <w:sz w:val="24"/>
          <w:szCs w:val="24"/>
        </w:rPr>
        <w:t xml:space="preserve"> 40: 579–616.10.1111/crim.2002.40.issue-3 </w:t>
      </w:r>
    </w:p>
    <w:p w14:paraId="3E58AD2B" w14:textId="344E0416" w:rsidR="00A47C56" w:rsidRPr="00053DA8" w:rsidRDefault="00A47C56" w:rsidP="00053DA8">
      <w:pPr>
        <w:spacing w:after="0"/>
        <w:ind w:left="720" w:hanging="720"/>
        <w:rPr>
          <w:sz w:val="24"/>
          <w:szCs w:val="24"/>
        </w:rPr>
      </w:pPr>
      <w:r w:rsidRPr="00053DA8">
        <w:rPr>
          <w:sz w:val="24"/>
          <w:szCs w:val="24"/>
        </w:rPr>
        <w:t xml:space="preserve">Benson, M. L., J. Wooldredge, A. B. Thistlethwaite, and G. L. Fox. 2004. “The Correlation between Race and Domestic Violence is Confounded with Community Context.” </w:t>
      </w:r>
      <w:r w:rsidRPr="00053DA8">
        <w:rPr>
          <w:i/>
          <w:iCs/>
          <w:sz w:val="24"/>
          <w:szCs w:val="24"/>
        </w:rPr>
        <w:t>Social Problems</w:t>
      </w:r>
      <w:r w:rsidRPr="00053DA8">
        <w:rPr>
          <w:sz w:val="24"/>
          <w:szCs w:val="24"/>
        </w:rPr>
        <w:t xml:space="preserve"> 51 (3): 326–342.10.1525/sp.2004.51.3.326 </w:t>
      </w:r>
    </w:p>
    <w:p w14:paraId="6AF830B5" w14:textId="2FFF9FFA" w:rsidR="00A47C56" w:rsidRPr="00053DA8" w:rsidRDefault="00A47C56" w:rsidP="00053DA8">
      <w:pPr>
        <w:spacing w:after="0"/>
        <w:ind w:left="720" w:hanging="720"/>
        <w:rPr>
          <w:sz w:val="24"/>
          <w:szCs w:val="24"/>
        </w:rPr>
      </w:pPr>
      <w:r w:rsidRPr="00053DA8">
        <w:rPr>
          <w:sz w:val="24"/>
          <w:szCs w:val="24"/>
        </w:rPr>
        <w:t xml:space="preserve">Brantingham, P., and P. Brantingham. 1995. “Criminality of Place.” </w:t>
      </w:r>
      <w:r w:rsidRPr="00053DA8">
        <w:rPr>
          <w:i/>
          <w:iCs/>
          <w:sz w:val="24"/>
          <w:szCs w:val="24"/>
        </w:rPr>
        <w:t>European Journal on Criminal Policy and Research</w:t>
      </w:r>
      <w:r w:rsidRPr="00053DA8">
        <w:rPr>
          <w:sz w:val="24"/>
          <w:szCs w:val="24"/>
        </w:rPr>
        <w:t xml:space="preserve"> 3 (3): 5–26.10.1007/BF02242925 </w:t>
      </w:r>
    </w:p>
    <w:p w14:paraId="4E718F6E" w14:textId="7CA90771" w:rsidR="00A47C56" w:rsidRPr="00053DA8" w:rsidRDefault="00A47C56" w:rsidP="00053DA8">
      <w:pPr>
        <w:spacing w:after="0"/>
        <w:ind w:left="720" w:hanging="720"/>
        <w:rPr>
          <w:sz w:val="24"/>
          <w:szCs w:val="24"/>
        </w:rPr>
      </w:pPr>
      <w:r w:rsidRPr="00053DA8">
        <w:rPr>
          <w:sz w:val="24"/>
          <w:szCs w:val="24"/>
        </w:rPr>
        <w:t xml:space="preserve">Cameron, M. P., W. Cochrane, K. McNeill, P. Melbourne, S. L. Morrison, and N. Robertson. 2012. “Alcohol Outlet Density is Related to Police Events and Motor Vehicle Accidents in Manukau City, New Zealand.” </w:t>
      </w:r>
      <w:r w:rsidRPr="00053DA8">
        <w:rPr>
          <w:i/>
          <w:iCs/>
          <w:sz w:val="24"/>
          <w:szCs w:val="24"/>
        </w:rPr>
        <w:t>Australian and New Zealand Journal of Public Health</w:t>
      </w:r>
      <w:r w:rsidRPr="00053DA8">
        <w:rPr>
          <w:sz w:val="24"/>
          <w:szCs w:val="24"/>
        </w:rPr>
        <w:t xml:space="preserve"> 36: 537–542.10.1111/j.1753-6405.</w:t>
      </w:r>
      <w:proofErr w:type="gramStart"/>
      <w:r w:rsidRPr="00053DA8">
        <w:rPr>
          <w:sz w:val="24"/>
          <w:szCs w:val="24"/>
        </w:rPr>
        <w:t>2012.00935.x</w:t>
      </w:r>
      <w:proofErr w:type="gramEnd"/>
      <w:r w:rsidRPr="00053DA8">
        <w:rPr>
          <w:sz w:val="24"/>
          <w:szCs w:val="24"/>
        </w:rPr>
        <w:t> </w:t>
      </w:r>
    </w:p>
    <w:p w14:paraId="75985C94" w14:textId="7B8F8125" w:rsidR="00A47C56" w:rsidRPr="00053DA8" w:rsidRDefault="00A47C56" w:rsidP="00053DA8">
      <w:pPr>
        <w:spacing w:after="0"/>
        <w:ind w:left="720" w:hanging="720"/>
        <w:rPr>
          <w:sz w:val="24"/>
          <w:szCs w:val="24"/>
        </w:rPr>
      </w:pPr>
      <w:r w:rsidRPr="00053DA8">
        <w:rPr>
          <w:sz w:val="24"/>
          <w:szCs w:val="24"/>
        </w:rPr>
        <w:t xml:space="preserve">Cohen, L. E., and M. Felson. 1979. “Social Change and Crime Rate Trends: A Routine Activity Approach.” </w:t>
      </w:r>
      <w:r w:rsidRPr="00053DA8">
        <w:rPr>
          <w:i/>
          <w:iCs/>
          <w:sz w:val="24"/>
          <w:szCs w:val="24"/>
        </w:rPr>
        <w:t>American Sociological Review</w:t>
      </w:r>
      <w:r w:rsidRPr="00053DA8">
        <w:rPr>
          <w:sz w:val="24"/>
          <w:szCs w:val="24"/>
        </w:rPr>
        <w:t xml:space="preserve"> 44: 588–608.10.2307/2094589 </w:t>
      </w:r>
    </w:p>
    <w:p w14:paraId="71249000" w14:textId="4B5A5576" w:rsidR="00A47C56" w:rsidRPr="00053DA8" w:rsidRDefault="00A47C56" w:rsidP="00053DA8">
      <w:pPr>
        <w:spacing w:after="0"/>
        <w:ind w:left="720" w:hanging="720"/>
        <w:rPr>
          <w:sz w:val="24"/>
          <w:szCs w:val="24"/>
        </w:rPr>
      </w:pPr>
      <w:r w:rsidRPr="00053DA8">
        <w:rPr>
          <w:sz w:val="24"/>
          <w:szCs w:val="24"/>
        </w:rPr>
        <w:t xml:space="preserve">Donelly, N., S. Poynton, D. Weatherburn, E. Bamford, and J. Nottage. 2006. </w:t>
      </w:r>
      <w:r w:rsidRPr="00053DA8">
        <w:rPr>
          <w:i/>
          <w:iCs/>
          <w:sz w:val="24"/>
          <w:szCs w:val="24"/>
        </w:rPr>
        <w:t>Liquor Outlet Concentrations and Alcohol-related Neighborhood Problems</w:t>
      </w:r>
      <w:r w:rsidRPr="00053DA8">
        <w:rPr>
          <w:sz w:val="24"/>
          <w:szCs w:val="24"/>
        </w:rPr>
        <w:t>. Sydney: Bureau of Crime Statistics and Research. </w:t>
      </w:r>
    </w:p>
    <w:p w14:paraId="22B5421E" w14:textId="638D74CB" w:rsidR="00A47C56" w:rsidRPr="00053DA8" w:rsidRDefault="00A47C56" w:rsidP="00053DA8">
      <w:pPr>
        <w:spacing w:after="0"/>
        <w:ind w:left="720" w:hanging="720"/>
        <w:rPr>
          <w:sz w:val="24"/>
          <w:szCs w:val="24"/>
        </w:rPr>
      </w:pPr>
      <w:r w:rsidRPr="00053DA8">
        <w:rPr>
          <w:sz w:val="24"/>
          <w:szCs w:val="24"/>
        </w:rPr>
        <w:t xml:space="preserve">Eck, J. E., and D. Weisburd. 1995. “Crime Places in Crime Theory.” </w:t>
      </w:r>
      <w:r w:rsidRPr="00053DA8">
        <w:rPr>
          <w:i/>
          <w:iCs/>
          <w:sz w:val="24"/>
          <w:szCs w:val="24"/>
        </w:rPr>
        <w:t>Crime and Place, Crime Prevention Studies</w:t>
      </w:r>
      <w:r w:rsidRPr="00053DA8">
        <w:rPr>
          <w:sz w:val="24"/>
          <w:szCs w:val="24"/>
        </w:rPr>
        <w:t xml:space="preserve"> 4 (1): 1–33. </w:t>
      </w:r>
    </w:p>
    <w:p w14:paraId="1EB644F4" w14:textId="44C68349" w:rsidR="00A47C56" w:rsidRPr="00053DA8" w:rsidRDefault="00A47C56" w:rsidP="00053DA8">
      <w:pPr>
        <w:spacing w:after="0"/>
        <w:ind w:left="720" w:hanging="720"/>
        <w:rPr>
          <w:sz w:val="24"/>
          <w:szCs w:val="24"/>
        </w:rPr>
      </w:pPr>
      <w:r w:rsidRPr="00053DA8">
        <w:rPr>
          <w:sz w:val="24"/>
          <w:szCs w:val="24"/>
        </w:rPr>
        <w:t xml:space="preserve">Emerick, N. A., T. R. Curry, T. W. Collins, and S. Fernando Rodriguez. 2014. “Homicide and Social Disorganization on the Border: Implications for Latino and Immigrant Populations.” </w:t>
      </w:r>
      <w:r w:rsidRPr="00053DA8">
        <w:rPr>
          <w:i/>
          <w:iCs/>
          <w:sz w:val="24"/>
          <w:szCs w:val="24"/>
        </w:rPr>
        <w:t>Social Science Quarterly</w:t>
      </w:r>
      <w:r w:rsidRPr="00053DA8">
        <w:rPr>
          <w:sz w:val="24"/>
          <w:szCs w:val="24"/>
        </w:rPr>
        <w:t xml:space="preserve"> 95 (2): 360–379.10.1111/ssqu.2014.95.issue-2 </w:t>
      </w:r>
    </w:p>
    <w:p w14:paraId="51800621" w14:textId="0EA764CF" w:rsidR="00A47C56" w:rsidRPr="00053DA8" w:rsidRDefault="00A47C56" w:rsidP="00053DA8">
      <w:pPr>
        <w:spacing w:after="0"/>
        <w:ind w:left="720" w:hanging="720"/>
        <w:rPr>
          <w:sz w:val="24"/>
          <w:szCs w:val="24"/>
        </w:rPr>
      </w:pPr>
      <w:r w:rsidRPr="00053DA8">
        <w:rPr>
          <w:sz w:val="24"/>
          <w:szCs w:val="24"/>
        </w:rPr>
        <w:t xml:space="preserve">Evans, T. D., F. T. Cullen, R. G. Dunaway, and V. S. Burton. 1995. “Religion and Crime Reexamined: The Impact of Religion, Secular Controls, and Social Ecology on Adult Criminality.” </w:t>
      </w:r>
      <w:r w:rsidRPr="00053DA8">
        <w:rPr>
          <w:i/>
          <w:iCs/>
          <w:sz w:val="24"/>
          <w:szCs w:val="24"/>
        </w:rPr>
        <w:t>Criminology</w:t>
      </w:r>
      <w:r w:rsidRPr="00053DA8">
        <w:rPr>
          <w:sz w:val="24"/>
          <w:szCs w:val="24"/>
        </w:rPr>
        <w:t xml:space="preserve"> 33 (2): 195–224.10.1111/crim.1995.33.issue-2 </w:t>
      </w:r>
    </w:p>
    <w:p w14:paraId="3777F063" w14:textId="46D31225" w:rsidR="00A47C56" w:rsidRPr="00053DA8" w:rsidRDefault="00A47C56" w:rsidP="00053DA8">
      <w:pPr>
        <w:spacing w:after="0"/>
        <w:ind w:left="720" w:hanging="720"/>
        <w:rPr>
          <w:sz w:val="24"/>
          <w:szCs w:val="24"/>
        </w:rPr>
      </w:pPr>
      <w:r w:rsidRPr="00053DA8">
        <w:rPr>
          <w:sz w:val="24"/>
          <w:szCs w:val="24"/>
        </w:rPr>
        <w:t xml:space="preserve">Gorman, D. M., P. J. Gruenewald, and L. A. Waller. 2013. “Linking Places to Problems: Geospatial Theories of Neighborhoods, Alcohol and Crime.” </w:t>
      </w:r>
      <w:r w:rsidRPr="00053DA8">
        <w:rPr>
          <w:i/>
          <w:iCs/>
          <w:sz w:val="24"/>
          <w:szCs w:val="24"/>
        </w:rPr>
        <w:t>GeoJournal</w:t>
      </w:r>
      <w:r w:rsidRPr="00053DA8">
        <w:rPr>
          <w:sz w:val="24"/>
          <w:szCs w:val="24"/>
        </w:rPr>
        <w:t xml:space="preserve"> 78: 417–428.10.1007/s10708-011-9425-7 </w:t>
      </w:r>
    </w:p>
    <w:p w14:paraId="38FD1A1B" w14:textId="64B8ACDF" w:rsidR="00A47C56" w:rsidRPr="00053DA8" w:rsidRDefault="00A47C56" w:rsidP="00053DA8">
      <w:pPr>
        <w:spacing w:after="0"/>
        <w:ind w:left="720" w:hanging="720"/>
        <w:rPr>
          <w:sz w:val="24"/>
          <w:szCs w:val="24"/>
        </w:rPr>
      </w:pPr>
      <w:r w:rsidRPr="00053DA8">
        <w:rPr>
          <w:sz w:val="24"/>
          <w:szCs w:val="24"/>
        </w:rPr>
        <w:t xml:space="preserve">Grubesic, T. H., W. A. Pridemore, D. A. Williams, and L. Philip-Tabb. 2013. “Alcohol Outlet Density and Violence: The Role of Risky Retailers and Alcohol-related Expenditures.” </w:t>
      </w:r>
      <w:r w:rsidRPr="00053DA8">
        <w:rPr>
          <w:i/>
          <w:iCs/>
          <w:sz w:val="24"/>
          <w:szCs w:val="24"/>
        </w:rPr>
        <w:t>Alcohol and Alcoholism</w:t>
      </w:r>
      <w:r w:rsidRPr="00053DA8">
        <w:rPr>
          <w:sz w:val="24"/>
          <w:szCs w:val="24"/>
        </w:rPr>
        <w:t xml:space="preserve"> 48: 613–619.10.1093/alcalc/agt055 Gruenewald, P. J., and L. Remer. 2006. “Changes in Outlet Densities Affect Violence Rates.” </w:t>
      </w:r>
      <w:r w:rsidRPr="00053DA8">
        <w:rPr>
          <w:i/>
          <w:iCs/>
          <w:sz w:val="24"/>
          <w:szCs w:val="24"/>
        </w:rPr>
        <w:t>Alcoholism: Clinical and Experimental Research</w:t>
      </w:r>
      <w:r w:rsidRPr="00053DA8">
        <w:rPr>
          <w:sz w:val="24"/>
          <w:szCs w:val="24"/>
        </w:rPr>
        <w:t xml:space="preserve"> 30: 1184–1193.10.1111/acer.2006.30.issue-7 </w:t>
      </w:r>
    </w:p>
    <w:p w14:paraId="60DF4331" w14:textId="1BCCD156" w:rsidR="00A47C56" w:rsidRPr="00053DA8" w:rsidRDefault="00A47C56" w:rsidP="00053DA8">
      <w:pPr>
        <w:spacing w:after="0"/>
        <w:ind w:left="720" w:hanging="720"/>
        <w:rPr>
          <w:sz w:val="24"/>
          <w:szCs w:val="24"/>
        </w:rPr>
      </w:pPr>
      <w:r w:rsidRPr="00053DA8">
        <w:rPr>
          <w:sz w:val="24"/>
          <w:szCs w:val="24"/>
        </w:rPr>
        <w:t xml:space="preserve">Hill, T. D., C. E. Ross, and R. J. Angel. 2005. “Neighborhood Disorder, Psychophysiological Distress, and Health.” </w:t>
      </w:r>
      <w:r w:rsidRPr="00053DA8">
        <w:rPr>
          <w:i/>
          <w:iCs/>
          <w:sz w:val="24"/>
          <w:szCs w:val="24"/>
        </w:rPr>
        <w:t>Journal of Health and Social Behavior</w:t>
      </w:r>
      <w:r w:rsidRPr="00053DA8">
        <w:rPr>
          <w:sz w:val="24"/>
          <w:szCs w:val="24"/>
        </w:rPr>
        <w:t xml:space="preserve"> 46: 170–186.10.1177/002214650504600204 </w:t>
      </w:r>
    </w:p>
    <w:p w14:paraId="52A9000F" w14:textId="5E8E8BDA" w:rsidR="00A47C56" w:rsidRPr="00053DA8" w:rsidRDefault="00A47C56" w:rsidP="00053DA8">
      <w:pPr>
        <w:spacing w:after="0"/>
        <w:ind w:left="720" w:hanging="720"/>
        <w:rPr>
          <w:sz w:val="24"/>
          <w:szCs w:val="24"/>
        </w:rPr>
      </w:pPr>
      <w:r w:rsidRPr="00053DA8">
        <w:rPr>
          <w:sz w:val="24"/>
          <w:szCs w:val="24"/>
        </w:rPr>
        <w:t xml:space="preserve">Keister, T. 2007. </w:t>
      </w:r>
      <w:r w:rsidRPr="00053DA8">
        <w:rPr>
          <w:i/>
          <w:iCs/>
          <w:sz w:val="24"/>
          <w:szCs w:val="24"/>
        </w:rPr>
        <w:t>Thefts of and from Cars on Residential Streets and Driveways</w:t>
      </w:r>
      <w:r w:rsidRPr="00053DA8">
        <w:rPr>
          <w:sz w:val="24"/>
          <w:szCs w:val="24"/>
        </w:rPr>
        <w:t xml:space="preserve">. Washington, DC: US Department of Justice, Office of Community Oriented Policing Services. LaVeist, T., and J. Wallace Jr. 2000. “Health Risk and Inequitable Distribution of Liquor Stores in African American Neighborhoods.” </w:t>
      </w:r>
      <w:r w:rsidRPr="00053DA8">
        <w:rPr>
          <w:i/>
          <w:iCs/>
          <w:sz w:val="24"/>
          <w:szCs w:val="24"/>
        </w:rPr>
        <w:t>Social Science &amp; Medicine</w:t>
      </w:r>
      <w:r w:rsidRPr="00053DA8">
        <w:rPr>
          <w:sz w:val="24"/>
          <w:szCs w:val="24"/>
        </w:rPr>
        <w:t xml:space="preserve"> 51: 613–617. </w:t>
      </w:r>
    </w:p>
    <w:p w14:paraId="38741A7D" w14:textId="1D98163F" w:rsidR="00A47C56" w:rsidRPr="00053DA8" w:rsidRDefault="00A47C56" w:rsidP="00053DA8">
      <w:pPr>
        <w:spacing w:after="0"/>
        <w:ind w:left="720" w:hanging="720"/>
        <w:rPr>
          <w:sz w:val="24"/>
          <w:szCs w:val="24"/>
        </w:rPr>
      </w:pPr>
      <w:r w:rsidRPr="00053DA8">
        <w:rPr>
          <w:sz w:val="24"/>
          <w:szCs w:val="24"/>
        </w:rPr>
        <w:t xml:space="preserve">Lieberson, S. 1969. “Measuring Population Diversity.” </w:t>
      </w:r>
      <w:r w:rsidRPr="00053DA8">
        <w:rPr>
          <w:i/>
          <w:iCs/>
          <w:sz w:val="24"/>
          <w:szCs w:val="24"/>
        </w:rPr>
        <w:t>American Sociological Review</w:t>
      </w:r>
      <w:r w:rsidRPr="00053DA8">
        <w:rPr>
          <w:sz w:val="24"/>
          <w:szCs w:val="24"/>
        </w:rPr>
        <w:t xml:space="preserve"> 34 (6): 850–862. </w:t>
      </w:r>
    </w:p>
    <w:p w14:paraId="5928FB7C" w14:textId="6E9A1F83" w:rsidR="00A47C56" w:rsidRPr="00053DA8" w:rsidRDefault="00A47C56" w:rsidP="00053DA8">
      <w:pPr>
        <w:spacing w:after="0"/>
        <w:ind w:left="720" w:hanging="720"/>
        <w:rPr>
          <w:sz w:val="24"/>
          <w:szCs w:val="24"/>
        </w:rPr>
      </w:pPr>
      <w:r w:rsidRPr="00053DA8">
        <w:rPr>
          <w:sz w:val="24"/>
          <w:szCs w:val="24"/>
        </w:rPr>
        <w:t xml:space="preserve">Lipton, R., and P. Gruenewald. 2002. “The Spatial Dynamics of Violence and Alcohol Outlets.” </w:t>
      </w:r>
      <w:r w:rsidRPr="00053DA8">
        <w:rPr>
          <w:i/>
          <w:iCs/>
          <w:sz w:val="24"/>
          <w:szCs w:val="24"/>
        </w:rPr>
        <w:t>Journal of Studies on Alcohol</w:t>
      </w:r>
      <w:r w:rsidRPr="00053DA8">
        <w:rPr>
          <w:sz w:val="24"/>
          <w:szCs w:val="24"/>
        </w:rPr>
        <w:t xml:space="preserve"> 63: 187–195.10.15288/jsa.2002.63.187</w:t>
      </w:r>
    </w:p>
    <w:p w14:paraId="1444A83B" w14:textId="29B7E060" w:rsidR="00A47C56" w:rsidRPr="00053DA8" w:rsidRDefault="00A47C56" w:rsidP="00053DA8">
      <w:pPr>
        <w:spacing w:after="0"/>
        <w:ind w:left="720" w:hanging="720"/>
        <w:rPr>
          <w:sz w:val="24"/>
          <w:szCs w:val="24"/>
        </w:rPr>
      </w:pPr>
      <w:r w:rsidRPr="00053DA8">
        <w:rPr>
          <w:sz w:val="24"/>
          <w:szCs w:val="24"/>
        </w:rPr>
        <w:t xml:space="preserve">Lipton, R., X. Yang, A. A. Braga, J. Goldstick, M. Newton, and M. Rura. 2013. “The Geography of Violence, Alcohol Outlets, and Drug Arrests in Boston.” </w:t>
      </w:r>
      <w:r w:rsidRPr="00053DA8">
        <w:rPr>
          <w:i/>
          <w:iCs/>
          <w:sz w:val="24"/>
          <w:szCs w:val="24"/>
        </w:rPr>
        <w:t>American Journal of Public Health</w:t>
      </w:r>
      <w:r w:rsidRPr="00053DA8">
        <w:rPr>
          <w:sz w:val="24"/>
          <w:szCs w:val="24"/>
        </w:rPr>
        <w:t xml:space="preserve"> 103 (4): 657–664.10.2105/AJPH.2012.300927 </w:t>
      </w:r>
    </w:p>
    <w:p w14:paraId="28F68D4B" w14:textId="0E27790D" w:rsidR="00A47C56" w:rsidRPr="00053DA8" w:rsidRDefault="00A47C56" w:rsidP="00053DA8">
      <w:pPr>
        <w:spacing w:after="0"/>
        <w:ind w:left="720" w:hanging="720"/>
        <w:rPr>
          <w:sz w:val="24"/>
          <w:szCs w:val="24"/>
        </w:rPr>
      </w:pPr>
      <w:r w:rsidRPr="00053DA8">
        <w:rPr>
          <w:sz w:val="24"/>
          <w:szCs w:val="24"/>
        </w:rPr>
        <w:t xml:space="preserve">Livingston, M. 2008a. “A Longitudinal Analysis of Alcohol Outlet Density and Assault.” </w:t>
      </w:r>
      <w:r w:rsidRPr="00053DA8">
        <w:rPr>
          <w:i/>
          <w:iCs/>
          <w:sz w:val="24"/>
          <w:szCs w:val="24"/>
        </w:rPr>
        <w:t>Alcoholism: Clinical and Experimental Research</w:t>
      </w:r>
      <w:r w:rsidRPr="00053DA8">
        <w:rPr>
          <w:sz w:val="24"/>
          <w:szCs w:val="24"/>
        </w:rPr>
        <w:t xml:space="preserve"> 32: 1074–1079.10.1111/j.1530-0277.</w:t>
      </w:r>
      <w:proofErr w:type="gramStart"/>
      <w:r w:rsidRPr="00053DA8">
        <w:rPr>
          <w:sz w:val="24"/>
          <w:szCs w:val="24"/>
        </w:rPr>
        <w:t>2008.00669.x</w:t>
      </w:r>
      <w:proofErr w:type="gramEnd"/>
      <w:r w:rsidRPr="00053DA8">
        <w:rPr>
          <w:sz w:val="24"/>
          <w:szCs w:val="24"/>
        </w:rPr>
        <w:t> </w:t>
      </w:r>
    </w:p>
    <w:p w14:paraId="15973005" w14:textId="1B5BA7B7" w:rsidR="00A47C56" w:rsidRPr="00053DA8" w:rsidRDefault="00A47C56" w:rsidP="00053DA8">
      <w:pPr>
        <w:spacing w:after="0"/>
        <w:ind w:left="720" w:hanging="720"/>
        <w:rPr>
          <w:sz w:val="24"/>
          <w:szCs w:val="24"/>
        </w:rPr>
      </w:pPr>
      <w:r w:rsidRPr="00053DA8">
        <w:rPr>
          <w:sz w:val="24"/>
          <w:szCs w:val="24"/>
        </w:rPr>
        <w:t xml:space="preserve">Livingston, M. 2008b. “Alcohol Outlet Density and Assault: A Spatial Analysis.” </w:t>
      </w:r>
      <w:r w:rsidRPr="00053DA8">
        <w:rPr>
          <w:i/>
          <w:iCs/>
          <w:sz w:val="24"/>
          <w:szCs w:val="24"/>
        </w:rPr>
        <w:t>Addiction</w:t>
      </w:r>
      <w:r w:rsidRPr="00053DA8">
        <w:rPr>
          <w:sz w:val="24"/>
          <w:szCs w:val="24"/>
        </w:rPr>
        <w:t xml:space="preserve"> 103: 619–628.10.1111/j.1360-0443.</w:t>
      </w:r>
      <w:proofErr w:type="gramStart"/>
      <w:r w:rsidRPr="00053DA8">
        <w:rPr>
          <w:sz w:val="24"/>
          <w:szCs w:val="24"/>
        </w:rPr>
        <w:t>2008.02136.x</w:t>
      </w:r>
      <w:proofErr w:type="gramEnd"/>
      <w:r w:rsidRPr="00053DA8">
        <w:rPr>
          <w:sz w:val="24"/>
          <w:szCs w:val="24"/>
        </w:rPr>
        <w:t> </w:t>
      </w:r>
    </w:p>
    <w:p w14:paraId="6419E503" w14:textId="263DCF9B" w:rsidR="00A47C56" w:rsidRPr="00053DA8" w:rsidRDefault="00A47C56" w:rsidP="00053DA8">
      <w:pPr>
        <w:spacing w:after="0"/>
        <w:ind w:left="720" w:hanging="720"/>
        <w:rPr>
          <w:sz w:val="24"/>
          <w:szCs w:val="24"/>
        </w:rPr>
      </w:pPr>
      <w:r w:rsidRPr="00053DA8">
        <w:rPr>
          <w:sz w:val="24"/>
          <w:szCs w:val="24"/>
        </w:rPr>
        <w:t xml:space="preserve">Livingston, M. 2011. “A Longitudinal Analysis of Alcohol Outlet Density and Domestic Violence.” </w:t>
      </w:r>
      <w:r w:rsidRPr="00053DA8">
        <w:rPr>
          <w:i/>
          <w:iCs/>
          <w:sz w:val="24"/>
          <w:szCs w:val="24"/>
        </w:rPr>
        <w:t>Addiction</w:t>
      </w:r>
      <w:r w:rsidRPr="00053DA8">
        <w:rPr>
          <w:sz w:val="24"/>
          <w:szCs w:val="24"/>
        </w:rPr>
        <w:t xml:space="preserve"> 106: 919–925.10.1111/add.2011.106.issue-5 </w:t>
      </w:r>
    </w:p>
    <w:p w14:paraId="5073A2F1" w14:textId="2C5222A9" w:rsidR="00A47C56" w:rsidRPr="00053DA8" w:rsidRDefault="00A47C56" w:rsidP="00053DA8">
      <w:pPr>
        <w:spacing w:after="0"/>
        <w:ind w:left="720" w:hanging="720"/>
        <w:rPr>
          <w:sz w:val="24"/>
          <w:szCs w:val="24"/>
        </w:rPr>
      </w:pPr>
      <w:r w:rsidRPr="00053DA8">
        <w:rPr>
          <w:sz w:val="24"/>
          <w:szCs w:val="24"/>
        </w:rPr>
        <w:t xml:space="preserve">Lockwood, D. 2007. “Mapping Crime in Savannah: Social Disadvantage, Land Use, and Violent Crimes Reported to the Police.” </w:t>
      </w:r>
      <w:r w:rsidRPr="00053DA8">
        <w:rPr>
          <w:i/>
          <w:iCs/>
          <w:sz w:val="24"/>
          <w:szCs w:val="24"/>
        </w:rPr>
        <w:t>Social Science Computer Review</w:t>
      </w:r>
      <w:r w:rsidRPr="00053DA8">
        <w:rPr>
          <w:sz w:val="24"/>
          <w:szCs w:val="24"/>
        </w:rPr>
        <w:t xml:space="preserve"> 25 (2): 194–209.10.1177/0894439307298935 </w:t>
      </w:r>
    </w:p>
    <w:p w14:paraId="7F3EE53E" w14:textId="66086D75" w:rsidR="00A47C56" w:rsidRPr="00053DA8" w:rsidRDefault="00A47C56" w:rsidP="00053DA8">
      <w:pPr>
        <w:spacing w:after="0"/>
        <w:ind w:left="720" w:hanging="720"/>
        <w:rPr>
          <w:sz w:val="24"/>
          <w:szCs w:val="24"/>
        </w:rPr>
      </w:pPr>
      <w:r w:rsidRPr="00053DA8">
        <w:rPr>
          <w:sz w:val="24"/>
          <w:szCs w:val="24"/>
        </w:rPr>
        <w:t xml:space="preserve">McCord, E. S., and J. H. Ratcliffe. 2007. “A Micro-spatial Analysis of the Demographic and Criminogenic Environment of Drug Markets in Philadelphia.” </w:t>
      </w:r>
      <w:r w:rsidRPr="00053DA8">
        <w:rPr>
          <w:i/>
          <w:iCs/>
          <w:sz w:val="24"/>
          <w:szCs w:val="24"/>
        </w:rPr>
        <w:t>Australian &amp; New Zealand Journal of Criminology</w:t>
      </w:r>
      <w:r w:rsidRPr="00053DA8">
        <w:rPr>
          <w:sz w:val="24"/>
          <w:szCs w:val="24"/>
        </w:rPr>
        <w:t xml:space="preserve"> 40 (1): 43–63. </w:t>
      </w:r>
    </w:p>
    <w:p w14:paraId="2AED78BB" w14:textId="6C5C06F4" w:rsidR="00A47C56" w:rsidRPr="00053DA8" w:rsidRDefault="00A47C56" w:rsidP="00053DA8">
      <w:pPr>
        <w:spacing w:after="0"/>
        <w:ind w:left="720" w:hanging="720"/>
        <w:rPr>
          <w:sz w:val="24"/>
          <w:szCs w:val="24"/>
        </w:rPr>
      </w:pPr>
      <w:r w:rsidRPr="00053DA8">
        <w:rPr>
          <w:sz w:val="24"/>
          <w:szCs w:val="24"/>
        </w:rPr>
        <w:t xml:space="preserve">McGarrell, E. F., A. L. Giacomazzi, and Q. C. Thurman. 1997. “Neighborhood Disorder, Integration, and the Fear of Crime.” </w:t>
      </w:r>
      <w:r w:rsidRPr="00053DA8">
        <w:rPr>
          <w:i/>
          <w:iCs/>
          <w:sz w:val="24"/>
          <w:szCs w:val="24"/>
        </w:rPr>
        <w:t>Justice Quarterly</w:t>
      </w:r>
      <w:r w:rsidRPr="00053DA8">
        <w:rPr>
          <w:sz w:val="24"/>
          <w:szCs w:val="24"/>
        </w:rPr>
        <w:t xml:space="preserve"> 14: 479–500.10.1080/07418829700093441 </w:t>
      </w:r>
    </w:p>
    <w:p w14:paraId="733D657D" w14:textId="2183BC99" w:rsidR="00A47C56" w:rsidRPr="00053DA8" w:rsidRDefault="00A47C56" w:rsidP="00053DA8">
      <w:pPr>
        <w:spacing w:after="0"/>
        <w:ind w:left="720" w:hanging="720"/>
        <w:rPr>
          <w:sz w:val="24"/>
          <w:szCs w:val="24"/>
        </w:rPr>
      </w:pPr>
      <w:r w:rsidRPr="00053DA8">
        <w:rPr>
          <w:sz w:val="24"/>
          <w:szCs w:val="24"/>
        </w:rPr>
        <w:t xml:space="preserve">Morgan, R. E., and J. L. Jasinski. (Forthcoming). “Tracking Violence Using Structural-level Characteristics in the Analysis of Domestic Violence in Chicago and the State of Illinois.” </w:t>
      </w:r>
      <w:r w:rsidRPr="00053DA8">
        <w:rPr>
          <w:i/>
          <w:iCs/>
          <w:sz w:val="24"/>
          <w:szCs w:val="24"/>
        </w:rPr>
        <w:t>Crime &amp; Delinquency</w:t>
      </w:r>
      <w:r w:rsidRPr="00053DA8">
        <w:rPr>
          <w:sz w:val="24"/>
          <w:szCs w:val="24"/>
        </w:rPr>
        <w:t>. </w:t>
      </w:r>
    </w:p>
    <w:p w14:paraId="156B5829" w14:textId="55E6FA18" w:rsidR="00A47C56" w:rsidRPr="00053DA8" w:rsidRDefault="00A47C56" w:rsidP="00053DA8">
      <w:pPr>
        <w:spacing w:after="0"/>
        <w:ind w:left="720" w:hanging="720"/>
        <w:rPr>
          <w:sz w:val="24"/>
          <w:szCs w:val="24"/>
        </w:rPr>
      </w:pPr>
      <w:r w:rsidRPr="00053DA8">
        <w:rPr>
          <w:sz w:val="24"/>
          <w:szCs w:val="24"/>
        </w:rPr>
        <w:t xml:space="preserve">Morrison, C., P. J. Gruenewald, and W. R. Ponicki. 2015. “Socioeconomic Determinants of Exposure to Alcohol Outlets.” </w:t>
      </w:r>
      <w:r w:rsidRPr="00053DA8">
        <w:rPr>
          <w:i/>
          <w:iCs/>
          <w:sz w:val="24"/>
          <w:szCs w:val="24"/>
        </w:rPr>
        <w:t>Journal of Studies on Alcohol and Drugs</w:t>
      </w:r>
      <w:r w:rsidRPr="00053DA8">
        <w:rPr>
          <w:sz w:val="24"/>
          <w:szCs w:val="24"/>
        </w:rPr>
        <w:t xml:space="preserve"> 76 (3): 439–446.10.15288/jsad.2015.76.439 </w:t>
      </w:r>
    </w:p>
    <w:p w14:paraId="5221D829" w14:textId="1915539F" w:rsidR="00A47C56" w:rsidRPr="00053DA8" w:rsidRDefault="00A47C56" w:rsidP="00053DA8">
      <w:pPr>
        <w:spacing w:after="0"/>
        <w:ind w:left="720" w:hanging="720"/>
        <w:rPr>
          <w:sz w:val="24"/>
          <w:szCs w:val="24"/>
        </w:rPr>
      </w:pPr>
      <w:r w:rsidRPr="00053DA8">
        <w:rPr>
          <w:sz w:val="24"/>
          <w:szCs w:val="24"/>
        </w:rPr>
        <w:t xml:space="preserve">Nielsen, A. L., T. D. Hill, M. T. French, and M. N. Hernandez. 2010. “Racial/ethnic Composition, Social Disorganization, and Offsite Alcohol Availability in San Diego County, California.” </w:t>
      </w:r>
      <w:r w:rsidRPr="00053DA8">
        <w:rPr>
          <w:i/>
          <w:iCs/>
          <w:sz w:val="24"/>
          <w:szCs w:val="24"/>
        </w:rPr>
        <w:t>Social Science Research</w:t>
      </w:r>
      <w:r w:rsidRPr="00053DA8">
        <w:rPr>
          <w:sz w:val="24"/>
          <w:szCs w:val="24"/>
        </w:rPr>
        <w:t xml:space="preserve"> 39 (1): 165–175. </w:t>
      </w:r>
    </w:p>
    <w:p w14:paraId="64EE1A9E" w14:textId="1241A935" w:rsidR="00A47C56" w:rsidRPr="00053DA8" w:rsidRDefault="00A47C56" w:rsidP="00053DA8">
      <w:pPr>
        <w:spacing w:after="0"/>
        <w:ind w:left="720" w:hanging="720"/>
        <w:rPr>
          <w:sz w:val="24"/>
          <w:szCs w:val="24"/>
        </w:rPr>
      </w:pPr>
      <w:r w:rsidRPr="00053DA8">
        <w:rPr>
          <w:sz w:val="24"/>
          <w:szCs w:val="24"/>
        </w:rPr>
        <w:t xml:space="preserve">Nielsen, A. L., R. J. Martinez, and M. T. Lee. 2005. “Alcohol, Ethnicity, and Violence: The Role of Alcohol Availability </w:t>
      </w:r>
      <w:proofErr w:type="gramStart"/>
      <w:r w:rsidRPr="00053DA8">
        <w:rPr>
          <w:sz w:val="24"/>
          <w:szCs w:val="24"/>
        </w:rPr>
        <w:t>For</w:t>
      </w:r>
      <w:proofErr w:type="gramEnd"/>
      <w:r w:rsidRPr="00053DA8">
        <w:rPr>
          <w:sz w:val="24"/>
          <w:szCs w:val="24"/>
        </w:rPr>
        <w:t xml:space="preserve"> Latino and Black Aggravated Assaults and Robberies.” </w:t>
      </w:r>
      <w:r w:rsidRPr="00053DA8">
        <w:rPr>
          <w:i/>
          <w:iCs/>
          <w:sz w:val="24"/>
          <w:szCs w:val="24"/>
        </w:rPr>
        <w:t>The Sociological Quarterly</w:t>
      </w:r>
      <w:r w:rsidRPr="00053DA8">
        <w:rPr>
          <w:sz w:val="24"/>
          <w:szCs w:val="24"/>
        </w:rPr>
        <w:t xml:space="preserve"> 46: 479–502.10.1111/tsq.2005.46.issue-3 Osgood, D. W., and J. M. Chambers. 2000. “Social Disorganization Outside the Metropolis: An Analysis of Rural Youth Violence.” </w:t>
      </w:r>
      <w:r w:rsidRPr="00053DA8">
        <w:rPr>
          <w:i/>
          <w:iCs/>
          <w:sz w:val="24"/>
          <w:szCs w:val="24"/>
        </w:rPr>
        <w:t>Criminology</w:t>
      </w:r>
      <w:r w:rsidRPr="00053DA8">
        <w:rPr>
          <w:sz w:val="24"/>
          <w:szCs w:val="24"/>
        </w:rPr>
        <w:t xml:space="preserve"> 38 (1): 81–116.10.1111/crim.2000.38.issue-1 Park, R. E., and E. W. Burgess. 1969. </w:t>
      </w:r>
      <w:r w:rsidRPr="00053DA8">
        <w:rPr>
          <w:i/>
          <w:iCs/>
          <w:sz w:val="24"/>
          <w:szCs w:val="24"/>
        </w:rPr>
        <w:t>Introduction to the Science of Sociology</w:t>
      </w:r>
      <w:r w:rsidRPr="00053DA8">
        <w:rPr>
          <w:sz w:val="24"/>
          <w:szCs w:val="24"/>
        </w:rPr>
        <w:t>. Chicago, IL: University of Chicago Press.</w:t>
      </w:r>
    </w:p>
    <w:p w14:paraId="5313391D" w14:textId="208C462C" w:rsidR="00A47C56" w:rsidRPr="00053DA8" w:rsidRDefault="00A47C56" w:rsidP="00053DA8">
      <w:pPr>
        <w:spacing w:after="0"/>
        <w:ind w:left="720" w:hanging="720"/>
        <w:rPr>
          <w:sz w:val="24"/>
          <w:szCs w:val="24"/>
        </w:rPr>
      </w:pPr>
      <w:r w:rsidRPr="00053DA8">
        <w:rPr>
          <w:sz w:val="24"/>
          <w:szCs w:val="24"/>
        </w:rPr>
        <w:t xml:space="preserve">Peterson, R. D., L. J. Krivo, and M. A. Harris. 2000. “Disadvantage and Neighborhood Violent Crime: Do Local Institutions Matter?” </w:t>
      </w:r>
      <w:r w:rsidRPr="00053DA8">
        <w:rPr>
          <w:i/>
          <w:iCs/>
          <w:sz w:val="24"/>
          <w:szCs w:val="24"/>
        </w:rPr>
        <w:t>Journal of Research in Crime and Delinquency</w:t>
      </w:r>
      <w:r w:rsidRPr="00053DA8">
        <w:rPr>
          <w:sz w:val="24"/>
          <w:szCs w:val="24"/>
        </w:rPr>
        <w:t xml:space="preserve"> 37 (1): 31–63.10.1177/0022427800037001002 Pridemore, W. A., and T. H. Grubesic. 2012. “Community Organization Moderates the Effect of Alcohol Outlet Density on Violence.” </w:t>
      </w:r>
      <w:r w:rsidRPr="00053DA8">
        <w:rPr>
          <w:i/>
          <w:iCs/>
          <w:sz w:val="24"/>
          <w:szCs w:val="24"/>
        </w:rPr>
        <w:t>The British Journal of Sociology</w:t>
      </w:r>
      <w:r w:rsidRPr="00053DA8">
        <w:rPr>
          <w:sz w:val="24"/>
          <w:szCs w:val="24"/>
        </w:rPr>
        <w:t xml:space="preserve"> 63: 680–703.10.1111/bjos.2012.63.issue-4 </w:t>
      </w:r>
    </w:p>
    <w:p w14:paraId="2382F1CB" w14:textId="406CC719" w:rsidR="00A47C56" w:rsidRPr="00053DA8" w:rsidRDefault="00A47C56" w:rsidP="00053DA8">
      <w:pPr>
        <w:spacing w:after="0"/>
        <w:ind w:left="720" w:hanging="720"/>
        <w:rPr>
          <w:sz w:val="24"/>
          <w:szCs w:val="24"/>
        </w:rPr>
      </w:pPr>
      <w:r w:rsidRPr="00053DA8">
        <w:rPr>
          <w:sz w:val="24"/>
          <w:szCs w:val="24"/>
        </w:rPr>
        <w:t xml:space="preserve">Pridemore, W. A., and T. Grubesic. 2013. “Alcohol Outlets and Community Levels of Interpersonal Violence: Spatial Density, Outlet Type, and Seriousness of Assault.” </w:t>
      </w:r>
      <w:r w:rsidRPr="00053DA8">
        <w:rPr>
          <w:i/>
          <w:iCs/>
          <w:sz w:val="24"/>
          <w:szCs w:val="24"/>
        </w:rPr>
        <w:t>Journal of Research in Crime and Delinquency</w:t>
      </w:r>
      <w:r w:rsidRPr="00053DA8">
        <w:rPr>
          <w:sz w:val="24"/>
          <w:szCs w:val="24"/>
        </w:rPr>
        <w:t xml:space="preserve"> 50: 132–159.10.1177/0022427810397952 </w:t>
      </w:r>
    </w:p>
    <w:p w14:paraId="7182AD91" w14:textId="281EDE01" w:rsidR="00A47C56" w:rsidRPr="00053DA8" w:rsidRDefault="00A47C56" w:rsidP="00053DA8">
      <w:pPr>
        <w:spacing w:after="0"/>
        <w:ind w:left="720" w:hanging="720"/>
        <w:rPr>
          <w:sz w:val="24"/>
          <w:szCs w:val="24"/>
        </w:rPr>
      </w:pPr>
      <w:r w:rsidRPr="00053DA8">
        <w:rPr>
          <w:sz w:val="24"/>
          <w:szCs w:val="24"/>
        </w:rPr>
        <w:t xml:space="preserve">Responsible Retailing. 2010. </w:t>
      </w:r>
      <w:r w:rsidRPr="00053DA8">
        <w:rPr>
          <w:i/>
          <w:iCs/>
          <w:sz w:val="24"/>
          <w:szCs w:val="24"/>
        </w:rPr>
        <w:t>Responsible Retailing Forum</w:t>
      </w:r>
      <w:r w:rsidRPr="00053DA8">
        <w:rPr>
          <w:sz w:val="24"/>
          <w:szCs w:val="24"/>
        </w:rPr>
        <w:t xml:space="preserve">. </w:t>
      </w:r>
      <w:hyperlink r:id="rId117" w:tgtFrame="_blank" w:history="1">
        <w:r w:rsidRPr="00053DA8">
          <w:rPr>
            <w:rStyle w:val="Hyperlink"/>
            <w:rFonts w:cstheme="minorHAnsi"/>
            <w:sz w:val="24"/>
            <w:szCs w:val="24"/>
          </w:rPr>
          <w:t>http://fcpr.fsu.edu/retail/concept.php</w:t>
        </w:r>
      </w:hyperlink>
    </w:p>
    <w:p w14:paraId="3D49960D" w14:textId="05D2F752" w:rsidR="00A47C56" w:rsidRPr="00053DA8" w:rsidRDefault="00A47C56" w:rsidP="00053DA8">
      <w:pPr>
        <w:spacing w:after="0"/>
        <w:ind w:left="720" w:hanging="720"/>
        <w:rPr>
          <w:sz w:val="24"/>
          <w:szCs w:val="24"/>
        </w:rPr>
      </w:pPr>
      <w:r w:rsidRPr="00053DA8">
        <w:rPr>
          <w:sz w:val="24"/>
          <w:szCs w:val="24"/>
        </w:rPr>
        <w:t xml:space="preserve">Rice, K. J., and W. R. Csmith. 2002. “Socioecological Models of Automotive Theft: Integrating Routine Activity and Social Disorganization Approaches.” </w:t>
      </w:r>
      <w:r w:rsidRPr="00053DA8">
        <w:rPr>
          <w:i/>
          <w:iCs/>
          <w:sz w:val="24"/>
          <w:szCs w:val="24"/>
        </w:rPr>
        <w:t>Journal of Research in Crime and Delinquency</w:t>
      </w:r>
      <w:r w:rsidRPr="00053DA8">
        <w:rPr>
          <w:sz w:val="24"/>
          <w:szCs w:val="24"/>
        </w:rPr>
        <w:t xml:space="preserve"> 39 (3): 304–336.10.1177/002242780203900303 </w:t>
      </w:r>
    </w:p>
    <w:p w14:paraId="4B0E4CA9" w14:textId="433790A0" w:rsidR="00A47C56" w:rsidRPr="00053DA8" w:rsidRDefault="00A47C56" w:rsidP="00053DA8">
      <w:pPr>
        <w:spacing w:after="0"/>
        <w:ind w:left="720" w:hanging="720"/>
        <w:rPr>
          <w:sz w:val="24"/>
          <w:szCs w:val="24"/>
        </w:rPr>
      </w:pPr>
      <w:r w:rsidRPr="00053DA8">
        <w:rPr>
          <w:sz w:val="24"/>
          <w:szCs w:val="24"/>
        </w:rPr>
        <w:t xml:space="preserve">Robinson, J. B., B. A. Lawton, R. B. Taylor, and D. D. Perkins. 2003. “Multilevel Longitudinal Impacts of Incivilities: Fear of Crime, Expected Safety, and Block Satisfaction.” </w:t>
      </w:r>
      <w:r w:rsidRPr="00053DA8">
        <w:rPr>
          <w:i/>
          <w:iCs/>
          <w:sz w:val="24"/>
          <w:szCs w:val="24"/>
        </w:rPr>
        <w:t>Journal of Quantitative Criminology</w:t>
      </w:r>
      <w:r w:rsidRPr="00053DA8">
        <w:rPr>
          <w:sz w:val="24"/>
          <w:szCs w:val="24"/>
        </w:rPr>
        <w:t xml:space="preserve"> 19: 237–274.10.1023/A:1024956925170 </w:t>
      </w:r>
    </w:p>
    <w:p w14:paraId="7E9FC45C" w14:textId="2E3BBE17" w:rsidR="00A47C56" w:rsidRPr="00053DA8" w:rsidRDefault="00A47C56" w:rsidP="00053DA8">
      <w:pPr>
        <w:spacing w:after="0"/>
        <w:ind w:left="720" w:hanging="720"/>
        <w:rPr>
          <w:sz w:val="24"/>
          <w:szCs w:val="24"/>
        </w:rPr>
      </w:pPr>
      <w:r w:rsidRPr="00053DA8">
        <w:rPr>
          <w:sz w:val="24"/>
          <w:szCs w:val="24"/>
        </w:rPr>
        <w:t xml:space="preserve">Roman, C. G., S. Reid, A. Bhati, and B. Tereshchenko. 2008. </w:t>
      </w:r>
      <w:r w:rsidRPr="00053DA8">
        <w:rPr>
          <w:i/>
          <w:iCs/>
          <w:sz w:val="24"/>
          <w:szCs w:val="24"/>
        </w:rPr>
        <w:t>Alcohol Outlets as Attractors of Violence and Disorder: A Closer Look at the Neighborhood Environment</w:t>
      </w:r>
      <w:r w:rsidRPr="00053DA8">
        <w:rPr>
          <w:sz w:val="24"/>
          <w:szCs w:val="24"/>
        </w:rPr>
        <w:t xml:space="preserve">. Washington, DC: Urban Institute. Retrieved December 1, 2009, from </w:t>
      </w:r>
      <w:hyperlink r:id="rId118" w:tgtFrame="_blank" w:history="1">
        <w:r w:rsidRPr="00053DA8">
          <w:rPr>
            <w:rStyle w:val="Hyperlink"/>
            <w:rFonts w:cstheme="minorHAnsi"/>
            <w:sz w:val="24"/>
            <w:szCs w:val="24"/>
          </w:rPr>
          <w:t>http://www.urban.org/publications/411663.html</w:t>
        </w:r>
      </w:hyperlink>
    </w:p>
    <w:p w14:paraId="523CFCE0" w14:textId="44F856D7" w:rsidR="00A47C56" w:rsidRPr="00053DA8" w:rsidRDefault="00A47C56" w:rsidP="00053DA8">
      <w:pPr>
        <w:spacing w:after="0"/>
        <w:ind w:left="720" w:hanging="720"/>
        <w:rPr>
          <w:sz w:val="24"/>
          <w:szCs w:val="24"/>
        </w:rPr>
      </w:pPr>
      <w:r w:rsidRPr="00053DA8">
        <w:rPr>
          <w:sz w:val="24"/>
          <w:szCs w:val="24"/>
        </w:rPr>
        <w:t xml:space="preserve">Sampson, R. J., and W. B. Groves. 1989. “Community Structure and Crime: Testing Social-disorganization Theory.” </w:t>
      </w:r>
      <w:r w:rsidRPr="00053DA8">
        <w:rPr>
          <w:i/>
          <w:iCs/>
          <w:sz w:val="24"/>
          <w:szCs w:val="24"/>
        </w:rPr>
        <w:t>American Journal of Sociology</w:t>
      </w:r>
      <w:r w:rsidRPr="00053DA8">
        <w:rPr>
          <w:sz w:val="24"/>
          <w:szCs w:val="24"/>
        </w:rPr>
        <w:t xml:space="preserve"> 94: 774–802.10.1086/229068 </w:t>
      </w:r>
    </w:p>
    <w:p w14:paraId="08BDF62B" w14:textId="062851D2" w:rsidR="00A47C56" w:rsidRPr="00053DA8" w:rsidRDefault="00A47C56" w:rsidP="00053DA8">
      <w:pPr>
        <w:spacing w:after="0"/>
        <w:ind w:left="720" w:hanging="720"/>
        <w:rPr>
          <w:sz w:val="24"/>
          <w:szCs w:val="24"/>
        </w:rPr>
      </w:pPr>
      <w:r w:rsidRPr="00053DA8">
        <w:rPr>
          <w:sz w:val="24"/>
          <w:szCs w:val="24"/>
        </w:rPr>
        <w:t xml:space="preserve">Sampson, R. J., S. Raudenbush, and F. Earls. 1997. “Neighborhoods and Violent Crime: A Multilevel Study of Collective Efficacy.” </w:t>
      </w:r>
      <w:r w:rsidRPr="00053DA8">
        <w:rPr>
          <w:i/>
          <w:iCs/>
          <w:sz w:val="24"/>
          <w:szCs w:val="24"/>
        </w:rPr>
        <w:t>Science</w:t>
      </w:r>
      <w:r w:rsidRPr="00053DA8">
        <w:rPr>
          <w:sz w:val="24"/>
          <w:szCs w:val="24"/>
        </w:rPr>
        <w:t xml:space="preserve"> 277: 918–924.10.1126/science.277.5328.918 </w:t>
      </w:r>
    </w:p>
    <w:p w14:paraId="7A998C76" w14:textId="53D7A55A" w:rsidR="00A47C56" w:rsidRPr="00053DA8" w:rsidRDefault="00A47C56" w:rsidP="00053DA8">
      <w:pPr>
        <w:spacing w:after="0"/>
        <w:ind w:left="720" w:hanging="720"/>
        <w:rPr>
          <w:sz w:val="24"/>
          <w:szCs w:val="24"/>
        </w:rPr>
      </w:pPr>
      <w:r w:rsidRPr="00053DA8">
        <w:rPr>
          <w:sz w:val="24"/>
          <w:szCs w:val="24"/>
        </w:rPr>
        <w:t xml:space="preserve">Sampson, R. J., J. D. Morenoff, and T. Gannon-Rowley. 2002. “Assessing ‘Neighborhood Effects’: Social Processes and New Directions in Research.” </w:t>
      </w:r>
      <w:r w:rsidRPr="00053DA8">
        <w:rPr>
          <w:i/>
          <w:iCs/>
          <w:sz w:val="24"/>
          <w:szCs w:val="24"/>
        </w:rPr>
        <w:t>Annual Review of Sociology</w:t>
      </w:r>
      <w:r w:rsidRPr="00053DA8">
        <w:rPr>
          <w:sz w:val="24"/>
          <w:szCs w:val="24"/>
        </w:rPr>
        <w:t xml:space="preserve"> 28: 443–478.10.1146/annurev.soc.28.110601.141114 </w:t>
      </w:r>
    </w:p>
    <w:p w14:paraId="6FAE7796" w14:textId="12EF5327" w:rsidR="00A47C56" w:rsidRPr="00053DA8" w:rsidRDefault="00A47C56" w:rsidP="00053DA8">
      <w:pPr>
        <w:spacing w:after="0"/>
        <w:ind w:left="720" w:hanging="720"/>
        <w:rPr>
          <w:sz w:val="24"/>
          <w:szCs w:val="24"/>
        </w:rPr>
      </w:pPr>
      <w:r w:rsidRPr="00053DA8">
        <w:rPr>
          <w:sz w:val="24"/>
          <w:szCs w:val="24"/>
        </w:rPr>
        <w:t xml:space="preserve">Scribner, R. A., D. P. MacKinnon, and J. H. Dwyer. 1995. “The Risk of Assaultive Violence and Alcohol Availability in Los Angeles County.” </w:t>
      </w:r>
      <w:r w:rsidRPr="00053DA8">
        <w:rPr>
          <w:i/>
          <w:iCs/>
          <w:sz w:val="24"/>
          <w:szCs w:val="24"/>
        </w:rPr>
        <w:t>American Journal of Public Health</w:t>
      </w:r>
      <w:r w:rsidRPr="00053DA8">
        <w:rPr>
          <w:sz w:val="24"/>
          <w:szCs w:val="24"/>
        </w:rPr>
        <w:t xml:space="preserve"> 85: 335–340.10.2105/AJPH.85.3.335 </w:t>
      </w:r>
    </w:p>
    <w:p w14:paraId="132EA4EA" w14:textId="0255B066" w:rsidR="00A47C56" w:rsidRPr="00053DA8" w:rsidRDefault="00A47C56" w:rsidP="00053DA8">
      <w:pPr>
        <w:spacing w:after="0"/>
        <w:ind w:left="720" w:hanging="720"/>
        <w:rPr>
          <w:sz w:val="24"/>
          <w:szCs w:val="24"/>
        </w:rPr>
      </w:pPr>
      <w:r w:rsidRPr="00053DA8">
        <w:rPr>
          <w:sz w:val="24"/>
          <w:szCs w:val="24"/>
        </w:rPr>
        <w:t xml:space="preserve">Scribner, R., D. Cohen, S. Kaplan, and S. H. Allen. 1999. “Alcohol Availability and Homicide in New Orleans: Conceptual Considerations for Small Area Analysis of the Effect of Alcohol Outlet Density.” </w:t>
      </w:r>
      <w:r w:rsidRPr="00053DA8">
        <w:rPr>
          <w:i/>
          <w:iCs/>
          <w:sz w:val="24"/>
          <w:szCs w:val="24"/>
        </w:rPr>
        <w:t>Journal of Studies on Alcohol</w:t>
      </w:r>
      <w:r w:rsidRPr="00053DA8">
        <w:rPr>
          <w:sz w:val="24"/>
          <w:szCs w:val="24"/>
        </w:rPr>
        <w:t xml:space="preserve"> 60: 310–316.10.15288/jsa.1999.60.310 </w:t>
      </w:r>
    </w:p>
    <w:p w14:paraId="7F795C60" w14:textId="2C5CF97F" w:rsidR="00A47C56" w:rsidRPr="00053DA8" w:rsidRDefault="00A47C56" w:rsidP="00053DA8">
      <w:pPr>
        <w:spacing w:after="0"/>
        <w:ind w:left="720" w:hanging="720"/>
        <w:rPr>
          <w:sz w:val="24"/>
          <w:szCs w:val="24"/>
        </w:rPr>
      </w:pPr>
      <w:r w:rsidRPr="00053DA8">
        <w:rPr>
          <w:sz w:val="24"/>
          <w:szCs w:val="24"/>
        </w:rPr>
        <w:t xml:space="preserve">Shaw, C. R., and H. D. McKay. 1942. </w:t>
      </w:r>
      <w:r w:rsidRPr="00053DA8">
        <w:rPr>
          <w:i/>
          <w:iCs/>
          <w:sz w:val="24"/>
          <w:szCs w:val="24"/>
        </w:rPr>
        <w:t>Juvenile Delinquency and Urban Areas</w:t>
      </w:r>
      <w:r w:rsidRPr="00053DA8">
        <w:rPr>
          <w:sz w:val="24"/>
          <w:szCs w:val="24"/>
        </w:rPr>
        <w:t>. Chicago, IL: The University of Chicago Press. </w:t>
      </w:r>
    </w:p>
    <w:p w14:paraId="6DD9D7FE" w14:textId="05DC38B6" w:rsidR="00A47C56" w:rsidRPr="00053DA8" w:rsidRDefault="00A47C56" w:rsidP="00053DA8">
      <w:pPr>
        <w:spacing w:after="0"/>
        <w:ind w:left="720" w:hanging="720"/>
        <w:rPr>
          <w:sz w:val="24"/>
          <w:szCs w:val="24"/>
        </w:rPr>
      </w:pPr>
      <w:r w:rsidRPr="00053DA8">
        <w:rPr>
          <w:sz w:val="24"/>
          <w:szCs w:val="24"/>
        </w:rPr>
        <w:t xml:space="preserve">Smith, W. R., S. G. Frazee, and E. L. Davison. 2000. “Furthering the Integration of Routine Activity and Social Disorganization Theories: Small Units of Analysis and the Study of Street Robbery as a Diffusion Process.” </w:t>
      </w:r>
      <w:r w:rsidRPr="00053DA8">
        <w:rPr>
          <w:i/>
          <w:iCs/>
          <w:sz w:val="24"/>
          <w:szCs w:val="24"/>
        </w:rPr>
        <w:t>Criminology</w:t>
      </w:r>
      <w:r w:rsidRPr="00053DA8">
        <w:rPr>
          <w:sz w:val="24"/>
          <w:szCs w:val="24"/>
        </w:rPr>
        <w:t xml:space="preserve"> 38 (2): 489–524.10.1111/crim.2000.38.issue-2 </w:t>
      </w:r>
    </w:p>
    <w:p w14:paraId="594014B2" w14:textId="6C7851BE" w:rsidR="00A47C56" w:rsidRPr="00053DA8" w:rsidRDefault="00A47C56" w:rsidP="00053DA8">
      <w:pPr>
        <w:spacing w:after="0"/>
        <w:ind w:left="720" w:hanging="720"/>
        <w:rPr>
          <w:sz w:val="24"/>
          <w:szCs w:val="24"/>
        </w:rPr>
      </w:pPr>
      <w:r w:rsidRPr="00053DA8">
        <w:rPr>
          <w:sz w:val="24"/>
          <w:szCs w:val="24"/>
        </w:rPr>
        <w:t xml:space="preserve">Snowden, A. J. 2015. “The Role of Alcohol in Violence: The Individual, Small Group, Community, and Cultural Level.” </w:t>
      </w:r>
      <w:r w:rsidRPr="00053DA8">
        <w:rPr>
          <w:i/>
          <w:iCs/>
          <w:sz w:val="24"/>
          <w:szCs w:val="24"/>
        </w:rPr>
        <w:t>Review of European Studies</w:t>
      </w:r>
      <w:r w:rsidRPr="00053DA8">
        <w:rPr>
          <w:sz w:val="24"/>
          <w:szCs w:val="24"/>
        </w:rPr>
        <w:t xml:space="preserve"> 7: 394–406. </w:t>
      </w:r>
    </w:p>
    <w:p w14:paraId="0A66E063" w14:textId="5EE4C5A1" w:rsidR="00A47C56" w:rsidRPr="00053DA8" w:rsidRDefault="00A47C56" w:rsidP="00053DA8">
      <w:pPr>
        <w:spacing w:after="0"/>
        <w:ind w:left="720" w:hanging="720"/>
        <w:rPr>
          <w:sz w:val="24"/>
          <w:szCs w:val="24"/>
        </w:rPr>
      </w:pPr>
      <w:r w:rsidRPr="00053DA8">
        <w:rPr>
          <w:sz w:val="24"/>
          <w:szCs w:val="24"/>
        </w:rPr>
        <w:t xml:space="preserve">Snowden, A. J. 2016a. “Alcohol Outlet Density and Intimate Partner Violence in a Non-metropolitan College Town: Accounting for Neighborhood Characteristics and Alcohol Outlet Types.” </w:t>
      </w:r>
      <w:r w:rsidRPr="00053DA8">
        <w:rPr>
          <w:i/>
          <w:iCs/>
          <w:sz w:val="24"/>
          <w:szCs w:val="24"/>
        </w:rPr>
        <w:t>Violence and Victims</w:t>
      </w:r>
      <w:r w:rsidRPr="00053DA8">
        <w:rPr>
          <w:sz w:val="24"/>
          <w:szCs w:val="24"/>
        </w:rPr>
        <w:t xml:space="preserve"> 37 (1): 111–123. </w:t>
      </w:r>
    </w:p>
    <w:p w14:paraId="27BAE2C6" w14:textId="097EA901" w:rsidR="00A47C56" w:rsidRPr="00053DA8" w:rsidRDefault="00A47C56" w:rsidP="00053DA8">
      <w:pPr>
        <w:spacing w:after="0"/>
        <w:ind w:left="720" w:hanging="720"/>
        <w:rPr>
          <w:sz w:val="24"/>
          <w:szCs w:val="24"/>
        </w:rPr>
      </w:pPr>
      <w:r w:rsidRPr="00053DA8">
        <w:rPr>
          <w:sz w:val="24"/>
          <w:szCs w:val="24"/>
        </w:rPr>
        <w:t xml:space="preserve">Snowden, A. J. 2016b. “Neighborhood Characteristics Contribute to Urban Alcohol Availability: Accounting for Race/Ethnicity and Social Disorganization.” </w:t>
      </w:r>
      <w:r w:rsidRPr="00053DA8">
        <w:rPr>
          <w:i/>
          <w:iCs/>
          <w:sz w:val="24"/>
          <w:szCs w:val="24"/>
        </w:rPr>
        <w:t>Journal of Ethnicity in Substance Abuse</w:t>
      </w:r>
      <w:r w:rsidRPr="00053DA8">
        <w:rPr>
          <w:sz w:val="24"/>
          <w:szCs w:val="24"/>
        </w:rPr>
        <w:t xml:space="preserve"> 1–21. </w:t>
      </w:r>
    </w:p>
    <w:p w14:paraId="479A913C" w14:textId="5B2633F9" w:rsidR="00A47C56" w:rsidRPr="00053DA8" w:rsidRDefault="00A47C56" w:rsidP="00053DA8">
      <w:pPr>
        <w:spacing w:after="0"/>
        <w:ind w:left="720" w:hanging="720"/>
        <w:rPr>
          <w:sz w:val="24"/>
          <w:szCs w:val="24"/>
        </w:rPr>
      </w:pPr>
      <w:r w:rsidRPr="00053DA8">
        <w:rPr>
          <w:sz w:val="24"/>
          <w:szCs w:val="24"/>
        </w:rPr>
        <w:t xml:space="preserve">Snowden, A. J., and T. Freiburger. 2015. “Alcohol Outlets, Social Disorganization, and Robberies: Accounting for Neighborhood Characteristics and Alcohol Outlet Types.” </w:t>
      </w:r>
      <w:r w:rsidRPr="00053DA8">
        <w:rPr>
          <w:i/>
          <w:iCs/>
          <w:sz w:val="24"/>
          <w:szCs w:val="24"/>
        </w:rPr>
        <w:t>Social Science Research</w:t>
      </w:r>
      <w:r w:rsidRPr="00053DA8">
        <w:rPr>
          <w:sz w:val="24"/>
          <w:szCs w:val="24"/>
        </w:rPr>
        <w:t xml:space="preserve"> 51: 145–162.10.1016/j.ssresearch.2015.01.011 </w:t>
      </w:r>
    </w:p>
    <w:p w14:paraId="0FC27355" w14:textId="63A4C287" w:rsidR="00A47C56" w:rsidRPr="00053DA8" w:rsidRDefault="00A47C56" w:rsidP="00053DA8">
      <w:pPr>
        <w:spacing w:after="0"/>
        <w:ind w:left="720" w:hanging="720"/>
        <w:rPr>
          <w:sz w:val="24"/>
          <w:szCs w:val="24"/>
        </w:rPr>
      </w:pPr>
      <w:r w:rsidRPr="00053DA8">
        <w:rPr>
          <w:sz w:val="24"/>
          <w:szCs w:val="24"/>
        </w:rPr>
        <w:t xml:space="preserve">Snowden, A. J., and W. A. Pridemore. 2013a. “Alcohol and Violence in a Nonmetropolitan College Town: Alcohol Outlet Density, Outlet Type, and Assault.” </w:t>
      </w:r>
      <w:r w:rsidRPr="00053DA8">
        <w:rPr>
          <w:i/>
          <w:iCs/>
          <w:sz w:val="24"/>
          <w:szCs w:val="24"/>
        </w:rPr>
        <w:t>Journal of Drug Issues</w:t>
      </w:r>
      <w:r w:rsidRPr="00053DA8">
        <w:rPr>
          <w:sz w:val="24"/>
          <w:szCs w:val="24"/>
        </w:rPr>
        <w:t xml:space="preserve"> 43: 357–373.10.1177/0022042613475788 </w:t>
      </w:r>
    </w:p>
    <w:p w14:paraId="31CF30C3" w14:textId="42C7A489" w:rsidR="00A47C56" w:rsidRPr="00053DA8" w:rsidRDefault="00A47C56" w:rsidP="00053DA8">
      <w:pPr>
        <w:spacing w:after="0"/>
        <w:ind w:left="720" w:hanging="720"/>
        <w:rPr>
          <w:sz w:val="24"/>
          <w:szCs w:val="24"/>
        </w:rPr>
      </w:pPr>
      <w:r w:rsidRPr="00053DA8">
        <w:rPr>
          <w:sz w:val="24"/>
          <w:szCs w:val="24"/>
        </w:rPr>
        <w:t xml:space="preserve">Snowden, A. J., and W. A. Pridemore. 2013b. “Alcohol Outlets, Social Disorganization, Land Use, and Violence in a Large College Town: Direct and Moderating Effects.” </w:t>
      </w:r>
      <w:r w:rsidRPr="00053DA8">
        <w:rPr>
          <w:i/>
          <w:iCs/>
          <w:sz w:val="24"/>
          <w:szCs w:val="24"/>
        </w:rPr>
        <w:t>Criminal Justice Review</w:t>
      </w:r>
      <w:r w:rsidRPr="00053DA8">
        <w:rPr>
          <w:sz w:val="24"/>
          <w:szCs w:val="24"/>
        </w:rPr>
        <w:t xml:space="preserve"> 38 (1): 29–49.10.1177/0734016812467198 </w:t>
      </w:r>
    </w:p>
    <w:p w14:paraId="748E7B1C" w14:textId="00000067" w:rsidR="00A47C56" w:rsidRPr="00053DA8" w:rsidRDefault="00A47C56" w:rsidP="00053DA8">
      <w:pPr>
        <w:spacing w:after="0"/>
        <w:ind w:left="720" w:hanging="720"/>
        <w:rPr>
          <w:sz w:val="24"/>
          <w:szCs w:val="24"/>
        </w:rPr>
      </w:pPr>
      <w:r w:rsidRPr="00053DA8">
        <w:rPr>
          <w:sz w:val="24"/>
          <w:szCs w:val="24"/>
        </w:rPr>
        <w:t xml:space="preserve">Sparks, C. S. 2011. “Violent Crime in San Antonio, Texas: An Application of Spatial Epidemiological Methods.” </w:t>
      </w:r>
      <w:r w:rsidRPr="00053DA8">
        <w:rPr>
          <w:i/>
          <w:iCs/>
          <w:sz w:val="24"/>
          <w:szCs w:val="24"/>
        </w:rPr>
        <w:t>Spatial and Spatio-Temporal Epidemiology</w:t>
      </w:r>
      <w:r w:rsidRPr="00053DA8">
        <w:rPr>
          <w:sz w:val="24"/>
          <w:szCs w:val="24"/>
        </w:rPr>
        <w:t xml:space="preserve"> 2: 301–309.10.1016/j.sste.2011.10.001 </w:t>
      </w:r>
    </w:p>
    <w:p w14:paraId="1915CBF3" w14:textId="1B1C20B9" w:rsidR="00A47C56" w:rsidRPr="00053DA8" w:rsidRDefault="00A47C56" w:rsidP="00053DA8">
      <w:pPr>
        <w:spacing w:after="0"/>
        <w:ind w:left="720" w:hanging="720"/>
        <w:rPr>
          <w:sz w:val="24"/>
          <w:szCs w:val="24"/>
        </w:rPr>
      </w:pPr>
      <w:r w:rsidRPr="00053DA8">
        <w:rPr>
          <w:sz w:val="24"/>
          <w:szCs w:val="24"/>
        </w:rPr>
        <w:t xml:space="preserve">Stevenson, R. J., B. Lind, and D. Weatherburn. 1999. “Property Damage and Public Disorder: Their Relationship with Sales of Alcohol in New South Wales, Australia.” </w:t>
      </w:r>
      <w:r w:rsidRPr="00053DA8">
        <w:rPr>
          <w:i/>
          <w:iCs/>
          <w:sz w:val="24"/>
          <w:szCs w:val="24"/>
        </w:rPr>
        <w:t>Drug and Alcohol Dependence</w:t>
      </w:r>
      <w:r w:rsidRPr="00053DA8">
        <w:rPr>
          <w:sz w:val="24"/>
          <w:szCs w:val="24"/>
        </w:rPr>
        <w:t xml:space="preserve"> 54: 163–170.10.1016/S0376-8716(98)00157-4 </w:t>
      </w:r>
    </w:p>
    <w:p w14:paraId="743DD69B" w14:textId="2120209E" w:rsidR="00A47C56" w:rsidRPr="00053DA8" w:rsidRDefault="00A47C56" w:rsidP="00053DA8">
      <w:pPr>
        <w:spacing w:after="0"/>
        <w:ind w:left="720" w:hanging="720"/>
        <w:rPr>
          <w:sz w:val="24"/>
          <w:szCs w:val="24"/>
        </w:rPr>
      </w:pPr>
      <w:r w:rsidRPr="00053DA8">
        <w:rPr>
          <w:sz w:val="24"/>
          <w:szCs w:val="24"/>
        </w:rPr>
        <w:t xml:space="preserve">Stockwell, T., and P. J. Gruenewald. 2001. “Controls on the Physical Availability of Alcohol.” In </w:t>
      </w:r>
      <w:r w:rsidRPr="00053DA8">
        <w:rPr>
          <w:i/>
          <w:iCs/>
          <w:sz w:val="24"/>
          <w:szCs w:val="24"/>
        </w:rPr>
        <w:t>The Essential Handbook of Treatment and Prevention of Alcohol Problems</w:t>
      </w:r>
      <w:r w:rsidRPr="00053DA8">
        <w:rPr>
          <w:sz w:val="24"/>
          <w:szCs w:val="24"/>
        </w:rPr>
        <w:t>, edited by N. Heather and T. Stockwell, 213–233. Hoboken, NJ: John Wiley &amp; Sons. </w:t>
      </w:r>
    </w:p>
    <w:p w14:paraId="035EF465" w14:textId="689012A1" w:rsidR="00A47C56" w:rsidRPr="00053DA8" w:rsidRDefault="00A47C56" w:rsidP="00053DA8">
      <w:pPr>
        <w:spacing w:after="0"/>
        <w:ind w:left="720" w:hanging="720"/>
        <w:rPr>
          <w:sz w:val="24"/>
          <w:szCs w:val="24"/>
        </w:rPr>
      </w:pPr>
      <w:r w:rsidRPr="00053DA8">
        <w:rPr>
          <w:sz w:val="24"/>
          <w:szCs w:val="24"/>
        </w:rPr>
        <w:t xml:space="preserve">Toomey, T. L., D. J. Erickson, Bradley P. Carlin, Harrison S. Quick, Eileen M. Harwood, and Kathleen M. Lenk. 2012. “Is the Density of Alcohol Establishments Related to Nonviolent Crime?” </w:t>
      </w:r>
      <w:r w:rsidRPr="00053DA8">
        <w:rPr>
          <w:i/>
          <w:iCs/>
          <w:sz w:val="24"/>
          <w:szCs w:val="24"/>
        </w:rPr>
        <w:t>Journal of Studies on Alcohol and Drugs</w:t>
      </w:r>
      <w:r w:rsidRPr="00053DA8">
        <w:rPr>
          <w:sz w:val="24"/>
          <w:szCs w:val="24"/>
        </w:rPr>
        <w:t xml:space="preserve"> 73: 21–25.10.15288/jsad.2012.73.21 </w:t>
      </w:r>
    </w:p>
    <w:p w14:paraId="6CD2725F" w14:textId="7A27A465" w:rsidR="00A47C56" w:rsidRPr="00053DA8" w:rsidRDefault="00A47C56" w:rsidP="00053DA8">
      <w:pPr>
        <w:spacing w:after="0"/>
        <w:ind w:left="720" w:hanging="720"/>
        <w:rPr>
          <w:sz w:val="24"/>
          <w:szCs w:val="24"/>
        </w:rPr>
      </w:pPr>
      <w:r w:rsidRPr="00053DA8">
        <w:rPr>
          <w:sz w:val="24"/>
          <w:szCs w:val="24"/>
        </w:rPr>
        <w:t xml:space="preserve">US Census Bureau. 2010. “American FacFinder.” Accessed July 28, 2013. </w:t>
      </w:r>
      <w:hyperlink r:id="rId119" w:tgtFrame="_blank" w:history="1">
        <w:r w:rsidRPr="00053DA8">
          <w:rPr>
            <w:rStyle w:val="Hyperlink"/>
            <w:rFonts w:cstheme="minorHAnsi"/>
            <w:sz w:val="24"/>
            <w:szCs w:val="24"/>
          </w:rPr>
          <w:t>http://factfinder2.census.gov/faces/nav/jsf/pages/community_facts.xhtml</w:t>
        </w:r>
      </w:hyperlink>
    </w:p>
    <w:p w14:paraId="607AA2BE" w14:textId="5DDAA4D6" w:rsidR="00A47C56" w:rsidRPr="00053DA8" w:rsidRDefault="00A47C56" w:rsidP="00053DA8">
      <w:pPr>
        <w:spacing w:after="0"/>
        <w:ind w:left="720" w:hanging="720"/>
        <w:rPr>
          <w:sz w:val="24"/>
          <w:szCs w:val="24"/>
        </w:rPr>
      </w:pPr>
      <w:r w:rsidRPr="00053DA8">
        <w:rPr>
          <w:sz w:val="24"/>
          <w:szCs w:val="24"/>
        </w:rPr>
        <w:t>US Census Bureau. (</w:t>
      </w:r>
      <w:proofErr w:type="gramStart"/>
      <w:r w:rsidRPr="00053DA8">
        <w:rPr>
          <w:sz w:val="24"/>
          <w:szCs w:val="24"/>
        </w:rPr>
        <w:t>January,</w:t>
      </w:r>
      <w:proofErr w:type="gramEnd"/>
      <w:r w:rsidRPr="00053DA8">
        <w:rPr>
          <w:sz w:val="24"/>
          <w:szCs w:val="24"/>
        </w:rPr>
        <w:t xml:space="preserve"> 2014). “State and County QuickFacts.” </w:t>
      </w:r>
      <w:hyperlink r:id="rId120" w:tgtFrame="_blank" w:history="1">
        <w:r w:rsidRPr="00053DA8">
          <w:rPr>
            <w:rStyle w:val="Hyperlink"/>
            <w:rFonts w:cstheme="minorHAnsi"/>
            <w:sz w:val="24"/>
            <w:szCs w:val="24"/>
          </w:rPr>
          <w:t>http://quickfacts.census.gov/qfd/states/55/5553000.html</w:t>
        </w:r>
      </w:hyperlink>
      <w:r w:rsidRPr="00053DA8">
        <w:rPr>
          <w:sz w:val="24"/>
          <w:szCs w:val="24"/>
        </w:rPr>
        <w:t>. </w:t>
      </w:r>
    </w:p>
    <w:p w14:paraId="5BC23328" w14:textId="27F2802F" w:rsidR="00A47C56" w:rsidRPr="00053DA8" w:rsidRDefault="00A47C56" w:rsidP="00053DA8">
      <w:pPr>
        <w:spacing w:after="0"/>
        <w:ind w:left="720" w:hanging="720"/>
        <w:rPr>
          <w:sz w:val="24"/>
          <w:szCs w:val="24"/>
        </w:rPr>
      </w:pPr>
      <w:r w:rsidRPr="00053DA8">
        <w:rPr>
          <w:sz w:val="24"/>
          <w:szCs w:val="24"/>
        </w:rPr>
        <w:t xml:space="preserve">Warner, B. D., and G. L. Pierce. 1993. “Reexamining Social Disorganization Theory Using Calls to the Police as a Measure of Crime.” </w:t>
      </w:r>
      <w:r w:rsidRPr="00053DA8">
        <w:rPr>
          <w:i/>
          <w:iCs/>
          <w:sz w:val="24"/>
          <w:szCs w:val="24"/>
        </w:rPr>
        <w:t>Criminology</w:t>
      </w:r>
      <w:r w:rsidRPr="00053DA8">
        <w:rPr>
          <w:sz w:val="24"/>
          <w:szCs w:val="24"/>
        </w:rPr>
        <w:t xml:space="preserve"> 31 (4): 493–517.10.1111/crim.1993.31.issue-4 </w:t>
      </w:r>
    </w:p>
    <w:p w14:paraId="44316118" w14:textId="1D2C47C5" w:rsidR="00A47C56" w:rsidRPr="00053DA8" w:rsidRDefault="00A47C56" w:rsidP="00053DA8">
      <w:pPr>
        <w:spacing w:after="0"/>
        <w:ind w:left="720" w:hanging="720"/>
        <w:rPr>
          <w:sz w:val="24"/>
          <w:szCs w:val="24"/>
        </w:rPr>
      </w:pPr>
      <w:r w:rsidRPr="00053DA8">
        <w:rPr>
          <w:sz w:val="24"/>
          <w:szCs w:val="24"/>
        </w:rPr>
        <w:t xml:space="preserve">Wechsler, H., J. E. Lee, J. Hall, A. C. Wagenaar, and H. Lee. 2002. “Secondhand Effects of Student Alcohol Use Reported by Neighbors of Colleges: The Role of Alcohol Outlets.” </w:t>
      </w:r>
      <w:r w:rsidRPr="00053DA8">
        <w:rPr>
          <w:i/>
          <w:iCs/>
          <w:sz w:val="24"/>
          <w:szCs w:val="24"/>
        </w:rPr>
        <w:t>Social Science &amp; Medicine</w:t>
      </w:r>
      <w:r w:rsidRPr="00053DA8">
        <w:rPr>
          <w:sz w:val="24"/>
          <w:szCs w:val="24"/>
        </w:rPr>
        <w:t xml:space="preserve"> 55: 425–435. </w:t>
      </w:r>
    </w:p>
    <w:p w14:paraId="3F3614F3" w14:textId="3E059533" w:rsidR="00A47C56" w:rsidRPr="00053DA8" w:rsidRDefault="00A47C56" w:rsidP="00053DA8">
      <w:pPr>
        <w:spacing w:after="0"/>
        <w:ind w:left="720" w:hanging="720"/>
        <w:rPr>
          <w:sz w:val="24"/>
          <w:szCs w:val="24"/>
        </w:rPr>
      </w:pPr>
      <w:r w:rsidRPr="00053DA8">
        <w:rPr>
          <w:sz w:val="24"/>
          <w:szCs w:val="24"/>
        </w:rPr>
        <w:t>Wilkinson, C., and M. Livingston. 2012. “Distances to on- and off-</w:t>
      </w:r>
      <w:proofErr w:type="gramStart"/>
      <w:r w:rsidRPr="00053DA8">
        <w:rPr>
          <w:sz w:val="24"/>
          <w:szCs w:val="24"/>
        </w:rPr>
        <w:t>premise</w:t>
      </w:r>
      <w:proofErr w:type="gramEnd"/>
      <w:r w:rsidRPr="00053DA8">
        <w:rPr>
          <w:sz w:val="24"/>
          <w:szCs w:val="24"/>
        </w:rPr>
        <w:t xml:space="preserve"> Alcohol Outlets and Experiences of Alcohol-related Amenity Problems.” </w:t>
      </w:r>
      <w:r w:rsidRPr="00053DA8">
        <w:rPr>
          <w:i/>
          <w:iCs/>
          <w:sz w:val="24"/>
          <w:szCs w:val="24"/>
        </w:rPr>
        <w:t>Drug and Alcohol Review</w:t>
      </w:r>
      <w:r w:rsidRPr="00053DA8">
        <w:rPr>
          <w:sz w:val="24"/>
          <w:szCs w:val="24"/>
        </w:rPr>
        <w:t xml:space="preserve"> 31: 394–401.10.1111/dar.2012.31.issue-4 Wyant, B. R. 2008. “Multilevel Impacts of Perceived Incivilities and Perceptions of Crime Risk on Fear of Crime: Isolating Endogenous Impacts.” </w:t>
      </w:r>
      <w:r w:rsidRPr="00053DA8">
        <w:rPr>
          <w:i/>
          <w:iCs/>
          <w:sz w:val="24"/>
          <w:szCs w:val="24"/>
        </w:rPr>
        <w:t>Journal of Research in Crime and Delinquency</w:t>
      </w:r>
      <w:r w:rsidRPr="00053DA8">
        <w:rPr>
          <w:sz w:val="24"/>
          <w:szCs w:val="24"/>
        </w:rPr>
        <w:t xml:space="preserve"> 45 (1): 39–64.10.1177/0022427807309440 </w:t>
      </w:r>
    </w:p>
    <w:p w14:paraId="18CE851F" w14:textId="77398F07" w:rsidR="00A47C56" w:rsidRPr="00053DA8" w:rsidRDefault="00A47C56" w:rsidP="00053DA8">
      <w:pPr>
        <w:spacing w:after="0"/>
        <w:ind w:left="720" w:hanging="720"/>
        <w:rPr>
          <w:sz w:val="24"/>
          <w:szCs w:val="24"/>
        </w:rPr>
      </w:pPr>
      <w:r w:rsidRPr="00053DA8">
        <w:rPr>
          <w:sz w:val="24"/>
          <w:szCs w:val="24"/>
        </w:rPr>
        <w:t xml:space="preserve">Zhao, J. S., B. Lawton, and D. Longmire. 2015. “An Examination of the Micro-level Crime–Fear of Crime Link.” </w:t>
      </w:r>
      <w:r w:rsidRPr="00053DA8">
        <w:rPr>
          <w:i/>
          <w:iCs/>
          <w:sz w:val="24"/>
          <w:szCs w:val="24"/>
        </w:rPr>
        <w:t>Crime &amp; Delinquency</w:t>
      </w:r>
      <w:r w:rsidRPr="00053DA8">
        <w:rPr>
          <w:sz w:val="24"/>
          <w:szCs w:val="24"/>
        </w:rPr>
        <w:t xml:space="preserve"> 61: 19–44. </w:t>
      </w:r>
    </w:p>
    <w:p w14:paraId="45D5BDBE" w14:textId="76310703" w:rsidR="00A47C56" w:rsidRPr="00053DA8" w:rsidRDefault="00A47C56" w:rsidP="00053DA8">
      <w:pPr>
        <w:spacing w:after="0"/>
        <w:ind w:left="720" w:hanging="720"/>
        <w:rPr>
          <w:sz w:val="24"/>
          <w:szCs w:val="24"/>
        </w:rPr>
      </w:pPr>
      <w:r w:rsidRPr="00053DA8">
        <w:rPr>
          <w:sz w:val="24"/>
          <w:szCs w:val="24"/>
        </w:rPr>
        <w:t xml:space="preserve">Zhu, L., D. M. Gorman, and S. Horel. 2004. “Alcohol Outlet Density and Violence: A Geospatial Analysis.” </w:t>
      </w:r>
      <w:r w:rsidRPr="00053DA8">
        <w:rPr>
          <w:i/>
          <w:iCs/>
          <w:sz w:val="24"/>
          <w:szCs w:val="24"/>
        </w:rPr>
        <w:t>Alcohol and Alcoholism</w:t>
      </w:r>
      <w:r w:rsidRPr="00053DA8">
        <w:rPr>
          <w:sz w:val="24"/>
          <w:szCs w:val="24"/>
        </w:rPr>
        <w:t xml:space="preserve"> 39: 369–375.10.1093/alcalc/agh062 </w:t>
      </w:r>
    </w:p>
    <w:p w14:paraId="33DD06CE" w14:textId="77777777" w:rsidR="00A47C56" w:rsidRPr="00A47C56" w:rsidRDefault="00A47C56" w:rsidP="00416C13">
      <w:pPr>
        <w:pStyle w:val="Heading1"/>
      </w:pPr>
      <w:r w:rsidRPr="00A47C56">
        <w:t>Appendix A.</w:t>
      </w:r>
    </w:p>
    <w:p w14:paraId="415ACC13" w14:textId="77777777" w:rsidR="00A47C56" w:rsidRPr="00A47C56" w:rsidRDefault="00A47C56" w:rsidP="00A47C56">
      <w:pPr>
        <w:rPr>
          <w:rFonts w:cstheme="minorHAnsi"/>
          <w:sz w:val="24"/>
          <w:szCs w:val="24"/>
        </w:rPr>
      </w:pPr>
      <w:r w:rsidRPr="00A47C56">
        <w:rPr>
          <w:rFonts w:cstheme="minorHAnsi"/>
          <w:sz w:val="24"/>
          <w:szCs w:val="24"/>
        </w:rPr>
        <w:t>To identify the presence of more global processes that operate in the association between alcohol outlets and non-violent crime and to test the reliability of our findings, we also estimated these associations using data from a similar large Midwestern city, Indianapolis, Indiana.</w:t>
      </w:r>
    </w:p>
    <w:p w14:paraId="5353DA6E" w14:textId="77777777" w:rsidR="00A47C56" w:rsidRPr="00A47C56" w:rsidRDefault="00A47C56" w:rsidP="00416C13">
      <w:pPr>
        <w:pStyle w:val="Heading2"/>
      </w:pPr>
      <w:r w:rsidRPr="00A47C56">
        <w:t>Research site and units of analysis</w:t>
      </w:r>
    </w:p>
    <w:p w14:paraId="52EF8C85" w14:textId="77777777" w:rsidR="00A47C56" w:rsidRPr="00A47C56" w:rsidRDefault="00A47C56" w:rsidP="00A47C56">
      <w:pPr>
        <w:rPr>
          <w:rFonts w:cstheme="minorHAnsi"/>
          <w:sz w:val="24"/>
          <w:szCs w:val="24"/>
        </w:rPr>
      </w:pPr>
      <w:r w:rsidRPr="00A47C56">
        <w:rPr>
          <w:rFonts w:cstheme="minorHAnsi"/>
          <w:sz w:val="24"/>
          <w:szCs w:val="24"/>
        </w:rPr>
        <w:t>We used block group data from Indianapolis, Indiana, a large urban city in the Midwest. In the early 1970s, most governmental functions for the city of Indianapolis were combined with Marion County to create the Unigov entity. Policing functions for the city and county, however, remained separate until the late 2000s. To create the most comparable data for cross-city comparisons, we included only those block groups that fall within the original Indianapolis Police Department jurisdiction, which roughly corresponds to the city’s boundary prior to Unigov. Thus, our units of analysis were 289 block groups located within the boundary of Indianapolis as it was prior to the creation of Unigov entity.</w:t>
      </w:r>
    </w:p>
    <w:p w14:paraId="4AEEACFF" w14:textId="77777777" w:rsidR="00A47C56" w:rsidRPr="00A47C56" w:rsidRDefault="00A47C56" w:rsidP="00416C13">
      <w:pPr>
        <w:pStyle w:val="Heading2"/>
      </w:pPr>
      <w:r w:rsidRPr="00A47C56">
        <w:t>Dependent and independent variables</w:t>
      </w:r>
    </w:p>
    <w:p w14:paraId="416F94F1" w14:textId="77777777" w:rsidR="00A47C56" w:rsidRPr="00A47C56" w:rsidRDefault="00A47C56" w:rsidP="00A47C56">
      <w:pPr>
        <w:rPr>
          <w:rFonts w:cstheme="minorHAnsi"/>
          <w:sz w:val="24"/>
          <w:szCs w:val="24"/>
        </w:rPr>
      </w:pPr>
      <w:r w:rsidRPr="00A47C56">
        <w:rPr>
          <w:rFonts w:cstheme="minorHAnsi"/>
          <w:sz w:val="24"/>
          <w:szCs w:val="24"/>
        </w:rPr>
        <w:t>We obtained crime data from the Indianapolis Metropolitan Police Department website. The data included incident number, date, time, and location of the incident, which we geocoded using ArcMap 10 with a 99% successful match for both Indianapolis crime variables. We obtained Indianapolis outlet data from the Indiana Alcohol and Tobacco Commission in summer 2010. These data included license address, which we geocoded using ArcMap 10 with a 97% match, and license type (i.e., on-premise or off-premise).</w:t>
      </w:r>
    </w:p>
    <w:p w14:paraId="70B1C760" w14:textId="77777777" w:rsidR="00A47C56" w:rsidRPr="00A47C56" w:rsidRDefault="00A47C56" w:rsidP="00416C13">
      <w:pPr>
        <w:pStyle w:val="Heading2"/>
      </w:pPr>
      <w:r w:rsidRPr="00A47C56">
        <w:t>Results</w:t>
      </w:r>
    </w:p>
    <w:p w14:paraId="6F3AA84E" w14:textId="77777777" w:rsidR="00A47C56" w:rsidRPr="00A47C56" w:rsidRDefault="00A47C56" w:rsidP="00A47C56">
      <w:pPr>
        <w:rPr>
          <w:rFonts w:cstheme="minorHAnsi"/>
          <w:sz w:val="24"/>
          <w:szCs w:val="24"/>
        </w:rPr>
      </w:pPr>
      <w:r w:rsidRPr="00A47C56">
        <w:rPr>
          <w:rFonts w:cstheme="minorHAnsi"/>
          <w:sz w:val="24"/>
          <w:szCs w:val="24"/>
        </w:rPr>
        <w:t>Descriptive statistics for all variables are available upon request. Table A1 shows the results of spatial lag regression models when thefts from vehicles density were regressed on alcohol outlet types, social disorganization, and control variables for Indianapolis block groups. Model 1 shows a positive and significant association between density of on-premise alcohol outlets and density of thefts from vehicles (</w:t>
      </w:r>
      <w:r w:rsidRPr="00A47C56">
        <w:rPr>
          <w:rFonts w:cstheme="minorHAnsi"/>
          <w:i/>
          <w:iCs/>
          <w:sz w:val="24"/>
          <w:szCs w:val="24"/>
        </w:rPr>
        <w:t>b</w:t>
      </w:r>
      <w:r w:rsidRPr="00A47C56">
        <w:rPr>
          <w:rFonts w:cstheme="minorHAnsi"/>
          <w:sz w:val="24"/>
          <w:szCs w:val="24"/>
        </w:rPr>
        <w:t xml:space="preserve"> = 0.34, </w:t>
      </w:r>
      <w:r w:rsidRPr="00A47C56">
        <w:rPr>
          <w:rFonts w:cstheme="minorHAnsi"/>
          <w:i/>
          <w:iCs/>
          <w:sz w:val="24"/>
          <w:szCs w:val="24"/>
        </w:rPr>
        <w:t>p</w:t>
      </w:r>
      <w:r w:rsidRPr="00A47C56">
        <w:rPr>
          <w:rFonts w:cstheme="minorHAnsi"/>
          <w:sz w:val="24"/>
          <w:szCs w:val="24"/>
        </w:rPr>
        <w:t> = 0.00). Model 2 suggests that off-premise alcohol outlet density was significantly associated with thefts from vehicles density (</w:t>
      </w:r>
      <w:r w:rsidRPr="00A47C56">
        <w:rPr>
          <w:rFonts w:cstheme="minorHAnsi"/>
          <w:i/>
          <w:iCs/>
          <w:sz w:val="24"/>
          <w:szCs w:val="24"/>
        </w:rPr>
        <w:t>b</w:t>
      </w:r>
      <w:r w:rsidRPr="00A47C56">
        <w:rPr>
          <w:rFonts w:cstheme="minorHAnsi"/>
          <w:sz w:val="24"/>
          <w:szCs w:val="24"/>
        </w:rPr>
        <w:t xml:space="preserve"> = 0.17, </w:t>
      </w:r>
      <w:r w:rsidRPr="00A47C56">
        <w:rPr>
          <w:rFonts w:cstheme="minorHAnsi"/>
          <w:i/>
          <w:iCs/>
          <w:sz w:val="24"/>
          <w:szCs w:val="24"/>
        </w:rPr>
        <w:t>p</w:t>
      </w:r>
      <w:r w:rsidRPr="00A47C56">
        <w:rPr>
          <w:rFonts w:cstheme="minorHAnsi"/>
          <w:sz w:val="24"/>
          <w:szCs w:val="24"/>
        </w:rPr>
        <w:t> = 0.05), although the borderline significance value prohibits making strong conclusions.</w:t>
      </w:r>
    </w:p>
    <w:p w14:paraId="3857B10C" w14:textId="77777777" w:rsidR="00A47C56" w:rsidRPr="00203A78" w:rsidRDefault="00A47C56" w:rsidP="00416C13">
      <w:pPr>
        <w:pStyle w:val="NoSpacing"/>
        <w:rPr>
          <w:sz w:val="24"/>
          <w:szCs w:val="24"/>
        </w:rPr>
      </w:pPr>
      <w:r w:rsidRPr="00203A78">
        <w:rPr>
          <w:sz w:val="24"/>
          <w:szCs w:val="24"/>
        </w:rPr>
        <w:t>Table A1. Spatial lag regression for thefts from vehicles density regressed on alcohol outlet types, social disorganization, and control variables for Indianapolis (</w:t>
      </w:r>
      <w:r w:rsidRPr="00203A78">
        <w:rPr>
          <w:i/>
          <w:iCs/>
          <w:sz w:val="24"/>
          <w:szCs w:val="24"/>
        </w:rPr>
        <w:t>N</w:t>
      </w:r>
      <w:r w:rsidRPr="00203A78">
        <w:rPr>
          <w:sz w:val="24"/>
          <w:szCs w:val="24"/>
        </w:rPr>
        <w:t> = 289) block groups.</w:t>
      </w:r>
    </w:p>
    <w:tbl>
      <w:tblPr>
        <w:tblStyle w:val="TableGrid"/>
        <w:tblW w:w="0" w:type="auto"/>
        <w:tblLook w:val="04A0" w:firstRow="1" w:lastRow="0" w:firstColumn="1" w:lastColumn="0" w:noHBand="0" w:noVBand="1"/>
      </w:tblPr>
      <w:tblGrid>
        <w:gridCol w:w="4315"/>
        <w:gridCol w:w="900"/>
        <w:gridCol w:w="1350"/>
        <w:gridCol w:w="720"/>
        <w:gridCol w:w="810"/>
        <w:gridCol w:w="1368"/>
        <w:gridCol w:w="607"/>
      </w:tblGrid>
      <w:tr w:rsidR="00153103" w:rsidRPr="004B404C" w14:paraId="6A486C42" w14:textId="77777777" w:rsidTr="00203A78">
        <w:tc>
          <w:tcPr>
            <w:tcW w:w="4315" w:type="dxa"/>
          </w:tcPr>
          <w:p w14:paraId="6B12A0D4" w14:textId="77777777" w:rsidR="00153103" w:rsidRPr="004B404C" w:rsidRDefault="00153103" w:rsidP="00903041">
            <w:pPr>
              <w:pStyle w:val="NoSpacing"/>
            </w:pPr>
          </w:p>
        </w:tc>
        <w:tc>
          <w:tcPr>
            <w:tcW w:w="900" w:type="dxa"/>
          </w:tcPr>
          <w:p w14:paraId="44B0DFD3" w14:textId="77777777" w:rsidR="00153103" w:rsidRPr="004B404C" w:rsidRDefault="00153103" w:rsidP="00903041">
            <w:pPr>
              <w:pStyle w:val="NoSpacing"/>
              <w:jc w:val="center"/>
            </w:pPr>
          </w:p>
        </w:tc>
        <w:tc>
          <w:tcPr>
            <w:tcW w:w="1350" w:type="dxa"/>
          </w:tcPr>
          <w:p w14:paraId="50877067" w14:textId="77777777" w:rsidR="00153103" w:rsidRPr="004B404C" w:rsidRDefault="00153103" w:rsidP="00903041">
            <w:pPr>
              <w:pStyle w:val="NoSpacing"/>
              <w:jc w:val="center"/>
            </w:pPr>
            <w:r w:rsidRPr="004B404C">
              <w:t>Model 1: On-premise</w:t>
            </w:r>
          </w:p>
        </w:tc>
        <w:tc>
          <w:tcPr>
            <w:tcW w:w="720" w:type="dxa"/>
          </w:tcPr>
          <w:p w14:paraId="76EFF595" w14:textId="77777777" w:rsidR="00153103" w:rsidRPr="004B404C" w:rsidRDefault="00153103" w:rsidP="00903041">
            <w:pPr>
              <w:pStyle w:val="NoSpacing"/>
              <w:jc w:val="center"/>
            </w:pPr>
          </w:p>
        </w:tc>
        <w:tc>
          <w:tcPr>
            <w:tcW w:w="810" w:type="dxa"/>
          </w:tcPr>
          <w:p w14:paraId="6EAD50FC" w14:textId="77777777" w:rsidR="00153103" w:rsidRPr="004B404C" w:rsidRDefault="00153103" w:rsidP="00903041">
            <w:pPr>
              <w:pStyle w:val="NoSpacing"/>
              <w:jc w:val="center"/>
            </w:pPr>
          </w:p>
        </w:tc>
        <w:tc>
          <w:tcPr>
            <w:tcW w:w="1368" w:type="dxa"/>
          </w:tcPr>
          <w:p w14:paraId="0A08B721" w14:textId="77777777" w:rsidR="00153103" w:rsidRPr="004B404C" w:rsidRDefault="00153103" w:rsidP="00903041">
            <w:pPr>
              <w:pStyle w:val="NoSpacing"/>
              <w:jc w:val="center"/>
            </w:pPr>
            <w:r w:rsidRPr="004B404C">
              <w:t>Model 2: Off-premise</w:t>
            </w:r>
          </w:p>
        </w:tc>
        <w:tc>
          <w:tcPr>
            <w:tcW w:w="0" w:type="auto"/>
          </w:tcPr>
          <w:p w14:paraId="0B662FE7" w14:textId="77777777" w:rsidR="00153103" w:rsidRPr="004B404C" w:rsidRDefault="00153103" w:rsidP="00903041">
            <w:pPr>
              <w:pStyle w:val="NoSpacing"/>
              <w:jc w:val="center"/>
            </w:pPr>
          </w:p>
        </w:tc>
      </w:tr>
      <w:tr w:rsidR="00153103" w:rsidRPr="004B404C" w14:paraId="7991506B" w14:textId="77777777" w:rsidTr="00203A78">
        <w:tc>
          <w:tcPr>
            <w:tcW w:w="4315" w:type="dxa"/>
          </w:tcPr>
          <w:p w14:paraId="776E1AC8" w14:textId="77777777" w:rsidR="00153103" w:rsidRPr="004B404C" w:rsidRDefault="00153103" w:rsidP="00903041">
            <w:pPr>
              <w:pStyle w:val="NoSpacing"/>
            </w:pPr>
          </w:p>
        </w:tc>
        <w:tc>
          <w:tcPr>
            <w:tcW w:w="900" w:type="dxa"/>
          </w:tcPr>
          <w:p w14:paraId="56065FB1" w14:textId="77777777" w:rsidR="00153103" w:rsidRPr="004B404C" w:rsidRDefault="00153103" w:rsidP="00903041">
            <w:pPr>
              <w:pStyle w:val="NoSpacing"/>
              <w:jc w:val="center"/>
            </w:pPr>
            <w:r w:rsidRPr="004B404C">
              <w:t>b</w:t>
            </w:r>
          </w:p>
        </w:tc>
        <w:tc>
          <w:tcPr>
            <w:tcW w:w="1350" w:type="dxa"/>
          </w:tcPr>
          <w:p w14:paraId="4D91FF03" w14:textId="77777777" w:rsidR="00153103" w:rsidRPr="004B404C" w:rsidRDefault="00153103" w:rsidP="00903041">
            <w:pPr>
              <w:pStyle w:val="NoSpacing"/>
              <w:jc w:val="center"/>
            </w:pPr>
            <w:r w:rsidRPr="004B404C">
              <w:t>se</w:t>
            </w:r>
          </w:p>
        </w:tc>
        <w:tc>
          <w:tcPr>
            <w:tcW w:w="720" w:type="dxa"/>
          </w:tcPr>
          <w:p w14:paraId="74F0FDA3" w14:textId="77777777" w:rsidR="00153103" w:rsidRPr="004B404C" w:rsidRDefault="00153103" w:rsidP="00903041">
            <w:pPr>
              <w:pStyle w:val="NoSpacing"/>
              <w:jc w:val="center"/>
            </w:pPr>
            <w:r w:rsidRPr="004B404C">
              <w:t>p</w:t>
            </w:r>
          </w:p>
        </w:tc>
        <w:tc>
          <w:tcPr>
            <w:tcW w:w="810" w:type="dxa"/>
          </w:tcPr>
          <w:p w14:paraId="5C3F5777" w14:textId="77777777" w:rsidR="00153103" w:rsidRPr="004B404C" w:rsidRDefault="00153103" w:rsidP="00903041">
            <w:pPr>
              <w:pStyle w:val="NoSpacing"/>
              <w:jc w:val="center"/>
            </w:pPr>
            <w:r w:rsidRPr="004B404C">
              <w:t>b</w:t>
            </w:r>
          </w:p>
        </w:tc>
        <w:tc>
          <w:tcPr>
            <w:tcW w:w="1368" w:type="dxa"/>
          </w:tcPr>
          <w:p w14:paraId="050B56D0" w14:textId="77777777" w:rsidR="00153103" w:rsidRPr="004B404C" w:rsidRDefault="00153103" w:rsidP="00903041">
            <w:pPr>
              <w:pStyle w:val="NoSpacing"/>
              <w:jc w:val="center"/>
            </w:pPr>
            <w:r w:rsidRPr="004B404C">
              <w:t>Se</w:t>
            </w:r>
          </w:p>
        </w:tc>
        <w:tc>
          <w:tcPr>
            <w:tcW w:w="0" w:type="auto"/>
          </w:tcPr>
          <w:p w14:paraId="1F0E103A" w14:textId="77777777" w:rsidR="00153103" w:rsidRPr="004B404C" w:rsidRDefault="00153103" w:rsidP="00903041">
            <w:pPr>
              <w:pStyle w:val="NoSpacing"/>
              <w:jc w:val="center"/>
            </w:pPr>
            <w:r w:rsidRPr="004B404C">
              <w:t>p</w:t>
            </w:r>
          </w:p>
        </w:tc>
      </w:tr>
      <w:tr w:rsidR="00153103" w:rsidRPr="004B404C" w14:paraId="7C865D92" w14:textId="77777777" w:rsidTr="00203A78">
        <w:tc>
          <w:tcPr>
            <w:tcW w:w="4315" w:type="dxa"/>
          </w:tcPr>
          <w:p w14:paraId="56C7006C" w14:textId="77777777" w:rsidR="00153103" w:rsidRPr="004B404C" w:rsidRDefault="00153103" w:rsidP="00903041">
            <w:pPr>
              <w:pStyle w:val="NoSpacing"/>
            </w:pPr>
            <w:r w:rsidRPr="004B404C">
              <w:t>On-premise density</w:t>
            </w:r>
          </w:p>
        </w:tc>
        <w:tc>
          <w:tcPr>
            <w:tcW w:w="900" w:type="dxa"/>
          </w:tcPr>
          <w:p w14:paraId="2B680A46" w14:textId="02BBFE97" w:rsidR="00153103" w:rsidRPr="004B404C" w:rsidRDefault="00153103" w:rsidP="00903041">
            <w:pPr>
              <w:pStyle w:val="NoSpacing"/>
              <w:jc w:val="center"/>
            </w:pPr>
            <w:r>
              <w:t>0.34</w:t>
            </w:r>
          </w:p>
        </w:tc>
        <w:tc>
          <w:tcPr>
            <w:tcW w:w="1350" w:type="dxa"/>
          </w:tcPr>
          <w:p w14:paraId="515EED81" w14:textId="3B95205F" w:rsidR="00153103" w:rsidRPr="004B404C" w:rsidRDefault="00153103" w:rsidP="00903041">
            <w:pPr>
              <w:pStyle w:val="NoSpacing"/>
              <w:jc w:val="center"/>
            </w:pPr>
            <w:r>
              <w:t>0.05</w:t>
            </w:r>
          </w:p>
        </w:tc>
        <w:tc>
          <w:tcPr>
            <w:tcW w:w="720" w:type="dxa"/>
          </w:tcPr>
          <w:p w14:paraId="41CA520B" w14:textId="5BBFE90C" w:rsidR="00153103" w:rsidRPr="004B404C" w:rsidRDefault="00153103" w:rsidP="00903041">
            <w:pPr>
              <w:pStyle w:val="NoSpacing"/>
              <w:jc w:val="center"/>
            </w:pPr>
            <w:r>
              <w:t>0.00</w:t>
            </w:r>
          </w:p>
        </w:tc>
        <w:tc>
          <w:tcPr>
            <w:tcW w:w="810" w:type="dxa"/>
          </w:tcPr>
          <w:p w14:paraId="09BA4438" w14:textId="77777777" w:rsidR="00153103" w:rsidRPr="004B404C" w:rsidRDefault="00153103" w:rsidP="00903041">
            <w:pPr>
              <w:pStyle w:val="NoSpacing"/>
              <w:jc w:val="center"/>
            </w:pPr>
            <w:r w:rsidRPr="004B404C">
              <w:t>-</w:t>
            </w:r>
          </w:p>
        </w:tc>
        <w:tc>
          <w:tcPr>
            <w:tcW w:w="1368" w:type="dxa"/>
          </w:tcPr>
          <w:p w14:paraId="49D7D21D" w14:textId="77777777" w:rsidR="00153103" w:rsidRPr="004B404C" w:rsidRDefault="00153103" w:rsidP="00903041">
            <w:pPr>
              <w:pStyle w:val="NoSpacing"/>
              <w:jc w:val="center"/>
            </w:pPr>
            <w:r w:rsidRPr="004B404C">
              <w:t>-</w:t>
            </w:r>
          </w:p>
        </w:tc>
        <w:tc>
          <w:tcPr>
            <w:tcW w:w="0" w:type="auto"/>
          </w:tcPr>
          <w:p w14:paraId="77A47E18" w14:textId="77777777" w:rsidR="00153103" w:rsidRPr="004B404C" w:rsidRDefault="00153103" w:rsidP="00903041">
            <w:pPr>
              <w:pStyle w:val="NoSpacing"/>
              <w:jc w:val="center"/>
            </w:pPr>
            <w:r w:rsidRPr="004B404C">
              <w:t>-</w:t>
            </w:r>
          </w:p>
        </w:tc>
      </w:tr>
      <w:tr w:rsidR="00153103" w:rsidRPr="004B404C" w14:paraId="424BDB90" w14:textId="77777777" w:rsidTr="00203A78">
        <w:tc>
          <w:tcPr>
            <w:tcW w:w="4315" w:type="dxa"/>
          </w:tcPr>
          <w:p w14:paraId="49C097CF" w14:textId="77777777" w:rsidR="00153103" w:rsidRPr="004B404C" w:rsidRDefault="00153103" w:rsidP="00903041">
            <w:pPr>
              <w:pStyle w:val="NoSpacing"/>
            </w:pPr>
            <w:r w:rsidRPr="004B404C">
              <w:t>Off-premise density</w:t>
            </w:r>
          </w:p>
        </w:tc>
        <w:tc>
          <w:tcPr>
            <w:tcW w:w="900" w:type="dxa"/>
          </w:tcPr>
          <w:p w14:paraId="7C8CBE15" w14:textId="77777777" w:rsidR="00153103" w:rsidRPr="004B404C" w:rsidRDefault="00153103" w:rsidP="00903041">
            <w:pPr>
              <w:pStyle w:val="NoSpacing"/>
              <w:jc w:val="center"/>
            </w:pPr>
            <w:r w:rsidRPr="004B404C">
              <w:t>-</w:t>
            </w:r>
          </w:p>
        </w:tc>
        <w:tc>
          <w:tcPr>
            <w:tcW w:w="1350" w:type="dxa"/>
          </w:tcPr>
          <w:p w14:paraId="3E651C52" w14:textId="77777777" w:rsidR="00153103" w:rsidRPr="004B404C" w:rsidRDefault="00153103" w:rsidP="00903041">
            <w:pPr>
              <w:pStyle w:val="NoSpacing"/>
              <w:jc w:val="center"/>
            </w:pPr>
            <w:r w:rsidRPr="004B404C">
              <w:t>-</w:t>
            </w:r>
          </w:p>
        </w:tc>
        <w:tc>
          <w:tcPr>
            <w:tcW w:w="720" w:type="dxa"/>
          </w:tcPr>
          <w:p w14:paraId="47FC56D2" w14:textId="77777777" w:rsidR="00153103" w:rsidRPr="004B404C" w:rsidRDefault="00153103" w:rsidP="00903041">
            <w:pPr>
              <w:pStyle w:val="NoSpacing"/>
              <w:jc w:val="center"/>
            </w:pPr>
            <w:r w:rsidRPr="004B404C">
              <w:t>-</w:t>
            </w:r>
          </w:p>
        </w:tc>
        <w:tc>
          <w:tcPr>
            <w:tcW w:w="810" w:type="dxa"/>
          </w:tcPr>
          <w:p w14:paraId="369B98BF" w14:textId="49CB9FB0" w:rsidR="00153103" w:rsidRPr="004B404C" w:rsidRDefault="00153103" w:rsidP="00903041">
            <w:pPr>
              <w:pStyle w:val="NoSpacing"/>
              <w:jc w:val="center"/>
            </w:pPr>
            <w:r>
              <w:t>0.17</w:t>
            </w:r>
          </w:p>
        </w:tc>
        <w:tc>
          <w:tcPr>
            <w:tcW w:w="1368" w:type="dxa"/>
          </w:tcPr>
          <w:p w14:paraId="0A3FA4CB" w14:textId="077C9B6B" w:rsidR="00153103" w:rsidRPr="004B404C" w:rsidRDefault="00153103" w:rsidP="00903041">
            <w:pPr>
              <w:pStyle w:val="NoSpacing"/>
              <w:jc w:val="center"/>
            </w:pPr>
            <w:r>
              <w:t>0.09</w:t>
            </w:r>
          </w:p>
        </w:tc>
        <w:tc>
          <w:tcPr>
            <w:tcW w:w="0" w:type="auto"/>
          </w:tcPr>
          <w:p w14:paraId="46A1A536" w14:textId="399422E7" w:rsidR="00153103" w:rsidRPr="004B404C" w:rsidRDefault="00153103" w:rsidP="00903041">
            <w:pPr>
              <w:pStyle w:val="NoSpacing"/>
              <w:jc w:val="center"/>
            </w:pPr>
            <w:r>
              <w:t>0.05</w:t>
            </w:r>
          </w:p>
        </w:tc>
      </w:tr>
      <w:tr w:rsidR="00153103" w:rsidRPr="004B404C" w14:paraId="1387AC85" w14:textId="77777777" w:rsidTr="00203A78">
        <w:tc>
          <w:tcPr>
            <w:tcW w:w="4315" w:type="dxa"/>
          </w:tcPr>
          <w:p w14:paraId="73330012" w14:textId="77777777" w:rsidR="00153103" w:rsidRPr="004B404C" w:rsidRDefault="00153103" w:rsidP="00903041">
            <w:pPr>
              <w:pStyle w:val="NoSpacing"/>
            </w:pPr>
            <w:r w:rsidRPr="004B404C">
              <w:t>Social disorganization</w:t>
            </w:r>
          </w:p>
        </w:tc>
        <w:tc>
          <w:tcPr>
            <w:tcW w:w="900" w:type="dxa"/>
          </w:tcPr>
          <w:p w14:paraId="0696ADCD" w14:textId="04779212" w:rsidR="00153103" w:rsidRPr="004B404C" w:rsidRDefault="00153103" w:rsidP="00903041">
            <w:pPr>
              <w:pStyle w:val="NoSpacing"/>
              <w:jc w:val="center"/>
            </w:pPr>
            <w:r>
              <w:t>0.06</w:t>
            </w:r>
          </w:p>
        </w:tc>
        <w:tc>
          <w:tcPr>
            <w:tcW w:w="1350" w:type="dxa"/>
          </w:tcPr>
          <w:p w14:paraId="5D963D4E" w14:textId="2C00C46B" w:rsidR="00153103" w:rsidRPr="004B404C" w:rsidRDefault="00153103" w:rsidP="00903041">
            <w:pPr>
              <w:pStyle w:val="NoSpacing"/>
              <w:jc w:val="center"/>
            </w:pPr>
            <w:r>
              <w:t>0.04</w:t>
            </w:r>
          </w:p>
        </w:tc>
        <w:tc>
          <w:tcPr>
            <w:tcW w:w="720" w:type="dxa"/>
          </w:tcPr>
          <w:p w14:paraId="67BABD23" w14:textId="11D16606" w:rsidR="00153103" w:rsidRPr="004B404C" w:rsidRDefault="00153103" w:rsidP="00903041">
            <w:pPr>
              <w:pStyle w:val="NoSpacing"/>
              <w:jc w:val="center"/>
            </w:pPr>
            <w:r>
              <w:t>0.19</w:t>
            </w:r>
          </w:p>
        </w:tc>
        <w:tc>
          <w:tcPr>
            <w:tcW w:w="810" w:type="dxa"/>
          </w:tcPr>
          <w:p w14:paraId="01F6E5D3" w14:textId="5D4ED62D" w:rsidR="00153103" w:rsidRPr="004B404C" w:rsidRDefault="00153103" w:rsidP="00903041">
            <w:pPr>
              <w:pStyle w:val="NoSpacing"/>
              <w:jc w:val="center"/>
            </w:pPr>
            <w:r>
              <w:t>0.03</w:t>
            </w:r>
          </w:p>
        </w:tc>
        <w:tc>
          <w:tcPr>
            <w:tcW w:w="1368" w:type="dxa"/>
          </w:tcPr>
          <w:p w14:paraId="77DB77A9" w14:textId="552FAF6C" w:rsidR="00153103" w:rsidRPr="004B404C" w:rsidRDefault="00153103" w:rsidP="00903041">
            <w:pPr>
              <w:pStyle w:val="NoSpacing"/>
              <w:jc w:val="center"/>
            </w:pPr>
            <w:r>
              <w:t>0.05</w:t>
            </w:r>
          </w:p>
        </w:tc>
        <w:tc>
          <w:tcPr>
            <w:tcW w:w="0" w:type="auto"/>
          </w:tcPr>
          <w:p w14:paraId="398A8E73" w14:textId="32F5A26D" w:rsidR="00153103" w:rsidRPr="004B404C" w:rsidRDefault="00153103" w:rsidP="00903041">
            <w:pPr>
              <w:pStyle w:val="NoSpacing"/>
              <w:jc w:val="center"/>
            </w:pPr>
            <w:r>
              <w:t>0.54</w:t>
            </w:r>
          </w:p>
        </w:tc>
      </w:tr>
      <w:tr w:rsidR="00153103" w:rsidRPr="004B404C" w14:paraId="1F73C85E" w14:textId="77777777" w:rsidTr="00203A78">
        <w:tc>
          <w:tcPr>
            <w:tcW w:w="4315" w:type="dxa"/>
          </w:tcPr>
          <w:p w14:paraId="56F21C84" w14:textId="77777777" w:rsidR="00153103" w:rsidRPr="004B404C" w:rsidRDefault="00153103" w:rsidP="00903041">
            <w:pPr>
              <w:pStyle w:val="NoSpacing"/>
            </w:pPr>
            <w:r w:rsidRPr="004B404C">
              <w:t>Population density</w:t>
            </w:r>
          </w:p>
        </w:tc>
        <w:tc>
          <w:tcPr>
            <w:tcW w:w="900" w:type="dxa"/>
          </w:tcPr>
          <w:p w14:paraId="213CE89E" w14:textId="71D64FF7" w:rsidR="00153103" w:rsidRPr="004B404C" w:rsidRDefault="00153103" w:rsidP="00903041">
            <w:pPr>
              <w:pStyle w:val="NoSpacing"/>
              <w:jc w:val="center"/>
            </w:pPr>
            <w:r>
              <w:t>0.00</w:t>
            </w:r>
          </w:p>
        </w:tc>
        <w:tc>
          <w:tcPr>
            <w:tcW w:w="1350" w:type="dxa"/>
          </w:tcPr>
          <w:p w14:paraId="38B4C81F" w14:textId="071816E7" w:rsidR="00153103" w:rsidRPr="004B404C" w:rsidRDefault="00153103" w:rsidP="00903041">
            <w:pPr>
              <w:pStyle w:val="NoSpacing"/>
              <w:jc w:val="center"/>
            </w:pPr>
            <w:r>
              <w:t>0.00</w:t>
            </w:r>
          </w:p>
        </w:tc>
        <w:tc>
          <w:tcPr>
            <w:tcW w:w="720" w:type="dxa"/>
          </w:tcPr>
          <w:p w14:paraId="0A6E151F" w14:textId="7C6A89B6" w:rsidR="00153103" w:rsidRPr="004B404C" w:rsidRDefault="00153103" w:rsidP="00903041">
            <w:pPr>
              <w:pStyle w:val="NoSpacing"/>
              <w:jc w:val="center"/>
            </w:pPr>
            <w:r>
              <w:t>0.00</w:t>
            </w:r>
          </w:p>
        </w:tc>
        <w:tc>
          <w:tcPr>
            <w:tcW w:w="810" w:type="dxa"/>
          </w:tcPr>
          <w:p w14:paraId="3C2D0128" w14:textId="4704080C" w:rsidR="00153103" w:rsidRPr="004B404C" w:rsidRDefault="00153103" w:rsidP="00903041">
            <w:pPr>
              <w:pStyle w:val="NoSpacing"/>
              <w:jc w:val="center"/>
            </w:pPr>
            <w:r>
              <w:t>0.00</w:t>
            </w:r>
          </w:p>
        </w:tc>
        <w:tc>
          <w:tcPr>
            <w:tcW w:w="1368" w:type="dxa"/>
          </w:tcPr>
          <w:p w14:paraId="25922C88" w14:textId="07F8D929" w:rsidR="00153103" w:rsidRPr="004B404C" w:rsidRDefault="00153103" w:rsidP="00903041">
            <w:pPr>
              <w:pStyle w:val="NoSpacing"/>
              <w:jc w:val="center"/>
            </w:pPr>
            <w:r>
              <w:t>0.00</w:t>
            </w:r>
          </w:p>
        </w:tc>
        <w:tc>
          <w:tcPr>
            <w:tcW w:w="0" w:type="auto"/>
          </w:tcPr>
          <w:p w14:paraId="73C31E71" w14:textId="0DC8648B" w:rsidR="00153103" w:rsidRPr="004B404C" w:rsidRDefault="00153103" w:rsidP="00903041">
            <w:pPr>
              <w:pStyle w:val="NoSpacing"/>
              <w:jc w:val="center"/>
            </w:pPr>
            <w:r>
              <w:t>0.00</w:t>
            </w:r>
          </w:p>
        </w:tc>
      </w:tr>
      <w:tr w:rsidR="00153103" w:rsidRPr="004B404C" w14:paraId="61110200" w14:textId="77777777" w:rsidTr="00203A78">
        <w:tc>
          <w:tcPr>
            <w:tcW w:w="4315" w:type="dxa"/>
          </w:tcPr>
          <w:p w14:paraId="37DA869B" w14:textId="77777777" w:rsidR="00153103" w:rsidRPr="004B404C" w:rsidRDefault="00153103" w:rsidP="00903041">
            <w:pPr>
              <w:pStyle w:val="NoSpacing"/>
            </w:pPr>
            <w:r w:rsidRPr="004B404C">
              <w:t>Proportion young</w:t>
            </w:r>
          </w:p>
        </w:tc>
        <w:tc>
          <w:tcPr>
            <w:tcW w:w="900" w:type="dxa"/>
          </w:tcPr>
          <w:p w14:paraId="556AB496" w14:textId="18EA4784" w:rsidR="00153103" w:rsidRPr="004B404C" w:rsidRDefault="00153103" w:rsidP="00903041">
            <w:pPr>
              <w:pStyle w:val="NoSpacing"/>
              <w:jc w:val="center"/>
            </w:pPr>
            <w:r>
              <w:t>-2.04</w:t>
            </w:r>
          </w:p>
        </w:tc>
        <w:tc>
          <w:tcPr>
            <w:tcW w:w="1350" w:type="dxa"/>
          </w:tcPr>
          <w:p w14:paraId="799EB4E2" w14:textId="5AF15151" w:rsidR="00153103" w:rsidRPr="004B404C" w:rsidRDefault="00153103" w:rsidP="00903041">
            <w:pPr>
              <w:pStyle w:val="NoSpacing"/>
              <w:jc w:val="center"/>
            </w:pPr>
            <w:r>
              <w:t>1.12</w:t>
            </w:r>
          </w:p>
        </w:tc>
        <w:tc>
          <w:tcPr>
            <w:tcW w:w="720" w:type="dxa"/>
          </w:tcPr>
          <w:p w14:paraId="588E2C80" w14:textId="0F7E797D" w:rsidR="00153103" w:rsidRPr="004B404C" w:rsidRDefault="004B13F3" w:rsidP="00903041">
            <w:pPr>
              <w:pStyle w:val="NoSpacing"/>
              <w:jc w:val="center"/>
            </w:pPr>
            <w:r>
              <w:t>0.07</w:t>
            </w:r>
          </w:p>
        </w:tc>
        <w:tc>
          <w:tcPr>
            <w:tcW w:w="810" w:type="dxa"/>
          </w:tcPr>
          <w:p w14:paraId="614E01A4" w14:textId="615B3611" w:rsidR="00153103" w:rsidRPr="004B404C" w:rsidRDefault="004B13F3" w:rsidP="00903041">
            <w:pPr>
              <w:pStyle w:val="NoSpacing"/>
              <w:jc w:val="center"/>
            </w:pPr>
            <w:r>
              <w:t>1.37</w:t>
            </w:r>
          </w:p>
        </w:tc>
        <w:tc>
          <w:tcPr>
            <w:tcW w:w="1368" w:type="dxa"/>
          </w:tcPr>
          <w:p w14:paraId="08A1D3F0" w14:textId="1EE2A1EC" w:rsidR="00153103" w:rsidRPr="004B404C" w:rsidRDefault="004B13F3" w:rsidP="00903041">
            <w:pPr>
              <w:pStyle w:val="NoSpacing"/>
              <w:jc w:val="center"/>
            </w:pPr>
            <w:r>
              <w:t>1.16</w:t>
            </w:r>
          </w:p>
        </w:tc>
        <w:tc>
          <w:tcPr>
            <w:tcW w:w="0" w:type="auto"/>
          </w:tcPr>
          <w:p w14:paraId="434C4C1E" w14:textId="559EED03" w:rsidR="00153103" w:rsidRPr="004B404C" w:rsidRDefault="004B13F3" w:rsidP="00903041">
            <w:pPr>
              <w:pStyle w:val="NoSpacing"/>
              <w:jc w:val="center"/>
            </w:pPr>
            <w:r>
              <w:t>0.24</w:t>
            </w:r>
          </w:p>
        </w:tc>
      </w:tr>
      <w:tr w:rsidR="00153103" w:rsidRPr="004B404C" w14:paraId="076A7366" w14:textId="77777777" w:rsidTr="00203A78">
        <w:tc>
          <w:tcPr>
            <w:tcW w:w="4315" w:type="dxa"/>
          </w:tcPr>
          <w:p w14:paraId="64869170" w14:textId="77777777" w:rsidR="00153103" w:rsidRPr="004B404C" w:rsidRDefault="00153103" w:rsidP="00903041">
            <w:pPr>
              <w:pStyle w:val="NoSpacing"/>
            </w:pPr>
            <w:r w:rsidRPr="004B404C">
              <w:t>Distance from city center</w:t>
            </w:r>
          </w:p>
        </w:tc>
        <w:tc>
          <w:tcPr>
            <w:tcW w:w="900" w:type="dxa"/>
          </w:tcPr>
          <w:p w14:paraId="198674EB" w14:textId="6D1EF23E" w:rsidR="00153103" w:rsidRPr="004B404C" w:rsidRDefault="004B13F3" w:rsidP="00903041">
            <w:pPr>
              <w:pStyle w:val="NoSpacing"/>
              <w:jc w:val="center"/>
            </w:pPr>
            <w:r>
              <w:t>0.02</w:t>
            </w:r>
          </w:p>
        </w:tc>
        <w:tc>
          <w:tcPr>
            <w:tcW w:w="1350" w:type="dxa"/>
          </w:tcPr>
          <w:p w14:paraId="56401F2E" w14:textId="14019224" w:rsidR="00153103" w:rsidRPr="004B404C" w:rsidRDefault="004B13F3" w:rsidP="00903041">
            <w:pPr>
              <w:pStyle w:val="NoSpacing"/>
              <w:jc w:val="center"/>
            </w:pPr>
            <w:r>
              <w:t>0.06</w:t>
            </w:r>
          </w:p>
        </w:tc>
        <w:tc>
          <w:tcPr>
            <w:tcW w:w="720" w:type="dxa"/>
          </w:tcPr>
          <w:p w14:paraId="74F9104F" w14:textId="4B937345" w:rsidR="00153103" w:rsidRPr="004B404C" w:rsidRDefault="004B13F3" w:rsidP="00903041">
            <w:pPr>
              <w:pStyle w:val="NoSpacing"/>
              <w:jc w:val="center"/>
            </w:pPr>
            <w:r>
              <w:t>0.78</w:t>
            </w:r>
          </w:p>
        </w:tc>
        <w:tc>
          <w:tcPr>
            <w:tcW w:w="810" w:type="dxa"/>
          </w:tcPr>
          <w:p w14:paraId="11F3966C" w14:textId="7844D2B7" w:rsidR="00153103" w:rsidRPr="004B404C" w:rsidRDefault="004B13F3" w:rsidP="00903041">
            <w:pPr>
              <w:pStyle w:val="NoSpacing"/>
              <w:jc w:val="center"/>
            </w:pPr>
            <w:r>
              <w:t>-0.03</w:t>
            </w:r>
          </w:p>
        </w:tc>
        <w:tc>
          <w:tcPr>
            <w:tcW w:w="1368" w:type="dxa"/>
          </w:tcPr>
          <w:p w14:paraId="48DE5A1E" w14:textId="12CB230A" w:rsidR="00153103" w:rsidRPr="004B404C" w:rsidRDefault="004B13F3" w:rsidP="00903041">
            <w:pPr>
              <w:pStyle w:val="NoSpacing"/>
              <w:jc w:val="center"/>
            </w:pPr>
            <w:r>
              <w:t>0.06</w:t>
            </w:r>
          </w:p>
        </w:tc>
        <w:tc>
          <w:tcPr>
            <w:tcW w:w="0" w:type="auto"/>
          </w:tcPr>
          <w:p w14:paraId="1534032C" w14:textId="2232026D" w:rsidR="00153103" w:rsidRPr="004B404C" w:rsidRDefault="004B13F3" w:rsidP="00903041">
            <w:pPr>
              <w:pStyle w:val="NoSpacing"/>
              <w:jc w:val="center"/>
            </w:pPr>
            <w:r>
              <w:t>0.59</w:t>
            </w:r>
          </w:p>
        </w:tc>
      </w:tr>
      <w:tr w:rsidR="00153103" w:rsidRPr="004B404C" w14:paraId="620F1EF1" w14:textId="77777777" w:rsidTr="00203A78">
        <w:tc>
          <w:tcPr>
            <w:tcW w:w="4315" w:type="dxa"/>
          </w:tcPr>
          <w:p w14:paraId="19D9BD50" w14:textId="77777777" w:rsidR="00153103" w:rsidRPr="004B404C" w:rsidRDefault="00153103" w:rsidP="00903041">
            <w:pPr>
              <w:pStyle w:val="NoSpacing"/>
            </w:pPr>
            <w:r w:rsidRPr="004B404C">
              <w:t>Rho Thefts from vehicles density</w:t>
            </w:r>
          </w:p>
        </w:tc>
        <w:tc>
          <w:tcPr>
            <w:tcW w:w="900" w:type="dxa"/>
          </w:tcPr>
          <w:p w14:paraId="514074D0" w14:textId="772B6A64" w:rsidR="00153103" w:rsidRPr="004B404C" w:rsidRDefault="005D3486" w:rsidP="00903041">
            <w:pPr>
              <w:pStyle w:val="NoSpacing"/>
              <w:jc w:val="center"/>
            </w:pPr>
            <w:r>
              <w:t>0.37</w:t>
            </w:r>
          </w:p>
        </w:tc>
        <w:tc>
          <w:tcPr>
            <w:tcW w:w="1350" w:type="dxa"/>
          </w:tcPr>
          <w:p w14:paraId="30CE25BB" w14:textId="07EA0670" w:rsidR="00153103" w:rsidRPr="004B404C" w:rsidRDefault="005D3486" w:rsidP="00903041">
            <w:pPr>
              <w:pStyle w:val="NoSpacing"/>
              <w:jc w:val="center"/>
            </w:pPr>
            <w:r>
              <w:t>0.14</w:t>
            </w:r>
          </w:p>
        </w:tc>
        <w:tc>
          <w:tcPr>
            <w:tcW w:w="720" w:type="dxa"/>
          </w:tcPr>
          <w:p w14:paraId="6F8A4C6D" w14:textId="7769FC69" w:rsidR="00153103" w:rsidRPr="004B404C" w:rsidRDefault="005D3486" w:rsidP="00903041">
            <w:pPr>
              <w:pStyle w:val="NoSpacing"/>
              <w:jc w:val="center"/>
            </w:pPr>
            <w:r>
              <w:t>0.01</w:t>
            </w:r>
          </w:p>
        </w:tc>
        <w:tc>
          <w:tcPr>
            <w:tcW w:w="810" w:type="dxa"/>
          </w:tcPr>
          <w:p w14:paraId="27A2D51B" w14:textId="563906D0" w:rsidR="00153103" w:rsidRPr="004B404C" w:rsidRDefault="005D3486" w:rsidP="00903041">
            <w:pPr>
              <w:pStyle w:val="NoSpacing"/>
              <w:jc w:val="center"/>
            </w:pPr>
            <w:r>
              <w:t>0.59</w:t>
            </w:r>
          </w:p>
        </w:tc>
        <w:tc>
          <w:tcPr>
            <w:tcW w:w="1368" w:type="dxa"/>
          </w:tcPr>
          <w:p w14:paraId="2CD628AE" w14:textId="46261543" w:rsidR="00153103" w:rsidRPr="004B404C" w:rsidRDefault="005D3486" w:rsidP="00903041">
            <w:pPr>
              <w:pStyle w:val="NoSpacing"/>
              <w:jc w:val="center"/>
            </w:pPr>
            <w:r>
              <w:t>0.15</w:t>
            </w:r>
          </w:p>
        </w:tc>
        <w:tc>
          <w:tcPr>
            <w:tcW w:w="0" w:type="auto"/>
          </w:tcPr>
          <w:p w14:paraId="2EE353B5" w14:textId="03F6D33C" w:rsidR="00153103" w:rsidRPr="004B404C" w:rsidRDefault="005D3486" w:rsidP="00903041">
            <w:pPr>
              <w:pStyle w:val="NoSpacing"/>
              <w:jc w:val="center"/>
            </w:pPr>
            <w:r>
              <w:t>0.00</w:t>
            </w:r>
          </w:p>
        </w:tc>
      </w:tr>
      <w:tr w:rsidR="00153103" w:rsidRPr="004B404C" w14:paraId="4A51075F" w14:textId="77777777" w:rsidTr="00203A78">
        <w:tc>
          <w:tcPr>
            <w:tcW w:w="4315" w:type="dxa"/>
          </w:tcPr>
          <w:p w14:paraId="7922FBBC" w14:textId="77777777" w:rsidR="00153103" w:rsidRPr="004B404C" w:rsidRDefault="00153103" w:rsidP="00903041">
            <w:pPr>
              <w:pStyle w:val="NoSpacing"/>
            </w:pPr>
            <w:r w:rsidRPr="004B404C">
              <w:t>Constant</w:t>
            </w:r>
          </w:p>
        </w:tc>
        <w:tc>
          <w:tcPr>
            <w:tcW w:w="900" w:type="dxa"/>
          </w:tcPr>
          <w:p w14:paraId="4E20429F" w14:textId="178D242D" w:rsidR="00153103" w:rsidRPr="004B404C" w:rsidRDefault="005D3486" w:rsidP="00903041">
            <w:pPr>
              <w:pStyle w:val="NoSpacing"/>
              <w:jc w:val="center"/>
            </w:pPr>
            <w:r>
              <w:t>1.14</w:t>
            </w:r>
          </w:p>
        </w:tc>
        <w:tc>
          <w:tcPr>
            <w:tcW w:w="1350" w:type="dxa"/>
          </w:tcPr>
          <w:p w14:paraId="46A8BA2F" w14:textId="5769DEEF" w:rsidR="00153103" w:rsidRPr="004B404C" w:rsidRDefault="005D3486" w:rsidP="00903041">
            <w:pPr>
              <w:pStyle w:val="NoSpacing"/>
              <w:jc w:val="center"/>
            </w:pPr>
            <w:r>
              <w:t>0.68</w:t>
            </w:r>
          </w:p>
        </w:tc>
        <w:tc>
          <w:tcPr>
            <w:tcW w:w="720" w:type="dxa"/>
          </w:tcPr>
          <w:p w14:paraId="51FB708B" w14:textId="7339B9B4" w:rsidR="00153103" w:rsidRPr="004B404C" w:rsidRDefault="005D3486" w:rsidP="00903041">
            <w:pPr>
              <w:pStyle w:val="NoSpacing"/>
              <w:jc w:val="center"/>
            </w:pPr>
            <w:r>
              <w:t>0.09</w:t>
            </w:r>
          </w:p>
        </w:tc>
        <w:tc>
          <w:tcPr>
            <w:tcW w:w="810" w:type="dxa"/>
          </w:tcPr>
          <w:p w14:paraId="36196BAC" w14:textId="5DF59BE8" w:rsidR="00153103" w:rsidRPr="004B404C" w:rsidRDefault="005D3486" w:rsidP="00903041">
            <w:pPr>
              <w:pStyle w:val="NoSpacing"/>
              <w:jc w:val="center"/>
            </w:pPr>
            <w:r>
              <w:t>0.67</w:t>
            </w:r>
          </w:p>
        </w:tc>
        <w:tc>
          <w:tcPr>
            <w:tcW w:w="1368" w:type="dxa"/>
          </w:tcPr>
          <w:p w14:paraId="084483E6" w14:textId="6FF2E71A" w:rsidR="00153103" w:rsidRPr="004B404C" w:rsidRDefault="005D3486" w:rsidP="00903041">
            <w:pPr>
              <w:pStyle w:val="NoSpacing"/>
              <w:jc w:val="center"/>
            </w:pPr>
            <w:r>
              <w:t>0.73</w:t>
            </w:r>
          </w:p>
        </w:tc>
        <w:tc>
          <w:tcPr>
            <w:tcW w:w="0" w:type="auto"/>
          </w:tcPr>
          <w:p w14:paraId="4784BCEF" w14:textId="4D48B9F5" w:rsidR="00153103" w:rsidRPr="004B404C" w:rsidRDefault="005D3486" w:rsidP="00903041">
            <w:pPr>
              <w:pStyle w:val="NoSpacing"/>
              <w:jc w:val="center"/>
            </w:pPr>
            <w:r>
              <w:t>0.35</w:t>
            </w:r>
          </w:p>
        </w:tc>
      </w:tr>
      <w:tr w:rsidR="00153103" w:rsidRPr="004B404C" w14:paraId="0B1B9940" w14:textId="77777777" w:rsidTr="00203A78">
        <w:tc>
          <w:tcPr>
            <w:tcW w:w="4315" w:type="dxa"/>
          </w:tcPr>
          <w:p w14:paraId="2194AC98" w14:textId="77777777" w:rsidR="00153103" w:rsidRPr="004B404C" w:rsidRDefault="00153103" w:rsidP="00903041">
            <w:pPr>
              <w:pStyle w:val="NoSpacing"/>
            </w:pPr>
            <w:r w:rsidRPr="004B404C">
              <w:t>Pseudo-R-squared</w:t>
            </w:r>
          </w:p>
        </w:tc>
        <w:tc>
          <w:tcPr>
            <w:tcW w:w="900" w:type="dxa"/>
          </w:tcPr>
          <w:p w14:paraId="5FADF7F7" w14:textId="77777777" w:rsidR="00153103" w:rsidRPr="004B404C" w:rsidRDefault="00153103" w:rsidP="00903041">
            <w:pPr>
              <w:pStyle w:val="NoSpacing"/>
              <w:jc w:val="center"/>
            </w:pPr>
          </w:p>
        </w:tc>
        <w:tc>
          <w:tcPr>
            <w:tcW w:w="1350" w:type="dxa"/>
          </w:tcPr>
          <w:p w14:paraId="300EBA23" w14:textId="26AFB893" w:rsidR="00153103" w:rsidRPr="004B404C" w:rsidRDefault="005D3486" w:rsidP="00903041">
            <w:pPr>
              <w:pStyle w:val="NoSpacing"/>
              <w:jc w:val="center"/>
            </w:pPr>
            <w:r>
              <w:t>0.42</w:t>
            </w:r>
          </w:p>
        </w:tc>
        <w:tc>
          <w:tcPr>
            <w:tcW w:w="720" w:type="dxa"/>
          </w:tcPr>
          <w:p w14:paraId="4007B0C6" w14:textId="77777777" w:rsidR="00153103" w:rsidRPr="004B404C" w:rsidRDefault="00153103" w:rsidP="00903041">
            <w:pPr>
              <w:pStyle w:val="NoSpacing"/>
              <w:jc w:val="center"/>
            </w:pPr>
          </w:p>
        </w:tc>
        <w:tc>
          <w:tcPr>
            <w:tcW w:w="810" w:type="dxa"/>
          </w:tcPr>
          <w:p w14:paraId="02157087" w14:textId="77777777" w:rsidR="00153103" w:rsidRPr="004B404C" w:rsidRDefault="00153103" w:rsidP="00903041">
            <w:pPr>
              <w:pStyle w:val="NoSpacing"/>
              <w:jc w:val="center"/>
            </w:pPr>
          </w:p>
        </w:tc>
        <w:tc>
          <w:tcPr>
            <w:tcW w:w="1368" w:type="dxa"/>
          </w:tcPr>
          <w:p w14:paraId="0B8AA14B" w14:textId="34680A11" w:rsidR="00153103" w:rsidRPr="004B404C" w:rsidRDefault="005D3486" w:rsidP="00903041">
            <w:pPr>
              <w:pStyle w:val="NoSpacing"/>
              <w:jc w:val="center"/>
            </w:pPr>
            <w:r>
              <w:t>0.38</w:t>
            </w:r>
          </w:p>
        </w:tc>
        <w:tc>
          <w:tcPr>
            <w:tcW w:w="0" w:type="auto"/>
          </w:tcPr>
          <w:p w14:paraId="605A8134" w14:textId="77777777" w:rsidR="00153103" w:rsidRPr="004B404C" w:rsidRDefault="00153103" w:rsidP="00903041">
            <w:pPr>
              <w:pStyle w:val="NoSpacing"/>
              <w:jc w:val="center"/>
            </w:pPr>
          </w:p>
        </w:tc>
      </w:tr>
      <w:tr w:rsidR="00153103" w:rsidRPr="004B404C" w14:paraId="2614C73B" w14:textId="77777777" w:rsidTr="00203A78">
        <w:tc>
          <w:tcPr>
            <w:tcW w:w="4315" w:type="dxa"/>
          </w:tcPr>
          <w:p w14:paraId="3CD2EFFC" w14:textId="77777777" w:rsidR="00153103" w:rsidRPr="004B404C" w:rsidRDefault="00153103" w:rsidP="00903041">
            <w:pPr>
              <w:pStyle w:val="NoSpacing"/>
            </w:pPr>
            <w:r w:rsidRPr="004B404C">
              <w:t>Multicollinearity condition number</w:t>
            </w:r>
          </w:p>
        </w:tc>
        <w:tc>
          <w:tcPr>
            <w:tcW w:w="900" w:type="dxa"/>
          </w:tcPr>
          <w:p w14:paraId="034D782F" w14:textId="77777777" w:rsidR="00153103" w:rsidRPr="004B404C" w:rsidRDefault="00153103" w:rsidP="00903041">
            <w:pPr>
              <w:pStyle w:val="NoSpacing"/>
              <w:jc w:val="center"/>
            </w:pPr>
          </w:p>
        </w:tc>
        <w:tc>
          <w:tcPr>
            <w:tcW w:w="1350" w:type="dxa"/>
          </w:tcPr>
          <w:p w14:paraId="4E084A30" w14:textId="39742751" w:rsidR="00153103" w:rsidRPr="004B404C" w:rsidRDefault="005D3486" w:rsidP="00903041">
            <w:pPr>
              <w:pStyle w:val="NoSpacing"/>
              <w:jc w:val="center"/>
            </w:pPr>
            <w:r>
              <w:t>9.36</w:t>
            </w:r>
          </w:p>
        </w:tc>
        <w:tc>
          <w:tcPr>
            <w:tcW w:w="720" w:type="dxa"/>
          </w:tcPr>
          <w:p w14:paraId="2F12E63D" w14:textId="77777777" w:rsidR="00153103" w:rsidRPr="004B404C" w:rsidRDefault="00153103" w:rsidP="00903041">
            <w:pPr>
              <w:pStyle w:val="NoSpacing"/>
              <w:jc w:val="center"/>
            </w:pPr>
          </w:p>
        </w:tc>
        <w:tc>
          <w:tcPr>
            <w:tcW w:w="810" w:type="dxa"/>
          </w:tcPr>
          <w:p w14:paraId="031771A1" w14:textId="77777777" w:rsidR="00153103" w:rsidRPr="004B404C" w:rsidRDefault="00153103" w:rsidP="00903041">
            <w:pPr>
              <w:pStyle w:val="NoSpacing"/>
              <w:jc w:val="center"/>
            </w:pPr>
          </w:p>
        </w:tc>
        <w:tc>
          <w:tcPr>
            <w:tcW w:w="1368" w:type="dxa"/>
          </w:tcPr>
          <w:p w14:paraId="356EDB32" w14:textId="402EC352" w:rsidR="00153103" w:rsidRPr="004B404C" w:rsidRDefault="00281103" w:rsidP="00903041">
            <w:pPr>
              <w:pStyle w:val="NoSpacing"/>
              <w:jc w:val="center"/>
            </w:pPr>
            <w:r>
              <w:t>9.25</w:t>
            </w:r>
          </w:p>
        </w:tc>
        <w:tc>
          <w:tcPr>
            <w:tcW w:w="0" w:type="auto"/>
          </w:tcPr>
          <w:p w14:paraId="78DBDF5C" w14:textId="77777777" w:rsidR="00153103" w:rsidRPr="004B404C" w:rsidRDefault="00153103" w:rsidP="00903041">
            <w:pPr>
              <w:pStyle w:val="NoSpacing"/>
              <w:jc w:val="center"/>
            </w:pPr>
          </w:p>
        </w:tc>
      </w:tr>
      <w:tr w:rsidR="00153103" w:rsidRPr="004B404C" w14:paraId="62558087" w14:textId="77777777" w:rsidTr="00203A78">
        <w:tc>
          <w:tcPr>
            <w:tcW w:w="4315" w:type="dxa"/>
          </w:tcPr>
          <w:p w14:paraId="062BF130" w14:textId="77777777" w:rsidR="00153103" w:rsidRPr="004B404C" w:rsidRDefault="00153103" w:rsidP="00903041">
            <w:pPr>
              <w:pStyle w:val="NoSpacing"/>
            </w:pPr>
            <w:r w:rsidRPr="004B404C">
              <w:t>S.E. of Regression</w:t>
            </w:r>
          </w:p>
        </w:tc>
        <w:tc>
          <w:tcPr>
            <w:tcW w:w="900" w:type="dxa"/>
          </w:tcPr>
          <w:p w14:paraId="5ED06E3D" w14:textId="77777777" w:rsidR="00153103" w:rsidRPr="004B404C" w:rsidRDefault="00153103" w:rsidP="00903041">
            <w:pPr>
              <w:pStyle w:val="NoSpacing"/>
              <w:jc w:val="center"/>
            </w:pPr>
          </w:p>
        </w:tc>
        <w:tc>
          <w:tcPr>
            <w:tcW w:w="1350" w:type="dxa"/>
          </w:tcPr>
          <w:p w14:paraId="7D221603" w14:textId="29CC69D1" w:rsidR="00153103" w:rsidRPr="004B404C" w:rsidRDefault="005D3486" w:rsidP="00903041">
            <w:pPr>
              <w:pStyle w:val="NoSpacing"/>
              <w:jc w:val="center"/>
            </w:pPr>
            <w:r>
              <w:t>1.82</w:t>
            </w:r>
          </w:p>
        </w:tc>
        <w:tc>
          <w:tcPr>
            <w:tcW w:w="720" w:type="dxa"/>
          </w:tcPr>
          <w:p w14:paraId="1FB37AF6" w14:textId="77777777" w:rsidR="00153103" w:rsidRPr="004B404C" w:rsidRDefault="00153103" w:rsidP="00903041">
            <w:pPr>
              <w:pStyle w:val="NoSpacing"/>
              <w:jc w:val="center"/>
            </w:pPr>
          </w:p>
        </w:tc>
        <w:tc>
          <w:tcPr>
            <w:tcW w:w="810" w:type="dxa"/>
          </w:tcPr>
          <w:p w14:paraId="4380EB3C" w14:textId="77777777" w:rsidR="00153103" w:rsidRPr="004B404C" w:rsidRDefault="00153103" w:rsidP="00903041">
            <w:pPr>
              <w:pStyle w:val="NoSpacing"/>
              <w:jc w:val="center"/>
            </w:pPr>
          </w:p>
        </w:tc>
        <w:tc>
          <w:tcPr>
            <w:tcW w:w="1368" w:type="dxa"/>
          </w:tcPr>
          <w:p w14:paraId="43CD3BA8" w14:textId="39723CF3" w:rsidR="00153103" w:rsidRPr="004B404C" w:rsidRDefault="00281103" w:rsidP="00903041">
            <w:pPr>
              <w:pStyle w:val="NoSpacing"/>
              <w:jc w:val="center"/>
            </w:pPr>
            <w:r>
              <w:t>1.95</w:t>
            </w:r>
          </w:p>
        </w:tc>
        <w:tc>
          <w:tcPr>
            <w:tcW w:w="0" w:type="auto"/>
          </w:tcPr>
          <w:p w14:paraId="33767439" w14:textId="77777777" w:rsidR="00153103" w:rsidRPr="004B404C" w:rsidRDefault="00153103" w:rsidP="00903041">
            <w:pPr>
              <w:pStyle w:val="NoSpacing"/>
              <w:jc w:val="center"/>
            </w:pPr>
          </w:p>
        </w:tc>
      </w:tr>
    </w:tbl>
    <w:p w14:paraId="4F43A95D" w14:textId="77777777" w:rsidR="00416C13" w:rsidRPr="00A47C56" w:rsidRDefault="00416C13" w:rsidP="00A47C56">
      <w:pPr>
        <w:rPr>
          <w:rFonts w:cstheme="minorHAnsi"/>
          <w:sz w:val="24"/>
          <w:szCs w:val="24"/>
        </w:rPr>
      </w:pPr>
    </w:p>
    <w:p w14:paraId="2E44BBE9" w14:textId="77777777" w:rsidR="00A47C56" w:rsidRPr="00A47C56" w:rsidRDefault="00A47C56" w:rsidP="00A47C56">
      <w:pPr>
        <w:rPr>
          <w:rFonts w:cstheme="minorHAnsi"/>
          <w:sz w:val="24"/>
          <w:szCs w:val="24"/>
        </w:rPr>
      </w:pPr>
      <w:r w:rsidRPr="00A47C56">
        <w:rPr>
          <w:rFonts w:cstheme="minorHAnsi"/>
          <w:sz w:val="24"/>
          <w:szCs w:val="24"/>
        </w:rPr>
        <w:t>Table A2 shows the results of spatial lag regression models when vandalism of property density was regressed on alcohol outlet types, social disorganization, and control variables for Indianapolis census block groups. Model 3 shows on-premise alcohol outlet density was not significantly associated with vandalism of property density for Indianapolis (</w:t>
      </w:r>
      <w:r w:rsidRPr="00A47C56">
        <w:rPr>
          <w:rFonts w:cstheme="minorHAnsi"/>
          <w:i/>
          <w:iCs/>
          <w:sz w:val="24"/>
          <w:szCs w:val="24"/>
        </w:rPr>
        <w:t>b</w:t>
      </w:r>
      <w:r w:rsidRPr="00A47C56">
        <w:rPr>
          <w:rFonts w:cstheme="minorHAnsi"/>
          <w:sz w:val="24"/>
          <w:szCs w:val="24"/>
        </w:rPr>
        <w:t xml:space="preserve"> = 0.07, </w:t>
      </w:r>
      <w:r w:rsidRPr="00A47C56">
        <w:rPr>
          <w:rFonts w:cstheme="minorHAnsi"/>
          <w:i/>
          <w:iCs/>
          <w:sz w:val="24"/>
          <w:szCs w:val="24"/>
        </w:rPr>
        <w:t>p</w:t>
      </w:r>
      <w:r w:rsidRPr="00A47C56">
        <w:rPr>
          <w:rFonts w:cstheme="minorHAnsi"/>
          <w:sz w:val="24"/>
          <w:szCs w:val="24"/>
        </w:rPr>
        <w:t> = 0.21). Model 4 shows off-premise alcohol outlet density was not significantly associated with vandalism of property density in Indianapolis (</w:t>
      </w:r>
      <w:r w:rsidRPr="00A47C56">
        <w:rPr>
          <w:rFonts w:cstheme="minorHAnsi"/>
          <w:i/>
          <w:iCs/>
          <w:sz w:val="24"/>
          <w:szCs w:val="24"/>
        </w:rPr>
        <w:t>b</w:t>
      </w:r>
      <w:r w:rsidRPr="00A47C56">
        <w:rPr>
          <w:rFonts w:cstheme="minorHAnsi"/>
          <w:sz w:val="24"/>
          <w:szCs w:val="24"/>
        </w:rPr>
        <w:t xml:space="preserve"> = 0.02, </w:t>
      </w:r>
      <w:r w:rsidRPr="00A47C56">
        <w:rPr>
          <w:rFonts w:cstheme="minorHAnsi"/>
          <w:i/>
          <w:iCs/>
          <w:sz w:val="24"/>
          <w:szCs w:val="24"/>
        </w:rPr>
        <w:t>p</w:t>
      </w:r>
      <w:r w:rsidRPr="00A47C56">
        <w:rPr>
          <w:rFonts w:cstheme="minorHAnsi"/>
          <w:sz w:val="24"/>
          <w:szCs w:val="24"/>
        </w:rPr>
        <w:t> = 0.83).</w:t>
      </w:r>
    </w:p>
    <w:p w14:paraId="1DE9ACAB" w14:textId="77777777" w:rsidR="00A47C56" w:rsidRPr="00203A78" w:rsidRDefault="00A47C56" w:rsidP="0078697C">
      <w:pPr>
        <w:pStyle w:val="NoSpacing"/>
        <w:rPr>
          <w:sz w:val="24"/>
          <w:szCs w:val="24"/>
        </w:rPr>
      </w:pPr>
      <w:r w:rsidRPr="00203A78">
        <w:rPr>
          <w:sz w:val="24"/>
          <w:szCs w:val="24"/>
        </w:rPr>
        <w:t>Table A2. Spatial lag regression for vandalism of property density regressed on alcohol outlet types, social disorganization, and control variables for Indianapolis (</w:t>
      </w:r>
      <w:r w:rsidRPr="00203A78">
        <w:rPr>
          <w:i/>
          <w:iCs/>
          <w:sz w:val="24"/>
          <w:szCs w:val="24"/>
        </w:rPr>
        <w:t>N</w:t>
      </w:r>
      <w:r w:rsidRPr="00203A78">
        <w:rPr>
          <w:sz w:val="24"/>
          <w:szCs w:val="24"/>
        </w:rPr>
        <w:t> = 289) block groups.</w:t>
      </w:r>
    </w:p>
    <w:tbl>
      <w:tblPr>
        <w:tblStyle w:val="TableGrid"/>
        <w:tblW w:w="0" w:type="auto"/>
        <w:tblLook w:val="04A0" w:firstRow="1" w:lastRow="0" w:firstColumn="1" w:lastColumn="0" w:noHBand="0" w:noVBand="1"/>
      </w:tblPr>
      <w:tblGrid>
        <w:gridCol w:w="4135"/>
        <w:gridCol w:w="990"/>
        <w:gridCol w:w="1350"/>
        <w:gridCol w:w="900"/>
        <w:gridCol w:w="720"/>
        <w:gridCol w:w="1368"/>
        <w:gridCol w:w="607"/>
      </w:tblGrid>
      <w:tr w:rsidR="00FB78FB" w:rsidRPr="004B404C" w14:paraId="660C4F83" w14:textId="77777777" w:rsidTr="000C3AF2">
        <w:tc>
          <w:tcPr>
            <w:tcW w:w="4135" w:type="dxa"/>
          </w:tcPr>
          <w:p w14:paraId="7C19040C" w14:textId="77777777" w:rsidR="00FB78FB" w:rsidRPr="004B404C" w:rsidRDefault="00FB78FB" w:rsidP="00903041">
            <w:pPr>
              <w:pStyle w:val="NoSpacing"/>
            </w:pPr>
          </w:p>
        </w:tc>
        <w:tc>
          <w:tcPr>
            <w:tcW w:w="990" w:type="dxa"/>
          </w:tcPr>
          <w:p w14:paraId="66BD371E" w14:textId="77777777" w:rsidR="00FB78FB" w:rsidRPr="004B404C" w:rsidRDefault="00FB78FB" w:rsidP="00903041">
            <w:pPr>
              <w:pStyle w:val="NoSpacing"/>
              <w:jc w:val="center"/>
            </w:pPr>
          </w:p>
        </w:tc>
        <w:tc>
          <w:tcPr>
            <w:tcW w:w="1350" w:type="dxa"/>
          </w:tcPr>
          <w:p w14:paraId="03F8765C" w14:textId="77777777" w:rsidR="00FB78FB" w:rsidRPr="004B404C" w:rsidRDefault="00FB78FB" w:rsidP="00903041">
            <w:pPr>
              <w:pStyle w:val="NoSpacing"/>
              <w:jc w:val="center"/>
            </w:pPr>
            <w:r w:rsidRPr="004B404C">
              <w:t>Model 1: On-premise</w:t>
            </w:r>
          </w:p>
        </w:tc>
        <w:tc>
          <w:tcPr>
            <w:tcW w:w="900" w:type="dxa"/>
          </w:tcPr>
          <w:p w14:paraId="6DE14F95" w14:textId="77777777" w:rsidR="00FB78FB" w:rsidRPr="004B404C" w:rsidRDefault="00FB78FB" w:rsidP="00903041">
            <w:pPr>
              <w:pStyle w:val="NoSpacing"/>
              <w:jc w:val="center"/>
            </w:pPr>
          </w:p>
        </w:tc>
        <w:tc>
          <w:tcPr>
            <w:tcW w:w="720" w:type="dxa"/>
          </w:tcPr>
          <w:p w14:paraId="77B6EEC0" w14:textId="77777777" w:rsidR="00FB78FB" w:rsidRPr="004B404C" w:rsidRDefault="00FB78FB" w:rsidP="00903041">
            <w:pPr>
              <w:pStyle w:val="NoSpacing"/>
              <w:jc w:val="center"/>
            </w:pPr>
          </w:p>
        </w:tc>
        <w:tc>
          <w:tcPr>
            <w:tcW w:w="1368" w:type="dxa"/>
          </w:tcPr>
          <w:p w14:paraId="3FF2440B" w14:textId="77777777" w:rsidR="00FB78FB" w:rsidRPr="004B404C" w:rsidRDefault="00FB78FB" w:rsidP="00903041">
            <w:pPr>
              <w:pStyle w:val="NoSpacing"/>
              <w:jc w:val="center"/>
            </w:pPr>
            <w:r w:rsidRPr="004B404C">
              <w:t>Model 2: Off-premise</w:t>
            </w:r>
          </w:p>
        </w:tc>
        <w:tc>
          <w:tcPr>
            <w:tcW w:w="0" w:type="auto"/>
          </w:tcPr>
          <w:p w14:paraId="4C29436B" w14:textId="77777777" w:rsidR="00FB78FB" w:rsidRPr="004B404C" w:rsidRDefault="00FB78FB" w:rsidP="00903041">
            <w:pPr>
              <w:pStyle w:val="NoSpacing"/>
              <w:jc w:val="center"/>
            </w:pPr>
          </w:p>
        </w:tc>
      </w:tr>
      <w:tr w:rsidR="00FB78FB" w:rsidRPr="004B404C" w14:paraId="3BAE3D40" w14:textId="77777777" w:rsidTr="000C3AF2">
        <w:tc>
          <w:tcPr>
            <w:tcW w:w="4135" w:type="dxa"/>
          </w:tcPr>
          <w:p w14:paraId="01534729" w14:textId="77777777" w:rsidR="00FB78FB" w:rsidRPr="004B404C" w:rsidRDefault="00FB78FB" w:rsidP="00903041">
            <w:pPr>
              <w:pStyle w:val="NoSpacing"/>
            </w:pPr>
          </w:p>
        </w:tc>
        <w:tc>
          <w:tcPr>
            <w:tcW w:w="990" w:type="dxa"/>
          </w:tcPr>
          <w:p w14:paraId="72DD98F4" w14:textId="77777777" w:rsidR="00FB78FB" w:rsidRPr="004B404C" w:rsidRDefault="00FB78FB" w:rsidP="00903041">
            <w:pPr>
              <w:pStyle w:val="NoSpacing"/>
              <w:jc w:val="center"/>
            </w:pPr>
            <w:r w:rsidRPr="004B404C">
              <w:t>b</w:t>
            </w:r>
          </w:p>
        </w:tc>
        <w:tc>
          <w:tcPr>
            <w:tcW w:w="1350" w:type="dxa"/>
          </w:tcPr>
          <w:p w14:paraId="3A41B729" w14:textId="77777777" w:rsidR="00FB78FB" w:rsidRPr="004B404C" w:rsidRDefault="00FB78FB" w:rsidP="00903041">
            <w:pPr>
              <w:pStyle w:val="NoSpacing"/>
              <w:jc w:val="center"/>
            </w:pPr>
            <w:r w:rsidRPr="004B404C">
              <w:t>se</w:t>
            </w:r>
          </w:p>
        </w:tc>
        <w:tc>
          <w:tcPr>
            <w:tcW w:w="900" w:type="dxa"/>
          </w:tcPr>
          <w:p w14:paraId="061C8247" w14:textId="77777777" w:rsidR="00FB78FB" w:rsidRPr="004B404C" w:rsidRDefault="00FB78FB" w:rsidP="00903041">
            <w:pPr>
              <w:pStyle w:val="NoSpacing"/>
              <w:jc w:val="center"/>
            </w:pPr>
            <w:r w:rsidRPr="004B404C">
              <w:t>p</w:t>
            </w:r>
          </w:p>
        </w:tc>
        <w:tc>
          <w:tcPr>
            <w:tcW w:w="720" w:type="dxa"/>
          </w:tcPr>
          <w:p w14:paraId="0EBEA43B" w14:textId="77777777" w:rsidR="00FB78FB" w:rsidRPr="004B404C" w:rsidRDefault="00FB78FB" w:rsidP="00903041">
            <w:pPr>
              <w:pStyle w:val="NoSpacing"/>
              <w:jc w:val="center"/>
            </w:pPr>
            <w:r w:rsidRPr="004B404C">
              <w:t>b</w:t>
            </w:r>
          </w:p>
        </w:tc>
        <w:tc>
          <w:tcPr>
            <w:tcW w:w="1368" w:type="dxa"/>
          </w:tcPr>
          <w:p w14:paraId="42AF1505" w14:textId="77777777" w:rsidR="00FB78FB" w:rsidRPr="004B404C" w:rsidRDefault="00FB78FB" w:rsidP="00903041">
            <w:pPr>
              <w:pStyle w:val="NoSpacing"/>
              <w:jc w:val="center"/>
            </w:pPr>
            <w:r w:rsidRPr="004B404C">
              <w:t>Se</w:t>
            </w:r>
          </w:p>
        </w:tc>
        <w:tc>
          <w:tcPr>
            <w:tcW w:w="0" w:type="auto"/>
          </w:tcPr>
          <w:p w14:paraId="51C63363" w14:textId="77777777" w:rsidR="00FB78FB" w:rsidRPr="004B404C" w:rsidRDefault="00FB78FB" w:rsidP="00903041">
            <w:pPr>
              <w:pStyle w:val="NoSpacing"/>
              <w:jc w:val="center"/>
            </w:pPr>
            <w:r w:rsidRPr="004B404C">
              <w:t>p</w:t>
            </w:r>
          </w:p>
        </w:tc>
      </w:tr>
      <w:tr w:rsidR="00FB78FB" w:rsidRPr="004B404C" w14:paraId="23AF1E77" w14:textId="77777777" w:rsidTr="000C3AF2">
        <w:tc>
          <w:tcPr>
            <w:tcW w:w="4135" w:type="dxa"/>
          </w:tcPr>
          <w:p w14:paraId="26708363" w14:textId="77777777" w:rsidR="00FB78FB" w:rsidRPr="004B404C" w:rsidRDefault="00FB78FB" w:rsidP="00903041">
            <w:pPr>
              <w:pStyle w:val="NoSpacing"/>
            </w:pPr>
            <w:r w:rsidRPr="004B404C">
              <w:t>On-premise density</w:t>
            </w:r>
          </w:p>
        </w:tc>
        <w:tc>
          <w:tcPr>
            <w:tcW w:w="990" w:type="dxa"/>
          </w:tcPr>
          <w:p w14:paraId="456D3D37" w14:textId="682097F0" w:rsidR="00FB78FB" w:rsidRPr="004B404C" w:rsidRDefault="00FB78FB" w:rsidP="00903041">
            <w:pPr>
              <w:pStyle w:val="NoSpacing"/>
              <w:jc w:val="center"/>
            </w:pPr>
            <w:r>
              <w:t>0.07</w:t>
            </w:r>
          </w:p>
        </w:tc>
        <w:tc>
          <w:tcPr>
            <w:tcW w:w="1350" w:type="dxa"/>
          </w:tcPr>
          <w:p w14:paraId="0AD22F11" w14:textId="6F894E6A" w:rsidR="00FB78FB" w:rsidRPr="004B404C" w:rsidRDefault="00FB78FB" w:rsidP="00903041">
            <w:pPr>
              <w:pStyle w:val="NoSpacing"/>
              <w:jc w:val="center"/>
            </w:pPr>
            <w:r>
              <w:t>0.06</w:t>
            </w:r>
          </w:p>
        </w:tc>
        <w:tc>
          <w:tcPr>
            <w:tcW w:w="900" w:type="dxa"/>
          </w:tcPr>
          <w:p w14:paraId="3C64489D" w14:textId="13BDBCB7" w:rsidR="00FB78FB" w:rsidRPr="004B404C" w:rsidRDefault="00FB78FB" w:rsidP="00903041">
            <w:pPr>
              <w:pStyle w:val="NoSpacing"/>
              <w:jc w:val="center"/>
            </w:pPr>
            <w:r>
              <w:t>0.21</w:t>
            </w:r>
          </w:p>
        </w:tc>
        <w:tc>
          <w:tcPr>
            <w:tcW w:w="720" w:type="dxa"/>
          </w:tcPr>
          <w:p w14:paraId="6E4273AB" w14:textId="77777777" w:rsidR="00FB78FB" w:rsidRPr="004B404C" w:rsidRDefault="00FB78FB" w:rsidP="00903041">
            <w:pPr>
              <w:pStyle w:val="NoSpacing"/>
              <w:jc w:val="center"/>
            </w:pPr>
            <w:r w:rsidRPr="004B404C">
              <w:t>-</w:t>
            </w:r>
          </w:p>
        </w:tc>
        <w:tc>
          <w:tcPr>
            <w:tcW w:w="1368" w:type="dxa"/>
          </w:tcPr>
          <w:p w14:paraId="065C4FA6" w14:textId="77777777" w:rsidR="00FB78FB" w:rsidRPr="004B404C" w:rsidRDefault="00FB78FB" w:rsidP="00903041">
            <w:pPr>
              <w:pStyle w:val="NoSpacing"/>
              <w:jc w:val="center"/>
            </w:pPr>
            <w:r w:rsidRPr="004B404C">
              <w:t>-</w:t>
            </w:r>
          </w:p>
        </w:tc>
        <w:tc>
          <w:tcPr>
            <w:tcW w:w="0" w:type="auto"/>
          </w:tcPr>
          <w:p w14:paraId="1E6855C5" w14:textId="77777777" w:rsidR="00FB78FB" w:rsidRPr="004B404C" w:rsidRDefault="00FB78FB" w:rsidP="00903041">
            <w:pPr>
              <w:pStyle w:val="NoSpacing"/>
              <w:jc w:val="center"/>
            </w:pPr>
            <w:r w:rsidRPr="004B404C">
              <w:t>-</w:t>
            </w:r>
          </w:p>
        </w:tc>
      </w:tr>
      <w:tr w:rsidR="00FB78FB" w:rsidRPr="004B404C" w14:paraId="1D5F636B" w14:textId="77777777" w:rsidTr="000C3AF2">
        <w:tc>
          <w:tcPr>
            <w:tcW w:w="4135" w:type="dxa"/>
          </w:tcPr>
          <w:p w14:paraId="1030820A" w14:textId="77777777" w:rsidR="00FB78FB" w:rsidRPr="004B404C" w:rsidRDefault="00FB78FB" w:rsidP="00903041">
            <w:pPr>
              <w:pStyle w:val="NoSpacing"/>
            </w:pPr>
            <w:r w:rsidRPr="004B404C">
              <w:t>Off-premise density</w:t>
            </w:r>
          </w:p>
        </w:tc>
        <w:tc>
          <w:tcPr>
            <w:tcW w:w="990" w:type="dxa"/>
          </w:tcPr>
          <w:p w14:paraId="2FF98610" w14:textId="77777777" w:rsidR="00FB78FB" w:rsidRPr="004B404C" w:rsidRDefault="00FB78FB" w:rsidP="00903041">
            <w:pPr>
              <w:pStyle w:val="NoSpacing"/>
              <w:jc w:val="center"/>
            </w:pPr>
            <w:r w:rsidRPr="004B404C">
              <w:t>-</w:t>
            </w:r>
          </w:p>
        </w:tc>
        <w:tc>
          <w:tcPr>
            <w:tcW w:w="1350" w:type="dxa"/>
          </w:tcPr>
          <w:p w14:paraId="1298D1C8" w14:textId="77777777" w:rsidR="00FB78FB" w:rsidRPr="004B404C" w:rsidRDefault="00FB78FB" w:rsidP="00903041">
            <w:pPr>
              <w:pStyle w:val="NoSpacing"/>
              <w:jc w:val="center"/>
            </w:pPr>
            <w:r w:rsidRPr="004B404C">
              <w:t>-</w:t>
            </w:r>
          </w:p>
        </w:tc>
        <w:tc>
          <w:tcPr>
            <w:tcW w:w="900" w:type="dxa"/>
          </w:tcPr>
          <w:p w14:paraId="0BB4A174" w14:textId="77777777" w:rsidR="00FB78FB" w:rsidRPr="004B404C" w:rsidRDefault="00FB78FB" w:rsidP="00903041">
            <w:pPr>
              <w:pStyle w:val="NoSpacing"/>
              <w:jc w:val="center"/>
            </w:pPr>
            <w:r w:rsidRPr="004B404C">
              <w:t>-</w:t>
            </w:r>
          </w:p>
        </w:tc>
        <w:tc>
          <w:tcPr>
            <w:tcW w:w="720" w:type="dxa"/>
          </w:tcPr>
          <w:p w14:paraId="2BA290AB" w14:textId="401015B5" w:rsidR="00FB78FB" w:rsidRPr="004B404C" w:rsidRDefault="00FB78FB" w:rsidP="00903041">
            <w:pPr>
              <w:pStyle w:val="NoSpacing"/>
              <w:jc w:val="center"/>
            </w:pPr>
            <w:r>
              <w:t>0.02</w:t>
            </w:r>
          </w:p>
        </w:tc>
        <w:tc>
          <w:tcPr>
            <w:tcW w:w="1368" w:type="dxa"/>
          </w:tcPr>
          <w:p w14:paraId="1694CC70" w14:textId="6B4356DB" w:rsidR="00FB78FB" w:rsidRPr="004B404C" w:rsidRDefault="00FB78FB" w:rsidP="00903041">
            <w:pPr>
              <w:pStyle w:val="NoSpacing"/>
              <w:jc w:val="center"/>
            </w:pPr>
            <w:r>
              <w:t>0.09</w:t>
            </w:r>
          </w:p>
        </w:tc>
        <w:tc>
          <w:tcPr>
            <w:tcW w:w="0" w:type="auto"/>
          </w:tcPr>
          <w:p w14:paraId="65738FC5" w14:textId="42C97E74" w:rsidR="00FB78FB" w:rsidRPr="004B404C" w:rsidRDefault="00F41C04" w:rsidP="00903041">
            <w:pPr>
              <w:pStyle w:val="NoSpacing"/>
              <w:jc w:val="center"/>
            </w:pPr>
            <w:r>
              <w:t>0.83</w:t>
            </w:r>
          </w:p>
        </w:tc>
      </w:tr>
      <w:tr w:rsidR="00FB78FB" w:rsidRPr="004B404C" w14:paraId="2D0D1BF0" w14:textId="77777777" w:rsidTr="000C3AF2">
        <w:tc>
          <w:tcPr>
            <w:tcW w:w="4135" w:type="dxa"/>
          </w:tcPr>
          <w:p w14:paraId="6F75B418" w14:textId="77777777" w:rsidR="00FB78FB" w:rsidRPr="004B404C" w:rsidRDefault="00FB78FB" w:rsidP="00903041">
            <w:pPr>
              <w:pStyle w:val="NoSpacing"/>
            </w:pPr>
            <w:r w:rsidRPr="004B404C">
              <w:t>Social disorganization</w:t>
            </w:r>
          </w:p>
        </w:tc>
        <w:tc>
          <w:tcPr>
            <w:tcW w:w="990" w:type="dxa"/>
          </w:tcPr>
          <w:p w14:paraId="118AEDB7" w14:textId="418110A4" w:rsidR="00FB78FB" w:rsidRPr="004B404C" w:rsidRDefault="00FB78FB" w:rsidP="00903041">
            <w:pPr>
              <w:pStyle w:val="NoSpacing"/>
              <w:jc w:val="center"/>
            </w:pPr>
            <w:r>
              <w:t>0.27</w:t>
            </w:r>
          </w:p>
        </w:tc>
        <w:tc>
          <w:tcPr>
            <w:tcW w:w="1350" w:type="dxa"/>
          </w:tcPr>
          <w:p w14:paraId="19CE35A9" w14:textId="499D3D3F" w:rsidR="00FB78FB" w:rsidRPr="004B404C" w:rsidRDefault="00FB78FB" w:rsidP="00903041">
            <w:pPr>
              <w:pStyle w:val="NoSpacing"/>
              <w:jc w:val="center"/>
            </w:pPr>
            <w:r>
              <w:t>0.05</w:t>
            </w:r>
          </w:p>
        </w:tc>
        <w:tc>
          <w:tcPr>
            <w:tcW w:w="900" w:type="dxa"/>
          </w:tcPr>
          <w:p w14:paraId="16ED665E" w14:textId="4CF0EC37" w:rsidR="00FB78FB" w:rsidRPr="004B404C" w:rsidRDefault="00FB78FB" w:rsidP="00903041">
            <w:pPr>
              <w:pStyle w:val="NoSpacing"/>
              <w:jc w:val="center"/>
            </w:pPr>
            <w:r>
              <w:t>0.00</w:t>
            </w:r>
          </w:p>
        </w:tc>
        <w:tc>
          <w:tcPr>
            <w:tcW w:w="720" w:type="dxa"/>
          </w:tcPr>
          <w:p w14:paraId="2C7CF30D" w14:textId="116233A7" w:rsidR="00FB78FB" w:rsidRPr="004B404C" w:rsidRDefault="00FB78FB" w:rsidP="00903041">
            <w:pPr>
              <w:pStyle w:val="NoSpacing"/>
              <w:jc w:val="center"/>
            </w:pPr>
            <w:r>
              <w:t>0.27</w:t>
            </w:r>
          </w:p>
        </w:tc>
        <w:tc>
          <w:tcPr>
            <w:tcW w:w="1368" w:type="dxa"/>
          </w:tcPr>
          <w:p w14:paraId="5084F776" w14:textId="5EB98EE0" w:rsidR="00FB78FB" w:rsidRPr="004B404C" w:rsidRDefault="00FB78FB" w:rsidP="00903041">
            <w:pPr>
              <w:pStyle w:val="NoSpacing"/>
              <w:jc w:val="center"/>
            </w:pPr>
            <w:r>
              <w:t>0.05</w:t>
            </w:r>
          </w:p>
        </w:tc>
        <w:tc>
          <w:tcPr>
            <w:tcW w:w="0" w:type="auto"/>
          </w:tcPr>
          <w:p w14:paraId="18165D7C" w14:textId="05DC0C8C" w:rsidR="00FB78FB" w:rsidRPr="004B404C" w:rsidRDefault="00F41C04" w:rsidP="00903041">
            <w:pPr>
              <w:pStyle w:val="NoSpacing"/>
              <w:jc w:val="center"/>
            </w:pPr>
            <w:r>
              <w:t>0.00</w:t>
            </w:r>
          </w:p>
        </w:tc>
      </w:tr>
      <w:tr w:rsidR="00FB78FB" w:rsidRPr="004B404C" w14:paraId="5FFFC72B" w14:textId="77777777" w:rsidTr="000C3AF2">
        <w:tc>
          <w:tcPr>
            <w:tcW w:w="4135" w:type="dxa"/>
          </w:tcPr>
          <w:p w14:paraId="6AF5A15F" w14:textId="77777777" w:rsidR="00FB78FB" w:rsidRPr="004B404C" w:rsidRDefault="00FB78FB" w:rsidP="00903041">
            <w:pPr>
              <w:pStyle w:val="NoSpacing"/>
            </w:pPr>
            <w:r w:rsidRPr="004B404C">
              <w:t>Population density</w:t>
            </w:r>
          </w:p>
        </w:tc>
        <w:tc>
          <w:tcPr>
            <w:tcW w:w="990" w:type="dxa"/>
          </w:tcPr>
          <w:p w14:paraId="6C3CBBE2" w14:textId="4047F74C" w:rsidR="00FB78FB" w:rsidRPr="004B404C" w:rsidRDefault="00FB78FB" w:rsidP="00903041">
            <w:pPr>
              <w:pStyle w:val="NoSpacing"/>
              <w:jc w:val="center"/>
            </w:pPr>
            <w:r>
              <w:t>0.00</w:t>
            </w:r>
          </w:p>
        </w:tc>
        <w:tc>
          <w:tcPr>
            <w:tcW w:w="1350" w:type="dxa"/>
          </w:tcPr>
          <w:p w14:paraId="7100CF66" w14:textId="47312475" w:rsidR="00FB78FB" w:rsidRPr="004B404C" w:rsidRDefault="00FB78FB" w:rsidP="00903041">
            <w:pPr>
              <w:pStyle w:val="NoSpacing"/>
              <w:jc w:val="center"/>
            </w:pPr>
            <w:r>
              <w:t>0.00</w:t>
            </w:r>
          </w:p>
        </w:tc>
        <w:tc>
          <w:tcPr>
            <w:tcW w:w="900" w:type="dxa"/>
          </w:tcPr>
          <w:p w14:paraId="47217776" w14:textId="6D05C4A3" w:rsidR="00FB78FB" w:rsidRPr="004B404C" w:rsidRDefault="00FB78FB" w:rsidP="00903041">
            <w:pPr>
              <w:pStyle w:val="NoSpacing"/>
              <w:jc w:val="center"/>
            </w:pPr>
            <w:r>
              <w:t>0.00</w:t>
            </w:r>
          </w:p>
        </w:tc>
        <w:tc>
          <w:tcPr>
            <w:tcW w:w="720" w:type="dxa"/>
          </w:tcPr>
          <w:p w14:paraId="69F0C9FF" w14:textId="0FE76D99" w:rsidR="00FB78FB" w:rsidRPr="004B404C" w:rsidRDefault="00FB78FB" w:rsidP="00903041">
            <w:pPr>
              <w:pStyle w:val="NoSpacing"/>
              <w:jc w:val="center"/>
            </w:pPr>
            <w:r>
              <w:t>0.00</w:t>
            </w:r>
          </w:p>
        </w:tc>
        <w:tc>
          <w:tcPr>
            <w:tcW w:w="1368" w:type="dxa"/>
          </w:tcPr>
          <w:p w14:paraId="55823D90" w14:textId="79558A63" w:rsidR="00FB78FB" w:rsidRPr="004B404C" w:rsidRDefault="00FB78FB" w:rsidP="00903041">
            <w:pPr>
              <w:pStyle w:val="NoSpacing"/>
              <w:jc w:val="center"/>
            </w:pPr>
            <w:r>
              <w:t>0.00</w:t>
            </w:r>
          </w:p>
        </w:tc>
        <w:tc>
          <w:tcPr>
            <w:tcW w:w="0" w:type="auto"/>
          </w:tcPr>
          <w:p w14:paraId="008095CF" w14:textId="6FAA823A" w:rsidR="00FB78FB" w:rsidRPr="004B404C" w:rsidRDefault="00F41C04" w:rsidP="00903041">
            <w:pPr>
              <w:pStyle w:val="NoSpacing"/>
              <w:jc w:val="center"/>
            </w:pPr>
            <w:r>
              <w:t>0.00</w:t>
            </w:r>
          </w:p>
        </w:tc>
      </w:tr>
      <w:tr w:rsidR="00FB78FB" w:rsidRPr="004B404C" w14:paraId="2DDA2C46" w14:textId="77777777" w:rsidTr="000C3AF2">
        <w:tc>
          <w:tcPr>
            <w:tcW w:w="4135" w:type="dxa"/>
          </w:tcPr>
          <w:p w14:paraId="72889376" w14:textId="77777777" w:rsidR="00FB78FB" w:rsidRPr="004B404C" w:rsidRDefault="00FB78FB" w:rsidP="00903041">
            <w:pPr>
              <w:pStyle w:val="NoSpacing"/>
            </w:pPr>
            <w:r w:rsidRPr="004B404C">
              <w:t>Proportion young</w:t>
            </w:r>
          </w:p>
        </w:tc>
        <w:tc>
          <w:tcPr>
            <w:tcW w:w="990" w:type="dxa"/>
          </w:tcPr>
          <w:p w14:paraId="7C8E0F2C" w14:textId="2AB55E30" w:rsidR="00FB78FB" w:rsidRPr="004B404C" w:rsidRDefault="00FB78FB" w:rsidP="00903041">
            <w:pPr>
              <w:pStyle w:val="NoSpacing"/>
              <w:jc w:val="center"/>
            </w:pPr>
            <w:r>
              <w:t>-1.60</w:t>
            </w:r>
          </w:p>
        </w:tc>
        <w:tc>
          <w:tcPr>
            <w:tcW w:w="1350" w:type="dxa"/>
          </w:tcPr>
          <w:p w14:paraId="70E90E2E" w14:textId="1B32D9EC" w:rsidR="00FB78FB" w:rsidRPr="004B404C" w:rsidRDefault="00FB78FB" w:rsidP="00903041">
            <w:pPr>
              <w:pStyle w:val="NoSpacing"/>
              <w:jc w:val="center"/>
            </w:pPr>
            <w:r>
              <w:t>1.25</w:t>
            </w:r>
          </w:p>
        </w:tc>
        <w:tc>
          <w:tcPr>
            <w:tcW w:w="900" w:type="dxa"/>
          </w:tcPr>
          <w:p w14:paraId="37D1FD03" w14:textId="10C740A1" w:rsidR="00FB78FB" w:rsidRPr="004B404C" w:rsidRDefault="00FB78FB" w:rsidP="00903041">
            <w:pPr>
              <w:pStyle w:val="NoSpacing"/>
              <w:jc w:val="center"/>
            </w:pPr>
            <w:r>
              <w:t>0.20</w:t>
            </w:r>
          </w:p>
        </w:tc>
        <w:tc>
          <w:tcPr>
            <w:tcW w:w="720" w:type="dxa"/>
          </w:tcPr>
          <w:p w14:paraId="0DE43123" w14:textId="05DDC2C8" w:rsidR="00FB78FB" w:rsidRPr="004B404C" w:rsidRDefault="00FB78FB" w:rsidP="00903041">
            <w:pPr>
              <w:pStyle w:val="NoSpacing"/>
              <w:jc w:val="center"/>
            </w:pPr>
            <w:r>
              <w:t>-1.64</w:t>
            </w:r>
          </w:p>
        </w:tc>
        <w:tc>
          <w:tcPr>
            <w:tcW w:w="1368" w:type="dxa"/>
          </w:tcPr>
          <w:p w14:paraId="063DC56A" w14:textId="07E03E6B" w:rsidR="00FB78FB" w:rsidRPr="004B404C" w:rsidRDefault="00C81F48" w:rsidP="00903041">
            <w:pPr>
              <w:pStyle w:val="NoSpacing"/>
              <w:jc w:val="center"/>
            </w:pPr>
            <w:r>
              <w:t>1.25</w:t>
            </w:r>
          </w:p>
        </w:tc>
        <w:tc>
          <w:tcPr>
            <w:tcW w:w="0" w:type="auto"/>
          </w:tcPr>
          <w:p w14:paraId="0ACB21BE" w14:textId="642F7679" w:rsidR="00FB78FB" w:rsidRPr="004B404C" w:rsidRDefault="00F41C04" w:rsidP="00903041">
            <w:pPr>
              <w:pStyle w:val="NoSpacing"/>
              <w:jc w:val="center"/>
            </w:pPr>
            <w:r>
              <w:t>0.19</w:t>
            </w:r>
          </w:p>
        </w:tc>
      </w:tr>
      <w:tr w:rsidR="00FB78FB" w:rsidRPr="004B404C" w14:paraId="4A301472" w14:textId="77777777" w:rsidTr="000C3AF2">
        <w:tc>
          <w:tcPr>
            <w:tcW w:w="4135" w:type="dxa"/>
          </w:tcPr>
          <w:p w14:paraId="25E14064" w14:textId="77777777" w:rsidR="00FB78FB" w:rsidRPr="004B404C" w:rsidRDefault="00FB78FB" w:rsidP="00903041">
            <w:pPr>
              <w:pStyle w:val="NoSpacing"/>
            </w:pPr>
            <w:r w:rsidRPr="004B404C">
              <w:t>Distance from city center</w:t>
            </w:r>
          </w:p>
        </w:tc>
        <w:tc>
          <w:tcPr>
            <w:tcW w:w="990" w:type="dxa"/>
          </w:tcPr>
          <w:p w14:paraId="4D6FF054" w14:textId="6C9E683D" w:rsidR="00FB78FB" w:rsidRPr="004B404C" w:rsidRDefault="00FB78FB" w:rsidP="00903041">
            <w:pPr>
              <w:pStyle w:val="NoSpacing"/>
              <w:jc w:val="center"/>
            </w:pPr>
            <w:r>
              <w:t>-0.12</w:t>
            </w:r>
          </w:p>
        </w:tc>
        <w:tc>
          <w:tcPr>
            <w:tcW w:w="1350" w:type="dxa"/>
          </w:tcPr>
          <w:p w14:paraId="5A63A29A" w14:textId="4EB9C453" w:rsidR="00FB78FB" w:rsidRPr="004B404C" w:rsidRDefault="00FB78FB" w:rsidP="00903041">
            <w:pPr>
              <w:pStyle w:val="NoSpacing"/>
              <w:jc w:val="center"/>
            </w:pPr>
            <w:r>
              <w:t>0.08</w:t>
            </w:r>
          </w:p>
        </w:tc>
        <w:tc>
          <w:tcPr>
            <w:tcW w:w="900" w:type="dxa"/>
          </w:tcPr>
          <w:p w14:paraId="3B61D0DA" w14:textId="13C2EB19" w:rsidR="00FB78FB" w:rsidRPr="004B404C" w:rsidRDefault="00FB78FB" w:rsidP="00903041">
            <w:pPr>
              <w:pStyle w:val="NoSpacing"/>
              <w:jc w:val="center"/>
            </w:pPr>
            <w:r>
              <w:t>0.11</w:t>
            </w:r>
          </w:p>
        </w:tc>
        <w:tc>
          <w:tcPr>
            <w:tcW w:w="720" w:type="dxa"/>
          </w:tcPr>
          <w:p w14:paraId="32960C0B" w14:textId="0FE43698" w:rsidR="00FB78FB" w:rsidRPr="004B404C" w:rsidRDefault="00FB78FB" w:rsidP="00903041">
            <w:pPr>
              <w:pStyle w:val="NoSpacing"/>
              <w:jc w:val="center"/>
            </w:pPr>
            <w:r>
              <w:t>-0.14</w:t>
            </w:r>
          </w:p>
        </w:tc>
        <w:tc>
          <w:tcPr>
            <w:tcW w:w="1368" w:type="dxa"/>
          </w:tcPr>
          <w:p w14:paraId="4158DB76" w14:textId="0EB89DF1" w:rsidR="00FB78FB" w:rsidRPr="004B404C" w:rsidRDefault="00C81F48" w:rsidP="00903041">
            <w:pPr>
              <w:pStyle w:val="NoSpacing"/>
              <w:jc w:val="center"/>
            </w:pPr>
            <w:r>
              <w:t>0.08</w:t>
            </w:r>
          </w:p>
        </w:tc>
        <w:tc>
          <w:tcPr>
            <w:tcW w:w="0" w:type="auto"/>
          </w:tcPr>
          <w:p w14:paraId="08E81310" w14:textId="7F8A1F0D" w:rsidR="00FB78FB" w:rsidRPr="004B404C" w:rsidRDefault="00F41C04" w:rsidP="00903041">
            <w:pPr>
              <w:pStyle w:val="NoSpacing"/>
              <w:jc w:val="center"/>
            </w:pPr>
            <w:r>
              <w:t>0.06</w:t>
            </w:r>
          </w:p>
        </w:tc>
      </w:tr>
      <w:tr w:rsidR="00FB78FB" w:rsidRPr="004B404C" w14:paraId="3FD0DA94" w14:textId="77777777" w:rsidTr="000C3AF2">
        <w:tc>
          <w:tcPr>
            <w:tcW w:w="4135" w:type="dxa"/>
          </w:tcPr>
          <w:p w14:paraId="318D25C4" w14:textId="1DCD817A" w:rsidR="00FB78FB" w:rsidRPr="004B404C" w:rsidRDefault="00FB78FB" w:rsidP="00903041">
            <w:pPr>
              <w:pStyle w:val="NoSpacing"/>
            </w:pPr>
            <w:r w:rsidRPr="004B404C">
              <w:t xml:space="preserve">Rho </w:t>
            </w:r>
            <w:r>
              <w:t>Vandalism</w:t>
            </w:r>
            <w:r w:rsidRPr="004B404C">
              <w:t xml:space="preserve"> density</w:t>
            </w:r>
          </w:p>
        </w:tc>
        <w:tc>
          <w:tcPr>
            <w:tcW w:w="990" w:type="dxa"/>
          </w:tcPr>
          <w:p w14:paraId="0EEEAD91" w14:textId="77180D55" w:rsidR="00FB78FB" w:rsidRPr="004B404C" w:rsidRDefault="00FB78FB" w:rsidP="00903041">
            <w:pPr>
              <w:pStyle w:val="NoSpacing"/>
              <w:jc w:val="center"/>
            </w:pPr>
            <w:r>
              <w:t>0.46</w:t>
            </w:r>
          </w:p>
        </w:tc>
        <w:tc>
          <w:tcPr>
            <w:tcW w:w="1350" w:type="dxa"/>
          </w:tcPr>
          <w:p w14:paraId="75855396" w14:textId="722397DD" w:rsidR="00FB78FB" w:rsidRPr="004B404C" w:rsidRDefault="00FB78FB" w:rsidP="00903041">
            <w:pPr>
              <w:pStyle w:val="NoSpacing"/>
              <w:jc w:val="center"/>
            </w:pPr>
            <w:r>
              <w:t>0.11</w:t>
            </w:r>
          </w:p>
        </w:tc>
        <w:tc>
          <w:tcPr>
            <w:tcW w:w="900" w:type="dxa"/>
          </w:tcPr>
          <w:p w14:paraId="16E49F60" w14:textId="1B1FF801" w:rsidR="00FB78FB" w:rsidRPr="004B404C" w:rsidRDefault="00FB78FB" w:rsidP="00903041">
            <w:pPr>
              <w:pStyle w:val="NoSpacing"/>
              <w:jc w:val="center"/>
            </w:pPr>
            <w:r>
              <w:t>0.00</w:t>
            </w:r>
          </w:p>
        </w:tc>
        <w:tc>
          <w:tcPr>
            <w:tcW w:w="720" w:type="dxa"/>
          </w:tcPr>
          <w:p w14:paraId="5BC2DF58" w14:textId="7787FBD0" w:rsidR="00FB78FB" w:rsidRPr="004B404C" w:rsidRDefault="00FB78FB" w:rsidP="00903041">
            <w:pPr>
              <w:pStyle w:val="NoSpacing"/>
              <w:jc w:val="center"/>
            </w:pPr>
            <w:r>
              <w:t>0.44</w:t>
            </w:r>
          </w:p>
        </w:tc>
        <w:tc>
          <w:tcPr>
            <w:tcW w:w="1368" w:type="dxa"/>
          </w:tcPr>
          <w:p w14:paraId="5DFF1905" w14:textId="31AAB82C" w:rsidR="00FB78FB" w:rsidRPr="004B404C" w:rsidRDefault="00C81F48" w:rsidP="00903041">
            <w:pPr>
              <w:pStyle w:val="NoSpacing"/>
              <w:jc w:val="center"/>
            </w:pPr>
            <w:r>
              <w:t>0.11</w:t>
            </w:r>
          </w:p>
        </w:tc>
        <w:tc>
          <w:tcPr>
            <w:tcW w:w="0" w:type="auto"/>
          </w:tcPr>
          <w:p w14:paraId="1E6FBDCB" w14:textId="76E0BDAC" w:rsidR="00FB78FB" w:rsidRPr="004B404C" w:rsidRDefault="00F41C04" w:rsidP="00903041">
            <w:pPr>
              <w:pStyle w:val="NoSpacing"/>
              <w:jc w:val="center"/>
            </w:pPr>
            <w:r>
              <w:t>0.00</w:t>
            </w:r>
          </w:p>
        </w:tc>
      </w:tr>
      <w:tr w:rsidR="00FB78FB" w:rsidRPr="004B404C" w14:paraId="0D01B4BE" w14:textId="77777777" w:rsidTr="000C3AF2">
        <w:tc>
          <w:tcPr>
            <w:tcW w:w="4135" w:type="dxa"/>
          </w:tcPr>
          <w:p w14:paraId="4A5E44B2" w14:textId="77777777" w:rsidR="00FB78FB" w:rsidRPr="004B404C" w:rsidRDefault="00FB78FB" w:rsidP="00903041">
            <w:pPr>
              <w:pStyle w:val="NoSpacing"/>
            </w:pPr>
            <w:r w:rsidRPr="004B404C">
              <w:t>Constant</w:t>
            </w:r>
          </w:p>
        </w:tc>
        <w:tc>
          <w:tcPr>
            <w:tcW w:w="990" w:type="dxa"/>
          </w:tcPr>
          <w:p w14:paraId="1D7E2DD8" w14:textId="5175D794" w:rsidR="00FB78FB" w:rsidRPr="004B404C" w:rsidRDefault="00FB78FB" w:rsidP="00903041">
            <w:pPr>
              <w:pStyle w:val="NoSpacing"/>
              <w:jc w:val="center"/>
            </w:pPr>
            <w:r>
              <w:t>1.73</w:t>
            </w:r>
          </w:p>
        </w:tc>
        <w:tc>
          <w:tcPr>
            <w:tcW w:w="1350" w:type="dxa"/>
          </w:tcPr>
          <w:p w14:paraId="0CB16E65" w14:textId="210F9CAD" w:rsidR="00FB78FB" w:rsidRPr="004B404C" w:rsidRDefault="00FB78FB" w:rsidP="00903041">
            <w:pPr>
              <w:pStyle w:val="NoSpacing"/>
              <w:jc w:val="center"/>
            </w:pPr>
            <w:r>
              <w:t>0.95</w:t>
            </w:r>
          </w:p>
        </w:tc>
        <w:tc>
          <w:tcPr>
            <w:tcW w:w="900" w:type="dxa"/>
          </w:tcPr>
          <w:p w14:paraId="0DE4D1A4" w14:textId="6C7A1A37" w:rsidR="00FB78FB" w:rsidRPr="004B404C" w:rsidRDefault="00FB78FB" w:rsidP="00903041">
            <w:pPr>
              <w:pStyle w:val="NoSpacing"/>
              <w:jc w:val="center"/>
            </w:pPr>
            <w:r>
              <w:t>0.07</w:t>
            </w:r>
          </w:p>
        </w:tc>
        <w:tc>
          <w:tcPr>
            <w:tcW w:w="720" w:type="dxa"/>
          </w:tcPr>
          <w:p w14:paraId="1E4B35DB" w14:textId="0B20D909" w:rsidR="00FB78FB" w:rsidRPr="004B404C" w:rsidRDefault="00FB78FB" w:rsidP="00903041">
            <w:pPr>
              <w:pStyle w:val="NoSpacing"/>
              <w:jc w:val="center"/>
            </w:pPr>
            <w:r>
              <w:t>1.97</w:t>
            </w:r>
          </w:p>
        </w:tc>
        <w:tc>
          <w:tcPr>
            <w:tcW w:w="1368" w:type="dxa"/>
          </w:tcPr>
          <w:p w14:paraId="465DCBA7" w14:textId="684713CC" w:rsidR="00FB78FB" w:rsidRPr="004B404C" w:rsidRDefault="00C81F48" w:rsidP="00903041">
            <w:pPr>
              <w:pStyle w:val="NoSpacing"/>
              <w:jc w:val="center"/>
            </w:pPr>
            <w:r>
              <w:t>0.94</w:t>
            </w:r>
          </w:p>
        </w:tc>
        <w:tc>
          <w:tcPr>
            <w:tcW w:w="0" w:type="auto"/>
          </w:tcPr>
          <w:p w14:paraId="175AAF3F" w14:textId="46628CAA" w:rsidR="00FB78FB" w:rsidRPr="004B404C" w:rsidRDefault="00F41C04" w:rsidP="00903041">
            <w:pPr>
              <w:pStyle w:val="NoSpacing"/>
              <w:jc w:val="center"/>
            </w:pPr>
            <w:r>
              <w:t>0.04</w:t>
            </w:r>
          </w:p>
        </w:tc>
      </w:tr>
      <w:tr w:rsidR="00FB78FB" w:rsidRPr="004B404C" w14:paraId="3C7739FE" w14:textId="77777777" w:rsidTr="000C3AF2">
        <w:tc>
          <w:tcPr>
            <w:tcW w:w="4135" w:type="dxa"/>
          </w:tcPr>
          <w:p w14:paraId="157FA0FC" w14:textId="77777777" w:rsidR="00FB78FB" w:rsidRPr="004B404C" w:rsidRDefault="00FB78FB" w:rsidP="00903041">
            <w:pPr>
              <w:pStyle w:val="NoSpacing"/>
            </w:pPr>
            <w:r w:rsidRPr="004B404C">
              <w:t>Pseudo-R-squared</w:t>
            </w:r>
          </w:p>
        </w:tc>
        <w:tc>
          <w:tcPr>
            <w:tcW w:w="990" w:type="dxa"/>
          </w:tcPr>
          <w:p w14:paraId="5C4FB3B8" w14:textId="77777777" w:rsidR="00FB78FB" w:rsidRPr="004B404C" w:rsidRDefault="00FB78FB" w:rsidP="00903041">
            <w:pPr>
              <w:pStyle w:val="NoSpacing"/>
              <w:jc w:val="center"/>
            </w:pPr>
          </w:p>
        </w:tc>
        <w:tc>
          <w:tcPr>
            <w:tcW w:w="1350" w:type="dxa"/>
          </w:tcPr>
          <w:p w14:paraId="78AE8151" w14:textId="14F013FD" w:rsidR="00FB78FB" w:rsidRPr="004B404C" w:rsidRDefault="00FB78FB" w:rsidP="00903041">
            <w:pPr>
              <w:pStyle w:val="NoSpacing"/>
              <w:jc w:val="center"/>
            </w:pPr>
            <w:r>
              <w:t>0.59</w:t>
            </w:r>
          </w:p>
        </w:tc>
        <w:tc>
          <w:tcPr>
            <w:tcW w:w="900" w:type="dxa"/>
          </w:tcPr>
          <w:p w14:paraId="59A3FAB5" w14:textId="77777777" w:rsidR="00FB78FB" w:rsidRPr="004B404C" w:rsidRDefault="00FB78FB" w:rsidP="00903041">
            <w:pPr>
              <w:pStyle w:val="NoSpacing"/>
              <w:jc w:val="center"/>
            </w:pPr>
          </w:p>
        </w:tc>
        <w:tc>
          <w:tcPr>
            <w:tcW w:w="720" w:type="dxa"/>
          </w:tcPr>
          <w:p w14:paraId="02D5DC62" w14:textId="77777777" w:rsidR="00FB78FB" w:rsidRPr="004B404C" w:rsidRDefault="00FB78FB" w:rsidP="00903041">
            <w:pPr>
              <w:pStyle w:val="NoSpacing"/>
              <w:jc w:val="center"/>
            </w:pPr>
          </w:p>
        </w:tc>
        <w:tc>
          <w:tcPr>
            <w:tcW w:w="1368" w:type="dxa"/>
          </w:tcPr>
          <w:p w14:paraId="61743AEB" w14:textId="38E0C10F" w:rsidR="00FB78FB" w:rsidRPr="004B404C" w:rsidRDefault="00C81F48" w:rsidP="00903041">
            <w:pPr>
              <w:pStyle w:val="NoSpacing"/>
              <w:jc w:val="center"/>
            </w:pPr>
            <w:r>
              <w:t>0.58</w:t>
            </w:r>
          </w:p>
        </w:tc>
        <w:tc>
          <w:tcPr>
            <w:tcW w:w="0" w:type="auto"/>
          </w:tcPr>
          <w:p w14:paraId="430546BB" w14:textId="77777777" w:rsidR="00FB78FB" w:rsidRPr="004B404C" w:rsidRDefault="00FB78FB" w:rsidP="00903041">
            <w:pPr>
              <w:pStyle w:val="NoSpacing"/>
              <w:jc w:val="center"/>
            </w:pPr>
          </w:p>
        </w:tc>
      </w:tr>
      <w:tr w:rsidR="00FB78FB" w:rsidRPr="004B404C" w14:paraId="02BDA332" w14:textId="77777777" w:rsidTr="000C3AF2">
        <w:tc>
          <w:tcPr>
            <w:tcW w:w="4135" w:type="dxa"/>
          </w:tcPr>
          <w:p w14:paraId="44F898BE" w14:textId="77777777" w:rsidR="00FB78FB" w:rsidRPr="004B404C" w:rsidRDefault="00FB78FB" w:rsidP="00903041">
            <w:pPr>
              <w:pStyle w:val="NoSpacing"/>
            </w:pPr>
            <w:r w:rsidRPr="004B404C">
              <w:t>Multicollinearity condition number</w:t>
            </w:r>
          </w:p>
        </w:tc>
        <w:tc>
          <w:tcPr>
            <w:tcW w:w="990" w:type="dxa"/>
          </w:tcPr>
          <w:p w14:paraId="10089834" w14:textId="77777777" w:rsidR="00FB78FB" w:rsidRPr="004B404C" w:rsidRDefault="00FB78FB" w:rsidP="00903041">
            <w:pPr>
              <w:pStyle w:val="NoSpacing"/>
              <w:jc w:val="center"/>
            </w:pPr>
          </w:p>
        </w:tc>
        <w:tc>
          <w:tcPr>
            <w:tcW w:w="1350" w:type="dxa"/>
          </w:tcPr>
          <w:p w14:paraId="34C3BAF0" w14:textId="074ADBD3" w:rsidR="00FB78FB" w:rsidRPr="004B404C" w:rsidRDefault="00FB78FB" w:rsidP="00903041">
            <w:pPr>
              <w:pStyle w:val="NoSpacing"/>
              <w:jc w:val="center"/>
            </w:pPr>
            <w:r>
              <w:t>9.36</w:t>
            </w:r>
          </w:p>
        </w:tc>
        <w:tc>
          <w:tcPr>
            <w:tcW w:w="900" w:type="dxa"/>
          </w:tcPr>
          <w:p w14:paraId="53E75DEE" w14:textId="77777777" w:rsidR="00FB78FB" w:rsidRPr="004B404C" w:rsidRDefault="00FB78FB" w:rsidP="00903041">
            <w:pPr>
              <w:pStyle w:val="NoSpacing"/>
              <w:jc w:val="center"/>
            </w:pPr>
          </w:p>
        </w:tc>
        <w:tc>
          <w:tcPr>
            <w:tcW w:w="720" w:type="dxa"/>
          </w:tcPr>
          <w:p w14:paraId="6E0B5E02" w14:textId="77777777" w:rsidR="00FB78FB" w:rsidRPr="004B404C" w:rsidRDefault="00FB78FB" w:rsidP="00903041">
            <w:pPr>
              <w:pStyle w:val="NoSpacing"/>
              <w:jc w:val="center"/>
            </w:pPr>
          </w:p>
        </w:tc>
        <w:tc>
          <w:tcPr>
            <w:tcW w:w="1368" w:type="dxa"/>
          </w:tcPr>
          <w:p w14:paraId="452257CE" w14:textId="7DC12C05" w:rsidR="00FB78FB" w:rsidRPr="004B404C" w:rsidRDefault="00C81F48" w:rsidP="00903041">
            <w:pPr>
              <w:pStyle w:val="NoSpacing"/>
              <w:jc w:val="center"/>
            </w:pPr>
            <w:r>
              <w:t>9.25</w:t>
            </w:r>
          </w:p>
        </w:tc>
        <w:tc>
          <w:tcPr>
            <w:tcW w:w="0" w:type="auto"/>
          </w:tcPr>
          <w:p w14:paraId="518F5506" w14:textId="77777777" w:rsidR="00FB78FB" w:rsidRPr="004B404C" w:rsidRDefault="00FB78FB" w:rsidP="00903041">
            <w:pPr>
              <w:pStyle w:val="NoSpacing"/>
              <w:jc w:val="center"/>
            </w:pPr>
          </w:p>
        </w:tc>
      </w:tr>
      <w:tr w:rsidR="00FB78FB" w:rsidRPr="004B404C" w14:paraId="520E84FB" w14:textId="77777777" w:rsidTr="000C3AF2">
        <w:tc>
          <w:tcPr>
            <w:tcW w:w="4135" w:type="dxa"/>
          </w:tcPr>
          <w:p w14:paraId="402A6ABD" w14:textId="77777777" w:rsidR="00FB78FB" w:rsidRPr="004B404C" w:rsidRDefault="00FB78FB" w:rsidP="00903041">
            <w:pPr>
              <w:pStyle w:val="NoSpacing"/>
            </w:pPr>
            <w:r w:rsidRPr="004B404C">
              <w:t>S.E. of Regression</w:t>
            </w:r>
          </w:p>
        </w:tc>
        <w:tc>
          <w:tcPr>
            <w:tcW w:w="990" w:type="dxa"/>
          </w:tcPr>
          <w:p w14:paraId="364DA9A2" w14:textId="77777777" w:rsidR="00FB78FB" w:rsidRPr="004B404C" w:rsidRDefault="00FB78FB" w:rsidP="00903041">
            <w:pPr>
              <w:pStyle w:val="NoSpacing"/>
              <w:jc w:val="center"/>
            </w:pPr>
          </w:p>
        </w:tc>
        <w:tc>
          <w:tcPr>
            <w:tcW w:w="1350" w:type="dxa"/>
          </w:tcPr>
          <w:p w14:paraId="5C717594" w14:textId="4D5C1B88" w:rsidR="00FB78FB" w:rsidRPr="004B404C" w:rsidRDefault="00FB78FB" w:rsidP="00903041">
            <w:pPr>
              <w:pStyle w:val="NoSpacing"/>
              <w:jc w:val="center"/>
            </w:pPr>
            <w:r>
              <w:t>1.91</w:t>
            </w:r>
          </w:p>
        </w:tc>
        <w:tc>
          <w:tcPr>
            <w:tcW w:w="900" w:type="dxa"/>
          </w:tcPr>
          <w:p w14:paraId="07B8A4C8" w14:textId="77777777" w:rsidR="00FB78FB" w:rsidRPr="004B404C" w:rsidRDefault="00FB78FB" w:rsidP="00903041">
            <w:pPr>
              <w:pStyle w:val="NoSpacing"/>
              <w:jc w:val="center"/>
            </w:pPr>
          </w:p>
        </w:tc>
        <w:tc>
          <w:tcPr>
            <w:tcW w:w="720" w:type="dxa"/>
          </w:tcPr>
          <w:p w14:paraId="5196435A" w14:textId="77777777" w:rsidR="00FB78FB" w:rsidRPr="004B404C" w:rsidRDefault="00FB78FB" w:rsidP="00903041">
            <w:pPr>
              <w:pStyle w:val="NoSpacing"/>
              <w:jc w:val="center"/>
            </w:pPr>
          </w:p>
        </w:tc>
        <w:tc>
          <w:tcPr>
            <w:tcW w:w="1368" w:type="dxa"/>
          </w:tcPr>
          <w:p w14:paraId="0CA2C477" w14:textId="48C29103" w:rsidR="00FB78FB" w:rsidRPr="004B404C" w:rsidRDefault="00C81F48" w:rsidP="00903041">
            <w:pPr>
              <w:pStyle w:val="NoSpacing"/>
              <w:jc w:val="center"/>
            </w:pPr>
            <w:r>
              <w:t>1.92</w:t>
            </w:r>
          </w:p>
        </w:tc>
        <w:tc>
          <w:tcPr>
            <w:tcW w:w="0" w:type="auto"/>
          </w:tcPr>
          <w:p w14:paraId="5B57CADE" w14:textId="77777777" w:rsidR="00FB78FB" w:rsidRPr="004B404C" w:rsidRDefault="00FB78FB" w:rsidP="00903041">
            <w:pPr>
              <w:pStyle w:val="NoSpacing"/>
              <w:jc w:val="center"/>
            </w:pPr>
          </w:p>
        </w:tc>
      </w:tr>
    </w:tbl>
    <w:p w14:paraId="26C203D0" w14:textId="77777777" w:rsidR="00FB78FB" w:rsidRPr="00A47C56" w:rsidRDefault="00FB78FB" w:rsidP="0078697C">
      <w:pPr>
        <w:pStyle w:val="NoSpacing"/>
      </w:pPr>
    </w:p>
    <w:p w14:paraId="130A1A93" w14:textId="77777777" w:rsidR="00A47C56" w:rsidRPr="00A47C56" w:rsidRDefault="00A47C56" w:rsidP="00A47C56">
      <w:pPr>
        <w:rPr>
          <w:rFonts w:cstheme="minorHAnsi"/>
          <w:sz w:val="24"/>
          <w:szCs w:val="24"/>
        </w:rPr>
      </w:pPr>
      <w:r w:rsidRPr="00A47C56">
        <w:rPr>
          <w:rFonts w:cstheme="minorHAnsi"/>
          <w:sz w:val="24"/>
          <w:szCs w:val="24"/>
        </w:rPr>
        <w:t>To summarize, on-premise alcohol outlet density was positively and significantly associated with density of thefts from vehicles for both Milwaukee and Indianapolis. Off-premise alcohol outlet density was positively and significantly associated with density of thefts from vehicles only in Indianapolis, and results suggested a possible marginal association between off-premise alcohol outlet density and thefts from vehicles density in Milwaukee. Both on- and off-premise alcohol outlet densities were associated with vandalism of property in Milwaukee but neither in Indianapolis. This difference across the two cities may be due to the fact that the density of off-premise alcohol outlets for Milwaukee was (1) more than 2.5 times higher than in Indianapolis and (2) identical to on-premise alcohol outlet density in Indianapolis. This suggests a nonlinear threshold effect of off-premise alcohol outlet density on property crimes that deserves further explanation.</w:t>
      </w:r>
    </w:p>
    <w:p w14:paraId="05AA2C6F" w14:textId="001780E3" w:rsidR="00A47C56" w:rsidRPr="00A47C56" w:rsidRDefault="00A47C56" w:rsidP="00A47C56">
      <w:pPr>
        <w:rPr>
          <w:rFonts w:cstheme="minorHAnsi"/>
          <w:sz w:val="24"/>
          <w:szCs w:val="24"/>
        </w:rPr>
      </w:pPr>
      <w:r w:rsidRPr="00A47C56">
        <w:rPr>
          <w:rFonts w:cstheme="minorHAnsi"/>
          <w:sz w:val="24"/>
          <w:szCs w:val="24"/>
        </w:rPr>
        <w:t>To test for the possibility that social disorganization moderates the impact of alcohol outlet density on non-violent crimes, we estimated interaction models. Table A3 shows results when thefts from vehicles density were regressed on social disorganization interaction terms, alcohol outlet types, and control variables for Indianapolis census block groups. The results shown in Model 5 show social disorganization moderated the relationship between on-premise alcohol outlet density and thefts from vehicles in Indianapolis (</w:t>
      </w:r>
      <w:r w:rsidRPr="00A47C56">
        <w:rPr>
          <w:rFonts w:cstheme="minorHAnsi"/>
          <w:i/>
          <w:iCs/>
          <w:sz w:val="24"/>
          <w:szCs w:val="24"/>
        </w:rPr>
        <w:t>b</w:t>
      </w:r>
      <w:r w:rsidRPr="00A47C56">
        <w:rPr>
          <w:rFonts w:cstheme="minorHAnsi"/>
          <w:sz w:val="24"/>
          <w:szCs w:val="24"/>
        </w:rPr>
        <w:t xml:space="preserve"> = −0.04, </w:t>
      </w:r>
      <w:r w:rsidRPr="00A47C56">
        <w:rPr>
          <w:rFonts w:cstheme="minorHAnsi"/>
          <w:i/>
          <w:iCs/>
          <w:sz w:val="24"/>
          <w:szCs w:val="24"/>
        </w:rPr>
        <w:t>p</w:t>
      </w:r>
      <w:r w:rsidRPr="00A47C56">
        <w:rPr>
          <w:rFonts w:cstheme="minorHAnsi"/>
          <w:sz w:val="24"/>
          <w:szCs w:val="24"/>
        </w:rPr>
        <w:t> = 0.03), but in the opposite direction from that found by Pridemore and Grubesic (</w:t>
      </w:r>
      <w:hyperlink r:id="rId121" w:history="1">
        <w:r w:rsidR="00FB78FB">
          <w:rPr>
            <w:rStyle w:val="Hyperlink"/>
            <w:rFonts w:cstheme="minorHAnsi"/>
            <w:sz w:val="24"/>
            <w:szCs w:val="24"/>
          </w:rPr>
          <w:t>.0</w:t>
        </w:r>
      </w:hyperlink>
      <w:r w:rsidRPr="00A47C56">
        <w:rPr>
          <w:rFonts w:cstheme="minorHAnsi"/>
          <w:sz w:val="24"/>
          <w:szCs w:val="24"/>
        </w:rPr>
        <w:t>). Social disorganization did not moderate the effect of off-premise alcohol outlet density on thefts from vehicles in Indianapolis (</w:t>
      </w:r>
      <w:r w:rsidRPr="00A47C56">
        <w:rPr>
          <w:rFonts w:cstheme="minorHAnsi"/>
          <w:i/>
          <w:iCs/>
          <w:sz w:val="24"/>
          <w:szCs w:val="24"/>
        </w:rPr>
        <w:t>b</w:t>
      </w:r>
      <w:r w:rsidRPr="00A47C56">
        <w:rPr>
          <w:rFonts w:cstheme="minorHAnsi"/>
          <w:sz w:val="24"/>
          <w:szCs w:val="24"/>
        </w:rPr>
        <w:t xml:space="preserve"> = 0.03, </w:t>
      </w:r>
      <w:r w:rsidRPr="00A47C56">
        <w:rPr>
          <w:rFonts w:cstheme="minorHAnsi"/>
          <w:i/>
          <w:iCs/>
          <w:sz w:val="24"/>
          <w:szCs w:val="24"/>
        </w:rPr>
        <w:t>p</w:t>
      </w:r>
      <w:r w:rsidRPr="00A47C56">
        <w:rPr>
          <w:rFonts w:cstheme="minorHAnsi"/>
          <w:sz w:val="24"/>
          <w:szCs w:val="24"/>
        </w:rPr>
        <w:t> = 0.38), as seen in Model 6.</w:t>
      </w:r>
    </w:p>
    <w:p w14:paraId="6C77462F" w14:textId="77777777" w:rsidR="00A47C56" w:rsidRPr="000C3AF2" w:rsidRDefault="00A47C56" w:rsidP="0031097D">
      <w:pPr>
        <w:pStyle w:val="NoSpacing"/>
        <w:rPr>
          <w:sz w:val="24"/>
          <w:szCs w:val="24"/>
        </w:rPr>
      </w:pPr>
      <w:r w:rsidRPr="000C3AF2">
        <w:rPr>
          <w:sz w:val="24"/>
          <w:szCs w:val="24"/>
        </w:rPr>
        <w:t>Table A3. Spatial lag regression for thefts from vehicles density regressed on social disorganization interaction terms, alcohol outlet types, and control variables for Indianapolis (</w:t>
      </w:r>
      <w:r w:rsidRPr="000C3AF2">
        <w:rPr>
          <w:i/>
          <w:iCs/>
          <w:sz w:val="24"/>
          <w:szCs w:val="24"/>
        </w:rPr>
        <w:t>N</w:t>
      </w:r>
      <w:r w:rsidRPr="000C3AF2">
        <w:rPr>
          <w:sz w:val="24"/>
          <w:szCs w:val="24"/>
        </w:rPr>
        <w:t> = 289) block groups.</w:t>
      </w:r>
    </w:p>
    <w:tbl>
      <w:tblPr>
        <w:tblStyle w:val="TableGrid"/>
        <w:tblW w:w="0" w:type="auto"/>
        <w:tblLook w:val="04A0" w:firstRow="1" w:lastRow="0" w:firstColumn="1" w:lastColumn="0" w:noHBand="0" w:noVBand="1"/>
      </w:tblPr>
      <w:tblGrid>
        <w:gridCol w:w="4315"/>
        <w:gridCol w:w="900"/>
        <w:gridCol w:w="1350"/>
        <w:gridCol w:w="720"/>
        <w:gridCol w:w="810"/>
        <w:gridCol w:w="1368"/>
        <w:gridCol w:w="607"/>
      </w:tblGrid>
      <w:tr w:rsidR="0031097D" w14:paraId="1232FE88" w14:textId="77777777" w:rsidTr="000C3AF2">
        <w:tc>
          <w:tcPr>
            <w:tcW w:w="4315" w:type="dxa"/>
          </w:tcPr>
          <w:p w14:paraId="1FAF38ED" w14:textId="77777777" w:rsidR="0031097D" w:rsidRDefault="0031097D" w:rsidP="00903041">
            <w:pPr>
              <w:pStyle w:val="NoSpacing"/>
            </w:pPr>
          </w:p>
        </w:tc>
        <w:tc>
          <w:tcPr>
            <w:tcW w:w="900" w:type="dxa"/>
          </w:tcPr>
          <w:p w14:paraId="20279006" w14:textId="77777777" w:rsidR="0031097D" w:rsidRDefault="0031097D" w:rsidP="00903041">
            <w:pPr>
              <w:pStyle w:val="NoSpacing"/>
              <w:jc w:val="center"/>
            </w:pPr>
          </w:p>
        </w:tc>
        <w:tc>
          <w:tcPr>
            <w:tcW w:w="1350" w:type="dxa"/>
          </w:tcPr>
          <w:p w14:paraId="28CD0B4D" w14:textId="77777777" w:rsidR="0031097D" w:rsidRDefault="0031097D" w:rsidP="00903041">
            <w:pPr>
              <w:pStyle w:val="NoSpacing"/>
              <w:jc w:val="center"/>
            </w:pPr>
            <w:r>
              <w:t>Model 3: On-premise</w:t>
            </w:r>
          </w:p>
        </w:tc>
        <w:tc>
          <w:tcPr>
            <w:tcW w:w="720" w:type="dxa"/>
          </w:tcPr>
          <w:p w14:paraId="5D3749A2" w14:textId="77777777" w:rsidR="0031097D" w:rsidRDefault="0031097D" w:rsidP="00903041">
            <w:pPr>
              <w:pStyle w:val="NoSpacing"/>
              <w:jc w:val="center"/>
            </w:pPr>
          </w:p>
        </w:tc>
        <w:tc>
          <w:tcPr>
            <w:tcW w:w="810" w:type="dxa"/>
          </w:tcPr>
          <w:p w14:paraId="2D10C2B0" w14:textId="77777777" w:rsidR="0031097D" w:rsidRDefault="0031097D" w:rsidP="00903041">
            <w:pPr>
              <w:pStyle w:val="NoSpacing"/>
              <w:jc w:val="center"/>
            </w:pPr>
          </w:p>
        </w:tc>
        <w:tc>
          <w:tcPr>
            <w:tcW w:w="1368" w:type="dxa"/>
          </w:tcPr>
          <w:p w14:paraId="7709B6EC" w14:textId="77777777" w:rsidR="0031097D" w:rsidRDefault="0031097D" w:rsidP="00903041">
            <w:pPr>
              <w:pStyle w:val="NoSpacing"/>
              <w:jc w:val="center"/>
            </w:pPr>
            <w:r>
              <w:t>Model 4: Off-premise</w:t>
            </w:r>
          </w:p>
        </w:tc>
        <w:tc>
          <w:tcPr>
            <w:tcW w:w="0" w:type="auto"/>
          </w:tcPr>
          <w:p w14:paraId="4ABB6588" w14:textId="77777777" w:rsidR="0031097D" w:rsidRDefault="0031097D" w:rsidP="00903041">
            <w:pPr>
              <w:pStyle w:val="NoSpacing"/>
              <w:jc w:val="center"/>
            </w:pPr>
          </w:p>
        </w:tc>
      </w:tr>
      <w:tr w:rsidR="0031097D" w14:paraId="52D886B7" w14:textId="77777777" w:rsidTr="000C3AF2">
        <w:tc>
          <w:tcPr>
            <w:tcW w:w="4315" w:type="dxa"/>
          </w:tcPr>
          <w:p w14:paraId="495B5F01" w14:textId="77777777" w:rsidR="0031097D" w:rsidRDefault="0031097D" w:rsidP="00903041">
            <w:pPr>
              <w:pStyle w:val="NoSpacing"/>
            </w:pPr>
          </w:p>
        </w:tc>
        <w:tc>
          <w:tcPr>
            <w:tcW w:w="900" w:type="dxa"/>
          </w:tcPr>
          <w:p w14:paraId="51587AA9" w14:textId="77777777" w:rsidR="0031097D" w:rsidRDefault="0031097D" w:rsidP="00903041">
            <w:pPr>
              <w:pStyle w:val="NoSpacing"/>
              <w:jc w:val="center"/>
            </w:pPr>
            <w:r>
              <w:t>b</w:t>
            </w:r>
          </w:p>
        </w:tc>
        <w:tc>
          <w:tcPr>
            <w:tcW w:w="1350" w:type="dxa"/>
          </w:tcPr>
          <w:p w14:paraId="4A66824E" w14:textId="77777777" w:rsidR="0031097D" w:rsidRDefault="0031097D" w:rsidP="00903041">
            <w:pPr>
              <w:pStyle w:val="NoSpacing"/>
              <w:jc w:val="center"/>
            </w:pPr>
            <w:r>
              <w:t>se</w:t>
            </w:r>
          </w:p>
        </w:tc>
        <w:tc>
          <w:tcPr>
            <w:tcW w:w="720" w:type="dxa"/>
          </w:tcPr>
          <w:p w14:paraId="59A1CD2A" w14:textId="77777777" w:rsidR="0031097D" w:rsidRPr="00F935F6" w:rsidRDefault="0031097D" w:rsidP="00903041">
            <w:pPr>
              <w:pStyle w:val="NoSpacing"/>
              <w:jc w:val="center"/>
              <w:rPr>
                <w:i/>
                <w:iCs/>
              </w:rPr>
            </w:pPr>
            <w:r>
              <w:rPr>
                <w:i/>
                <w:iCs/>
              </w:rPr>
              <w:t>p</w:t>
            </w:r>
          </w:p>
        </w:tc>
        <w:tc>
          <w:tcPr>
            <w:tcW w:w="810" w:type="dxa"/>
          </w:tcPr>
          <w:p w14:paraId="2F48B480" w14:textId="77777777" w:rsidR="0031097D" w:rsidRDefault="0031097D" w:rsidP="00903041">
            <w:pPr>
              <w:pStyle w:val="NoSpacing"/>
              <w:jc w:val="center"/>
            </w:pPr>
            <w:r>
              <w:t>b</w:t>
            </w:r>
          </w:p>
        </w:tc>
        <w:tc>
          <w:tcPr>
            <w:tcW w:w="1368" w:type="dxa"/>
          </w:tcPr>
          <w:p w14:paraId="13417017" w14:textId="77777777" w:rsidR="0031097D" w:rsidRDefault="0031097D" w:rsidP="00903041">
            <w:pPr>
              <w:pStyle w:val="NoSpacing"/>
              <w:jc w:val="center"/>
            </w:pPr>
            <w:r>
              <w:t>Se</w:t>
            </w:r>
          </w:p>
        </w:tc>
        <w:tc>
          <w:tcPr>
            <w:tcW w:w="0" w:type="auto"/>
          </w:tcPr>
          <w:p w14:paraId="5075D0CF" w14:textId="77777777" w:rsidR="0031097D" w:rsidRPr="00F935F6" w:rsidRDefault="0031097D" w:rsidP="00903041">
            <w:pPr>
              <w:pStyle w:val="NoSpacing"/>
              <w:jc w:val="center"/>
              <w:rPr>
                <w:i/>
                <w:iCs/>
              </w:rPr>
            </w:pPr>
            <w:r>
              <w:rPr>
                <w:i/>
                <w:iCs/>
              </w:rPr>
              <w:t>p</w:t>
            </w:r>
          </w:p>
        </w:tc>
      </w:tr>
      <w:tr w:rsidR="0031097D" w14:paraId="08FEB1D5" w14:textId="77777777" w:rsidTr="000C3AF2">
        <w:tc>
          <w:tcPr>
            <w:tcW w:w="4315" w:type="dxa"/>
          </w:tcPr>
          <w:p w14:paraId="57B4FB70" w14:textId="77777777" w:rsidR="0031097D" w:rsidRDefault="0031097D" w:rsidP="00903041">
            <w:pPr>
              <w:pStyle w:val="NoSpacing"/>
            </w:pPr>
            <w:r>
              <w:t>On x social disorganization</w:t>
            </w:r>
          </w:p>
        </w:tc>
        <w:tc>
          <w:tcPr>
            <w:tcW w:w="900" w:type="dxa"/>
          </w:tcPr>
          <w:p w14:paraId="551ED32D" w14:textId="37F09073" w:rsidR="0031097D" w:rsidRDefault="005B0873" w:rsidP="00903041">
            <w:pPr>
              <w:pStyle w:val="NoSpacing"/>
              <w:jc w:val="center"/>
            </w:pPr>
            <w:r>
              <w:t>-0.04</w:t>
            </w:r>
          </w:p>
        </w:tc>
        <w:tc>
          <w:tcPr>
            <w:tcW w:w="1350" w:type="dxa"/>
          </w:tcPr>
          <w:p w14:paraId="1A9836DF" w14:textId="7DF9867C" w:rsidR="0031097D" w:rsidRDefault="005B0873" w:rsidP="00903041">
            <w:pPr>
              <w:pStyle w:val="NoSpacing"/>
              <w:jc w:val="center"/>
            </w:pPr>
            <w:r>
              <w:t>0.02</w:t>
            </w:r>
          </w:p>
        </w:tc>
        <w:tc>
          <w:tcPr>
            <w:tcW w:w="720" w:type="dxa"/>
          </w:tcPr>
          <w:p w14:paraId="5C7DD477" w14:textId="185694C2" w:rsidR="0031097D" w:rsidRDefault="005B0873" w:rsidP="00903041">
            <w:pPr>
              <w:pStyle w:val="NoSpacing"/>
              <w:jc w:val="center"/>
            </w:pPr>
            <w:r>
              <w:t>0.03</w:t>
            </w:r>
          </w:p>
        </w:tc>
        <w:tc>
          <w:tcPr>
            <w:tcW w:w="810" w:type="dxa"/>
          </w:tcPr>
          <w:p w14:paraId="624CAFB2" w14:textId="77777777" w:rsidR="0031097D" w:rsidRDefault="0031097D" w:rsidP="00903041">
            <w:pPr>
              <w:pStyle w:val="NoSpacing"/>
              <w:jc w:val="center"/>
            </w:pPr>
            <w:r>
              <w:t>-</w:t>
            </w:r>
          </w:p>
        </w:tc>
        <w:tc>
          <w:tcPr>
            <w:tcW w:w="1368" w:type="dxa"/>
          </w:tcPr>
          <w:p w14:paraId="32FD3108" w14:textId="77777777" w:rsidR="0031097D" w:rsidRDefault="0031097D" w:rsidP="00903041">
            <w:pPr>
              <w:pStyle w:val="NoSpacing"/>
              <w:jc w:val="center"/>
            </w:pPr>
            <w:r>
              <w:t>-</w:t>
            </w:r>
          </w:p>
        </w:tc>
        <w:tc>
          <w:tcPr>
            <w:tcW w:w="0" w:type="auto"/>
          </w:tcPr>
          <w:p w14:paraId="364ED2ED" w14:textId="77777777" w:rsidR="0031097D" w:rsidRDefault="0031097D" w:rsidP="00903041">
            <w:pPr>
              <w:pStyle w:val="NoSpacing"/>
              <w:jc w:val="center"/>
            </w:pPr>
            <w:r>
              <w:t>-</w:t>
            </w:r>
          </w:p>
        </w:tc>
      </w:tr>
      <w:tr w:rsidR="0031097D" w14:paraId="763B5FAC" w14:textId="77777777" w:rsidTr="000C3AF2">
        <w:tc>
          <w:tcPr>
            <w:tcW w:w="4315" w:type="dxa"/>
          </w:tcPr>
          <w:p w14:paraId="2DF8E2CA" w14:textId="77777777" w:rsidR="0031097D" w:rsidRDefault="0031097D" w:rsidP="00903041">
            <w:pPr>
              <w:pStyle w:val="NoSpacing"/>
            </w:pPr>
            <w:r>
              <w:t>Off x social disorganization</w:t>
            </w:r>
          </w:p>
        </w:tc>
        <w:tc>
          <w:tcPr>
            <w:tcW w:w="900" w:type="dxa"/>
          </w:tcPr>
          <w:p w14:paraId="402131E1" w14:textId="77777777" w:rsidR="0031097D" w:rsidRDefault="0031097D" w:rsidP="00903041">
            <w:pPr>
              <w:pStyle w:val="NoSpacing"/>
              <w:jc w:val="center"/>
            </w:pPr>
            <w:r>
              <w:t>-</w:t>
            </w:r>
          </w:p>
        </w:tc>
        <w:tc>
          <w:tcPr>
            <w:tcW w:w="1350" w:type="dxa"/>
          </w:tcPr>
          <w:p w14:paraId="54835E0D" w14:textId="77777777" w:rsidR="0031097D" w:rsidRDefault="0031097D" w:rsidP="00903041">
            <w:pPr>
              <w:pStyle w:val="NoSpacing"/>
              <w:jc w:val="center"/>
            </w:pPr>
            <w:r>
              <w:t>-</w:t>
            </w:r>
          </w:p>
        </w:tc>
        <w:tc>
          <w:tcPr>
            <w:tcW w:w="720" w:type="dxa"/>
          </w:tcPr>
          <w:p w14:paraId="4EBC0658" w14:textId="77777777" w:rsidR="0031097D" w:rsidRDefault="0031097D" w:rsidP="00903041">
            <w:pPr>
              <w:pStyle w:val="NoSpacing"/>
              <w:jc w:val="center"/>
            </w:pPr>
            <w:r>
              <w:t>-</w:t>
            </w:r>
          </w:p>
        </w:tc>
        <w:tc>
          <w:tcPr>
            <w:tcW w:w="810" w:type="dxa"/>
          </w:tcPr>
          <w:p w14:paraId="1E4C2DD8" w14:textId="794064EE" w:rsidR="0031097D" w:rsidRDefault="005B0873" w:rsidP="00903041">
            <w:pPr>
              <w:pStyle w:val="NoSpacing"/>
              <w:jc w:val="center"/>
            </w:pPr>
            <w:r>
              <w:t>0.03</w:t>
            </w:r>
          </w:p>
        </w:tc>
        <w:tc>
          <w:tcPr>
            <w:tcW w:w="1368" w:type="dxa"/>
          </w:tcPr>
          <w:p w14:paraId="6B878312" w14:textId="302E5AA3" w:rsidR="0031097D" w:rsidRDefault="005B0873" w:rsidP="00903041">
            <w:pPr>
              <w:pStyle w:val="NoSpacing"/>
              <w:jc w:val="center"/>
            </w:pPr>
            <w:r>
              <w:t>0.03</w:t>
            </w:r>
          </w:p>
        </w:tc>
        <w:tc>
          <w:tcPr>
            <w:tcW w:w="0" w:type="auto"/>
          </w:tcPr>
          <w:p w14:paraId="48BC2DF1" w14:textId="2629B415" w:rsidR="0031097D" w:rsidRDefault="005B0873" w:rsidP="00903041">
            <w:pPr>
              <w:pStyle w:val="NoSpacing"/>
              <w:jc w:val="center"/>
            </w:pPr>
            <w:r>
              <w:t>0.38</w:t>
            </w:r>
          </w:p>
        </w:tc>
      </w:tr>
      <w:tr w:rsidR="0031097D" w14:paraId="44215288" w14:textId="77777777" w:rsidTr="000C3AF2">
        <w:tc>
          <w:tcPr>
            <w:tcW w:w="4315" w:type="dxa"/>
          </w:tcPr>
          <w:p w14:paraId="5ED2439E" w14:textId="77777777" w:rsidR="0031097D" w:rsidRPr="00A76919" w:rsidRDefault="0031097D" w:rsidP="00903041">
            <w:pPr>
              <w:pStyle w:val="NoSpacing"/>
            </w:pPr>
            <w:r>
              <w:t>Social disorganization</w:t>
            </w:r>
          </w:p>
        </w:tc>
        <w:tc>
          <w:tcPr>
            <w:tcW w:w="900" w:type="dxa"/>
          </w:tcPr>
          <w:p w14:paraId="4378E13C" w14:textId="1700A73B" w:rsidR="0031097D" w:rsidRDefault="005B0873" w:rsidP="00903041">
            <w:pPr>
              <w:pStyle w:val="NoSpacing"/>
              <w:jc w:val="center"/>
            </w:pPr>
            <w:r>
              <w:t>0.12</w:t>
            </w:r>
          </w:p>
        </w:tc>
        <w:tc>
          <w:tcPr>
            <w:tcW w:w="1350" w:type="dxa"/>
          </w:tcPr>
          <w:p w14:paraId="0F6596AA" w14:textId="30CCBA8E" w:rsidR="0031097D" w:rsidRDefault="005B0873" w:rsidP="00903041">
            <w:pPr>
              <w:pStyle w:val="NoSpacing"/>
              <w:jc w:val="center"/>
            </w:pPr>
            <w:r>
              <w:t>0.05</w:t>
            </w:r>
          </w:p>
        </w:tc>
        <w:tc>
          <w:tcPr>
            <w:tcW w:w="720" w:type="dxa"/>
          </w:tcPr>
          <w:p w14:paraId="47519F65" w14:textId="358E06AF" w:rsidR="0031097D" w:rsidRDefault="005B0873" w:rsidP="00903041">
            <w:pPr>
              <w:pStyle w:val="NoSpacing"/>
              <w:jc w:val="center"/>
            </w:pPr>
            <w:r>
              <w:t>0.02</w:t>
            </w:r>
          </w:p>
        </w:tc>
        <w:tc>
          <w:tcPr>
            <w:tcW w:w="810" w:type="dxa"/>
          </w:tcPr>
          <w:p w14:paraId="215CC2E8" w14:textId="48D25605" w:rsidR="0031097D" w:rsidRDefault="005B0873" w:rsidP="00903041">
            <w:pPr>
              <w:pStyle w:val="NoSpacing"/>
              <w:jc w:val="center"/>
            </w:pPr>
            <w:r>
              <w:t>0.03</w:t>
            </w:r>
          </w:p>
        </w:tc>
        <w:tc>
          <w:tcPr>
            <w:tcW w:w="1368" w:type="dxa"/>
          </w:tcPr>
          <w:p w14:paraId="7EADF041" w14:textId="69A4EA9E" w:rsidR="0031097D" w:rsidRDefault="005B0873" w:rsidP="00903041">
            <w:pPr>
              <w:pStyle w:val="NoSpacing"/>
              <w:jc w:val="center"/>
            </w:pPr>
            <w:r>
              <w:t>0.05</w:t>
            </w:r>
          </w:p>
        </w:tc>
        <w:tc>
          <w:tcPr>
            <w:tcW w:w="0" w:type="auto"/>
          </w:tcPr>
          <w:p w14:paraId="71E6F3BB" w14:textId="70C91ECE" w:rsidR="0031097D" w:rsidRDefault="005B0873" w:rsidP="00903041">
            <w:pPr>
              <w:pStyle w:val="NoSpacing"/>
              <w:jc w:val="center"/>
            </w:pPr>
            <w:r>
              <w:t>0.63</w:t>
            </w:r>
          </w:p>
        </w:tc>
      </w:tr>
      <w:tr w:rsidR="0031097D" w14:paraId="136D1DCE" w14:textId="77777777" w:rsidTr="000C3AF2">
        <w:tc>
          <w:tcPr>
            <w:tcW w:w="4315" w:type="dxa"/>
          </w:tcPr>
          <w:p w14:paraId="4D680026" w14:textId="77777777" w:rsidR="0031097D" w:rsidRDefault="0031097D" w:rsidP="00903041">
            <w:pPr>
              <w:pStyle w:val="NoSpacing"/>
            </w:pPr>
            <w:r>
              <w:t>On-premise density</w:t>
            </w:r>
          </w:p>
        </w:tc>
        <w:tc>
          <w:tcPr>
            <w:tcW w:w="900" w:type="dxa"/>
          </w:tcPr>
          <w:p w14:paraId="29DA9C5B" w14:textId="22B2B5B3" w:rsidR="0031097D" w:rsidRDefault="008D49BA" w:rsidP="00903041">
            <w:pPr>
              <w:pStyle w:val="NoSpacing"/>
              <w:jc w:val="center"/>
            </w:pPr>
            <w:r>
              <w:t>0.36</w:t>
            </w:r>
          </w:p>
        </w:tc>
        <w:tc>
          <w:tcPr>
            <w:tcW w:w="1350" w:type="dxa"/>
          </w:tcPr>
          <w:p w14:paraId="42AD0DC6" w14:textId="2F4922BA" w:rsidR="0031097D" w:rsidRDefault="008D49BA" w:rsidP="00903041">
            <w:pPr>
              <w:pStyle w:val="NoSpacing"/>
              <w:jc w:val="center"/>
            </w:pPr>
            <w:r>
              <w:t>0.06</w:t>
            </w:r>
          </w:p>
        </w:tc>
        <w:tc>
          <w:tcPr>
            <w:tcW w:w="720" w:type="dxa"/>
          </w:tcPr>
          <w:p w14:paraId="03F6400C" w14:textId="27860D14" w:rsidR="0031097D" w:rsidRDefault="008D49BA" w:rsidP="00903041">
            <w:pPr>
              <w:pStyle w:val="NoSpacing"/>
              <w:jc w:val="center"/>
            </w:pPr>
            <w:r>
              <w:t>0.00</w:t>
            </w:r>
          </w:p>
        </w:tc>
        <w:tc>
          <w:tcPr>
            <w:tcW w:w="810" w:type="dxa"/>
          </w:tcPr>
          <w:p w14:paraId="1903BB0B" w14:textId="6E0FBA29" w:rsidR="0031097D" w:rsidRDefault="008D49BA" w:rsidP="00903041">
            <w:pPr>
              <w:pStyle w:val="NoSpacing"/>
              <w:jc w:val="center"/>
            </w:pPr>
            <w:r>
              <w:t>0.33</w:t>
            </w:r>
          </w:p>
        </w:tc>
        <w:tc>
          <w:tcPr>
            <w:tcW w:w="1368" w:type="dxa"/>
          </w:tcPr>
          <w:p w14:paraId="3F2B4EB1" w14:textId="21622F2F" w:rsidR="0031097D" w:rsidRDefault="008D49BA" w:rsidP="00903041">
            <w:pPr>
              <w:pStyle w:val="NoSpacing"/>
              <w:jc w:val="center"/>
            </w:pPr>
            <w:r>
              <w:t>0.06</w:t>
            </w:r>
          </w:p>
        </w:tc>
        <w:tc>
          <w:tcPr>
            <w:tcW w:w="0" w:type="auto"/>
          </w:tcPr>
          <w:p w14:paraId="7B76B0E4" w14:textId="375B2C0E" w:rsidR="0031097D" w:rsidRDefault="008D49BA" w:rsidP="00903041">
            <w:pPr>
              <w:pStyle w:val="NoSpacing"/>
              <w:jc w:val="center"/>
            </w:pPr>
            <w:r>
              <w:t>0.00</w:t>
            </w:r>
          </w:p>
        </w:tc>
      </w:tr>
      <w:tr w:rsidR="0031097D" w14:paraId="05F32505" w14:textId="77777777" w:rsidTr="000C3AF2">
        <w:tc>
          <w:tcPr>
            <w:tcW w:w="4315" w:type="dxa"/>
          </w:tcPr>
          <w:p w14:paraId="5C1D2ECB" w14:textId="77777777" w:rsidR="0031097D" w:rsidRDefault="0031097D" w:rsidP="00903041">
            <w:pPr>
              <w:pStyle w:val="NoSpacing"/>
            </w:pPr>
            <w:r>
              <w:t>Off-premise density</w:t>
            </w:r>
          </w:p>
        </w:tc>
        <w:tc>
          <w:tcPr>
            <w:tcW w:w="900" w:type="dxa"/>
          </w:tcPr>
          <w:p w14:paraId="6698FC1C" w14:textId="65A2B85E" w:rsidR="0031097D" w:rsidRDefault="008D49BA" w:rsidP="00903041">
            <w:pPr>
              <w:pStyle w:val="NoSpacing"/>
              <w:jc w:val="center"/>
            </w:pPr>
            <w:r>
              <w:t>0.05</w:t>
            </w:r>
          </w:p>
        </w:tc>
        <w:tc>
          <w:tcPr>
            <w:tcW w:w="1350" w:type="dxa"/>
          </w:tcPr>
          <w:p w14:paraId="160C9A43" w14:textId="4D27B000" w:rsidR="0031097D" w:rsidRDefault="008D49BA" w:rsidP="00903041">
            <w:pPr>
              <w:pStyle w:val="NoSpacing"/>
              <w:jc w:val="center"/>
            </w:pPr>
            <w:r>
              <w:t>0.08</w:t>
            </w:r>
          </w:p>
        </w:tc>
        <w:tc>
          <w:tcPr>
            <w:tcW w:w="720" w:type="dxa"/>
          </w:tcPr>
          <w:p w14:paraId="7C86B8E1" w14:textId="08A38479" w:rsidR="0031097D" w:rsidRDefault="008D49BA" w:rsidP="00903041">
            <w:pPr>
              <w:pStyle w:val="NoSpacing"/>
              <w:jc w:val="center"/>
            </w:pPr>
            <w:r>
              <w:t>0.54</w:t>
            </w:r>
          </w:p>
        </w:tc>
        <w:tc>
          <w:tcPr>
            <w:tcW w:w="810" w:type="dxa"/>
          </w:tcPr>
          <w:p w14:paraId="576F86F3" w14:textId="27672EE6" w:rsidR="0031097D" w:rsidRDefault="008D49BA" w:rsidP="00903041">
            <w:pPr>
              <w:pStyle w:val="NoSpacing"/>
              <w:jc w:val="center"/>
            </w:pPr>
            <w:r>
              <w:t>0.04</w:t>
            </w:r>
          </w:p>
        </w:tc>
        <w:tc>
          <w:tcPr>
            <w:tcW w:w="1368" w:type="dxa"/>
          </w:tcPr>
          <w:p w14:paraId="6C98F1D0" w14:textId="240AC220" w:rsidR="0031097D" w:rsidRDefault="008D49BA" w:rsidP="00903041">
            <w:pPr>
              <w:pStyle w:val="NoSpacing"/>
              <w:jc w:val="center"/>
            </w:pPr>
            <w:r>
              <w:t>0.09</w:t>
            </w:r>
          </w:p>
        </w:tc>
        <w:tc>
          <w:tcPr>
            <w:tcW w:w="0" w:type="auto"/>
          </w:tcPr>
          <w:p w14:paraId="4281BB16" w14:textId="342273AC" w:rsidR="0031097D" w:rsidRDefault="008D49BA" w:rsidP="00903041">
            <w:pPr>
              <w:pStyle w:val="NoSpacing"/>
              <w:jc w:val="center"/>
            </w:pPr>
            <w:r>
              <w:t>0.67</w:t>
            </w:r>
          </w:p>
        </w:tc>
      </w:tr>
      <w:tr w:rsidR="0031097D" w14:paraId="5CED7AB6" w14:textId="77777777" w:rsidTr="000C3AF2">
        <w:tc>
          <w:tcPr>
            <w:tcW w:w="4315" w:type="dxa"/>
          </w:tcPr>
          <w:p w14:paraId="5BDFE51D" w14:textId="77777777" w:rsidR="0031097D" w:rsidRDefault="0031097D" w:rsidP="00903041">
            <w:pPr>
              <w:pStyle w:val="NoSpacing"/>
            </w:pPr>
            <w:r>
              <w:t>Population density</w:t>
            </w:r>
          </w:p>
        </w:tc>
        <w:tc>
          <w:tcPr>
            <w:tcW w:w="900" w:type="dxa"/>
          </w:tcPr>
          <w:p w14:paraId="3765817F" w14:textId="49121F77" w:rsidR="0031097D" w:rsidRDefault="008D49BA" w:rsidP="00903041">
            <w:pPr>
              <w:pStyle w:val="NoSpacing"/>
              <w:jc w:val="center"/>
            </w:pPr>
            <w:r>
              <w:t>0.00</w:t>
            </w:r>
          </w:p>
        </w:tc>
        <w:tc>
          <w:tcPr>
            <w:tcW w:w="1350" w:type="dxa"/>
          </w:tcPr>
          <w:p w14:paraId="4C25B78F" w14:textId="5A787EAB" w:rsidR="0031097D" w:rsidRDefault="008D49BA" w:rsidP="00903041">
            <w:pPr>
              <w:pStyle w:val="NoSpacing"/>
              <w:jc w:val="center"/>
            </w:pPr>
            <w:r>
              <w:t>0.00</w:t>
            </w:r>
          </w:p>
        </w:tc>
        <w:tc>
          <w:tcPr>
            <w:tcW w:w="720" w:type="dxa"/>
          </w:tcPr>
          <w:p w14:paraId="5DFFBB4B" w14:textId="17AAA294" w:rsidR="0031097D" w:rsidRDefault="008D49BA" w:rsidP="00903041">
            <w:pPr>
              <w:pStyle w:val="NoSpacing"/>
              <w:jc w:val="center"/>
            </w:pPr>
            <w:r>
              <w:t>0.00</w:t>
            </w:r>
          </w:p>
        </w:tc>
        <w:tc>
          <w:tcPr>
            <w:tcW w:w="810" w:type="dxa"/>
          </w:tcPr>
          <w:p w14:paraId="36C11DFD" w14:textId="1D506E99" w:rsidR="0031097D" w:rsidRDefault="008D49BA" w:rsidP="00903041">
            <w:pPr>
              <w:pStyle w:val="NoSpacing"/>
              <w:jc w:val="center"/>
            </w:pPr>
            <w:r>
              <w:t>0.00</w:t>
            </w:r>
          </w:p>
        </w:tc>
        <w:tc>
          <w:tcPr>
            <w:tcW w:w="1368" w:type="dxa"/>
          </w:tcPr>
          <w:p w14:paraId="29A84269" w14:textId="6F3A3244" w:rsidR="0031097D" w:rsidRDefault="008D49BA" w:rsidP="00903041">
            <w:pPr>
              <w:pStyle w:val="NoSpacing"/>
              <w:jc w:val="center"/>
            </w:pPr>
            <w:r>
              <w:t>0.00</w:t>
            </w:r>
          </w:p>
        </w:tc>
        <w:tc>
          <w:tcPr>
            <w:tcW w:w="0" w:type="auto"/>
          </w:tcPr>
          <w:p w14:paraId="37088545" w14:textId="7D46372F" w:rsidR="0031097D" w:rsidRDefault="008D49BA" w:rsidP="00903041">
            <w:pPr>
              <w:pStyle w:val="NoSpacing"/>
              <w:jc w:val="center"/>
            </w:pPr>
            <w:r>
              <w:t>0.00</w:t>
            </w:r>
          </w:p>
        </w:tc>
      </w:tr>
      <w:tr w:rsidR="0031097D" w14:paraId="6749831C" w14:textId="77777777" w:rsidTr="000C3AF2">
        <w:tc>
          <w:tcPr>
            <w:tcW w:w="4315" w:type="dxa"/>
          </w:tcPr>
          <w:p w14:paraId="1D897F5F" w14:textId="77777777" w:rsidR="0031097D" w:rsidRDefault="0031097D" w:rsidP="00903041">
            <w:pPr>
              <w:pStyle w:val="NoSpacing"/>
            </w:pPr>
            <w:r>
              <w:t>Proportion young</w:t>
            </w:r>
          </w:p>
        </w:tc>
        <w:tc>
          <w:tcPr>
            <w:tcW w:w="900" w:type="dxa"/>
          </w:tcPr>
          <w:p w14:paraId="3EE81E87" w14:textId="07D83C49" w:rsidR="0031097D" w:rsidRDefault="00F70459" w:rsidP="00903041">
            <w:pPr>
              <w:pStyle w:val="NoSpacing"/>
              <w:jc w:val="center"/>
            </w:pPr>
            <w:r>
              <w:t>-1.79</w:t>
            </w:r>
          </w:p>
        </w:tc>
        <w:tc>
          <w:tcPr>
            <w:tcW w:w="1350" w:type="dxa"/>
          </w:tcPr>
          <w:p w14:paraId="69E7F1AA" w14:textId="2B98EFC9" w:rsidR="0031097D" w:rsidRDefault="00F70459" w:rsidP="00903041">
            <w:pPr>
              <w:pStyle w:val="NoSpacing"/>
              <w:jc w:val="center"/>
            </w:pPr>
            <w:r>
              <w:t>1.10</w:t>
            </w:r>
          </w:p>
        </w:tc>
        <w:tc>
          <w:tcPr>
            <w:tcW w:w="720" w:type="dxa"/>
          </w:tcPr>
          <w:p w14:paraId="022EF1AF" w14:textId="660E8BD3" w:rsidR="0031097D" w:rsidRDefault="00F70459" w:rsidP="00903041">
            <w:pPr>
              <w:pStyle w:val="NoSpacing"/>
              <w:jc w:val="center"/>
            </w:pPr>
            <w:r>
              <w:t>0.10</w:t>
            </w:r>
          </w:p>
        </w:tc>
        <w:tc>
          <w:tcPr>
            <w:tcW w:w="810" w:type="dxa"/>
          </w:tcPr>
          <w:p w14:paraId="5DFA81C4" w14:textId="631A48E1" w:rsidR="0031097D" w:rsidRDefault="00F70459" w:rsidP="00903041">
            <w:pPr>
              <w:pStyle w:val="NoSpacing"/>
              <w:jc w:val="center"/>
            </w:pPr>
            <w:r>
              <w:t>-1.90</w:t>
            </w:r>
          </w:p>
        </w:tc>
        <w:tc>
          <w:tcPr>
            <w:tcW w:w="1368" w:type="dxa"/>
          </w:tcPr>
          <w:p w14:paraId="6E512913" w14:textId="05339015" w:rsidR="0031097D" w:rsidRDefault="00F70459" w:rsidP="00903041">
            <w:pPr>
              <w:pStyle w:val="NoSpacing"/>
              <w:jc w:val="center"/>
            </w:pPr>
            <w:r>
              <w:t>1.11</w:t>
            </w:r>
          </w:p>
        </w:tc>
        <w:tc>
          <w:tcPr>
            <w:tcW w:w="0" w:type="auto"/>
          </w:tcPr>
          <w:p w14:paraId="3AA1ABD3" w14:textId="11F29AAE" w:rsidR="0031097D" w:rsidRDefault="00F70459" w:rsidP="00903041">
            <w:pPr>
              <w:pStyle w:val="NoSpacing"/>
              <w:jc w:val="center"/>
            </w:pPr>
            <w:r>
              <w:t>0.09</w:t>
            </w:r>
          </w:p>
        </w:tc>
      </w:tr>
      <w:tr w:rsidR="0031097D" w14:paraId="08B1A9F5" w14:textId="77777777" w:rsidTr="000C3AF2">
        <w:tc>
          <w:tcPr>
            <w:tcW w:w="4315" w:type="dxa"/>
          </w:tcPr>
          <w:p w14:paraId="0A37B1A0" w14:textId="77777777" w:rsidR="0031097D" w:rsidRPr="00B507DD" w:rsidRDefault="0031097D" w:rsidP="00903041">
            <w:pPr>
              <w:pStyle w:val="NoSpacing"/>
            </w:pPr>
            <w:r>
              <w:t>Distance from city center</w:t>
            </w:r>
          </w:p>
        </w:tc>
        <w:tc>
          <w:tcPr>
            <w:tcW w:w="900" w:type="dxa"/>
          </w:tcPr>
          <w:p w14:paraId="15A6028C" w14:textId="1F60FDEF" w:rsidR="0031097D" w:rsidRDefault="00F70459" w:rsidP="00903041">
            <w:pPr>
              <w:pStyle w:val="NoSpacing"/>
              <w:jc w:val="center"/>
            </w:pPr>
            <w:r>
              <w:t>0.01</w:t>
            </w:r>
          </w:p>
        </w:tc>
        <w:tc>
          <w:tcPr>
            <w:tcW w:w="1350" w:type="dxa"/>
          </w:tcPr>
          <w:p w14:paraId="1CBC69E9" w14:textId="11069B3B" w:rsidR="0031097D" w:rsidRDefault="00F70459" w:rsidP="00903041">
            <w:pPr>
              <w:pStyle w:val="NoSpacing"/>
              <w:jc w:val="center"/>
            </w:pPr>
            <w:r>
              <w:t>0.06</w:t>
            </w:r>
          </w:p>
        </w:tc>
        <w:tc>
          <w:tcPr>
            <w:tcW w:w="720" w:type="dxa"/>
          </w:tcPr>
          <w:p w14:paraId="0337DA34" w14:textId="685981FB" w:rsidR="0031097D" w:rsidRDefault="00F70459" w:rsidP="00903041">
            <w:pPr>
              <w:pStyle w:val="NoSpacing"/>
              <w:jc w:val="center"/>
            </w:pPr>
            <w:r>
              <w:t>0.93</w:t>
            </w:r>
          </w:p>
        </w:tc>
        <w:tc>
          <w:tcPr>
            <w:tcW w:w="810" w:type="dxa"/>
          </w:tcPr>
          <w:p w14:paraId="10BAA61B" w14:textId="1F609974" w:rsidR="0031097D" w:rsidRDefault="00F70459" w:rsidP="00903041">
            <w:pPr>
              <w:pStyle w:val="NoSpacing"/>
              <w:jc w:val="center"/>
            </w:pPr>
            <w:r>
              <w:t>0.02</w:t>
            </w:r>
          </w:p>
        </w:tc>
        <w:tc>
          <w:tcPr>
            <w:tcW w:w="1368" w:type="dxa"/>
          </w:tcPr>
          <w:p w14:paraId="6383098A" w14:textId="378F426D" w:rsidR="0031097D" w:rsidRDefault="00F70459" w:rsidP="00903041">
            <w:pPr>
              <w:pStyle w:val="NoSpacing"/>
              <w:jc w:val="center"/>
            </w:pPr>
            <w:r>
              <w:t>0.06</w:t>
            </w:r>
          </w:p>
        </w:tc>
        <w:tc>
          <w:tcPr>
            <w:tcW w:w="0" w:type="auto"/>
          </w:tcPr>
          <w:p w14:paraId="3511D8A9" w14:textId="42611AF9" w:rsidR="0031097D" w:rsidRDefault="00F70459" w:rsidP="00903041">
            <w:pPr>
              <w:pStyle w:val="NoSpacing"/>
              <w:jc w:val="center"/>
            </w:pPr>
            <w:r>
              <w:t>0.78</w:t>
            </w:r>
          </w:p>
        </w:tc>
      </w:tr>
      <w:tr w:rsidR="0031097D" w14:paraId="7DE6DC6B" w14:textId="77777777" w:rsidTr="000C3AF2">
        <w:tc>
          <w:tcPr>
            <w:tcW w:w="4315" w:type="dxa"/>
          </w:tcPr>
          <w:p w14:paraId="22D1D853" w14:textId="3D768654" w:rsidR="0031097D" w:rsidRDefault="0031097D" w:rsidP="00903041">
            <w:pPr>
              <w:pStyle w:val="NoSpacing"/>
            </w:pPr>
            <w:r>
              <w:rPr>
                <w:i/>
                <w:iCs/>
              </w:rPr>
              <w:t>Rho</w:t>
            </w:r>
            <w:r>
              <w:t xml:space="preserve"> Theft from vehicles density</w:t>
            </w:r>
          </w:p>
        </w:tc>
        <w:tc>
          <w:tcPr>
            <w:tcW w:w="900" w:type="dxa"/>
          </w:tcPr>
          <w:p w14:paraId="6764A418" w14:textId="6037EC96" w:rsidR="0031097D" w:rsidRDefault="00B820C1" w:rsidP="00903041">
            <w:pPr>
              <w:pStyle w:val="NoSpacing"/>
              <w:jc w:val="center"/>
            </w:pPr>
            <w:r>
              <w:t>0.41</w:t>
            </w:r>
          </w:p>
        </w:tc>
        <w:tc>
          <w:tcPr>
            <w:tcW w:w="1350" w:type="dxa"/>
          </w:tcPr>
          <w:p w14:paraId="1AF8128D" w14:textId="4DE35154" w:rsidR="0031097D" w:rsidRDefault="00B820C1" w:rsidP="00903041">
            <w:pPr>
              <w:pStyle w:val="NoSpacing"/>
              <w:jc w:val="center"/>
            </w:pPr>
            <w:r>
              <w:t>0.13</w:t>
            </w:r>
          </w:p>
        </w:tc>
        <w:tc>
          <w:tcPr>
            <w:tcW w:w="720" w:type="dxa"/>
          </w:tcPr>
          <w:p w14:paraId="39EC58EE" w14:textId="1512FE37" w:rsidR="0031097D" w:rsidRDefault="00B820C1" w:rsidP="00903041">
            <w:pPr>
              <w:pStyle w:val="NoSpacing"/>
              <w:jc w:val="center"/>
            </w:pPr>
            <w:r>
              <w:t>0.00</w:t>
            </w:r>
          </w:p>
        </w:tc>
        <w:tc>
          <w:tcPr>
            <w:tcW w:w="810" w:type="dxa"/>
          </w:tcPr>
          <w:p w14:paraId="3B1C74A8" w14:textId="76A32B1D" w:rsidR="0031097D" w:rsidRDefault="00B820C1" w:rsidP="00903041">
            <w:pPr>
              <w:pStyle w:val="NoSpacing"/>
              <w:jc w:val="center"/>
            </w:pPr>
            <w:r>
              <w:t>0.41</w:t>
            </w:r>
          </w:p>
        </w:tc>
        <w:tc>
          <w:tcPr>
            <w:tcW w:w="1368" w:type="dxa"/>
          </w:tcPr>
          <w:p w14:paraId="4DB434D6" w14:textId="2C28F6D0" w:rsidR="0031097D" w:rsidRDefault="00B820C1" w:rsidP="00903041">
            <w:pPr>
              <w:pStyle w:val="NoSpacing"/>
              <w:jc w:val="center"/>
            </w:pPr>
            <w:r>
              <w:t>0.13</w:t>
            </w:r>
          </w:p>
        </w:tc>
        <w:tc>
          <w:tcPr>
            <w:tcW w:w="0" w:type="auto"/>
          </w:tcPr>
          <w:p w14:paraId="155BCD7C" w14:textId="73E3380A" w:rsidR="0031097D" w:rsidRDefault="00B820C1" w:rsidP="00903041">
            <w:pPr>
              <w:pStyle w:val="NoSpacing"/>
              <w:jc w:val="center"/>
            </w:pPr>
            <w:r>
              <w:t>0.00</w:t>
            </w:r>
          </w:p>
        </w:tc>
      </w:tr>
      <w:tr w:rsidR="0031097D" w14:paraId="67FA253C" w14:textId="77777777" w:rsidTr="000C3AF2">
        <w:tc>
          <w:tcPr>
            <w:tcW w:w="4315" w:type="dxa"/>
          </w:tcPr>
          <w:p w14:paraId="1CA2F4ED" w14:textId="77777777" w:rsidR="0031097D" w:rsidRPr="00B507DD" w:rsidRDefault="0031097D" w:rsidP="00903041">
            <w:pPr>
              <w:pStyle w:val="NoSpacing"/>
            </w:pPr>
            <w:r>
              <w:t>Constant</w:t>
            </w:r>
          </w:p>
        </w:tc>
        <w:tc>
          <w:tcPr>
            <w:tcW w:w="900" w:type="dxa"/>
          </w:tcPr>
          <w:p w14:paraId="329AEBE9" w14:textId="3FE43353" w:rsidR="0031097D" w:rsidRDefault="00B820C1" w:rsidP="00903041">
            <w:pPr>
              <w:pStyle w:val="NoSpacing"/>
              <w:jc w:val="center"/>
            </w:pPr>
            <w:r>
              <w:t>0.91</w:t>
            </w:r>
          </w:p>
        </w:tc>
        <w:tc>
          <w:tcPr>
            <w:tcW w:w="1350" w:type="dxa"/>
          </w:tcPr>
          <w:p w14:paraId="7C590BE1" w14:textId="1E5C94CE" w:rsidR="0031097D" w:rsidRDefault="00B820C1" w:rsidP="00903041">
            <w:pPr>
              <w:pStyle w:val="NoSpacing"/>
              <w:jc w:val="center"/>
            </w:pPr>
            <w:r>
              <w:t>0.63</w:t>
            </w:r>
          </w:p>
        </w:tc>
        <w:tc>
          <w:tcPr>
            <w:tcW w:w="720" w:type="dxa"/>
          </w:tcPr>
          <w:p w14:paraId="7F29A674" w14:textId="210B9CDF" w:rsidR="0031097D" w:rsidRDefault="00B820C1" w:rsidP="00903041">
            <w:pPr>
              <w:pStyle w:val="NoSpacing"/>
              <w:jc w:val="center"/>
            </w:pPr>
            <w:r>
              <w:t>0.15</w:t>
            </w:r>
          </w:p>
        </w:tc>
        <w:tc>
          <w:tcPr>
            <w:tcW w:w="810" w:type="dxa"/>
          </w:tcPr>
          <w:p w14:paraId="7BE3A9BF" w14:textId="4FADDC1D" w:rsidR="0031097D" w:rsidRDefault="00B820C1" w:rsidP="00903041">
            <w:pPr>
              <w:pStyle w:val="NoSpacing"/>
              <w:jc w:val="center"/>
            </w:pPr>
            <w:r>
              <w:t>0.91</w:t>
            </w:r>
          </w:p>
        </w:tc>
        <w:tc>
          <w:tcPr>
            <w:tcW w:w="1368" w:type="dxa"/>
          </w:tcPr>
          <w:p w14:paraId="67F3FD18" w14:textId="6A9E3C0B" w:rsidR="0031097D" w:rsidRDefault="00B820C1" w:rsidP="00903041">
            <w:pPr>
              <w:pStyle w:val="NoSpacing"/>
              <w:jc w:val="center"/>
            </w:pPr>
            <w:r>
              <w:t>0.64</w:t>
            </w:r>
          </w:p>
        </w:tc>
        <w:tc>
          <w:tcPr>
            <w:tcW w:w="0" w:type="auto"/>
          </w:tcPr>
          <w:p w14:paraId="1641738A" w14:textId="08F1C0D5" w:rsidR="0031097D" w:rsidRDefault="00B820C1" w:rsidP="00903041">
            <w:pPr>
              <w:pStyle w:val="NoSpacing"/>
              <w:jc w:val="center"/>
            </w:pPr>
            <w:r>
              <w:t>0.16</w:t>
            </w:r>
          </w:p>
        </w:tc>
      </w:tr>
      <w:tr w:rsidR="0031097D" w14:paraId="47400F8A" w14:textId="77777777" w:rsidTr="000C3AF2">
        <w:tc>
          <w:tcPr>
            <w:tcW w:w="4315" w:type="dxa"/>
          </w:tcPr>
          <w:p w14:paraId="0273602B" w14:textId="77777777" w:rsidR="0031097D" w:rsidRDefault="0031097D" w:rsidP="00903041">
            <w:pPr>
              <w:pStyle w:val="NoSpacing"/>
            </w:pPr>
            <w:r>
              <w:t>Pseudo-</w:t>
            </w:r>
            <w:r>
              <w:rPr>
                <w:i/>
                <w:iCs/>
              </w:rPr>
              <w:t>R</w:t>
            </w:r>
            <w:r>
              <w:t>-squared</w:t>
            </w:r>
          </w:p>
        </w:tc>
        <w:tc>
          <w:tcPr>
            <w:tcW w:w="900" w:type="dxa"/>
          </w:tcPr>
          <w:p w14:paraId="1F3CFE48" w14:textId="77777777" w:rsidR="0031097D" w:rsidRDefault="0031097D" w:rsidP="00903041">
            <w:pPr>
              <w:pStyle w:val="NoSpacing"/>
              <w:jc w:val="center"/>
            </w:pPr>
          </w:p>
        </w:tc>
        <w:tc>
          <w:tcPr>
            <w:tcW w:w="1350" w:type="dxa"/>
          </w:tcPr>
          <w:p w14:paraId="01F3CD87" w14:textId="20C9A483" w:rsidR="0031097D" w:rsidRDefault="00B820C1" w:rsidP="00903041">
            <w:pPr>
              <w:pStyle w:val="NoSpacing"/>
              <w:jc w:val="center"/>
            </w:pPr>
            <w:r>
              <w:t>0.43</w:t>
            </w:r>
          </w:p>
        </w:tc>
        <w:tc>
          <w:tcPr>
            <w:tcW w:w="720" w:type="dxa"/>
          </w:tcPr>
          <w:p w14:paraId="01207576" w14:textId="77777777" w:rsidR="0031097D" w:rsidRDefault="0031097D" w:rsidP="00903041">
            <w:pPr>
              <w:pStyle w:val="NoSpacing"/>
              <w:jc w:val="center"/>
            </w:pPr>
          </w:p>
        </w:tc>
        <w:tc>
          <w:tcPr>
            <w:tcW w:w="810" w:type="dxa"/>
          </w:tcPr>
          <w:p w14:paraId="5546D2EF" w14:textId="77777777" w:rsidR="0031097D" w:rsidRDefault="0031097D" w:rsidP="00903041">
            <w:pPr>
              <w:pStyle w:val="NoSpacing"/>
              <w:jc w:val="center"/>
            </w:pPr>
          </w:p>
        </w:tc>
        <w:tc>
          <w:tcPr>
            <w:tcW w:w="1368" w:type="dxa"/>
          </w:tcPr>
          <w:p w14:paraId="19170BF6" w14:textId="275AEB22" w:rsidR="0031097D" w:rsidRDefault="00C9365C" w:rsidP="00903041">
            <w:pPr>
              <w:pStyle w:val="NoSpacing"/>
              <w:jc w:val="center"/>
            </w:pPr>
            <w:r>
              <w:t>0.43</w:t>
            </w:r>
          </w:p>
        </w:tc>
        <w:tc>
          <w:tcPr>
            <w:tcW w:w="0" w:type="auto"/>
          </w:tcPr>
          <w:p w14:paraId="2432ADBE" w14:textId="77777777" w:rsidR="0031097D" w:rsidRDefault="0031097D" w:rsidP="00903041">
            <w:pPr>
              <w:pStyle w:val="NoSpacing"/>
              <w:jc w:val="center"/>
            </w:pPr>
          </w:p>
        </w:tc>
      </w:tr>
      <w:tr w:rsidR="0031097D" w14:paraId="791AE2F0" w14:textId="77777777" w:rsidTr="000C3AF2">
        <w:tc>
          <w:tcPr>
            <w:tcW w:w="4315" w:type="dxa"/>
          </w:tcPr>
          <w:p w14:paraId="7FA0FFD7" w14:textId="77777777" w:rsidR="0031097D" w:rsidRDefault="0031097D" w:rsidP="00903041">
            <w:pPr>
              <w:pStyle w:val="NoSpacing"/>
            </w:pPr>
            <w:r>
              <w:t>Multicollinearity condition number</w:t>
            </w:r>
          </w:p>
        </w:tc>
        <w:tc>
          <w:tcPr>
            <w:tcW w:w="900" w:type="dxa"/>
          </w:tcPr>
          <w:p w14:paraId="5E83CBB9" w14:textId="77777777" w:rsidR="0031097D" w:rsidRDefault="0031097D" w:rsidP="00903041">
            <w:pPr>
              <w:pStyle w:val="NoSpacing"/>
              <w:jc w:val="center"/>
            </w:pPr>
          </w:p>
        </w:tc>
        <w:tc>
          <w:tcPr>
            <w:tcW w:w="1350" w:type="dxa"/>
          </w:tcPr>
          <w:p w14:paraId="012B525A" w14:textId="63ECE53D" w:rsidR="0031097D" w:rsidRDefault="00B820C1" w:rsidP="00903041">
            <w:pPr>
              <w:pStyle w:val="NoSpacing"/>
              <w:jc w:val="center"/>
            </w:pPr>
            <w:r>
              <w:t>10.05</w:t>
            </w:r>
          </w:p>
        </w:tc>
        <w:tc>
          <w:tcPr>
            <w:tcW w:w="720" w:type="dxa"/>
          </w:tcPr>
          <w:p w14:paraId="7602E783" w14:textId="77777777" w:rsidR="0031097D" w:rsidRDefault="0031097D" w:rsidP="00903041">
            <w:pPr>
              <w:pStyle w:val="NoSpacing"/>
              <w:jc w:val="center"/>
            </w:pPr>
          </w:p>
        </w:tc>
        <w:tc>
          <w:tcPr>
            <w:tcW w:w="810" w:type="dxa"/>
          </w:tcPr>
          <w:p w14:paraId="68787BDB" w14:textId="77777777" w:rsidR="0031097D" w:rsidRDefault="0031097D" w:rsidP="00903041">
            <w:pPr>
              <w:pStyle w:val="NoSpacing"/>
              <w:jc w:val="center"/>
            </w:pPr>
          </w:p>
        </w:tc>
        <w:tc>
          <w:tcPr>
            <w:tcW w:w="1368" w:type="dxa"/>
          </w:tcPr>
          <w:p w14:paraId="71348242" w14:textId="374A3251" w:rsidR="0031097D" w:rsidRDefault="00C9365C" w:rsidP="00903041">
            <w:pPr>
              <w:pStyle w:val="NoSpacing"/>
              <w:jc w:val="center"/>
            </w:pPr>
            <w:r>
              <w:t>10.11</w:t>
            </w:r>
          </w:p>
        </w:tc>
        <w:tc>
          <w:tcPr>
            <w:tcW w:w="0" w:type="auto"/>
          </w:tcPr>
          <w:p w14:paraId="067607EE" w14:textId="77777777" w:rsidR="0031097D" w:rsidRDefault="0031097D" w:rsidP="00903041">
            <w:pPr>
              <w:pStyle w:val="NoSpacing"/>
              <w:jc w:val="center"/>
            </w:pPr>
          </w:p>
        </w:tc>
      </w:tr>
      <w:tr w:rsidR="0031097D" w14:paraId="345FC40C" w14:textId="77777777" w:rsidTr="000C3AF2">
        <w:tc>
          <w:tcPr>
            <w:tcW w:w="4315" w:type="dxa"/>
          </w:tcPr>
          <w:p w14:paraId="17811B35" w14:textId="77777777" w:rsidR="0031097D" w:rsidRDefault="0031097D" w:rsidP="00903041">
            <w:pPr>
              <w:pStyle w:val="NoSpacing"/>
            </w:pPr>
            <w:r>
              <w:t>S.E. of Regression</w:t>
            </w:r>
          </w:p>
        </w:tc>
        <w:tc>
          <w:tcPr>
            <w:tcW w:w="900" w:type="dxa"/>
          </w:tcPr>
          <w:p w14:paraId="4EFD8A35" w14:textId="77777777" w:rsidR="0031097D" w:rsidRDefault="0031097D" w:rsidP="00903041">
            <w:pPr>
              <w:pStyle w:val="NoSpacing"/>
              <w:jc w:val="center"/>
            </w:pPr>
          </w:p>
        </w:tc>
        <w:tc>
          <w:tcPr>
            <w:tcW w:w="1350" w:type="dxa"/>
          </w:tcPr>
          <w:p w14:paraId="6FABF7CE" w14:textId="5BC43B14" w:rsidR="0031097D" w:rsidRDefault="00C9365C" w:rsidP="00903041">
            <w:pPr>
              <w:pStyle w:val="NoSpacing"/>
              <w:jc w:val="center"/>
            </w:pPr>
            <w:r>
              <w:t>1.80</w:t>
            </w:r>
          </w:p>
        </w:tc>
        <w:tc>
          <w:tcPr>
            <w:tcW w:w="720" w:type="dxa"/>
          </w:tcPr>
          <w:p w14:paraId="334E90E6" w14:textId="77777777" w:rsidR="0031097D" w:rsidRDefault="0031097D" w:rsidP="00903041">
            <w:pPr>
              <w:pStyle w:val="NoSpacing"/>
              <w:jc w:val="center"/>
            </w:pPr>
          </w:p>
        </w:tc>
        <w:tc>
          <w:tcPr>
            <w:tcW w:w="810" w:type="dxa"/>
          </w:tcPr>
          <w:p w14:paraId="68199328" w14:textId="77777777" w:rsidR="0031097D" w:rsidRDefault="0031097D" w:rsidP="00903041">
            <w:pPr>
              <w:pStyle w:val="NoSpacing"/>
              <w:jc w:val="center"/>
            </w:pPr>
          </w:p>
        </w:tc>
        <w:tc>
          <w:tcPr>
            <w:tcW w:w="1368" w:type="dxa"/>
          </w:tcPr>
          <w:p w14:paraId="382F49F0" w14:textId="4147D3BA" w:rsidR="0031097D" w:rsidRDefault="00C9365C" w:rsidP="00903041">
            <w:pPr>
              <w:pStyle w:val="NoSpacing"/>
              <w:jc w:val="center"/>
            </w:pPr>
            <w:r>
              <w:t>1.82</w:t>
            </w:r>
          </w:p>
        </w:tc>
        <w:tc>
          <w:tcPr>
            <w:tcW w:w="0" w:type="auto"/>
          </w:tcPr>
          <w:p w14:paraId="09343EF4" w14:textId="77777777" w:rsidR="0031097D" w:rsidRDefault="0031097D" w:rsidP="00903041">
            <w:pPr>
              <w:pStyle w:val="NoSpacing"/>
              <w:jc w:val="center"/>
            </w:pPr>
          </w:p>
        </w:tc>
      </w:tr>
    </w:tbl>
    <w:p w14:paraId="536F7BDE" w14:textId="77777777" w:rsidR="0031097D" w:rsidRPr="0031097D" w:rsidRDefault="0031097D" w:rsidP="0031097D">
      <w:pPr>
        <w:pStyle w:val="NoSpacing"/>
      </w:pPr>
    </w:p>
    <w:p w14:paraId="5359A75A" w14:textId="2FEDDE22" w:rsidR="0068725E" w:rsidRDefault="00C40093" w:rsidP="00D14423">
      <w:pPr>
        <w:rPr>
          <w:rFonts w:cstheme="minorHAnsi"/>
          <w:sz w:val="24"/>
          <w:szCs w:val="24"/>
        </w:rPr>
      </w:pPr>
      <w:r w:rsidRPr="00C40093">
        <w:rPr>
          <w:rFonts w:cstheme="minorHAnsi"/>
          <w:sz w:val="24"/>
          <w:szCs w:val="24"/>
        </w:rPr>
        <w:t xml:space="preserve">We also tested for moderating effects of social disorganization on the relationship between alcohol outlet types and vandalism density for Indianapolis. Table A4 shows that while </w:t>
      </w:r>
      <w:r w:rsidRPr="00C40093">
        <w:rPr>
          <w:rFonts w:cstheme="minorHAnsi"/>
          <w:i/>
          <w:iCs/>
          <w:sz w:val="24"/>
          <w:szCs w:val="24"/>
        </w:rPr>
        <w:t>p</w:t>
      </w:r>
      <w:r w:rsidRPr="00C40093">
        <w:rPr>
          <w:rFonts w:cstheme="minorHAnsi"/>
          <w:sz w:val="24"/>
          <w:szCs w:val="24"/>
        </w:rPr>
        <w:t>-values in Models 7 and 8 for the interaction terms (</w:t>
      </w:r>
      <w:r w:rsidRPr="00C40093">
        <w:rPr>
          <w:rFonts w:cstheme="minorHAnsi"/>
          <w:i/>
          <w:iCs/>
          <w:sz w:val="24"/>
          <w:szCs w:val="24"/>
        </w:rPr>
        <w:t>b</w:t>
      </w:r>
      <w:r w:rsidRPr="00C40093">
        <w:rPr>
          <w:rFonts w:cstheme="minorHAnsi"/>
          <w:sz w:val="24"/>
          <w:szCs w:val="24"/>
        </w:rPr>
        <w:t xml:space="preserve"> = −0.04, </w:t>
      </w:r>
      <w:r w:rsidRPr="00C40093">
        <w:rPr>
          <w:rFonts w:cstheme="minorHAnsi"/>
          <w:i/>
          <w:iCs/>
          <w:sz w:val="24"/>
          <w:szCs w:val="24"/>
        </w:rPr>
        <w:t>p</w:t>
      </w:r>
      <w:r w:rsidRPr="00C40093">
        <w:rPr>
          <w:rFonts w:cstheme="minorHAnsi"/>
          <w:sz w:val="24"/>
          <w:szCs w:val="24"/>
        </w:rPr>
        <w:t xml:space="preserve"> = 0.08; and </w:t>
      </w:r>
      <w:r w:rsidRPr="00C40093">
        <w:rPr>
          <w:rFonts w:cstheme="minorHAnsi"/>
          <w:i/>
          <w:iCs/>
          <w:sz w:val="24"/>
          <w:szCs w:val="24"/>
        </w:rPr>
        <w:t>b</w:t>
      </w:r>
      <w:r w:rsidRPr="00C40093">
        <w:rPr>
          <w:rFonts w:cstheme="minorHAnsi"/>
          <w:sz w:val="24"/>
          <w:szCs w:val="24"/>
        </w:rPr>
        <w:t xml:space="preserve"> = −0.06, </w:t>
      </w:r>
      <w:r w:rsidRPr="00C40093">
        <w:rPr>
          <w:rFonts w:cstheme="minorHAnsi"/>
          <w:i/>
          <w:iCs/>
          <w:sz w:val="24"/>
          <w:szCs w:val="24"/>
        </w:rPr>
        <w:t>p</w:t>
      </w:r>
      <w:r w:rsidRPr="00C40093">
        <w:rPr>
          <w:rFonts w:cstheme="minorHAnsi"/>
          <w:sz w:val="24"/>
          <w:szCs w:val="24"/>
        </w:rPr>
        <w:t> = 0.13, respectively) are suggestive, they do not allow for strong conclusions about moderating effects of social disorganization on the association between on- or off-premise outlet densities and vandalism density in Indianapolis.</w:t>
      </w:r>
    </w:p>
    <w:p w14:paraId="377E455B" w14:textId="4B9BEFDC" w:rsidR="00C9365C" w:rsidRPr="000C3AF2" w:rsidRDefault="00C9365C" w:rsidP="00A005C6">
      <w:pPr>
        <w:pStyle w:val="NoSpacing"/>
        <w:rPr>
          <w:sz w:val="24"/>
          <w:szCs w:val="24"/>
        </w:rPr>
      </w:pPr>
      <w:r w:rsidRPr="000C3AF2">
        <w:rPr>
          <w:sz w:val="24"/>
          <w:szCs w:val="24"/>
        </w:rPr>
        <w:t>Table A4. Spatial lag regression for vandalism of property</w:t>
      </w:r>
      <w:r w:rsidR="00A005C6" w:rsidRPr="000C3AF2">
        <w:rPr>
          <w:sz w:val="24"/>
          <w:szCs w:val="24"/>
        </w:rPr>
        <w:t xml:space="preserve"> density regressed on social disorganization interaction terms, alcohol outlet types, and control variables for Indianapolis (</w:t>
      </w:r>
      <w:r w:rsidR="00A005C6" w:rsidRPr="000C3AF2">
        <w:rPr>
          <w:i/>
          <w:iCs/>
          <w:sz w:val="24"/>
          <w:szCs w:val="24"/>
        </w:rPr>
        <w:t>N</w:t>
      </w:r>
      <w:r w:rsidR="00A005C6" w:rsidRPr="000C3AF2">
        <w:rPr>
          <w:sz w:val="24"/>
          <w:szCs w:val="24"/>
        </w:rPr>
        <w:t xml:space="preserve"> = 289) block groups.</w:t>
      </w:r>
    </w:p>
    <w:tbl>
      <w:tblPr>
        <w:tblStyle w:val="TableGrid"/>
        <w:tblW w:w="0" w:type="auto"/>
        <w:tblLook w:val="04A0" w:firstRow="1" w:lastRow="0" w:firstColumn="1" w:lastColumn="0" w:noHBand="0" w:noVBand="1"/>
      </w:tblPr>
      <w:tblGrid>
        <w:gridCol w:w="4495"/>
        <w:gridCol w:w="900"/>
        <w:gridCol w:w="1350"/>
        <w:gridCol w:w="630"/>
        <w:gridCol w:w="720"/>
        <w:gridCol w:w="1368"/>
        <w:gridCol w:w="607"/>
      </w:tblGrid>
      <w:tr w:rsidR="00A005C6" w14:paraId="5D7FB50C" w14:textId="77777777" w:rsidTr="000C3AF2">
        <w:tc>
          <w:tcPr>
            <w:tcW w:w="4495" w:type="dxa"/>
          </w:tcPr>
          <w:p w14:paraId="7DCEBC44" w14:textId="77777777" w:rsidR="00A005C6" w:rsidRDefault="00A005C6" w:rsidP="00903041">
            <w:pPr>
              <w:pStyle w:val="NoSpacing"/>
            </w:pPr>
          </w:p>
        </w:tc>
        <w:tc>
          <w:tcPr>
            <w:tcW w:w="900" w:type="dxa"/>
          </w:tcPr>
          <w:p w14:paraId="7F196D51" w14:textId="77777777" w:rsidR="00A005C6" w:rsidRDefault="00A005C6" w:rsidP="00903041">
            <w:pPr>
              <w:pStyle w:val="NoSpacing"/>
              <w:jc w:val="center"/>
            </w:pPr>
          </w:p>
        </w:tc>
        <w:tc>
          <w:tcPr>
            <w:tcW w:w="1350" w:type="dxa"/>
          </w:tcPr>
          <w:p w14:paraId="0D83BCEE" w14:textId="77777777" w:rsidR="00A005C6" w:rsidRDefault="00A005C6" w:rsidP="00903041">
            <w:pPr>
              <w:pStyle w:val="NoSpacing"/>
              <w:jc w:val="center"/>
            </w:pPr>
            <w:r>
              <w:t>Model 3: On-premise</w:t>
            </w:r>
          </w:p>
        </w:tc>
        <w:tc>
          <w:tcPr>
            <w:tcW w:w="630" w:type="dxa"/>
          </w:tcPr>
          <w:p w14:paraId="11F3BDB9" w14:textId="77777777" w:rsidR="00A005C6" w:rsidRDefault="00A005C6" w:rsidP="00903041">
            <w:pPr>
              <w:pStyle w:val="NoSpacing"/>
              <w:jc w:val="center"/>
            </w:pPr>
          </w:p>
        </w:tc>
        <w:tc>
          <w:tcPr>
            <w:tcW w:w="720" w:type="dxa"/>
          </w:tcPr>
          <w:p w14:paraId="4EC20BB7" w14:textId="77777777" w:rsidR="00A005C6" w:rsidRDefault="00A005C6" w:rsidP="00903041">
            <w:pPr>
              <w:pStyle w:val="NoSpacing"/>
              <w:jc w:val="center"/>
            </w:pPr>
          </w:p>
        </w:tc>
        <w:tc>
          <w:tcPr>
            <w:tcW w:w="1368" w:type="dxa"/>
          </w:tcPr>
          <w:p w14:paraId="05485D73" w14:textId="77777777" w:rsidR="00A005C6" w:rsidRDefault="00A005C6" w:rsidP="00903041">
            <w:pPr>
              <w:pStyle w:val="NoSpacing"/>
              <w:jc w:val="center"/>
            </w:pPr>
            <w:r>
              <w:t>Model 4: Off-premise</w:t>
            </w:r>
          </w:p>
        </w:tc>
        <w:tc>
          <w:tcPr>
            <w:tcW w:w="0" w:type="auto"/>
          </w:tcPr>
          <w:p w14:paraId="4435C2D1" w14:textId="77777777" w:rsidR="00A005C6" w:rsidRDefault="00A005C6" w:rsidP="00903041">
            <w:pPr>
              <w:pStyle w:val="NoSpacing"/>
              <w:jc w:val="center"/>
            </w:pPr>
          </w:p>
        </w:tc>
      </w:tr>
      <w:tr w:rsidR="00A005C6" w14:paraId="365A8373" w14:textId="77777777" w:rsidTr="000C3AF2">
        <w:tc>
          <w:tcPr>
            <w:tcW w:w="4495" w:type="dxa"/>
          </w:tcPr>
          <w:p w14:paraId="0751877F" w14:textId="77777777" w:rsidR="00A005C6" w:rsidRDefault="00A005C6" w:rsidP="00903041">
            <w:pPr>
              <w:pStyle w:val="NoSpacing"/>
            </w:pPr>
          </w:p>
        </w:tc>
        <w:tc>
          <w:tcPr>
            <w:tcW w:w="900" w:type="dxa"/>
          </w:tcPr>
          <w:p w14:paraId="5DC7C975" w14:textId="77777777" w:rsidR="00A005C6" w:rsidRDefault="00A005C6" w:rsidP="00903041">
            <w:pPr>
              <w:pStyle w:val="NoSpacing"/>
              <w:jc w:val="center"/>
            </w:pPr>
            <w:r>
              <w:t>b</w:t>
            </w:r>
          </w:p>
        </w:tc>
        <w:tc>
          <w:tcPr>
            <w:tcW w:w="1350" w:type="dxa"/>
          </w:tcPr>
          <w:p w14:paraId="548881CB" w14:textId="77777777" w:rsidR="00A005C6" w:rsidRDefault="00A005C6" w:rsidP="00903041">
            <w:pPr>
              <w:pStyle w:val="NoSpacing"/>
              <w:jc w:val="center"/>
            </w:pPr>
            <w:r>
              <w:t>se</w:t>
            </w:r>
          </w:p>
        </w:tc>
        <w:tc>
          <w:tcPr>
            <w:tcW w:w="630" w:type="dxa"/>
          </w:tcPr>
          <w:p w14:paraId="13E81EFE" w14:textId="77777777" w:rsidR="00A005C6" w:rsidRPr="00F935F6" w:rsidRDefault="00A005C6" w:rsidP="00903041">
            <w:pPr>
              <w:pStyle w:val="NoSpacing"/>
              <w:jc w:val="center"/>
              <w:rPr>
                <w:i/>
                <w:iCs/>
              </w:rPr>
            </w:pPr>
            <w:r>
              <w:rPr>
                <w:i/>
                <w:iCs/>
              </w:rPr>
              <w:t>p</w:t>
            </w:r>
          </w:p>
        </w:tc>
        <w:tc>
          <w:tcPr>
            <w:tcW w:w="720" w:type="dxa"/>
          </w:tcPr>
          <w:p w14:paraId="4AF9AC5F" w14:textId="77777777" w:rsidR="00A005C6" w:rsidRDefault="00A005C6" w:rsidP="00903041">
            <w:pPr>
              <w:pStyle w:val="NoSpacing"/>
              <w:jc w:val="center"/>
            </w:pPr>
            <w:r>
              <w:t>b</w:t>
            </w:r>
          </w:p>
        </w:tc>
        <w:tc>
          <w:tcPr>
            <w:tcW w:w="1368" w:type="dxa"/>
          </w:tcPr>
          <w:p w14:paraId="675697E5" w14:textId="77777777" w:rsidR="00A005C6" w:rsidRDefault="00A005C6" w:rsidP="00903041">
            <w:pPr>
              <w:pStyle w:val="NoSpacing"/>
              <w:jc w:val="center"/>
            </w:pPr>
            <w:r>
              <w:t>Se</w:t>
            </w:r>
          </w:p>
        </w:tc>
        <w:tc>
          <w:tcPr>
            <w:tcW w:w="0" w:type="auto"/>
          </w:tcPr>
          <w:p w14:paraId="000E0ECD" w14:textId="77777777" w:rsidR="00A005C6" w:rsidRPr="00F935F6" w:rsidRDefault="00A005C6" w:rsidP="00903041">
            <w:pPr>
              <w:pStyle w:val="NoSpacing"/>
              <w:jc w:val="center"/>
              <w:rPr>
                <w:i/>
                <w:iCs/>
              </w:rPr>
            </w:pPr>
            <w:r>
              <w:rPr>
                <w:i/>
                <w:iCs/>
              </w:rPr>
              <w:t>p</w:t>
            </w:r>
          </w:p>
        </w:tc>
      </w:tr>
      <w:tr w:rsidR="00A005C6" w14:paraId="7D191676" w14:textId="77777777" w:rsidTr="000C3AF2">
        <w:tc>
          <w:tcPr>
            <w:tcW w:w="4495" w:type="dxa"/>
          </w:tcPr>
          <w:p w14:paraId="4971965D" w14:textId="77777777" w:rsidR="00A005C6" w:rsidRDefault="00A005C6" w:rsidP="00903041">
            <w:pPr>
              <w:pStyle w:val="NoSpacing"/>
            </w:pPr>
            <w:r>
              <w:t>On x social disorganization</w:t>
            </w:r>
          </w:p>
        </w:tc>
        <w:tc>
          <w:tcPr>
            <w:tcW w:w="900" w:type="dxa"/>
          </w:tcPr>
          <w:p w14:paraId="25A24F1E" w14:textId="513D5ED8" w:rsidR="00A005C6" w:rsidRDefault="009B3FFD" w:rsidP="00903041">
            <w:pPr>
              <w:pStyle w:val="NoSpacing"/>
              <w:jc w:val="center"/>
            </w:pPr>
            <w:r>
              <w:t>-0.04</w:t>
            </w:r>
          </w:p>
        </w:tc>
        <w:tc>
          <w:tcPr>
            <w:tcW w:w="1350" w:type="dxa"/>
          </w:tcPr>
          <w:p w14:paraId="5EC209DD" w14:textId="665BD843" w:rsidR="00A005C6" w:rsidRDefault="009B3FFD" w:rsidP="00903041">
            <w:pPr>
              <w:pStyle w:val="NoSpacing"/>
              <w:jc w:val="center"/>
            </w:pPr>
            <w:r>
              <w:t>0.02</w:t>
            </w:r>
          </w:p>
        </w:tc>
        <w:tc>
          <w:tcPr>
            <w:tcW w:w="630" w:type="dxa"/>
          </w:tcPr>
          <w:p w14:paraId="55014690" w14:textId="2DEDE850" w:rsidR="00A005C6" w:rsidRDefault="009B3FFD" w:rsidP="00903041">
            <w:pPr>
              <w:pStyle w:val="NoSpacing"/>
              <w:jc w:val="center"/>
            </w:pPr>
            <w:r>
              <w:t>0.08</w:t>
            </w:r>
          </w:p>
        </w:tc>
        <w:tc>
          <w:tcPr>
            <w:tcW w:w="720" w:type="dxa"/>
          </w:tcPr>
          <w:p w14:paraId="2CFCF601" w14:textId="77777777" w:rsidR="00A005C6" w:rsidRDefault="00A005C6" w:rsidP="00903041">
            <w:pPr>
              <w:pStyle w:val="NoSpacing"/>
              <w:jc w:val="center"/>
            </w:pPr>
            <w:r>
              <w:t>-</w:t>
            </w:r>
          </w:p>
        </w:tc>
        <w:tc>
          <w:tcPr>
            <w:tcW w:w="1368" w:type="dxa"/>
          </w:tcPr>
          <w:p w14:paraId="7F764938" w14:textId="77777777" w:rsidR="00A005C6" w:rsidRDefault="00A005C6" w:rsidP="00903041">
            <w:pPr>
              <w:pStyle w:val="NoSpacing"/>
              <w:jc w:val="center"/>
            </w:pPr>
            <w:r>
              <w:t>-</w:t>
            </w:r>
          </w:p>
        </w:tc>
        <w:tc>
          <w:tcPr>
            <w:tcW w:w="0" w:type="auto"/>
          </w:tcPr>
          <w:p w14:paraId="77E3E6C5" w14:textId="77777777" w:rsidR="00A005C6" w:rsidRDefault="00A005C6" w:rsidP="00903041">
            <w:pPr>
              <w:pStyle w:val="NoSpacing"/>
              <w:jc w:val="center"/>
            </w:pPr>
            <w:r>
              <w:t>-</w:t>
            </w:r>
          </w:p>
        </w:tc>
      </w:tr>
      <w:tr w:rsidR="00A005C6" w14:paraId="3130291F" w14:textId="77777777" w:rsidTr="000C3AF2">
        <w:tc>
          <w:tcPr>
            <w:tcW w:w="4495" w:type="dxa"/>
          </w:tcPr>
          <w:p w14:paraId="467FB9A8" w14:textId="77777777" w:rsidR="00A005C6" w:rsidRDefault="00A005C6" w:rsidP="00903041">
            <w:pPr>
              <w:pStyle w:val="NoSpacing"/>
            </w:pPr>
            <w:r>
              <w:t>Off x social disorganization</w:t>
            </w:r>
          </w:p>
        </w:tc>
        <w:tc>
          <w:tcPr>
            <w:tcW w:w="900" w:type="dxa"/>
          </w:tcPr>
          <w:p w14:paraId="2D024790" w14:textId="77777777" w:rsidR="00A005C6" w:rsidRDefault="00A005C6" w:rsidP="00903041">
            <w:pPr>
              <w:pStyle w:val="NoSpacing"/>
              <w:jc w:val="center"/>
            </w:pPr>
            <w:r>
              <w:t>-</w:t>
            </w:r>
          </w:p>
        </w:tc>
        <w:tc>
          <w:tcPr>
            <w:tcW w:w="1350" w:type="dxa"/>
          </w:tcPr>
          <w:p w14:paraId="4B801782" w14:textId="77777777" w:rsidR="00A005C6" w:rsidRDefault="00A005C6" w:rsidP="00903041">
            <w:pPr>
              <w:pStyle w:val="NoSpacing"/>
              <w:jc w:val="center"/>
            </w:pPr>
            <w:r>
              <w:t>-</w:t>
            </w:r>
          </w:p>
        </w:tc>
        <w:tc>
          <w:tcPr>
            <w:tcW w:w="630" w:type="dxa"/>
          </w:tcPr>
          <w:p w14:paraId="0C12B8E9" w14:textId="77777777" w:rsidR="00A005C6" w:rsidRDefault="00A005C6" w:rsidP="00903041">
            <w:pPr>
              <w:pStyle w:val="NoSpacing"/>
              <w:jc w:val="center"/>
            </w:pPr>
            <w:r>
              <w:t>-</w:t>
            </w:r>
          </w:p>
        </w:tc>
        <w:tc>
          <w:tcPr>
            <w:tcW w:w="720" w:type="dxa"/>
          </w:tcPr>
          <w:p w14:paraId="454C7E96" w14:textId="08C5FB10" w:rsidR="00A005C6" w:rsidRDefault="009B3FFD" w:rsidP="00903041">
            <w:pPr>
              <w:pStyle w:val="NoSpacing"/>
              <w:jc w:val="center"/>
            </w:pPr>
            <w:r>
              <w:t>-0.06</w:t>
            </w:r>
          </w:p>
        </w:tc>
        <w:tc>
          <w:tcPr>
            <w:tcW w:w="1368" w:type="dxa"/>
          </w:tcPr>
          <w:p w14:paraId="22A12652" w14:textId="4C331753" w:rsidR="00A005C6" w:rsidRDefault="00DE62BD" w:rsidP="00903041">
            <w:pPr>
              <w:pStyle w:val="NoSpacing"/>
              <w:jc w:val="center"/>
            </w:pPr>
            <w:r>
              <w:t>0.04</w:t>
            </w:r>
          </w:p>
        </w:tc>
        <w:tc>
          <w:tcPr>
            <w:tcW w:w="0" w:type="auto"/>
          </w:tcPr>
          <w:p w14:paraId="1B47EBDC" w14:textId="33BBB58F" w:rsidR="00A005C6" w:rsidRDefault="00DE62BD" w:rsidP="00903041">
            <w:pPr>
              <w:pStyle w:val="NoSpacing"/>
              <w:jc w:val="center"/>
            </w:pPr>
            <w:r>
              <w:t>0.13</w:t>
            </w:r>
          </w:p>
        </w:tc>
      </w:tr>
      <w:tr w:rsidR="00A005C6" w14:paraId="6591B7E2" w14:textId="77777777" w:rsidTr="000C3AF2">
        <w:tc>
          <w:tcPr>
            <w:tcW w:w="4495" w:type="dxa"/>
          </w:tcPr>
          <w:p w14:paraId="1FA647B5" w14:textId="77777777" w:rsidR="00A005C6" w:rsidRPr="00A76919" w:rsidRDefault="00A005C6" w:rsidP="00903041">
            <w:pPr>
              <w:pStyle w:val="NoSpacing"/>
            </w:pPr>
            <w:r>
              <w:t>Social disorganization</w:t>
            </w:r>
          </w:p>
        </w:tc>
        <w:tc>
          <w:tcPr>
            <w:tcW w:w="900" w:type="dxa"/>
          </w:tcPr>
          <w:p w14:paraId="49199C22" w14:textId="53A066CB" w:rsidR="00A005C6" w:rsidRDefault="009B3FFD" w:rsidP="00903041">
            <w:pPr>
              <w:pStyle w:val="NoSpacing"/>
              <w:jc w:val="center"/>
            </w:pPr>
            <w:r>
              <w:t>0.33</w:t>
            </w:r>
          </w:p>
        </w:tc>
        <w:tc>
          <w:tcPr>
            <w:tcW w:w="1350" w:type="dxa"/>
          </w:tcPr>
          <w:p w14:paraId="768792B9" w14:textId="1AF701B8" w:rsidR="00A005C6" w:rsidRDefault="009B3FFD" w:rsidP="00903041">
            <w:pPr>
              <w:pStyle w:val="NoSpacing"/>
              <w:jc w:val="center"/>
            </w:pPr>
            <w:r>
              <w:t>0.06</w:t>
            </w:r>
          </w:p>
        </w:tc>
        <w:tc>
          <w:tcPr>
            <w:tcW w:w="630" w:type="dxa"/>
          </w:tcPr>
          <w:p w14:paraId="4A14C342" w14:textId="4DDE13DD" w:rsidR="00A005C6" w:rsidRDefault="009B3FFD" w:rsidP="00903041">
            <w:pPr>
              <w:pStyle w:val="NoSpacing"/>
              <w:jc w:val="center"/>
            </w:pPr>
            <w:r>
              <w:t>0.00</w:t>
            </w:r>
          </w:p>
        </w:tc>
        <w:tc>
          <w:tcPr>
            <w:tcW w:w="720" w:type="dxa"/>
          </w:tcPr>
          <w:p w14:paraId="1993A527" w14:textId="1C65C47F" w:rsidR="00A005C6" w:rsidRDefault="009B3FFD" w:rsidP="00903041">
            <w:pPr>
              <w:pStyle w:val="NoSpacing"/>
              <w:jc w:val="center"/>
            </w:pPr>
            <w:r>
              <w:t>0.32</w:t>
            </w:r>
          </w:p>
        </w:tc>
        <w:tc>
          <w:tcPr>
            <w:tcW w:w="1368" w:type="dxa"/>
          </w:tcPr>
          <w:p w14:paraId="50338B67" w14:textId="7C36BD10" w:rsidR="00A005C6" w:rsidRDefault="00DE62BD" w:rsidP="00903041">
            <w:pPr>
              <w:pStyle w:val="NoSpacing"/>
              <w:jc w:val="center"/>
            </w:pPr>
            <w:r>
              <w:t>0.06</w:t>
            </w:r>
          </w:p>
        </w:tc>
        <w:tc>
          <w:tcPr>
            <w:tcW w:w="0" w:type="auto"/>
          </w:tcPr>
          <w:p w14:paraId="6477DE22" w14:textId="6872BC56" w:rsidR="00A005C6" w:rsidRDefault="00DE62BD" w:rsidP="00903041">
            <w:pPr>
              <w:pStyle w:val="NoSpacing"/>
              <w:jc w:val="center"/>
            </w:pPr>
            <w:r>
              <w:t>0.00</w:t>
            </w:r>
          </w:p>
        </w:tc>
      </w:tr>
      <w:tr w:rsidR="00A005C6" w14:paraId="408D87B9" w14:textId="77777777" w:rsidTr="000C3AF2">
        <w:tc>
          <w:tcPr>
            <w:tcW w:w="4495" w:type="dxa"/>
          </w:tcPr>
          <w:p w14:paraId="22484AC5" w14:textId="77777777" w:rsidR="00A005C6" w:rsidRDefault="00A005C6" w:rsidP="00903041">
            <w:pPr>
              <w:pStyle w:val="NoSpacing"/>
            </w:pPr>
            <w:r>
              <w:t>On-premise density</w:t>
            </w:r>
          </w:p>
        </w:tc>
        <w:tc>
          <w:tcPr>
            <w:tcW w:w="900" w:type="dxa"/>
          </w:tcPr>
          <w:p w14:paraId="4A693019" w14:textId="4B62FFCC" w:rsidR="00A005C6" w:rsidRDefault="009B3FFD" w:rsidP="00903041">
            <w:pPr>
              <w:pStyle w:val="NoSpacing"/>
              <w:jc w:val="center"/>
            </w:pPr>
            <w:r>
              <w:t>0.10</w:t>
            </w:r>
          </w:p>
        </w:tc>
        <w:tc>
          <w:tcPr>
            <w:tcW w:w="1350" w:type="dxa"/>
          </w:tcPr>
          <w:p w14:paraId="40670254" w14:textId="7D4BA178" w:rsidR="00A005C6" w:rsidRDefault="009B3FFD" w:rsidP="00903041">
            <w:pPr>
              <w:pStyle w:val="NoSpacing"/>
              <w:jc w:val="center"/>
            </w:pPr>
            <w:r>
              <w:t>0.06</w:t>
            </w:r>
          </w:p>
        </w:tc>
        <w:tc>
          <w:tcPr>
            <w:tcW w:w="630" w:type="dxa"/>
          </w:tcPr>
          <w:p w14:paraId="4AD122C9" w14:textId="3281C092" w:rsidR="00A005C6" w:rsidRDefault="009B3FFD" w:rsidP="00903041">
            <w:pPr>
              <w:pStyle w:val="NoSpacing"/>
              <w:jc w:val="center"/>
            </w:pPr>
            <w:r>
              <w:t>0.09</w:t>
            </w:r>
          </w:p>
        </w:tc>
        <w:tc>
          <w:tcPr>
            <w:tcW w:w="720" w:type="dxa"/>
          </w:tcPr>
          <w:p w14:paraId="543063CB" w14:textId="1D4F8021" w:rsidR="00A005C6" w:rsidRDefault="00DE62BD" w:rsidP="00903041">
            <w:pPr>
              <w:pStyle w:val="NoSpacing"/>
              <w:jc w:val="center"/>
            </w:pPr>
            <w:r>
              <w:t>0.06</w:t>
            </w:r>
          </w:p>
        </w:tc>
        <w:tc>
          <w:tcPr>
            <w:tcW w:w="1368" w:type="dxa"/>
          </w:tcPr>
          <w:p w14:paraId="5F71365D" w14:textId="0A0C1BDD" w:rsidR="00A005C6" w:rsidRDefault="00DE62BD" w:rsidP="00903041">
            <w:pPr>
              <w:pStyle w:val="NoSpacing"/>
              <w:jc w:val="center"/>
            </w:pPr>
            <w:r>
              <w:t>0.06</w:t>
            </w:r>
          </w:p>
        </w:tc>
        <w:tc>
          <w:tcPr>
            <w:tcW w:w="0" w:type="auto"/>
          </w:tcPr>
          <w:p w14:paraId="153F82E7" w14:textId="5E3BFADD" w:rsidR="00A005C6" w:rsidRDefault="00DE62BD" w:rsidP="00903041">
            <w:pPr>
              <w:pStyle w:val="NoSpacing"/>
              <w:jc w:val="center"/>
            </w:pPr>
            <w:r>
              <w:t>0.30</w:t>
            </w:r>
          </w:p>
        </w:tc>
      </w:tr>
      <w:tr w:rsidR="00A005C6" w14:paraId="7C01AAD9" w14:textId="77777777" w:rsidTr="000C3AF2">
        <w:tc>
          <w:tcPr>
            <w:tcW w:w="4495" w:type="dxa"/>
          </w:tcPr>
          <w:p w14:paraId="109C99B4" w14:textId="77777777" w:rsidR="00A005C6" w:rsidRDefault="00A005C6" w:rsidP="00903041">
            <w:pPr>
              <w:pStyle w:val="NoSpacing"/>
            </w:pPr>
            <w:r>
              <w:t>Off-premise density</w:t>
            </w:r>
          </w:p>
        </w:tc>
        <w:tc>
          <w:tcPr>
            <w:tcW w:w="900" w:type="dxa"/>
          </w:tcPr>
          <w:p w14:paraId="62C14B88" w14:textId="6B595955" w:rsidR="00A005C6" w:rsidRDefault="009B3FFD" w:rsidP="00903041">
            <w:pPr>
              <w:pStyle w:val="NoSpacing"/>
              <w:jc w:val="center"/>
            </w:pPr>
            <w:r>
              <w:t>-0.02</w:t>
            </w:r>
          </w:p>
        </w:tc>
        <w:tc>
          <w:tcPr>
            <w:tcW w:w="1350" w:type="dxa"/>
          </w:tcPr>
          <w:p w14:paraId="2C7B82A4" w14:textId="7DFE28E9" w:rsidR="00A005C6" w:rsidRDefault="009B3FFD" w:rsidP="00903041">
            <w:pPr>
              <w:pStyle w:val="NoSpacing"/>
              <w:jc w:val="center"/>
            </w:pPr>
            <w:r>
              <w:t>0.09</w:t>
            </w:r>
          </w:p>
        </w:tc>
        <w:tc>
          <w:tcPr>
            <w:tcW w:w="630" w:type="dxa"/>
          </w:tcPr>
          <w:p w14:paraId="194F8614" w14:textId="3675ABDE" w:rsidR="00A005C6" w:rsidRDefault="009B3FFD" w:rsidP="009B3FFD">
            <w:pPr>
              <w:pStyle w:val="NoSpacing"/>
              <w:jc w:val="center"/>
            </w:pPr>
            <w:r>
              <w:t>0.78</w:t>
            </w:r>
          </w:p>
        </w:tc>
        <w:tc>
          <w:tcPr>
            <w:tcW w:w="720" w:type="dxa"/>
          </w:tcPr>
          <w:p w14:paraId="1AD75F18" w14:textId="406422C2" w:rsidR="00A005C6" w:rsidRDefault="00DE62BD" w:rsidP="00903041">
            <w:pPr>
              <w:pStyle w:val="NoSpacing"/>
              <w:jc w:val="center"/>
            </w:pPr>
            <w:r>
              <w:t>0.05</w:t>
            </w:r>
          </w:p>
        </w:tc>
        <w:tc>
          <w:tcPr>
            <w:tcW w:w="1368" w:type="dxa"/>
          </w:tcPr>
          <w:p w14:paraId="5367ED8A" w14:textId="4A317F4D" w:rsidR="00A005C6" w:rsidRDefault="00DE62BD" w:rsidP="00903041">
            <w:pPr>
              <w:pStyle w:val="NoSpacing"/>
              <w:jc w:val="center"/>
            </w:pPr>
            <w:r>
              <w:t>0.10</w:t>
            </w:r>
          </w:p>
        </w:tc>
        <w:tc>
          <w:tcPr>
            <w:tcW w:w="0" w:type="auto"/>
          </w:tcPr>
          <w:p w14:paraId="5510AE75" w14:textId="0E482553" w:rsidR="00A005C6" w:rsidRDefault="00DE62BD" w:rsidP="00903041">
            <w:pPr>
              <w:pStyle w:val="NoSpacing"/>
              <w:jc w:val="center"/>
            </w:pPr>
            <w:r>
              <w:t>0.61</w:t>
            </w:r>
          </w:p>
        </w:tc>
      </w:tr>
      <w:tr w:rsidR="00A005C6" w14:paraId="5EE44BFC" w14:textId="77777777" w:rsidTr="000C3AF2">
        <w:tc>
          <w:tcPr>
            <w:tcW w:w="4495" w:type="dxa"/>
          </w:tcPr>
          <w:p w14:paraId="670439B2" w14:textId="77777777" w:rsidR="00A005C6" w:rsidRDefault="00A005C6" w:rsidP="00903041">
            <w:pPr>
              <w:pStyle w:val="NoSpacing"/>
            </w:pPr>
            <w:r>
              <w:t>Population density</w:t>
            </w:r>
          </w:p>
        </w:tc>
        <w:tc>
          <w:tcPr>
            <w:tcW w:w="900" w:type="dxa"/>
          </w:tcPr>
          <w:p w14:paraId="28264D0A" w14:textId="34DDE49F" w:rsidR="00A005C6" w:rsidRDefault="009B3FFD" w:rsidP="00903041">
            <w:pPr>
              <w:pStyle w:val="NoSpacing"/>
              <w:jc w:val="center"/>
            </w:pPr>
            <w:r>
              <w:t>0.00</w:t>
            </w:r>
          </w:p>
        </w:tc>
        <w:tc>
          <w:tcPr>
            <w:tcW w:w="1350" w:type="dxa"/>
          </w:tcPr>
          <w:p w14:paraId="60663745" w14:textId="46E6770C" w:rsidR="00A005C6" w:rsidRDefault="009B3FFD" w:rsidP="00903041">
            <w:pPr>
              <w:pStyle w:val="NoSpacing"/>
              <w:jc w:val="center"/>
            </w:pPr>
            <w:r>
              <w:t>0.00</w:t>
            </w:r>
          </w:p>
        </w:tc>
        <w:tc>
          <w:tcPr>
            <w:tcW w:w="630" w:type="dxa"/>
          </w:tcPr>
          <w:p w14:paraId="4C634C93" w14:textId="64624B53" w:rsidR="009B3FFD" w:rsidRDefault="009B3FFD" w:rsidP="009B3FFD">
            <w:pPr>
              <w:pStyle w:val="NoSpacing"/>
              <w:jc w:val="center"/>
            </w:pPr>
            <w:r>
              <w:t>0.00</w:t>
            </w:r>
          </w:p>
        </w:tc>
        <w:tc>
          <w:tcPr>
            <w:tcW w:w="720" w:type="dxa"/>
          </w:tcPr>
          <w:p w14:paraId="187D7C92" w14:textId="018CC148" w:rsidR="00A005C6" w:rsidRDefault="00DE62BD" w:rsidP="00903041">
            <w:pPr>
              <w:pStyle w:val="NoSpacing"/>
              <w:jc w:val="center"/>
            </w:pPr>
            <w:r>
              <w:t>0.00</w:t>
            </w:r>
          </w:p>
        </w:tc>
        <w:tc>
          <w:tcPr>
            <w:tcW w:w="1368" w:type="dxa"/>
          </w:tcPr>
          <w:p w14:paraId="2120A65D" w14:textId="5CB43513" w:rsidR="00A005C6" w:rsidRDefault="00DE62BD" w:rsidP="00903041">
            <w:pPr>
              <w:pStyle w:val="NoSpacing"/>
              <w:jc w:val="center"/>
            </w:pPr>
            <w:r>
              <w:t>0.00</w:t>
            </w:r>
          </w:p>
        </w:tc>
        <w:tc>
          <w:tcPr>
            <w:tcW w:w="0" w:type="auto"/>
          </w:tcPr>
          <w:p w14:paraId="7C9AEF89" w14:textId="001451CF" w:rsidR="00A005C6" w:rsidRDefault="00DE62BD" w:rsidP="00903041">
            <w:pPr>
              <w:pStyle w:val="NoSpacing"/>
              <w:jc w:val="center"/>
            </w:pPr>
            <w:r>
              <w:t>0.00</w:t>
            </w:r>
          </w:p>
        </w:tc>
      </w:tr>
      <w:tr w:rsidR="00A005C6" w14:paraId="66B6367D" w14:textId="77777777" w:rsidTr="000C3AF2">
        <w:tc>
          <w:tcPr>
            <w:tcW w:w="4495" w:type="dxa"/>
          </w:tcPr>
          <w:p w14:paraId="7743EE11" w14:textId="77777777" w:rsidR="00A005C6" w:rsidRDefault="00A005C6" w:rsidP="00903041">
            <w:pPr>
              <w:pStyle w:val="NoSpacing"/>
            </w:pPr>
            <w:r>
              <w:t>Proportion young</w:t>
            </w:r>
          </w:p>
        </w:tc>
        <w:tc>
          <w:tcPr>
            <w:tcW w:w="900" w:type="dxa"/>
          </w:tcPr>
          <w:p w14:paraId="0410F51F" w14:textId="3E7557BC" w:rsidR="00A005C6" w:rsidRDefault="009B3FFD" w:rsidP="00903041">
            <w:pPr>
              <w:pStyle w:val="NoSpacing"/>
              <w:jc w:val="center"/>
            </w:pPr>
            <w:r>
              <w:t>-1.50</w:t>
            </w:r>
          </w:p>
        </w:tc>
        <w:tc>
          <w:tcPr>
            <w:tcW w:w="1350" w:type="dxa"/>
          </w:tcPr>
          <w:p w14:paraId="19984BF4" w14:textId="35446A35" w:rsidR="00A005C6" w:rsidRDefault="009B3FFD" w:rsidP="00903041">
            <w:pPr>
              <w:pStyle w:val="NoSpacing"/>
              <w:jc w:val="center"/>
            </w:pPr>
            <w:r>
              <w:t>1.24</w:t>
            </w:r>
          </w:p>
        </w:tc>
        <w:tc>
          <w:tcPr>
            <w:tcW w:w="630" w:type="dxa"/>
          </w:tcPr>
          <w:p w14:paraId="02A69122" w14:textId="09C83A9C" w:rsidR="00A005C6" w:rsidRDefault="009B3FFD" w:rsidP="00903041">
            <w:pPr>
              <w:pStyle w:val="NoSpacing"/>
              <w:jc w:val="center"/>
            </w:pPr>
            <w:r>
              <w:t>0.22</w:t>
            </w:r>
          </w:p>
        </w:tc>
        <w:tc>
          <w:tcPr>
            <w:tcW w:w="720" w:type="dxa"/>
          </w:tcPr>
          <w:p w14:paraId="4B1A6F63" w14:textId="5D5CA7CC" w:rsidR="00A005C6" w:rsidRDefault="00DE62BD" w:rsidP="00903041">
            <w:pPr>
              <w:pStyle w:val="NoSpacing"/>
              <w:jc w:val="center"/>
            </w:pPr>
            <w:r>
              <w:t>-1.47</w:t>
            </w:r>
          </w:p>
        </w:tc>
        <w:tc>
          <w:tcPr>
            <w:tcW w:w="1368" w:type="dxa"/>
          </w:tcPr>
          <w:p w14:paraId="502FFEFC" w14:textId="429E69A8" w:rsidR="00A005C6" w:rsidRDefault="00DE62BD" w:rsidP="00903041">
            <w:pPr>
              <w:pStyle w:val="NoSpacing"/>
              <w:jc w:val="center"/>
            </w:pPr>
            <w:r>
              <w:t>1.24</w:t>
            </w:r>
          </w:p>
        </w:tc>
        <w:tc>
          <w:tcPr>
            <w:tcW w:w="0" w:type="auto"/>
          </w:tcPr>
          <w:p w14:paraId="5C55E81B" w14:textId="0DAAFC3F" w:rsidR="00A005C6" w:rsidRDefault="00DE62BD" w:rsidP="00903041">
            <w:pPr>
              <w:pStyle w:val="NoSpacing"/>
              <w:jc w:val="center"/>
            </w:pPr>
            <w:r>
              <w:t>0.24</w:t>
            </w:r>
          </w:p>
        </w:tc>
      </w:tr>
      <w:tr w:rsidR="00A005C6" w14:paraId="275622C4" w14:textId="77777777" w:rsidTr="000C3AF2">
        <w:tc>
          <w:tcPr>
            <w:tcW w:w="4495" w:type="dxa"/>
          </w:tcPr>
          <w:p w14:paraId="77553BB7" w14:textId="77777777" w:rsidR="00A005C6" w:rsidRPr="00B507DD" w:rsidRDefault="00A005C6" w:rsidP="00903041">
            <w:pPr>
              <w:pStyle w:val="NoSpacing"/>
            </w:pPr>
            <w:r>
              <w:t>Distance from city center</w:t>
            </w:r>
          </w:p>
        </w:tc>
        <w:tc>
          <w:tcPr>
            <w:tcW w:w="900" w:type="dxa"/>
          </w:tcPr>
          <w:p w14:paraId="1BE0C150" w14:textId="3F82B337" w:rsidR="00A005C6" w:rsidRDefault="009B3FFD" w:rsidP="00903041">
            <w:pPr>
              <w:pStyle w:val="NoSpacing"/>
              <w:jc w:val="center"/>
            </w:pPr>
            <w:r>
              <w:t>-0.13</w:t>
            </w:r>
          </w:p>
        </w:tc>
        <w:tc>
          <w:tcPr>
            <w:tcW w:w="1350" w:type="dxa"/>
          </w:tcPr>
          <w:p w14:paraId="1864C7D9" w14:textId="27756A5C" w:rsidR="00A005C6" w:rsidRDefault="009B3FFD" w:rsidP="00903041">
            <w:pPr>
              <w:pStyle w:val="NoSpacing"/>
              <w:jc w:val="center"/>
            </w:pPr>
            <w:r>
              <w:t>0.08</w:t>
            </w:r>
          </w:p>
        </w:tc>
        <w:tc>
          <w:tcPr>
            <w:tcW w:w="630" w:type="dxa"/>
          </w:tcPr>
          <w:p w14:paraId="6D5382A2" w14:textId="20BC1F03" w:rsidR="00A005C6" w:rsidRDefault="009B3FFD" w:rsidP="00903041">
            <w:pPr>
              <w:pStyle w:val="NoSpacing"/>
              <w:jc w:val="center"/>
            </w:pPr>
            <w:r>
              <w:t>0.10</w:t>
            </w:r>
          </w:p>
        </w:tc>
        <w:tc>
          <w:tcPr>
            <w:tcW w:w="720" w:type="dxa"/>
          </w:tcPr>
          <w:p w14:paraId="37C76089" w14:textId="05965FE7" w:rsidR="00A005C6" w:rsidRDefault="00DE62BD" w:rsidP="00903041">
            <w:pPr>
              <w:pStyle w:val="NoSpacing"/>
              <w:jc w:val="center"/>
            </w:pPr>
            <w:r>
              <w:t>-0.11</w:t>
            </w:r>
          </w:p>
        </w:tc>
        <w:tc>
          <w:tcPr>
            <w:tcW w:w="1368" w:type="dxa"/>
          </w:tcPr>
          <w:p w14:paraId="76CF3FF5" w14:textId="5FD2988B" w:rsidR="00A005C6" w:rsidRDefault="00DE62BD" w:rsidP="00903041">
            <w:pPr>
              <w:pStyle w:val="NoSpacing"/>
              <w:jc w:val="center"/>
            </w:pPr>
            <w:r>
              <w:t>0.08</w:t>
            </w:r>
          </w:p>
        </w:tc>
        <w:tc>
          <w:tcPr>
            <w:tcW w:w="0" w:type="auto"/>
          </w:tcPr>
          <w:p w14:paraId="07D59231" w14:textId="78A29DC8" w:rsidR="00A005C6" w:rsidRDefault="00DE62BD" w:rsidP="00903041">
            <w:pPr>
              <w:pStyle w:val="NoSpacing"/>
              <w:jc w:val="center"/>
            </w:pPr>
            <w:r>
              <w:t>0.13</w:t>
            </w:r>
          </w:p>
        </w:tc>
      </w:tr>
      <w:tr w:rsidR="00A005C6" w14:paraId="49AF7578" w14:textId="77777777" w:rsidTr="000C3AF2">
        <w:tc>
          <w:tcPr>
            <w:tcW w:w="4495" w:type="dxa"/>
          </w:tcPr>
          <w:p w14:paraId="2E807F30" w14:textId="77777777" w:rsidR="00A005C6" w:rsidRDefault="00A005C6" w:rsidP="00903041">
            <w:pPr>
              <w:pStyle w:val="NoSpacing"/>
            </w:pPr>
            <w:r>
              <w:rPr>
                <w:i/>
                <w:iCs/>
              </w:rPr>
              <w:t>Rho</w:t>
            </w:r>
            <w:r>
              <w:t xml:space="preserve"> Vandalism density</w:t>
            </w:r>
          </w:p>
        </w:tc>
        <w:tc>
          <w:tcPr>
            <w:tcW w:w="900" w:type="dxa"/>
          </w:tcPr>
          <w:p w14:paraId="129C20F1" w14:textId="50CE8099" w:rsidR="00A005C6" w:rsidRDefault="009B3FFD" w:rsidP="00903041">
            <w:pPr>
              <w:pStyle w:val="NoSpacing"/>
              <w:jc w:val="center"/>
            </w:pPr>
            <w:r>
              <w:t>0.47</w:t>
            </w:r>
          </w:p>
        </w:tc>
        <w:tc>
          <w:tcPr>
            <w:tcW w:w="1350" w:type="dxa"/>
          </w:tcPr>
          <w:p w14:paraId="0AA8827D" w14:textId="7DA2ACAC" w:rsidR="00A005C6" w:rsidRDefault="009B3FFD" w:rsidP="00903041">
            <w:pPr>
              <w:pStyle w:val="NoSpacing"/>
              <w:jc w:val="center"/>
            </w:pPr>
            <w:r>
              <w:t>0.11</w:t>
            </w:r>
          </w:p>
        </w:tc>
        <w:tc>
          <w:tcPr>
            <w:tcW w:w="630" w:type="dxa"/>
          </w:tcPr>
          <w:p w14:paraId="7DA2AD14" w14:textId="7F81B1C5" w:rsidR="00A005C6" w:rsidRDefault="009B3FFD" w:rsidP="00903041">
            <w:pPr>
              <w:pStyle w:val="NoSpacing"/>
              <w:jc w:val="center"/>
            </w:pPr>
            <w:r>
              <w:t>0.00</w:t>
            </w:r>
          </w:p>
        </w:tc>
        <w:tc>
          <w:tcPr>
            <w:tcW w:w="720" w:type="dxa"/>
          </w:tcPr>
          <w:p w14:paraId="64D6D6E4" w14:textId="45A68D0A" w:rsidR="00A005C6" w:rsidRDefault="00DE62BD" w:rsidP="00903041">
            <w:pPr>
              <w:pStyle w:val="NoSpacing"/>
              <w:jc w:val="center"/>
            </w:pPr>
            <w:r>
              <w:t>0.48</w:t>
            </w:r>
          </w:p>
        </w:tc>
        <w:tc>
          <w:tcPr>
            <w:tcW w:w="1368" w:type="dxa"/>
          </w:tcPr>
          <w:p w14:paraId="20FEE822" w14:textId="3E879273" w:rsidR="00A005C6" w:rsidRDefault="00DE62BD" w:rsidP="00903041">
            <w:pPr>
              <w:pStyle w:val="NoSpacing"/>
              <w:jc w:val="center"/>
            </w:pPr>
            <w:r>
              <w:t>0.11</w:t>
            </w:r>
          </w:p>
        </w:tc>
        <w:tc>
          <w:tcPr>
            <w:tcW w:w="0" w:type="auto"/>
          </w:tcPr>
          <w:p w14:paraId="6E1C2B21" w14:textId="22359939" w:rsidR="00A005C6" w:rsidRDefault="00DE62BD" w:rsidP="00903041">
            <w:pPr>
              <w:pStyle w:val="NoSpacing"/>
              <w:jc w:val="center"/>
            </w:pPr>
            <w:r>
              <w:t>0.00</w:t>
            </w:r>
          </w:p>
        </w:tc>
      </w:tr>
      <w:tr w:rsidR="00A005C6" w14:paraId="65CAF7F7" w14:textId="77777777" w:rsidTr="000C3AF2">
        <w:tc>
          <w:tcPr>
            <w:tcW w:w="4495" w:type="dxa"/>
          </w:tcPr>
          <w:p w14:paraId="6B3A4665" w14:textId="77777777" w:rsidR="00A005C6" w:rsidRPr="00B507DD" w:rsidRDefault="00A005C6" w:rsidP="00903041">
            <w:pPr>
              <w:pStyle w:val="NoSpacing"/>
            </w:pPr>
            <w:r>
              <w:t>Constant</w:t>
            </w:r>
          </w:p>
        </w:tc>
        <w:tc>
          <w:tcPr>
            <w:tcW w:w="900" w:type="dxa"/>
          </w:tcPr>
          <w:p w14:paraId="35AB8DAC" w14:textId="5A44E6B8" w:rsidR="00A005C6" w:rsidRDefault="009B3FFD" w:rsidP="00903041">
            <w:pPr>
              <w:pStyle w:val="NoSpacing"/>
              <w:jc w:val="center"/>
            </w:pPr>
            <w:r>
              <w:t>1.68</w:t>
            </w:r>
          </w:p>
        </w:tc>
        <w:tc>
          <w:tcPr>
            <w:tcW w:w="1350" w:type="dxa"/>
          </w:tcPr>
          <w:p w14:paraId="1166D86D" w14:textId="54A15238" w:rsidR="00A005C6" w:rsidRDefault="009B3FFD" w:rsidP="00903041">
            <w:pPr>
              <w:pStyle w:val="NoSpacing"/>
              <w:jc w:val="center"/>
            </w:pPr>
            <w:r>
              <w:t>0.94</w:t>
            </w:r>
          </w:p>
        </w:tc>
        <w:tc>
          <w:tcPr>
            <w:tcW w:w="630" w:type="dxa"/>
          </w:tcPr>
          <w:p w14:paraId="31899861" w14:textId="453202DF" w:rsidR="00A005C6" w:rsidRDefault="009B3FFD" w:rsidP="00903041">
            <w:pPr>
              <w:pStyle w:val="NoSpacing"/>
              <w:jc w:val="center"/>
            </w:pPr>
            <w:r>
              <w:t>0.07</w:t>
            </w:r>
          </w:p>
        </w:tc>
        <w:tc>
          <w:tcPr>
            <w:tcW w:w="720" w:type="dxa"/>
          </w:tcPr>
          <w:p w14:paraId="06A77F5C" w14:textId="1137EF6F" w:rsidR="00A005C6" w:rsidRDefault="00DE62BD" w:rsidP="00903041">
            <w:pPr>
              <w:pStyle w:val="NoSpacing"/>
              <w:jc w:val="center"/>
            </w:pPr>
            <w:r>
              <w:t>1.60</w:t>
            </w:r>
          </w:p>
        </w:tc>
        <w:tc>
          <w:tcPr>
            <w:tcW w:w="1368" w:type="dxa"/>
          </w:tcPr>
          <w:p w14:paraId="62CD8FC9" w14:textId="55DAE24B" w:rsidR="00A005C6" w:rsidRDefault="00DE62BD" w:rsidP="00903041">
            <w:pPr>
              <w:pStyle w:val="NoSpacing"/>
              <w:jc w:val="center"/>
            </w:pPr>
            <w:r>
              <w:t>0.94</w:t>
            </w:r>
          </w:p>
        </w:tc>
        <w:tc>
          <w:tcPr>
            <w:tcW w:w="0" w:type="auto"/>
          </w:tcPr>
          <w:p w14:paraId="03120809" w14:textId="0BC0B2E5" w:rsidR="00A005C6" w:rsidRDefault="00DE62BD" w:rsidP="00903041">
            <w:pPr>
              <w:pStyle w:val="NoSpacing"/>
              <w:jc w:val="center"/>
            </w:pPr>
            <w:r>
              <w:t>0.09</w:t>
            </w:r>
          </w:p>
        </w:tc>
      </w:tr>
      <w:tr w:rsidR="00A005C6" w14:paraId="27559003" w14:textId="77777777" w:rsidTr="000C3AF2">
        <w:tc>
          <w:tcPr>
            <w:tcW w:w="4495" w:type="dxa"/>
          </w:tcPr>
          <w:p w14:paraId="3697AF80" w14:textId="77777777" w:rsidR="00A005C6" w:rsidRDefault="00A005C6" w:rsidP="00903041">
            <w:pPr>
              <w:pStyle w:val="NoSpacing"/>
            </w:pPr>
            <w:r>
              <w:t>Pseudo-</w:t>
            </w:r>
            <w:r>
              <w:rPr>
                <w:i/>
                <w:iCs/>
              </w:rPr>
              <w:t>R</w:t>
            </w:r>
            <w:r>
              <w:t>-squared</w:t>
            </w:r>
          </w:p>
        </w:tc>
        <w:tc>
          <w:tcPr>
            <w:tcW w:w="900" w:type="dxa"/>
          </w:tcPr>
          <w:p w14:paraId="74349A23" w14:textId="77777777" w:rsidR="00A005C6" w:rsidRDefault="00A005C6" w:rsidP="00903041">
            <w:pPr>
              <w:pStyle w:val="NoSpacing"/>
              <w:jc w:val="center"/>
            </w:pPr>
          </w:p>
        </w:tc>
        <w:tc>
          <w:tcPr>
            <w:tcW w:w="1350" w:type="dxa"/>
          </w:tcPr>
          <w:p w14:paraId="210A2C59" w14:textId="5D543F60" w:rsidR="00A005C6" w:rsidRDefault="009B3FFD" w:rsidP="00903041">
            <w:pPr>
              <w:pStyle w:val="NoSpacing"/>
              <w:jc w:val="center"/>
            </w:pPr>
            <w:r>
              <w:t>0.60</w:t>
            </w:r>
          </w:p>
        </w:tc>
        <w:tc>
          <w:tcPr>
            <w:tcW w:w="630" w:type="dxa"/>
          </w:tcPr>
          <w:p w14:paraId="1E542116" w14:textId="77777777" w:rsidR="00A005C6" w:rsidRDefault="00A005C6" w:rsidP="00903041">
            <w:pPr>
              <w:pStyle w:val="NoSpacing"/>
              <w:jc w:val="center"/>
            </w:pPr>
          </w:p>
        </w:tc>
        <w:tc>
          <w:tcPr>
            <w:tcW w:w="720" w:type="dxa"/>
          </w:tcPr>
          <w:p w14:paraId="1C85F8CD" w14:textId="77777777" w:rsidR="00A005C6" w:rsidRDefault="00A005C6" w:rsidP="00903041">
            <w:pPr>
              <w:pStyle w:val="NoSpacing"/>
              <w:jc w:val="center"/>
            </w:pPr>
          </w:p>
        </w:tc>
        <w:tc>
          <w:tcPr>
            <w:tcW w:w="1368" w:type="dxa"/>
          </w:tcPr>
          <w:p w14:paraId="5AA67F9A" w14:textId="7B0EDC56" w:rsidR="00A005C6" w:rsidRDefault="00DE62BD" w:rsidP="00903041">
            <w:pPr>
              <w:pStyle w:val="NoSpacing"/>
              <w:jc w:val="center"/>
            </w:pPr>
            <w:r>
              <w:t>0.60</w:t>
            </w:r>
          </w:p>
        </w:tc>
        <w:tc>
          <w:tcPr>
            <w:tcW w:w="0" w:type="auto"/>
          </w:tcPr>
          <w:p w14:paraId="407A1A73" w14:textId="77777777" w:rsidR="00A005C6" w:rsidRDefault="00A005C6" w:rsidP="00903041">
            <w:pPr>
              <w:pStyle w:val="NoSpacing"/>
              <w:jc w:val="center"/>
            </w:pPr>
          </w:p>
        </w:tc>
      </w:tr>
      <w:tr w:rsidR="00A005C6" w14:paraId="45D4E826" w14:textId="77777777" w:rsidTr="000C3AF2">
        <w:tc>
          <w:tcPr>
            <w:tcW w:w="4495" w:type="dxa"/>
          </w:tcPr>
          <w:p w14:paraId="18827B97" w14:textId="77777777" w:rsidR="00A005C6" w:rsidRDefault="00A005C6" w:rsidP="00903041">
            <w:pPr>
              <w:pStyle w:val="NoSpacing"/>
            </w:pPr>
            <w:r>
              <w:t>Multicollinearity condition number</w:t>
            </w:r>
          </w:p>
        </w:tc>
        <w:tc>
          <w:tcPr>
            <w:tcW w:w="900" w:type="dxa"/>
          </w:tcPr>
          <w:p w14:paraId="60CC01AE" w14:textId="77777777" w:rsidR="00A005C6" w:rsidRDefault="00A005C6" w:rsidP="00903041">
            <w:pPr>
              <w:pStyle w:val="NoSpacing"/>
              <w:jc w:val="center"/>
            </w:pPr>
          </w:p>
        </w:tc>
        <w:tc>
          <w:tcPr>
            <w:tcW w:w="1350" w:type="dxa"/>
          </w:tcPr>
          <w:p w14:paraId="0D696866" w14:textId="340DC46C" w:rsidR="00A005C6" w:rsidRDefault="009B3FFD" w:rsidP="00903041">
            <w:pPr>
              <w:pStyle w:val="NoSpacing"/>
              <w:jc w:val="center"/>
            </w:pPr>
            <w:r>
              <w:t>10.05</w:t>
            </w:r>
          </w:p>
        </w:tc>
        <w:tc>
          <w:tcPr>
            <w:tcW w:w="630" w:type="dxa"/>
          </w:tcPr>
          <w:p w14:paraId="1FD6D205" w14:textId="77777777" w:rsidR="00A005C6" w:rsidRDefault="00A005C6" w:rsidP="00903041">
            <w:pPr>
              <w:pStyle w:val="NoSpacing"/>
              <w:jc w:val="center"/>
            </w:pPr>
          </w:p>
        </w:tc>
        <w:tc>
          <w:tcPr>
            <w:tcW w:w="720" w:type="dxa"/>
          </w:tcPr>
          <w:p w14:paraId="0F43CFCD" w14:textId="77777777" w:rsidR="00A005C6" w:rsidRDefault="00A005C6" w:rsidP="00903041">
            <w:pPr>
              <w:pStyle w:val="NoSpacing"/>
              <w:jc w:val="center"/>
            </w:pPr>
          </w:p>
        </w:tc>
        <w:tc>
          <w:tcPr>
            <w:tcW w:w="1368" w:type="dxa"/>
          </w:tcPr>
          <w:p w14:paraId="3787B7FA" w14:textId="6CD72D4E" w:rsidR="00A005C6" w:rsidRDefault="00DE62BD" w:rsidP="00903041">
            <w:pPr>
              <w:pStyle w:val="NoSpacing"/>
              <w:jc w:val="center"/>
            </w:pPr>
            <w:r>
              <w:t>10.11</w:t>
            </w:r>
          </w:p>
        </w:tc>
        <w:tc>
          <w:tcPr>
            <w:tcW w:w="0" w:type="auto"/>
          </w:tcPr>
          <w:p w14:paraId="6CA9B6C0" w14:textId="77777777" w:rsidR="00A005C6" w:rsidRDefault="00A005C6" w:rsidP="00903041">
            <w:pPr>
              <w:pStyle w:val="NoSpacing"/>
              <w:jc w:val="center"/>
            </w:pPr>
          </w:p>
        </w:tc>
      </w:tr>
      <w:tr w:rsidR="00A005C6" w14:paraId="6479F27A" w14:textId="77777777" w:rsidTr="000C3AF2">
        <w:tc>
          <w:tcPr>
            <w:tcW w:w="4495" w:type="dxa"/>
          </w:tcPr>
          <w:p w14:paraId="13DAD226" w14:textId="77777777" w:rsidR="00A005C6" w:rsidRDefault="00A005C6" w:rsidP="00903041">
            <w:pPr>
              <w:pStyle w:val="NoSpacing"/>
            </w:pPr>
            <w:r>
              <w:t>S.E. of Regression</w:t>
            </w:r>
          </w:p>
        </w:tc>
        <w:tc>
          <w:tcPr>
            <w:tcW w:w="900" w:type="dxa"/>
          </w:tcPr>
          <w:p w14:paraId="4CBCB533" w14:textId="77777777" w:rsidR="00A005C6" w:rsidRDefault="00A005C6" w:rsidP="00903041">
            <w:pPr>
              <w:pStyle w:val="NoSpacing"/>
              <w:jc w:val="center"/>
            </w:pPr>
          </w:p>
        </w:tc>
        <w:tc>
          <w:tcPr>
            <w:tcW w:w="1350" w:type="dxa"/>
          </w:tcPr>
          <w:p w14:paraId="7E80449C" w14:textId="511B4350" w:rsidR="00A005C6" w:rsidRDefault="009B3FFD" w:rsidP="00903041">
            <w:pPr>
              <w:pStyle w:val="NoSpacing"/>
              <w:jc w:val="center"/>
            </w:pPr>
            <w:r>
              <w:t>1.93</w:t>
            </w:r>
          </w:p>
        </w:tc>
        <w:tc>
          <w:tcPr>
            <w:tcW w:w="630" w:type="dxa"/>
          </w:tcPr>
          <w:p w14:paraId="19D501C5" w14:textId="77777777" w:rsidR="00A005C6" w:rsidRDefault="00A005C6" w:rsidP="00903041">
            <w:pPr>
              <w:pStyle w:val="NoSpacing"/>
              <w:jc w:val="center"/>
            </w:pPr>
          </w:p>
        </w:tc>
        <w:tc>
          <w:tcPr>
            <w:tcW w:w="720" w:type="dxa"/>
          </w:tcPr>
          <w:p w14:paraId="1BB1A807" w14:textId="77777777" w:rsidR="00A005C6" w:rsidRDefault="00A005C6" w:rsidP="00903041">
            <w:pPr>
              <w:pStyle w:val="NoSpacing"/>
              <w:jc w:val="center"/>
            </w:pPr>
          </w:p>
        </w:tc>
        <w:tc>
          <w:tcPr>
            <w:tcW w:w="1368" w:type="dxa"/>
          </w:tcPr>
          <w:p w14:paraId="0987D6A2" w14:textId="7AEE0D0B" w:rsidR="00A005C6" w:rsidRDefault="00DE62BD" w:rsidP="00903041">
            <w:pPr>
              <w:pStyle w:val="NoSpacing"/>
              <w:jc w:val="center"/>
            </w:pPr>
            <w:r>
              <w:t>1.93</w:t>
            </w:r>
          </w:p>
        </w:tc>
        <w:tc>
          <w:tcPr>
            <w:tcW w:w="0" w:type="auto"/>
          </w:tcPr>
          <w:p w14:paraId="3B41C045" w14:textId="77777777" w:rsidR="00A005C6" w:rsidRDefault="00A005C6" w:rsidP="00903041">
            <w:pPr>
              <w:pStyle w:val="NoSpacing"/>
              <w:jc w:val="center"/>
            </w:pPr>
          </w:p>
        </w:tc>
      </w:tr>
    </w:tbl>
    <w:p w14:paraId="777C7CDA" w14:textId="77777777" w:rsidR="00A005C6" w:rsidRPr="00A005C6" w:rsidRDefault="00A005C6" w:rsidP="00A005C6">
      <w:pPr>
        <w:pStyle w:val="NoSpacing"/>
      </w:pPr>
    </w:p>
    <w:sectPr w:rsidR="00A005C6" w:rsidRPr="00A005C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616146"/>
    <w:multiLevelType w:val="multilevel"/>
    <w:tmpl w:val="20EC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5318AD"/>
    <w:multiLevelType w:val="multilevel"/>
    <w:tmpl w:val="B8CA9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4"/>
  </w:num>
  <w:num w:numId="2" w16cid:durableId="160394351">
    <w:abstractNumId w:val="1"/>
  </w:num>
  <w:num w:numId="3" w16cid:durableId="227612212">
    <w:abstractNumId w:val="2"/>
  </w:num>
  <w:num w:numId="4" w16cid:durableId="2014674526">
    <w:abstractNumId w:val="15"/>
  </w:num>
  <w:num w:numId="5" w16cid:durableId="1189415935">
    <w:abstractNumId w:val="17"/>
  </w:num>
  <w:num w:numId="6" w16cid:durableId="930431669">
    <w:abstractNumId w:val="13"/>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8"/>
  </w:num>
  <w:num w:numId="13" w16cid:durableId="1340767863">
    <w:abstractNumId w:val="19"/>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 w:numId="19" w16cid:durableId="1177695171">
    <w:abstractNumId w:val="16"/>
  </w:num>
  <w:num w:numId="20" w16cid:durableId="111864759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tMj0y88nwKuVOrTBzudw/U8ikmXZ4BwS0CTEJkgi7Fi4f2aLcXcSsvhLpkp9dr5mPivPsKyeAVZGUuywZIhlw==" w:salt="Zva98dfNHSe/LIZ6eBqH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1B26"/>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3DA8"/>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2A5F"/>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3AF2"/>
    <w:rsid w:val="000C6BA7"/>
    <w:rsid w:val="000D3573"/>
    <w:rsid w:val="000D4659"/>
    <w:rsid w:val="000D4F0B"/>
    <w:rsid w:val="000D6BF2"/>
    <w:rsid w:val="000E69EF"/>
    <w:rsid w:val="000E74E7"/>
    <w:rsid w:val="000E7C46"/>
    <w:rsid w:val="000F0449"/>
    <w:rsid w:val="000F08DA"/>
    <w:rsid w:val="000F14F0"/>
    <w:rsid w:val="000F1D5E"/>
    <w:rsid w:val="000F2519"/>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3723E"/>
    <w:rsid w:val="0014182B"/>
    <w:rsid w:val="0014490B"/>
    <w:rsid w:val="00146A5C"/>
    <w:rsid w:val="00146E50"/>
    <w:rsid w:val="00147E89"/>
    <w:rsid w:val="001500F0"/>
    <w:rsid w:val="00150DB6"/>
    <w:rsid w:val="00150E3E"/>
    <w:rsid w:val="00153103"/>
    <w:rsid w:val="00154C62"/>
    <w:rsid w:val="00154D34"/>
    <w:rsid w:val="00160CBF"/>
    <w:rsid w:val="00160E1F"/>
    <w:rsid w:val="00161372"/>
    <w:rsid w:val="001622DB"/>
    <w:rsid w:val="001637E0"/>
    <w:rsid w:val="00163F71"/>
    <w:rsid w:val="00171DCB"/>
    <w:rsid w:val="00173556"/>
    <w:rsid w:val="0018114F"/>
    <w:rsid w:val="00181AC0"/>
    <w:rsid w:val="00181ADF"/>
    <w:rsid w:val="00182ACD"/>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3A7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003C"/>
    <w:rsid w:val="00261403"/>
    <w:rsid w:val="00261F59"/>
    <w:rsid w:val="002707A2"/>
    <w:rsid w:val="00271B61"/>
    <w:rsid w:val="00272AF4"/>
    <w:rsid w:val="0027699C"/>
    <w:rsid w:val="00276C06"/>
    <w:rsid w:val="00280198"/>
    <w:rsid w:val="00280EB7"/>
    <w:rsid w:val="00281103"/>
    <w:rsid w:val="00282094"/>
    <w:rsid w:val="00283F92"/>
    <w:rsid w:val="002843BC"/>
    <w:rsid w:val="00284A84"/>
    <w:rsid w:val="002862AE"/>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178"/>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097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2355"/>
    <w:rsid w:val="003F3DDF"/>
    <w:rsid w:val="003F7F31"/>
    <w:rsid w:val="004010E3"/>
    <w:rsid w:val="004051E4"/>
    <w:rsid w:val="004055B8"/>
    <w:rsid w:val="0040709D"/>
    <w:rsid w:val="004122F9"/>
    <w:rsid w:val="004124D3"/>
    <w:rsid w:val="004139BA"/>
    <w:rsid w:val="00414591"/>
    <w:rsid w:val="00416C13"/>
    <w:rsid w:val="0041717B"/>
    <w:rsid w:val="00420CFB"/>
    <w:rsid w:val="00420EAA"/>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7D0"/>
    <w:rsid w:val="00490ABE"/>
    <w:rsid w:val="004932A8"/>
    <w:rsid w:val="00495B8D"/>
    <w:rsid w:val="00497E47"/>
    <w:rsid w:val="004A0368"/>
    <w:rsid w:val="004A2715"/>
    <w:rsid w:val="004A2894"/>
    <w:rsid w:val="004A2B41"/>
    <w:rsid w:val="004A3B3E"/>
    <w:rsid w:val="004B13F3"/>
    <w:rsid w:val="004B2226"/>
    <w:rsid w:val="004B404C"/>
    <w:rsid w:val="004B4EE4"/>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73"/>
    <w:rsid w:val="005B08F1"/>
    <w:rsid w:val="005B47BC"/>
    <w:rsid w:val="005B4879"/>
    <w:rsid w:val="005B5465"/>
    <w:rsid w:val="005B73F8"/>
    <w:rsid w:val="005C00EC"/>
    <w:rsid w:val="005C15C9"/>
    <w:rsid w:val="005C30E9"/>
    <w:rsid w:val="005C663B"/>
    <w:rsid w:val="005D0017"/>
    <w:rsid w:val="005D1C38"/>
    <w:rsid w:val="005D1ED6"/>
    <w:rsid w:val="005D3486"/>
    <w:rsid w:val="005D5C43"/>
    <w:rsid w:val="005D767A"/>
    <w:rsid w:val="005E0C6B"/>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31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43E"/>
    <w:rsid w:val="006647E7"/>
    <w:rsid w:val="00666FD4"/>
    <w:rsid w:val="00667217"/>
    <w:rsid w:val="006702C6"/>
    <w:rsid w:val="006769E6"/>
    <w:rsid w:val="00676C63"/>
    <w:rsid w:val="00682333"/>
    <w:rsid w:val="006844CA"/>
    <w:rsid w:val="00684B7F"/>
    <w:rsid w:val="006871E0"/>
    <w:rsid w:val="0068725E"/>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A93"/>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27D"/>
    <w:rsid w:val="00730E29"/>
    <w:rsid w:val="00732FF6"/>
    <w:rsid w:val="00735393"/>
    <w:rsid w:val="007440E5"/>
    <w:rsid w:val="007441DA"/>
    <w:rsid w:val="007457BC"/>
    <w:rsid w:val="00745E32"/>
    <w:rsid w:val="007466F7"/>
    <w:rsid w:val="00754D35"/>
    <w:rsid w:val="00757D89"/>
    <w:rsid w:val="0076194B"/>
    <w:rsid w:val="00763676"/>
    <w:rsid w:val="00763830"/>
    <w:rsid w:val="0076561D"/>
    <w:rsid w:val="00765F1D"/>
    <w:rsid w:val="007665FD"/>
    <w:rsid w:val="00772776"/>
    <w:rsid w:val="00776737"/>
    <w:rsid w:val="00776E56"/>
    <w:rsid w:val="00777334"/>
    <w:rsid w:val="00781619"/>
    <w:rsid w:val="00785981"/>
    <w:rsid w:val="0078697C"/>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3834"/>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20D"/>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D49BA"/>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3FFD"/>
    <w:rsid w:val="009B4F83"/>
    <w:rsid w:val="009B4FC7"/>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05C6"/>
    <w:rsid w:val="00A01B8D"/>
    <w:rsid w:val="00A034AE"/>
    <w:rsid w:val="00A035F5"/>
    <w:rsid w:val="00A03D50"/>
    <w:rsid w:val="00A10635"/>
    <w:rsid w:val="00A11F34"/>
    <w:rsid w:val="00A1280D"/>
    <w:rsid w:val="00A1350A"/>
    <w:rsid w:val="00A2308C"/>
    <w:rsid w:val="00A231A4"/>
    <w:rsid w:val="00A23793"/>
    <w:rsid w:val="00A24317"/>
    <w:rsid w:val="00A24B43"/>
    <w:rsid w:val="00A30B16"/>
    <w:rsid w:val="00A310DA"/>
    <w:rsid w:val="00A32FCB"/>
    <w:rsid w:val="00A3561C"/>
    <w:rsid w:val="00A400BC"/>
    <w:rsid w:val="00A40701"/>
    <w:rsid w:val="00A42169"/>
    <w:rsid w:val="00A424F1"/>
    <w:rsid w:val="00A426B2"/>
    <w:rsid w:val="00A45EE8"/>
    <w:rsid w:val="00A465FC"/>
    <w:rsid w:val="00A47B50"/>
    <w:rsid w:val="00A47C56"/>
    <w:rsid w:val="00A50005"/>
    <w:rsid w:val="00A50459"/>
    <w:rsid w:val="00A506CB"/>
    <w:rsid w:val="00A52369"/>
    <w:rsid w:val="00A52A88"/>
    <w:rsid w:val="00A55701"/>
    <w:rsid w:val="00A56ED1"/>
    <w:rsid w:val="00A612BF"/>
    <w:rsid w:val="00A648A4"/>
    <w:rsid w:val="00A650B2"/>
    <w:rsid w:val="00A7290A"/>
    <w:rsid w:val="00A72B02"/>
    <w:rsid w:val="00A75006"/>
    <w:rsid w:val="00A76653"/>
    <w:rsid w:val="00A76919"/>
    <w:rsid w:val="00A81E28"/>
    <w:rsid w:val="00A82932"/>
    <w:rsid w:val="00A82D07"/>
    <w:rsid w:val="00A84472"/>
    <w:rsid w:val="00A868FB"/>
    <w:rsid w:val="00A915ED"/>
    <w:rsid w:val="00A91CF2"/>
    <w:rsid w:val="00A930EE"/>
    <w:rsid w:val="00A93754"/>
    <w:rsid w:val="00A93BA4"/>
    <w:rsid w:val="00A9416E"/>
    <w:rsid w:val="00AA060F"/>
    <w:rsid w:val="00AA0DE8"/>
    <w:rsid w:val="00AA493D"/>
    <w:rsid w:val="00AA5ED9"/>
    <w:rsid w:val="00AB17D9"/>
    <w:rsid w:val="00AB2F0A"/>
    <w:rsid w:val="00AB4701"/>
    <w:rsid w:val="00AB4807"/>
    <w:rsid w:val="00AB4813"/>
    <w:rsid w:val="00AB6BE2"/>
    <w:rsid w:val="00AC0052"/>
    <w:rsid w:val="00AC04D6"/>
    <w:rsid w:val="00AC3688"/>
    <w:rsid w:val="00AD0685"/>
    <w:rsid w:val="00AD38C1"/>
    <w:rsid w:val="00AD5A78"/>
    <w:rsid w:val="00AE1517"/>
    <w:rsid w:val="00AE26B3"/>
    <w:rsid w:val="00AE34F1"/>
    <w:rsid w:val="00AE4078"/>
    <w:rsid w:val="00AE4230"/>
    <w:rsid w:val="00AE4F49"/>
    <w:rsid w:val="00AE69D7"/>
    <w:rsid w:val="00AE71AA"/>
    <w:rsid w:val="00AF1374"/>
    <w:rsid w:val="00AF13D5"/>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07DD"/>
    <w:rsid w:val="00B5113B"/>
    <w:rsid w:val="00B525D3"/>
    <w:rsid w:val="00B55B5C"/>
    <w:rsid w:val="00B56290"/>
    <w:rsid w:val="00B61B54"/>
    <w:rsid w:val="00B6351D"/>
    <w:rsid w:val="00B64203"/>
    <w:rsid w:val="00B64BDB"/>
    <w:rsid w:val="00B6519E"/>
    <w:rsid w:val="00B65C95"/>
    <w:rsid w:val="00B66AF1"/>
    <w:rsid w:val="00B70245"/>
    <w:rsid w:val="00B703C2"/>
    <w:rsid w:val="00B74E41"/>
    <w:rsid w:val="00B7740D"/>
    <w:rsid w:val="00B77BB2"/>
    <w:rsid w:val="00B77FA2"/>
    <w:rsid w:val="00B820C1"/>
    <w:rsid w:val="00B82F58"/>
    <w:rsid w:val="00B839A9"/>
    <w:rsid w:val="00B84C63"/>
    <w:rsid w:val="00B86814"/>
    <w:rsid w:val="00B910CB"/>
    <w:rsid w:val="00B91743"/>
    <w:rsid w:val="00B91D38"/>
    <w:rsid w:val="00B927D2"/>
    <w:rsid w:val="00B935A4"/>
    <w:rsid w:val="00B93980"/>
    <w:rsid w:val="00B945E5"/>
    <w:rsid w:val="00B9636B"/>
    <w:rsid w:val="00B974AD"/>
    <w:rsid w:val="00BA0529"/>
    <w:rsid w:val="00BA22C6"/>
    <w:rsid w:val="00BA316D"/>
    <w:rsid w:val="00BA5FEF"/>
    <w:rsid w:val="00BA7628"/>
    <w:rsid w:val="00BB2130"/>
    <w:rsid w:val="00BB30B6"/>
    <w:rsid w:val="00BB40CB"/>
    <w:rsid w:val="00BB7C37"/>
    <w:rsid w:val="00BC1221"/>
    <w:rsid w:val="00BC168F"/>
    <w:rsid w:val="00BC1E95"/>
    <w:rsid w:val="00BC2262"/>
    <w:rsid w:val="00BC3D81"/>
    <w:rsid w:val="00BC420A"/>
    <w:rsid w:val="00BC540B"/>
    <w:rsid w:val="00BC7302"/>
    <w:rsid w:val="00BD01F3"/>
    <w:rsid w:val="00BD0687"/>
    <w:rsid w:val="00BD0D8D"/>
    <w:rsid w:val="00BD1163"/>
    <w:rsid w:val="00BD439F"/>
    <w:rsid w:val="00BD4F14"/>
    <w:rsid w:val="00BE2644"/>
    <w:rsid w:val="00BE2979"/>
    <w:rsid w:val="00BE42F3"/>
    <w:rsid w:val="00BE551C"/>
    <w:rsid w:val="00BF3043"/>
    <w:rsid w:val="00BF4948"/>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0CE5"/>
    <w:rsid w:val="00C3110E"/>
    <w:rsid w:val="00C3466C"/>
    <w:rsid w:val="00C355FF"/>
    <w:rsid w:val="00C40093"/>
    <w:rsid w:val="00C41162"/>
    <w:rsid w:val="00C41A64"/>
    <w:rsid w:val="00C47122"/>
    <w:rsid w:val="00C47959"/>
    <w:rsid w:val="00C47CEA"/>
    <w:rsid w:val="00C515E0"/>
    <w:rsid w:val="00C531A3"/>
    <w:rsid w:val="00C5533B"/>
    <w:rsid w:val="00C57F24"/>
    <w:rsid w:val="00C61F98"/>
    <w:rsid w:val="00C631E1"/>
    <w:rsid w:val="00C63EA6"/>
    <w:rsid w:val="00C6619F"/>
    <w:rsid w:val="00C6624A"/>
    <w:rsid w:val="00C71035"/>
    <w:rsid w:val="00C742C3"/>
    <w:rsid w:val="00C75559"/>
    <w:rsid w:val="00C76D88"/>
    <w:rsid w:val="00C77735"/>
    <w:rsid w:val="00C7785D"/>
    <w:rsid w:val="00C77A26"/>
    <w:rsid w:val="00C81442"/>
    <w:rsid w:val="00C81552"/>
    <w:rsid w:val="00C81F48"/>
    <w:rsid w:val="00C85BDD"/>
    <w:rsid w:val="00C86B81"/>
    <w:rsid w:val="00C91557"/>
    <w:rsid w:val="00C92F74"/>
    <w:rsid w:val="00C9365C"/>
    <w:rsid w:val="00C94C2F"/>
    <w:rsid w:val="00C97F96"/>
    <w:rsid w:val="00CA1C19"/>
    <w:rsid w:val="00CA204D"/>
    <w:rsid w:val="00CA2E14"/>
    <w:rsid w:val="00CA60CD"/>
    <w:rsid w:val="00CA7511"/>
    <w:rsid w:val="00CB10E9"/>
    <w:rsid w:val="00CB11D6"/>
    <w:rsid w:val="00CB1401"/>
    <w:rsid w:val="00CB2D09"/>
    <w:rsid w:val="00CB542E"/>
    <w:rsid w:val="00CB5475"/>
    <w:rsid w:val="00CB665E"/>
    <w:rsid w:val="00CB694F"/>
    <w:rsid w:val="00CB6E09"/>
    <w:rsid w:val="00CC09A7"/>
    <w:rsid w:val="00CC0B6A"/>
    <w:rsid w:val="00CC0FD9"/>
    <w:rsid w:val="00CC1F8F"/>
    <w:rsid w:val="00CD139B"/>
    <w:rsid w:val="00CD43AA"/>
    <w:rsid w:val="00CD5E59"/>
    <w:rsid w:val="00CD62F1"/>
    <w:rsid w:val="00CD7831"/>
    <w:rsid w:val="00CE05D4"/>
    <w:rsid w:val="00CE4712"/>
    <w:rsid w:val="00CE672F"/>
    <w:rsid w:val="00CF0E0D"/>
    <w:rsid w:val="00CF1799"/>
    <w:rsid w:val="00CF53EE"/>
    <w:rsid w:val="00D01E5B"/>
    <w:rsid w:val="00D02378"/>
    <w:rsid w:val="00D02BE9"/>
    <w:rsid w:val="00D0323D"/>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257"/>
    <w:rsid w:val="00D42AE0"/>
    <w:rsid w:val="00D43F4A"/>
    <w:rsid w:val="00D44B7E"/>
    <w:rsid w:val="00D44E64"/>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62BD"/>
    <w:rsid w:val="00DE7E6B"/>
    <w:rsid w:val="00DF4AB4"/>
    <w:rsid w:val="00DF6125"/>
    <w:rsid w:val="00E01761"/>
    <w:rsid w:val="00E06141"/>
    <w:rsid w:val="00E07280"/>
    <w:rsid w:val="00E13E05"/>
    <w:rsid w:val="00E15784"/>
    <w:rsid w:val="00E16734"/>
    <w:rsid w:val="00E17219"/>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067C7"/>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1C04"/>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0459"/>
    <w:rsid w:val="00F74422"/>
    <w:rsid w:val="00F75621"/>
    <w:rsid w:val="00F75EE2"/>
    <w:rsid w:val="00F76222"/>
    <w:rsid w:val="00F83712"/>
    <w:rsid w:val="00F86BEC"/>
    <w:rsid w:val="00F871C4"/>
    <w:rsid w:val="00F87E02"/>
    <w:rsid w:val="00F935F6"/>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6B0"/>
    <w:rsid w:val="00FB3A37"/>
    <w:rsid w:val="00FB52DC"/>
    <w:rsid w:val="00FB58A4"/>
    <w:rsid w:val="00FB61EE"/>
    <w:rsid w:val="00FB635D"/>
    <w:rsid w:val="00FB6BC1"/>
    <w:rsid w:val="00FB78FB"/>
    <w:rsid w:val="00FC0EED"/>
    <w:rsid w:val="00FC11D2"/>
    <w:rsid w:val="00FC1405"/>
    <w:rsid w:val="00FC4104"/>
    <w:rsid w:val="00FD0FFF"/>
    <w:rsid w:val="00FD4258"/>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B43"/>
  </w:style>
  <w:style w:type="paragraph" w:styleId="Heading1">
    <w:name w:val="heading 1"/>
    <w:basedOn w:val="Normal"/>
    <w:next w:val="Normal"/>
    <w:link w:val="Heading1Char"/>
    <w:uiPriority w:val="9"/>
    <w:qFormat/>
    <w:rsid w:val="00A24B4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24B4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24B4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24B43"/>
    <w:pPr>
      <w:keepNext/>
      <w:keepLines/>
      <w:spacing w:before="40" w:after="0"/>
      <w:outlineLvl w:val="3"/>
    </w:pPr>
    <w:rPr>
      <w:i/>
      <w:iCs/>
    </w:rPr>
  </w:style>
  <w:style w:type="paragraph" w:styleId="Heading5">
    <w:name w:val="heading 5"/>
    <w:basedOn w:val="Normal"/>
    <w:next w:val="Normal"/>
    <w:link w:val="Heading5Char"/>
    <w:uiPriority w:val="9"/>
    <w:unhideWhenUsed/>
    <w:qFormat/>
    <w:rsid w:val="00A24B4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24B43"/>
    <w:pPr>
      <w:keepNext/>
      <w:keepLines/>
      <w:spacing w:before="40" w:after="0"/>
      <w:outlineLvl w:val="5"/>
    </w:pPr>
  </w:style>
  <w:style w:type="paragraph" w:styleId="Heading7">
    <w:name w:val="heading 7"/>
    <w:basedOn w:val="Normal"/>
    <w:next w:val="Normal"/>
    <w:link w:val="Heading7Char"/>
    <w:uiPriority w:val="9"/>
    <w:semiHidden/>
    <w:unhideWhenUsed/>
    <w:qFormat/>
    <w:rsid w:val="00A24B4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24B4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24B4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B4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24B4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24B4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24B43"/>
    <w:rPr>
      <w:i/>
      <w:iCs/>
    </w:rPr>
  </w:style>
  <w:style w:type="character" w:customStyle="1" w:styleId="Heading5Char">
    <w:name w:val="Heading 5 Char"/>
    <w:basedOn w:val="DefaultParagraphFont"/>
    <w:link w:val="Heading5"/>
    <w:uiPriority w:val="9"/>
    <w:rsid w:val="00A24B43"/>
    <w:rPr>
      <w:color w:val="404040" w:themeColor="text1" w:themeTint="BF"/>
    </w:rPr>
  </w:style>
  <w:style w:type="character" w:customStyle="1" w:styleId="Heading6Char">
    <w:name w:val="Heading 6 Char"/>
    <w:basedOn w:val="DefaultParagraphFont"/>
    <w:link w:val="Heading6"/>
    <w:uiPriority w:val="9"/>
    <w:rsid w:val="00A24B43"/>
  </w:style>
  <w:style w:type="character" w:customStyle="1" w:styleId="Heading7Char">
    <w:name w:val="Heading 7 Char"/>
    <w:basedOn w:val="DefaultParagraphFont"/>
    <w:link w:val="Heading7"/>
    <w:uiPriority w:val="9"/>
    <w:semiHidden/>
    <w:rsid w:val="00A24B4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24B43"/>
    <w:rPr>
      <w:color w:val="262626" w:themeColor="text1" w:themeTint="D9"/>
      <w:sz w:val="21"/>
      <w:szCs w:val="21"/>
    </w:rPr>
  </w:style>
  <w:style w:type="character" w:customStyle="1" w:styleId="Heading9Char">
    <w:name w:val="Heading 9 Char"/>
    <w:basedOn w:val="DefaultParagraphFont"/>
    <w:link w:val="Heading9"/>
    <w:uiPriority w:val="9"/>
    <w:semiHidden/>
    <w:rsid w:val="00A24B4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24B4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24B4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24B4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24B4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24B43"/>
    <w:rPr>
      <w:color w:val="5A5A5A" w:themeColor="text1" w:themeTint="A5"/>
      <w:spacing w:val="15"/>
    </w:rPr>
  </w:style>
  <w:style w:type="character" w:styleId="Strong">
    <w:name w:val="Strong"/>
    <w:basedOn w:val="DefaultParagraphFont"/>
    <w:uiPriority w:val="22"/>
    <w:qFormat/>
    <w:rsid w:val="00A24B43"/>
    <w:rPr>
      <w:b/>
      <w:bCs/>
      <w:color w:val="auto"/>
    </w:rPr>
  </w:style>
  <w:style w:type="character" w:styleId="Emphasis">
    <w:name w:val="Emphasis"/>
    <w:basedOn w:val="DefaultParagraphFont"/>
    <w:uiPriority w:val="20"/>
    <w:qFormat/>
    <w:rsid w:val="00A24B43"/>
    <w:rPr>
      <w:i/>
      <w:iCs/>
      <w:color w:val="auto"/>
    </w:rPr>
  </w:style>
  <w:style w:type="paragraph" w:styleId="NoSpacing">
    <w:name w:val="No Spacing"/>
    <w:uiPriority w:val="1"/>
    <w:qFormat/>
    <w:rsid w:val="00A24B4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24B4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24B43"/>
    <w:rPr>
      <w:i/>
      <w:iCs/>
      <w:color w:val="404040" w:themeColor="text1" w:themeTint="BF"/>
    </w:rPr>
  </w:style>
  <w:style w:type="paragraph" w:styleId="IntenseQuote">
    <w:name w:val="Intense Quote"/>
    <w:basedOn w:val="Normal"/>
    <w:next w:val="Normal"/>
    <w:link w:val="IntenseQuoteChar"/>
    <w:uiPriority w:val="30"/>
    <w:qFormat/>
    <w:rsid w:val="00A24B4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24B43"/>
    <w:rPr>
      <w:i/>
      <w:iCs/>
      <w:color w:val="404040" w:themeColor="text1" w:themeTint="BF"/>
    </w:rPr>
  </w:style>
  <w:style w:type="character" w:styleId="SubtleEmphasis">
    <w:name w:val="Subtle Emphasis"/>
    <w:basedOn w:val="DefaultParagraphFont"/>
    <w:uiPriority w:val="19"/>
    <w:qFormat/>
    <w:rsid w:val="00A24B43"/>
    <w:rPr>
      <w:i/>
      <w:iCs/>
      <w:color w:val="404040" w:themeColor="text1" w:themeTint="BF"/>
    </w:rPr>
  </w:style>
  <w:style w:type="character" w:styleId="IntenseEmphasis">
    <w:name w:val="Intense Emphasis"/>
    <w:basedOn w:val="DefaultParagraphFont"/>
    <w:uiPriority w:val="21"/>
    <w:qFormat/>
    <w:rsid w:val="00A24B43"/>
    <w:rPr>
      <w:b/>
      <w:bCs/>
      <w:i/>
      <w:iCs/>
      <w:color w:val="auto"/>
    </w:rPr>
  </w:style>
  <w:style w:type="character" w:styleId="SubtleReference">
    <w:name w:val="Subtle Reference"/>
    <w:basedOn w:val="DefaultParagraphFont"/>
    <w:uiPriority w:val="31"/>
    <w:qFormat/>
    <w:rsid w:val="00A24B43"/>
    <w:rPr>
      <w:smallCaps/>
      <w:color w:val="404040" w:themeColor="text1" w:themeTint="BF"/>
    </w:rPr>
  </w:style>
  <w:style w:type="character" w:styleId="IntenseReference">
    <w:name w:val="Intense Reference"/>
    <w:basedOn w:val="DefaultParagraphFont"/>
    <w:uiPriority w:val="32"/>
    <w:qFormat/>
    <w:rsid w:val="00A24B43"/>
    <w:rPr>
      <w:b/>
      <w:bCs/>
      <w:smallCaps/>
      <w:color w:val="404040" w:themeColor="text1" w:themeTint="BF"/>
      <w:spacing w:val="5"/>
    </w:rPr>
  </w:style>
  <w:style w:type="character" w:styleId="BookTitle">
    <w:name w:val="Book Title"/>
    <w:basedOn w:val="DefaultParagraphFont"/>
    <w:uiPriority w:val="33"/>
    <w:qFormat/>
    <w:rsid w:val="00A24B43"/>
    <w:rPr>
      <w:b/>
      <w:bCs/>
      <w:i/>
      <w:iCs/>
      <w:spacing w:val="5"/>
    </w:rPr>
  </w:style>
  <w:style w:type="paragraph" w:styleId="TOCHeading">
    <w:name w:val="TOC Heading"/>
    <w:basedOn w:val="Heading1"/>
    <w:next w:val="Normal"/>
    <w:uiPriority w:val="39"/>
    <w:semiHidden/>
    <w:unhideWhenUsed/>
    <w:qFormat/>
    <w:rsid w:val="00A24B4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off-screen">
    <w:name w:val="off-screen"/>
    <w:basedOn w:val="DefaultParagraphFont"/>
    <w:rsid w:val="00A47C56"/>
  </w:style>
  <w:style w:type="character" w:customStyle="1" w:styleId="nlmdate-in-citation">
    <w:name w:val="nlm_date-in-citation"/>
    <w:basedOn w:val="DefaultParagraphFont"/>
    <w:rsid w:val="00A47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17780456">
      <w:bodyDiv w:val="1"/>
      <w:marLeft w:val="0"/>
      <w:marRight w:val="0"/>
      <w:marTop w:val="0"/>
      <w:marBottom w:val="0"/>
      <w:divBdr>
        <w:top w:val="none" w:sz="0" w:space="0" w:color="auto"/>
        <w:left w:val="none" w:sz="0" w:space="0" w:color="auto"/>
        <w:bottom w:val="none" w:sz="0" w:space="0" w:color="auto"/>
        <w:right w:val="none" w:sz="0" w:space="0" w:color="auto"/>
      </w:divBdr>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7317603">
      <w:bodyDiv w:val="1"/>
      <w:marLeft w:val="0"/>
      <w:marRight w:val="0"/>
      <w:marTop w:val="0"/>
      <w:marBottom w:val="0"/>
      <w:divBdr>
        <w:top w:val="none" w:sz="0" w:space="0" w:color="auto"/>
        <w:left w:val="none" w:sz="0" w:space="0" w:color="auto"/>
        <w:bottom w:val="none" w:sz="0" w:space="0" w:color="auto"/>
        <w:right w:val="none" w:sz="0" w:space="0" w:color="auto"/>
      </w:divBdr>
      <w:divsChild>
        <w:div w:id="1443107410">
          <w:marLeft w:val="0"/>
          <w:marRight w:val="0"/>
          <w:marTop w:val="0"/>
          <w:marBottom w:val="450"/>
          <w:divBdr>
            <w:top w:val="none" w:sz="0" w:space="0" w:color="auto"/>
            <w:left w:val="none" w:sz="0" w:space="0" w:color="auto"/>
            <w:bottom w:val="none" w:sz="0" w:space="0" w:color="auto"/>
            <w:right w:val="none" w:sz="0" w:space="0" w:color="auto"/>
          </w:divBdr>
          <w:divsChild>
            <w:div w:id="1758280966">
              <w:marLeft w:val="0"/>
              <w:marRight w:val="0"/>
              <w:marTop w:val="0"/>
              <w:marBottom w:val="375"/>
              <w:divBdr>
                <w:top w:val="none" w:sz="0" w:space="0" w:color="auto"/>
                <w:left w:val="none" w:sz="0" w:space="0" w:color="auto"/>
                <w:bottom w:val="none" w:sz="0" w:space="0" w:color="auto"/>
                <w:right w:val="none" w:sz="0" w:space="0" w:color="auto"/>
              </w:divBdr>
              <w:divsChild>
                <w:div w:id="349111039">
                  <w:marLeft w:val="0"/>
                  <w:marRight w:val="0"/>
                  <w:marTop w:val="0"/>
                  <w:marBottom w:val="0"/>
                  <w:divBdr>
                    <w:top w:val="none" w:sz="0" w:space="0" w:color="auto"/>
                    <w:left w:val="none" w:sz="0" w:space="0" w:color="auto"/>
                    <w:bottom w:val="none" w:sz="0" w:space="0" w:color="auto"/>
                    <w:right w:val="none" w:sz="0" w:space="0" w:color="auto"/>
                  </w:divBdr>
                </w:div>
              </w:divsChild>
            </w:div>
            <w:div w:id="682899859">
              <w:marLeft w:val="0"/>
              <w:marRight w:val="0"/>
              <w:marTop w:val="240"/>
              <w:marBottom w:val="480"/>
              <w:divBdr>
                <w:top w:val="none" w:sz="0" w:space="0" w:color="auto"/>
                <w:left w:val="none" w:sz="0" w:space="0" w:color="auto"/>
                <w:bottom w:val="none" w:sz="0" w:space="0" w:color="auto"/>
                <w:right w:val="none" w:sz="0" w:space="0" w:color="auto"/>
              </w:divBdr>
              <w:divsChild>
                <w:div w:id="334961816">
                  <w:marLeft w:val="0"/>
                  <w:marRight w:val="0"/>
                  <w:marTop w:val="0"/>
                  <w:marBottom w:val="0"/>
                  <w:divBdr>
                    <w:top w:val="single" w:sz="6" w:space="0" w:color="C6C6C6"/>
                    <w:left w:val="single" w:sz="6" w:space="0" w:color="C6C6C6"/>
                    <w:bottom w:val="single" w:sz="6" w:space="0" w:color="C6C6C6"/>
                    <w:right w:val="single" w:sz="6" w:space="0" w:color="C6C6C6"/>
                  </w:divBdr>
                </w:div>
                <w:div w:id="189146055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98645883">
          <w:marLeft w:val="0"/>
          <w:marRight w:val="0"/>
          <w:marTop w:val="0"/>
          <w:marBottom w:val="450"/>
          <w:divBdr>
            <w:top w:val="none" w:sz="0" w:space="0" w:color="auto"/>
            <w:left w:val="none" w:sz="0" w:space="0" w:color="auto"/>
            <w:bottom w:val="none" w:sz="0" w:space="0" w:color="auto"/>
            <w:right w:val="none" w:sz="0" w:space="0" w:color="auto"/>
          </w:divBdr>
          <w:divsChild>
            <w:div w:id="323974010">
              <w:marLeft w:val="0"/>
              <w:marRight w:val="0"/>
              <w:marTop w:val="0"/>
              <w:marBottom w:val="375"/>
              <w:divBdr>
                <w:top w:val="none" w:sz="0" w:space="0" w:color="auto"/>
                <w:left w:val="none" w:sz="0" w:space="0" w:color="auto"/>
                <w:bottom w:val="none" w:sz="0" w:space="0" w:color="auto"/>
                <w:right w:val="none" w:sz="0" w:space="0" w:color="auto"/>
              </w:divBdr>
              <w:divsChild>
                <w:div w:id="192237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238">
          <w:marLeft w:val="0"/>
          <w:marRight w:val="0"/>
          <w:marTop w:val="0"/>
          <w:marBottom w:val="450"/>
          <w:divBdr>
            <w:top w:val="none" w:sz="0" w:space="0" w:color="auto"/>
            <w:left w:val="none" w:sz="0" w:space="0" w:color="auto"/>
            <w:bottom w:val="none" w:sz="0" w:space="0" w:color="auto"/>
            <w:right w:val="none" w:sz="0" w:space="0" w:color="auto"/>
          </w:divBdr>
          <w:divsChild>
            <w:div w:id="1450588975">
              <w:marLeft w:val="0"/>
              <w:marRight w:val="0"/>
              <w:marTop w:val="0"/>
              <w:marBottom w:val="375"/>
              <w:divBdr>
                <w:top w:val="none" w:sz="0" w:space="0" w:color="auto"/>
                <w:left w:val="none" w:sz="0" w:space="0" w:color="auto"/>
                <w:bottom w:val="none" w:sz="0" w:space="0" w:color="auto"/>
                <w:right w:val="none" w:sz="0" w:space="0" w:color="auto"/>
              </w:divBdr>
              <w:divsChild>
                <w:div w:id="784038766">
                  <w:marLeft w:val="0"/>
                  <w:marRight w:val="0"/>
                  <w:marTop w:val="0"/>
                  <w:marBottom w:val="0"/>
                  <w:divBdr>
                    <w:top w:val="none" w:sz="0" w:space="0" w:color="auto"/>
                    <w:left w:val="none" w:sz="0" w:space="0" w:color="auto"/>
                    <w:bottom w:val="none" w:sz="0" w:space="0" w:color="auto"/>
                    <w:right w:val="none" w:sz="0" w:space="0" w:color="auto"/>
                  </w:divBdr>
                </w:div>
              </w:divsChild>
            </w:div>
            <w:div w:id="1383016392">
              <w:marLeft w:val="0"/>
              <w:marRight w:val="0"/>
              <w:marTop w:val="0"/>
              <w:marBottom w:val="0"/>
              <w:divBdr>
                <w:top w:val="none" w:sz="0" w:space="0" w:color="auto"/>
                <w:left w:val="none" w:sz="0" w:space="0" w:color="auto"/>
                <w:bottom w:val="none" w:sz="0" w:space="0" w:color="auto"/>
                <w:right w:val="none" w:sz="0" w:space="0" w:color="auto"/>
              </w:divBdr>
              <w:divsChild>
                <w:div w:id="203639563">
                  <w:marLeft w:val="0"/>
                  <w:marRight w:val="0"/>
                  <w:marTop w:val="240"/>
                  <w:marBottom w:val="240"/>
                  <w:divBdr>
                    <w:top w:val="none" w:sz="0" w:space="0" w:color="auto"/>
                    <w:left w:val="none" w:sz="0" w:space="0" w:color="auto"/>
                    <w:bottom w:val="none" w:sz="0" w:space="0" w:color="auto"/>
                    <w:right w:val="none" w:sz="0" w:space="0" w:color="auto"/>
                  </w:divBdr>
                </w:div>
                <w:div w:id="2087653472">
                  <w:marLeft w:val="0"/>
                  <w:marRight w:val="0"/>
                  <w:marTop w:val="240"/>
                  <w:marBottom w:val="480"/>
                  <w:divBdr>
                    <w:top w:val="none" w:sz="0" w:space="0" w:color="auto"/>
                    <w:left w:val="none" w:sz="0" w:space="0" w:color="auto"/>
                    <w:bottom w:val="none" w:sz="0" w:space="0" w:color="auto"/>
                    <w:right w:val="none" w:sz="0" w:space="0" w:color="auto"/>
                  </w:divBdr>
                  <w:divsChild>
                    <w:div w:id="926304588">
                      <w:marLeft w:val="0"/>
                      <w:marRight w:val="0"/>
                      <w:marTop w:val="0"/>
                      <w:marBottom w:val="0"/>
                      <w:divBdr>
                        <w:top w:val="single" w:sz="6" w:space="0" w:color="C6C6C6"/>
                        <w:left w:val="single" w:sz="6" w:space="0" w:color="C6C6C6"/>
                        <w:bottom w:val="single" w:sz="6" w:space="0" w:color="C6C6C6"/>
                        <w:right w:val="single" w:sz="6" w:space="0" w:color="C6C6C6"/>
                      </w:divBdr>
                    </w:div>
                    <w:div w:id="30539972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37801821">
              <w:marLeft w:val="0"/>
              <w:marRight w:val="0"/>
              <w:marTop w:val="0"/>
              <w:marBottom w:val="0"/>
              <w:divBdr>
                <w:top w:val="none" w:sz="0" w:space="0" w:color="auto"/>
                <w:left w:val="none" w:sz="0" w:space="0" w:color="auto"/>
                <w:bottom w:val="none" w:sz="0" w:space="0" w:color="auto"/>
                <w:right w:val="none" w:sz="0" w:space="0" w:color="auto"/>
              </w:divBdr>
            </w:div>
            <w:div w:id="433478745">
              <w:marLeft w:val="0"/>
              <w:marRight w:val="0"/>
              <w:marTop w:val="0"/>
              <w:marBottom w:val="0"/>
              <w:divBdr>
                <w:top w:val="none" w:sz="0" w:space="0" w:color="auto"/>
                <w:left w:val="none" w:sz="0" w:space="0" w:color="auto"/>
                <w:bottom w:val="none" w:sz="0" w:space="0" w:color="auto"/>
                <w:right w:val="none" w:sz="0" w:space="0" w:color="auto"/>
              </w:divBdr>
            </w:div>
            <w:div w:id="1592548435">
              <w:marLeft w:val="0"/>
              <w:marRight w:val="0"/>
              <w:marTop w:val="0"/>
              <w:marBottom w:val="0"/>
              <w:divBdr>
                <w:top w:val="none" w:sz="0" w:space="0" w:color="auto"/>
                <w:left w:val="none" w:sz="0" w:space="0" w:color="auto"/>
                <w:bottom w:val="none" w:sz="0" w:space="0" w:color="auto"/>
                <w:right w:val="none" w:sz="0" w:space="0" w:color="auto"/>
              </w:divBdr>
              <w:divsChild>
                <w:div w:id="1782604426">
                  <w:marLeft w:val="0"/>
                  <w:marRight w:val="0"/>
                  <w:marTop w:val="0"/>
                  <w:marBottom w:val="0"/>
                  <w:divBdr>
                    <w:top w:val="none" w:sz="0" w:space="0" w:color="auto"/>
                    <w:left w:val="none" w:sz="0" w:space="0" w:color="auto"/>
                    <w:bottom w:val="none" w:sz="0" w:space="0" w:color="auto"/>
                    <w:right w:val="none" w:sz="0" w:space="0" w:color="auto"/>
                  </w:divBdr>
                  <w:divsChild>
                    <w:div w:id="1742634306">
                      <w:marLeft w:val="0"/>
                      <w:marRight w:val="0"/>
                      <w:marTop w:val="240"/>
                      <w:marBottom w:val="480"/>
                      <w:divBdr>
                        <w:top w:val="none" w:sz="0" w:space="0" w:color="auto"/>
                        <w:left w:val="none" w:sz="0" w:space="0" w:color="auto"/>
                        <w:bottom w:val="none" w:sz="0" w:space="0" w:color="auto"/>
                        <w:right w:val="none" w:sz="0" w:space="0" w:color="auto"/>
                      </w:divBdr>
                      <w:divsChild>
                        <w:div w:id="1211989466">
                          <w:marLeft w:val="0"/>
                          <w:marRight w:val="0"/>
                          <w:marTop w:val="0"/>
                          <w:marBottom w:val="0"/>
                          <w:divBdr>
                            <w:top w:val="single" w:sz="6" w:space="0" w:color="C6C6C6"/>
                            <w:left w:val="single" w:sz="6" w:space="0" w:color="C6C6C6"/>
                            <w:bottom w:val="single" w:sz="6" w:space="0" w:color="C6C6C6"/>
                            <w:right w:val="single" w:sz="6" w:space="0" w:color="C6C6C6"/>
                          </w:divBdr>
                        </w:div>
                        <w:div w:id="124977793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73867035">
                  <w:marLeft w:val="0"/>
                  <w:marRight w:val="0"/>
                  <w:marTop w:val="0"/>
                  <w:marBottom w:val="0"/>
                  <w:divBdr>
                    <w:top w:val="none" w:sz="0" w:space="0" w:color="auto"/>
                    <w:left w:val="none" w:sz="0" w:space="0" w:color="auto"/>
                    <w:bottom w:val="none" w:sz="0" w:space="0" w:color="auto"/>
                    <w:right w:val="none" w:sz="0" w:space="0" w:color="auto"/>
                  </w:divBdr>
                  <w:divsChild>
                    <w:div w:id="815680021">
                      <w:marLeft w:val="0"/>
                      <w:marRight w:val="0"/>
                      <w:marTop w:val="240"/>
                      <w:marBottom w:val="480"/>
                      <w:divBdr>
                        <w:top w:val="none" w:sz="0" w:space="0" w:color="auto"/>
                        <w:left w:val="none" w:sz="0" w:space="0" w:color="auto"/>
                        <w:bottom w:val="none" w:sz="0" w:space="0" w:color="auto"/>
                        <w:right w:val="none" w:sz="0" w:space="0" w:color="auto"/>
                      </w:divBdr>
                      <w:divsChild>
                        <w:div w:id="2093426799">
                          <w:marLeft w:val="0"/>
                          <w:marRight w:val="0"/>
                          <w:marTop w:val="0"/>
                          <w:marBottom w:val="0"/>
                          <w:divBdr>
                            <w:top w:val="single" w:sz="6" w:space="0" w:color="C6C6C6"/>
                            <w:left w:val="single" w:sz="6" w:space="0" w:color="C6C6C6"/>
                            <w:bottom w:val="single" w:sz="6" w:space="0" w:color="C6C6C6"/>
                            <w:right w:val="single" w:sz="6" w:space="0" w:color="C6C6C6"/>
                          </w:divBdr>
                        </w:div>
                        <w:div w:id="13528804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09233519">
                  <w:marLeft w:val="0"/>
                  <w:marRight w:val="0"/>
                  <w:marTop w:val="0"/>
                  <w:marBottom w:val="0"/>
                  <w:divBdr>
                    <w:top w:val="none" w:sz="0" w:space="0" w:color="auto"/>
                    <w:left w:val="none" w:sz="0" w:space="0" w:color="auto"/>
                    <w:bottom w:val="none" w:sz="0" w:space="0" w:color="auto"/>
                    <w:right w:val="none" w:sz="0" w:space="0" w:color="auto"/>
                  </w:divBdr>
                  <w:divsChild>
                    <w:div w:id="242228001">
                      <w:marLeft w:val="0"/>
                      <w:marRight w:val="0"/>
                      <w:marTop w:val="240"/>
                      <w:marBottom w:val="240"/>
                      <w:divBdr>
                        <w:top w:val="none" w:sz="0" w:space="0" w:color="auto"/>
                        <w:left w:val="none" w:sz="0" w:space="0" w:color="auto"/>
                        <w:bottom w:val="none" w:sz="0" w:space="0" w:color="auto"/>
                        <w:right w:val="none" w:sz="0" w:space="0" w:color="auto"/>
                      </w:divBdr>
                    </w:div>
                    <w:div w:id="1725249759">
                      <w:marLeft w:val="0"/>
                      <w:marRight w:val="0"/>
                      <w:marTop w:val="240"/>
                      <w:marBottom w:val="480"/>
                      <w:divBdr>
                        <w:top w:val="none" w:sz="0" w:space="0" w:color="auto"/>
                        <w:left w:val="none" w:sz="0" w:space="0" w:color="auto"/>
                        <w:bottom w:val="none" w:sz="0" w:space="0" w:color="auto"/>
                        <w:right w:val="none" w:sz="0" w:space="0" w:color="auto"/>
                      </w:divBdr>
                      <w:divsChild>
                        <w:div w:id="2058387369">
                          <w:marLeft w:val="0"/>
                          <w:marRight w:val="0"/>
                          <w:marTop w:val="0"/>
                          <w:marBottom w:val="0"/>
                          <w:divBdr>
                            <w:top w:val="single" w:sz="6" w:space="0" w:color="C6C6C6"/>
                            <w:left w:val="single" w:sz="6" w:space="0" w:color="C6C6C6"/>
                            <w:bottom w:val="single" w:sz="6" w:space="0" w:color="C6C6C6"/>
                            <w:right w:val="single" w:sz="6" w:space="0" w:color="C6C6C6"/>
                          </w:divBdr>
                        </w:div>
                        <w:div w:id="88849426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330715820">
          <w:marLeft w:val="0"/>
          <w:marRight w:val="0"/>
          <w:marTop w:val="0"/>
          <w:marBottom w:val="450"/>
          <w:divBdr>
            <w:top w:val="none" w:sz="0" w:space="0" w:color="auto"/>
            <w:left w:val="none" w:sz="0" w:space="0" w:color="auto"/>
            <w:bottom w:val="none" w:sz="0" w:space="0" w:color="auto"/>
            <w:right w:val="none" w:sz="0" w:space="0" w:color="auto"/>
          </w:divBdr>
          <w:divsChild>
            <w:div w:id="1263104138">
              <w:marLeft w:val="0"/>
              <w:marRight w:val="0"/>
              <w:marTop w:val="0"/>
              <w:marBottom w:val="375"/>
              <w:divBdr>
                <w:top w:val="none" w:sz="0" w:space="0" w:color="auto"/>
                <w:left w:val="none" w:sz="0" w:space="0" w:color="auto"/>
                <w:bottom w:val="none" w:sz="0" w:space="0" w:color="auto"/>
                <w:right w:val="none" w:sz="0" w:space="0" w:color="auto"/>
              </w:divBdr>
              <w:divsChild>
                <w:div w:id="1225527299">
                  <w:marLeft w:val="0"/>
                  <w:marRight w:val="0"/>
                  <w:marTop w:val="0"/>
                  <w:marBottom w:val="0"/>
                  <w:divBdr>
                    <w:top w:val="none" w:sz="0" w:space="0" w:color="auto"/>
                    <w:left w:val="none" w:sz="0" w:space="0" w:color="auto"/>
                    <w:bottom w:val="none" w:sz="0" w:space="0" w:color="auto"/>
                    <w:right w:val="none" w:sz="0" w:space="0" w:color="auto"/>
                  </w:divBdr>
                </w:div>
              </w:divsChild>
            </w:div>
            <w:div w:id="2135368110">
              <w:marLeft w:val="0"/>
              <w:marRight w:val="0"/>
              <w:marTop w:val="240"/>
              <w:marBottom w:val="240"/>
              <w:divBdr>
                <w:top w:val="none" w:sz="0" w:space="0" w:color="auto"/>
                <w:left w:val="none" w:sz="0" w:space="0" w:color="auto"/>
                <w:bottom w:val="none" w:sz="0" w:space="0" w:color="auto"/>
                <w:right w:val="none" w:sz="0" w:space="0" w:color="auto"/>
              </w:divBdr>
            </w:div>
            <w:div w:id="393312928">
              <w:marLeft w:val="0"/>
              <w:marRight w:val="0"/>
              <w:marTop w:val="240"/>
              <w:marBottom w:val="480"/>
              <w:divBdr>
                <w:top w:val="none" w:sz="0" w:space="0" w:color="auto"/>
                <w:left w:val="none" w:sz="0" w:space="0" w:color="auto"/>
                <w:bottom w:val="none" w:sz="0" w:space="0" w:color="auto"/>
                <w:right w:val="none" w:sz="0" w:space="0" w:color="auto"/>
              </w:divBdr>
              <w:divsChild>
                <w:div w:id="911892271">
                  <w:marLeft w:val="0"/>
                  <w:marRight w:val="0"/>
                  <w:marTop w:val="0"/>
                  <w:marBottom w:val="0"/>
                  <w:divBdr>
                    <w:top w:val="single" w:sz="6" w:space="0" w:color="C6C6C6"/>
                    <w:left w:val="single" w:sz="6" w:space="0" w:color="C6C6C6"/>
                    <w:bottom w:val="single" w:sz="6" w:space="0" w:color="C6C6C6"/>
                    <w:right w:val="single" w:sz="6" w:space="0" w:color="C6C6C6"/>
                  </w:divBdr>
                </w:div>
                <w:div w:id="534000457">
                  <w:marLeft w:val="0"/>
                  <w:marRight w:val="0"/>
                  <w:marTop w:val="0"/>
                  <w:marBottom w:val="0"/>
                  <w:divBdr>
                    <w:top w:val="none" w:sz="0" w:space="0" w:color="auto"/>
                    <w:left w:val="none" w:sz="0" w:space="0" w:color="auto"/>
                    <w:bottom w:val="dotted" w:sz="6" w:space="6" w:color="999999"/>
                    <w:right w:val="none" w:sz="0" w:space="0" w:color="auto"/>
                  </w:divBdr>
                </w:div>
              </w:divsChild>
            </w:div>
            <w:div w:id="1867131558">
              <w:marLeft w:val="0"/>
              <w:marRight w:val="0"/>
              <w:marTop w:val="0"/>
              <w:marBottom w:val="0"/>
              <w:divBdr>
                <w:top w:val="none" w:sz="0" w:space="0" w:color="auto"/>
                <w:left w:val="none" w:sz="0" w:space="0" w:color="auto"/>
                <w:bottom w:val="none" w:sz="0" w:space="0" w:color="auto"/>
                <w:right w:val="none" w:sz="0" w:space="0" w:color="auto"/>
              </w:divBdr>
              <w:divsChild>
                <w:div w:id="2022664148">
                  <w:marLeft w:val="0"/>
                  <w:marRight w:val="0"/>
                  <w:marTop w:val="240"/>
                  <w:marBottom w:val="240"/>
                  <w:divBdr>
                    <w:top w:val="none" w:sz="0" w:space="0" w:color="auto"/>
                    <w:left w:val="none" w:sz="0" w:space="0" w:color="auto"/>
                    <w:bottom w:val="none" w:sz="0" w:space="0" w:color="auto"/>
                    <w:right w:val="none" w:sz="0" w:space="0" w:color="auto"/>
                  </w:divBdr>
                </w:div>
                <w:div w:id="1659721613">
                  <w:marLeft w:val="0"/>
                  <w:marRight w:val="0"/>
                  <w:marTop w:val="240"/>
                  <w:marBottom w:val="240"/>
                  <w:divBdr>
                    <w:top w:val="none" w:sz="0" w:space="0" w:color="auto"/>
                    <w:left w:val="none" w:sz="0" w:space="0" w:color="auto"/>
                    <w:bottom w:val="none" w:sz="0" w:space="0" w:color="auto"/>
                    <w:right w:val="none" w:sz="0" w:space="0" w:color="auto"/>
                  </w:divBdr>
                </w:div>
                <w:div w:id="1699432947">
                  <w:marLeft w:val="0"/>
                  <w:marRight w:val="0"/>
                  <w:marTop w:val="240"/>
                  <w:marBottom w:val="240"/>
                  <w:divBdr>
                    <w:top w:val="none" w:sz="0" w:space="0" w:color="auto"/>
                    <w:left w:val="none" w:sz="0" w:space="0" w:color="auto"/>
                    <w:bottom w:val="none" w:sz="0" w:space="0" w:color="auto"/>
                    <w:right w:val="none" w:sz="0" w:space="0" w:color="auto"/>
                  </w:divBdr>
                </w:div>
                <w:div w:id="402919407">
                  <w:marLeft w:val="0"/>
                  <w:marRight w:val="0"/>
                  <w:marTop w:val="240"/>
                  <w:marBottom w:val="240"/>
                  <w:divBdr>
                    <w:top w:val="none" w:sz="0" w:space="0" w:color="auto"/>
                    <w:left w:val="none" w:sz="0" w:space="0" w:color="auto"/>
                    <w:bottom w:val="none" w:sz="0" w:space="0" w:color="auto"/>
                    <w:right w:val="none" w:sz="0" w:space="0" w:color="auto"/>
                  </w:divBdr>
                </w:div>
                <w:div w:id="1032653334">
                  <w:marLeft w:val="0"/>
                  <w:marRight w:val="0"/>
                  <w:marTop w:val="240"/>
                  <w:marBottom w:val="240"/>
                  <w:divBdr>
                    <w:top w:val="none" w:sz="0" w:space="0" w:color="auto"/>
                    <w:left w:val="none" w:sz="0" w:space="0" w:color="auto"/>
                    <w:bottom w:val="none" w:sz="0" w:space="0" w:color="auto"/>
                    <w:right w:val="none" w:sz="0" w:space="0" w:color="auto"/>
                  </w:divBdr>
                </w:div>
                <w:div w:id="1766731555">
                  <w:marLeft w:val="0"/>
                  <w:marRight w:val="0"/>
                  <w:marTop w:val="240"/>
                  <w:marBottom w:val="240"/>
                  <w:divBdr>
                    <w:top w:val="none" w:sz="0" w:space="0" w:color="auto"/>
                    <w:left w:val="none" w:sz="0" w:space="0" w:color="auto"/>
                    <w:bottom w:val="none" w:sz="0" w:space="0" w:color="auto"/>
                    <w:right w:val="none" w:sz="0" w:space="0" w:color="auto"/>
                  </w:divBdr>
                </w:div>
                <w:div w:id="1825778010">
                  <w:marLeft w:val="0"/>
                  <w:marRight w:val="0"/>
                  <w:marTop w:val="240"/>
                  <w:marBottom w:val="240"/>
                  <w:divBdr>
                    <w:top w:val="none" w:sz="0" w:space="0" w:color="auto"/>
                    <w:left w:val="none" w:sz="0" w:space="0" w:color="auto"/>
                    <w:bottom w:val="none" w:sz="0" w:space="0" w:color="auto"/>
                    <w:right w:val="none" w:sz="0" w:space="0" w:color="auto"/>
                  </w:divBdr>
                </w:div>
              </w:divsChild>
            </w:div>
            <w:div w:id="627123567">
              <w:marLeft w:val="0"/>
              <w:marRight w:val="0"/>
              <w:marTop w:val="0"/>
              <w:marBottom w:val="0"/>
              <w:divBdr>
                <w:top w:val="none" w:sz="0" w:space="0" w:color="auto"/>
                <w:left w:val="none" w:sz="0" w:space="0" w:color="auto"/>
                <w:bottom w:val="none" w:sz="0" w:space="0" w:color="auto"/>
                <w:right w:val="none" w:sz="0" w:space="0" w:color="auto"/>
              </w:divBdr>
              <w:divsChild>
                <w:div w:id="1009986172">
                  <w:marLeft w:val="0"/>
                  <w:marRight w:val="0"/>
                  <w:marTop w:val="240"/>
                  <w:marBottom w:val="240"/>
                  <w:divBdr>
                    <w:top w:val="none" w:sz="0" w:space="0" w:color="auto"/>
                    <w:left w:val="none" w:sz="0" w:space="0" w:color="auto"/>
                    <w:bottom w:val="none" w:sz="0" w:space="0" w:color="auto"/>
                    <w:right w:val="none" w:sz="0" w:space="0" w:color="auto"/>
                  </w:divBdr>
                </w:div>
                <w:div w:id="1667707970">
                  <w:marLeft w:val="0"/>
                  <w:marRight w:val="0"/>
                  <w:marTop w:val="240"/>
                  <w:marBottom w:val="240"/>
                  <w:divBdr>
                    <w:top w:val="none" w:sz="0" w:space="0" w:color="auto"/>
                    <w:left w:val="none" w:sz="0" w:space="0" w:color="auto"/>
                    <w:bottom w:val="none" w:sz="0" w:space="0" w:color="auto"/>
                    <w:right w:val="none" w:sz="0" w:space="0" w:color="auto"/>
                  </w:divBdr>
                </w:div>
                <w:div w:id="1514763961">
                  <w:marLeft w:val="0"/>
                  <w:marRight w:val="0"/>
                  <w:marTop w:val="240"/>
                  <w:marBottom w:val="240"/>
                  <w:divBdr>
                    <w:top w:val="none" w:sz="0" w:space="0" w:color="auto"/>
                    <w:left w:val="none" w:sz="0" w:space="0" w:color="auto"/>
                    <w:bottom w:val="none" w:sz="0" w:space="0" w:color="auto"/>
                    <w:right w:val="none" w:sz="0" w:space="0" w:color="auto"/>
                  </w:divBdr>
                </w:div>
                <w:div w:id="13702545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293472">
          <w:marLeft w:val="0"/>
          <w:marRight w:val="0"/>
          <w:marTop w:val="0"/>
          <w:marBottom w:val="450"/>
          <w:divBdr>
            <w:top w:val="none" w:sz="0" w:space="0" w:color="auto"/>
            <w:left w:val="none" w:sz="0" w:space="0" w:color="auto"/>
            <w:bottom w:val="none" w:sz="0" w:space="0" w:color="auto"/>
            <w:right w:val="none" w:sz="0" w:space="0" w:color="auto"/>
          </w:divBdr>
          <w:divsChild>
            <w:div w:id="1892030874">
              <w:marLeft w:val="0"/>
              <w:marRight w:val="0"/>
              <w:marTop w:val="0"/>
              <w:marBottom w:val="375"/>
              <w:divBdr>
                <w:top w:val="none" w:sz="0" w:space="0" w:color="auto"/>
                <w:left w:val="none" w:sz="0" w:space="0" w:color="auto"/>
                <w:bottom w:val="none" w:sz="0" w:space="0" w:color="auto"/>
                <w:right w:val="none" w:sz="0" w:space="0" w:color="auto"/>
              </w:divBdr>
              <w:divsChild>
                <w:div w:id="993728847">
                  <w:marLeft w:val="0"/>
                  <w:marRight w:val="0"/>
                  <w:marTop w:val="0"/>
                  <w:marBottom w:val="0"/>
                  <w:divBdr>
                    <w:top w:val="none" w:sz="0" w:space="0" w:color="auto"/>
                    <w:left w:val="none" w:sz="0" w:space="0" w:color="auto"/>
                    <w:bottom w:val="none" w:sz="0" w:space="0" w:color="auto"/>
                    <w:right w:val="none" w:sz="0" w:space="0" w:color="auto"/>
                  </w:divBdr>
                </w:div>
              </w:divsChild>
            </w:div>
            <w:div w:id="608046065">
              <w:marLeft w:val="0"/>
              <w:marRight w:val="0"/>
              <w:marTop w:val="240"/>
              <w:marBottom w:val="480"/>
              <w:divBdr>
                <w:top w:val="none" w:sz="0" w:space="0" w:color="auto"/>
                <w:left w:val="none" w:sz="0" w:space="0" w:color="auto"/>
                <w:bottom w:val="none" w:sz="0" w:space="0" w:color="auto"/>
                <w:right w:val="none" w:sz="0" w:space="0" w:color="auto"/>
              </w:divBdr>
              <w:divsChild>
                <w:div w:id="347756142">
                  <w:marLeft w:val="0"/>
                  <w:marRight w:val="0"/>
                  <w:marTop w:val="0"/>
                  <w:marBottom w:val="0"/>
                  <w:divBdr>
                    <w:top w:val="single" w:sz="6" w:space="0" w:color="C6C6C6"/>
                    <w:left w:val="single" w:sz="6" w:space="0" w:color="C6C6C6"/>
                    <w:bottom w:val="single" w:sz="6" w:space="0" w:color="C6C6C6"/>
                    <w:right w:val="single" w:sz="6" w:space="0" w:color="C6C6C6"/>
                  </w:divBdr>
                </w:div>
                <w:div w:id="1532374864">
                  <w:marLeft w:val="0"/>
                  <w:marRight w:val="0"/>
                  <w:marTop w:val="0"/>
                  <w:marBottom w:val="0"/>
                  <w:divBdr>
                    <w:top w:val="none" w:sz="0" w:space="0" w:color="auto"/>
                    <w:left w:val="none" w:sz="0" w:space="0" w:color="auto"/>
                    <w:bottom w:val="dotted" w:sz="6" w:space="6" w:color="999999"/>
                    <w:right w:val="none" w:sz="0" w:space="0" w:color="auto"/>
                  </w:divBdr>
                </w:div>
              </w:divsChild>
            </w:div>
            <w:div w:id="180437308">
              <w:marLeft w:val="0"/>
              <w:marRight w:val="0"/>
              <w:marTop w:val="0"/>
              <w:marBottom w:val="0"/>
              <w:divBdr>
                <w:top w:val="none" w:sz="0" w:space="0" w:color="auto"/>
                <w:left w:val="none" w:sz="0" w:space="0" w:color="auto"/>
                <w:bottom w:val="none" w:sz="0" w:space="0" w:color="auto"/>
                <w:right w:val="none" w:sz="0" w:space="0" w:color="auto"/>
              </w:divBdr>
              <w:divsChild>
                <w:div w:id="20323650">
                  <w:marLeft w:val="0"/>
                  <w:marRight w:val="0"/>
                  <w:marTop w:val="240"/>
                  <w:marBottom w:val="480"/>
                  <w:divBdr>
                    <w:top w:val="none" w:sz="0" w:space="0" w:color="auto"/>
                    <w:left w:val="none" w:sz="0" w:space="0" w:color="auto"/>
                    <w:bottom w:val="none" w:sz="0" w:space="0" w:color="auto"/>
                    <w:right w:val="none" w:sz="0" w:space="0" w:color="auto"/>
                  </w:divBdr>
                  <w:divsChild>
                    <w:div w:id="140972993">
                      <w:marLeft w:val="0"/>
                      <w:marRight w:val="0"/>
                      <w:marTop w:val="0"/>
                      <w:marBottom w:val="0"/>
                      <w:divBdr>
                        <w:top w:val="single" w:sz="6" w:space="0" w:color="C6C6C6"/>
                        <w:left w:val="single" w:sz="6" w:space="0" w:color="C6C6C6"/>
                        <w:bottom w:val="single" w:sz="6" w:space="0" w:color="C6C6C6"/>
                        <w:right w:val="single" w:sz="6" w:space="0" w:color="C6C6C6"/>
                      </w:divBdr>
                    </w:div>
                    <w:div w:id="170879477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4633360">
              <w:marLeft w:val="0"/>
              <w:marRight w:val="0"/>
              <w:marTop w:val="0"/>
              <w:marBottom w:val="0"/>
              <w:divBdr>
                <w:top w:val="none" w:sz="0" w:space="0" w:color="auto"/>
                <w:left w:val="none" w:sz="0" w:space="0" w:color="auto"/>
                <w:bottom w:val="none" w:sz="0" w:space="0" w:color="auto"/>
                <w:right w:val="none" w:sz="0" w:space="0" w:color="auto"/>
              </w:divBdr>
              <w:divsChild>
                <w:div w:id="357700670">
                  <w:marLeft w:val="0"/>
                  <w:marRight w:val="0"/>
                  <w:marTop w:val="240"/>
                  <w:marBottom w:val="480"/>
                  <w:divBdr>
                    <w:top w:val="none" w:sz="0" w:space="0" w:color="auto"/>
                    <w:left w:val="none" w:sz="0" w:space="0" w:color="auto"/>
                    <w:bottom w:val="none" w:sz="0" w:space="0" w:color="auto"/>
                    <w:right w:val="none" w:sz="0" w:space="0" w:color="auto"/>
                  </w:divBdr>
                  <w:divsChild>
                    <w:div w:id="1961522171">
                      <w:marLeft w:val="0"/>
                      <w:marRight w:val="0"/>
                      <w:marTop w:val="0"/>
                      <w:marBottom w:val="0"/>
                      <w:divBdr>
                        <w:top w:val="single" w:sz="6" w:space="0" w:color="C6C6C6"/>
                        <w:left w:val="single" w:sz="6" w:space="0" w:color="C6C6C6"/>
                        <w:bottom w:val="single" w:sz="6" w:space="0" w:color="C6C6C6"/>
                        <w:right w:val="single" w:sz="6" w:space="0" w:color="C6C6C6"/>
                      </w:divBdr>
                    </w:div>
                    <w:div w:id="2120249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86917661">
              <w:marLeft w:val="0"/>
              <w:marRight w:val="0"/>
              <w:marTop w:val="0"/>
              <w:marBottom w:val="0"/>
              <w:divBdr>
                <w:top w:val="none" w:sz="0" w:space="0" w:color="auto"/>
                <w:left w:val="none" w:sz="0" w:space="0" w:color="auto"/>
                <w:bottom w:val="none" w:sz="0" w:space="0" w:color="auto"/>
                <w:right w:val="none" w:sz="0" w:space="0" w:color="auto"/>
              </w:divBdr>
              <w:divsChild>
                <w:div w:id="1735615374">
                  <w:marLeft w:val="0"/>
                  <w:marRight w:val="0"/>
                  <w:marTop w:val="240"/>
                  <w:marBottom w:val="480"/>
                  <w:divBdr>
                    <w:top w:val="none" w:sz="0" w:space="0" w:color="auto"/>
                    <w:left w:val="none" w:sz="0" w:space="0" w:color="auto"/>
                    <w:bottom w:val="none" w:sz="0" w:space="0" w:color="auto"/>
                    <w:right w:val="none" w:sz="0" w:space="0" w:color="auto"/>
                  </w:divBdr>
                  <w:divsChild>
                    <w:div w:id="650405435">
                      <w:marLeft w:val="0"/>
                      <w:marRight w:val="0"/>
                      <w:marTop w:val="0"/>
                      <w:marBottom w:val="0"/>
                      <w:divBdr>
                        <w:top w:val="single" w:sz="6" w:space="0" w:color="C6C6C6"/>
                        <w:left w:val="single" w:sz="6" w:space="0" w:color="C6C6C6"/>
                        <w:bottom w:val="single" w:sz="6" w:space="0" w:color="C6C6C6"/>
                        <w:right w:val="single" w:sz="6" w:space="0" w:color="C6C6C6"/>
                      </w:divBdr>
                    </w:div>
                    <w:div w:id="195853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40145794">
          <w:marLeft w:val="0"/>
          <w:marRight w:val="0"/>
          <w:marTop w:val="0"/>
          <w:marBottom w:val="450"/>
          <w:divBdr>
            <w:top w:val="none" w:sz="0" w:space="0" w:color="auto"/>
            <w:left w:val="none" w:sz="0" w:space="0" w:color="auto"/>
            <w:bottom w:val="none" w:sz="0" w:space="0" w:color="auto"/>
            <w:right w:val="none" w:sz="0" w:space="0" w:color="auto"/>
          </w:divBdr>
          <w:divsChild>
            <w:div w:id="1852257329">
              <w:marLeft w:val="0"/>
              <w:marRight w:val="0"/>
              <w:marTop w:val="0"/>
              <w:marBottom w:val="375"/>
              <w:divBdr>
                <w:top w:val="none" w:sz="0" w:space="0" w:color="auto"/>
                <w:left w:val="none" w:sz="0" w:space="0" w:color="auto"/>
                <w:bottom w:val="none" w:sz="0" w:space="0" w:color="auto"/>
                <w:right w:val="none" w:sz="0" w:space="0" w:color="auto"/>
              </w:divBdr>
              <w:divsChild>
                <w:div w:id="161081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108874">
      <w:bodyDiv w:val="1"/>
      <w:marLeft w:val="0"/>
      <w:marRight w:val="0"/>
      <w:marTop w:val="0"/>
      <w:marBottom w:val="0"/>
      <w:divBdr>
        <w:top w:val="none" w:sz="0" w:space="0" w:color="auto"/>
        <w:left w:val="none" w:sz="0" w:space="0" w:color="auto"/>
        <w:bottom w:val="none" w:sz="0" w:space="0" w:color="auto"/>
        <w:right w:val="none" w:sz="0" w:space="0" w:color="auto"/>
      </w:divBdr>
      <w:divsChild>
        <w:div w:id="31267366">
          <w:marLeft w:val="0"/>
          <w:marRight w:val="0"/>
          <w:marTop w:val="0"/>
          <w:marBottom w:val="0"/>
          <w:divBdr>
            <w:top w:val="none" w:sz="0" w:space="0" w:color="auto"/>
            <w:left w:val="none" w:sz="0" w:space="0" w:color="auto"/>
            <w:bottom w:val="none" w:sz="0" w:space="0" w:color="auto"/>
            <w:right w:val="none" w:sz="0" w:space="0" w:color="auto"/>
          </w:divBdr>
          <w:divsChild>
            <w:div w:id="268050164">
              <w:marLeft w:val="0"/>
              <w:marRight w:val="0"/>
              <w:marTop w:val="0"/>
              <w:marBottom w:val="0"/>
              <w:divBdr>
                <w:top w:val="none" w:sz="0" w:space="0" w:color="auto"/>
                <w:left w:val="none" w:sz="0" w:space="0" w:color="auto"/>
                <w:bottom w:val="none" w:sz="0" w:space="0" w:color="auto"/>
                <w:right w:val="none" w:sz="0" w:space="0" w:color="auto"/>
              </w:divBdr>
            </w:div>
            <w:div w:id="871891344">
              <w:marLeft w:val="0"/>
              <w:marRight w:val="0"/>
              <w:marTop w:val="0"/>
              <w:marBottom w:val="0"/>
              <w:divBdr>
                <w:top w:val="none" w:sz="0" w:space="0" w:color="auto"/>
                <w:left w:val="none" w:sz="0" w:space="0" w:color="auto"/>
                <w:bottom w:val="none" w:sz="0" w:space="0" w:color="auto"/>
                <w:right w:val="none" w:sz="0" w:space="0" w:color="auto"/>
              </w:divBdr>
              <w:divsChild>
                <w:div w:id="55864217">
                  <w:marLeft w:val="0"/>
                  <w:marRight w:val="0"/>
                  <w:marTop w:val="0"/>
                  <w:marBottom w:val="0"/>
                  <w:divBdr>
                    <w:top w:val="none" w:sz="0" w:space="0" w:color="auto"/>
                    <w:left w:val="none" w:sz="0" w:space="0" w:color="auto"/>
                    <w:bottom w:val="none" w:sz="0" w:space="0" w:color="auto"/>
                    <w:right w:val="none" w:sz="0" w:space="0" w:color="auto"/>
                  </w:divBdr>
                </w:div>
                <w:div w:id="876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16446">
          <w:marLeft w:val="0"/>
          <w:marRight w:val="0"/>
          <w:marTop w:val="0"/>
          <w:marBottom w:val="0"/>
          <w:divBdr>
            <w:top w:val="none" w:sz="0" w:space="0" w:color="auto"/>
            <w:left w:val="none" w:sz="0" w:space="0" w:color="auto"/>
            <w:bottom w:val="none" w:sz="0" w:space="0" w:color="auto"/>
            <w:right w:val="none" w:sz="0" w:space="0" w:color="auto"/>
          </w:divBdr>
          <w:divsChild>
            <w:div w:id="759640039">
              <w:marLeft w:val="0"/>
              <w:marRight w:val="0"/>
              <w:marTop w:val="0"/>
              <w:marBottom w:val="0"/>
              <w:divBdr>
                <w:top w:val="none" w:sz="0" w:space="0" w:color="auto"/>
                <w:left w:val="none" w:sz="0" w:space="0" w:color="auto"/>
                <w:bottom w:val="none" w:sz="0" w:space="0" w:color="auto"/>
                <w:right w:val="none" w:sz="0" w:space="0" w:color="auto"/>
              </w:divBdr>
            </w:div>
            <w:div w:id="1343357553">
              <w:marLeft w:val="0"/>
              <w:marRight w:val="0"/>
              <w:marTop w:val="0"/>
              <w:marBottom w:val="0"/>
              <w:divBdr>
                <w:top w:val="none" w:sz="0" w:space="0" w:color="auto"/>
                <w:left w:val="none" w:sz="0" w:space="0" w:color="auto"/>
                <w:bottom w:val="none" w:sz="0" w:space="0" w:color="auto"/>
                <w:right w:val="none" w:sz="0" w:space="0" w:color="auto"/>
              </w:divBdr>
            </w:div>
            <w:div w:id="802963383">
              <w:marLeft w:val="0"/>
              <w:marRight w:val="0"/>
              <w:marTop w:val="0"/>
              <w:marBottom w:val="0"/>
              <w:divBdr>
                <w:top w:val="none" w:sz="0" w:space="0" w:color="auto"/>
                <w:left w:val="none" w:sz="0" w:space="0" w:color="auto"/>
                <w:bottom w:val="none" w:sz="0" w:space="0" w:color="auto"/>
                <w:right w:val="none" w:sz="0" w:space="0" w:color="auto"/>
              </w:divBdr>
            </w:div>
            <w:div w:id="1907841627">
              <w:marLeft w:val="0"/>
              <w:marRight w:val="0"/>
              <w:marTop w:val="0"/>
              <w:marBottom w:val="0"/>
              <w:divBdr>
                <w:top w:val="none" w:sz="0" w:space="0" w:color="auto"/>
                <w:left w:val="none" w:sz="0" w:space="0" w:color="auto"/>
                <w:bottom w:val="none" w:sz="0" w:space="0" w:color="auto"/>
                <w:right w:val="none" w:sz="0" w:space="0" w:color="auto"/>
              </w:divBdr>
            </w:div>
            <w:div w:id="2116363201">
              <w:marLeft w:val="0"/>
              <w:marRight w:val="0"/>
              <w:marTop w:val="0"/>
              <w:marBottom w:val="0"/>
              <w:divBdr>
                <w:top w:val="none" w:sz="0" w:space="0" w:color="auto"/>
                <w:left w:val="none" w:sz="0" w:space="0" w:color="auto"/>
                <w:bottom w:val="none" w:sz="0" w:space="0" w:color="auto"/>
                <w:right w:val="none" w:sz="0" w:space="0" w:color="auto"/>
              </w:divBdr>
            </w:div>
          </w:divsChild>
        </w:div>
        <w:div w:id="733621209">
          <w:marLeft w:val="0"/>
          <w:marRight w:val="0"/>
          <w:marTop w:val="0"/>
          <w:marBottom w:val="0"/>
          <w:divBdr>
            <w:top w:val="none" w:sz="0" w:space="0" w:color="auto"/>
            <w:left w:val="none" w:sz="0" w:space="0" w:color="auto"/>
            <w:bottom w:val="none" w:sz="0" w:space="0" w:color="auto"/>
            <w:right w:val="none" w:sz="0" w:space="0" w:color="auto"/>
          </w:divBdr>
        </w:div>
        <w:div w:id="1195853148">
          <w:marLeft w:val="0"/>
          <w:marRight w:val="0"/>
          <w:marTop w:val="0"/>
          <w:marBottom w:val="0"/>
          <w:divBdr>
            <w:top w:val="none" w:sz="0" w:space="0" w:color="auto"/>
            <w:left w:val="none" w:sz="0" w:space="0" w:color="auto"/>
            <w:bottom w:val="none" w:sz="0" w:space="0" w:color="auto"/>
            <w:right w:val="none" w:sz="0" w:space="0" w:color="auto"/>
          </w:divBdr>
          <w:divsChild>
            <w:div w:id="290984361">
              <w:marLeft w:val="0"/>
              <w:marRight w:val="0"/>
              <w:marTop w:val="0"/>
              <w:marBottom w:val="0"/>
              <w:divBdr>
                <w:top w:val="none" w:sz="0" w:space="0" w:color="auto"/>
                <w:left w:val="none" w:sz="0" w:space="0" w:color="auto"/>
                <w:bottom w:val="none" w:sz="0" w:space="0" w:color="auto"/>
                <w:right w:val="none" w:sz="0" w:space="0" w:color="auto"/>
              </w:divBdr>
              <w:divsChild>
                <w:div w:id="1030565658">
                  <w:marLeft w:val="0"/>
                  <w:marRight w:val="0"/>
                  <w:marTop w:val="0"/>
                  <w:marBottom w:val="0"/>
                  <w:divBdr>
                    <w:top w:val="none" w:sz="0" w:space="0" w:color="auto"/>
                    <w:left w:val="none" w:sz="0" w:space="0" w:color="auto"/>
                    <w:bottom w:val="none" w:sz="0" w:space="0" w:color="auto"/>
                    <w:right w:val="none" w:sz="0" w:space="0" w:color="auto"/>
                  </w:divBdr>
                </w:div>
              </w:divsChild>
            </w:div>
            <w:div w:id="288437157">
              <w:marLeft w:val="0"/>
              <w:marRight w:val="0"/>
              <w:marTop w:val="0"/>
              <w:marBottom w:val="0"/>
              <w:divBdr>
                <w:top w:val="none" w:sz="0" w:space="0" w:color="auto"/>
                <w:left w:val="none" w:sz="0" w:space="0" w:color="auto"/>
                <w:bottom w:val="none" w:sz="0" w:space="0" w:color="auto"/>
                <w:right w:val="none" w:sz="0" w:space="0" w:color="auto"/>
              </w:divBdr>
            </w:div>
          </w:divsChild>
        </w:div>
        <w:div w:id="931473992">
          <w:marLeft w:val="0"/>
          <w:marRight w:val="0"/>
          <w:marTop w:val="0"/>
          <w:marBottom w:val="0"/>
          <w:divBdr>
            <w:top w:val="none" w:sz="0" w:space="0" w:color="auto"/>
            <w:left w:val="none" w:sz="0" w:space="0" w:color="auto"/>
            <w:bottom w:val="none" w:sz="0" w:space="0" w:color="auto"/>
            <w:right w:val="none" w:sz="0" w:space="0" w:color="auto"/>
          </w:divBdr>
          <w:divsChild>
            <w:div w:id="2106069802">
              <w:marLeft w:val="0"/>
              <w:marRight w:val="0"/>
              <w:marTop w:val="0"/>
              <w:marBottom w:val="0"/>
              <w:divBdr>
                <w:top w:val="none" w:sz="0" w:space="0" w:color="auto"/>
                <w:left w:val="none" w:sz="0" w:space="0" w:color="auto"/>
                <w:bottom w:val="none" w:sz="0" w:space="0" w:color="auto"/>
                <w:right w:val="none" w:sz="0" w:space="0" w:color="auto"/>
              </w:divBdr>
              <w:divsChild>
                <w:div w:id="1738090322">
                  <w:marLeft w:val="0"/>
                  <w:marRight w:val="0"/>
                  <w:marTop w:val="0"/>
                  <w:marBottom w:val="0"/>
                  <w:divBdr>
                    <w:top w:val="none" w:sz="0" w:space="0" w:color="auto"/>
                    <w:left w:val="none" w:sz="0" w:space="0" w:color="auto"/>
                    <w:bottom w:val="none" w:sz="0" w:space="0" w:color="auto"/>
                    <w:right w:val="none" w:sz="0" w:space="0" w:color="auto"/>
                  </w:divBdr>
                </w:div>
              </w:divsChild>
            </w:div>
            <w:div w:id="1005136480">
              <w:marLeft w:val="0"/>
              <w:marRight w:val="0"/>
              <w:marTop w:val="0"/>
              <w:marBottom w:val="0"/>
              <w:divBdr>
                <w:top w:val="none" w:sz="0" w:space="0" w:color="auto"/>
                <w:left w:val="none" w:sz="0" w:space="0" w:color="auto"/>
                <w:bottom w:val="none" w:sz="0" w:space="0" w:color="auto"/>
                <w:right w:val="none" w:sz="0" w:space="0" w:color="auto"/>
              </w:divBdr>
            </w:div>
          </w:divsChild>
        </w:div>
        <w:div w:id="842933405">
          <w:marLeft w:val="0"/>
          <w:marRight w:val="0"/>
          <w:marTop w:val="0"/>
          <w:marBottom w:val="0"/>
          <w:divBdr>
            <w:top w:val="none" w:sz="0" w:space="0" w:color="auto"/>
            <w:left w:val="none" w:sz="0" w:space="0" w:color="auto"/>
            <w:bottom w:val="none" w:sz="0" w:space="0" w:color="auto"/>
            <w:right w:val="none" w:sz="0" w:space="0" w:color="auto"/>
          </w:divBdr>
          <w:divsChild>
            <w:div w:id="1582989178">
              <w:marLeft w:val="0"/>
              <w:marRight w:val="0"/>
              <w:marTop w:val="0"/>
              <w:marBottom w:val="0"/>
              <w:divBdr>
                <w:top w:val="none" w:sz="0" w:space="0" w:color="auto"/>
                <w:left w:val="none" w:sz="0" w:space="0" w:color="auto"/>
                <w:bottom w:val="none" w:sz="0" w:space="0" w:color="auto"/>
                <w:right w:val="none" w:sz="0" w:space="0" w:color="auto"/>
              </w:divBdr>
              <w:divsChild>
                <w:div w:id="657148428">
                  <w:marLeft w:val="0"/>
                  <w:marRight w:val="0"/>
                  <w:marTop w:val="0"/>
                  <w:marBottom w:val="0"/>
                  <w:divBdr>
                    <w:top w:val="none" w:sz="0" w:space="0" w:color="auto"/>
                    <w:left w:val="none" w:sz="0" w:space="0" w:color="auto"/>
                    <w:bottom w:val="none" w:sz="0" w:space="0" w:color="auto"/>
                    <w:right w:val="none" w:sz="0" w:space="0" w:color="auto"/>
                  </w:divBdr>
                </w:div>
              </w:divsChild>
            </w:div>
            <w:div w:id="650447293">
              <w:marLeft w:val="0"/>
              <w:marRight w:val="0"/>
              <w:marTop w:val="0"/>
              <w:marBottom w:val="0"/>
              <w:divBdr>
                <w:top w:val="none" w:sz="0" w:space="0" w:color="auto"/>
                <w:left w:val="none" w:sz="0" w:space="0" w:color="auto"/>
                <w:bottom w:val="none" w:sz="0" w:space="0" w:color="auto"/>
                <w:right w:val="none" w:sz="0" w:space="0" w:color="auto"/>
              </w:divBdr>
            </w:div>
          </w:divsChild>
        </w:div>
        <w:div w:id="1698114364">
          <w:marLeft w:val="0"/>
          <w:marRight w:val="0"/>
          <w:marTop w:val="0"/>
          <w:marBottom w:val="0"/>
          <w:divBdr>
            <w:top w:val="none" w:sz="0" w:space="0" w:color="auto"/>
            <w:left w:val="none" w:sz="0" w:space="0" w:color="auto"/>
            <w:bottom w:val="none" w:sz="0" w:space="0" w:color="auto"/>
            <w:right w:val="none" w:sz="0" w:space="0" w:color="auto"/>
          </w:divBdr>
          <w:divsChild>
            <w:div w:id="1252815866">
              <w:marLeft w:val="0"/>
              <w:marRight w:val="0"/>
              <w:marTop w:val="0"/>
              <w:marBottom w:val="0"/>
              <w:divBdr>
                <w:top w:val="none" w:sz="0" w:space="0" w:color="auto"/>
                <w:left w:val="none" w:sz="0" w:space="0" w:color="auto"/>
                <w:bottom w:val="none" w:sz="0" w:space="0" w:color="auto"/>
                <w:right w:val="none" w:sz="0" w:space="0" w:color="auto"/>
              </w:divBdr>
              <w:divsChild>
                <w:div w:id="849950559">
                  <w:marLeft w:val="0"/>
                  <w:marRight w:val="0"/>
                  <w:marTop w:val="0"/>
                  <w:marBottom w:val="0"/>
                  <w:divBdr>
                    <w:top w:val="none" w:sz="0" w:space="0" w:color="auto"/>
                    <w:left w:val="none" w:sz="0" w:space="0" w:color="auto"/>
                    <w:bottom w:val="none" w:sz="0" w:space="0" w:color="auto"/>
                    <w:right w:val="none" w:sz="0" w:space="0" w:color="auto"/>
                  </w:divBdr>
                </w:div>
              </w:divsChild>
            </w:div>
            <w:div w:id="1857112505">
              <w:marLeft w:val="0"/>
              <w:marRight w:val="0"/>
              <w:marTop w:val="0"/>
              <w:marBottom w:val="0"/>
              <w:divBdr>
                <w:top w:val="none" w:sz="0" w:space="0" w:color="auto"/>
                <w:left w:val="none" w:sz="0" w:space="0" w:color="auto"/>
                <w:bottom w:val="none" w:sz="0" w:space="0" w:color="auto"/>
                <w:right w:val="none" w:sz="0" w:space="0" w:color="auto"/>
              </w:divBdr>
            </w:div>
          </w:divsChild>
        </w:div>
        <w:div w:id="1824857289">
          <w:marLeft w:val="0"/>
          <w:marRight w:val="0"/>
          <w:marTop w:val="0"/>
          <w:marBottom w:val="0"/>
          <w:divBdr>
            <w:top w:val="none" w:sz="0" w:space="0" w:color="auto"/>
            <w:left w:val="none" w:sz="0" w:space="0" w:color="auto"/>
            <w:bottom w:val="none" w:sz="0" w:space="0" w:color="auto"/>
            <w:right w:val="none" w:sz="0" w:space="0" w:color="auto"/>
          </w:divBdr>
          <w:divsChild>
            <w:div w:id="1668249004">
              <w:marLeft w:val="0"/>
              <w:marRight w:val="0"/>
              <w:marTop w:val="0"/>
              <w:marBottom w:val="0"/>
              <w:divBdr>
                <w:top w:val="none" w:sz="0" w:space="0" w:color="auto"/>
                <w:left w:val="none" w:sz="0" w:space="0" w:color="auto"/>
                <w:bottom w:val="none" w:sz="0" w:space="0" w:color="auto"/>
                <w:right w:val="none" w:sz="0" w:space="0" w:color="auto"/>
              </w:divBdr>
              <w:divsChild>
                <w:div w:id="1057315058">
                  <w:marLeft w:val="0"/>
                  <w:marRight w:val="0"/>
                  <w:marTop w:val="0"/>
                  <w:marBottom w:val="0"/>
                  <w:divBdr>
                    <w:top w:val="none" w:sz="0" w:space="0" w:color="auto"/>
                    <w:left w:val="none" w:sz="0" w:space="0" w:color="auto"/>
                    <w:bottom w:val="none" w:sz="0" w:space="0" w:color="auto"/>
                    <w:right w:val="none" w:sz="0" w:space="0" w:color="auto"/>
                  </w:divBdr>
                  <w:divsChild>
                    <w:div w:id="1845706881">
                      <w:marLeft w:val="0"/>
                      <w:marRight w:val="0"/>
                      <w:marTop w:val="0"/>
                      <w:marBottom w:val="0"/>
                      <w:divBdr>
                        <w:top w:val="none" w:sz="0" w:space="0" w:color="auto"/>
                        <w:left w:val="none" w:sz="0" w:space="0" w:color="auto"/>
                        <w:bottom w:val="none" w:sz="0" w:space="0" w:color="auto"/>
                        <w:right w:val="none" w:sz="0" w:space="0" w:color="auto"/>
                      </w:divBdr>
                      <w:divsChild>
                        <w:div w:id="838733077">
                          <w:marLeft w:val="0"/>
                          <w:marRight w:val="0"/>
                          <w:marTop w:val="0"/>
                          <w:marBottom w:val="0"/>
                          <w:divBdr>
                            <w:top w:val="none" w:sz="0" w:space="0" w:color="auto"/>
                            <w:left w:val="none" w:sz="0" w:space="0" w:color="auto"/>
                            <w:bottom w:val="none" w:sz="0" w:space="0" w:color="auto"/>
                            <w:right w:val="none" w:sz="0" w:space="0" w:color="auto"/>
                          </w:divBdr>
                        </w:div>
                      </w:divsChild>
                    </w:div>
                    <w:div w:id="76850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53247">
              <w:marLeft w:val="0"/>
              <w:marRight w:val="0"/>
              <w:marTop w:val="0"/>
              <w:marBottom w:val="0"/>
              <w:divBdr>
                <w:top w:val="none" w:sz="0" w:space="0" w:color="auto"/>
                <w:left w:val="none" w:sz="0" w:space="0" w:color="auto"/>
                <w:bottom w:val="none" w:sz="0" w:space="0" w:color="auto"/>
                <w:right w:val="none" w:sz="0" w:space="0" w:color="auto"/>
              </w:divBdr>
              <w:divsChild>
                <w:div w:id="1764453926">
                  <w:marLeft w:val="0"/>
                  <w:marRight w:val="0"/>
                  <w:marTop w:val="0"/>
                  <w:marBottom w:val="0"/>
                  <w:divBdr>
                    <w:top w:val="none" w:sz="0" w:space="0" w:color="auto"/>
                    <w:left w:val="none" w:sz="0" w:space="0" w:color="auto"/>
                    <w:bottom w:val="none" w:sz="0" w:space="0" w:color="auto"/>
                    <w:right w:val="none" w:sz="0" w:space="0" w:color="auto"/>
                  </w:divBdr>
                </w:div>
              </w:divsChild>
            </w:div>
            <w:div w:id="618534659">
              <w:marLeft w:val="0"/>
              <w:marRight w:val="0"/>
              <w:marTop w:val="0"/>
              <w:marBottom w:val="0"/>
              <w:divBdr>
                <w:top w:val="none" w:sz="0" w:space="0" w:color="auto"/>
                <w:left w:val="none" w:sz="0" w:space="0" w:color="auto"/>
                <w:bottom w:val="none" w:sz="0" w:space="0" w:color="auto"/>
                <w:right w:val="none" w:sz="0" w:space="0" w:color="auto"/>
              </w:divBdr>
            </w:div>
            <w:div w:id="1450705633">
              <w:marLeft w:val="0"/>
              <w:marRight w:val="0"/>
              <w:marTop w:val="0"/>
              <w:marBottom w:val="0"/>
              <w:divBdr>
                <w:top w:val="none" w:sz="0" w:space="0" w:color="auto"/>
                <w:left w:val="none" w:sz="0" w:space="0" w:color="auto"/>
                <w:bottom w:val="none" w:sz="0" w:space="0" w:color="auto"/>
                <w:right w:val="none" w:sz="0" w:space="0" w:color="auto"/>
              </w:divBdr>
            </w:div>
          </w:divsChild>
        </w:div>
        <w:div w:id="1605919558">
          <w:marLeft w:val="0"/>
          <w:marRight w:val="0"/>
          <w:marTop w:val="0"/>
          <w:marBottom w:val="0"/>
          <w:divBdr>
            <w:top w:val="none" w:sz="0" w:space="0" w:color="auto"/>
            <w:left w:val="none" w:sz="0" w:space="0" w:color="auto"/>
            <w:bottom w:val="none" w:sz="0" w:space="0" w:color="auto"/>
            <w:right w:val="none" w:sz="0" w:space="0" w:color="auto"/>
          </w:divBdr>
        </w:div>
        <w:div w:id="538007750">
          <w:marLeft w:val="0"/>
          <w:marRight w:val="0"/>
          <w:marTop w:val="0"/>
          <w:marBottom w:val="0"/>
          <w:divBdr>
            <w:top w:val="none" w:sz="0" w:space="0" w:color="auto"/>
            <w:left w:val="none" w:sz="0" w:space="0" w:color="auto"/>
            <w:bottom w:val="none" w:sz="0" w:space="0" w:color="auto"/>
            <w:right w:val="none" w:sz="0" w:space="0" w:color="auto"/>
          </w:divBdr>
          <w:divsChild>
            <w:div w:id="1385789869">
              <w:marLeft w:val="0"/>
              <w:marRight w:val="0"/>
              <w:marTop w:val="0"/>
              <w:marBottom w:val="0"/>
              <w:divBdr>
                <w:top w:val="none" w:sz="0" w:space="0" w:color="auto"/>
                <w:left w:val="none" w:sz="0" w:space="0" w:color="auto"/>
                <w:bottom w:val="none" w:sz="0" w:space="0" w:color="auto"/>
                <w:right w:val="none" w:sz="0" w:space="0" w:color="auto"/>
              </w:divBdr>
              <w:divsChild>
                <w:div w:id="472330526">
                  <w:marLeft w:val="0"/>
                  <w:marRight w:val="0"/>
                  <w:marTop w:val="0"/>
                  <w:marBottom w:val="0"/>
                  <w:divBdr>
                    <w:top w:val="none" w:sz="0" w:space="0" w:color="auto"/>
                    <w:left w:val="none" w:sz="0" w:space="0" w:color="auto"/>
                    <w:bottom w:val="none" w:sz="0" w:space="0" w:color="auto"/>
                    <w:right w:val="none" w:sz="0" w:space="0" w:color="auto"/>
                  </w:divBdr>
                  <w:divsChild>
                    <w:div w:id="1720740442">
                      <w:marLeft w:val="0"/>
                      <w:marRight w:val="0"/>
                      <w:marTop w:val="0"/>
                      <w:marBottom w:val="0"/>
                      <w:divBdr>
                        <w:top w:val="none" w:sz="0" w:space="0" w:color="auto"/>
                        <w:left w:val="none" w:sz="0" w:space="0" w:color="auto"/>
                        <w:bottom w:val="none" w:sz="0" w:space="0" w:color="auto"/>
                        <w:right w:val="none" w:sz="0" w:space="0" w:color="auto"/>
                      </w:divBdr>
                      <w:divsChild>
                        <w:div w:id="72515232">
                          <w:marLeft w:val="0"/>
                          <w:marRight w:val="0"/>
                          <w:marTop w:val="0"/>
                          <w:marBottom w:val="0"/>
                          <w:divBdr>
                            <w:top w:val="none" w:sz="0" w:space="0" w:color="auto"/>
                            <w:left w:val="none" w:sz="0" w:space="0" w:color="auto"/>
                            <w:bottom w:val="none" w:sz="0" w:space="0" w:color="auto"/>
                            <w:right w:val="none" w:sz="0" w:space="0" w:color="auto"/>
                          </w:divBdr>
                          <w:divsChild>
                            <w:div w:id="4621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464229">
          <w:marLeft w:val="0"/>
          <w:marRight w:val="0"/>
          <w:marTop w:val="0"/>
          <w:marBottom w:val="0"/>
          <w:divBdr>
            <w:top w:val="none" w:sz="0" w:space="0" w:color="auto"/>
            <w:left w:val="none" w:sz="0" w:space="0" w:color="auto"/>
            <w:bottom w:val="none" w:sz="0" w:space="0" w:color="auto"/>
            <w:right w:val="none" w:sz="0" w:space="0" w:color="auto"/>
          </w:divBdr>
        </w:div>
        <w:div w:id="1248808119">
          <w:marLeft w:val="0"/>
          <w:marRight w:val="0"/>
          <w:marTop w:val="0"/>
          <w:marBottom w:val="0"/>
          <w:divBdr>
            <w:top w:val="none" w:sz="0" w:space="0" w:color="auto"/>
            <w:left w:val="none" w:sz="0" w:space="0" w:color="auto"/>
            <w:bottom w:val="none" w:sz="0" w:space="0" w:color="auto"/>
            <w:right w:val="none" w:sz="0" w:space="0" w:color="auto"/>
          </w:divBdr>
          <w:divsChild>
            <w:div w:id="668220529">
              <w:marLeft w:val="0"/>
              <w:marRight w:val="0"/>
              <w:marTop w:val="0"/>
              <w:marBottom w:val="0"/>
              <w:divBdr>
                <w:top w:val="none" w:sz="0" w:space="0" w:color="auto"/>
                <w:left w:val="none" w:sz="0" w:space="0" w:color="auto"/>
                <w:bottom w:val="none" w:sz="0" w:space="0" w:color="auto"/>
                <w:right w:val="none" w:sz="0" w:space="0" w:color="auto"/>
              </w:divBdr>
              <w:divsChild>
                <w:div w:id="323708262">
                  <w:marLeft w:val="0"/>
                  <w:marRight w:val="0"/>
                  <w:marTop w:val="0"/>
                  <w:marBottom w:val="0"/>
                  <w:divBdr>
                    <w:top w:val="none" w:sz="0" w:space="0" w:color="auto"/>
                    <w:left w:val="none" w:sz="0" w:space="0" w:color="auto"/>
                    <w:bottom w:val="none" w:sz="0" w:space="0" w:color="auto"/>
                    <w:right w:val="none" w:sz="0" w:space="0" w:color="auto"/>
                  </w:divBdr>
                  <w:divsChild>
                    <w:div w:id="1124807205">
                      <w:marLeft w:val="0"/>
                      <w:marRight w:val="0"/>
                      <w:marTop w:val="0"/>
                      <w:marBottom w:val="0"/>
                      <w:divBdr>
                        <w:top w:val="none" w:sz="0" w:space="0" w:color="auto"/>
                        <w:left w:val="none" w:sz="0" w:space="0" w:color="auto"/>
                        <w:bottom w:val="none" w:sz="0" w:space="0" w:color="auto"/>
                        <w:right w:val="none" w:sz="0" w:space="0" w:color="auto"/>
                      </w:divBdr>
                    </w:div>
                    <w:div w:id="1380473757">
                      <w:marLeft w:val="0"/>
                      <w:marRight w:val="0"/>
                      <w:marTop w:val="0"/>
                      <w:marBottom w:val="0"/>
                      <w:divBdr>
                        <w:top w:val="none" w:sz="0" w:space="0" w:color="auto"/>
                        <w:left w:val="none" w:sz="0" w:space="0" w:color="auto"/>
                        <w:bottom w:val="none" w:sz="0" w:space="0" w:color="auto"/>
                        <w:right w:val="none" w:sz="0" w:space="0" w:color="auto"/>
                      </w:divBdr>
                    </w:div>
                    <w:div w:id="652413091">
                      <w:marLeft w:val="0"/>
                      <w:marRight w:val="0"/>
                      <w:marTop w:val="0"/>
                      <w:marBottom w:val="0"/>
                      <w:divBdr>
                        <w:top w:val="none" w:sz="0" w:space="0" w:color="auto"/>
                        <w:left w:val="none" w:sz="0" w:space="0" w:color="auto"/>
                        <w:bottom w:val="none" w:sz="0" w:space="0" w:color="auto"/>
                        <w:right w:val="none" w:sz="0" w:space="0" w:color="auto"/>
                      </w:divBdr>
                    </w:div>
                    <w:div w:id="755326639">
                      <w:marLeft w:val="0"/>
                      <w:marRight w:val="0"/>
                      <w:marTop w:val="0"/>
                      <w:marBottom w:val="0"/>
                      <w:divBdr>
                        <w:top w:val="none" w:sz="0" w:space="0" w:color="auto"/>
                        <w:left w:val="none" w:sz="0" w:space="0" w:color="auto"/>
                        <w:bottom w:val="none" w:sz="0" w:space="0" w:color="auto"/>
                        <w:right w:val="none" w:sz="0" w:space="0" w:color="auto"/>
                      </w:divBdr>
                      <w:divsChild>
                        <w:div w:id="999892346">
                          <w:marLeft w:val="0"/>
                          <w:marRight w:val="0"/>
                          <w:marTop w:val="0"/>
                          <w:marBottom w:val="0"/>
                          <w:divBdr>
                            <w:top w:val="none" w:sz="0" w:space="0" w:color="auto"/>
                            <w:left w:val="none" w:sz="0" w:space="0" w:color="auto"/>
                            <w:bottom w:val="none" w:sz="0" w:space="0" w:color="auto"/>
                            <w:right w:val="none" w:sz="0" w:space="0" w:color="auto"/>
                          </w:divBdr>
                          <w:divsChild>
                            <w:div w:id="1459647969">
                              <w:marLeft w:val="0"/>
                              <w:marRight w:val="0"/>
                              <w:marTop w:val="0"/>
                              <w:marBottom w:val="0"/>
                              <w:divBdr>
                                <w:top w:val="none" w:sz="0" w:space="0" w:color="auto"/>
                                <w:left w:val="none" w:sz="0" w:space="0" w:color="auto"/>
                                <w:bottom w:val="none" w:sz="0" w:space="0" w:color="auto"/>
                                <w:right w:val="none" w:sz="0" w:space="0" w:color="auto"/>
                              </w:divBdr>
                            </w:div>
                            <w:div w:id="1794322403">
                              <w:marLeft w:val="0"/>
                              <w:marRight w:val="0"/>
                              <w:marTop w:val="0"/>
                              <w:marBottom w:val="0"/>
                              <w:divBdr>
                                <w:top w:val="none" w:sz="0" w:space="0" w:color="auto"/>
                                <w:left w:val="none" w:sz="0" w:space="0" w:color="auto"/>
                                <w:bottom w:val="none" w:sz="0" w:space="0" w:color="auto"/>
                                <w:right w:val="none" w:sz="0" w:space="0" w:color="auto"/>
                              </w:divBdr>
                            </w:div>
                          </w:divsChild>
                        </w:div>
                        <w:div w:id="1359240111">
                          <w:marLeft w:val="0"/>
                          <w:marRight w:val="0"/>
                          <w:marTop w:val="0"/>
                          <w:marBottom w:val="0"/>
                          <w:divBdr>
                            <w:top w:val="none" w:sz="0" w:space="0" w:color="auto"/>
                            <w:left w:val="none" w:sz="0" w:space="0" w:color="auto"/>
                            <w:bottom w:val="none" w:sz="0" w:space="0" w:color="auto"/>
                            <w:right w:val="none" w:sz="0" w:space="0" w:color="auto"/>
                          </w:divBdr>
                          <w:divsChild>
                            <w:div w:id="1487014510">
                              <w:marLeft w:val="0"/>
                              <w:marRight w:val="0"/>
                              <w:marTop w:val="0"/>
                              <w:marBottom w:val="0"/>
                              <w:divBdr>
                                <w:top w:val="none" w:sz="0" w:space="0" w:color="auto"/>
                                <w:left w:val="none" w:sz="0" w:space="0" w:color="auto"/>
                                <w:bottom w:val="none" w:sz="0" w:space="0" w:color="auto"/>
                                <w:right w:val="none" w:sz="0" w:space="0" w:color="auto"/>
                              </w:divBdr>
                            </w:div>
                            <w:div w:id="711079702">
                              <w:marLeft w:val="0"/>
                              <w:marRight w:val="0"/>
                              <w:marTop w:val="0"/>
                              <w:marBottom w:val="0"/>
                              <w:divBdr>
                                <w:top w:val="none" w:sz="0" w:space="0" w:color="auto"/>
                                <w:left w:val="none" w:sz="0" w:space="0" w:color="auto"/>
                                <w:bottom w:val="none" w:sz="0" w:space="0" w:color="auto"/>
                                <w:right w:val="none" w:sz="0" w:space="0" w:color="auto"/>
                              </w:divBdr>
                            </w:div>
                          </w:divsChild>
                        </w:div>
                        <w:div w:id="2010985296">
                          <w:marLeft w:val="0"/>
                          <w:marRight w:val="0"/>
                          <w:marTop w:val="0"/>
                          <w:marBottom w:val="0"/>
                          <w:divBdr>
                            <w:top w:val="none" w:sz="0" w:space="0" w:color="auto"/>
                            <w:left w:val="none" w:sz="0" w:space="0" w:color="auto"/>
                            <w:bottom w:val="none" w:sz="0" w:space="0" w:color="auto"/>
                            <w:right w:val="none" w:sz="0" w:space="0" w:color="auto"/>
                          </w:divBdr>
                          <w:divsChild>
                            <w:div w:id="19023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78075">
      <w:bodyDiv w:val="1"/>
      <w:marLeft w:val="0"/>
      <w:marRight w:val="0"/>
      <w:marTop w:val="0"/>
      <w:marBottom w:val="0"/>
      <w:divBdr>
        <w:top w:val="none" w:sz="0" w:space="0" w:color="auto"/>
        <w:left w:val="none" w:sz="0" w:space="0" w:color="auto"/>
        <w:bottom w:val="none" w:sz="0" w:space="0" w:color="auto"/>
        <w:right w:val="none" w:sz="0" w:space="0" w:color="auto"/>
      </w:divBdr>
      <w:divsChild>
        <w:div w:id="844250925">
          <w:marLeft w:val="0"/>
          <w:marRight w:val="0"/>
          <w:marTop w:val="0"/>
          <w:marBottom w:val="0"/>
          <w:divBdr>
            <w:top w:val="none" w:sz="0" w:space="0" w:color="auto"/>
            <w:left w:val="none" w:sz="0" w:space="0" w:color="auto"/>
            <w:bottom w:val="none" w:sz="0" w:space="0" w:color="auto"/>
            <w:right w:val="none" w:sz="0" w:space="0" w:color="auto"/>
          </w:divBdr>
          <w:divsChild>
            <w:div w:id="463238776">
              <w:marLeft w:val="0"/>
              <w:marRight w:val="0"/>
              <w:marTop w:val="0"/>
              <w:marBottom w:val="0"/>
              <w:divBdr>
                <w:top w:val="none" w:sz="0" w:space="0" w:color="auto"/>
                <w:left w:val="none" w:sz="0" w:space="0" w:color="auto"/>
                <w:bottom w:val="single" w:sz="6" w:space="12" w:color="DDDDDD"/>
                <w:right w:val="none" w:sz="0" w:space="0" w:color="auto"/>
              </w:divBdr>
              <w:divsChild>
                <w:div w:id="1666394235">
                  <w:marLeft w:val="0"/>
                  <w:marRight w:val="0"/>
                  <w:marTop w:val="0"/>
                  <w:marBottom w:val="0"/>
                  <w:divBdr>
                    <w:top w:val="none" w:sz="0" w:space="0" w:color="auto"/>
                    <w:left w:val="none" w:sz="0" w:space="0" w:color="auto"/>
                    <w:bottom w:val="none" w:sz="0" w:space="0" w:color="auto"/>
                    <w:right w:val="none" w:sz="0" w:space="0" w:color="auto"/>
                  </w:divBdr>
                  <w:divsChild>
                    <w:div w:id="1885748273">
                      <w:marLeft w:val="0"/>
                      <w:marRight w:val="0"/>
                      <w:marTop w:val="0"/>
                      <w:marBottom w:val="0"/>
                      <w:divBdr>
                        <w:top w:val="none" w:sz="0" w:space="0" w:color="auto"/>
                        <w:left w:val="none" w:sz="0" w:space="0" w:color="auto"/>
                        <w:bottom w:val="none" w:sz="0" w:space="0" w:color="auto"/>
                        <w:right w:val="none" w:sz="0" w:space="0" w:color="auto"/>
                      </w:divBdr>
                      <w:divsChild>
                        <w:div w:id="823010336">
                          <w:marLeft w:val="0"/>
                          <w:marRight w:val="0"/>
                          <w:marTop w:val="0"/>
                          <w:marBottom w:val="0"/>
                          <w:divBdr>
                            <w:top w:val="none" w:sz="0" w:space="0" w:color="auto"/>
                            <w:left w:val="none" w:sz="0" w:space="0" w:color="auto"/>
                            <w:bottom w:val="none" w:sz="0" w:space="0" w:color="auto"/>
                            <w:right w:val="none" w:sz="0" w:space="0" w:color="auto"/>
                          </w:divBdr>
                        </w:div>
                        <w:div w:id="536090378">
                          <w:marLeft w:val="0"/>
                          <w:marRight w:val="0"/>
                          <w:marTop w:val="0"/>
                          <w:marBottom w:val="0"/>
                          <w:divBdr>
                            <w:top w:val="none" w:sz="0" w:space="0" w:color="auto"/>
                            <w:left w:val="none" w:sz="0" w:space="0" w:color="auto"/>
                            <w:bottom w:val="none" w:sz="0" w:space="0" w:color="auto"/>
                            <w:right w:val="none" w:sz="0" w:space="0" w:color="auto"/>
                          </w:divBdr>
                          <w:divsChild>
                            <w:div w:id="2108425117">
                              <w:marLeft w:val="0"/>
                              <w:marRight w:val="0"/>
                              <w:marTop w:val="0"/>
                              <w:marBottom w:val="0"/>
                              <w:divBdr>
                                <w:top w:val="none" w:sz="0" w:space="0" w:color="auto"/>
                                <w:left w:val="none" w:sz="0" w:space="0" w:color="auto"/>
                                <w:bottom w:val="none" w:sz="0" w:space="0" w:color="auto"/>
                                <w:right w:val="none" w:sz="0" w:space="0" w:color="auto"/>
                              </w:divBdr>
                            </w:div>
                            <w:div w:id="67466626">
                              <w:marLeft w:val="0"/>
                              <w:marRight w:val="0"/>
                              <w:marTop w:val="0"/>
                              <w:marBottom w:val="0"/>
                              <w:divBdr>
                                <w:top w:val="none" w:sz="0" w:space="0" w:color="auto"/>
                                <w:left w:val="none" w:sz="0" w:space="0" w:color="auto"/>
                                <w:bottom w:val="none" w:sz="0" w:space="0" w:color="auto"/>
                                <w:right w:val="none" w:sz="0" w:space="0" w:color="auto"/>
                              </w:divBdr>
                              <w:divsChild>
                                <w:div w:id="6884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9273">
                      <w:marLeft w:val="0"/>
                      <w:marRight w:val="0"/>
                      <w:marTop w:val="0"/>
                      <w:marBottom w:val="0"/>
                      <w:divBdr>
                        <w:top w:val="none" w:sz="0" w:space="0" w:color="auto"/>
                        <w:left w:val="none" w:sz="0" w:space="0" w:color="auto"/>
                        <w:bottom w:val="none" w:sz="0" w:space="0" w:color="auto"/>
                        <w:right w:val="none" w:sz="0" w:space="0" w:color="auto"/>
                      </w:divBdr>
                      <w:divsChild>
                        <w:div w:id="760756125">
                          <w:marLeft w:val="0"/>
                          <w:marRight w:val="0"/>
                          <w:marTop w:val="0"/>
                          <w:marBottom w:val="0"/>
                          <w:divBdr>
                            <w:top w:val="none" w:sz="0" w:space="0" w:color="auto"/>
                            <w:left w:val="none" w:sz="0" w:space="0" w:color="auto"/>
                            <w:bottom w:val="none" w:sz="0" w:space="0" w:color="auto"/>
                            <w:right w:val="none" w:sz="0" w:space="0" w:color="auto"/>
                          </w:divBdr>
                          <w:divsChild>
                            <w:div w:id="8652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95190">
              <w:marLeft w:val="0"/>
              <w:marRight w:val="0"/>
              <w:marTop w:val="0"/>
              <w:marBottom w:val="0"/>
              <w:divBdr>
                <w:top w:val="none" w:sz="0" w:space="0" w:color="auto"/>
                <w:left w:val="none" w:sz="0" w:space="0" w:color="auto"/>
                <w:bottom w:val="single" w:sz="6" w:space="12" w:color="DDDDDD"/>
                <w:right w:val="none" w:sz="0" w:space="0" w:color="auto"/>
              </w:divBdr>
              <w:divsChild>
                <w:div w:id="200939569">
                  <w:marLeft w:val="0"/>
                  <w:marRight w:val="0"/>
                  <w:marTop w:val="0"/>
                  <w:marBottom w:val="0"/>
                  <w:divBdr>
                    <w:top w:val="none" w:sz="0" w:space="0" w:color="auto"/>
                    <w:left w:val="none" w:sz="0" w:space="0" w:color="auto"/>
                    <w:bottom w:val="none" w:sz="0" w:space="0" w:color="auto"/>
                    <w:right w:val="none" w:sz="0" w:space="0" w:color="auto"/>
                  </w:divBdr>
                  <w:divsChild>
                    <w:div w:id="1798983403">
                      <w:marLeft w:val="0"/>
                      <w:marRight w:val="0"/>
                      <w:marTop w:val="0"/>
                      <w:marBottom w:val="0"/>
                      <w:divBdr>
                        <w:top w:val="none" w:sz="0" w:space="0" w:color="auto"/>
                        <w:left w:val="none" w:sz="0" w:space="0" w:color="auto"/>
                        <w:bottom w:val="none" w:sz="0" w:space="0" w:color="auto"/>
                        <w:right w:val="none" w:sz="0" w:space="0" w:color="auto"/>
                      </w:divBdr>
                      <w:divsChild>
                        <w:div w:id="1927029801">
                          <w:marLeft w:val="0"/>
                          <w:marRight w:val="0"/>
                          <w:marTop w:val="0"/>
                          <w:marBottom w:val="0"/>
                          <w:divBdr>
                            <w:top w:val="none" w:sz="0" w:space="0" w:color="auto"/>
                            <w:left w:val="none" w:sz="0" w:space="0" w:color="auto"/>
                            <w:bottom w:val="none" w:sz="0" w:space="0" w:color="auto"/>
                            <w:right w:val="none" w:sz="0" w:space="0" w:color="auto"/>
                          </w:divBdr>
                        </w:div>
                        <w:div w:id="2122459001">
                          <w:marLeft w:val="0"/>
                          <w:marRight w:val="0"/>
                          <w:marTop w:val="0"/>
                          <w:marBottom w:val="0"/>
                          <w:divBdr>
                            <w:top w:val="none" w:sz="0" w:space="0" w:color="auto"/>
                            <w:left w:val="none" w:sz="0" w:space="0" w:color="auto"/>
                            <w:bottom w:val="none" w:sz="0" w:space="0" w:color="auto"/>
                            <w:right w:val="none" w:sz="0" w:space="0" w:color="auto"/>
                          </w:divBdr>
                          <w:divsChild>
                            <w:div w:id="1411344284">
                              <w:marLeft w:val="0"/>
                              <w:marRight w:val="0"/>
                              <w:marTop w:val="0"/>
                              <w:marBottom w:val="0"/>
                              <w:divBdr>
                                <w:top w:val="none" w:sz="0" w:space="0" w:color="auto"/>
                                <w:left w:val="none" w:sz="0" w:space="0" w:color="auto"/>
                                <w:bottom w:val="none" w:sz="0" w:space="0" w:color="auto"/>
                                <w:right w:val="none" w:sz="0" w:space="0" w:color="auto"/>
                              </w:divBdr>
                            </w:div>
                            <w:div w:id="571355680">
                              <w:marLeft w:val="0"/>
                              <w:marRight w:val="0"/>
                              <w:marTop w:val="0"/>
                              <w:marBottom w:val="0"/>
                              <w:divBdr>
                                <w:top w:val="none" w:sz="0" w:space="0" w:color="auto"/>
                                <w:left w:val="none" w:sz="0" w:space="0" w:color="auto"/>
                                <w:bottom w:val="none" w:sz="0" w:space="0" w:color="auto"/>
                                <w:right w:val="none" w:sz="0" w:space="0" w:color="auto"/>
                              </w:divBdr>
                              <w:divsChild>
                                <w:div w:id="195181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18690">
                      <w:marLeft w:val="0"/>
                      <w:marRight w:val="0"/>
                      <w:marTop w:val="0"/>
                      <w:marBottom w:val="0"/>
                      <w:divBdr>
                        <w:top w:val="none" w:sz="0" w:space="0" w:color="auto"/>
                        <w:left w:val="none" w:sz="0" w:space="0" w:color="auto"/>
                        <w:bottom w:val="none" w:sz="0" w:space="0" w:color="auto"/>
                        <w:right w:val="none" w:sz="0" w:space="0" w:color="auto"/>
                      </w:divBdr>
                      <w:divsChild>
                        <w:div w:id="659775604">
                          <w:marLeft w:val="0"/>
                          <w:marRight w:val="0"/>
                          <w:marTop w:val="0"/>
                          <w:marBottom w:val="0"/>
                          <w:divBdr>
                            <w:top w:val="none" w:sz="0" w:space="0" w:color="auto"/>
                            <w:left w:val="none" w:sz="0" w:space="0" w:color="auto"/>
                            <w:bottom w:val="none" w:sz="0" w:space="0" w:color="auto"/>
                            <w:right w:val="none" w:sz="0" w:space="0" w:color="auto"/>
                          </w:divBdr>
                          <w:divsChild>
                            <w:div w:id="5380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58081">
              <w:marLeft w:val="0"/>
              <w:marRight w:val="0"/>
              <w:marTop w:val="0"/>
              <w:marBottom w:val="0"/>
              <w:divBdr>
                <w:top w:val="none" w:sz="0" w:space="0" w:color="auto"/>
                <w:left w:val="none" w:sz="0" w:space="0" w:color="auto"/>
                <w:bottom w:val="single" w:sz="6" w:space="12" w:color="DDDDDD"/>
                <w:right w:val="none" w:sz="0" w:space="0" w:color="auto"/>
              </w:divBdr>
              <w:divsChild>
                <w:div w:id="529338993">
                  <w:marLeft w:val="0"/>
                  <w:marRight w:val="0"/>
                  <w:marTop w:val="0"/>
                  <w:marBottom w:val="0"/>
                  <w:divBdr>
                    <w:top w:val="none" w:sz="0" w:space="0" w:color="auto"/>
                    <w:left w:val="none" w:sz="0" w:space="0" w:color="auto"/>
                    <w:bottom w:val="none" w:sz="0" w:space="0" w:color="auto"/>
                    <w:right w:val="none" w:sz="0" w:space="0" w:color="auto"/>
                  </w:divBdr>
                  <w:divsChild>
                    <w:div w:id="1717044349">
                      <w:marLeft w:val="0"/>
                      <w:marRight w:val="0"/>
                      <w:marTop w:val="0"/>
                      <w:marBottom w:val="0"/>
                      <w:divBdr>
                        <w:top w:val="none" w:sz="0" w:space="0" w:color="auto"/>
                        <w:left w:val="none" w:sz="0" w:space="0" w:color="auto"/>
                        <w:bottom w:val="none" w:sz="0" w:space="0" w:color="auto"/>
                        <w:right w:val="none" w:sz="0" w:space="0" w:color="auto"/>
                      </w:divBdr>
                      <w:divsChild>
                        <w:div w:id="746535337">
                          <w:marLeft w:val="0"/>
                          <w:marRight w:val="0"/>
                          <w:marTop w:val="0"/>
                          <w:marBottom w:val="0"/>
                          <w:divBdr>
                            <w:top w:val="none" w:sz="0" w:space="0" w:color="auto"/>
                            <w:left w:val="none" w:sz="0" w:space="0" w:color="auto"/>
                            <w:bottom w:val="none" w:sz="0" w:space="0" w:color="auto"/>
                            <w:right w:val="none" w:sz="0" w:space="0" w:color="auto"/>
                          </w:divBdr>
                        </w:div>
                        <w:div w:id="956332663">
                          <w:marLeft w:val="0"/>
                          <w:marRight w:val="0"/>
                          <w:marTop w:val="0"/>
                          <w:marBottom w:val="0"/>
                          <w:divBdr>
                            <w:top w:val="none" w:sz="0" w:space="0" w:color="auto"/>
                            <w:left w:val="none" w:sz="0" w:space="0" w:color="auto"/>
                            <w:bottom w:val="none" w:sz="0" w:space="0" w:color="auto"/>
                            <w:right w:val="none" w:sz="0" w:space="0" w:color="auto"/>
                          </w:divBdr>
                          <w:divsChild>
                            <w:div w:id="708996888">
                              <w:marLeft w:val="0"/>
                              <w:marRight w:val="0"/>
                              <w:marTop w:val="0"/>
                              <w:marBottom w:val="0"/>
                              <w:divBdr>
                                <w:top w:val="none" w:sz="0" w:space="0" w:color="auto"/>
                                <w:left w:val="none" w:sz="0" w:space="0" w:color="auto"/>
                                <w:bottom w:val="none" w:sz="0" w:space="0" w:color="auto"/>
                                <w:right w:val="none" w:sz="0" w:space="0" w:color="auto"/>
                              </w:divBdr>
                            </w:div>
                            <w:div w:id="1555848317">
                              <w:marLeft w:val="0"/>
                              <w:marRight w:val="0"/>
                              <w:marTop w:val="0"/>
                              <w:marBottom w:val="0"/>
                              <w:divBdr>
                                <w:top w:val="none" w:sz="0" w:space="0" w:color="auto"/>
                                <w:left w:val="none" w:sz="0" w:space="0" w:color="auto"/>
                                <w:bottom w:val="none" w:sz="0" w:space="0" w:color="auto"/>
                                <w:right w:val="none" w:sz="0" w:space="0" w:color="auto"/>
                              </w:divBdr>
                              <w:divsChild>
                                <w:div w:id="1325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10842">
                      <w:marLeft w:val="0"/>
                      <w:marRight w:val="0"/>
                      <w:marTop w:val="0"/>
                      <w:marBottom w:val="0"/>
                      <w:divBdr>
                        <w:top w:val="none" w:sz="0" w:space="0" w:color="auto"/>
                        <w:left w:val="none" w:sz="0" w:space="0" w:color="auto"/>
                        <w:bottom w:val="none" w:sz="0" w:space="0" w:color="auto"/>
                        <w:right w:val="none" w:sz="0" w:space="0" w:color="auto"/>
                      </w:divBdr>
                      <w:divsChild>
                        <w:div w:id="747969293">
                          <w:marLeft w:val="0"/>
                          <w:marRight w:val="0"/>
                          <w:marTop w:val="0"/>
                          <w:marBottom w:val="0"/>
                          <w:divBdr>
                            <w:top w:val="none" w:sz="0" w:space="0" w:color="auto"/>
                            <w:left w:val="none" w:sz="0" w:space="0" w:color="auto"/>
                            <w:bottom w:val="none" w:sz="0" w:space="0" w:color="auto"/>
                            <w:right w:val="none" w:sz="0" w:space="0" w:color="auto"/>
                          </w:divBdr>
                          <w:divsChild>
                            <w:div w:id="118097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280876">
              <w:marLeft w:val="0"/>
              <w:marRight w:val="0"/>
              <w:marTop w:val="0"/>
              <w:marBottom w:val="0"/>
              <w:divBdr>
                <w:top w:val="none" w:sz="0" w:space="0" w:color="auto"/>
                <w:left w:val="none" w:sz="0" w:space="0" w:color="auto"/>
                <w:bottom w:val="single" w:sz="6" w:space="12" w:color="DDDDDD"/>
                <w:right w:val="none" w:sz="0" w:space="0" w:color="auto"/>
              </w:divBdr>
              <w:divsChild>
                <w:div w:id="1767530025">
                  <w:marLeft w:val="0"/>
                  <w:marRight w:val="0"/>
                  <w:marTop w:val="0"/>
                  <w:marBottom w:val="0"/>
                  <w:divBdr>
                    <w:top w:val="none" w:sz="0" w:space="0" w:color="auto"/>
                    <w:left w:val="none" w:sz="0" w:space="0" w:color="auto"/>
                    <w:bottom w:val="none" w:sz="0" w:space="0" w:color="auto"/>
                    <w:right w:val="none" w:sz="0" w:space="0" w:color="auto"/>
                  </w:divBdr>
                  <w:divsChild>
                    <w:div w:id="1864052554">
                      <w:marLeft w:val="0"/>
                      <w:marRight w:val="0"/>
                      <w:marTop w:val="0"/>
                      <w:marBottom w:val="0"/>
                      <w:divBdr>
                        <w:top w:val="none" w:sz="0" w:space="0" w:color="auto"/>
                        <w:left w:val="none" w:sz="0" w:space="0" w:color="auto"/>
                        <w:bottom w:val="none" w:sz="0" w:space="0" w:color="auto"/>
                        <w:right w:val="none" w:sz="0" w:space="0" w:color="auto"/>
                      </w:divBdr>
                      <w:divsChild>
                        <w:div w:id="811408795">
                          <w:marLeft w:val="0"/>
                          <w:marRight w:val="0"/>
                          <w:marTop w:val="0"/>
                          <w:marBottom w:val="0"/>
                          <w:divBdr>
                            <w:top w:val="none" w:sz="0" w:space="0" w:color="auto"/>
                            <w:left w:val="none" w:sz="0" w:space="0" w:color="auto"/>
                            <w:bottom w:val="none" w:sz="0" w:space="0" w:color="auto"/>
                            <w:right w:val="none" w:sz="0" w:space="0" w:color="auto"/>
                          </w:divBdr>
                        </w:div>
                        <w:div w:id="1706129976">
                          <w:marLeft w:val="0"/>
                          <w:marRight w:val="0"/>
                          <w:marTop w:val="0"/>
                          <w:marBottom w:val="0"/>
                          <w:divBdr>
                            <w:top w:val="none" w:sz="0" w:space="0" w:color="auto"/>
                            <w:left w:val="none" w:sz="0" w:space="0" w:color="auto"/>
                            <w:bottom w:val="none" w:sz="0" w:space="0" w:color="auto"/>
                            <w:right w:val="none" w:sz="0" w:space="0" w:color="auto"/>
                          </w:divBdr>
                          <w:divsChild>
                            <w:div w:id="1695686466">
                              <w:marLeft w:val="0"/>
                              <w:marRight w:val="0"/>
                              <w:marTop w:val="0"/>
                              <w:marBottom w:val="0"/>
                              <w:divBdr>
                                <w:top w:val="none" w:sz="0" w:space="0" w:color="auto"/>
                                <w:left w:val="none" w:sz="0" w:space="0" w:color="auto"/>
                                <w:bottom w:val="none" w:sz="0" w:space="0" w:color="auto"/>
                                <w:right w:val="none" w:sz="0" w:space="0" w:color="auto"/>
                              </w:divBdr>
                            </w:div>
                            <w:div w:id="877477344">
                              <w:marLeft w:val="0"/>
                              <w:marRight w:val="0"/>
                              <w:marTop w:val="0"/>
                              <w:marBottom w:val="0"/>
                              <w:divBdr>
                                <w:top w:val="none" w:sz="0" w:space="0" w:color="auto"/>
                                <w:left w:val="none" w:sz="0" w:space="0" w:color="auto"/>
                                <w:bottom w:val="none" w:sz="0" w:space="0" w:color="auto"/>
                                <w:right w:val="none" w:sz="0" w:space="0" w:color="auto"/>
                              </w:divBdr>
                              <w:divsChild>
                                <w:div w:id="8716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84946">
                      <w:marLeft w:val="0"/>
                      <w:marRight w:val="0"/>
                      <w:marTop w:val="0"/>
                      <w:marBottom w:val="0"/>
                      <w:divBdr>
                        <w:top w:val="none" w:sz="0" w:space="0" w:color="auto"/>
                        <w:left w:val="none" w:sz="0" w:space="0" w:color="auto"/>
                        <w:bottom w:val="none" w:sz="0" w:space="0" w:color="auto"/>
                        <w:right w:val="none" w:sz="0" w:space="0" w:color="auto"/>
                      </w:divBdr>
                      <w:divsChild>
                        <w:div w:id="1208102867">
                          <w:marLeft w:val="0"/>
                          <w:marRight w:val="0"/>
                          <w:marTop w:val="0"/>
                          <w:marBottom w:val="0"/>
                          <w:divBdr>
                            <w:top w:val="none" w:sz="0" w:space="0" w:color="auto"/>
                            <w:left w:val="none" w:sz="0" w:space="0" w:color="auto"/>
                            <w:bottom w:val="none" w:sz="0" w:space="0" w:color="auto"/>
                            <w:right w:val="none" w:sz="0" w:space="0" w:color="auto"/>
                          </w:divBdr>
                          <w:divsChild>
                            <w:div w:id="1181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557156">
              <w:marLeft w:val="0"/>
              <w:marRight w:val="0"/>
              <w:marTop w:val="0"/>
              <w:marBottom w:val="0"/>
              <w:divBdr>
                <w:top w:val="none" w:sz="0" w:space="0" w:color="auto"/>
                <w:left w:val="none" w:sz="0" w:space="0" w:color="auto"/>
                <w:bottom w:val="none" w:sz="0" w:space="0" w:color="auto"/>
                <w:right w:val="none" w:sz="0" w:space="0" w:color="auto"/>
              </w:divBdr>
              <w:divsChild>
                <w:div w:id="1172406220">
                  <w:marLeft w:val="0"/>
                  <w:marRight w:val="0"/>
                  <w:marTop w:val="0"/>
                  <w:marBottom w:val="0"/>
                  <w:divBdr>
                    <w:top w:val="none" w:sz="0" w:space="0" w:color="auto"/>
                    <w:left w:val="none" w:sz="0" w:space="0" w:color="auto"/>
                    <w:bottom w:val="none" w:sz="0" w:space="0" w:color="auto"/>
                    <w:right w:val="none" w:sz="0" w:space="0" w:color="auto"/>
                  </w:divBdr>
                  <w:divsChild>
                    <w:div w:id="257758437">
                      <w:marLeft w:val="0"/>
                      <w:marRight w:val="0"/>
                      <w:marTop w:val="0"/>
                      <w:marBottom w:val="0"/>
                      <w:divBdr>
                        <w:top w:val="none" w:sz="0" w:space="0" w:color="auto"/>
                        <w:left w:val="none" w:sz="0" w:space="0" w:color="auto"/>
                        <w:bottom w:val="none" w:sz="0" w:space="0" w:color="auto"/>
                        <w:right w:val="none" w:sz="0" w:space="0" w:color="auto"/>
                      </w:divBdr>
                      <w:divsChild>
                        <w:div w:id="160118823">
                          <w:marLeft w:val="0"/>
                          <w:marRight w:val="0"/>
                          <w:marTop w:val="0"/>
                          <w:marBottom w:val="0"/>
                          <w:divBdr>
                            <w:top w:val="none" w:sz="0" w:space="0" w:color="auto"/>
                            <w:left w:val="none" w:sz="0" w:space="0" w:color="auto"/>
                            <w:bottom w:val="none" w:sz="0" w:space="0" w:color="auto"/>
                            <w:right w:val="none" w:sz="0" w:space="0" w:color="auto"/>
                          </w:divBdr>
                        </w:div>
                        <w:div w:id="438650135">
                          <w:marLeft w:val="0"/>
                          <w:marRight w:val="0"/>
                          <w:marTop w:val="0"/>
                          <w:marBottom w:val="0"/>
                          <w:divBdr>
                            <w:top w:val="none" w:sz="0" w:space="0" w:color="auto"/>
                            <w:left w:val="none" w:sz="0" w:space="0" w:color="auto"/>
                            <w:bottom w:val="none" w:sz="0" w:space="0" w:color="auto"/>
                            <w:right w:val="none" w:sz="0" w:space="0" w:color="auto"/>
                          </w:divBdr>
                          <w:divsChild>
                            <w:div w:id="1450392504">
                              <w:marLeft w:val="0"/>
                              <w:marRight w:val="0"/>
                              <w:marTop w:val="0"/>
                              <w:marBottom w:val="0"/>
                              <w:divBdr>
                                <w:top w:val="none" w:sz="0" w:space="0" w:color="auto"/>
                                <w:left w:val="none" w:sz="0" w:space="0" w:color="auto"/>
                                <w:bottom w:val="none" w:sz="0" w:space="0" w:color="auto"/>
                                <w:right w:val="none" w:sz="0" w:space="0" w:color="auto"/>
                              </w:divBdr>
                            </w:div>
                            <w:div w:id="771895487">
                              <w:marLeft w:val="0"/>
                              <w:marRight w:val="0"/>
                              <w:marTop w:val="0"/>
                              <w:marBottom w:val="0"/>
                              <w:divBdr>
                                <w:top w:val="none" w:sz="0" w:space="0" w:color="auto"/>
                                <w:left w:val="none" w:sz="0" w:space="0" w:color="auto"/>
                                <w:bottom w:val="none" w:sz="0" w:space="0" w:color="auto"/>
                                <w:right w:val="none" w:sz="0" w:space="0" w:color="auto"/>
                              </w:divBdr>
                              <w:divsChild>
                                <w:div w:id="64666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3227">
                      <w:marLeft w:val="0"/>
                      <w:marRight w:val="0"/>
                      <w:marTop w:val="0"/>
                      <w:marBottom w:val="0"/>
                      <w:divBdr>
                        <w:top w:val="none" w:sz="0" w:space="0" w:color="auto"/>
                        <w:left w:val="none" w:sz="0" w:space="0" w:color="auto"/>
                        <w:bottom w:val="none" w:sz="0" w:space="0" w:color="auto"/>
                        <w:right w:val="none" w:sz="0" w:space="0" w:color="auto"/>
                      </w:divBdr>
                      <w:divsChild>
                        <w:div w:id="1038436629">
                          <w:marLeft w:val="0"/>
                          <w:marRight w:val="0"/>
                          <w:marTop w:val="0"/>
                          <w:marBottom w:val="0"/>
                          <w:divBdr>
                            <w:top w:val="none" w:sz="0" w:space="0" w:color="auto"/>
                            <w:left w:val="none" w:sz="0" w:space="0" w:color="auto"/>
                            <w:bottom w:val="none" w:sz="0" w:space="0" w:color="auto"/>
                            <w:right w:val="none" w:sz="0" w:space="0" w:color="auto"/>
                          </w:divBdr>
                          <w:divsChild>
                            <w:div w:id="8147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7165337">
      <w:bodyDiv w:val="1"/>
      <w:marLeft w:val="0"/>
      <w:marRight w:val="0"/>
      <w:marTop w:val="0"/>
      <w:marBottom w:val="0"/>
      <w:divBdr>
        <w:top w:val="none" w:sz="0" w:space="0" w:color="auto"/>
        <w:left w:val="none" w:sz="0" w:space="0" w:color="auto"/>
        <w:bottom w:val="none" w:sz="0" w:space="0" w:color="auto"/>
        <w:right w:val="none" w:sz="0" w:space="0" w:color="auto"/>
      </w:divBdr>
      <w:divsChild>
        <w:div w:id="661159216">
          <w:marLeft w:val="0"/>
          <w:marRight w:val="0"/>
          <w:marTop w:val="0"/>
          <w:marBottom w:val="240"/>
          <w:divBdr>
            <w:top w:val="none" w:sz="0" w:space="0" w:color="auto"/>
            <w:left w:val="none" w:sz="0" w:space="0" w:color="auto"/>
            <w:bottom w:val="none" w:sz="0" w:space="0" w:color="auto"/>
            <w:right w:val="none" w:sz="0" w:space="0" w:color="auto"/>
          </w:divBdr>
        </w:div>
        <w:div w:id="450368996">
          <w:marLeft w:val="0"/>
          <w:marRight w:val="0"/>
          <w:marTop w:val="0"/>
          <w:marBottom w:val="0"/>
          <w:divBdr>
            <w:top w:val="none" w:sz="0" w:space="0" w:color="auto"/>
            <w:left w:val="none" w:sz="0" w:space="0" w:color="auto"/>
            <w:bottom w:val="none" w:sz="0" w:space="0" w:color="auto"/>
            <w:right w:val="none" w:sz="0" w:space="0" w:color="auto"/>
          </w:divBdr>
          <w:divsChild>
            <w:div w:id="30687104">
              <w:marLeft w:val="0"/>
              <w:marRight w:val="0"/>
              <w:marTop w:val="0"/>
              <w:marBottom w:val="0"/>
              <w:divBdr>
                <w:top w:val="none" w:sz="0" w:space="0" w:color="auto"/>
                <w:left w:val="none" w:sz="0" w:space="0" w:color="auto"/>
                <w:bottom w:val="single" w:sz="6" w:space="12" w:color="DDDDDD"/>
                <w:right w:val="none" w:sz="0" w:space="0" w:color="auto"/>
              </w:divBdr>
              <w:divsChild>
                <w:div w:id="695695308">
                  <w:marLeft w:val="0"/>
                  <w:marRight w:val="0"/>
                  <w:marTop w:val="0"/>
                  <w:marBottom w:val="0"/>
                  <w:divBdr>
                    <w:top w:val="none" w:sz="0" w:space="0" w:color="auto"/>
                    <w:left w:val="none" w:sz="0" w:space="0" w:color="auto"/>
                    <w:bottom w:val="none" w:sz="0" w:space="0" w:color="auto"/>
                    <w:right w:val="none" w:sz="0" w:space="0" w:color="auto"/>
                  </w:divBdr>
                  <w:divsChild>
                    <w:div w:id="1434087359">
                      <w:marLeft w:val="0"/>
                      <w:marRight w:val="0"/>
                      <w:marTop w:val="0"/>
                      <w:marBottom w:val="0"/>
                      <w:divBdr>
                        <w:top w:val="none" w:sz="0" w:space="0" w:color="auto"/>
                        <w:left w:val="none" w:sz="0" w:space="0" w:color="auto"/>
                        <w:bottom w:val="none" w:sz="0" w:space="0" w:color="auto"/>
                        <w:right w:val="none" w:sz="0" w:space="0" w:color="auto"/>
                      </w:divBdr>
                      <w:divsChild>
                        <w:div w:id="998733725">
                          <w:marLeft w:val="0"/>
                          <w:marRight w:val="0"/>
                          <w:marTop w:val="0"/>
                          <w:marBottom w:val="0"/>
                          <w:divBdr>
                            <w:top w:val="none" w:sz="0" w:space="0" w:color="auto"/>
                            <w:left w:val="none" w:sz="0" w:space="0" w:color="auto"/>
                            <w:bottom w:val="none" w:sz="0" w:space="0" w:color="auto"/>
                            <w:right w:val="none" w:sz="0" w:space="0" w:color="auto"/>
                          </w:divBdr>
                        </w:div>
                        <w:div w:id="823813279">
                          <w:marLeft w:val="0"/>
                          <w:marRight w:val="0"/>
                          <w:marTop w:val="0"/>
                          <w:marBottom w:val="0"/>
                          <w:divBdr>
                            <w:top w:val="none" w:sz="0" w:space="0" w:color="auto"/>
                            <w:left w:val="none" w:sz="0" w:space="0" w:color="auto"/>
                            <w:bottom w:val="none" w:sz="0" w:space="0" w:color="auto"/>
                            <w:right w:val="none" w:sz="0" w:space="0" w:color="auto"/>
                          </w:divBdr>
                          <w:divsChild>
                            <w:div w:id="2093315356">
                              <w:marLeft w:val="0"/>
                              <w:marRight w:val="0"/>
                              <w:marTop w:val="0"/>
                              <w:marBottom w:val="0"/>
                              <w:divBdr>
                                <w:top w:val="none" w:sz="0" w:space="0" w:color="auto"/>
                                <w:left w:val="none" w:sz="0" w:space="0" w:color="auto"/>
                                <w:bottom w:val="none" w:sz="0" w:space="0" w:color="auto"/>
                                <w:right w:val="none" w:sz="0" w:space="0" w:color="auto"/>
                              </w:divBdr>
                            </w:div>
                            <w:div w:id="158834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022842">
              <w:marLeft w:val="0"/>
              <w:marRight w:val="0"/>
              <w:marTop w:val="0"/>
              <w:marBottom w:val="0"/>
              <w:divBdr>
                <w:top w:val="none" w:sz="0" w:space="0" w:color="auto"/>
                <w:left w:val="none" w:sz="0" w:space="0" w:color="auto"/>
                <w:bottom w:val="single" w:sz="6" w:space="12" w:color="DDDDDD"/>
                <w:right w:val="none" w:sz="0" w:space="0" w:color="auto"/>
              </w:divBdr>
              <w:divsChild>
                <w:div w:id="1172794609">
                  <w:marLeft w:val="0"/>
                  <w:marRight w:val="0"/>
                  <w:marTop w:val="0"/>
                  <w:marBottom w:val="0"/>
                  <w:divBdr>
                    <w:top w:val="none" w:sz="0" w:space="0" w:color="auto"/>
                    <w:left w:val="none" w:sz="0" w:space="0" w:color="auto"/>
                    <w:bottom w:val="none" w:sz="0" w:space="0" w:color="auto"/>
                    <w:right w:val="none" w:sz="0" w:space="0" w:color="auto"/>
                  </w:divBdr>
                  <w:divsChild>
                    <w:div w:id="1467429980">
                      <w:marLeft w:val="0"/>
                      <w:marRight w:val="0"/>
                      <w:marTop w:val="0"/>
                      <w:marBottom w:val="0"/>
                      <w:divBdr>
                        <w:top w:val="none" w:sz="0" w:space="0" w:color="auto"/>
                        <w:left w:val="none" w:sz="0" w:space="0" w:color="auto"/>
                        <w:bottom w:val="none" w:sz="0" w:space="0" w:color="auto"/>
                        <w:right w:val="none" w:sz="0" w:space="0" w:color="auto"/>
                      </w:divBdr>
                      <w:divsChild>
                        <w:div w:id="820584632">
                          <w:marLeft w:val="0"/>
                          <w:marRight w:val="0"/>
                          <w:marTop w:val="0"/>
                          <w:marBottom w:val="0"/>
                          <w:divBdr>
                            <w:top w:val="none" w:sz="0" w:space="0" w:color="auto"/>
                            <w:left w:val="none" w:sz="0" w:space="0" w:color="auto"/>
                            <w:bottom w:val="none" w:sz="0" w:space="0" w:color="auto"/>
                            <w:right w:val="none" w:sz="0" w:space="0" w:color="auto"/>
                          </w:divBdr>
                        </w:div>
                        <w:div w:id="1423456631">
                          <w:marLeft w:val="0"/>
                          <w:marRight w:val="0"/>
                          <w:marTop w:val="0"/>
                          <w:marBottom w:val="0"/>
                          <w:divBdr>
                            <w:top w:val="none" w:sz="0" w:space="0" w:color="auto"/>
                            <w:left w:val="none" w:sz="0" w:space="0" w:color="auto"/>
                            <w:bottom w:val="none" w:sz="0" w:space="0" w:color="auto"/>
                            <w:right w:val="none" w:sz="0" w:space="0" w:color="auto"/>
                          </w:divBdr>
                        </w:div>
                        <w:div w:id="1515025365">
                          <w:marLeft w:val="0"/>
                          <w:marRight w:val="0"/>
                          <w:marTop w:val="0"/>
                          <w:marBottom w:val="0"/>
                          <w:divBdr>
                            <w:top w:val="none" w:sz="0" w:space="0" w:color="auto"/>
                            <w:left w:val="none" w:sz="0" w:space="0" w:color="auto"/>
                            <w:bottom w:val="none" w:sz="0" w:space="0" w:color="auto"/>
                            <w:right w:val="none" w:sz="0" w:space="0" w:color="auto"/>
                          </w:divBdr>
                          <w:divsChild>
                            <w:div w:id="541943081">
                              <w:marLeft w:val="0"/>
                              <w:marRight w:val="0"/>
                              <w:marTop w:val="0"/>
                              <w:marBottom w:val="0"/>
                              <w:divBdr>
                                <w:top w:val="none" w:sz="0" w:space="0" w:color="auto"/>
                                <w:left w:val="none" w:sz="0" w:space="0" w:color="auto"/>
                                <w:bottom w:val="none" w:sz="0" w:space="0" w:color="auto"/>
                                <w:right w:val="none" w:sz="0" w:space="0" w:color="auto"/>
                              </w:divBdr>
                            </w:div>
                            <w:div w:id="193412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131091">
              <w:marLeft w:val="0"/>
              <w:marRight w:val="0"/>
              <w:marTop w:val="0"/>
              <w:marBottom w:val="0"/>
              <w:divBdr>
                <w:top w:val="none" w:sz="0" w:space="0" w:color="auto"/>
                <w:left w:val="none" w:sz="0" w:space="0" w:color="auto"/>
                <w:bottom w:val="single" w:sz="6" w:space="12" w:color="DDDDDD"/>
                <w:right w:val="none" w:sz="0" w:space="0" w:color="auto"/>
              </w:divBdr>
              <w:divsChild>
                <w:div w:id="1405957026">
                  <w:marLeft w:val="0"/>
                  <w:marRight w:val="0"/>
                  <w:marTop w:val="0"/>
                  <w:marBottom w:val="0"/>
                  <w:divBdr>
                    <w:top w:val="none" w:sz="0" w:space="0" w:color="auto"/>
                    <w:left w:val="none" w:sz="0" w:space="0" w:color="auto"/>
                    <w:bottom w:val="none" w:sz="0" w:space="0" w:color="auto"/>
                    <w:right w:val="none" w:sz="0" w:space="0" w:color="auto"/>
                  </w:divBdr>
                  <w:divsChild>
                    <w:div w:id="341906098">
                      <w:marLeft w:val="0"/>
                      <w:marRight w:val="0"/>
                      <w:marTop w:val="0"/>
                      <w:marBottom w:val="0"/>
                      <w:divBdr>
                        <w:top w:val="none" w:sz="0" w:space="0" w:color="auto"/>
                        <w:left w:val="none" w:sz="0" w:space="0" w:color="auto"/>
                        <w:bottom w:val="none" w:sz="0" w:space="0" w:color="auto"/>
                        <w:right w:val="none" w:sz="0" w:space="0" w:color="auto"/>
                      </w:divBdr>
                      <w:divsChild>
                        <w:div w:id="992024808">
                          <w:marLeft w:val="0"/>
                          <w:marRight w:val="0"/>
                          <w:marTop w:val="0"/>
                          <w:marBottom w:val="0"/>
                          <w:divBdr>
                            <w:top w:val="none" w:sz="0" w:space="0" w:color="auto"/>
                            <w:left w:val="none" w:sz="0" w:space="0" w:color="auto"/>
                            <w:bottom w:val="none" w:sz="0" w:space="0" w:color="auto"/>
                            <w:right w:val="none" w:sz="0" w:space="0" w:color="auto"/>
                          </w:divBdr>
                        </w:div>
                        <w:div w:id="933516568">
                          <w:marLeft w:val="0"/>
                          <w:marRight w:val="0"/>
                          <w:marTop w:val="0"/>
                          <w:marBottom w:val="0"/>
                          <w:divBdr>
                            <w:top w:val="none" w:sz="0" w:space="0" w:color="auto"/>
                            <w:left w:val="none" w:sz="0" w:space="0" w:color="auto"/>
                            <w:bottom w:val="none" w:sz="0" w:space="0" w:color="auto"/>
                            <w:right w:val="none" w:sz="0" w:space="0" w:color="auto"/>
                          </w:divBdr>
                          <w:divsChild>
                            <w:div w:id="415171447">
                              <w:marLeft w:val="0"/>
                              <w:marRight w:val="0"/>
                              <w:marTop w:val="0"/>
                              <w:marBottom w:val="0"/>
                              <w:divBdr>
                                <w:top w:val="none" w:sz="0" w:space="0" w:color="auto"/>
                                <w:left w:val="none" w:sz="0" w:space="0" w:color="auto"/>
                                <w:bottom w:val="none" w:sz="0" w:space="0" w:color="auto"/>
                                <w:right w:val="none" w:sz="0" w:space="0" w:color="auto"/>
                              </w:divBdr>
                            </w:div>
                            <w:div w:id="205175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21787">
              <w:marLeft w:val="0"/>
              <w:marRight w:val="0"/>
              <w:marTop w:val="0"/>
              <w:marBottom w:val="0"/>
              <w:divBdr>
                <w:top w:val="none" w:sz="0" w:space="0" w:color="auto"/>
                <w:left w:val="none" w:sz="0" w:space="0" w:color="auto"/>
                <w:bottom w:val="single" w:sz="6" w:space="12" w:color="DDDDDD"/>
                <w:right w:val="none" w:sz="0" w:space="0" w:color="auto"/>
              </w:divBdr>
              <w:divsChild>
                <w:div w:id="438069772">
                  <w:marLeft w:val="0"/>
                  <w:marRight w:val="0"/>
                  <w:marTop w:val="0"/>
                  <w:marBottom w:val="0"/>
                  <w:divBdr>
                    <w:top w:val="none" w:sz="0" w:space="0" w:color="auto"/>
                    <w:left w:val="none" w:sz="0" w:space="0" w:color="auto"/>
                    <w:bottom w:val="none" w:sz="0" w:space="0" w:color="auto"/>
                    <w:right w:val="none" w:sz="0" w:space="0" w:color="auto"/>
                  </w:divBdr>
                  <w:divsChild>
                    <w:div w:id="1270311647">
                      <w:marLeft w:val="0"/>
                      <w:marRight w:val="0"/>
                      <w:marTop w:val="0"/>
                      <w:marBottom w:val="0"/>
                      <w:divBdr>
                        <w:top w:val="none" w:sz="0" w:space="0" w:color="auto"/>
                        <w:left w:val="none" w:sz="0" w:space="0" w:color="auto"/>
                        <w:bottom w:val="none" w:sz="0" w:space="0" w:color="auto"/>
                        <w:right w:val="none" w:sz="0" w:space="0" w:color="auto"/>
                      </w:divBdr>
                      <w:divsChild>
                        <w:div w:id="674458523">
                          <w:marLeft w:val="0"/>
                          <w:marRight w:val="0"/>
                          <w:marTop w:val="0"/>
                          <w:marBottom w:val="0"/>
                          <w:divBdr>
                            <w:top w:val="none" w:sz="0" w:space="0" w:color="auto"/>
                            <w:left w:val="none" w:sz="0" w:space="0" w:color="auto"/>
                            <w:bottom w:val="none" w:sz="0" w:space="0" w:color="auto"/>
                            <w:right w:val="none" w:sz="0" w:space="0" w:color="auto"/>
                          </w:divBdr>
                        </w:div>
                        <w:div w:id="1489442736">
                          <w:marLeft w:val="0"/>
                          <w:marRight w:val="0"/>
                          <w:marTop w:val="0"/>
                          <w:marBottom w:val="0"/>
                          <w:divBdr>
                            <w:top w:val="none" w:sz="0" w:space="0" w:color="auto"/>
                            <w:left w:val="none" w:sz="0" w:space="0" w:color="auto"/>
                            <w:bottom w:val="none" w:sz="0" w:space="0" w:color="auto"/>
                            <w:right w:val="none" w:sz="0" w:space="0" w:color="auto"/>
                          </w:divBdr>
                          <w:divsChild>
                            <w:div w:id="1336107726">
                              <w:marLeft w:val="0"/>
                              <w:marRight w:val="0"/>
                              <w:marTop w:val="0"/>
                              <w:marBottom w:val="0"/>
                              <w:divBdr>
                                <w:top w:val="none" w:sz="0" w:space="0" w:color="auto"/>
                                <w:left w:val="none" w:sz="0" w:space="0" w:color="auto"/>
                                <w:bottom w:val="none" w:sz="0" w:space="0" w:color="auto"/>
                                <w:right w:val="none" w:sz="0" w:space="0" w:color="auto"/>
                              </w:divBdr>
                            </w:div>
                            <w:div w:id="54876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582440">
              <w:marLeft w:val="0"/>
              <w:marRight w:val="0"/>
              <w:marTop w:val="0"/>
              <w:marBottom w:val="0"/>
              <w:divBdr>
                <w:top w:val="none" w:sz="0" w:space="0" w:color="auto"/>
                <w:left w:val="none" w:sz="0" w:space="0" w:color="auto"/>
                <w:bottom w:val="single" w:sz="6" w:space="12" w:color="DDDDDD"/>
                <w:right w:val="none" w:sz="0" w:space="0" w:color="auto"/>
              </w:divBdr>
              <w:divsChild>
                <w:div w:id="1569875358">
                  <w:marLeft w:val="0"/>
                  <w:marRight w:val="0"/>
                  <w:marTop w:val="0"/>
                  <w:marBottom w:val="0"/>
                  <w:divBdr>
                    <w:top w:val="none" w:sz="0" w:space="0" w:color="auto"/>
                    <w:left w:val="none" w:sz="0" w:space="0" w:color="auto"/>
                    <w:bottom w:val="none" w:sz="0" w:space="0" w:color="auto"/>
                    <w:right w:val="none" w:sz="0" w:space="0" w:color="auto"/>
                  </w:divBdr>
                  <w:divsChild>
                    <w:div w:id="1620405608">
                      <w:marLeft w:val="0"/>
                      <w:marRight w:val="0"/>
                      <w:marTop w:val="0"/>
                      <w:marBottom w:val="0"/>
                      <w:divBdr>
                        <w:top w:val="none" w:sz="0" w:space="0" w:color="auto"/>
                        <w:left w:val="none" w:sz="0" w:space="0" w:color="auto"/>
                        <w:bottom w:val="none" w:sz="0" w:space="0" w:color="auto"/>
                        <w:right w:val="none" w:sz="0" w:space="0" w:color="auto"/>
                      </w:divBdr>
                      <w:divsChild>
                        <w:div w:id="283317965">
                          <w:marLeft w:val="0"/>
                          <w:marRight w:val="0"/>
                          <w:marTop w:val="0"/>
                          <w:marBottom w:val="0"/>
                          <w:divBdr>
                            <w:top w:val="none" w:sz="0" w:space="0" w:color="auto"/>
                            <w:left w:val="none" w:sz="0" w:space="0" w:color="auto"/>
                            <w:bottom w:val="none" w:sz="0" w:space="0" w:color="auto"/>
                            <w:right w:val="none" w:sz="0" w:space="0" w:color="auto"/>
                          </w:divBdr>
                        </w:div>
                        <w:div w:id="156966459">
                          <w:marLeft w:val="0"/>
                          <w:marRight w:val="0"/>
                          <w:marTop w:val="0"/>
                          <w:marBottom w:val="0"/>
                          <w:divBdr>
                            <w:top w:val="none" w:sz="0" w:space="0" w:color="auto"/>
                            <w:left w:val="none" w:sz="0" w:space="0" w:color="auto"/>
                            <w:bottom w:val="none" w:sz="0" w:space="0" w:color="auto"/>
                            <w:right w:val="none" w:sz="0" w:space="0" w:color="auto"/>
                          </w:divBdr>
                          <w:divsChild>
                            <w:div w:id="1264805588">
                              <w:marLeft w:val="0"/>
                              <w:marRight w:val="0"/>
                              <w:marTop w:val="0"/>
                              <w:marBottom w:val="0"/>
                              <w:divBdr>
                                <w:top w:val="none" w:sz="0" w:space="0" w:color="auto"/>
                                <w:left w:val="none" w:sz="0" w:space="0" w:color="auto"/>
                                <w:bottom w:val="none" w:sz="0" w:space="0" w:color="auto"/>
                                <w:right w:val="none" w:sz="0" w:space="0" w:color="auto"/>
                              </w:divBdr>
                            </w:div>
                            <w:div w:id="1401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287582">
              <w:marLeft w:val="0"/>
              <w:marRight w:val="0"/>
              <w:marTop w:val="0"/>
              <w:marBottom w:val="0"/>
              <w:divBdr>
                <w:top w:val="none" w:sz="0" w:space="0" w:color="auto"/>
                <w:left w:val="none" w:sz="0" w:space="0" w:color="auto"/>
                <w:bottom w:val="single" w:sz="6" w:space="12" w:color="DDDDDD"/>
                <w:right w:val="none" w:sz="0" w:space="0" w:color="auto"/>
              </w:divBdr>
              <w:divsChild>
                <w:div w:id="1114136599">
                  <w:marLeft w:val="0"/>
                  <w:marRight w:val="0"/>
                  <w:marTop w:val="0"/>
                  <w:marBottom w:val="0"/>
                  <w:divBdr>
                    <w:top w:val="none" w:sz="0" w:space="0" w:color="auto"/>
                    <w:left w:val="none" w:sz="0" w:space="0" w:color="auto"/>
                    <w:bottom w:val="none" w:sz="0" w:space="0" w:color="auto"/>
                    <w:right w:val="none" w:sz="0" w:space="0" w:color="auto"/>
                  </w:divBdr>
                  <w:divsChild>
                    <w:div w:id="1994721712">
                      <w:marLeft w:val="0"/>
                      <w:marRight w:val="0"/>
                      <w:marTop w:val="0"/>
                      <w:marBottom w:val="0"/>
                      <w:divBdr>
                        <w:top w:val="none" w:sz="0" w:space="0" w:color="auto"/>
                        <w:left w:val="none" w:sz="0" w:space="0" w:color="auto"/>
                        <w:bottom w:val="none" w:sz="0" w:space="0" w:color="auto"/>
                        <w:right w:val="none" w:sz="0" w:space="0" w:color="auto"/>
                      </w:divBdr>
                      <w:divsChild>
                        <w:div w:id="973873273">
                          <w:marLeft w:val="0"/>
                          <w:marRight w:val="0"/>
                          <w:marTop w:val="0"/>
                          <w:marBottom w:val="0"/>
                          <w:divBdr>
                            <w:top w:val="none" w:sz="0" w:space="0" w:color="auto"/>
                            <w:left w:val="none" w:sz="0" w:space="0" w:color="auto"/>
                            <w:bottom w:val="none" w:sz="0" w:space="0" w:color="auto"/>
                            <w:right w:val="none" w:sz="0" w:space="0" w:color="auto"/>
                          </w:divBdr>
                        </w:div>
                        <w:div w:id="1597865478">
                          <w:marLeft w:val="0"/>
                          <w:marRight w:val="0"/>
                          <w:marTop w:val="0"/>
                          <w:marBottom w:val="0"/>
                          <w:divBdr>
                            <w:top w:val="none" w:sz="0" w:space="0" w:color="auto"/>
                            <w:left w:val="none" w:sz="0" w:space="0" w:color="auto"/>
                            <w:bottom w:val="none" w:sz="0" w:space="0" w:color="auto"/>
                            <w:right w:val="none" w:sz="0" w:space="0" w:color="auto"/>
                          </w:divBdr>
                        </w:div>
                        <w:div w:id="960570270">
                          <w:marLeft w:val="0"/>
                          <w:marRight w:val="0"/>
                          <w:marTop w:val="0"/>
                          <w:marBottom w:val="0"/>
                          <w:divBdr>
                            <w:top w:val="none" w:sz="0" w:space="0" w:color="auto"/>
                            <w:left w:val="none" w:sz="0" w:space="0" w:color="auto"/>
                            <w:bottom w:val="none" w:sz="0" w:space="0" w:color="auto"/>
                            <w:right w:val="none" w:sz="0" w:space="0" w:color="auto"/>
                          </w:divBdr>
                          <w:divsChild>
                            <w:div w:id="1197308158">
                              <w:marLeft w:val="0"/>
                              <w:marRight w:val="0"/>
                              <w:marTop w:val="0"/>
                              <w:marBottom w:val="0"/>
                              <w:divBdr>
                                <w:top w:val="none" w:sz="0" w:space="0" w:color="auto"/>
                                <w:left w:val="none" w:sz="0" w:space="0" w:color="auto"/>
                                <w:bottom w:val="none" w:sz="0" w:space="0" w:color="auto"/>
                                <w:right w:val="none" w:sz="0" w:space="0" w:color="auto"/>
                              </w:divBdr>
                            </w:div>
                            <w:div w:id="159431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51413">
              <w:marLeft w:val="0"/>
              <w:marRight w:val="0"/>
              <w:marTop w:val="0"/>
              <w:marBottom w:val="0"/>
              <w:divBdr>
                <w:top w:val="none" w:sz="0" w:space="0" w:color="auto"/>
                <w:left w:val="none" w:sz="0" w:space="0" w:color="auto"/>
                <w:bottom w:val="single" w:sz="6" w:space="12" w:color="DDDDDD"/>
                <w:right w:val="none" w:sz="0" w:space="0" w:color="auto"/>
              </w:divBdr>
              <w:divsChild>
                <w:div w:id="1633516205">
                  <w:marLeft w:val="0"/>
                  <w:marRight w:val="0"/>
                  <w:marTop w:val="0"/>
                  <w:marBottom w:val="0"/>
                  <w:divBdr>
                    <w:top w:val="none" w:sz="0" w:space="0" w:color="auto"/>
                    <w:left w:val="none" w:sz="0" w:space="0" w:color="auto"/>
                    <w:bottom w:val="none" w:sz="0" w:space="0" w:color="auto"/>
                    <w:right w:val="none" w:sz="0" w:space="0" w:color="auto"/>
                  </w:divBdr>
                  <w:divsChild>
                    <w:div w:id="216599498">
                      <w:marLeft w:val="0"/>
                      <w:marRight w:val="0"/>
                      <w:marTop w:val="0"/>
                      <w:marBottom w:val="0"/>
                      <w:divBdr>
                        <w:top w:val="none" w:sz="0" w:space="0" w:color="auto"/>
                        <w:left w:val="none" w:sz="0" w:space="0" w:color="auto"/>
                        <w:bottom w:val="none" w:sz="0" w:space="0" w:color="auto"/>
                        <w:right w:val="none" w:sz="0" w:space="0" w:color="auto"/>
                      </w:divBdr>
                      <w:divsChild>
                        <w:div w:id="924264580">
                          <w:marLeft w:val="0"/>
                          <w:marRight w:val="0"/>
                          <w:marTop w:val="0"/>
                          <w:marBottom w:val="0"/>
                          <w:divBdr>
                            <w:top w:val="none" w:sz="0" w:space="0" w:color="auto"/>
                            <w:left w:val="none" w:sz="0" w:space="0" w:color="auto"/>
                            <w:bottom w:val="none" w:sz="0" w:space="0" w:color="auto"/>
                            <w:right w:val="none" w:sz="0" w:space="0" w:color="auto"/>
                          </w:divBdr>
                        </w:div>
                        <w:div w:id="124661483">
                          <w:marLeft w:val="0"/>
                          <w:marRight w:val="0"/>
                          <w:marTop w:val="0"/>
                          <w:marBottom w:val="0"/>
                          <w:divBdr>
                            <w:top w:val="none" w:sz="0" w:space="0" w:color="auto"/>
                            <w:left w:val="none" w:sz="0" w:space="0" w:color="auto"/>
                            <w:bottom w:val="none" w:sz="0" w:space="0" w:color="auto"/>
                            <w:right w:val="none" w:sz="0" w:space="0" w:color="auto"/>
                          </w:divBdr>
                          <w:divsChild>
                            <w:div w:id="1753503697">
                              <w:marLeft w:val="0"/>
                              <w:marRight w:val="0"/>
                              <w:marTop w:val="0"/>
                              <w:marBottom w:val="0"/>
                              <w:divBdr>
                                <w:top w:val="none" w:sz="0" w:space="0" w:color="auto"/>
                                <w:left w:val="none" w:sz="0" w:space="0" w:color="auto"/>
                                <w:bottom w:val="none" w:sz="0" w:space="0" w:color="auto"/>
                                <w:right w:val="none" w:sz="0" w:space="0" w:color="auto"/>
                              </w:divBdr>
                            </w:div>
                            <w:div w:id="33056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49568">
              <w:marLeft w:val="0"/>
              <w:marRight w:val="0"/>
              <w:marTop w:val="0"/>
              <w:marBottom w:val="0"/>
              <w:divBdr>
                <w:top w:val="none" w:sz="0" w:space="0" w:color="auto"/>
                <w:left w:val="none" w:sz="0" w:space="0" w:color="auto"/>
                <w:bottom w:val="single" w:sz="6" w:space="12" w:color="DDDDDD"/>
                <w:right w:val="none" w:sz="0" w:space="0" w:color="auto"/>
              </w:divBdr>
              <w:divsChild>
                <w:div w:id="362367662">
                  <w:marLeft w:val="0"/>
                  <w:marRight w:val="0"/>
                  <w:marTop w:val="0"/>
                  <w:marBottom w:val="0"/>
                  <w:divBdr>
                    <w:top w:val="none" w:sz="0" w:space="0" w:color="auto"/>
                    <w:left w:val="none" w:sz="0" w:space="0" w:color="auto"/>
                    <w:bottom w:val="none" w:sz="0" w:space="0" w:color="auto"/>
                    <w:right w:val="none" w:sz="0" w:space="0" w:color="auto"/>
                  </w:divBdr>
                  <w:divsChild>
                    <w:div w:id="838279434">
                      <w:marLeft w:val="0"/>
                      <w:marRight w:val="0"/>
                      <w:marTop w:val="0"/>
                      <w:marBottom w:val="0"/>
                      <w:divBdr>
                        <w:top w:val="none" w:sz="0" w:space="0" w:color="auto"/>
                        <w:left w:val="none" w:sz="0" w:space="0" w:color="auto"/>
                        <w:bottom w:val="none" w:sz="0" w:space="0" w:color="auto"/>
                        <w:right w:val="none" w:sz="0" w:space="0" w:color="auto"/>
                      </w:divBdr>
                      <w:divsChild>
                        <w:div w:id="2025545409">
                          <w:marLeft w:val="0"/>
                          <w:marRight w:val="0"/>
                          <w:marTop w:val="0"/>
                          <w:marBottom w:val="0"/>
                          <w:divBdr>
                            <w:top w:val="none" w:sz="0" w:space="0" w:color="auto"/>
                            <w:left w:val="none" w:sz="0" w:space="0" w:color="auto"/>
                            <w:bottom w:val="none" w:sz="0" w:space="0" w:color="auto"/>
                            <w:right w:val="none" w:sz="0" w:space="0" w:color="auto"/>
                          </w:divBdr>
                        </w:div>
                        <w:div w:id="941035959">
                          <w:marLeft w:val="0"/>
                          <w:marRight w:val="0"/>
                          <w:marTop w:val="0"/>
                          <w:marBottom w:val="0"/>
                          <w:divBdr>
                            <w:top w:val="none" w:sz="0" w:space="0" w:color="auto"/>
                            <w:left w:val="none" w:sz="0" w:space="0" w:color="auto"/>
                            <w:bottom w:val="none" w:sz="0" w:space="0" w:color="auto"/>
                            <w:right w:val="none" w:sz="0" w:space="0" w:color="auto"/>
                          </w:divBdr>
                          <w:divsChild>
                            <w:div w:id="1130123814">
                              <w:marLeft w:val="0"/>
                              <w:marRight w:val="0"/>
                              <w:marTop w:val="0"/>
                              <w:marBottom w:val="0"/>
                              <w:divBdr>
                                <w:top w:val="none" w:sz="0" w:space="0" w:color="auto"/>
                                <w:left w:val="none" w:sz="0" w:space="0" w:color="auto"/>
                                <w:bottom w:val="none" w:sz="0" w:space="0" w:color="auto"/>
                                <w:right w:val="none" w:sz="0" w:space="0" w:color="auto"/>
                              </w:divBdr>
                            </w:div>
                            <w:div w:id="37527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063835">
              <w:marLeft w:val="0"/>
              <w:marRight w:val="0"/>
              <w:marTop w:val="0"/>
              <w:marBottom w:val="0"/>
              <w:divBdr>
                <w:top w:val="none" w:sz="0" w:space="0" w:color="auto"/>
                <w:left w:val="none" w:sz="0" w:space="0" w:color="auto"/>
                <w:bottom w:val="single" w:sz="6" w:space="12" w:color="DDDDDD"/>
                <w:right w:val="none" w:sz="0" w:space="0" w:color="auto"/>
              </w:divBdr>
              <w:divsChild>
                <w:div w:id="946620798">
                  <w:marLeft w:val="0"/>
                  <w:marRight w:val="0"/>
                  <w:marTop w:val="0"/>
                  <w:marBottom w:val="0"/>
                  <w:divBdr>
                    <w:top w:val="none" w:sz="0" w:space="0" w:color="auto"/>
                    <w:left w:val="none" w:sz="0" w:space="0" w:color="auto"/>
                    <w:bottom w:val="none" w:sz="0" w:space="0" w:color="auto"/>
                    <w:right w:val="none" w:sz="0" w:space="0" w:color="auto"/>
                  </w:divBdr>
                  <w:divsChild>
                    <w:div w:id="1585261182">
                      <w:marLeft w:val="0"/>
                      <w:marRight w:val="0"/>
                      <w:marTop w:val="0"/>
                      <w:marBottom w:val="0"/>
                      <w:divBdr>
                        <w:top w:val="none" w:sz="0" w:space="0" w:color="auto"/>
                        <w:left w:val="none" w:sz="0" w:space="0" w:color="auto"/>
                        <w:bottom w:val="none" w:sz="0" w:space="0" w:color="auto"/>
                        <w:right w:val="none" w:sz="0" w:space="0" w:color="auto"/>
                      </w:divBdr>
                      <w:divsChild>
                        <w:div w:id="1900166856">
                          <w:marLeft w:val="0"/>
                          <w:marRight w:val="0"/>
                          <w:marTop w:val="0"/>
                          <w:marBottom w:val="0"/>
                          <w:divBdr>
                            <w:top w:val="none" w:sz="0" w:space="0" w:color="auto"/>
                            <w:left w:val="none" w:sz="0" w:space="0" w:color="auto"/>
                            <w:bottom w:val="none" w:sz="0" w:space="0" w:color="auto"/>
                            <w:right w:val="none" w:sz="0" w:space="0" w:color="auto"/>
                          </w:divBdr>
                        </w:div>
                        <w:div w:id="287856001">
                          <w:marLeft w:val="0"/>
                          <w:marRight w:val="0"/>
                          <w:marTop w:val="0"/>
                          <w:marBottom w:val="0"/>
                          <w:divBdr>
                            <w:top w:val="none" w:sz="0" w:space="0" w:color="auto"/>
                            <w:left w:val="none" w:sz="0" w:space="0" w:color="auto"/>
                            <w:bottom w:val="none" w:sz="0" w:space="0" w:color="auto"/>
                            <w:right w:val="none" w:sz="0" w:space="0" w:color="auto"/>
                          </w:divBdr>
                          <w:divsChild>
                            <w:div w:id="465464880">
                              <w:marLeft w:val="0"/>
                              <w:marRight w:val="0"/>
                              <w:marTop w:val="0"/>
                              <w:marBottom w:val="0"/>
                              <w:divBdr>
                                <w:top w:val="none" w:sz="0" w:space="0" w:color="auto"/>
                                <w:left w:val="none" w:sz="0" w:space="0" w:color="auto"/>
                                <w:bottom w:val="none" w:sz="0" w:space="0" w:color="auto"/>
                                <w:right w:val="none" w:sz="0" w:space="0" w:color="auto"/>
                              </w:divBdr>
                            </w:div>
                            <w:div w:id="13531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553606">
              <w:marLeft w:val="0"/>
              <w:marRight w:val="0"/>
              <w:marTop w:val="0"/>
              <w:marBottom w:val="0"/>
              <w:divBdr>
                <w:top w:val="none" w:sz="0" w:space="0" w:color="auto"/>
                <w:left w:val="none" w:sz="0" w:space="0" w:color="auto"/>
                <w:bottom w:val="single" w:sz="6" w:space="12" w:color="DDDDDD"/>
                <w:right w:val="none" w:sz="0" w:space="0" w:color="auto"/>
              </w:divBdr>
              <w:divsChild>
                <w:div w:id="1244290907">
                  <w:marLeft w:val="0"/>
                  <w:marRight w:val="0"/>
                  <w:marTop w:val="0"/>
                  <w:marBottom w:val="0"/>
                  <w:divBdr>
                    <w:top w:val="none" w:sz="0" w:space="0" w:color="auto"/>
                    <w:left w:val="none" w:sz="0" w:space="0" w:color="auto"/>
                    <w:bottom w:val="none" w:sz="0" w:space="0" w:color="auto"/>
                    <w:right w:val="none" w:sz="0" w:space="0" w:color="auto"/>
                  </w:divBdr>
                  <w:divsChild>
                    <w:div w:id="277831528">
                      <w:marLeft w:val="0"/>
                      <w:marRight w:val="0"/>
                      <w:marTop w:val="0"/>
                      <w:marBottom w:val="0"/>
                      <w:divBdr>
                        <w:top w:val="none" w:sz="0" w:space="0" w:color="auto"/>
                        <w:left w:val="none" w:sz="0" w:space="0" w:color="auto"/>
                        <w:bottom w:val="none" w:sz="0" w:space="0" w:color="auto"/>
                        <w:right w:val="none" w:sz="0" w:space="0" w:color="auto"/>
                      </w:divBdr>
                      <w:divsChild>
                        <w:div w:id="1539780994">
                          <w:marLeft w:val="0"/>
                          <w:marRight w:val="0"/>
                          <w:marTop w:val="0"/>
                          <w:marBottom w:val="0"/>
                          <w:divBdr>
                            <w:top w:val="none" w:sz="0" w:space="0" w:color="auto"/>
                            <w:left w:val="none" w:sz="0" w:space="0" w:color="auto"/>
                            <w:bottom w:val="none" w:sz="0" w:space="0" w:color="auto"/>
                            <w:right w:val="none" w:sz="0" w:space="0" w:color="auto"/>
                          </w:divBdr>
                        </w:div>
                        <w:div w:id="1573807836">
                          <w:marLeft w:val="0"/>
                          <w:marRight w:val="0"/>
                          <w:marTop w:val="0"/>
                          <w:marBottom w:val="0"/>
                          <w:divBdr>
                            <w:top w:val="none" w:sz="0" w:space="0" w:color="auto"/>
                            <w:left w:val="none" w:sz="0" w:space="0" w:color="auto"/>
                            <w:bottom w:val="none" w:sz="0" w:space="0" w:color="auto"/>
                            <w:right w:val="none" w:sz="0" w:space="0" w:color="auto"/>
                          </w:divBdr>
                        </w:div>
                        <w:div w:id="1679888279">
                          <w:marLeft w:val="0"/>
                          <w:marRight w:val="0"/>
                          <w:marTop w:val="0"/>
                          <w:marBottom w:val="0"/>
                          <w:divBdr>
                            <w:top w:val="none" w:sz="0" w:space="0" w:color="auto"/>
                            <w:left w:val="none" w:sz="0" w:space="0" w:color="auto"/>
                            <w:bottom w:val="none" w:sz="0" w:space="0" w:color="auto"/>
                            <w:right w:val="none" w:sz="0" w:space="0" w:color="auto"/>
                          </w:divBdr>
                          <w:divsChild>
                            <w:div w:id="626467610">
                              <w:marLeft w:val="0"/>
                              <w:marRight w:val="0"/>
                              <w:marTop w:val="0"/>
                              <w:marBottom w:val="0"/>
                              <w:divBdr>
                                <w:top w:val="none" w:sz="0" w:space="0" w:color="auto"/>
                                <w:left w:val="none" w:sz="0" w:space="0" w:color="auto"/>
                                <w:bottom w:val="none" w:sz="0" w:space="0" w:color="auto"/>
                                <w:right w:val="none" w:sz="0" w:space="0" w:color="auto"/>
                              </w:divBdr>
                            </w:div>
                            <w:div w:id="9922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12">
              <w:marLeft w:val="0"/>
              <w:marRight w:val="0"/>
              <w:marTop w:val="0"/>
              <w:marBottom w:val="0"/>
              <w:divBdr>
                <w:top w:val="none" w:sz="0" w:space="0" w:color="auto"/>
                <w:left w:val="none" w:sz="0" w:space="0" w:color="auto"/>
                <w:bottom w:val="single" w:sz="6" w:space="12" w:color="DDDDDD"/>
                <w:right w:val="none" w:sz="0" w:space="0" w:color="auto"/>
              </w:divBdr>
              <w:divsChild>
                <w:div w:id="1234896897">
                  <w:marLeft w:val="0"/>
                  <w:marRight w:val="0"/>
                  <w:marTop w:val="0"/>
                  <w:marBottom w:val="0"/>
                  <w:divBdr>
                    <w:top w:val="none" w:sz="0" w:space="0" w:color="auto"/>
                    <w:left w:val="none" w:sz="0" w:space="0" w:color="auto"/>
                    <w:bottom w:val="none" w:sz="0" w:space="0" w:color="auto"/>
                    <w:right w:val="none" w:sz="0" w:space="0" w:color="auto"/>
                  </w:divBdr>
                  <w:divsChild>
                    <w:div w:id="190992311">
                      <w:marLeft w:val="0"/>
                      <w:marRight w:val="0"/>
                      <w:marTop w:val="0"/>
                      <w:marBottom w:val="0"/>
                      <w:divBdr>
                        <w:top w:val="none" w:sz="0" w:space="0" w:color="auto"/>
                        <w:left w:val="none" w:sz="0" w:space="0" w:color="auto"/>
                        <w:bottom w:val="none" w:sz="0" w:space="0" w:color="auto"/>
                        <w:right w:val="none" w:sz="0" w:space="0" w:color="auto"/>
                      </w:divBdr>
                      <w:divsChild>
                        <w:div w:id="2055694039">
                          <w:marLeft w:val="0"/>
                          <w:marRight w:val="0"/>
                          <w:marTop w:val="0"/>
                          <w:marBottom w:val="0"/>
                          <w:divBdr>
                            <w:top w:val="none" w:sz="0" w:space="0" w:color="auto"/>
                            <w:left w:val="none" w:sz="0" w:space="0" w:color="auto"/>
                            <w:bottom w:val="none" w:sz="0" w:space="0" w:color="auto"/>
                            <w:right w:val="none" w:sz="0" w:space="0" w:color="auto"/>
                          </w:divBdr>
                        </w:div>
                        <w:div w:id="570849906">
                          <w:marLeft w:val="0"/>
                          <w:marRight w:val="0"/>
                          <w:marTop w:val="0"/>
                          <w:marBottom w:val="0"/>
                          <w:divBdr>
                            <w:top w:val="none" w:sz="0" w:space="0" w:color="auto"/>
                            <w:left w:val="none" w:sz="0" w:space="0" w:color="auto"/>
                            <w:bottom w:val="none" w:sz="0" w:space="0" w:color="auto"/>
                            <w:right w:val="none" w:sz="0" w:space="0" w:color="auto"/>
                          </w:divBdr>
                          <w:divsChild>
                            <w:div w:id="1916544665">
                              <w:marLeft w:val="0"/>
                              <w:marRight w:val="0"/>
                              <w:marTop w:val="0"/>
                              <w:marBottom w:val="0"/>
                              <w:divBdr>
                                <w:top w:val="none" w:sz="0" w:space="0" w:color="auto"/>
                                <w:left w:val="none" w:sz="0" w:space="0" w:color="auto"/>
                                <w:bottom w:val="none" w:sz="0" w:space="0" w:color="auto"/>
                                <w:right w:val="none" w:sz="0" w:space="0" w:color="auto"/>
                              </w:divBdr>
                            </w:div>
                            <w:div w:id="15840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530105">
              <w:marLeft w:val="0"/>
              <w:marRight w:val="0"/>
              <w:marTop w:val="0"/>
              <w:marBottom w:val="0"/>
              <w:divBdr>
                <w:top w:val="none" w:sz="0" w:space="0" w:color="auto"/>
                <w:left w:val="none" w:sz="0" w:space="0" w:color="auto"/>
                <w:bottom w:val="single" w:sz="6" w:space="12" w:color="DDDDDD"/>
                <w:right w:val="none" w:sz="0" w:space="0" w:color="auto"/>
              </w:divBdr>
              <w:divsChild>
                <w:div w:id="1427967798">
                  <w:marLeft w:val="0"/>
                  <w:marRight w:val="0"/>
                  <w:marTop w:val="0"/>
                  <w:marBottom w:val="0"/>
                  <w:divBdr>
                    <w:top w:val="none" w:sz="0" w:space="0" w:color="auto"/>
                    <w:left w:val="none" w:sz="0" w:space="0" w:color="auto"/>
                    <w:bottom w:val="none" w:sz="0" w:space="0" w:color="auto"/>
                    <w:right w:val="none" w:sz="0" w:space="0" w:color="auto"/>
                  </w:divBdr>
                  <w:divsChild>
                    <w:div w:id="970864492">
                      <w:marLeft w:val="0"/>
                      <w:marRight w:val="0"/>
                      <w:marTop w:val="0"/>
                      <w:marBottom w:val="0"/>
                      <w:divBdr>
                        <w:top w:val="none" w:sz="0" w:space="0" w:color="auto"/>
                        <w:left w:val="none" w:sz="0" w:space="0" w:color="auto"/>
                        <w:bottom w:val="none" w:sz="0" w:space="0" w:color="auto"/>
                        <w:right w:val="none" w:sz="0" w:space="0" w:color="auto"/>
                      </w:divBdr>
                      <w:divsChild>
                        <w:div w:id="696588057">
                          <w:marLeft w:val="0"/>
                          <w:marRight w:val="0"/>
                          <w:marTop w:val="0"/>
                          <w:marBottom w:val="0"/>
                          <w:divBdr>
                            <w:top w:val="none" w:sz="0" w:space="0" w:color="auto"/>
                            <w:left w:val="none" w:sz="0" w:space="0" w:color="auto"/>
                            <w:bottom w:val="none" w:sz="0" w:space="0" w:color="auto"/>
                            <w:right w:val="none" w:sz="0" w:space="0" w:color="auto"/>
                          </w:divBdr>
                        </w:div>
                        <w:div w:id="506484383">
                          <w:marLeft w:val="0"/>
                          <w:marRight w:val="0"/>
                          <w:marTop w:val="0"/>
                          <w:marBottom w:val="0"/>
                          <w:divBdr>
                            <w:top w:val="none" w:sz="0" w:space="0" w:color="auto"/>
                            <w:left w:val="none" w:sz="0" w:space="0" w:color="auto"/>
                            <w:bottom w:val="none" w:sz="0" w:space="0" w:color="auto"/>
                            <w:right w:val="none" w:sz="0" w:space="0" w:color="auto"/>
                          </w:divBdr>
                        </w:div>
                        <w:div w:id="405760753">
                          <w:marLeft w:val="0"/>
                          <w:marRight w:val="0"/>
                          <w:marTop w:val="0"/>
                          <w:marBottom w:val="0"/>
                          <w:divBdr>
                            <w:top w:val="none" w:sz="0" w:space="0" w:color="auto"/>
                            <w:left w:val="none" w:sz="0" w:space="0" w:color="auto"/>
                            <w:bottom w:val="none" w:sz="0" w:space="0" w:color="auto"/>
                            <w:right w:val="none" w:sz="0" w:space="0" w:color="auto"/>
                          </w:divBdr>
                          <w:divsChild>
                            <w:div w:id="982655667">
                              <w:marLeft w:val="0"/>
                              <w:marRight w:val="0"/>
                              <w:marTop w:val="0"/>
                              <w:marBottom w:val="0"/>
                              <w:divBdr>
                                <w:top w:val="none" w:sz="0" w:space="0" w:color="auto"/>
                                <w:left w:val="none" w:sz="0" w:space="0" w:color="auto"/>
                                <w:bottom w:val="none" w:sz="0" w:space="0" w:color="auto"/>
                                <w:right w:val="none" w:sz="0" w:space="0" w:color="auto"/>
                              </w:divBdr>
                            </w:div>
                            <w:div w:id="79425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86068">
              <w:marLeft w:val="0"/>
              <w:marRight w:val="0"/>
              <w:marTop w:val="0"/>
              <w:marBottom w:val="0"/>
              <w:divBdr>
                <w:top w:val="none" w:sz="0" w:space="0" w:color="auto"/>
                <w:left w:val="none" w:sz="0" w:space="0" w:color="auto"/>
                <w:bottom w:val="single" w:sz="6" w:space="12" w:color="DDDDDD"/>
                <w:right w:val="none" w:sz="0" w:space="0" w:color="auto"/>
              </w:divBdr>
              <w:divsChild>
                <w:div w:id="608590534">
                  <w:marLeft w:val="0"/>
                  <w:marRight w:val="0"/>
                  <w:marTop w:val="0"/>
                  <w:marBottom w:val="0"/>
                  <w:divBdr>
                    <w:top w:val="none" w:sz="0" w:space="0" w:color="auto"/>
                    <w:left w:val="none" w:sz="0" w:space="0" w:color="auto"/>
                    <w:bottom w:val="none" w:sz="0" w:space="0" w:color="auto"/>
                    <w:right w:val="none" w:sz="0" w:space="0" w:color="auto"/>
                  </w:divBdr>
                  <w:divsChild>
                    <w:div w:id="462966143">
                      <w:marLeft w:val="0"/>
                      <w:marRight w:val="0"/>
                      <w:marTop w:val="0"/>
                      <w:marBottom w:val="0"/>
                      <w:divBdr>
                        <w:top w:val="none" w:sz="0" w:space="0" w:color="auto"/>
                        <w:left w:val="none" w:sz="0" w:space="0" w:color="auto"/>
                        <w:bottom w:val="none" w:sz="0" w:space="0" w:color="auto"/>
                        <w:right w:val="none" w:sz="0" w:space="0" w:color="auto"/>
                      </w:divBdr>
                      <w:divsChild>
                        <w:div w:id="618529285">
                          <w:marLeft w:val="0"/>
                          <w:marRight w:val="0"/>
                          <w:marTop w:val="0"/>
                          <w:marBottom w:val="0"/>
                          <w:divBdr>
                            <w:top w:val="none" w:sz="0" w:space="0" w:color="auto"/>
                            <w:left w:val="none" w:sz="0" w:space="0" w:color="auto"/>
                            <w:bottom w:val="none" w:sz="0" w:space="0" w:color="auto"/>
                            <w:right w:val="none" w:sz="0" w:space="0" w:color="auto"/>
                          </w:divBdr>
                        </w:div>
                        <w:div w:id="303314712">
                          <w:marLeft w:val="0"/>
                          <w:marRight w:val="0"/>
                          <w:marTop w:val="0"/>
                          <w:marBottom w:val="0"/>
                          <w:divBdr>
                            <w:top w:val="none" w:sz="0" w:space="0" w:color="auto"/>
                            <w:left w:val="none" w:sz="0" w:space="0" w:color="auto"/>
                            <w:bottom w:val="none" w:sz="0" w:space="0" w:color="auto"/>
                            <w:right w:val="none" w:sz="0" w:space="0" w:color="auto"/>
                          </w:divBdr>
                        </w:div>
                        <w:div w:id="655720107">
                          <w:marLeft w:val="0"/>
                          <w:marRight w:val="0"/>
                          <w:marTop w:val="0"/>
                          <w:marBottom w:val="0"/>
                          <w:divBdr>
                            <w:top w:val="none" w:sz="0" w:space="0" w:color="auto"/>
                            <w:left w:val="none" w:sz="0" w:space="0" w:color="auto"/>
                            <w:bottom w:val="none" w:sz="0" w:space="0" w:color="auto"/>
                            <w:right w:val="none" w:sz="0" w:space="0" w:color="auto"/>
                          </w:divBdr>
                          <w:divsChild>
                            <w:div w:id="787045324">
                              <w:marLeft w:val="0"/>
                              <w:marRight w:val="0"/>
                              <w:marTop w:val="0"/>
                              <w:marBottom w:val="0"/>
                              <w:divBdr>
                                <w:top w:val="none" w:sz="0" w:space="0" w:color="auto"/>
                                <w:left w:val="none" w:sz="0" w:space="0" w:color="auto"/>
                                <w:bottom w:val="none" w:sz="0" w:space="0" w:color="auto"/>
                                <w:right w:val="none" w:sz="0" w:space="0" w:color="auto"/>
                              </w:divBdr>
                            </w:div>
                            <w:div w:id="11912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91827">
              <w:marLeft w:val="0"/>
              <w:marRight w:val="0"/>
              <w:marTop w:val="0"/>
              <w:marBottom w:val="0"/>
              <w:divBdr>
                <w:top w:val="none" w:sz="0" w:space="0" w:color="auto"/>
                <w:left w:val="none" w:sz="0" w:space="0" w:color="auto"/>
                <w:bottom w:val="single" w:sz="6" w:space="12" w:color="DDDDDD"/>
                <w:right w:val="none" w:sz="0" w:space="0" w:color="auto"/>
              </w:divBdr>
              <w:divsChild>
                <w:div w:id="1223174462">
                  <w:marLeft w:val="0"/>
                  <w:marRight w:val="0"/>
                  <w:marTop w:val="0"/>
                  <w:marBottom w:val="0"/>
                  <w:divBdr>
                    <w:top w:val="none" w:sz="0" w:space="0" w:color="auto"/>
                    <w:left w:val="none" w:sz="0" w:space="0" w:color="auto"/>
                    <w:bottom w:val="none" w:sz="0" w:space="0" w:color="auto"/>
                    <w:right w:val="none" w:sz="0" w:space="0" w:color="auto"/>
                  </w:divBdr>
                  <w:divsChild>
                    <w:div w:id="1329943156">
                      <w:marLeft w:val="0"/>
                      <w:marRight w:val="0"/>
                      <w:marTop w:val="0"/>
                      <w:marBottom w:val="0"/>
                      <w:divBdr>
                        <w:top w:val="none" w:sz="0" w:space="0" w:color="auto"/>
                        <w:left w:val="none" w:sz="0" w:space="0" w:color="auto"/>
                        <w:bottom w:val="none" w:sz="0" w:space="0" w:color="auto"/>
                        <w:right w:val="none" w:sz="0" w:space="0" w:color="auto"/>
                      </w:divBdr>
                      <w:divsChild>
                        <w:div w:id="1865706994">
                          <w:marLeft w:val="0"/>
                          <w:marRight w:val="0"/>
                          <w:marTop w:val="0"/>
                          <w:marBottom w:val="0"/>
                          <w:divBdr>
                            <w:top w:val="none" w:sz="0" w:space="0" w:color="auto"/>
                            <w:left w:val="none" w:sz="0" w:space="0" w:color="auto"/>
                            <w:bottom w:val="none" w:sz="0" w:space="0" w:color="auto"/>
                            <w:right w:val="none" w:sz="0" w:space="0" w:color="auto"/>
                          </w:divBdr>
                        </w:div>
                        <w:div w:id="125658781">
                          <w:marLeft w:val="0"/>
                          <w:marRight w:val="0"/>
                          <w:marTop w:val="0"/>
                          <w:marBottom w:val="0"/>
                          <w:divBdr>
                            <w:top w:val="none" w:sz="0" w:space="0" w:color="auto"/>
                            <w:left w:val="none" w:sz="0" w:space="0" w:color="auto"/>
                            <w:bottom w:val="none" w:sz="0" w:space="0" w:color="auto"/>
                            <w:right w:val="none" w:sz="0" w:space="0" w:color="auto"/>
                          </w:divBdr>
                        </w:div>
                        <w:div w:id="1194153919">
                          <w:marLeft w:val="0"/>
                          <w:marRight w:val="0"/>
                          <w:marTop w:val="0"/>
                          <w:marBottom w:val="0"/>
                          <w:divBdr>
                            <w:top w:val="none" w:sz="0" w:space="0" w:color="auto"/>
                            <w:left w:val="none" w:sz="0" w:space="0" w:color="auto"/>
                            <w:bottom w:val="none" w:sz="0" w:space="0" w:color="auto"/>
                            <w:right w:val="none" w:sz="0" w:space="0" w:color="auto"/>
                          </w:divBdr>
                          <w:divsChild>
                            <w:div w:id="823400067">
                              <w:marLeft w:val="0"/>
                              <w:marRight w:val="0"/>
                              <w:marTop w:val="0"/>
                              <w:marBottom w:val="0"/>
                              <w:divBdr>
                                <w:top w:val="none" w:sz="0" w:space="0" w:color="auto"/>
                                <w:left w:val="none" w:sz="0" w:space="0" w:color="auto"/>
                                <w:bottom w:val="none" w:sz="0" w:space="0" w:color="auto"/>
                                <w:right w:val="none" w:sz="0" w:space="0" w:color="auto"/>
                              </w:divBdr>
                            </w:div>
                            <w:div w:id="9591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023099">
              <w:marLeft w:val="0"/>
              <w:marRight w:val="0"/>
              <w:marTop w:val="0"/>
              <w:marBottom w:val="0"/>
              <w:divBdr>
                <w:top w:val="none" w:sz="0" w:space="0" w:color="auto"/>
                <w:left w:val="none" w:sz="0" w:space="0" w:color="auto"/>
                <w:bottom w:val="single" w:sz="6" w:space="12" w:color="DDDDDD"/>
                <w:right w:val="none" w:sz="0" w:space="0" w:color="auto"/>
              </w:divBdr>
              <w:divsChild>
                <w:div w:id="179243867">
                  <w:marLeft w:val="0"/>
                  <w:marRight w:val="0"/>
                  <w:marTop w:val="0"/>
                  <w:marBottom w:val="0"/>
                  <w:divBdr>
                    <w:top w:val="none" w:sz="0" w:space="0" w:color="auto"/>
                    <w:left w:val="none" w:sz="0" w:space="0" w:color="auto"/>
                    <w:bottom w:val="none" w:sz="0" w:space="0" w:color="auto"/>
                    <w:right w:val="none" w:sz="0" w:space="0" w:color="auto"/>
                  </w:divBdr>
                  <w:divsChild>
                    <w:div w:id="577788124">
                      <w:marLeft w:val="0"/>
                      <w:marRight w:val="0"/>
                      <w:marTop w:val="0"/>
                      <w:marBottom w:val="0"/>
                      <w:divBdr>
                        <w:top w:val="none" w:sz="0" w:space="0" w:color="auto"/>
                        <w:left w:val="none" w:sz="0" w:space="0" w:color="auto"/>
                        <w:bottom w:val="none" w:sz="0" w:space="0" w:color="auto"/>
                        <w:right w:val="none" w:sz="0" w:space="0" w:color="auto"/>
                      </w:divBdr>
                      <w:divsChild>
                        <w:div w:id="1266498883">
                          <w:marLeft w:val="0"/>
                          <w:marRight w:val="0"/>
                          <w:marTop w:val="0"/>
                          <w:marBottom w:val="0"/>
                          <w:divBdr>
                            <w:top w:val="none" w:sz="0" w:space="0" w:color="auto"/>
                            <w:left w:val="none" w:sz="0" w:space="0" w:color="auto"/>
                            <w:bottom w:val="none" w:sz="0" w:space="0" w:color="auto"/>
                            <w:right w:val="none" w:sz="0" w:space="0" w:color="auto"/>
                          </w:divBdr>
                        </w:div>
                        <w:div w:id="348802795">
                          <w:marLeft w:val="0"/>
                          <w:marRight w:val="0"/>
                          <w:marTop w:val="0"/>
                          <w:marBottom w:val="0"/>
                          <w:divBdr>
                            <w:top w:val="none" w:sz="0" w:space="0" w:color="auto"/>
                            <w:left w:val="none" w:sz="0" w:space="0" w:color="auto"/>
                            <w:bottom w:val="none" w:sz="0" w:space="0" w:color="auto"/>
                            <w:right w:val="none" w:sz="0" w:space="0" w:color="auto"/>
                          </w:divBdr>
                          <w:divsChild>
                            <w:div w:id="986934123">
                              <w:marLeft w:val="0"/>
                              <w:marRight w:val="0"/>
                              <w:marTop w:val="0"/>
                              <w:marBottom w:val="0"/>
                              <w:divBdr>
                                <w:top w:val="none" w:sz="0" w:space="0" w:color="auto"/>
                                <w:left w:val="none" w:sz="0" w:space="0" w:color="auto"/>
                                <w:bottom w:val="none" w:sz="0" w:space="0" w:color="auto"/>
                                <w:right w:val="none" w:sz="0" w:space="0" w:color="auto"/>
                              </w:divBdr>
                            </w:div>
                            <w:div w:id="5776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03092">
              <w:marLeft w:val="0"/>
              <w:marRight w:val="0"/>
              <w:marTop w:val="0"/>
              <w:marBottom w:val="0"/>
              <w:divBdr>
                <w:top w:val="none" w:sz="0" w:space="0" w:color="auto"/>
                <w:left w:val="none" w:sz="0" w:space="0" w:color="auto"/>
                <w:bottom w:val="single" w:sz="6" w:space="12" w:color="DDDDDD"/>
                <w:right w:val="none" w:sz="0" w:space="0" w:color="auto"/>
              </w:divBdr>
              <w:divsChild>
                <w:div w:id="2060353369">
                  <w:marLeft w:val="0"/>
                  <w:marRight w:val="0"/>
                  <w:marTop w:val="0"/>
                  <w:marBottom w:val="0"/>
                  <w:divBdr>
                    <w:top w:val="none" w:sz="0" w:space="0" w:color="auto"/>
                    <w:left w:val="none" w:sz="0" w:space="0" w:color="auto"/>
                    <w:bottom w:val="none" w:sz="0" w:space="0" w:color="auto"/>
                    <w:right w:val="none" w:sz="0" w:space="0" w:color="auto"/>
                  </w:divBdr>
                  <w:divsChild>
                    <w:div w:id="1110514096">
                      <w:marLeft w:val="0"/>
                      <w:marRight w:val="0"/>
                      <w:marTop w:val="0"/>
                      <w:marBottom w:val="0"/>
                      <w:divBdr>
                        <w:top w:val="none" w:sz="0" w:space="0" w:color="auto"/>
                        <w:left w:val="none" w:sz="0" w:space="0" w:color="auto"/>
                        <w:bottom w:val="none" w:sz="0" w:space="0" w:color="auto"/>
                        <w:right w:val="none" w:sz="0" w:space="0" w:color="auto"/>
                      </w:divBdr>
                      <w:divsChild>
                        <w:div w:id="1422069582">
                          <w:marLeft w:val="0"/>
                          <w:marRight w:val="0"/>
                          <w:marTop w:val="0"/>
                          <w:marBottom w:val="0"/>
                          <w:divBdr>
                            <w:top w:val="none" w:sz="0" w:space="0" w:color="auto"/>
                            <w:left w:val="none" w:sz="0" w:space="0" w:color="auto"/>
                            <w:bottom w:val="none" w:sz="0" w:space="0" w:color="auto"/>
                            <w:right w:val="none" w:sz="0" w:space="0" w:color="auto"/>
                          </w:divBdr>
                        </w:div>
                        <w:div w:id="1577784693">
                          <w:marLeft w:val="0"/>
                          <w:marRight w:val="0"/>
                          <w:marTop w:val="0"/>
                          <w:marBottom w:val="0"/>
                          <w:divBdr>
                            <w:top w:val="none" w:sz="0" w:space="0" w:color="auto"/>
                            <w:left w:val="none" w:sz="0" w:space="0" w:color="auto"/>
                            <w:bottom w:val="none" w:sz="0" w:space="0" w:color="auto"/>
                            <w:right w:val="none" w:sz="0" w:space="0" w:color="auto"/>
                          </w:divBdr>
                          <w:divsChild>
                            <w:div w:id="775371271">
                              <w:marLeft w:val="0"/>
                              <w:marRight w:val="0"/>
                              <w:marTop w:val="0"/>
                              <w:marBottom w:val="0"/>
                              <w:divBdr>
                                <w:top w:val="none" w:sz="0" w:space="0" w:color="auto"/>
                                <w:left w:val="none" w:sz="0" w:space="0" w:color="auto"/>
                                <w:bottom w:val="none" w:sz="0" w:space="0" w:color="auto"/>
                                <w:right w:val="none" w:sz="0" w:space="0" w:color="auto"/>
                              </w:divBdr>
                            </w:div>
                            <w:div w:id="75651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886868">
              <w:marLeft w:val="0"/>
              <w:marRight w:val="0"/>
              <w:marTop w:val="0"/>
              <w:marBottom w:val="0"/>
              <w:divBdr>
                <w:top w:val="none" w:sz="0" w:space="0" w:color="auto"/>
                <w:left w:val="none" w:sz="0" w:space="0" w:color="auto"/>
                <w:bottom w:val="single" w:sz="6" w:space="12" w:color="DDDDDD"/>
                <w:right w:val="none" w:sz="0" w:space="0" w:color="auto"/>
              </w:divBdr>
              <w:divsChild>
                <w:div w:id="689377978">
                  <w:marLeft w:val="0"/>
                  <w:marRight w:val="0"/>
                  <w:marTop w:val="0"/>
                  <w:marBottom w:val="0"/>
                  <w:divBdr>
                    <w:top w:val="none" w:sz="0" w:space="0" w:color="auto"/>
                    <w:left w:val="none" w:sz="0" w:space="0" w:color="auto"/>
                    <w:bottom w:val="none" w:sz="0" w:space="0" w:color="auto"/>
                    <w:right w:val="none" w:sz="0" w:space="0" w:color="auto"/>
                  </w:divBdr>
                  <w:divsChild>
                    <w:div w:id="97724193">
                      <w:marLeft w:val="0"/>
                      <w:marRight w:val="0"/>
                      <w:marTop w:val="0"/>
                      <w:marBottom w:val="0"/>
                      <w:divBdr>
                        <w:top w:val="none" w:sz="0" w:space="0" w:color="auto"/>
                        <w:left w:val="none" w:sz="0" w:space="0" w:color="auto"/>
                        <w:bottom w:val="none" w:sz="0" w:space="0" w:color="auto"/>
                        <w:right w:val="none" w:sz="0" w:space="0" w:color="auto"/>
                      </w:divBdr>
                      <w:divsChild>
                        <w:div w:id="2133665445">
                          <w:marLeft w:val="0"/>
                          <w:marRight w:val="0"/>
                          <w:marTop w:val="0"/>
                          <w:marBottom w:val="0"/>
                          <w:divBdr>
                            <w:top w:val="none" w:sz="0" w:space="0" w:color="auto"/>
                            <w:left w:val="none" w:sz="0" w:space="0" w:color="auto"/>
                            <w:bottom w:val="none" w:sz="0" w:space="0" w:color="auto"/>
                            <w:right w:val="none" w:sz="0" w:space="0" w:color="auto"/>
                          </w:divBdr>
                        </w:div>
                        <w:div w:id="873805684">
                          <w:marLeft w:val="0"/>
                          <w:marRight w:val="0"/>
                          <w:marTop w:val="0"/>
                          <w:marBottom w:val="0"/>
                          <w:divBdr>
                            <w:top w:val="none" w:sz="0" w:space="0" w:color="auto"/>
                            <w:left w:val="none" w:sz="0" w:space="0" w:color="auto"/>
                            <w:bottom w:val="none" w:sz="0" w:space="0" w:color="auto"/>
                            <w:right w:val="none" w:sz="0" w:space="0" w:color="auto"/>
                          </w:divBdr>
                          <w:divsChild>
                            <w:div w:id="669141672">
                              <w:marLeft w:val="0"/>
                              <w:marRight w:val="0"/>
                              <w:marTop w:val="0"/>
                              <w:marBottom w:val="0"/>
                              <w:divBdr>
                                <w:top w:val="none" w:sz="0" w:space="0" w:color="auto"/>
                                <w:left w:val="none" w:sz="0" w:space="0" w:color="auto"/>
                                <w:bottom w:val="none" w:sz="0" w:space="0" w:color="auto"/>
                                <w:right w:val="none" w:sz="0" w:space="0" w:color="auto"/>
                              </w:divBdr>
                            </w:div>
                            <w:div w:id="5029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2775">
              <w:marLeft w:val="0"/>
              <w:marRight w:val="0"/>
              <w:marTop w:val="0"/>
              <w:marBottom w:val="0"/>
              <w:divBdr>
                <w:top w:val="none" w:sz="0" w:space="0" w:color="auto"/>
                <w:left w:val="none" w:sz="0" w:space="0" w:color="auto"/>
                <w:bottom w:val="single" w:sz="6" w:space="12" w:color="DDDDDD"/>
                <w:right w:val="none" w:sz="0" w:space="0" w:color="auto"/>
              </w:divBdr>
              <w:divsChild>
                <w:div w:id="830491283">
                  <w:marLeft w:val="0"/>
                  <w:marRight w:val="0"/>
                  <w:marTop w:val="0"/>
                  <w:marBottom w:val="0"/>
                  <w:divBdr>
                    <w:top w:val="none" w:sz="0" w:space="0" w:color="auto"/>
                    <w:left w:val="none" w:sz="0" w:space="0" w:color="auto"/>
                    <w:bottom w:val="none" w:sz="0" w:space="0" w:color="auto"/>
                    <w:right w:val="none" w:sz="0" w:space="0" w:color="auto"/>
                  </w:divBdr>
                  <w:divsChild>
                    <w:div w:id="1843013139">
                      <w:marLeft w:val="0"/>
                      <w:marRight w:val="0"/>
                      <w:marTop w:val="0"/>
                      <w:marBottom w:val="0"/>
                      <w:divBdr>
                        <w:top w:val="none" w:sz="0" w:space="0" w:color="auto"/>
                        <w:left w:val="none" w:sz="0" w:space="0" w:color="auto"/>
                        <w:bottom w:val="none" w:sz="0" w:space="0" w:color="auto"/>
                        <w:right w:val="none" w:sz="0" w:space="0" w:color="auto"/>
                      </w:divBdr>
                      <w:divsChild>
                        <w:div w:id="1203056744">
                          <w:marLeft w:val="0"/>
                          <w:marRight w:val="0"/>
                          <w:marTop w:val="0"/>
                          <w:marBottom w:val="0"/>
                          <w:divBdr>
                            <w:top w:val="none" w:sz="0" w:space="0" w:color="auto"/>
                            <w:left w:val="none" w:sz="0" w:space="0" w:color="auto"/>
                            <w:bottom w:val="none" w:sz="0" w:space="0" w:color="auto"/>
                            <w:right w:val="none" w:sz="0" w:space="0" w:color="auto"/>
                          </w:divBdr>
                        </w:div>
                        <w:div w:id="668097599">
                          <w:marLeft w:val="0"/>
                          <w:marRight w:val="0"/>
                          <w:marTop w:val="0"/>
                          <w:marBottom w:val="0"/>
                          <w:divBdr>
                            <w:top w:val="none" w:sz="0" w:space="0" w:color="auto"/>
                            <w:left w:val="none" w:sz="0" w:space="0" w:color="auto"/>
                            <w:bottom w:val="none" w:sz="0" w:space="0" w:color="auto"/>
                            <w:right w:val="none" w:sz="0" w:space="0" w:color="auto"/>
                          </w:divBdr>
                          <w:divsChild>
                            <w:div w:id="259992520">
                              <w:marLeft w:val="0"/>
                              <w:marRight w:val="0"/>
                              <w:marTop w:val="0"/>
                              <w:marBottom w:val="0"/>
                              <w:divBdr>
                                <w:top w:val="none" w:sz="0" w:space="0" w:color="auto"/>
                                <w:left w:val="none" w:sz="0" w:space="0" w:color="auto"/>
                                <w:bottom w:val="none" w:sz="0" w:space="0" w:color="auto"/>
                                <w:right w:val="none" w:sz="0" w:space="0" w:color="auto"/>
                              </w:divBdr>
                            </w:div>
                            <w:div w:id="5988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17273">
              <w:marLeft w:val="0"/>
              <w:marRight w:val="0"/>
              <w:marTop w:val="0"/>
              <w:marBottom w:val="0"/>
              <w:divBdr>
                <w:top w:val="none" w:sz="0" w:space="0" w:color="auto"/>
                <w:left w:val="none" w:sz="0" w:space="0" w:color="auto"/>
                <w:bottom w:val="single" w:sz="6" w:space="12" w:color="DDDDDD"/>
                <w:right w:val="none" w:sz="0" w:space="0" w:color="auto"/>
              </w:divBdr>
              <w:divsChild>
                <w:div w:id="1437287796">
                  <w:marLeft w:val="0"/>
                  <w:marRight w:val="0"/>
                  <w:marTop w:val="0"/>
                  <w:marBottom w:val="0"/>
                  <w:divBdr>
                    <w:top w:val="none" w:sz="0" w:space="0" w:color="auto"/>
                    <w:left w:val="none" w:sz="0" w:space="0" w:color="auto"/>
                    <w:bottom w:val="none" w:sz="0" w:space="0" w:color="auto"/>
                    <w:right w:val="none" w:sz="0" w:space="0" w:color="auto"/>
                  </w:divBdr>
                  <w:divsChild>
                    <w:div w:id="753480289">
                      <w:marLeft w:val="0"/>
                      <w:marRight w:val="0"/>
                      <w:marTop w:val="0"/>
                      <w:marBottom w:val="0"/>
                      <w:divBdr>
                        <w:top w:val="none" w:sz="0" w:space="0" w:color="auto"/>
                        <w:left w:val="none" w:sz="0" w:space="0" w:color="auto"/>
                        <w:bottom w:val="none" w:sz="0" w:space="0" w:color="auto"/>
                        <w:right w:val="none" w:sz="0" w:space="0" w:color="auto"/>
                      </w:divBdr>
                      <w:divsChild>
                        <w:div w:id="843665174">
                          <w:marLeft w:val="0"/>
                          <w:marRight w:val="0"/>
                          <w:marTop w:val="0"/>
                          <w:marBottom w:val="0"/>
                          <w:divBdr>
                            <w:top w:val="none" w:sz="0" w:space="0" w:color="auto"/>
                            <w:left w:val="none" w:sz="0" w:space="0" w:color="auto"/>
                            <w:bottom w:val="none" w:sz="0" w:space="0" w:color="auto"/>
                            <w:right w:val="none" w:sz="0" w:space="0" w:color="auto"/>
                          </w:divBdr>
                        </w:div>
                        <w:div w:id="417484686">
                          <w:marLeft w:val="0"/>
                          <w:marRight w:val="0"/>
                          <w:marTop w:val="0"/>
                          <w:marBottom w:val="0"/>
                          <w:divBdr>
                            <w:top w:val="none" w:sz="0" w:space="0" w:color="auto"/>
                            <w:left w:val="none" w:sz="0" w:space="0" w:color="auto"/>
                            <w:bottom w:val="none" w:sz="0" w:space="0" w:color="auto"/>
                            <w:right w:val="none" w:sz="0" w:space="0" w:color="auto"/>
                          </w:divBdr>
                          <w:divsChild>
                            <w:div w:id="736441007">
                              <w:marLeft w:val="0"/>
                              <w:marRight w:val="0"/>
                              <w:marTop w:val="0"/>
                              <w:marBottom w:val="0"/>
                              <w:divBdr>
                                <w:top w:val="none" w:sz="0" w:space="0" w:color="auto"/>
                                <w:left w:val="none" w:sz="0" w:space="0" w:color="auto"/>
                                <w:bottom w:val="none" w:sz="0" w:space="0" w:color="auto"/>
                                <w:right w:val="none" w:sz="0" w:space="0" w:color="auto"/>
                              </w:divBdr>
                            </w:div>
                            <w:div w:id="20294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09440">
              <w:marLeft w:val="0"/>
              <w:marRight w:val="0"/>
              <w:marTop w:val="0"/>
              <w:marBottom w:val="0"/>
              <w:divBdr>
                <w:top w:val="none" w:sz="0" w:space="0" w:color="auto"/>
                <w:left w:val="none" w:sz="0" w:space="0" w:color="auto"/>
                <w:bottom w:val="single" w:sz="6" w:space="12" w:color="DDDDDD"/>
                <w:right w:val="none" w:sz="0" w:space="0" w:color="auto"/>
              </w:divBdr>
              <w:divsChild>
                <w:div w:id="103353643">
                  <w:marLeft w:val="0"/>
                  <w:marRight w:val="0"/>
                  <w:marTop w:val="0"/>
                  <w:marBottom w:val="0"/>
                  <w:divBdr>
                    <w:top w:val="none" w:sz="0" w:space="0" w:color="auto"/>
                    <w:left w:val="none" w:sz="0" w:space="0" w:color="auto"/>
                    <w:bottom w:val="none" w:sz="0" w:space="0" w:color="auto"/>
                    <w:right w:val="none" w:sz="0" w:space="0" w:color="auto"/>
                  </w:divBdr>
                  <w:divsChild>
                    <w:div w:id="387807397">
                      <w:marLeft w:val="0"/>
                      <w:marRight w:val="0"/>
                      <w:marTop w:val="0"/>
                      <w:marBottom w:val="0"/>
                      <w:divBdr>
                        <w:top w:val="none" w:sz="0" w:space="0" w:color="auto"/>
                        <w:left w:val="none" w:sz="0" w:space="0" w:color="auto"/>
                        <w:bottom w:val="none" w:sz="0" w:space="0" w:color="auto"/>
                        <w:right w:val="none" w:sz="0" w:space="0" w:color="auto"/>
                      </w:divBdr>
                      <w:divsChild>
                        <w:div w:id="718826183">
                          <w:marLeft w:val="0"/>
                          <w:marRight w:val="0"/>
                          <w:marTop w:val="0"/>
                          <w:marBottom w:val="0"/>
                          <w:divBdr>
                            <w:top w:val="none" w:sz="0" w:space="0" w:color="auto"/>
                            <w:left w:val="none" w:sz="0" w:space="0" w:color="auto"/>
                            <w:bottom w:val="none" w:sz="0" w:space="0" w:color="auto"/>
                            <w:right w:val="none" w:sz="0" w:space="0" w:color="auto"/>
                          </w:divBdr>
                        </w:div>
                        <w:div w:id="2030134263">
                          <w:marLeft w:val="0"/>
                          <w:marRight w:val="0"/>
                          <w:marTop w:val="0"/>
                          <w:marBottom w:val="0"/>
                          <w:divBdr>
                            <w:top w:val="none" w:sz="0" w:space="0" w:color="auto"/>
                            <w:left w:val="none" w:sz="0" w:space="0" w:color="auto"/>
                            <w:bottom w:val="none" w:sz="0" w:space="0" w:color="auto"/>
                            <w:right w:val="none" w:sz="0" w:space="0" w:color="auto"/>
                          </w:divBdr>
                          <w:divsChild>
                            <w:div w:id="147522058">
                              <w:marLeft w:val="0"/>
                              <w:marRight w:val="0"/>
                              <w:marTop w:val="0"/>
                              <w:marBottom w:val="0"/>
                              <w:divBdr>
                                <w:top w:val="none" w:sz="0" w:space="0" w:color="auto"/>
                                <w:left w:val="none" w:sz="0" w:space="0" w:color="auto"/>
                                <w:bottom w:val="none" w:sz="0" w:space="0" w:color="auto"/>
                                <w:right w:val="none" w:sz="0" w:space="0" w:color="auto"/>
                              </w:divBdr>
                            </w:div>
                            <w:div w:id="86601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246702">
              <w:marLeft w:val="0"/>
              <w:marRight w:val="0"/>
              <w:marTop w:val="0"/>
              <w:marBottom w:val="0"/>
              <w:divBdr>
                <w:top w:val="none" w:sz="0" w:space="0" w:color="auto"/>
                <w:left w:val="none" w:sz="0" w:space="0" w:color="auto"/>
                <w:bottom w:val="single" w:sz="6" w:space="12" w:color="DDDDDD"/>
                <w:right w:val="none" w:sz="0" w:space="0" w:color="auto"/>
              </w:divBdr>
              <w:divsChild>
                <w:div w:id="455216386">
                  <w:marLeft w:val="0"/>
                  <w:marRight w:val="0"/>
                  <w:marTop w:val="0"/>
                  <w:marBottom w:val="0"/>
                  <w:divBdr>
                    <w:top w:val="none" w:sz="0" w:space="0" w:color="auto"/>
                    <w:left w:val="none" w:sz="0" w:space="0" w:color="auto"/>
                    <w:bottom w:val="none" w:sz="0" w:space="0" w:color="auto"/>
                    <w:right w:val="none" w:sz="0" w:space="0" w:color="auto"/>
                  </w:divBdr>
                  <w:divsChild>
                    <w:div w:id="1914271609">
                      <w:marLeft w:val="0"/>
                      <w:marRight w:val="0"/>
                      <w:marTop w:val="0"/>
                      <w:marBottom w:val="0"/>
                      <w:divBdr>
                        <w:top w:val="none" w:sz="0" w:space="0" w:color="auto"/>
                        <w:left w:val="none" w:sz="0" w:space="0" w:color="auto"/>
                        <w:bottom w:val="none" w:sz="0" w:space="0" w:color="auto"/>
                        <w:right w:val="none" w:sz="0" w:space="0" w:color="auto"/>
                      </w:divBdr>
                      <w:divsChild>
                        <w:div w:id="983657637">
                          <w:marLeft w:val="0"/>
                          <w:marRight w:val="0"/>
                          <w:marTop w:val="0"/>
                          <w:marBottom w:val="0"/>
                          <w:divBdr>
                            <w:top w:val="none" w:sz="0" w:space="0" w:color="auto"/>
                            <w:left w:val="none" w:sz="0" w:space="0" w:color="auto"/>
                            <w:bottom w:val="none" w:sz="0" w:space="0" w:color="auto"/>
                            <w:right w:val="none" w:sz="0" w:space="0" w:color="auto"/>
                          </w:divBdr>
                        </w:div>
                        <w:div w:id="817772347">
                          <w:marLeft w:val="0"/>
                          <w:marRight w:val="0"/>
                          <w:marTop w:val="0"/>
                          <w:marBottom w:val="0"/>
                          <w:divBdr>
                            <w:top w:val="none" w:sz="0" w:space="0" w:color="auto"/>
                            <w:left w:val="none" w:sz="0" w:space="0" w:color="auto"/>
                            <w:bottom w:val="none" w:sz="0" w:space="0" w:color="auto"/>
                            <w:right w:val="none" w:sz="0" w:space="0" w:color="auto"/>
                          </w:divBdr>
                        </w:div>
                        <w:div w:id="916748369">
                          <w:marLeft w:val="0"/>
                          <w:marRight w:val="0"/>
                          <w:marTop w:val="0"/>
                          <w:marBottom w:val="0"/>
                          <w:divBdr>
                            <w:top w:val="none" w:sz="0" w:space="0" w:color="auto"/>
                            <w:left w:val="none" w:sz="0" w:space="0" w:color="auto"/>
                            <w:bottom w:val="none" w:sz="0" w:space="0" w:color="auto"/>
                            <w:right w:val="none" w:sz="0" w:space="0" w:color="auto"/>
                          </w:divBdr>
                          <w:divsChild>
                            <w:div w:id="2027515942">
                              <w:marLeft w:val="0"/>
                              <w:marRight w:val="0"/>
                              <w:marTop w:val="0"/>
                              <w:marBottom w:val="0"/>
                              <w:divBdr>
                                <w:top w:val="none" w:sz="0" w:space="0" w:color="auto"/>
                                <w:left w:val="none" w:sz="0" w:space="0" w:color="auto"/>
                                <w:bottom w:val="none" w:sz="0" w:space="0" w:color="auto"/>
                                <w:right w:val="none" w:sz="0" w:space="0" w:color="auto"/>
                              </w:divBdr>
                            </w:div>
                            <w:div w:id="45306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91291">
              <w:marLeft w:val="0"/>
              <w:marRight w:val="0"/>
              <w:marTop w:val="0"/>
              <w:marBottom w:val="0"/>
              <w:divBdr>
                <w:top w:val="none" w:sz="0" w:space="0" w:color="auto"/>
                <w:left w:val="none" w:sz="0" w:space="0" w:color="auto"/>
                <w:bottom w:val="single" w:sz="6" w:space="12" w:color="DDDDDD"/>
                <w:right w:val="none" w:sz="0" w:space="0" w:color="auto"/>
              </w:divBdr>
              <w:divsChild>
                <w:div w:id="1428694520">
                  <w:marLeft w:val="0"/>
                  <w:marRight w:val="0"/>
                  <w:marTop w:val="0"/>
                  <w:marBottom w:val="0"/>
                  <w:divBdr>
                    <w:top w:val="none" w:sz="0" w:space="0" w:color="auto"/>
                    <w:left w:val="none" w:sz="0" w:space="0" w:color="auto"/>
                    <w:bottom w:val="none" w:sz="0" w:space="0" w:color="auto"/>
                    <w:right w:val="none" w:sz="0" w:space="0" w:color="auto"/>
                  </w:divBdr>
                  <w:divsChild>
                    <w:div w:id="1903783462">
                      <w:marLeft w:val="0"/>
                      <w:marRight w:val="0"/>
                      <w:marTop w:val="0"/>
                      <w:marBottom w:val="0"/>
                      <w:divBdr>
                        <w:top w:val="none" w:sz="0" w:space="0" w:color="auto"/>
                        <w:left w:val="none" w:sz="0" w:space="0" w:color="auto"/>
                        <w:bottom w:val="none" w:sz="0" w:space="0" w:color="auto"/>
                        <w:right w:val="none" w:sz="0" w:space="0" w:color="auto"/>
                      </w:divBdr>
                      <w:divsChild>
                        <w:div w:id="1114907365">
                          <w:marLeft w:val="0"/>
                          <w:marRight w:val="0"/>
                          <w:marTop w:val="0"/>
                          <w:marBottom w:val="0"/>
                          <w:divBdr>
                            <w:top w:val="none" w:sz="0" w:space="0" w:color="auto"/>
                            <w:left w:val="none" w:sz="0" w:space="0" w:color="auto"/>
                            <w:bottom w:val="none" w:sz="0" w:space="0" w:color="auto"/>
                            <w:right w:val="none" w:sz="0" w:space="0" w:color="auto"/>
                          </w:divBdr>
                        </w:div>
                        <w:div w:id="1344552802">
                          <w:marLeft w:val="0"/>
                          <w:marRight w:val="0"/>
                          <w:marTop w:val="0"/>
                          <w:marBottom w:val="0"/>
                          <w:divBdr>
                            <w:top w:val="none" w:sz="0" w:space="0" w:color="auto"/>
                            <w:left w:val="none" w:sz="0" w:space="0" w:color="auto"/>
                            <w:bottom w:val="none" w:sz="0" w:space="0" w:color="auto"/>
                            <w:right w:val="none" w:sz="0" w:space="0" w:color="auto"/>
                          </w:divBdr>
                        </w:div>
                        <w:div w:id="1639384264">
                          <w:marLeft w:val="0"/>
                          <w:marRight w:val="0"/>
                          <w:marTop w:val="0"/>
                          <w:marBottom w:val="0"/>
                          <w:divBdr>
                            <w:top w:val="none" w:sz="0" w:space="0" w:color="auto"/>
                            <w:left w:val="none" w:sz="0" w:space="0" w:color="auto"/>
                            <w:bottom w:val="none" w:sz="0" w:space="0" w:color="auto"/>
                            <w:right w:val="none" w:sz="0" w:space="0" w:color="auto"/>
                          </w:divBdr>
                          <w:divsChild>
                            <w:div w:id="727145147">
                              <w:marLeft w:val="0"/>
                              <w:marRight w:val="0"/>
                              <w:marTop w:val="0"/>
                              <w:marBottom w:val="0"/>
                              <w:divBdr>
                                <w:top w:val="none" w:sz="0" w:space="0" w:color="auto"/>
                                <w:left w:val="none" w:sz="0" w:space="0" w:color="auto"/>
                                <w:bottom w:val="none" w:sz="0" w:space="0" w:color="auto"/>
                                <w:right w:val="none" w:sz="0" w:space="0" w:color="auto"/>
                              </w:divBdr>
                            </w:div>
                            <w:div w:id="154601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703996">
              <w:marLeft w:val="0"/>
              <w:marRight w:val="0"/>
              <w:marTop w:val="0"/>
              <w:marBottom w:val="0"/>
              <w:divBdr>
                <w:top w:val="none" w:sz="0" w:space="0" w:color="auto"/>
                <w:left w:val="none" w:sz="0" w:space="0" w:color="auto"/>
                <w:bottom w:val="single" w:sz="6" w:space="12" w:color="DDDDDD"/>
                <w:right w:val="none" w:sz="0" w:space="0" w:color="auto"/>
              </w:divBdr>
              <w:divsChild>
                <w:div w:id="1428309524">
                  <w:marLeft w:val="0"/>
                  <w:marRight w:val="0"/>
                  <w:marTop w:val="0"/>
                  <w:marBottom w:val="0"/>
                  <w:divBdr>
                    <w:top w:val="none" w:sz="0" w:space="0" w:color="auto"/>
                    <w:left w:val="none" w:sz="0" w:space="0" w:color="auto"/>
                    <w:bottom w:val="none" w:sz="0" w:space="0" w:color="auto"/>
                    <w:right w:val="none" w:sz="0" w:space="0" w:color="auto"/>
                  </w:divBdr>
                  <w:divsChild>
                    <w:div w:id="1848977536">
                      <w:marLeft w:val="0"/>
                      <w:marRight w:val="0"/>
                      <w:marTop w:val="0"/>
                      <w:marBottom w:val="0"/>
                      <w:divBdr>
                        <w:top w:val="none" w:sz="0" w:space="0" w:color="auto"/>
                        <w:left w:val="none" w:sz="0" w:space="0" w:color="auto"/>
                        <w:bottom w:val="none" w:sz="0" w:space="0" w:color="auto"/>
                        <w:right w:val="none" w:sz="0" w:space="0" w:color="auto"/>
                      </w:divBdr>
                      <w:divsChild>
                        <w:div w:id="260375206">
                          <w:marLeft w:val="0"/>
                          <w:marRight w:val="0"/>
                          <w:marTop w:val="0"/>
                          <w:marBottom w:val="0"/>
                          <w:divBdr>
                            <w:top w:val="none" w:sz="0" w:space="0" w:color="auto"/>
                            <w:left w:val="none" w:sz="0" w:space="0" w:color="auto"/>
                            <w:bottom w:val="none" w:sz="0" w:space="0" w:color="auto"/>
                            <w:right w:val="none" w:sz="0" w:space="0" w:color="auto"/>
                          </w:divBdr>
                        </w:div>
                        <w:div w:id="1351835067">
                          <w:marLeft w:val="0"/>
                          <w:marRight w:val="0"/>
                          <w:marTop w:val="0"/>
                          <w:marBottom w:val="0"/>
                          <w:divBdr>
                            <w:top w:val="none" w:sz="0" w:space="0" w:color="auto"/>
                            <w:left w:val="none" w:sz="0" w:space="0" w:color="auto"/>
                            <w:bottom w:val="none" w:sz="0" w:space="0" w:color="auto"/>
                            <w:right w:val="none" w:sz="0" w:space="0" w:color="auto"/>
                          </w:divBdr>
                          <w:divsChild>
                            <w:div w:id="863711052">
                              <w:marLeft w:val="0"/>
                              <w:marRight w:val="0"/>
                              <w:marTop w:val="0"/>
                              <w:marBottom w:val="0"/>
                              <w:divBdr>
                                <w:top w:val="none" w:sz="0" w:space="0" w:color="auto"/>
                                <w:left w:val="none" w:sz="0" w:space="0" w:color="auto"/>
                                <w:bottom w:val="none" w:sz="0" w:space="0" w:color="auto"/>
                                <w:right w:val="none" w:sz="0" w:space="0" w:color="auto"/>
                              </w:divBdr>
                            </w:div>
                            <w:div w:id="1936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373390">
              <w:marLeft w:val="0"/>
              <w:marRight w:val="0"/>
              <w:marTop w:val="0"/>
              <w:marBottom w:val="0"/>
              <w:divBdr>
                <w:top w:val="none" w:sz="0" w:space="0" w:color="auto"/>
                <w:left w:val="none" w:sz="0" w:space="0" w:color="auto"/>
                <w:bottom w:val="single" w:sz="6" w:space="12" w:color="DDDDDD"/>
                <w:right w:val="none" w:sz="0" w:space="0" w:color="auto"/>
              </w:divBdr>
              <w:divsChild>
                <w:div w:id="745302045">
                  <w:marLeft w:val="0"/>
                  <w:marRight w:val="0"/>
                  <w:marTop w:val="0"/>
                  <w:marBottom w:val="0"/>
                  <w:divBdr>
                    <w:top w:val="none" w:sz="0" w:space="0" w:color="auto"/>
                    <w:left w:val="none" w:sz="0" w:space="0" w:color="auto"/>
                    <w:bottom w:val="none" w:sz="0" w:space="0" w:color="auto"/>
                    <w:right w:val="none" w:sz="0" w:space="0" w:color="auto"/>
                  </w:divBdr>
                  <w:divsChild>
                    <w:div w:id="1684240700">
                      <w:marLeft w:val="0"/>
                      <w:marRight w:val="0"/>
                      <w:marTop w:val="0"/>
                      <w:marBottom w:val="0"/>
                      <w:divBdr>
                        <w:top w:val="none" w:sz="0" w:space="0" w:color="auto"/>
                        <w:left w:val="none" w:sz="0" w:space="0" w:color="auto"/>
                        <w:bottom w:val="none" w:sz="0" w:space="0" w:color="auto"/>
                        <w:right w:val="none" w:sz="0" w:space="0" w:color="auto"/>
                      </w:divBdr>
                      <w:divsChild>
                        <w:div w:id="1426226888">
                          <w:marLeft w:val="0"/>
                          <w:marRight w:val="0"/>
                          <w:marTop w:val="0"/>
                          <w:marBottom w:val="0"/>
                          <w:divBdr>
                            <w:top w:val="none" w:sz="0" w:space="0" w:color="auto"/>
                            <w:left w:val="none" w:sz="0" w:space="0" w:color="auto"/>
                            <w:bottom w:val="none" w:sz="0" w:space="0" w:color="auto"/>
                            <w:right w:val="none" w:sz="0" w:space="0" w:color="auto"/>
                          </w:divBdr>
                        </w:div>
                        <w:div w:id="1907718744">
                          <w:marLeft w:val="0"/>
                          <w:marRight w:val="0"/>
                          <w:marTop w:val="0"/>
                          <w:marBottom w:val="0"/>
                          <w:divBdr>
                            <w:top w:val="none" w:sz="0" w:space="0" w:color="auto"/>
                            <w:left w:val="none" w:sz="0" w:space="0" w:color="auto"/>
                            <w:bottom w:val="none" w:sz="0" w:space="0" w:color="auto"/>
                            <w:right w:val="none" w:sz="0" w:space="0" w:color="auto"/>
                          </w:divBdr>
                        </w:div>
                        <w:div w:id="914052345">
                          <w:marLeft w:val="0"/>
                          <w:marRight w:val="0"/>
                          <w:marTop w:val="0"/>
                          <w:marBottom w:val="0"/>
                          <w:divBdr>
                            <w:top w:val="none" w:sz="0" w:space="0" w:color="auto"/>
                            <w:left w:val="none" w:sz="0" w:space="0" w:color="auto"/>
                            <w:bottom w:val="none" w:sz="0" w:space="0" w:color="auto"/>
                            <w:right w:val="none" w:sz="0" w:space="0" w:color="auto"/>
                          </w:divBdr>
                          <w:divsChild>
                            <w:div w:id="776094915">
                              <w:marLeft w:val="0"/>
                              <w:marRight w:val="0"/>
                              <w:marTop w:val="0"/>
                              <w:marBottom w:val="0"/>
                              <w:divBdr>
                                <w:top w:val="none" w:sz="0" w:space="0" w:color="auto"/>
                                <w:left w:val="none" w:sz="0" w:space="0" w:color="auto"/>
                                <w:bottom w:val="none" w:sz="0" w:space="0" w:color="auto"/>
                                <w:right w:val="none" w:sz="0" w:space="0" w:color="auto"/>
                              </w:divBdr>
                            </w:div>
                            <w:div w:id="1889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256">
              <w:marLeft w:val="0"/>
              <w:marRight w:val="0"/>
              <w:marTop w:val="0"/>
              <w:marBottom w:val="0"/>
              <w:divBdr>
                <w:top w:val="none" w:sz="0" w:space="0" w:color="auto"/>
                <w:left w:val="none" w:sz="0" w:space="0" w:color="auto"/>
                <w:bottom w:val="single" w:sz="6" w:space="12" w:color="DDDDDD"/>
                <w:right w:val="none" w:sz="0" w:space="0" w:color="auto"/>
              </w:divBdr>
              <w:divsChild>
                <w:div w:id="1556357012">
                  <w:marLeft w:val="0"/>
                  <w:marRight w:val="0"/>
                  <w:marTop w:val="0"/>
                  <w:marBottom w:val="0"/>
                  <w:divBdr>
                    <w:top w:val="none" w:sz="0" w:space="0" w:color="auto"/>
                    <w:left w:val="none" w:sz="0" w:space="0" w:color="auto"/>
                    <w:bottom w:val="none" w:sz="0" w:space="0" w:color="auto"/>
                    <w:right w:val="none" w:sz="0" w:space="0" w:color="auto"/>
                  </w:divBdr>
                  <w:divsChild>
                    <w:div w:id="1522864495">
                      <w:marLeft w:val="0"/>
                      <w:marRight w:val="0"/>
                      <w:marTop w:val="0"/>
                      <w:marBottom w:val="0"/>
                      <w:divBdr>
                        <w:top w:val="none" w:sz="0" w:space="0" w:color="auto"/>
                        <w:left w:val="none" w:sz="0" w:space="0" w:color="auto"/>
                        <w:bottom w:val="none" w:sz="0" w:space="0" w:color="auto"/>
                        <w:right w:val="none" w:sz="0" w:space="0" w:color="auto"/>
                      </w:divBdr>
                      <w:divsChild>
                        <w:div w:id="899899007">
                          <w:marLeft w:val="0"/>
                          <w:marRight w:val="0"/>
                          <w:marTop w:val="0"/>
                          <w:marBottom w:val="0"/>
                          <w:divBdr>
                            <w:top w:val="none" w:sz="0" w:space="0" w:color="auto"/>
                            <w:left w:val="none" w:sz="0" w:space="0" w:color="auto"/>
                            <w:bottom w:val="none" w:sz="0" w:space="0" w:color="auto"/>
                            <w:right w:val="none" w:sz="0" w:space="0" w:color="auto"/>
                          </w:divBdr>
                        </w:div>
                        <w:div w:id="206455631">
                          <w:marLeft w:val="0"/>
                          <w:marRight w:val="0"/>
                          <w:marTop w:val="0"/>
                          <w:marBottom w:val="0"/>
                          <w:divBdr>
                            <w:top w:val="none" w:sz="0" w:space="0" w:color="auto"/>
                            <w:left w:val="none" w:sz="0" w:space="0" w:color="auto"/>
                            <w:bottom w:val="none" w:sz="0" w:space="0" w:color="auto"/>
                            <w:right w:val="none" w:sz="0" w:space="0" w:color="auto"/>
                          </w:divBdr>
                          <w:divsChild>
                            <w:div w:id="1373193233">
                              <w:marLeft w:val="0"/>
                              <w:marRight w:val="0"/>
                              <w:marTop w:val="0"/>
                              <w:marBottom w:val="0"/>
                              <w:divBdr>
                                <w:top w:val="none" w:sz="0" w:space="0" w:color="auto"/>
                                <w:left w:val="none" w:sz="0" w:space="0" w:color="auto"/>
                                <w:bottom w:val="none" w:sz="0" w:space="0" w:color="auto"/>
                                <w:right w:val="none" w:sz="0" w:space="0" w:color="auto"/>
                              </w:divBdr>
                            </w:div>
                            <w:div w:id="16743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114387">
              <w:marLeft w:val="0"/>
              <w:marRight w:val="0"/>
              <w:marTop w:val="0"/>
              <w:marBottom w:val="0"/>
              <w:divBdr>
                <w:top w:val="none" w:sz="0" w:space="0" w:color="auto"/>
                <w:left w:val="none" w:sz="0" w:space="0" w:color="auto"/>
                <w:bottom w:val="single" w:sz="6" w:space="12" w:color="DDDDDD"/>
                <w:right w:val="none" w:sz="0" w:space="0" w:color="auto"/>
              </w:divBdr>
              <w:divsChild>
                <w:div w:id="1844972655">
                  <w:marLeft w:val="0"/>
                  <w:marRight w:val="0"/>
                  <w:marTop w:val="0"/>
                  <w:marBottom w:val="0"/>
                  <w:divBdr>
                    <w:top w:val="none" w:sz="0" w:space="0" w:color="auto"/>
                    <w:left w:val="none" w:sz="0" w:space="0" w:color="auto"/>
                    <w:bottom w:val="none" w:sz="0" w:space="0" w:color="auto"/>
                    <w:right w:val="none" w:sz="0" w:space="0" w:color="auto"/>
                  </w:divBdr>
                  <w:divsChild>
                    <w:div w:id="215893333">
                      <w:marLeft w:val="0"/>
                      <w:marRight w:val="0"/>
                      <w:marTop w:val="0"/>
                      <w:marBottom w:val="0"/>
                      <w:divBdr>
                        <w:top w:val="none" w:sz="0" w:space="0" w:color="auto"/>
                        <w:left w:val="none" w:sz="0" w:space="0" w:color="auto"/>
                        <w:bottom w:val="none" w:sz="0" w:space="0" w:color="auto"/>
                        <w:right w:val="none" w:sz="0" w:space="0" w:color="auto"/>
                      </w:divBdr>
                      <w:divsChild>
                        <w:div w:id="67505800">
                          <w:marLeft w:val="0"/>
                          <w:marRight w:val="0"/>
                          <w:marTop w:val="0"/>
                          <w:marBottom w:val="0"/>
                          <w:divBdr>
                            <w:top w:val="none" w:sz="0" w:space="0" w:color="auto"/>
                            <w:left w:val="none" w:sz="0" w:space="0" w:color="auto"/>
                            <w:bottom w:val="none" w:sz="0" w:space="0" w:color="auto"/>
                            <w:right w:val="none" w:sz="0" w:space="0" w:color="auto"/>
                          </w:divBdr>
                        </w:div>
                        <w:div w:id="263343250">
                          <w:marLeft w:val="0"/>
                          <w:marRight w:val="0"/>
                          <w:marTop w:val="0"/>
                          <w:marBottom w:val="0"/>
                          <w:divBdr>
                            <w:top w:val="none" w:sz="0" w:space="0" w:color="auto"/>
                            <w:left w:val="none" w:sz="0" w:space="0" w:color="auto"/>
                            <w:bottom w:val="none" w:sz="0" w:space="0" w:color="auto"/>
                            <w:right w:val="none" w:sz="0" w:space="0" w:color="auto"/>
                          </w:divBdr>
                        </w:div>
                        <w:div w:id="836461528">
                          <w:marLeft w:val="0"/>
                          <w:marRight w:val="0"/>
                          <w:marTop w:val="0"/>
                          <w:marBottom w:val="0"/>
                          <w:divBdr>
                            <w:top w:val="none" w:sz="0" w:space="0" w:color="auto"/>
                            <w:left w:val="none" w:sz="0" w:space="0" w:color="auto"/>
                            <w:bottom w:val="none" w:sz="0" w:space="0" w:color="auto"/>
                            <w:right w:val="none" w:sz="0" w:space="0" w:color="auto"/>
                          </w:divBdr>
                          <w:divsChild>
                            <w:div w:id="219632432">
                              <w:marLeft w:val="0"/>
                              <w:marRight w:val="0"/>
                              <w:marTop w:val="0"/>
                              <w:marBottom w:val="0"/>
                              <w:divBdr>
                                <w:top w:val="none" w:sz="0" w:space="0" w:color="auto"/>
                                <w:left w:val="none" w:sz="0" w:space="0" w:color="auto"/>
                                <w:bottom w:val="none" w:sz="0" w:space="0" w:color="auto"/>
                                <w:right w:val="none" w:sz="0" w:space="0" w:color="auto"/>
                              </w:divBdr>
                            </w:div>
                            <w:div w:id="181891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954937">
              <w:marLeft w:val="0"/>
              <w:marRight w:val="0"/>
              <w:marTop w:val="0"/>
              <w:marBottom w:val="0"/>
              <w:divBdr>
                <w:top w:val="none" w:sz="0" w:space="0" w:color="auto"/>
                <w:left w:val="none" w:sz="0" w:space="0" w:color="auto"/>
                <w:bottom w:val="single" w:sz="6" w:space="12" w:color="DDDDDD"/>
                <w:right w:val="none" w:sz="0" w:space="0" w:color="auto"/>
              </w:divBdr>
              <w:divsChild>
                <w:div w:id="249969758">
                  <w:marLeft w:val="0"/>
                  <w:marRight w:val="0"/>
                  <w:marTop w:val="0"/>
                  <w:marBottom w:val="0"/>
                  <w:divBdr>
                    <w:top w:val="none" w:sz="0" w:space="0" w:color="auto"/>
                    <w:left w:val="none" w:sz="0" w:space="0" w:color="auto"/>
                    <w:bottom w:val="none" w:sz="0" w:space="0" w:color="auto"/>
                    <w:right w:val="none" w:sz="0" w:space="0" w:color="auto"/>
                  </w:divBdr>
                  <w:divsChild>
                    <w:div w:id="300548360">
                      <w:marLeft w:val="0"/>
                      <w:marRight w:val="0"/>
                      <w:marTop w:val="0"/>
                      <w:marBottom w:val="0"/>
                      <w:divBdr>
                        <w:top w:val="none" w:sz="0" w:space="0" w:color="auto"/>
                        <w:left w:val="none" w:sz="0" w:space="0" w:color="auto"/>
                        <w:bottom w:val="none" w:sz="0" w:space="0" w:color="auto"/>
                        <w:right w:val="none" w:sz="0" w:space="0" w:color="auto"/>
                      </w:divBdr>
                      <w:divsChild>
                        <w:div w:id="1534345619">
                          <w:marLeft w:val="0"/>
                          <w:marRight w:val="0"/>
                          <w:marTop w:val="0"/>
                          <w:marBottom w:val="0"/>
                          <w:divBdr>
                            <w:top w:val="none" w:sz="0" w:space="0" w:color="auto"/>
                            <w:left w:val="none" w:sz="0" w:space="0" w:color="auto"/>
                            <w:bottom w:val="none" w:sz="0" w:space="0" w:color="auto"/>
                            <w:right w:val="none" w:sz="0" w:space="0" w:color="auto"/>
                          </w:divBdr>
                        </w:div>
                        <w:div w:id="1051928244">
                          <w:marLeft w:val="0"/>
                          <w:marRight w:val="0"/>
                          <w:marTop w:val="0"/>
                          <w:marBottom w:val="0"/>
                          <w:divBdr>
                            <w:top w:val="none" w:sz="0" w:space="0" w:color="auto"/>
                            <w:left w:val="none" w:sz="0" w:space="0" w:color="auto"/>
                            <w:bottom w:val="none" w:sz="0" w:space="0" w:color="auto"/>
                            <w:right w:val="none" w:sz="0" w:space="0" w:color="auto"/>
                          </w:divBdr>
                        </w:div>
                        <w:div w:id="1195146643">
                          <w:marLeft w:val="0"/>
                          <w:marRight w:val="0"/>
                          <w:marTop w:val="0"/>
                          <w:marBottom w:val="0"/>
                          <w:divBdr>
                            <w:top w:val="none" w:sz="0" w:space="0" w:color="auto"/>
                            <w:left w:val="none" w:sz="0" w:space="0" w:color="auto"/>
                            <w:bottom w:val="none" w:sz="0" w:space="0" w:color="auto"/>
                            <w:right w:val="none" w:sz="0" w:space="0" w:color="auto"/>
                          </w:divBdr>
                          <w:divsChild>
                            <w:div w:id="1459953704">
                              <w:marLeft w:val="0"/>
                              <w:marRight w:val="0"/>
                              <w:marTop w:val="0"/>
                              <w:marBottom w:val="0"/>
                              <w:divBdr>
                                <w:top w:val="none" w:sz="0" w:space="0" w:color="auto"/>
                                <w:left w:val="none" w:sz="0" w:space="0" w:color="auto"/>
                                <w:bottom w:val="none" w:sz="0" w:space="0" w:color="auto"/>
                                <w:right w:val="none" w:sz="0" w:space="0" w:color="auto"/>
                              </w:divBdr>
                            </w:div>
                            <w:div w:id="6575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00830">
              <w:marLeft w:val="0"/>
              <w:marRight w:val="0"/>
              <w:marTop w:val="0"/>
              <w:marBottom w:val="0"/>
              <w:divBdr>
                <w:top w:val="none" w:sz="0" w:space="0" w:color="auto"/>
                <w:left w:val="none" w:sz="0" w:space="0" w:color="auto"/>
                <w:bottom w:val="single" w:sz="6" w:space="12" w:color="DDDDDD"/>
                <w:right w:val="none" w:sz="0" w:space="0" w:color="auto"/>
              </w:divBdr>
              <w:divsChild>
                <w:div w:id="1853955317">
                  <w:marLeft w:val="0"/>
                  <w:marRight w:val="0"/>
                  <w:marTop w:val="0"/>
                  <w:marBottom w:val="0"/>
                  <w:divBdr>
                    <w:top w:val="none" w:sz="0" w:space="0" w:color="auto"/>
                    <w:left w:val="none" w:sz="0" w:space="0" w:color="auto"/>
                    <w:bottom w:val="none" w:sz="0" w:space="0" w:color="auto"/>
                    <w:right w:val="none" w:sz="0" w:space="0" w:color="auto"/>
                  </w:divBdr>
                  <w:divsChild>
                    <w:div w:id="1080299037">
                      <w:marLeft w:val="0"/>
                      <w:marRight w:val="0"/>
                      <w:marTop w:val="0"/>
                      <w:marBottom w:val="0"/>
                      <w:divBdr>
                        <w:top w:val="none" w:sz="0" w:space="0" w:color="auto"/>
                        <w:left w:val="none" w:sz="0" w:space="0" w:color="auto"/>
                        <w:bottom w:val="none" w:sz="0" w:space="0" w:color="auto"/>
                        <w:right w:val="none" w:sz="0" w:space="0" w:color="auto"/>
                      </w:divBdr>
                      <w:divsChild>
                        <w:div w:id="960379394">
                          <w:marLeft w:val="0"/>
                          <w:marRight w:val="0"/>
                          <w:marTop w:val="0"/>
                          <w:marBottom w:val="0"/>
                          <w:divBdr>
                            <w:top w:val="none" w:sz="0" w:space="0" w:color="auto"/>
                            <w:left w:val="none" w:sz="0" w:space="0" w:color="auto"/>
                            <w:bottom w:val="none" w:sz="0" w:space="0" w:color="auto"/>
                            <w:right w:val="none" w:sz="0" w:space="0" w:color="auto"/>
                          </w:divBdr>
                        </w:div>
                        <w:div w:id="1703702454">
                          <w:marLeft w:val="0"/>
                          <w:marRight w:val="0"/>
                          <w:marTop w:val="0"/>
                          <w:marBottom w:val="0"/>
                          <w:divBdr>
                            <w:top w:val="none" w:sz="0" w:space="0" w:color="auto"/>
                            <w:left w:val="none" w:sz="0" w:space="0" w:color="auto"/>
                            <w:bottom w:val="none" w:sz="0" w:space="0" w:color="auto"/>
                            <w:right w:val="none" w:sz="0" w:space="0" w:color="auto"/>
                          </w:divBdr>
                        </w:div>
                        <w:div w:id="222564622">
                          <w:marLeft w:val="0"/>
                          <w:marRight w:val="0"/>
                          <w:marTop w:val="0"/>
                          <w:marBottom w:val="0"/>
                          <w:divBdr>
                            <w:top w:val="none" w:sz="0" w:space="0" w:color="auto"/>
                            <w:left w:val="none" w:sz="0" w:space="0" w:color="auto"/>
                            <w:bottom w:val="none" w:sz="0" w:space="0" w:color="auto"/>
                            <w:right w:val="none" w:sz="0" w:space="0" w:color="auto"/>
                          </w:divBdr>
                          <w:divsChild>
                            <w:div w:id="1169252237">
                              <w:marLeft w:val="0"/>
                              <w:marRight w:val="0"/>
                              <w:marTop w:val="0"/>
                              <w:marBottom w:val="0"/>
                              <w:divBdr>
                                <w:top w:val="none" w:sz="0" w:space="0" w:color="auto"/>
                                <w:left w:val="none" w:sz="0" w:space="0" w:color="auto"/>
                                <w:bottom w:val="none" w:sz="0" w:space="0" w:color="auto"/>
                                <w:right w:val="none" w:sz="0" w:space="0" w:color="auto"/>
                              </w:divBdr>
                            </w:div>
                            <w:div w:id="123184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8010">
              <w:marLeft w:val="0"/>
              <w:marRight w:val="0"/>
              <w:marTop w:val="0"/>
              <w:marBottom w:val="0"/>
              <w:divBdr>
                <w:top w:val="none" w:sz="0" w:space="0" w:color="auto"/>
                <w:left w:val="none" w:sz="0" w:space="0" w:color="auto"/>
                <w:bottom w:val="single" w:sz="6" w:space="12" w:color="DDDDDD"/>
                <w:right w:val="none" w:sz="0" w:space="0" w:color="auto"/>
              </w:divBdr>
              <w:divsChild>
                <w:div w:id="218517746">
                  <w:marLeft w:val="0"/>
                  <w:marRight w:val="0"/>
                  <w:marTop w:val="0"/>
                  <w:marBottom w:val="0"/>
                  <w:divBdr>
                    <w:top w:val="none" w:sz="0" w:space="0" w:color="auto"/>
                    <w:left w:val="none" w:sz="0" w:space="0" w:color="auto"/>
                    <w:bottom w:val="none" w:sz="0" w:space="0" w:color="auto"/>
                    <w:right w:val="none" w:sz="0" w:space="0" w:color="auto"/>
                  </w:divBdr>
                  <w:divsChild>
                    <w:div w:id="486898637">
                      <w:marLeft w:val="0"/>
                      <w:marRight w:val="0"/>
                      <w:marTop w:val="0"/>
                      <w:marBottom w:val="0"/>
                      <w:divBdr>
                        <w:top w:val="none" w:sz="0" w:space="0" w:color="auto"/>
                        <w:left w:val="none" w:sz="0" w:space="0" w:color="auto"/>
                        <w:bottom w:val="none" w:sz="0" w:space="0" w:color="auto"/>
                        <w:right w:val="none" w:sz="0" w:space="0" w:color="auto"/>
                      </w:divBdr>
                      <w:divsChild>
                        <w:div w:id="1502160316">
                          <w:marLeft w:val="0"/>
                          <w:marRight w:val="0"/>
                          <w:marTop w:val="0"/>
                          <w:marBottom w:val="0"/>
                          <w:divBdr>
                            <w:top w:val="none" w:sz="0" w:space="0" w:color="auto"/>
                            <w:left w:val="none" w:sz="0" w:space="0" w:color="auto"/>
                            <w:bottom w:val="none" w:sz="0" w:space="0" w:color="auto"/>
                            <w:right w:val="none" w:sz="0" w:space="0" w:color="auto"/>
                          </w:divBdr>
                        </w:div>
                        <w:div w:id="933828178">
                          <w:marLeft w:val="0"/>
                          <w:marRight w:val="0"/>
                          <w:marTop w:val="0"/>
                          <w:marBottom w:val="0"/>
                          <w:divBdr>
                            <w:top w:val="none" w:sz="0" w:space="0" w:color="auto"/>
                            <w:left w:val="none" w:sz="0" w:space="0" w:color="auto"/>
                            <w:bottom w:val="none" w:sz="0" w:space="0" w:color="auto"/>
                            <w:right w:val="none" w:sz="0" w:space="0" w:color="auto"/>
                          </w:divBdr>
                        </w:div>
                        <w:div w:id="1980501634">
                          <w:marLeft w:val="0"/>
                          <w:marRight w:val="0"/>
                          <w:marTop w:val="0"/>
                          <w:marBottom w:val="0"/>
                          <w:divBdr>
                            <w:top w:val="none" w:sz="0" w:space="0" w:color="auto"/>
                            <w:left w:val="none" w:sz="0" w:space="0" w:color="auto"/>
                            <w:bottom w:val="none" w:sz="0" w:space="0" w:color="auto"/>
                            <w:right w:val="none" w:sz="0" w:space="0" w:color="auto"/>
                          </w:divBdr>
                          <w:divsChild>
                            <w:div w:id="1252201517">
                              <w:marLeft w:val="0"/>
                              <w:marRight w:val="0"/>
                              <w:marTop w:val="0"/>
                              <w:marBottom w:val="0"/>
                              <w:divBdr>
                                <w:top w:val="none" w:sz="0" w:space="0" w:color="auto"/>
                                <w:left w:val="none" w:sz="0" w:space="0" w:color="auto"/>
                                <w:bottom w:val="none" w:sz="0" w:space="0" w:color="auto"/>
                                <w:right w:val="none" w:sz="0" w:space="0" w:color="auto"/>
                              </w:divBdr>
                            </w:div>
                            <w:div w:id="3286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826744">
              <w:marLeft w:val="0"/>
              <w:marRight w:val="0"/>
              <w:marTop w:val="0"/>
              <w:marBottom w:val="0"/>
              <w:divBdr>
                <w:top w:val="none" w:sz="0" w:space="0" w:color="auto"/>
                <w:left w:val="none" w:sz="0" w:space="0" w:color="auto"/>
                <w:bottom w:val="single" w:sz="6" w:space="12" w:color="DDDDDD"/>
                <w:right w:val="none" w:sz="0" w:space="0" w:color="auto"/>
              </w:divBdr>
              <w:divsChild>
                <w:div w:id="166292293">
                  <w:marLeft w:val="0"/>
                  <w:marRight w:val="0"/>
                  <w:marTop w:val="0"/>
                  <w:marBottom w:val="0"/>
                  <w:divBdr>
                    <w:top w:val="none" w:sz="0" w:space="0" w:color="auto"/>
                    <w:left w:val="none" w:sz="0" w:space="0" w:color="auto"/>
                    <w:bottom w:val="none" w:sz="0" w:space="0" w:color="auto"/>
                    <w:right w:val="none" w:sz="0" w:space="0" w:color="auto"/>
                  </w:divBdr>
                  <w:divsChild>
                    <w:div w:id="1757314998">
                      <w:marLeft w:val="0"/>
                      <w:marRight w:val="0"/>
                      <w:marTop w:val="0"/>
                      <w:marBottom w:val="0"/>
                      <w:divBdr>
                        <w:top w:val="none" w:sz="0" w:space="0" w:color="auto"/>
                        <w:left w:val="none" w:sz="0" w:space="0" w:color="auto"/>
                        <w:bottom w:val="none" w:sz="0" w:space="0" w:color="auto"/>
                        <w:right w:val="none" w:sz="0" w:space="0" w:color="auto"/>
                      </w:divBdr>
                      <w:divsChild>
                        <w:div w:id="335772515">
                          <w:marLeft w:val="0"/>
                          <w:marRight w:val="0"/>
                          <w:marTop w:val="0"/>
                          <w:marBottom w:val="0"/>
                          <w:divBdr>
                            <w:top w:val="none" w:sz="0" w:space="0" w:color="auto"/>
                            <w:left w:val="none" w:sz="0" w:space="0" w:color="auto"/>
                            <w:bottom w:val="none" w:sz="0" w:space="0" w:color="auto"/>
                            <w:right w:val="none" w:sz="0" w:space="0" w:color="auto"/>
                          </w:divBdr>
                        </w:div>
                        <w:div w:id="1208182717">
                          <w:marLeft w:val="0"/>
                          <w:marRight w:val="0"/>
                          <w:marTop w:val="0"/>
                          <w:marBottom w:val="0"/>
                          <w:divBdr>
                            <w:top w:val="none" w:sz="0" w:space="0" w:color="auto"/>
                            <w:left w:val="none" w:sz="0" w:space="0" w:color="auto"/>
                            <w:bottom w:val="none" w:sz="0" w:space="0" w:color="auto"/>
                            <w:right w:val="none" w:sz="0" w:space="0" w:color="auto"/>
                          </w:divBdr>
                          <w:divsChild>
                            <w:div w:id="632364734">
                              <w:marLeft w:val="0"/>
                              <w:marRight w:val="0"/>
                              <w:marTop w:val="0"/>
                              <w:marBottom w:val="0"/>
                              <w:divBdr>
                                <w:top w:val="none" w:sz="0" w:space="0" w:color="auto"/>
                                <w:left w:val="none" w:sz="0" w:space="0" w:color="auto"/>
                                <w:bottom w:val="none" w:sz="0" w:space="0" w:color="auto"/>
                                <w:right w:val="none" w:sz="0" w:space="0" w:color="auto"/>
                              </w:divBdr>
                            </w:div>
                            <w:div w:id="17643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808792">
              <w:marLeft w:val="0"/>
              <w:marRight w:val="0"/>
              <w:marTop w:val="0"/>
              <w:marBottom w:val="0"/>
              <w:divBdr>
                <w:top w:val="none" w:sz="0" w:space="0" w:color="auto"/>
                <w:left w:val="none" w:sz="0" w:space="0" w:color="auto"/>
                <w:bottom w:val="single" w:sz="6" w:space="12" w:color="DDDDDD"/>
                <w:right w:val="none" w:sz="0" w:space="0" w:color="auto"/>
              </w:divBdr>
              <w:divsChild>
                <w:div w:id="613247925">
                  <w:marLeft w:val="0"/>
                  <w:marRight w:val="0"/>
                  <w:marTop w:val="0"/>
                  <w:marBottom w:val="0"/>
                  <w:divBdr>
                    <w:top w:val="none" w:sz="0" w:space="0" w:color="auto"/>
                    <w:left w:val="none" w:sz="0" w:space="0" w:color="auto"/>
                    <w:bottom w:val="none" w:sz="0" w:space="0" w:color="auto"/>
                    <w:right w:val="none" w:sz="0" w:space="0" w:color="auto"/>
                  </w:divBdr>
                  <w:divsChild>
                    <w:div w:id="900867419">
                      <w:marLeft w:val="0"/>
                      <w:marRight w:val="0"/>
                      <w:marTop w:val="0"/>
                      <w:marBottom w:val="0"/>
                      <w:divBdr>
                        <w:top w:val="none" w:sz="0" w:space="0" w:color="auto"/>
                        <w:left w:val="none" w:sz="0" w:space="0" w:color="auto"/>
                        <w:bottom w:val="none" w:sz="0" w:space="0" w:color="auto"/>
                        <w:right w:val="none" w:sz="0" w:space="0" w:color="auto"/>
                      </w:divBdr>
                      <w:divsChild>
                        <w:div w:id="581455863">
                          <w:marLeft w:val="0"/>
                          <w:marRight w:val="0"/>
                          <w:marTop w:val="0"/>
                          <w:marBottom w:val="0"/>
                          <w:divBdr>
                            <w:top w:val="none" w:sz="0" w:space="0" w:color="auto"/>
                            <w:left w:val="none" w:sz="0" w:space="0" w:color="auto"/>
                            <w:bottom w:val="none" w:sz="0" w:space="0" w:color="auto"/>
                            <w:right w:val="none" w:sz="0" w:space="0" w:color="auto"/>
                          </w:divBdr>
                        </w:div>
                        <w:div w:id="1423448003">
                          <w:marLeft w:val="0"/>
                          <w:marRight w:val="0"/>
                          <w:marTop w:val="0"/>
                          <w:marBottom w:val="0"/>
                          <w:divBdr>
                            <w:top w:val="none" w:sz="0" w:space="0" w:color="auto"/>
                            <w:left w:val="none" w:sz="0" w:space="0" w:color="auto"/>
                            <w:bottom w:val="none" w:sz="0" w:space="0" w:color="auto"/>
                            <w:right w:val="none" w:sz="0" w:space="0" w:color="auto"/>
                          </w:divBdr>
                        </w:div>
                        <w:div w:id="1213611317">
                          <w:marLeft w:val="0"/>
                          <w:marRight w:val="0"/>
                          <w:marTop w:val="0"/>
                          <w:marBottom w:val="0"/>
                          <w:divBdr>
                            <w:top w:val="none" w:sz="0" w:space="0" w:color="auto"/>
                            <w:left w:val="none" w:sz="0" w:space="0" w:color="auto"/>
                            <w:bottom w:val="none" w:sz="0" w:space="0" w:color="auto"/>
                            <w:right w:val="none" w:sz="0" w:space="0" w:color="auto"/>
                          </w:divBdr>
                          <w:divsChild>
                            <w:div w:id="546602181">
                              <w:marLeft w:val="0"/>
                              <w:marRight w:val="0"/>
                              <w:marTop w:val="0"/>
                              <w:marBottom w:val="0"/>
                              <w:divBdr>
                                <w:top w:val="none" w:sz="0" w:space="0" w:color="auto"/>
                                <w:left w:val="none" w:sz="0" w:space="0" w:color="auto"/>
                                <w:bottom w:val="none" w:sz="0" w:space="0" w:color="auto"/>
                                <w:right w:val="none" w:sz="0" w:space="0" w:color="auto"/>
                              </w:divBdr>
                            </w:div>
                            <w:div w:id="13193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569374">
              <w:marLeft w:val="0"/>
              <w:marRight w:val="0"/>
              <w:marTop w:val="0"/>
              <w:marBottom w:val="0"/>
              <w:divBdr>
                <w:top w:val="none" w:sz="0" w:space="0" w:color="auto"/>
                <w:left w:val="none" w:sz="0" w:space="0" w:color="auto"/>
                <w:bottom w:val="single" w:sz="6" w:space="12" w:color="DDDDDD"/>
                <w:right w:val="none" w:sz="0" w:space="0" w:color="auto"/>
              </w:divBdr>
              <w:divsChild>
                <w:div w:id="1538857246">
                  <w:marLeft w:val="0"/>
                  <w:marRight w:val="0"/>
                  <w:marTop w:val="0"/>
                  <w:marBottom w:val="0"/>
                  <w:divBdr>
                    <w:top w:val="none" w:sz="0" w:space="0" w:color="auto"/>
                    <w:left w:val="none" w:sz="0" w:space="0" w:color="auto"/>
                    <w:bottom w:val="none" w:sz="0" w:space="0" w:color="auto"/>
                    <w:right w:val="none" w:sz="0" w:space="0" w:color="auto"/>
                  </w:divBdr>
                  <w:divsChild>
                    <w:div w:id="1969820245">
                      <w:marLeft w:val="0"/>
                      <w:marRight w:val="0"/>
                      <w:marTop w:val="0"/>
                      <w:marBottom w:val="0"/>
                      <w:divBdr>
                        <w:top w:val="none" w:sz="0" w:space="0" w:color="auto"/>
                        <w:left w:val="none" w:sz="0" w:space="0" w:color="auto"/>
                        <w:bottom w:val="none" w:sz="0" w:space="0" w:color="auto"/>
                        <w:right w:val="none" w:sz="0" w:space="0" w:color="auto"/>
                      </w:divBdr>
                      <w:divsChild>
                        <w:div w:id="2015112279">
                          <w:marLeft w:val="0"/>
                          <w:marRight w:val="0"/>
                          <w:marTop w:val="0"/>
                          <w:marBottom w:val="0"/>
                          <w:divBdr>
                            <w:top w:val="none" w:sz="0" w:space="0" w:color="auto"/>
                            <w:left w:val="none" w:sz="0" w:space="0" w:color="auto"/>
                            <w:bottom w:val="none" w:sz="0" w:space="0" w:color="auto"/>
                            <w:right w:val="none" w:sz="0" w:space="0" w:color="auto"/>
                          </w:divBdr>
                        </w:div>
                        <w:div w:id="274481890">
                          <w:marLeft w:val="0"/>
                          <w:marRight w:val="0"/>
                          <w:marTop w:val="0"/>
                          <w:marBottom w:val="0"/>
                          <w:divBdr>
                            <w:top w:val="none" w:sz="0" w:space="0" w:color="auto"/>
                            <w:left w:val="none" w:sz="0" w:space="0" w:color="auto"/>
                            <w:bottom w:val="none" w:sz="0" w:space="0" w:color="auto"/>
                            <w:right w:val="none" w:sz="0" w:space="0" w:color="auto"/>
                          </w:divBdr>
                        </w:div>
                        <w:div w:id="394668321">
                          <w:marLeft w:val="0"/>
                          <w:marRight w:val="0"/>
                          <w:marTop w:val="0"/>
                          <w:marBottom w:val="0"/>
                          <w:divBdr>
                            <w:top w:val="none" w:sz="0" w:space="0" w:color="auto"/>
                            <w:left w:val="none" w:sz="0" w:space="0" w:color="auto"/>
                            <w:bottom w:val="none" w:sz="0" w:space="0" w:color="auto"/>
                            <w:right w:val="none" w:sz="0" w:space="0" w:color="auto"/>
                          </w:divBdr>
                          <w:divsChild>
                            <w:div w:id="1814134040">
                              <w:marLeft w:val="0"/>
                              <w:marRight w:val="0"/>
                              <w:marTop w:val="0"/>
                              <w:marBottom w:val="0"/>
                              <w:divBdr>
                                <w:top w:val="none" w:sz="0" w:space="0" w:color="auto"/>
                                <w:left w:val="none" w:sz="0" w:space="0" w:color="auto"/>
                                <w:bottom w:val="none" w:sz="0" w:space="0" w:color="auto"/>
                                <w:right w:val="none" w:sz="0" w:space="0" w:color="auto"/>
                              </w:divBdr>
                            </w:div>
                            <w:div w:id="71462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051870">
              <w:marLeft w:val="0"/>
              <w:marRight w:val="0"/>
              <w:marTop w:val="0"/>
              <w:marBottom w:val="0"/>
              <w:divBdr>
                <w:top w:val="none" w:sz="0" w:space="0" w:color="auto"/>
                <w:left w:val="none" w:sz="0" w:space="0" w:color="auto"/>
                <w:bottom w:val="single" w:sz="6" w:space="12" w:color="DDDDDD"/>
                <w:right w:val="none" w:sz="0" w:space="0" w:color="auto"/>
              </w:divBdr>
              <w:divsChild>
                <w:div w:id="682627141">
                  <w:marLeft w:val="0"/>
                  <w:marRight w:val="0"/>
                  <w:marTop w:val="0"/>
                  <w:marBottom w:val="0"/>
                  <w:divBdr>
                    <w:top w:val="none" w:sz="0" w:space="0" w:color="auto"/>
                    <w:left w:val="none" w:sz="0" w:space="0" w:color="auto"/>
                    <w:bottom w:val="none" w:sz="0" w:space="0" w:color="auto"/>
                    <w:right w:val="none" w:sz="0" w:space="0" w:color="auto"/>
                  </w:divBdr>
                  <w:divsChild>
                    <w:div w:id="1633752570">
                      <w:marLeft w:val="0"/>
                      <w:marRight w:val="0"/>
                      <w:marTop w:val="0"/>
                      <w:marBottom w:val="0"/>
                      <w:divBdr>
                        <w:top w:val="none" w:sz="0" w:space="0" w:color="auto"/>
                        <w:left w:val="none" w:sz="0" w:space="0" w:color="auto"/>
                        <w:bottom w:val="none" w:sz="0" w:space="0" w:color="auto"/>
                        <w:right w:val="none" w:sz="0" w:space="0" w:color="auto"/>
                      </w:divBdr>
                      <w:divsChild>
                        <w:div w:id="1105270340">
                          <w:marLeft w:val="0"/>
                          <w:marRight w:val="0"/>
                          <w:marTop w:val="0"/>
                          <w:marBottom w:val="0"/>
                          <w:divBdr>
                            <w:top w:val="none" w:sz="0" w:space="0" w:color="auto"/>
                            <w:left w:val="none" w:sz="0" w:space="0" w:color="auto"/>
                            <w:bottom w:val="none" w:sz="0" w:space="0" w:color="auto"/>
                            <w:right w:val="none" w:sz="0" w:space="0" w:color="auto"/>
                          </w:divBdr>
                        </w:div>
                        <w:div w:id="1257136456">
                          <w:marLeft w:val="0"/>
                          <w:marRight w:val="0"/>
                          <w:marTop w:val="0"/>
                          <w:marBottom w:val="0"/>
                          <w:divBdr>
                            <w:top w:val="none" w:sz="0" w:space="0" w:color="auto"/>
                            <w:left w:val="none" w:sz="0" w:space="0" w:color="auto"/>
                            <w:bottom w:val="none" w:sz="0" w:space="0" w:color="auto"/>
                            <w:right w:val="none" w:sz="0" w:space="0" w:color="auto"/>
                          </w:divBdr>
                        </w:div>
                        <w:div w:id="729618279">
                          <w:marLeft w:val="0"/>
                          <w:marRight w:val="0"/>
                          <w:marTop w:val="0"/>
                          <w:marBottom w:val="0"/>
                          <w:divBdr>
                            <w:top w:val="none" w:sz="0" w:space="0" w:color="auto"/>
                            <w:left w:val="none" w:sz="0" w:space="0" w:color="auto"/>
                            <w:bottom w:val="none" w:sz="0" w:space="0" w:color="auto"/>
                            <w:right w:val="none" w:sz="0" w:space="0" w:color="auto"/>
                          </w:divBdr>
                          <w:divsChild>
                            <w:div w:id="647394226">
                              <w:marLeft w:val="0"/>
                              <w:marRight w:val="0"/>
                              <w:marTop w:val="0"/>
                              <w:marBottom w:val="0"/>
                              <w:divBdr>
                                <w:top w:val="none" w:sz="0" w:space="0" w:color="auto"/>
                                <w:left w:val="none" w:sz="0" w:space="0" w:color="auto"/>
                                <w:bottom w:val="none" w:sz="0" w:space="0" w:color="auto"/>
                                <w:right w:val="none" w:sz="0" w:space="0" w:color="auto"/>
                              </w:divBdr>
                            </w:div>
                            <w:div w:id="51742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06249">
              <w:marLeft w:val="0"/>
              <w:marRight w:val="0"/>
              <w:marTop w:val="0"/>
              <w:marBottom w:val="0"/>
              <w:divBdr>
                <w:top w:val="none" w:sz="0" w:space="0" w:color="auto"/>
                <w:left w:val="none" w:sz="0" w:space="0" w:color="auto"/>
                <w:bottom w:val="single" w:sz="6" w:space="12" w:color="DDDDDD"/>
                <w:right w:val="none" w:sz="0" w:space="0" w:color="auto"/>
              </w:divBdr>
              <w:divsChild>
                <w:div w:id="141973041">
                  <w:marLeft w:val="0"/>
                  <w:marRight w:val="0"/>
                  <w:marTop w:val="0"/>
                  <w:marBottom w:val="0"/>
                  <w:divBdr>
                    <w:top w:val="none" w:sz="0" w:space="0" w:color="auto"/>
                    <w:left w:val="none" w:sz="0" w:space="0" w:color="auto"/>
                    <w:bottom w:val="none" w:sz="0" w:space="0" w:color="auto"/>
                    <w:right w:val="none" w:sz="0" w:space="0" w:color="auto"/>
                  </w:divBdr>
                  <w:divsChild>
                    <w:div w:id="1479877675">
                      <w:marLeft w:val="0"/>
                      <w:marRight w:val="0"/>
                      <w:marTop w:val="0"/>
                      <w:marBottom w:val="0"/>
                      <w:divBdr>
                        <w:top w:val="none" w:sz="0" w:space="0" w:color="auto"/>
                        <w:left w:val="none" w:sz="0" w:space="0" w:color="auto"/>
                        <w:bottom w:val="none" w:sz="0" w:space="0" w:color="auto"/>
                        <w:right w:val="none" w:sz="0" w:space="0" w:color="auto"/>
                      </w:divBdr>
                      <w:divsChild>
                        <w:div w:id="791243222">
                          <w:marLeft w:val="0"/>
                          <w:marRight w:val="0"/>
                          <w:marTop w:val="0"/>
                          <w:marBottom w:val="0"/>
                          <w:divBdr>
                            <w:top w:val="none" w:sz="0" w:space="0" w:color="auto"/>
                            <w:left w:val="none" w:sz="0" w:space="0" w:color="auto"/>
                            <w:bottom w:val="none" w:sz="0" w:space="0" w:color="auto"/>
                            <w:right w:val="none" w:sz="0" w:space="0" w:color="auto"/>
                          </w:divBdr>
                        </w:div>
                        <w:div w:id="1310134610">
                          <w:marLeft w:val="0"/>
                          <w:marRight w:val="0"/>
                          <w:marTop w:val="0"/>
                          <w:marBottom w:val="0"/>
                          <w:divBdr>
                            <w:top w:val="none" w:sz="0" w:space="0" w:color="auto"/>
                            <w:left w:val="none" w:sz="0" w:space="0" w:color="auto"/>
                            <w:bottom w:val="none" w:sz="0" w:space="0" w:color="auto"/>
                            <w:right w:val="none" w:sz="0" w:space="0" w:color="auto"/>
                          </w:divBdr>
                        </w:div>
                        <w:div w:id="27535215">
                          <w:marLeft w:val="0"/>
                          <w:marRight w:val="0"/>
                          <w:marTop w:val="0"/>
                          <w:marBottom w:val="0"/>
                          <w:divBdr>
                            <w:top w:val="none" w:sz="0" w:space="0" w:color="auto"/>
                            <w:left w:val="none" w:sz="0" w:space="0" w:color="auto"/>
                            <w:bottom w:val="none" w:sz="0" w:space="0" w:color="auto"/>
                            <w:right w:val="none" w:sz="0" w:space="0" w:color="auto"/>
                          </w:divBdr>
                          <w:divsChild>
                            <w:div w:id="1909876727">
                              <w:marLeft w:val="0"/>
                              <w:marRight w:val="0"/>
                              <w:marTop w:val="0"/>
                              <w:marBottom w:val="0"/>
                              <w:divBdr>
                                <w:top w:val="none" w:sz="0" w:space="0" w:color="auto"/>
                                <w:left w:val="none" w:sz="0" w:space="0" w:color="auto"/>
                                <w:bottom w:val="none" w:sz="0" w:space="0" w:color="auto"/>
                                <w:right w:val="none" w:sz="0" w:space="0" w:color="auto"/>
                              </w:divBdr>
                            </w:div>
                            <w:div w:id="64042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055913">
              <w:marLeft w:val="0"/>
              <w:marRight w:val="0"/>
              <w:marTop w:val="0"/>
              <w:marBottom w:val="0"/>
              <w:divBdr>
                <w:top w:val="none" w:sz="0" w:space="0" w:color="auto"/>
                <w:left w:val="none" w:sz="0" w:space="0" w:color="auto"/>
                <w:bottom w:val="single" w:sz="6" w:space="12" w:color="DDDDDD"/>
                <w:right w:val="none" w:sz="0" w:space="0" w:color="auto"/>
              </w:divBdr>
              <w:divsChild>
                <w:div w:id="1399400419">
                  <w:marLeft w:val="0"/>
                  <w:marRight w:val="0"/>
                  <w:marTop w:val="0"/>
                  <w:marBottom w:val="0"/>
                  <w:divBdr>
                    <w:top w:val="none" w:sz="0" w:space="0" w:color="auto"/>
                    <w:left w:val="none" w:sz="0" w:space="0" w:color="auto"/>
                    <w:bottom w:val="none" w:sz="0" w:space="0" w:color="auto"/>
                    <w:right w:val="none" w:sz="0" w:space="0" w:color="auto"/>
                  </w:divBdr>
                  <w:divsChild>
                    <w:div w:id="1920166104">
                      <w:marLeft w:val="0"/>
                      <w:marRight w:val="0"/>
                      <w:marTop w:val="0"/>
                      <w:marBottom w:val="0"/>
                      <w:divBdr>
                        <w:top w:val="none" w:sz="0" w:space="0" w:color="auto"/>
                        <w:left w:val="none" w:sz="0" w:space="0" w:color="auto"/>
                        <w:bottom w:val="none" w:sz="0" w:space="0" w:color="auto"/>
                        <w:right w:val="none" w:sz="0" w:space="0" w:color="auto"/>
                      </w:divBdr>
                      <w:divsChild>
                        <w:div w:id="964120235">
                          <w:marLeft w:val="0"/>
                          <w:marRight w:val="0"/>
                          <w:marTop w:val="0"/>
                          <w:marBottom w:val="0"/>
                          <w:divBdr>
                            <w:top w:val="none" w:sz="0" w:space="0" w:color="auto"/>
                            <w:left w:val="none" w:sz="0" w:space="0" w:color="auto"/>
                            <w:bottom w:val="none" w:sz="0" w:space="0" w:color="auto"/>
                            <w:right w:val="none" w:sz="0" w:space="0" w:color="auto"/>
                          </w:divBdr>
                        </w:div>
                        <w:div w:id="658774819">
                          <w:marLeft w:val="0"/>
                          <w:marRight w:val="0"/>
                          <w:marTop w:val="0"/>
                          <w:marBottom w:val="0"/>
                          <w:divBdr>
                            <w:top w:val="none" w:sz="0" w:space="0" w:color="auto"/>
                            <w:left w:val="none" w:sz="0" w:space="0" w:color="auto"/>
                            <w:bottom w:val="none" w:sz="0" w:space="0" w:color="auto"/>
                            <w:right w:val="none" w:sz="0" w:space="0" w:color="auto"/>
                          </w:divBdr>
                        </w:div>
                        <w:div w:id="2141992339">
                          <w:marLeft w:val="0"/>
                          <w:marRight w:val="0"/>
                          <w:marTop w:val="0"/>
                          <w:marBottom w:val="0"/>
                          <w:divBdr>
                            <w:top w:val="none" w:sz="0" w:space="0" w:color="auto"/>
                            <w:left w:val="none" w:sz="0" w:space="0" w:color="auto"/>
                            <w:bottom w:val="none" w:sz="0" w:space="0" w:color="auto"/>
                            <w:right w:val="none" w:sz="0" w:space="0" w:color="auto"/>
                          </w:divBdr>
                          <w:divsChild>
                            <w:div w:id="440339252">
                              <w:marLeft w:val="0"/>
                              <w:marRight w:val="0"/>
                              <w:marTop w:val="0"/>
                              <w:marBottom w:val="0"/>
                              <w:divBdr>
                                <w:top w:val="none" w:sz="0" w:space="0" w:color="auto"/>
                                <w:left w:val="none" w:sz="0" w:space="0" w:color="auto"/>
                                <w:bottom w:val="none" w:sz="0" w:space="0" w:color="auto"/>
                                <w:right w:val="none" w:sz="0" w:space="0" w:color="auto"/>
                              </w:divBdr>
                            </w:div>
                            <w:div w:id="11565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01442">
              <w:marLeft w:val="0"/>
              <w:marRight w:val="0"/>
              <w:marTop w:val="0"/>
              <w:marBottom w:val="0"/>
              <w:divBdr>
                <w:top w:val="none" w:sz="0" w:space="0" w:color="auto"/>
                <w:left w:val="none" w:sz="0" w:space="0" w:color="auto"/>
                <w:bottom w:val="single" w:sz="6" w:space="12" w:color="DDDDDD"/>
                <w:right w:val="none" w:sz="0" w:space="0" w:color="auto"/>
              </w:divBdr>
              <w:divsChild>
                <w:div w:id="23991650">
                  <w:marLeft w:val="0"/>
                  <w:marRight w:val="0"/>
                  <w:marTop w:val="0"/>
                  <w:marBottom w:val="0"/>
                  <w:divBdr>
                    <w:top w:val="none" w:sz="0" w:space="0" w:color="auto"/>
                    <w:left w:val="none" w:sz="0" w:space="0" w:color="auto"/>
                    <w:bottom w:val="none" w:sz="0" w:space="0" w:color="auto"/>
                    <w:right w:val="none" w:sz="0" w:space="0" w:color="auto"/>
                  </w:divBdr>
                  <w:divsChild>
                    <w:div w:id="2077194812">
                      <w:marLeft w:val="0"/>
                      <w:marRight w:val="0"/>
                      <w:marTop w:val="0"/>
                      <w:marBottom w:val="0"/>
                      <w:divBdr>
                        <w:top w:val="none" w:sz="0" w:space="0" w:color="auto"/>
                        <w:left w:val="none" w:sz="0" w:space="0" w:color="auto"/>
                        <w:bottom w:val="none" w:sz="0" w:space="0" w:color="auto"/>
                        <w:right w:val="none" w:sz="0" w:space="0" w:color="auto"/>
                      </w:divBdr>
                      <w:divsChild>
                        <w:div w:id="1993679917">
                          <w:marLeft w:val="0"/>
                          <w:marRight w:val="0"/>
                          <w:marTop w:val="0"/>
                          <w:marBottom w:val="0"/>
                          <w:divBdr>
                            <w:top w:val="none" w:sz="0" w:space="0" w:color="auto"/>
                            <w:left w:val="none" w:sz="0" w:space="0" w:color="auto"/>
                            <w:bottom w:val="none" w:sz="0" w:space="0" w:color="auto"/>
                            <w:right w:val="none" w:sz="0" w:space="0" w:color="auto"/>
                          </w:divBdr>
                        </w:div>
                        <w:div w:id="1824858038">
                          <w:marLeft w:val="0"/>
                          <w:marRight w:val="0"/>
                          <w:marTop w:val="0"/>
                          <w:marBottom w:val="0"/>
                          <w:divBdr>
                            <w:top w:val="none" w:sz="0" w:space="0" w:color="auto"/>
                            <w:left w:val="none" w:sz="0" w:space="0" w:color="auto"/>
                            <w:bottom w:val="none" w:sz="0" w:space="0" w:color="auto"/>
                            <w:right w:val="none" w:sz="0" w:space="0" w:color="auto"/>
                          </w:divBdr>
                        </w:div>
                        <w:div w:id="1399717">
                          <w:marLeft w:val="0"/>
                          <w:marRight w:val="0"/>
                          <w:marTop w:val="0"/>
                          <w:marBottom w:val="0"/>
                          <w:divBdr>
                            <w:top w:val="none" w:sz="0" w:space="0" w:color="auto"/>
                            <w:left w:val="none" w:sz="0" w:space="0" w:color="auto"/>
                            <w:bottom w:val="none" w:sz="0" w:space="0" w:color="auto"/>
                            <w:right w:val="none" w:sz="0" w:space="0" w:color="auto"/>
                          </w:divBdr>
                          <w:divsChild>
                            <w:div w:id="593560744">
                              <w:marLeft w:val="0"/>
                              <w:marRight w:val="0"/>
                              <w:marTop w:val="0"/>
                              <w:marBottom w:val="0"/>
                              <w:divBdr>
                                <w:top w:val="none" w:sz="0" w:space="0" w:color="auto"/>
                                <w:left w:val="none" w:sz="0" w:space="0" w:color="auto"/>
                                <w:bottom w:val="none" w:sz="0" w:space="0" w:color="auto"/>
                                <w:right w:val="none" w:sz="0" w:space="0" w:color="auto"/>
                              </w:divBdr>
                            </w:div>
                            <w:div w:id="62365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73210">
              <w:marLeft w:val="0"/>
              <w:marRight w:val="0"/>
              <w:marTop w:val="0"/>
              <w:marBottom w:val="0"/>
              <w:divBdr>
                <w:top w:val="none" w:sz="0" w:space="0" w:color="auto"/>
                <w:left w:val="none" w:sz="0" w:space="0" w:color="auto"/>
                <w:bottom w:val="single" w:sz="6" w:space="12" w:color="DDDDDD"/>
                <w:right w:val="none" w:sz="0" w:space="0" w:color="auto"/>
              </w:divBdr>
              <w:divsChild>
                <w:div w:id="1016032980">
                  <w:marLeft w:val="0"/>
                  <w:marRight w:val="0"/>
                  <w:marTop w:val="0"/>
                  <w:marBottom w:val="0"/>
                  <w:divBdr>
                    <w:top w:val="none" w:sz="0" w:space="0" w:color="auto"/>
                    <w:left w:val="none" w:sz="0" w:space="0" w:color="auto"/>
                    <w:bottom w:val="none" w:sz="0" w:space="0" w:color="auto"/>
                    <w:right w:val="none" w:sz="0" w:space="0" w:color="auto"/>
                  </w:divBdr>
                  <w:divsChild>
                    <w:div w:id="401412639">
                      <w:marLeft w:val="0"/>
                      <w:marRight w:val="0"/>
                      <w:marTop w:val="0"/>
                      <w:marBottom w:val="0"/>
                      <w:divBdr>
                        <w:top w:val="none" w:sz="0" w:space="0" w:color="auto"/>
                        <w:left w:val="none" w:sz="0" w:space="0" w:color="auto"/>
                        <w:bottom w:val="none" w:sz="0" w:space="0" w:color="auto"/>
                        <w:right w:val="none" w:sz="0" w:space="0" w:color="auto"/>
                      </w:divBdr>
                      <w:divsChild>
                        <w:div w:id="1647082825">
                          <w:marLeft w:val="0"/>
                          <w:marRight w:val="0"/>
                          <w:marTop w:val="0"/>
                          <w:marBottom w:val="0"/>
                          <w:divBdr>
                            <w:top w:val="none" w:sz="0" w:space="0" w:color="auto"/>
                            <w:left w:val="none" w:sz="0" w:space="0" w:color="auto"/>
                            <w:bottom w:val="none" w:sz="0" w:space="0" w:color="auto"/>
                            <w:right w:val="none" w:sz="0" w:space="0" w:color="auto"/>
                          </w:divBdr>
                        </w:div>
                        <w:div w:id="173695137">
                          <w:marLeft w:val="0"/>
                          <w:marRight w:val="0"/>
                          <w:marTop w:val="0"/>
                          <w:marBottom w:val="0"/>
                          <w:divBdr>
                            <w:top w:val="none" w:sz="0" w:space="0" w:color="auto"/>
                            <w:left w:val="none" w:sz="0" w:space="0" w:color="auto"/>
                            <w:bottom w:val="none" w:sz="0" w:space="0" w:color="auto"/>
                            <w:right w:val="none" w:sz="0" w:space="0" w:color="auto"/>
                          </w:divBdr>
                        </w:div>
                        <w:div w:id="2029208618">
                          <w:marLeft w:val="0"/>
                          <w:marRight w:val="0"/>
                          <w:marTop w:val="0"/>
                          <w:marBottom w:val="0"/>
                          <w:divBdr>
                            <w:top w:val="none" w:sz="0" w:space="0" w:color="auto"/>
                            <w:left w:val="none" w:sz="0" w:space="0" w:color="auto"/>
                            <w:bottom w:val="none" w:sz="0" w:space="0" w:color="auto"/>
                            <w:right w:val="none" w:sz="0" w:space="0" w:color="auto"/>
                          </w:divBdr>
                          <w:divsChild>
                            <w:div w:id="921379634">
                              <w:marLeft w:val="0"/>
                              <w:marRight w:val="0"/>
                              <w:marTop w:val="0"/>
                              <w:marBottom w:val="0"/>
                              <w:divBdr>
                                <w:top w:val="none" w:sz="0" w:space="0" w:color="auto"/>
                                <w:left w:val="none" w:sz="0" w:space="0" w:color="auto"/>
                                <w:bottom w:val="none" w:sz="0" w:space="0" w:color="auto"/>
                                <w:right w:val="none" w:sz="0" w:space="0" w:color="auto"/>
                              </w:divBdr>
                            </w:div>
                            <w:div w:id="131506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632109">
              <w:marLeft w:val="0"/>
              <w:marRight w:val="0"/>
              <w:marTop w:val="0"/>
              <w:marBottom w:val="0"/>
              <w:divBdr>
                <w:top w:val="none" w:sz="0" w:space="0" w:color="auto"/>
                <w:left w:val="none" w:sz="0" w:space="0" w:color="auto"/>
                <w:bottom w:val="single" w:sz="6" w:space="12" w:color="DDDDDD"/>
                <w:right w:val="none" w:sz="0" w:space="0" w:color="auto"/>
              </w:divBdr>
              <w:divsChild>
                <w:div w:id="496000826">
                  <w:marLeft w:val="0"/>
                  <w:marRight w:val="0"/>
                  <w:marTop w:val="0"/>
                  <w:marBottom w:val="0"/>
                  <w:divBdr>
                    <w:top w:val="none" w:sz="0" w:space="0" w:color="auto"/>
                    <w:left w:val="none" w:sz="0" w:space="0" w:color="auto"/>
                    <w:bottom w:val="none" w:sz="0" w:space="0" w:color="auto"/>
                    <w:right w:val="none" w:sz="0" w:space="0" w:color="auto"/>
                  </w:divBdr>
                  <w:divsChild>
                    <w:div w:id="1909458551">
                      <w:marLeft w:val="0"/>
                      <w:marRight w:val="0"/>
                      <w:marTop w:val="0"/>
                      <w:marBottom w:val="0"/>
                      <w:divBdr>
                        <w:top w:val="none" w:sz="0" w:space="0" w:color="auto"/>
                        <w:left w:val="none" w:sz="0" w:space="0" w:color="auto"/>
                        <w:bottom w:val="none" w:sz="0" w:space="0" w:color="auto"/>
                        <w:right w:val="none" w:sz="0" w:space="0" w:color="auto"/>
                      </w:divBdr>
                      <w:divsChild>
                        <w:div w:id="846402660">
                          <w:marLeft w:val="0"/>
                          <w:marRight w:val="0"/>
                          <w:marTop w:val="0"/>
                          <w:marBottom w:val="0"/>
                          <w:divBdr>
                            <w:top w:val="none" w:sz="0" w:space="0" w:color="auto"/>
                            <w:left w:val="none" w:sz="0" w:space="0" w:color="auto"/>
                            <w:bottom w:val="none" w:sz="0" w:space="0" w:color="auto"/>
                            <w:right w:val="none" w:sz="0" w:space="0" w:color="auto"/>
                          </w:divBdr>
                        </w:div>
                        <w:div w:id="1473906438">
                          <w:marLeft w:val="0"/>
                          <w:marRight w:val="0"/>
                          <w:marTop w:val="0"/>
                          <w:marBottom w:val="0"/>
                          <w:divBdr>
                            <w:top w:val="none" w:sz="0" w:space="0" w:color="auto"/>
                            <w:left w:val="none" w:sz="0" w:space="0" w:color="auto"/>
                            <w:bottom w:val="none" w:sz="0" w:space="0" w:color="auto"/>
                            <w:right w:val="none" w:sz="0" w:space="0" w:color="auto"/>
                          </w:divBdr>
                          <w:divsChild>
                            <w:div w:id="1150443328">
                              <w:marLeft w:val="0"/>
                              <w:marRight w:val="0"/>
                              <w:marTop w:val="0"/>
                              <w:marBottom w:val="0"/>
                              <w:divBdr>
                                <w:top w:val="none" w:sz="0" w:space="0" w:color="auto"/>
                                <w:left w:val="none" w:sz="0" w:space="0" w:color="auto"/>
                                <w:bottom w:val="none" w:sz="0" w:space="0" w:color="auto"/>
                                <w:right w:val="none" w:sz="0" w:space="0" w:color="auto"/>
                              </w:divBdr>
                            </w:div>
                            <w:div w:id="94426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73974">
              <w:marLeft w:val="0"/>
              <w:marRight w:val="0"/>
              <w:marTop w:val="0"/>
              <w:marBottom w:val="0"/>
              <w:divBdr>
                <w:top w:val="none" w:sz="0" w:space="0" w:color="auto"/>
                <w:left w:val="none" w:sz="0" w:space="0" w:color="auto"/>
                <w:bottom w:val="single" w:sz="6" w:space="12" w:color="DDDDDD"/>
                <w:right w:val="none" w:sz="0" w:space="0" w:color="auto"/>
              </w:divBdr>
              <w:divsChild>
                <w:div w:id="1698505514">
                  <w:marLeft w:val="0"/>
                  <w:marRight w:val="0"/>
                  <w:marTop w:val="0"/>
                  <w:marBottom w:val="0"/>
                  <w:divBdr>
                    <w:top w:val="none" w:sz="0" w:space="0" w:color="auto"/>
                    <w:left w:val="none" w:sz="0" w:space="0" w:color="auto"/>
                    <w:bottom w:val="none" w:sz="0" w:space="0" w:color="auto"/>
                    <w:right w:val="none" w:sz="0" w:space="0" w:color="auto"/>
                  </w:divBdr>
                  <w:divsChild>
                    <w:div w:id="1691369642">
                      <w:marLeft w:val="0"/>
                      <w:marRight w:val="0"/>
                      <w:marTop w:val="0"/>
                      <w:marBottom w:val="0"/>
                      <w:divBdr>
                        <w:top w:val="none" w:sz="0" w:space="0" w:color="auto"/>
                        <w:left w:val="none" w:sz="0" w:space="0" w:color="auto"/>
                        <w:bottom w:val="none" w:sz="0" w:space="0" w:color="auto"/>
                        <w:right w:val="none" w:sz="0" w:space="0" w:color="auto"/>
                      </w:divBdr>
                      <w:divsChild>
                        <w:div w:id="1738551733">
                          <w:marLeft w:val="0"/>
                          <w:marRight w:val="0"/>
                          <w:marTop w:val="0"/>
                          <w:marBottom w:val="0"/>
                          <w:divBdr>
                            <w:top w:val="none" w:sz="0" w:space="0" w:color="auto"/>
                            <w:left w:val="none" w:sz="0" w:space="0" w:color="auto"/>
                            <w:bottom w:val="none" w:sz="0" w:space="0" w:color="auto"/>
                            <w:right w:val="none" w:sz="0" w:space="0" w:color="auto"/>
                          </w:divBdr>
                        </w:div>
                        <w:div w:id="327028145">
                          <w:marLeft w:val="0"/>
                          <w:marRight w:val="0"/>
                          <w:marTop w:val="0"/>
                          <w:marBottom w:val="0"/>
                          <w:divBdr>
                            <w:top w:val="none" w:sz="0" w:space="0" w:color="auto"/>
                            <w:left w:val="none" w:sz="0" w:space="0" w:color="auto"/>
                            <w:bottom w:val="none" w:sz="0" w:space="0" w:color="auto"/>
                            <w:right w:val="none" w:sz="0" w:space="0" w:color="auto"/>
                          </w:divBdr>
                        </w:div>
                        <w:div w:id="1764573635">
                          <w:marLeft w:val="0"/>
                          <w:marRight w:val="0"/>
                          <w:marTop w:val="0"/>
                          <w:marBottom w:val="0"/>
                          <w:divBdr>
                            <w:top w:val="none" w:sz="0" w:space="0" w:color="auto"/>
                            <w:left w:val="none" w:sz="0" w:space="0" w:color="auto"/>
                            <w:bottom w:val="none" w:sz="0" w:space="0" w:color="auto"/>
                            <w:right w:val="none" w:sz="0" w:space="0" w:color="auto"/>
                          </w:divBdr>
                          <w:divsChild>
                            <w:div w:id="1066147417">
                              <w:marLeft w:val="0"/>
                              <w:marRight w:val="0"/>
                              <w:marTop w:val="0"/>
                              <w:marBottom w:val="0"/>
                              <w:divBdr>
                                <w:top w:val="none" w:sz="0" w:space="0" w:color="auto"/>
                                <w:left w:val="none" w:sz="0" w:space="0" w:color="auto"/>
                                <w:bottom w:val="none" w:sz="0" w:space="0" w:color="auto"/>
                                <w:right w:val="none" w:sz="0" w:space="0" w:color="auto"/>
                              </w:divBdr>
                            </w:div>
                            <w:div w:id="16000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75427">
              <w:marLeft w:val="0"/>
              <w:marRight w:val="0"/>
              <w:marTop w:val="0"/>
              <w:marBottom w:val="0"/>
              <w:divBdr>
                <w:top w:val="none" w:sz="0" w:space="0" w:color="auto"/>
                <w:left w:val="none" w:sz="0" w:space="0" w:color="auto"/>
                <w:bottom w:val="single" w:sz="6" w:space="12" w:color="DDDDDD"/>
                <w:right w:val="none" w:sz="0" w:space="0" w:color="auto"/>
              </w:divBdr>
              <w:divsChild>
                <w:div w:id="183373809">
                  <w:marLeft w:val="0"/>
                  <w:marRight w:val="0"/>
                  <w:marTop w:val="0"/>
                  <w:marBottom w:val="0"/>
                  <w:divBdr>
                    <w:top w:val="none" w:sz="0" w:space="0" w:color="auto"/>
                    <w:left w:val="none" w:sz="0" w:space="0" w:color="auto"/>
                    <w:bottom w:val="none" w:sz="0" w:space="0" w:color="auto"/>
                    <w:right w:val="none" w:sz="0" w:space="0" w:color="auto"/>
                  </w:divBdr>
                  <w:divsChild>
                    <w:div w:id="852039035">
                      <w:marLeft w:val="0"/>
                      <w:marRight w:val="0"/>
                      <w:marTop w:val="0"/>
                      <w:marBottom w:val="0"/>
                      <w:divBdr>
                        <w:top w:val="none" w:sz="0" w:space="0" w:color="auto"/>
                        <w:left w:val="none" w:sz="0" w:space="0" w:color="auto"/>
                        <w:bottom w:val="none" w:sz="0" w:space="0" w:color="auto"/>
                        <w:right w:val="none" w:sz="0" w:space="0" w:color="auto"/>
                      </w:divBdr>
                      <w:divsChild>
                        <w:div w:id="616300976">
                          <w:marLeft w:val="0"/>
                          <w:marRight w:val="0"/>
                          <w:marTop w:val="0"/>
                          <w:marBottom w:val="0"/>
                          <w:divBdr>
                            <w:top w:val="none" w:sz="0" w:space="0" w:color="auto"/>
                            <w:left w:val="none" w:sz="0" w:space="0" w:color="auto"/>
                            <w:bottom w:val="none" w:sz="0" w:space="0" w:color="auto"/>
                            <w:right w:val="none" w:sz="0" w:space="0" w:color="auto"/>
                          </w:divBdr>
                        </w:div>
                        <w:div w:id="904294521">
                          <w:marLeft w:val="0"/>
                          <w:marRight w:val="0"/>
                          <w:marTop w:val="0"/>
                          <w:marBottom w:val="0"/>
                          <w:divBdr>
                            <w:top w:val="none" w:sz="0" w:space="0" w:color="auto"/>
                            <w:left w:val="none" w:sz="0" w:space="0" w:color="auto"/>
                            <w:bottom w:val="none" w:sz="0" w:space="0" w:color="auto"/>
                            <w:right w:val="none" w:sz="0" w:space="0" w:color="auto"/>
                          </w:divBdr>
                        </w:div>
                        <w:div w:id="1930968783">
                          <w:marLeft w:val="0"/>
                          <w:marRight w:val="0"/>
                          <w:marTop w:val="0"/>
                          <w:marBottom w:val="0"/>
                          <w:divBdr>
                            <w:top w:val="none" w:sz="0" w:space="0" w:color="auto"/>
                            <w:left w:val="none" w:sz="0" w:space="0" w:color="auto"/>
                            <w:bottom w:val="none" w:sz="0" w:space="0" w:color="auto"/>
                            <w:right w:val="none" w:sz="0" w:space="0" w:color="auto"/>
                          </w:divBdr>
                          <w:divsChild>
                            <w:div w:id="1796756312">
                              <w:marLeft w:val="0"/>
                              <w:marRight w:val="0"/>
                              <w:marTop w:val="0"/>
                              <w:marBottom w:val="0"/>
                              <w:divBdr>
                                <w:top w:val="none" w:sz="0" w:space="0" w:color="auto"/>
                                <w:left w:val="none" w:sz="0" w:space="0" w:color="auto"/>
                                <w:bottom w:val="none" w:sz="0" w:space="0" w:color="auto"/>
                                <w:right w:val="none" w:sz="0" w:space="0" w:color="auto"/>
                              </w:divBdr>
                            </w:div>
                            <w:div w:id="171700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18830">
              <w:marLeft w:val="0"/>
              <w:marRight w:val="0"/>
              <w:marTop w:val="0"/>
              <w:marBottom w:val="0"/>
              <w:divBdr>
                <w:top w:val="none" w:sz="0" w:space="0" w:color="auto"/>
                <w:left w:val="none" w:sz="0" w:space="0" w:color="auto"/>
                <w:bottom w:val="single" w:sz="6" w:space="12" w:color="DDDDDD"/>
                <w:right w:val="none" w:sz="0" w:space="0" w:color="auto"/>
              </w:divBdr>
              <w:divsChild>
                <w:div w:id="2114010500">
                  <w:marLeft w:val="0"/>
                  <w:marRight w:val="0"/>
                  <w:marTop w:val="0"/>
                  <w:marBottom w:val="0"/>
                  <w:divBdr>
                    <w:top w:val="none" w:sz="0" w:space="0" w:color="auto"/>
                    <w:left w:val="none" w:sz="0" w:space="0" w:color="auto"/>
                    <w:bottom w:val="none" w:sz="0" w:space="0" w:color="auto"/>
                    <w:right w:val="none" w:sz="0" w:space="0" w:color="auto"/>
                  </w:divBdr>
                  <w:divsChild>
                    <w:div w:id="2119446938">
                      <w:marLeft w:val="0"/>
                      <w:marRight w:val="0"/>
                      <w:marTop w:val="0"/>
                      <w:marBottom w:val="0"/>
                      <w:divBdr>
                        <w:top w:val="none" w:sz="0" w:space="0" w:color="auto"/>
                        <w:left w:val="none" w:sz="0" w:space="0" w:color="auto"/>
                        <w:bottom w:val="none" w:sz="0" w:space="0" w:color="auto"/>
                        <w:right w:val="none" w:sz="0" w:space="0" w:color="auto"/>
                      </w:divBdr>
                      <w:divsChild>
                        <w:div w:id="1453550603">
                          <w:marLeft w:val="0"/>
                          <w:marRight w:val="0"/>
                          <w:marTop w:val="0"/>
                          <w:marBottom w:val="0"/>
                          <w:divBdr>
                            <w:top w:val="none" w:sz="0" w:space="0" w:color="auto"/>
                            <w:left w:val="none" w:sz="0" w:space="0" w:color="auto"/>
                            <w:bottom w:val="none" w:sz="0" w:space="0" w:color="auto"/>
                            <w:right w:val="none" w:sz="0" w:space="0" w:color="auto"/>
                          </w:divBdr>
                        </w:div>
                        <w:div w:id="258149569">
                          <w:marLeft w:val="0"/>
                          <w:marRight w:val="0"/>
                          <w:marTop w:val="0"/>
                          <w:marBottom w:val="0"/>
                          <w:divBdr>
                            <w:top w:val="none" w:sz="0" w:space="0" w:color="auto"/>
                            <w:left w:val="none" w:sz="0" w:space="0" w:color="auto"/>
                            <w:bottom w:val="none" w:sz="0" w:space="0" w:color="auto"/>
                            <w:right w:val="none" w:sz="0" w:space="0" w:color="auto"/>
                          </w:divBdr>
                        </w:div>
                        <w:div w:id="1048724321">
                          <w:marLeft w:val="0"/>
                          <w:marRight w:val="0"/>
                          <w:marTop w:val="0"/>
                          <w:marBottom w:val="0"/>
                          <w:divBdr>
                            <w:top w:val="none" w:sz="0" w:space="0" w:color="auto"/>
                            <w:left w:val="none" w:sz="0" w:space="0" w:color="auto"/>
                            <w:bottom w:val="none" w:sz="0" w:space="0" w:color="auto"/>
                            <w:right w:val="none" w:sz="0" w:space="0" w:color="auto"/>
                          </w:divBdr>
                          <w:divsChild>
                            <w:div w:id="1491369454">
                              <w:marLeft w:val="0"/>
                              <w:marRight w:val="0"/>
                              <w:marTop w:val="0"/>
                              <w:marBottom w:val="0"/>
                              <w:divBdr>
                                <w:top w:val="none" w:sz="0" w:space="0" w:color="auto"/>
                                <w:left w:val="none" w:sz="0" w:space="0" w:color="auto"/>
                                <w:bottom w:val="none" w:sz="0" w:space="0" w:color="auto"/>
                                <w:right w:val="none" w:sz="0" w:space="0" w:color="auto"/>
                              </w:divBdr>
                            </w:div>
                            <w:div w:id="124610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825261">
              <w:marLeft w:val="0"/>
              <w:marRight w:val="0"/>
              <w:marTop w:val="0"/>
              <w:marBottom w:val="0"/>
              <w:divBdr>
                <w:top w:val="none" w:sz="0" w:space="0" w:color="auto"/>
                <w:left w:val="none" w:sz="0" w:space="0" w:color="auto"/>
                <w:bottom w:val="single" w:sz="6" w:space="12" w:color="DDDDDD"/>
                <w:right w:val="none" w:sz="0" w:space="0" w:color="auto"/>
              </w:divBdr>
              <w:divsChild>
                <w:div w:id="1409695189">
                  <w:marLeft w:val="0"/>
                  <w:marRight w:val="0"/>
                  <w:marTop w:val="0"/>
                  <w:marBottom w:val="0"/>
                  <w:divBdr>
                    <w:top w:val="none" w:sz="0" w:space="0" w:color="auto"/>
                    <w:left w:val="none" w:sz="0" w:space="0" w:color="auto"/>
                    <w:bottom w:val="none" w:sz="0" w:space="0" w:color="auto"/>
                    <w:right w:val="none" w:sz="0" w:space="0" w:color="auto"/>
                  </w:divBdr>
                  <w:divsChild>
                    <w:div w:id="150751796">
                      <w:marLeft w:val="0"/>
                      <w:marRight w:val="0"/>
                      <w:marTop w:val="0"/>
                      <w:marBottom w:val="0"/>
                      <w:divBdr>
                        <w:top w:val="none" w:sz="0" w:space="0" w:color="auto"/>
                        <w:left w:val="none" w:sz="0" w:space="0" w:color="auto"/>
                        <w:bottom w:val="none" w:sz="0" w:space="0" w:color="auto"/>
                        <w:right w:val="none" w:sz="0" w:space="0" w:color="auto"/>
                      </w:divBdr>
                      <w:divsChild>
                        <w:div w:id="1427581961">
                          <w:marLeft w:val="0"/>
                          <w:marRight w:val="0"/>
                          <w:marTop w:val="0"/>
                          <w:marBottom w:val="0"/>
                          <w:divBdr>
                            <w:top w:val="none" w:sz="0" w:space="0" w:color="auto"/>
                            <w:left w:val="none" w:sz="0" w:space="0" w:color="auto"/>
                            <w:bottom w:val="none" w:sz="0" w:space="0" w:color="auto"/>
                            <w:right w:val="none" w:sz="0" w:space="0" w:color="auto"/>
                          </w:divBdr>
                        </w:div>
                        <w:div w:id="2045979467">
                          <w:marLeft w:val="0"/>
                          <w:marRight w:val="0"/>
                          <w:marTop w:val="0"/>
                          <w:marBottom w:val="0"/>
                          <w:divBdr>
                            <w:top w:val="none" w:sz="0" w:space="0" w:color="auto"/>
                            <w:left w:val="none" w:sz="0" w:space="0" w:color="auto"/>
                            <w:bottom w:val="none" w:sz="0" w:space="0" w:color="auto"/>
                            <w:right w:val="none" w:sz="0" w:space="0" w:color="auto"/>
                          </w:divBdr>
                        </w:div>
                        <w:div w:id="1858039322">
                          <w:marLeft w:val="0"/>
                          <w:marRight w:val="0"/>
                          <w:marTop w:val="0"/>
                          <w:marBottom w:val="0"/>
                          <w:divBdr>
                            <w:top w:val="none" w:sz="0" w:space="0" w:color="auto"/>
                            <w:left w:val="none" w:sz="0" w:space="0" w:color="auto"/>
                            <w:bottom w:val="none" w:sz="0" w:space="0" w:color="auto"/>
                            <w:right w:val="none" w:sz="0" w:space="0" w:color="auto"/>
                          </w:divBdr>
                          <w:divsChild>
                            <w:div w:id="2053839906">
                              <w:marLeft w:val="0"/>
                              <w:marRight w:val="0"/>
                              <w:marTop w:val="0"/>
                              <w:marBottom w:val="0"/>
                              <w:divBdr>
                                <w:top w:val="none" w:sz="0" w:space="0" w:color="auto"/>
                                <w:left w:val="none" w:sz="0" w:space="0" w:color="auto"/>
                                <w:bottom w:val="none" w:sz="0" w:space="0" w:color="auto"/>
                                <w:right w:val="none" w:sz="0" w:space="0" w:color="auto"/>
                              </w:divBdr>
                            </w:div>
                            <w:div w:id="148696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571208">
              <w:marLeft w:val="0"/>
              <w:marRight w:val="0"/>
              <w:marTop w:val="0"/>
              <w:marBottom w:val="0"/>
              <w:divBdr>
                <w:top w:val="none" w:sz="0" w:space="0" w:color="auto"/>
                <w:left w:val="none" w:sz="0" w:space="0" w:color="auto"/>
                <w:bottom w:val="single" w:sz="6" w:space="12" w:color="DDDDDD"/>
                <w:right w:val="none" w:sz="0" w:space="0" w:color="auto"/>
              </w:divBdr>
              <w:divsChild>
                <w:div w:id="55321483">
                  <w:marLeft w:val="0"/>
                  <w:marRight w:val="0"/>
                  <w:marTop w:val="0"/>
                  <w:marBottom w:val="0"/>
                  <w:divBdr>
                    <w:top w:val="none" w:sz="0" w:space="0" w:color="auto"/>
                    <w:left w:val="none" w:sz="0" w:space="0" w:color="auto"/>
                    <w:bottom w:val="none" w:sz="0" w:space="0" w:color="auto"/>
                    <w:right w:val="none" w:sz="0" w:space="0" w:color="auto"/>
                  </w:divBdr>
                  <w:divsChild>
                    <w:div w:id="1426075114">
                      <w:marLeft w:val="0"/>
                      <w:marRight w:val="0"/>
                      <w:marTop w:val="0"/>
                      <w:marBottom w:val="0"/>
                      <w:divBdr>
                        <w:top w:val="none" w:sz="0" w:space="0" w:color="auto"/>
                        <w:left w:val="none" w:sz="0" w:space="0" w:color="auto"/>
                        <w:bottom w:val="none" w:sz="0" w:space="0" w:color="auto"/>
                        <w:right w:val="none" w:sz="0" w:space="0" w:color="auto"/>
                      </w:divBdr>
                      <w:divsChild>
                        <w:div w:id="1852182061">
                          <w:marLeft w:val="0"/>
                          <w:marRight w:val="0"/>
                          <w:marTop w:val="0"/>
                          <w:marBottom w:val="0"/>
                          <w:divBdr>
                            <w:top w:val="none" w:sz="0" w:space="0" w:color="auto"/>
                            <w:left w:val="none" w:sz="0" w:space="0" w:color="auto"/>
                            <w:bottom w:val="none" w:sz="0" w:space="0" w:color="auto"/>
                            <w:right w:val="none" w:sz="0" w:space="0" w:color="auto"/>
                          </w:divBdr>
                        </w:div>
                        <w:div w:id="198786258">
                          <w:marLeft w:val="0"/>
                          <w:marRight w:val="0"/>
                          <w:marTop w:val="0"/>
                          <w:marBottom w:val="0"/>
                          <w:divBdr>
                            <w:top w:val="none" w:sz="0" w:space="0" w:color="auto"/>
                            <w:left w:val="none" w:sz="0" w:space="0" w:color="auto"/>
                            <w:bottom w:val="none" w:sz="0" w:space="0" w:color="auto"/>
                            <w:right w:val="none" w:sz="0" w:space="0" w:color="auto"/>
                          </w:divBdr>
                          <w:divsChild>
                            <w:div w:id="1625117403">
                              <w:marLeft w:val="0"/>
                              <w:marRight w:val="0"/>
                              <w:marTop w:val="0"/>
                              <w:marBottom w:val="0"/>
                              <w:divBdr>
                                <w:top w:val="none" w:sz="0" w:space="0" w:color="auto"/>
                                <w:left w:val="none" w:sz="0" w:space="0" w:color="auto"/>
                                <w:bottom w:val="none" w:sz="0" w:space="0" w:color="auto"/>
                                <w:right w:val="none" w:sz="0" w:space="0" w:color="auto"/>
                              </w:divBdr>
                            </w:div>
                            <w:div w:id="7254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75925">
              <w:marLeft w:val="0"/>
              <w:marRight w:val="0"/>
              <w:marTop w:val="0"/>
              <w:marBottom w:val="0"/>
              <w:divBdr>
                <w:top w:val="none" w:sz="0" w:space="0" w:color="auto"/>
                <w:left w:val="none" w:sz="0" w:space="0" w:color="auto"/>
                <w:bottom w:val="single" w:sz="6" w:space="12" w:color="DDDDDD"/>
                <w:right w:val="none" w:sz="0" w:space="0" w:color="auto"/>
              </w:divBdr>
              <w:divsChild>
                <w:div w:id="1902591702">
                  <w:marLeft w:val="0"/>
                  <w:marRight w:val="0"/>
                  <w:marTop w:val="0"/>
                  <w:marBottom w:val="0"/>
                  <w:divBdr>
                    <w:top w:val="none" w:sz="0" w:space="0" w:color="auto"/>
                    <w:left w:val="none" w:sz="0" w:space="0" w:color="auto"/>
                    <w:bottom w:val="none" w:sz="0" w:space="0" w:color="auto"/>
                    <w:right w:val="none" w:sz="0" w:space="0" w:color="auto"/>
                  </w:divBdr>
                  <w:divsChild>
                    <w:div w:id="1214389730">
                      <w:marLeft w:val="0"/>
                      <w:marRight w:val="0"/>
                      <w:marTop w:val="0"/>
                      <w:marBottom w:val="0"/>
                      <w:divBdr>
                        <w:top w:val="none" w:sz="0" w:space="0" w:color="auto"/>
                        <w:left w:val="none" w:sz="0" w:space="0" w:color="auto"/>
                        <w:bottom w:val="none" w:sz="0" w:space="0" w:color="auto"/>
                        <w:right w:val="none" w:sz="0" w:space="0" w:color="auto"/>
                      </w:divBdr>
                      <w:divsChild>
                        <w:div w:id="29575895">
                          <w:marLeft w:val="0"/>
                          <w:marRight w:val="0"/>
                          <w:marTop w:val="0"/>
                          <w:marBottom w:val="0"/>
                          <w:divBdr>
                            <w:top w:val="none" w:sz="0" w:space="0" w:color="auto"/>
                            <w:left w:val="none" w:sz="0" w:space="0" w:color="auto"/>
                            <w:bottom w:val="none" w:sz="0" w:space="0" w:color="auto"/>
                            <w:right w:val="none" w:sz="0" w:space="0" w:color="auto"/>
                          </w:divBdr>
                        </w:div>
                        <w:div w:id="442649230">
                          <w:marLeft w:val="0"/>
                          <w:marRight w:val="0"/>
                          <w:marTop w:val="0"/>
                          <w:marBottom w:val="0"/>
                          <w:divBdr>
                            <w:top w:val="none" w:sz="0" w:space="0" w:color="auto"/>
                            <w:left w:val="none" w:sz="0" w:space="0" w:color="auto"/>
                            <w:bottom w:val="none" w:sz="0" w:space="0" w:color="auto"/>
                            <w:right w:val="none" w:sz="0" w:space="0" w:color="auto"/>
                          </w:divBdr>
                          <w:divsChild>
                            <w:div w:id="860048012">
                              <w:marLeft w:val="0"/>
                              <w:marRight w:val="0"/>
                              <w:marTop w:val="0"/>
                              <w:marBottom w:val="0"/>
                              <w:divBdr>
                                <w:top w:val="none" w:sz="0" w:space="0" w:color="auto"/>
                                <w:left w:val="none" w:sz="0" w:space="0" w:color="auto"/>
                                <w:bottom w:val="none" w:sz="0" w:space="0" w:color="auto"/>
                                <w:right w:val="none" w:sz="0" w:space="0" w:color="auto"/>
                              </w:divBdr>
                            </w:div>
                            <w:div w:id="15626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46785">
              <w:marLeft w:val="0"/>
              <w:marRight w:val="0"/>
              <w:marTop w:val="0"/>
              <w:marBottom w:val="0"/>
              <w:divBdr>
                <w:top w:val="none" w:sz="0" w:space="0" w:color="auto"/>
                <w:left w:val="none" w:sz="0" w:space="0" w:color="auto"/>
                <w:bottom w:val="single" w:sz="6" w:space="12" w:color="DDDDDD"/>
                <w:right w:val="none" w:sz="0" w:space="0" w:color="auto"/>
              </w:divBdr>
              <w:divsChild>
                <w:div w:id="931932770">
                  <w:marLeft w:val="0"/>
                  <w:marRight w:val="0"/>
                  <w:marTop w:val="0"/>
                  <w:marBottom w:val="0"/>
                  <w:divBdr>
                    <w:top w:val="none" w:sz="0" w:space="0" w:color="auto"/>
                    <w:left w:val="none" w:sz="0" w:space="0" w:color="auto"/>
                    <w:bottom w:val="none" w:sz="0" w:space="0" w:color="auto"/>
                    <w:right w:val="none" w:sz="0" w:space="0" w:color="auto"/>
                  </w:divBdr>
                  <w:divsChild>
                    <w:div w:id="136726901">
                      <w:marLeft w:val="0"/>
                      <w:marRight w:val="0"/>
                      <w:marTop w:val="0"/>
                      <w:marBottom w:val="0"/>
                      <w:divBdr>
                        <w:top w:val="none" w:sz="0" w:space="0" w:color="auto"/>
                        <w:left w:val="none" w:sz="0" w:space="0" w:color="auto"/>
                        <w:bottom w:val="none" w:sz="0" w:space="0" w:color="auto"/>
                        <w:right w:val="none" w:sz="0" w:space="0" w:color="auto"/>
                      </w:divBdr>
                      <w:divsChild>
                        <w:div w:id="1191993149">
                          <w:marLeft w:val="0"/>
                          <w:marRight w:val="0"/>
                          <w:marTop w:val="0"/>
                          <w:marBottom w:val="0"/>
                          <w:divBdr>
                            <w:top w:val="none" w:sz="0" w:space="0" w:color="auto"/>
                            <w:left w:val="none" w:sz="0" w:space="0" w:color="auto"/>
                            <w:bottom w:val="none" w:sz="0" w:space="0" w:color="auto"/>
                            <w:right w:val="none" w:sz="0" w:space="0" w:color="auto"/>
                          </w:divBdr>
                        </w:div>
                        <w:div w:id="1572278994">
                          <w:marLeft w:val="0"/>
                          <w:marRight w:val="0"/>
                          <w:marTop w:val="0"/>
                          <w:marBottom w:val="0"/>
                          <w:divBdr>
                            <w:top w:val="none" w:sz="0" w:space="0" w:color="auto"/>
                            <w:left w:val="none" w:sz="0" w:space="0" w:color="auto"/>
                            <w:bottom w:val="none" w:sz="0" w:space="0" w:color="auto"/>
                            <w:right w:val="none" w:sz="0" w:space="0" w:color="auto"/>
                          </w:divBdr>
                        </w:div>
                        <w:div w:id="1338654831">
                          <w:marLeft w:val="0"/>
                          <w:marRight w:val="0"/>
                          <w:marTop w:val="0"/>
                          <w:marBottom w:val="0"/>
                          <w:divBdr>
                            <w:top w:val="none" w:sz="0" w:space="0" w:color="auto"/>
                            <w:left w:val="none" w:sz="0" w:space="0" w:color="auto"/>
                            <w:bottom w:val="none" w:sz="0" w:space="0" w:color="auto"/>
                            <w:right w:val="none" w:sz="0" w:space="0" w:color="auto"/>
                          </w:divBdr>
                          <w:divsChild>
                            <w:div w:id="426266715">
                              <w:marLeft w:val="0"/>
                              <w:marRight w:val="0"/>
                              <w:marTop w:val="0"/>
                              <w:marBottom w:val="0"/>
                              <w:divBdr>
                                <w:top w:val="none" w:sz="0" w:space="0" w:color="auto"/>
                                <w:left w:val="none" w:sz="0" w:space="0" w:color="auto"/>
                                <w:bottom w:val="none" w:sz="0" w:space="0" w:color="auto"/>
                                <w:right w:val="none" w:sz="0" w:space="0" w:color="auto"/>
                              </w:divBdr>
                            </w:div>
                            <w:div w:id="128897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271689">
              <w:marLeft w:val="0"/>
              <w:marRight w:val="0"/>
              <w:marTop w:val="0"/>
              <w:marBottom w:val="0"/>
              <w:divBdr>
                <w:top w:val="none" w:sz="0" w:space="0" w:color="auto"/>
                <w:left w:val="none" w:sz="0" w:space="0" w:color="auto"/>
                <w:bottom w:val="single" w:sz="6" w:space="12" w:color="DDDDDD"/>
                <w:right w:val="none" w:sz="0" w:space="0" w:color="auto"/>
              </w:divBdr>
              <w:divsChild>
                <w:div w:id="1716612286">
                  <w:marLeft w:val="0"/>
                  <w:marRight w:val="0"/>
                  <w:marTop w:val="0"/>
                  <w:marBottom w:val="0"/>
                  <w:divBdr>
                    <w:top w:val="none" w:sz="0" w:space="0" w:color="auto"/>
                    <w:left w:val="none" w:sz="0" w:space="0" w:color="auto"/>
                    <w:bottom w:val="none" w:sz="0" w:space="0" w:color="auto"/>
                    <w:right w:val="none" w:sz="0" w:space="0" w:color="auto"/>
                  </w:divBdr>
                  <w:divsChild>
                    <w:div w:id="203948188">
                      <w:marLeft w:val="0"/>
                      <w:marRight w:val="0"/>
                      <w:marTop w:val="0"/>
                      <w:marBottom w:val="0"/>
                      <w:divBdr>
                        <w:top w:val="none" w:sz="0" w:space="0" w:color="auto"/>
                        <w:left w:val="none" w:sz="0" w:space="0" w:color="auto"/>
                        <w:bottom w:val="none" w:sz="0" w:space="0" w:color="auto"/>
                        <w:right w:val="none" w:sz="0" w:space="0" w:color="auto"/>
                      </w:divBdr>
                      <w:divsChild>
                        <w:div w:id="823857276">
                          <w:marLeft w:val="0"/>
                          <w:marRight w:val="0"/>
                          <w:marTop w:val="0"/>
                          <w:marBottom w:val="0"/>
                          <w:divBdr>
                            <w:top w:val="none" w:sz="0" w:space="0" w:color="auto"/>
                            <w:left w:val="none" w:sz="0" w:space="0" w:color="auto"/>
                            <w:bottom w:val="none" w:sz="0" w:space="0" w:color="auto"/>
                            <w:right w:val="none" w:sz="0" w:space="0" w:color="auto"/>
                          </w:divBdr>
                        </w:div>
                        <w:div w:id="1130396304">
                          <w:marLeft w:val="0"/>
                          <w:marRight w:val="0"/>
                          <w:marTop w:val="0"/>
                          <w:marBottom w:val="0"/>
                          <w:divBdr>
                            <w:top w:val="none" w:sz="0" w:space="0" w:color="auto"/>
                            <w:left w:val="none" w:sz="0" w:space="0" w:color="auto"/>
                            <w:bottom w:val="none" w:sz="0" w:space="0" w:color="auto"/>
                            <w:right w:val="none" w:sz="0" w:space="0" w:color="auto"/>
                          </w:divBdr>
                          <w:divsChild>
                            <w:div w:id="1617902792">
                              <w:marLeft w:val="0"/>
                              <w:marRight w:val="0"/>
                              <w:marTop w:val="0"/>
                              <w:marBottom w:val="0"/>
                              <w:divBdr>
                                <w:top w:val="none" w:sz="0" w:space="0" w:color="auto"/>
                                <w:left w:val="none" w:sz="0" w:space="0" w:color="auto"/>
                                <w:bottom w:val="none" w:sz="0" w:space="0" w:color="auto"/>
                                <w:right w:val="none" w:sz="0" w:space="0" w:color="auto"/>
                              </w:divBdr>
                            </w:div>
                            <w:div w:id="1681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524285">
              <w:marLeft w:val="0"/>
              <w:marRight w:val="0"/>
              <w:marTop w:val="0"/>
              <w:marBottom w:val="0"/>
              <w:divBdr>
                <w:top w:val="none" w:sz="0" w:space="0" w:color="auto"/>
                <w:left w:val="none" w:sz="0" w:space="0" w:color="auto"/>
                <w:bottom w:val="single" w:sz="6" w:space="12" w:color="DDDDDD"/>
                <w:right w:val="none" w:sz="0" w:space="0" w:color="auto"/>
              </w:divBdr>
              <w:divsChild>
                <w:div w:id="1405838645">
                  <w:marLeft w:val="0"/>
                  <w:marRight w:val="0"/>
                  <w:marTop w:val="0"/>
                  <w:marBottom w:val="0"/>
                  <w:divBdr>
                    <w:top w:val="none" w:sz="0" w:space="0" w:color="auto"/>
                    <w:left w:val="none" w:sz="0" w:space="0" w:color="auto"/>
                    <w:bottom w:val="none" w:sz="0" w:space="0" w:color="auto"/>
                    <w:right w:val="none" w:sz="0" w:space="0" w:color="auto"/>
                  </w:divBdr>
                  <w:divsChild>
                    <w:div w:id="115409802">
                      <w:marLeft w:val="0"/>
                      <w:marRight w:val="0"/>
                      <w:marTop w:val="0"/>
                      <w:marBottom w:val="0"/>
                      <w:divBdr>
                        <w:top w:val="none" w:sz="0" w:space="0" w:color="auto"/>
                        <w:left w:val="none" w:sz="0" w:space="0" w:color="auto"/>
                        <w:bottom w:val="none" w:sz="0" w:space="0" w:color="auto"/>
                        <w:right w:val="none" w:sz="0" w:space="0" w:color="auto"/>
                      </w:divBdr>
                      <w:divsChild>
                        <w:div w:id="2061245697">
                          <w:marLeft w:val="0"/>
                          <w:marRight w:val="0"/>
                          <w:marTop w:val="0"/>
                          <w:marBottom w:val="0"/>
                          <w:divBdr>
                            <w:top w:val="none" w:sz="0" w:space="0" w:color="auto"/>
                            <w:left w:val="none" w:sz="0" w:space="0" w:color="auto"/>
                            <w:bottom w:val="none" w:sz="0" w:space="0" w:color="auto"/>
                            <w:right w:val="none" w:sz="0" w:space="0" w:color="auto"/>
                          </w:divBdr>
                        </w:div>
                        <w:div w:id="815344725">
                          <w:marLeft w:val="0"/>
                          <w:marRight w:val="0"/>
                          <w:marTop w:val="0"/>
                          <w:marBottom w:val="0"/>
                          <w:divBdr>
                            <w:top w:val="none" w:sz="0" w:space="0" w:color="auto"/>
                            <w:left w:val="none" w:sz="0" w:space="0" w:color="auto"/>
                            <w:bottom w:val="none" w:sz="0" w:space="0" w:color="auto"/>
                            <w:right w:val="none" w:sz="0" w:space="0" w:color="auto"/>
                          </w:divBdr>
                        </w:div>
                        <w:div w:id="1359426300">
                          <w:marLeft w:val="0"/>
                          <w:marRight w:val="0"/>
                          <w:marTop w:val="0"/>
                          <w:marBottom w:val="0"/>
                          <w:divBdr>
                            <w:top w:val="none" w:sz="0" w:space="0" w:color="auto"/>
                            <w:left w:val="none" w:sz="0" w:space="0" w:color="auto"/>
                            <w:bottom w:val="none" w:sz="0" w:space="0" w:color="auto"/>
                            <w:right w:val="none" w:sz="0" w:space="0" w:color="auto"/>
                          </w:divBdr>
                          <w:divsChild>
                            <w:div w:id="1498110789">
                              <w:marLeft w:val="0"/>
                              <w:marRight w:val="0"/>
                              <w:marTop w:val="0"/>
                              <w:marBottom w:val="0"/>
                              <w:divBdr>
                                <w:top w:val="none" w:sz="0" w:space="0" w:color="auto"/>
                                <w:left w:val="none" w:sz="0" w:space="0" w:color="auto"/>
                                <w:bottom w:val="none" w:sz="0" w:space="0" w:color="auto"/>
                                <w:right w:val="none" w:sz="0" w:space="0" w:color="auto"/>
                              </w:divBdr>
                            </w:div>
                            <w:div w:id="1814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656674">
              <w:marLeft w:val="0"/>
              <w:marRight w:val="0"/>
              <w:marTop w:val="0"/>
              <w:marBottom w:val="0"/>
              <w:divBdr>
                <w:top w:val="none" w:sz="0" w:space="0" w:color="auto"/>
                <w:left w:val="none" w:sz="0" w:space="0" w:color="auto"/>
                <w:bottom w:val="none" w:sz="0" w:space="0" w:color="auto"/>
                <w:right w:val="none" w:sz="0" w:space="0" w:color="auto"/>
              </w:divBdr>
              <w:divsChild>
                <w:div w:id="222955221">
                  <w:marLeft w:val="0"/>
                  <w:marRight w:val="0"/>
                  <w:marTop w:val="0"/>
                  <w:marBottom w:val="0"/>
                  <w:divBdr>
                    <w:top w:val="none" w:sz="0" w:space="0" w:color="auto"/>
                    <w:left w:val="none" w:sz="0" w:space="0" w:color="auto"/>
                    <w:bottom w:val="none" w:sz="0" w:space="0" w:color="auto"/>
                    <w:right w:val="none" w:sz="0" w:space="0" w:color="auto"/>
                  </w:divBdr>
                  <w:divsChild>
                    <w:div w:id="1615744823">
                      <w:marLeft w:val="0"/>
                      <w:marRight w:val="0"/>
                      <w:marTop w:val="0"/>
                      <w:marBottom w:val="0"/>
                      <w:divBdr>
                        <w:top w:val="none" w:sz="0" w:space="0" w:color="auto"/>
                        <w:left w:val="none" w:sz="0" w:space="0" w:color="auto"/>
                        <w:bottom w:val="none" w:sz="0" w:space="0" w:color="auto"/>
                        <w:right w:val="none" w:sz="0" w:space="0" w:color="auto"/>
                      </w:divBdr>
                      <w:divsChild>
                        <w:div w:id="573472137">
                          <w:marLeft w:val="0"/>
                          <w:marRight w:val="0"/>
                          <w:marTop w:val="0"/>
                          <w:marBottom w:val="0"/>
                          <w:divBdr>
                            <w:top w:val="none" w:sz="0" w:space="0" w:color="auto"/>
                            <w:left w:val="none" w:sz="0" w:space="0" w:color="auto"/>
                            <w:bottom w:val="none" w:sz="0" w:space="0" w:color="auto"/>
                            <w:right w:val="none" w:sz="0" w:space="0" w:color="auto"/>
                          </w:divBdr>
                        </w:div>
                        <w:div w:id="591008323">
                          <w:marLeft w:val="0"/>
                          <w:marRight w:val="0"/>
                          <w:marTop w:val="0"/>
                          <w:marBottom w:val="0"/>
                          <w:divBdr>
                            <w:top w:val="none" w:sz="0" w:space="0" w:color="auto"/>
                            <w:left w:val="none" w:sz="0" w:space="0" w:color="auto"/>
                            <w:bottom w:val="none" w:sz="0" w:space="0" w:color="auto"/>
                            <w:right w:val="none" w:sz="0" w:space="0" w:color="auto"/>
                          </w:divBdr>
                        </w:div>
                        <w:div w:id="1325889764">
                          <w:marLeft w:val="0"/>
                          <w:marRight w:val="0"/>
                          <w:marTop w:val="0"/>
                          <w:marBottom w:val="0"/>
                          <w:divBdr>
                            <w:top w:val="none" w:sz="0" w:space="0" w:color="auto"/>
                            <w:left w:val="none" w:sz="0" w:space="0" w:color="auto"/>
                            <w:bottom w:val="none" w:sz="0" w:space="0" w:color="auto"/>
                            <w:right w:val="none" w:sz="0" w:space="0" w:color="auto"/>
                          </w:divBdr>
                          <w:divsChild>
                            <w:div w:id="726416858">
                              <w:marLeft w:val="0"/>
                              <w:marRight w:val="0"/>
                              <w:marTop w:val="0"/>
                              <w:marBottom w:val="0"/>
                              <w:divBdr>
                                <w:top w:val="none" w:sz="0" w:space="0" w:color="auto"/>
                                <w:left w:val="none" w:sz="0" w:space="0" w:color="auto"/>
                                <w:bottom w:val="none" w:sz="0" w:space="0" w:color="auto"/>
                                <w:right w:val="none" w:sz="0" w:space="0" w:color="auto"/>
                              </w:divBdr>
                            </w:div>
                            <w:div w:id="162996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330013">
      <w:bodyDiv w:val="1"/>
      <w:marLeft w:val="0"/>
      <w:marRight w:val="0"/>
      <w:marTop w:val="0"/>
      <w:marBottom w:val="0"/>
      <w:divBdr>
        <w:top w:val="none" w:sz="0" w:space="0" w:color="auto"/>
        <w:left w:val="none" w:sz="0" w:space="0" w:color="auto"/>
        <w:bottom w:val="none" w:sz="0" w:space="0" w:color="auto"/>
        <w:right w:val="none" w:sz="0" w:space="0" w:color="auto"/>
      </w:divBdr>
      <w:divsChild>
        <w:div w:id="879707610">
          <w:marLeft w:val="0"/>
          <w:marRight w:val="0"/>
          <w:marTop w:val="0"/>
          <w:marBottom w:val="0"/>
          <w:divBdr>
            <w:top w:val="none" w:sz="0" w:space="0" w:color="auto"/>
            <w:left w:val="none" w:sz="0" w:space="0" w:color="auto"/>
            <w:bottom w:val="none" w:sz="0" w:space="0" w:color="auto"/>
            <w:right w:val="none" w:sz="0" w:space="0" w:color="auto"/>
          </w:divBdr>
          <w:divsChild>
            <w:div w:id="335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54793961">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289214">
      <w:bodyDiv w:val="1"/>
      <w:marLeft w:val="0"/>
      <w:marRight w:val="0"/>
      <w:marTop w:val="0"/>
      <w:marBottom w:val="0"/>
      <w:divBdr>
        <w:top w:val="none" w:sz="0" w:space="0" w:color="auto"/>
        <w:left w:val="none" w:sz="0" w:space="0" w:color="auto"/>
        <w:bottom w:val="none" w:sz="0" w:space="0" w:color="auto"/>
        <w:right w:val="none" w:sz="0" w:space="0" w:color="auto"/>
      </w:divBdr>
      <w:divsChild>
        <w:div w:id="1874923974">
          <w:marLeft w:val="0"/>
          <w:marRight w:val="0"/>
          <w:marTop w:val="0"/>
          <w:marBottom w:val="0"/>
          <w:divBdr>
            <w:top w:val="none" w:sz="0" w:space="0" w:color="auto"/>
            <w:left w:val="none" w:sz="0" w:space="0" w:color="auto"/>
            <w:bottom w:val="none" w:sz="0" w:space="0" w:color="auto"/>
            <w:right w:val="none" w:sz="0" w:space="0" w:color="auto"/>
          </w:divBdr>
          <w:divsChild>
            <w:div w:id="90742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076195387">
      <w:bodyDiv w:val="1"/>
      <w:marLeft w:val="0"/>
      <w:marRight w:val="0"/>
      <w:marTop w:val="0"/>
      <w:marBottom w:val="0"/>
      <w:divBdr>
        <w:top w:val="none" w:sz="0" w:space="0" w:color="auto"/>
        <w:left w:val="none" w:sz="0" w:space="0" w:color="auto"/>
        <w:bottom w:val="none" w:sz="0" w:space="0" w:color="auto"/>
        <w:right w:val="none" w:sz="0" w:space="0" w:color="auto"/>
      </w:divBdr>
      <w:divsChild>
        <w:div w:id="196092260">
          <w:marLeft w:val="0"/>
          <w:marRight w:val="0"/>
          <w:marTop w:val="0"/>
          <w:marBottom w:val="0"/>
          <w:divBdr>
            <w:top w:val="none" w:sz="0" w:space="0" w:color="auto"/>
            <w:left w:val="none" w:sz="0" w:space="0" w:color="auto"/>
            <w:bottom w:val="none" w:sz="0" w:space="0" w:color="auto"/>
            <w:right w:val="none" w:sz="0" w:space="0" w:color="auto"/>
          </w:divBdr>
        </w:div>
      </w:divsChild>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ww-tandfonline-com.libus.csd.mu.edu/doi/full/10.1080/0735648X.2016.1176949" TargetMode="External"/><Relationship Id="rId117" Type="http://schemas.openxmlformats.org/officeDocument/2006/relationships/hyperlink" Target="http://fcpr.fsu.edu/retail/concept.php" TargetMode="External"/><Relationship Id="rId21" Type="http://schemas.openxmlformats.org/officeDocument/2006/relationships/hyperlink" Target="https://0-www-tandfonline-com.libus.csd.mu.edu/doi/full/10.1080/0735648X.2016.1176949" TargetMode="External"/><Relationship Id="rId42" Type="http://schemas.openxmlformats.org/officeDocument/2006/relationships/hyperlink" Target="https://0-www-tandfonline-com.libus.csd.mu.edu/doi/full/10.1080/0735648X.2016.1176949" TargetMode="External"/><Relationship Id="rId47" Type="http://schemas.openxmlformats.org/officeDocument/2006/relationships/hyperlink" Target="https://0-www-tandfonline-com.libus.csd.mu.edu/doi/full/10.1080/0735648X.2016.1176949" TargetMode="External"/><Relationship Id="rId63" Type="http://schemas.openxmlformats.org/officeDocument/2006/relationships/hyperlink" Target="https://0-www-tandfonline-com.libus.csd.mu.edu/doi/full/10.1080/0735648X.2016.1176949" TargetMode="External"/><Relationship Id="rId68" Type="http://schemas.openxmlformats.org/officeDocument/2006/relationships/hyperlink" Target="https://0-www-tandfonline-com.libus.csd.mu.edu/doi/full/10.1080/0735648X.2016.1176949" TargetMode="External"/><Relationship Id="rId84" Type="http://schemas.openxmlformats.org/officeDocument/2006/relationships/hyperlink" Target="https://0-www-tandfonline-com.libus.csd.mu.edu/doi/full/10.1080/0735648X.2016.1176949" TargetMode="External"/><Relationship Id="rId89" Type="http://schemas.openxmlformats.org/officeDocument/2006/relationships/hyperlink" Target="https://0-www-tandfonline-com.libus.csd.mu.edu/doi/full/10.1080/0735648X.2016.1176949" TargetMode="External"/><Relationship Id="rId112" Type="http://schemas.openxmlformats.org/officeDocument/2006/relationships/hyperlink" Target="https://0-www-tandfonline-com.libus.csd.mu.edu/doi/full/10.1080/0735648X.2016.1176949" TargetMode="External"/><Relationship Id="rId16" Type="http://schemas.openxmlformats.org/officeDocument/2006/relationships/hyperlink" Target="https://0-www-tandfonline-com.libus.csd.mu.edu/doi/full/10.1080/0735648X.2016.1176949" TargetMode="External"/><Relationship Id="rId107" Type="http://schemas.openxmlformats.org/officeDocument/2006/relationships/hyperlink" Target="https://0-www-tandfonline-com.libus.csd.mu.edu/doi/full/10.1080/0735648X.2016.1176949" TargetMode="External"/><Relationship Id="rId11" Type="http://schemas.openxmlformats.org/officeDocument/2006/relationships/hyperlink" Target="https://0-www-tandfonline-com.libus.csd.mu.edu/doi/full/10.1080/0735648X.2016.1176949" TargetMode="External"/><Relationship Id="rId32" Type="http://schemas.openxmlformats.org/officeDocument/2006/relationships/hyperlink" Target="https://0-www-tandfonline-com.libus.csd.mu.edu/doi/full/10.1080/0735648X.2016.1176949" TargetMode="External"/><Relationship Id="rId37" Type="http://schemas.openxmlformats.org/officeDocument/2006/relationships/hyperlink" Target="https://0-www-tandfonline-com.libus.csd.mu.edu/doi/full/10.1080/0735648X.2016.1176949" TargetMode="External"/><Relationship Id="rId53" Type="http://schemas.openxmlformats.org/officeDocument/2006/relationships/hyperlink" Target="https://0-www-tandfonline-com.libus.csd.mu.edu/doi/full/10.1080/0735648X.2016.1176949" TargetMode="External"/><Relationship Id="rId58" Type="http://schemas.openxmlformats.org/officeDocument/2006/relationships/hyperlink" Target="https://0-www-tandfonline-com.libus.csd.mu.edu/doi/full/10.1080/0735648X.2016.1176949" TargetMode="External"/><Relationship Id="rId74" Type="http://schemas.openxmlformats.org/officeDocument/2006/relationships/hyperlink" Target="https://0-www-tandfonline-com.libus.csd.mu.edu/doi/full/10.1080/0735648X.2016.1176949" TargetMode="External"/><Relationship Id="rId79" Type="http://schemas.openxmlformats.org/officeDocument/2006/relationships/hyperlink" Target="https://0-www-tandfonline-com.libus.csd.mu.edu/doi/full/10.1080/0735648X.2016.1176949" TargetMode="External"/><Relationship Id="rId102" Type="http://schemas.openxmlformats.org/officeDocument/2006/relationships/hyperlink" Target="https://0-www-tandfonline-com.libus.csd.mu.edu/doi/full/10.1080/0735648X.2016.1176949" TargetMode="External"/><Relationship Id="rId123"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0-www-tandfonline-com.libus.csd.mu.edu/doi/full/10.1080/0735648X.2016.1176949" TargetMode="External"/><Relationship Id="rId95" Type="http://schemas.openxmlformats.org/officeDocument/2006/relationships/hyperlink" Target="https://0-www-tandfonline-com.libus.csd.mu.edu/doi/full/10.1080/0735648X.2016.1176949" TargetMode="External"/><Relationship Id="rId22" Type="http://schemas.openxmlformats.org/officeDocument/2006/relationships/hyperlink" Target="https://0-www-tandfonline-com.libus.csd.mu.edu/doi/full/10.1080/0735648X.2016.1176949" TargetMode="External"/><Relationship Id="rId27" Type="http://schemas.openxmlformats.org/officeDocument/2006/relationships/hyperlink" Target="https://0-www-tandfonline-com.libus.csd.mu.edu/doi/full/10.1080/0735648X.2016.1176949" TargetMode="External"/><Relationship Id="rId43" Type="http://schemas.openxmlformats.org/officeDocument/2006/relationships/hyperlink" Target="https://0-www-tandfonline-com.libus.csd.mu.edu/doi/full/10.1080/0735648X.2016.1176949" TargetMode="External"/><Relationship Id="rId48" Type="http://schemas.openxmlformats.org/officeDocument/2006/relationships/hyperlink" Target="https://0-www-tandfonline-com.libus.csd.mu.edu/doi/full/10.1080/0735648X.2016.1176949" TargetMode="External"/><Relationship Id="rId64" Type="http://schemas.openxmlformats.org/officeDocument/2006/relationships/hyperlink" Target="https://0-www-tandfonline-com.libus.csd.mu.edu/doi/full/10.1080/0735648X.2016.1176949" TargetMode="External"/><Relationship Id="rId69" Type="http://schemas.openxmlformats.org/officeDocument/2006/relationships/hyperlink" Target="https://0-www-tandfonline-com.libus.csd.mu.edu/doi/full/10.1080/0735648X.2016.1176949" TargetMode="External"/><Relationship Id="rId113" Type="http://schemas.openxmlformats.org/officeDocument/2006/relationships/hyperlink" Target="https://0-www-tandfonline-com.libus.csd.mu.edu/doi/full/10.1080/0735648X.2016.1176949" TargetMode="External"/><Relationship Id="rId118" Type="http://schemas.openxmlformats.org/officeDocument/2006/relationships/hyperlink" Target="http://www.urban.org/publications/411663.html" TargetMode="External"/><Relationship Id="rId80" Type="http://schemas.openxmlformats.org/officeDocument/2006/relationships/hyperlink" Target="https://0-www-tandfonline-com.libus.csd.mu.edu/doi/full/10.1080/0735648X.2016.1176949" TargetMode="External"/><Relationship Id="rId85" Type="http://schemas.openxmlformats.org/officeDocument/2006/relationships/hyperlink" Target="https://0-www-tandfonline-com.libus.csd.mu.edu/doi/full/10.1080/0735648X.2016.1176949" TargetMode="External"/><Relationship Id="rId12" Type="http://schemas.openxmlformats.org/officeDocument/2006/relationships/hyperlink" Target="https://0-www-tandfonline-com.libus.csd.mu.edu/doi/full/10.1080/0735648X.2016.1176949" TargetMode="External"/><Relationship Id="rId17" Type="http://schemas.openxmlformats.org/officeDocument/2006/relationships/hyperlink" Target="https://0-www-tandfonline-com.libus.csd.mu.edu/doi/full/10.1080/0735648X.2016.1176949" TargetMode="External"/><Relationship Id="rId33" Type="http://schemas.openxmlformats.org/officeDocument/2006/relationships/hyperlink" Target="https://0-www-tandfonline-com.libus.csd.mu.edu/doi/full/10.1080/0735648X.2016.1176949" TargetMode="External"/><Relationship Id="rId38" Type="http://schemas.openxmlformats.org/officeDocument/2006/relationships/hyperlink" Target="https://0-www-tandfonline-com.libus.csd.mu.edu/doi/full/10.1080/0735648X.2016.1176949" TargetMode="External"/><Relationship Id="rId59" Type="http://schemas.openxmlformats.org/officeDocument/2006/relationships/hyperlink" Target="https://0-www-tandfonline-com.libus.csd.mu.edu/doi/full/10.1080/0735648X.2016.1176949" TargetMode="External"/><Relationship Id="rId103" Type="http://schemas.openxmlformats.org/officeDocument/2006/relationships/hyperlink" Target="https://0-www-tandfonline-com.libus.csd.mu.edu/doi/full/10.1080/0735648X.2016.1176949" TargetMode="External"/><Relationship Id="rId108" Type="http://schemas.openxmlformats.org/officeDocument/2006/relationships/hyperlink" Target="https://0-www-tandfonline-com.libus.csd.mu.edu/doi/full/10.1080/0735648X.2016.1176949" TargetMode="External"/><Relationship Id="rId54" Type="http://schemas.openxmlformats.org/officeDocument/2006/relationships/hyperlink" Target="https://0-www-tandfonline-com.libus.csd.mu.edu/doi/full/10.1080/0735648X.2016.1176949" TargetMode="External"/><Relationship Id="rId70" Type="http://schemas.openxmlformats.org/officeDocument/2006/relationships/hyperlink" Target="https://0-www-tandfonline-com.libus.csd.mu.edu/doi/full/10.1080/0735648X.2016.1176949" TargetMode="External"/><Relationship Id="rId75" Type="http://schemas.openxmlformats.org/officeDocument/2006/relationships/hyperlink" Target="https://0-www-tandfonline-com.libus.csd.mu.edu/doi/full/10.1080/0735648X.2016.1176949" TargetMode="External"/><Relationship Id="rId91" Type="http://schemas.openxmlformats.org/officeDocument/2006/relationships/hyperlink" Target="https://0-www-tandfonline-com.libus.csd.mu.edu/doi/full/10.1080/0735648X.2016.1176949" TargetMode="External"/><Relationship Id="rId96" Type="http://schemas.openxmlformats.org/officeDocument/2006/relationships/hyperlink" Target="https://0-www-tandfonline-com.libus.csd.mu.edu/doi/full/10.1080/0735648X.2016.1176949"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0-www-tandfonline-com.libus.csd.mu.edu/doi/full/10.1080/0735648X.2016.1176949" TargetMode="External"/><Relationship Id="rId28" Type="http://schemas.openxmlformats.org/officeDocument/2006/relationships/hyperlink" Target="https://0-www-tandfonline-com.libus.csd.mu.edu/doi/full/10.1080/0735648X.2016.1176949" TargetMode="External"/><Relationship Id="rId49" Type="http://schemas.openxmlformats.org/officeDocument/2006/relationships/hyperlink" Target="https://0-www-tandfonline-com.libus.csd.mu.edu/doi/full/10.1080/0735648X.2016.1176949" TargetMode="External"/><Relationship Id="rId114" Type="http://schemas.openxmlformats.org/officeDocument/2006/relationships/hyperlink" Target="https://0-www-tandfonline-com.libus.csd.mu.edu/doi/full/10.1080/0735648X.2016.1176949" TargetMode="External"/><Relationship Id="rId119" Type="http://schemas.openxmlformats.org/officeDocument/2006/relationships/hyperlink" Target="http://factfinder2.census.gov/faces/nav/jsf/pages/community_facts.xhtml" TargetMode="External"/><Relationship Id="rId44" Type="http://schemas.openxmlformats.org/officeDocument/2006/relationships/hyperlink" Target="https://0-www-tandfonline-com.libus.csd.mu.edu/doi/full/10.1080/0735648X.2016.1176949" TargetMode="External"/><Relationship Id="rId60" Type="http://schemas.openxmlformats.org/officeDocument/2006/relationships/hyperlink" Target="https://0-www-tandfonline-com.libus.csd.mu.edu/doi/full/10.1080/0735648X.2016.1176949" TargetMode="External"/><Relationship Id="rId65" Type="http://schemas.openxmlformats.org/officeDocument/2006/relationships/hyperlink" Target="https://0-www-tandfonline-com.libus.csd.mu.edu/doi/full/10.1080/0735648X.2016.1176949" TargetMode="External"/><Relationship Id="rId81" Type="http://schemas.openxmlformats.org/officeDocument/2006/relationships/hyperlink" Target="https://0-www-tandfonline-com.libus.csd.mu.edu/doi/full/10.1080/0735648X.2016.1176949" TargetMode="External"/><Relationship Id="rId86" Type="http://schemas.openxmlformats.org/officeDocument/2006/relationships/hyperlink" Target="https://0-www-tandfonline-com.libus.csd.mu.edu/doi/full/10.1080/0735648X.2016.1176949" TargetMode="External"/><Relationship Id="rId4" Type="http://schemas.openxmlformats.org/officeDocument/2006/relationships/customXml" Target="../customXml/item4.xml"/><Relationship Id="rId9" Type="http://schemas.openxmlformats.org/officeDocument/2006/relationships/hyperlink" Target="https://doi.org/10.1080/0735648X.2016.1176949" TargetMode="External"/><Relationship Id="rId13" Type="http://schemas.openxmlformats.org/officeDocument/2006/relationships/hyperlink" Target="https://0-www-tandfonline-com.libus.csd.mu.edu/doi/full/10.1080/0735648X.2016.1176949" TargetMode="External"/><Relationship Id="rId18" Type="http://schemas.openxmlformats.org/officeDocument/2006/relationships/hyperlink" Target="https://0-www-tandfonline-com.libus.csd.mu.edu/doi/full/10.1080/0735648X.2016.1176949" TargetMode="External"/><Relationship Id="rId39" Type="http://schemas.openxmlformats.org/officeDocument/2006/relationships/hyperlink" Target="https://0-www-tandfonline-com.libus.csd.mu.edu/doi/full/10.1080/0735648X.2016.1176949" TargetMode="External"/><Relationship Id="rId109" Type="http://schemas.openxmlformats.org/officeDocument/2006/relationships/hyperlink" Target="https://0-www-tandfonline-com.libus.csd.mu.edu/doi/full/10.1080/0735648X.2016.1176949" TargetMode="External"/><Relationship Id="rId34" Type="http://schemas.openxmlformats.org/officeDocument/2006/relationships/hyperlink" Target="https://0-www-tandfonline-com.libus.csd.mu.edu/doi/full/10.1080/0735648X.2016.1176949" TargetMode="External"/><Relationship Id="rId50" Type="http://schemas.openxmlformats.org/officeDocument/2006/relationships/hyperlink" Target="https://0-www-tandfonline-com.libus.csd.mu.edu/doi/full/10.1080/0735648X.2016.1176949" TargetMode="External"/><Relationship Id="rId55" Type="http://schemas.openxmlformats.org/officeDocument/2006/relationships/hyperlink" Target="https://0-www-tandfonline-com.libus.csd.mu.edu/doi/full/10.1080/0735648X.2016.1176949" TargetMode="External"/><Relationship Id="rId76" Type="http://schemas.openxmlformats.org/officeDocument/2006/relationships/hyperlink" Target="https://0-www-tandfonline-com.libus.csd.mu.edu/doi/full/10.1080/0735648X.2016.1176949" TargetMode="External"/><Relationship Id="rId97" Type="http://schemas.openxmlformats.org/officeDocument/2006/relationships/hyperlink" Target="https://0-www-tandfonline-com.libus.csd.mu.edu/doi/full/10.1080/0735648X.2016.1176949" TargetMode="External"/><Relationship Id="rId104" Type="http://schemas.openxmlformats.org/officeDocument/2006/relationships/hyperlink" Target="https://0-www-tandfonline-com.libus.csd.mu.edu/doi/full/10.1080/0735648X.2016.1176949" TargetMode="External"/><Relationship Id="rId120" Type="http://schemas.openxmlformats.org/officeDocument/2006/relationships/hyperlink" Target="http://quickfacts.census.gov/qfd/states/55/5553000.html" TargetMode="External"/><Relationship Id="rId7" Type="http://schemas.openxmlformats.org/officeDocument/2006/relationships/settings" Target="settings.xml"/><Relationship Id="rId71" Type="http://schemas.openxmlformats.org/officeDocument/2006/relationships/hyperlink" Target="https://0-www-tandfonline-com.libus.csd.mu.edu/doi/full/10.1080/0735648X.2016.1176949" TargetMode="External"/><Relationship Id="rId92" Type="http://schemas.openxmlformats.org/officeDocument/2006/relationships/hyperlink" Target="https://0-www-tandfonline-com.libus.csd.mu.edu/doi/full/10.1080/0735648X.2016.1176949" TargetMode="External"/><Relationship Id="rId2" Type="http://schemas.openxmlformats.org/officeDocument/2006/relationships/customXml" Target="../customXml/item2.xml"/><Relationship Id="rId29" Type="http://schemas.openxmlformats.org/officeDocument/2006/relationships/hyperlink" Target="https://0-www-tandfonline-com.libus.csd.mu.edu/doi/full/10.1080/0735648X.2016.1176949" TargetMode="External"/><Relationship Id="rId24" Type="http://schemas.openxmlformats.org/officeDocument/2006/relationships/hyperlink" Target="https://0-www-tandfonline-com.libus.csd.mu.edu/doi/full/10.1080/0735648X.2016.1176949" TargetMode="External"/><Relationship Id="rId40" Type="http://schemas.openxmlformats.org/officeDocument/2006/relationships/hyperlink" Target="https://0-www-tandfonline-com.libus.csd.mu.edu/doi/full/10.1080/0735648X.2016.1176949" TargetMode="External"/><Relationship Id="rId45" Type="http://schemas.openxmlformats.org/officeDocument/2006/relationships/hyperlink" Target="https://0-www-tandfonline-com.libus.csd.mu.edu/doi/full/10.1080/0735648X.2016.1176949" TargetMode="External"/><Relationship Id="rId66" Type="http://schemas.openxmlformats.org/officeDocument/2006/relationships/hyperlink" Target="https://0-www-tandfonline-com.libus.csd.mu.edu/doi/full/10.1080/0735648X.2016.1176949" TargetMode="External"/><Relationship Id="rId87" Type="http://schemas.openxmlformats.org/officeDocument/2006/relationships/hyperlink" Target="https://0-www-tandfonline-com.libus.csd.mu.edu/doi/full/10.1080/0735648X.2016.1176949" TargetMode="External"/><Relationship Id="rId110" Type="http://schemas.openxmlformats.org/officeDocument/2006/relationships/hyperlink" Target="https://0-www-tandfonline-com.libus.csd.mu.edu/doi/full/10.1080/0735648X.2016.1176949" TargetMode="External"/><Relationship Id="rId115" Type="http://schemas.openxmlformats.org/officeDocument/2006/relationships/hyperlink" Target="https://0-www-tandfonline-com.libus.csd.mu.edu/doi/full/10.1080/0735648X.2016.1176949" TargetMode="External"/><Relationship Id="rId61" Type="http://schemas.openxmlformats.org/officeDocument/2006/relationships/hyperlink" Target="https://0-www-tandfonline-com.libus.csd.mu.edu/doi/full/10.1080/0735648X.2016.1176949" TargetMode="External"/><Relationship Id="rId82" Type="http://schemas.openxmlformats.org/officeDocument/2006/relationships/hyperlink" Target="https://0-www-tandfonline-com.libus.csd.mu.edu/doi/full/10.1080/0735648X.2016.1176949" TargetMode="External"/><Relationship Id="rId19" Type="http://schemas.openxmlformats.org/officeDocument/2006/relationships/hyperlink" Target="https://0-www-tandfonline-com.libus.csd.mu.edu/doi/full/10.1080/0735648X.2016.1176949" TargetMode="External"/><Relationship Id="rId14" Type="http://schemas.openxmlformats.org/officeDocument/2006/relationships/hyperlink" Target="https://0-www-tandfonline-com.libus.csd.mu.edu/doi/full/10.1080/0735648X.2016.1176949" TargetMode="External"/><Relationship Id="rId30" Type="http://schemas.openxmlformats.org/officeDocument/2006/relationships/hyperlink" Target="https://0-www-tandfonline-com.libus.csd.mu.edu/doi/full/10.1080/0735648X.2016.1176949" TargetMode="External"/><Relationship Id="rId35" Type="http://schemas.openxmlformats.org/officeDocument/2006/relationships/hyperlink" Target="https://0-www-tandfonline-com.libus.csd.mu.edu/doi/full/10.1080/0735648X.2016.1176949" TargetMode="External"/><Relationship Id="rId56" Type="http://schemas.openxmlformats.org/officeDocument/2006/relationships/hyperlink" Target="https://0-www-tandfonline-com.libus.csd.mu.edu/doi/full/10.1080/0735648X.2016.1176949" TargetMode="External"/><Relationship Id="rId77" Type="http://schemas.openxmlformats.org/officeDocument/2006/relationships/hyperlink" Target="https://0-www-tandfonline-com.libus.csd.mu.edu/doi/full/10.1080/0735648X.2016.1176949" TargetMode="External"/><Relationship Id="rId100" Type="http://schemas.openxmlformats.org/officeDocument/2006/relationships/hyperlink" Target="https://0-www-tandfonline-com.libus.csd.mu.edu/doi/full/10.1080/0735648X.2016.1176949" TargetMode="External"/><Relationship Id="rId105" Type="http://schemas.openxmlformats.org/officeDocument/2006/relationships/hyperlink" Target="https://0-www-tandfonline-com.libus.csd.mu.edu/doi/full/10.1080/0735648X.2016.1176949" TargetMode="External"/><Relationship Id="rId8" Type="http://schemas.openxmlformats.org/officeDocument/2006/relationships/webSettings" Target="webSettings.xml"/><Relationship Id="rId51" Type="http://schemas.openxmlformats.org/officeDocument/2006/relationships/hyperlink" Target="https://0-www-tandfonline-com.libus.csd.mu.edu/doi/full/10.1080/0735648X.2016.1176949" TargetMode="External"/><Relationship Id="rId72" Type="http://schemas.openxmlformats.org/officeDocument/2006/relationships/hyperlink" Target="https://0-www-tandfonline-com.libus.csd.mu.edu/doi/full/10.1080/0735648X.2016.1176949" TargetMode="External"/><Relationship Id="rId93" Type="http://schemas.openxmlformats.org/officeDocument/2006/relationships/hyperlink" Target="https://0-www-tandfonline-com.libus.csd.mu.edu/doi/full/10.1080/0735648X.2016.1176949" TargetMode="External"/><Relationship Id="rId98" Type="http://schemas.openxmlformats.org/officeDocument/2006/relationships/hyperlink" Target="https://0-www-tandfonline-com.libus.csd.mu.edu/doi/full/10.1080/0735648X.2016.1176949" TargetMode="External"/><Relationship Id="rId121" Type="http://schemas.openxmlformats.org/officeDocument/2006/relationships/hyperlink" Target="https://0-www-tandfonline-com.libus.csd.mu.edu/doi/full/10.1080/0735648X.2016.1176949" TargetMode="External"/><Relationship Id="rId3" Type="http://schemas.openxmlformats.org/officeDocument/2006/relationships/customXml" Target="../customXml/item3.xml"/><Relationship Id="rId25" Type="http://schemas.openxmlformats.org/officeDocument/2006/relationships/hyperlink" Target="https://0-www-tandfonline-com.libus.csd.mu.edu/doi/full/10.1080/0735648X.2016.1176949" TargetMode="External"/><Relationship Id="rId46" Type="http://schemas.openxmlformats.org/officeDocument/2006/relationships/hyperlink" Target="https://0-www-tandfonline-com.libus.csd.mu.edu/doi/full/10.1080/0735648X.2016.1176949" TargetMode="External"/><Relationship Id="rId67" Type="http://schemas.openxmlformats.org/officeDocument/2006/relationships/hyperlink" Target="https://0-www-tandfonline-com.libus.csd.mu.edu/doi/full/10.1080/0735648X.2016.1176949" TargetMode="External"/><Relationship Id="rId116" Type="http://schemas.openxmlformats.org/officeDocument/2006/relationships/hyperlink" Target="https://0-www-tandfonline-com.libus.csd.mu.edu/doi/full/10.1080/0735648X.2016.1176949" TargetMode="External"/><Relationship Id="rId20" Type="http://schemas.openxmlformats.org/officeDocument/2006/relationships/hyperlink" Target="https://0-www-tandfonline-com.libus.csd.mu.edu/doi/full/10.1080/0735648X.2016.1176949" TargetMode="External"/><Relationship Id="rId41" Type="http://schemas.openxmlformats.org/officeDocument/2006/relationships/hyperlink" Target="https://0-www-tandfonline-com.libus.csd.mu.edu/doi/full/10.1080/0735648X.2016.1176949" TargetMode="External"/><Relationship Id="rId62" Type="http://schemas.openxmlformats.org/officeDocument/2006/relationships/hyperlink" Target="https://0-www-tandfonline-com.libus.csd.mu.edu/doi/full/10.1080/0735648X.2016.1176949" TargetMode="External"/><Relationship Id="rId83" Type="http://schemas.openxmlformats.org/officeDocument/2006/relationships/hyperlink" Target="https://0-www-tandfonline-com.libus.csd.mu.edu/doi/full/10.1080/0735648X.2016.1176949" TargetMode="External"/><Relationship Id="rId88" Type="http://schemas.openxmlformats.org/officeDocument/2006/relationships/hyperlink" Target="https://0-www-tandfonline-com.libus.csd.mu.edu/doi/full/10.1080/0735648X.2016.1176949" TargetMode="External"/><Relationship Id="rId111" Type="http://schemas.openxmlformats.org/officeDocument/2006/relationships/hyperlink" Target="https://0-www-tandfonline-com.libus.csd.mu.edu/doi/full/10.1080/0735648X.2016.1176949" TargetMode="External"/><Relationship Id="rId15" Type="http://schemas.openxmlformats.org/officeDocument/2006/relationships/hyperlink" Target="https://0-www-tandfonline-com.libus.csd.mu.edu/doi/full/10.1080/0735648X.2016.1176949" TargetMode="External"/><Relationship Id="rId36" Type="http://schemas.openxmlformats.org/officeDocument/2006/relationships/hyperlink" Target="https://0-www-tandfonline-com.libus.csd.mu.edu/doi/full/10.1080/0735648X.2016.1176949" TargetMode="External"/><Relationship Id="rId57" Type="http://schemas.openxmlformats.org/officeDocument/2006/relationships/hyperlink" Target="https://0-www-tandfonline-com.libus.csd.mu.edu/doi/full/10.1080/0735648X.2016.1176949" TargetMode="External"/><Relationship Id="rId106" Type="http://schemas.openxmlformats.org/officeDocument/2006/relationships/hyperlink" Target="https://0-www-tandfonline-com.libus.csd.mu.edu/doi/full/10.1080/0735648X.2016.1176949" TargetMode="External"/><Relationship Id="rId10" Type="http://schemas.openxmlformats.org/officeDocument/2006/relationships/hyperlink" Target="http://epublications.marquette.edu/" TargetMode="External"/><Relationship Id="rId31" Type="http://schemas.openxmlformats.org/officeDocument/2006/relationships/hyperlink" Target="https://0-www-tandfonline-com.libus.csd.mu.edu/doi/full/10.1080/0735648X.2016.1176949" TargetMode="External"/><Relationship Id="rId52" Type="http://schemas.openxmlformats.org/officeDocument/2006/relationships/hyperlink" Target="https://0-www-tandfonline-com.libus.csd.mu.edu/doi/full/10.1080/0735648X.2016.1176949" TargetMode="External"/><Relationship Id="rId73" Type="http://schemas.openxmlformats.org/officeDocument/2006/relationships/hyperlink" Target="https://0-www-tandfonline-com.libus.csd.mu.edu/doi/full/10.1080/0735648X.2016.1176949" TargetMode="External"/><Relationship Id="rId78" Type="http://schemas.openxmlformats.org/officeDocument/2006/relationships/hyperlink" Target="https://0-www-tandfonline-com.libus.csd.mu.edu/doi/full/10.1080/0735648X.2016.1176949" TargetMode="External"/><Relationship Id="rId94" Type="http://schemas.openxmlformats.org/officeDocument/2006/relationships/hyperlink" Target="https://0-www-tandfonline-com.libus.csd.mu.edu/doi/full/10.1080/0735648X.2016.1176949" TargetMode="External"/><Relationship Id="rId99" Type="http://schemas.openxmlformats.org/officeDocument/2006/relationships/hyperlink" Target="https://0-www-tandfonline-com.libus.csd.mu.edu/doi/full/10.1080/0735648X.2016.1176949" TargetMode="External"/><Relationship Id="rId101" Type="http://schemas.openxmlformats.org/officeDocument/2006/relationships/hyperlink" Target="https://0-www-tandfonline-com.libus.csd.mu.edu/doi/full/10.1080/0735648X.2016.1176949" TargetMode="External"/><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B281D090-4104-4ADE-8260-B5D2A3D1E4CB}">
  <ds:schemaRefs>
    <ds:schemaRef ds:uri="http://schemas.openxmlformats.org/officeDocument/2006/bibliography"/>
  </ds:schemaRefs>
</ds:datastoreItem>
</file>

<file path=customXml/itemProps3.xml><?xml version="1.0" encoding="utf-8"?>
<ds:datastoreItem xmlns:ds="http://schemas.openxmlformats.org/officeDocument/2006/customXml" ds:itemID="{5D2E1DBD-81A1-4E93-91F6-D09E3D1E1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20</Pages>
  <Words>11130</Words>
  <Characters>63445</Characters>
  <Application>Microsoft Office Word</Application>
  <DocSecurity>8</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84</cp:revision>
  <dcterms:created xsi:type="dcterms:W3CDTF">2023-03-08T17:09:00Z</dcterms:created>
  <dcterms:modified xsi:type="dcterms:W3CDTF">2023-04-10T15:23:00Z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