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2122D30A" w:rsidR="00A765A5" w:rsidRPr="00A765A5" w:rsidRDefault="009856AA"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Civil, Construction and Environmental Engineering </w:t>
      </w:r>
      <w:r w:rsidR="00A765A5" w:rsidRPr="00A765A5">
        <w:rPr>
          <w:rFonts w:ascii="Calibri" w:eastAsia="MS Mincho" w:hAnsi="Calibri" w:cs="Calibri"/>
          <w:b/>
          <w:bCs/>
          <w:i/>
          <w:iCs/>
          <w:sz w:val="32"/>
          <w:szCs w:val="32"/>
        </w:rPr>
        <w:t xml:space="preserve">Faculty Research and Publications/College of </w:t>
      </w:r>
      <w:r w:rsidR="00933FB4">
        <w:rPr>
          <w:rFonts w:ascii="Calibri" w:eastAsia="MS Mincho" w:hAnsi="Calibri" w:cs="Calibri"/>
          <w:b/>
          <w:bCs/>
          <w:i/>
          <w:iCs/>
          <w:sz w:val="32"/>
          <w:szCs w:val="32"/>
        </w:rPr>
        <w:t>Engineering</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02CBF7F5" w:rsidR="00A765A5" w:rsidRPr="00A765A5" w:rsidRDefault="001B5FC1" w:rsidP="00A765A5">
      <w:pPr>
        <w:rPr>
          <w:rFonts w:ascii="Calibri" w:eastAsia="MS Mincho" w:hAnsi="Calibri" w:cs="Calibri"/>
          <w:b/>
          <w:bCs/>
          <w:sz w:val="24"/>
          <w:szCs w:val="24"/>
        </w:rPr>
      </w:pPr>
      <w:r>
        <w:rPr>
          <w:rFonts w:ascii="Calibri" w:eastAsia="MS Mincho" w:hAnsi="Calibri" w:cs="Calibri"/>
          <w:i/>
          <w:sz w:val="24"/>
          <w:szCs w:val="24"/>
          <w:lang w:val="fr-FR"/>
        </w:rPr>
        <w:t>Safety Science</w:t>
      </w:r>
      <w:r w:rsidR="00A765A5" w:rsidRPr="00A765A5">
        <w:rPr>
          <w:rFonts w:ascii="Calibri" w:eastAsia="MS Mincho" w:hAnsi="Calibri" w:cs="Calibri"/>
          <w:sz w:val="24"/>
          <w:szCs w:val="24"/>
          <w:lang w:val="fr-FR"/>
        </w:rPr>
        <w:t xml:space="preserve">, Vol. </w:t>
      </w:r>
      <w:r>
        <w:rPr>
          <w:rFonts w:ascii="Calibri" w:eastAsia="MS Mincho" w:hAnsi="Calibri" w:cs="Calibri"/>
          <w:sz w:val="24"/>
          <w:szCs w:val="24"/>
          <w:lang w:val="fr-FR"/>
        </w:rPr>
        <w:t>48</w:t>
      </w:r>
      <w:r w:rsidR="00A765A5" w:rsidRPr="00A765A5">
        <w:rPr>
          <w:rFonts w:ascii="Calibri" w:eastAsia="MS Mincho" w:hAnsi="Calibri" w:cs="Calibri"/>
          <w:sz w:val="24"/>
          <w:szCs w:val="24"/>
          <w:lang w:val="fr-FR"/>
        </w:rPr>
        <w:t xml:space="preserve">, No. </w:t>
      </w:r>
      <w:r>
        <w:rPr>
          <w:rFonts w:ascii="Calibri" w:eastAsia="MS Mincho" w:hAnsi="Calibri" w:cs="Calibri"/>
          <w:sz w:val="24"/>
          <w:szCs w:val="24"/>
          <w:lang w:val="fr-FR"/>
        </w:rPr>
        <w:t>2</w:t>
      </w:r>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February 2010</w:t>
      </w:r>
      <w:r w:rsidR="001E0214" w:rsidRPr="00A765A5">
        <w:rPr>
          <w:rFonts w:ascii="Calibri" w:eastAsia="MS Mincho" w:hAnsi="Calibri" w:cs="Calibri"/>
          <w:sz w:val="24"/>
          <w:szCs w:val="24"/>
          <w:lang w:val="fr-FR"/>
        </w:rPr>
        <w:t>):</w:t>
      </w:r>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215</w:t>
      </w:r>
      <w:r w:rsidR="00A765A5" w:rsidRPr="00A765A5">
        <w:rPr>
          <w:rFonts w:ascii="Calibri" w:eastAsia="MS Mincho" w:hAnsi="Calibri" w:cs="Calibri"/>
          <w:sz w:val="24"/>
          <w:szCs w:val="24"/>
          <w:lang w:val="fr-FR"/>
        </w:rPr>
        <w:t>-</w:t>
      </w:r>
      <w:r>
        <w:rPr>
          <w:rFonts w:ascii="Calibri" w:eastAsia="MS Mincho" w:hAnsi="Calibri" w:cs="Calibri"/>
          <w:sz w:val="24"/>
          <w:szCs w:val="24"/>
          <w:lang w:val="fr-FR"/>
        </w:rPr>
        <w:t>221</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C57D87">
        <w:rPr>
          <w:rFonts w:ascii="Calibri" w:eastAsia="MS Mincho" w:hAnsi="Calibri" w:cs="Calibri"/>
          <w:sz w:val="24"/>
          <w:szCs w:val="24"/>
        </w:rPr>
        <w:t xml:space="preserve">Elsevier </w:t>
      </w:r>
      <w:r w:rsidR="00A765A5" w:rsidRPr="00A765A5">
        <w:rPr>
          <w:rFonts w:ascii="Calibri" w:eastAsia="MS Mincho" w:hAnsi="Calibri" w:cs="Calibri"/>
          <w:sz w:val="24"/>
          <w:szCs w:val="24"/>
        </w:rPr>
        <w:t xml:space="preserve">and permission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C57D87" w:rsidRPr="00C57D87">
        <w:rPr>
          <w:rFonts w:ascii="Calibri" w:eastAsia="MS Mincho" w:hAnsi="Calibri" w:cs="Calibri"/>
          <w:sz w:val="24"/>
          <w:szCs w:val="24"/>
        </w:rPr>
        <w:t xml:space="preserve">Elsevier </w:t>
      </w:r>
      <w:r w:rsidR="00A765A5" w:rsidRPr="00A765A5">
        <w:rPr>
          <w:rFonts w:ascii="Calibri" w:eastAsia="MS Mincho" w:hAnsi="Calibri" w:cs="Calibri"/>
          <w:sz w:val="24"/>
          <w:szCs w:val="24"/>
        </w:rPr>
        <w:t xml:space="preserve">does not grant permission for this article to be further copied/distributed or hosted elsewhere without express permission from </w:t>
      </w:r>
      <w:bookmarkEnd w:id="1"/>
      <w:r w:rsidR="00C57D87" w:rsidRPr="00C57D87">
        <w:rPr>
          <w:rFonts w:ascii="Calibri" w:eastAsia="MS Mincho" w:hAnsi="Calibri" w:cs="Calibri"/>
          <w:sz w:val="24"/>
          <w:szCs w:val="24"/>
        </w:rPr>
        <w:t>Elsevier</w:t>
      </w:r>
      <w:r w:rsidR="00C57D87">
        <w:rPr>
          <w:rFonts w:ascii="Calibri" w:eastAsia="MS Mincho" w:hAnsi="Calibri" w:cs="Calibri"/>
          <w:sz w:val="24"/>
          <w:szCs w:val="24"/>
        </w:rPr>
        <w:t>.</w:t>
      </w:r>
    </w:p>
    <w:p w14:paraId="71CA9289" w14:textId="73ACD3FE" w:rsidR="006D4AD2" w:rsidRDefault="006D4AD2" w:rsidP="00933FB4">
      <w:pPr>
        <w:pStyle w:val="Title"/>
      </w:pPr>
      <w:r w:rsidRPr="006D4AD2">
        <w:t xml:space="preserve">Analyzing </w:t>
      </w:r>
      <w:r w:rsidR="007066B2" w:rsidRPr="006D4AD2">
        <w:t>Motorists’ Responses to Temporary Signage in Highway Work Zones</w:t>
      </w:r>
    </w:p>
    <w:p w14:paraId="20E0C313" w14:textId="77777777" w:rsidR="00163718" w:rsidRPr="00163718" w:rsidRDefault="00163718" w:rsidP="00163718"/>
    <w:p w14:paraId="23A1AD65" w14:textId="77777777" w:rsidR="007066B2" w:rsidRDefault="00997000" w:rsidP="007066B2">
      <w:pPr>
        <w:spacing w:after="0"/>
        <w:rPr>
          <w:sz w:val="28"/>
          <w:szCs w:val="28"/>
        </w:rPr>
      </w:pPr>
      <w:r w:rsidRPr="00163718">
        <w:rPr>
          <w:sz w:val="28"/>
          <w:szCs w:val="28"/>
        </w:rPr>
        <w:t>Yong</w:t>
      </w:r>
      <w:r w:rsidR="00540A36" w:rsidRPr="00163718">
        <w:rPr>
          <w:sz w:val="28"/>
          <w:szCs w:val="28"/>
        </w:rPr>
        <w:t xml:space="preserve"> </w:t>
      </w:r>
      <w:r w:rsidRPr="00163718">
        <w:rPr>
          <w:sz w:val="28"/>
          <w:szCs w:val="28"/>
        </w:rPr>
        <w:t>Bai</w:t>
      </w:r>
    </w:p>
    <w:p w14:paraId="703B21B5" w14:textId="1E7C5A52" w:rsidR="00997000" w:rsidRDefault="00540A36" w:rsidP="007066B2">
      <w:pPr>
        <w:spacing w:after="0"/>
      </w:pPr>
      <w:r w:rsidRPr="00540A36">
        <w:t>Department of Civil, Environmental and Architectural Engineering, The University of Kansas, 1530 W. 15th Street, 2135-B Learned Hall, Lawrence, Kansas</w:t>
      </w:r>
    </w:p>
    <w:p w14:paraId="09A3B8FE" w14:textId="77777777" w:rsidR="007066B2" w:rsidRDefault="00997000" w:rsidP="007066B2">
      <w:pPr>
        <w:spacing w:after="0"/>
        <w:rPr>
          <w:sz w:val="28"/>
          <w:szCs w:val="28"/>
        </w:rPr>
      </w:pPr>
      <w:r w:rsidRPr="00163718">
        <w:rPr>
          <w:sz w:val="28"/>
          <w:szCs w:val="28"/>
        </w:rPr>
        <w:t>Kris</w:t>
      </w:r>
      <w:r w:rsidR="00540A36" w:rsidRPr="00163718">
        <w:rPr>
          <w:sz w:val="28"/>
          <w:szCs w:val="28"/>
        </w:rPr>
        <w:t xml:space="preserve"> </w:t>
      </w:r>
      <w:r w:rsidRPr="00163718">
        <w:rPr>
          <w:sz w:val="28"/>
          <w:szCs w:val="28"/>
        </w:rPr>
        <w:t>Finger</w:t>
      </w:r>
    </w:p>
    <w:p w14:paraId="5256B2AE" w14:textId="2BDAF2DC" w:rsidR="00997000" w:rsidRDefault="00163718" w:rsidP="007066B2">
      <w:pPr>
        <w:spacing w:after="0"/>
      </w:pPr>
      <w:r w:rsidRPr="00163718">
        <w:t>Department of Civil, Environmental and Architectural Engineering, The University of Kansas, 1530 W. 15th Street, 2150 Learned Hall, Lawrence, Kansas </w:t>
      </w:r>
    </w:p>
    <w:p w14:paraId="466D946F" w14:textId="77777777" w:rsidR="007066B2" w:rsidRDefault="00997000" w:rsidP="007066B2">
      <w:pPr>
        <w:spacing w:after="0"/>
        <w:rPr>
          <w:sz w:val="28"/>
          <w:szCs w:val="28"/>
        </w:rPr>
      </w:pPr>
      <w:r w:rsidRPr="00163718">
        <w:rPr>
          <w:sz w:val="28"/>
          <w:szCs w:val="28"/>
        </w:rPr>
        <w:t>Yue</w:t>
      </w:r>
      <w:r w:rsidR="00163718" w:rsidRPr="00163718">
        <w:rPr>
          <w:sz w:val="28"/>
          <w:szCs w:val="28"/>
        </w:rPr>
        <w:t xml:space="preserve"> </w:t>
      </w:r>
      <w:r w:rsidRPr="00163718">
        <w:rPr>
          <w:sz w:val="28"/>
          <w:szCs w:val="28"/>
        </w:rPr>
        <w:t>Li</w:t>
      </w:r>
    </w:p>
    <w:p w14:paraId="4B93DDD0" w14:textId="7BFA2515" w:rsidR="00933FB4" w:rsidRDefault="00163718" w:rsidP="007066B2">
      <w:pPr>
        <w:spacing w:after="0"/>
      </w:pPr>
      <w:r w:rsidRPr="00163718">
        <w:t>Department of Civil, Environmental and Architectural Engineering, The University of Kansas, 1530 W. 15th Street, 2150 Learned Hall, Lawrence, Kansas </w:t>
      </w:r>
    </w:p>
    <w:p w14:paraId="735BDE7B" w14:textId="77777777" w:rsidR="007066B2" w:rsidRPr="00933FB4" w:rsidRDefault="007066B2" w:rsidP="00933FB4"/>
    <w:p w14:paraId="22A6B041" w14:textId="77777777" w:rsidR="00B22616" w:rsidRPr="001D4F7A" w:rsidRDefault="00B22616" w:rsidP="001D4F7A">
      <w:pPr>
        <w:pStyle w:val="Heading2"/>
      </w:pPr>
      <w:r w:rsidRPr="001D4F7A">
        <w:t>Abstract</w:t>
      </w:r>
    </w:p>
    <w:p w14:paraId="6FC46DC0" w14:textId="77777777" w:rsidR="00B22616" w:rsidRPr="00B22616" w:rsidRDefault="00B22616" w:rsidP="00B22616">
      <w:pPr>
        <w:rPr>
          <w:lang w:val="en"/>
        </w:rPr>
      </w:pPr>
      <w:r w:rsidRPr="00B22616">
        <w:rPr>
          <w:lang w:val="en"/>
        </w:rPr>
        <w:t xml:space="preserve">For decades, the importance of highway work zone safety has increased considerably with the continual increase in the number of highway work zones present on highways for repairs and expansion. Rural work zones on two-lane highways are particularly hazardous and cause a significant safety concern due to the disruption of regular traffic flow. In this study, researchers determined motorists’ responses to </w:t>
      </w:r>
      <w:r w:rsidRPr="00B22616">
        <w:rPr>
          <w:lang w:val="en"/>
        </w:rPr>
        <w:lastRenderedPageBreak/>
        <w:t>warning signs in rural, two-lane highway work zones. The researchers divided vehicles into three classes (passenger car, truck, and semitrailer) and compared the mean change in speed of these classes based on three different sign setups: portable changeable message sign (PCMS) OFF, PCMS ON with the message of </w:t>
      </w:r>
      <w:r w:rsidRPr="00B22616">
        <w:rPr>
          <w:i/>
          <w:iCs/>
          <w:lang w:val="en"/>
        </w:rPr>
        <w:t>Slow Down</w:t>
      </w:r>
      <w:r w:rsidRPr="00B22616">
        <w:rPr>
          <w:lang w:val="en"/>
        </w:rPr>
        <w:t>, </w:t>
      </w:r>
      <w:r w:rsidRPr="00B22616">
        <w:rPr>
          <w:i/>
          <w:iCs/>
          <w:lang w:val="en"/>
        </w:rPr>
        <w:t>Drive Safely</w:t>
      </w:r>
      <w:r w:rsidRPr="00B22616">
        <w:rPr>
          <w:lang w:val="en"/>
        </w:rPr>
        <w:t>, and a temporary traffic sign (W20-1, “Road Work Ahead”). Field experiments were conducted on two two-lane work zones with flagger control. Statistical analyses were performed to determine whether there was a significant interaction between motorists’ responses and the sign setups. Data analysis results show that a visible PCMS, either turned on or off, was most effective in reducing truck speeds in rural, two-lane work zones. The temporary traffic sign (W20-1) was more effective in reducing the vehicle speeds of passenger car and semitrailer. Results of this research project will help traffic engineers to better design the two-lane work zone setup and take necessary safety countermeasures to prevent vehicle crashes.</w:t>
      </w:r>
    </w:p>
    <w:p w14:paraId="3835EB30" w14:textId="77777777" w:rsidR="00B22616" w:rsidRPr="00B22616" w:rsidRDefault="00B22616" w:rsidP="007066B2">
      <w:pPr>
        <w:pStyle w:val="Heading1"/>
      </w:pPr>
      <w:r w:rsidRPr="00B22616">
        <w:t>Keywords</w:t>
      </w:r>
    </w:p>
    <w:p w14:paraId="04DEAFE1" w14:textId="57815976" w:rsidR="00B22616" w:rsidRPr="00B22616" w:rsidRDefault="00B22616" w:rsidP="00B22616">
      <w:r w:rsidRPr="00B22616">
        <w:t>Crash</w:t>
      </w:r>
      <w:r w:rsidR="007066B2">
        <w:t xml:space="preserve">, </w:t>
      </w:r>
      <w:r w:rsidRPr="00B22616">
        <w:t>Motorist</w:t>
      </w:r>
      <w:r w:rsidR="00CF2EFB">
        <w:t xml:space="preserve">, </w:t>
      </w:r>
      <w:r w:rsidRPr="00B22616">
        <w:t>Safety</w:t>
      </w:r>
      <w:r w:rsidR="00CF2EFB">
        <w:t xml:space="preserve">, </w:t>
      </w:r>
      <w:r w:rsidRPr="00B22616">
        <w:t>Signage</w:t>
      </w:r>
      <w:r w:rsidR="00CF2EFB">
        <w:t xml:space="preserve">, </w:t>
      </w:r>
      <w:r w:rsidRPr="00B22616">
        <w:t>Work zone</w:t>
      </w:r>
    </w:p>
    <w:p w14:paraId="6E0E0E2C" w14:textId="77777777" w:rsidR="00B22616" w:rsidRPr="001D4F7A" w:rsidRDefault="00B22616" w:rsidP="001D4F7A">
      <w:pPr>
        <w:pStyle w:val="Heading1"/>
      </w:pPr>
      <w:r w:rsidRPr="001D4F7A">
        <w:t>1. Introduction</w:t>
      </w:r>
    </w:p>
    <w:p w14:paraId="2C429A1C" w14:textId="77777777" w:rsidR="00B22616" w:rsidRPr="00B22616" w:rsidRDefault="00B22616" w:rsidP="00B22616">
      <w:r w:rsidRPr="00B22616">
        <w:t>Safety within highway work zones has been an important issue and a major concern of engineers, government agencies, the highway industry, and the public for decades due to the disruption of regular traffic flows. This safety concern has been a focus of both government organizations and researchers alike. Recently, the federal government of the United States has recognized its importance and addressed the issue with the Safe, Accountable, Flexible, Efficient Transportation Equity Act: A Legacy for Users (SAFETEA-LU).</w:t>
      </w:r>
    </w:p>
    <w:p w14:paraId="121EDBD9" w14:textId="3EAE867F" w:rsidR="00B22616" w:rsidRPr="00B22616" w:rsidRDefault="00B22616" w:rsidP="00B22616">
      <w:r w:rsidRPr="00B22616">
        <w:t>Though researchers have published numerous studies on various safety-related work zone issues, there are still numerous challenges to be addressed and practices to be improved upon. Safety in work zones on two-lane rural highways is one such challenge and the focus of this study. A driver’s safe driving practices are a big factor in the safety of other motorists and construction workers. Temporary traffic control (TTC) measures are used to inform drivers of upcoming road conditions. Work zone safety is also affected in large part by the type of vehicles passing through the work zone. </w:t>
      </w:r>
      <w:bookmarkStart w:id="2" w:name="bbib3"/>
      <w:proofErr w:type="spellStart"/>
      <w:r w:rsidRPr="00170864">
        <w:t>Benekohal</w:t>
      </w:r>
      <w:proofErr w:type="spellEnd"/>
      <w:r w:rsidRPr="00170864">
        <w:t xml:space="preserve"> and Shim (1999)</w:t>
      </w:r>
      <w:bookmarkEnd w:id="2"/>
      <w:r w:rsidRPr="00B22616">
        <w:t> found that 90% of tractor–trailer truck drivers surveyed considered travelling through a work zone to be more dangerous than travelling on roads not under construction. In this study, researchers evaluated the effectiveness of TTC measures based on motorists’ responses to signage by placing the motorists in one of three classes based on the length of their vehicle: passenger car, truck, and semitrailer.</w:t>
      </w:r>
    </w:p>
    <w:p w14:paraId="44E4C5BC" w14:textId="77777777" w:rsidR="00B22616" w:rsidRPr="00B22616" w:rsidRDefault="00B22616" w:rsidP="001D4F7A">
      <w:pPr>
        <w:pStyle w:val="Heading1"/>
      </w:pPr>
      <w:r w:rsidRPr="00B22616">
        <w:t>2. Literature review</w:t>
      </w:r>
    </w:p>
    <w:p w14:paraId="17829617" w14:textId="7E8568F3" w:rsidR="00B22616" w:rsidRPr="00B22616" w:rsidRDefault="00B22616" w:rsidP="00B22616">
      <w:r w:rsidRPr="00B22616">
        <w:t>A study conducted in the United States found that average fatalities per crash and fatal crash frequency were higher in work zones than in non-work zones (</w:t>
      </w:r>
      <w:bookmarkStart w:id="3" w:name="bbib1"/>
      <w:r w:rsidRPr="00170864">
        <w:t>AASHTO, 1987</w:t>
      </w:r>
      <w:r w:rsidRPr="00B22616">
        <w:t>). The study found that rural highways accounted for 69% of all fatal crashes. Another study found that accident rates on highways are 7–9% higher in work zones than on roads without any construction (</w:t>
      </w:r>
      <w:bookmarkStart w:id="4" w:name="bbib19"/>
      <w:r w:rsidRPr="00170864">
        <w:t>Wang et al., 1996</w:t>
      </w:r>
      <w:r w:rsidRPr="00B22616">
        <w:t>). In the State of Kansas, 63% of the fatal crashes and one-third of all injury crashes took place in two-lane highway work zones (</w:t>
      </w:r>
      <w:bookmarkStart w:id="5" w:name="bbib11"/>
      <w:r w:rsidRPr="00170864">
        <w:t>Li and Bai, 2008a</w:t>
      </w:r>
      <w:bookmarkEnd w:id="5"/>
      <w:r w:rsidRPr="00B22616">
        <w:t xml:space="preserve">). With the increased likelihood of crashes and fatalities in work zones and the rising number of work zones across the nation, it is obvious that work zone safety must be improved. Numerous studies have been conducted </w:t>
      </w:r>
      <w:proofErr w:type="gramStart"/>
      <w:r w:rsidRPr="00B22616">
        <w:t>on the subject of work</w:t>
      </w:r>
      <w:proofErr w:type="gramEnd"/>
      <w:r w:rsidRPr="00B22616">
        <w:t xml:space="preserve"> zone safety in the United States (</w:t>
      </w:r>
      <w:r w:rsidRPr="00170864">
        <w:t>AASHTO, 1987</w:t>
      </w:r>
      <w:r w:rsidRPr="00B22616">
        <w:t>, </w:t>
      </w:r>
      <w:bookmarkStart w:id="6" w:name="bbib14"/>
      <w:r w:rsidRPr="00170864">
        <w:t>Pigman and Agent, 1990</w:t>
      </w:r>
      <w:r w:rsidRPr="00B22616">
        <w:t>, </w:t>
      </w:r>
      <w:r w:rsidRPr="00170864">
        <w:t>Wang et al., 1996</w:t>
      </w:r>
      <w:bookmarkEnd w:id="4"/>
      <w:r w:rsidRPr="00B22616">
        <w:t>, </w:t>
      </w:r>
      <w:bookmarkStart w:id="7" w:name="bbib9"/>
      <w:r w:rsidRPr="00170864">
        <w:t>Garber and Zhao, 2002</w:t>
      </w:r>
      <w:r w:rsidRPr="00B22616">
        <w:t>, </w:t>
      </w:r>
      <w:bookmarkStart w:id="8" w:name="bbib16"/>
      <w:r w:rsidRPr="00170864">
        <w:t>Schrock et al., 2004</w:t>
      </w:r>
      <w:r w:rsidRPr="00B22616">
        <w:t>, </w:t>
      </w:r>
      <w:bookmarkStart w:id="9" w:name="bbib12"/>
      <w:r w:rsidRPr="00170864">
        <w:t>Li and Bai, 2008b</w:t>
      </w:r>
      <w:bookmarkEnd w:id="9"/>
      <w:r w:rsidRPr="00B22616">
        <w:t>). These studies have focused on a broad range of topics from safety implications and risk analysis of highway work zones to analyzing crashes within work zones to the evaluation and development of technologies and signage in work zones. Besides the studies conducted in the United States, researchers in Europe, Japan, and China have investigated the work zone safety issue and recommended countermeasures to mitigate the vehicle crash risks (</w:t>
      </w:r>
      <w:bookmarkStart w:id="10" w:name="bbib17"/>
      <w:r w:rsidRPr="00170864">
        <w:t>Steinke et al., 2000</w:t>
      </w:r>
      <w:bookmarkEnd w:id="10"/>
      <w:r w:rsidRPr="00B22616">
        <w:t>, </w:t>
      </w:r>
      <w:bookmarkStart w:id="11" w:name="bbib20"/>
      <w:r w:rsidRPr="00170864">
        <w:t>Wu and Wu, 2004</w:t>
      </w:r>
      <w:bookmarkEnd w:id="11"/>
      <w:r w:rsidRPr="00B22616">
        <w:t>, </w:t>
      </w:r>
      <w:bookmarkStart w:id="12" w:name="bbib18"/>
      <w:r w:rsidRPr="00170864">
        <w:t>Takemoto et al., 2008</w:t>
      </w:r>
      <w:bookmarkEnd w:id="12"/>
      <w:r w:rsidRPr="00B22616">
        <w:t>).</w:t>
      </w:r>
    </w:p>
    <w:p w14:paraId="07C4AD33" w14:textId="190A3F93" w:rsidR="00B22616" w:rsidRPr="00B22616" w:rsidRDefault="00B22616" w:rsidP="00B22616">
      <w:r w:rsidRPr="00B22616">
        <w:t>According to the Manual on Uniform Traffic Control Devices (MUTCD) a work zone is divided into four areas: the advance warning area, the transition area, the activity area, and the termination area (</w:t>
      </w:r>
      <w:bookmarkStart w:id="13" w:name="bbib6"/>
      <w:r w:rsidRPr="00170864">
        <w:t>FHWA, 2003</w:t>
      </w:r>
      <w:bookmarkEnd w:id="13"/>
      <w:r w:rsidRPr="00B22616">
        <w:t>). Previously published studies agree that there is an unbalanced distribution of crashes within these four areas. In different literature the advanced warning area (</w:t>
      </w:r>
      <w:r w:rsidRPr="00170864">
        <w:t>Pigman and Agent, 1990</w:t>
      </w:r>
      <w:r w:rsidRPr="00B22616">
        <w:t>), the activity area (</w:t>
      </w:r>
      <w:r w:rsidRPr="00170864">
        <w:t>Garber and Zhao, 2002</w:t>
      </w:r>
      <w:bookmarkEnd w:id="7"/>
      <w:r w:rsidRPr="00B22616">
        <w:t>, </w:t>
      </w:r>
      <w:r w:rsidRPr="00170864">
        <w:t>Schrock et al., 2004</w:t>
      </w:r>
      <w:r w:rsidRPr="00B22616">
        <w:t>), the transition area, and the termination area (</w:t>
      </w:r>
      <w:bookmarkStart w:id="14" w:name="bbib13"/>
      <w:r w:rsidRPr="00170864">
        <w:t xml:space="preserve">Nemeth and </w:t>
      </w:r>
      <w:proofErr w:type="spellStart"/>
      <w:r w:rsidRPr="00170864">
        <w:t>Migletz</w:t>
      </w:r>
      <w:proofErr w:type="spellEnd"/>
      <w:r w:rsidRPr="00170864">
        <w:t>, 1978</w:t>
      </w:r>
      <w:bookmarkEnd w:id="14"/>
      <w:r w:rsidRPr="00B22616">
        <w:t>, </w:t>
      </w:r>
      <w:bookmarkStart w:id="15" w:name="bbib10"/>
      <w:proofErr w:type="spellStart"/>
      <w:r w:rsidRPr="00170864">
        <w:t>Hargroves</w:t>
      </w:r>
      <w:proofErr w:type="spellEnd"/>
      <w:r w:rsidRPr="00170864">
        <w:t>, 1981</w:t>
      </w:r>
      <w:bookmarkEnd w:id="15"/>
      <w:r w:rsidRPr="00B22616">
        <w:t>) were recognized as being the most dangerous area in terms of severe crash frequency. There have been plenty of studies on the development, use, and effectiveness of changeable message signs (CMS) in reducing speeds and informing traffic of the pending work zone ahead. Various studies have shown that using a CMS is more effective than traditional work zone traffic control devices at reducing the number of speeding vehicles in work zones (</w:t>
      </w:r>
      <w:bookmarkStart w:id="16" w:name="bbib7"/>
      <w:r w:rsidRPr="00170864">
        <w:t>Garber and Patel, 1994</w:t>
      </w:r>
      <w:bookmarkEnd w:id="16"/>
      <w:r w:rsidRPr="00B22616">
        <w:t>, </w:t>
      </w:r>
      <w:bookmarkStart w:id="17" w:name="bbib8"/>
      <w:r w:rsidRPr="00170864">
        <w:t>Garber and Srinivasan, 1998</w:t>
      </w:r>
      <w:bookmarkEnd w:id="17"/>
      <w:r w:rsidRPr="00B22616">
        <w:t>, </w:t>
      </w:r>
      <w:bookmarkStart w:id="18" w:name="bbib4"/>
      <w:r w:rsidRPr="00170864">
        <w:t>Brewer et al., 2006</w:t>
      </w:r>
      <w:bookmarkEnd w:id="18"/>
      <w:r w:rsidRPr="00B22616">
        <w:t>). However, </w:t>
      </w:r>
      <w:bookmarkStart w:id="19" w:name="bbib15"/>
      <w:r w:rsidRPr="00170864">
        <w:t>Richards and Dudek (1986)</w:t>
      </w:r>
      <w:bookmarkEnd w:id="19"/>
      <w:r w:rsidRPr="00B22616">
        <w:t> state that CMS could result in only modest reductions (less than 10 mph) when used alone and that they would lose their effectiveness if operated continuously for long periods with the same message. Other researchers have decided to concentrate their efforts on examining the actual vehicles and drivers passing through the work zone. A major work zone safety concern is the frequent involvement of heavy trucks in work zone crashes. Studies have found that the percentage of truck-involved crashes was much higher in work zones (</w:t>
      </w:r>
      <w:r w:rsidRPr="00170864">
        <w:t>AASHTO, 1987</w:t>
      </w:r>
      <w:bookmarkEnd w:id="3"/>
      <w:r w:rsidRPr="00B22616">
        <w:t>, </w:t>
      </w:r>
      <w:r w:rsidRPr="00170864">
        <w:t>Pigman and Agent, 1990</w:t>
      </w:r>
      <w:r w:rsidRPr="00B22616">
        <w:t>). Studies also found that heavy truck-related crashes were more likely to involve multiple vehicles, and thus frequently resulted in fatalities and large monetary loss (</w:t>
      </w:r>
      <w:r w:rsidRPr="00170864">
        <w:t>Pigman and Agent, 1990</w:t>
      </w:r>
      <w:bookmarkEnd w:id="6"/>
      <w:r w:rsidRPr="00B22616">
        <w:t>, </w:t>
      </w:r>
      <w:r w:rsidRPr="00170864">
        <w:t>Schrock et al., 2004</w:t>
      </w:r>
      <w:bookmarkEnd w:id="8"/>
      <w:r w:rsidRPr="00B22616">
        <w:t>). However, a study completed in Georgia found that single-vehicle crashes, angle, and head-on collisions were the dominant type of fatal work zone crashes (</w:t>
      </w:r>
      <w:bookmarkStart w:id="20" w:name="bbib5"/>
      <w:r w:rsidRPr="00170864">
        <w:t>Daniel et al., 2000</w:t>
      </w:r>
      <w:bookmarkEnd w:id="20"/>
      <w:r w:rsidRPr="00B22616">
        <w:t>).</w:t>
      </w:r>
    </w:p>
    <w:p w14:paraId="1F3543E3" w14:textId="77777777" w:rsidR="00B22616" w:rsidRPr="00B22616" w:rsidRDefault="00B22616" w:rsidP="00B22616">
      <w:r w:rsidRPr="00B22616">
        <w:t>Though there has been a substantial amount of research conducted and studies published on work zone safety around the world, questions remain particularly in the areas of CMS use and vehicle type causality of crashes. A vast majority of studies focus their efforts on the interstate highway system and on rural primary roads. There have been only a handful of studies which focus their efforts on rural, two-lane highways. Few of these studies have attempted to evaluate CMS or focus on vehicle size. However, study on rural two-lane work zone safety is urgently needed due to the fact that many vehicle crashes occur in these work zones around the world each year.</w:t>
      </w:r>
    </w:p>
    <w:p w14:paraId="597A2472" w14:textId="77777777" w:rsidR="00B22616" w:rsidRPr="00B22616" w:rsidRDefault="00B22616" w:rsidP="007175BC">
      <w:pPr>
        <w:pStyle w:val="Heading1"/>
      </w:pPr>
      <w:r w:rsidRPr="00B22616">
        <w:t>3. Objectives</w:t>
      </w:r>
    </w:p>
    <w:p w14:paraId="3DD5001B" w14:textId="77777777" w:rsidR="00B22616" w:rsidRPr="00B22616" w:rsidRDefault="00B22616" w:rsidP="00B22616">
      <w:r w:rsidRPr="00B22616">
        <w:t>The primary objective of this research project was to determine motorists’ responses to temporary traffic signs in rural, two-lane highway work zones. These signs include a portable changeable message sign (PCMS) and a temporary traffic sign (TTS), specifically W20-1 (“Road Work Ahead”). The motorists’ responses were measured by vehicle speed change before and after passing the signs. Findings of this research project will help traffic engineers to better design the temporary traffic control devices in rural, two-lane work zones and take necessary safety countermeasures to prevent vehicle crashes.</w:t>
      </w:r>
    </w:p>
    <w:p w14:paraId="2F71EBB8" w14:textId="77777777" w:rsidR="00B22616" w:rsidRPr="00B22616" w:rsidRDefault="00B22616" w:rsidP="007175BC">
      <w:pPr>
        <w:pStyle w:val="Heading1"/>
      </w:pPr>
      <w:r w:rsidRPr="00B22616">
        <w:t>4. Data collection and preliminary analysis</w:t>
      </w:r>
    </w:p>
    <w:p w14:paraId="406CB880" w14:textId="77777777" w:rsidR="00B22616" w:rsidRPr="00B22616" w:rsidRDefault="00B22616" w:rsidP="007175BC">
      <w:pPr>
        <w:pStyle w:val="Heading2"/>
      </w:pPr>
      <w:r w:rsidRPr="00B22616">
        <w:t>4.1. Data collection</w:t>
      </w:r>
    </w:p>
    <w:p w14:paraId="25EEEB5B" w14:textId="77777777" w:rsidR="00B22616" w:rsidRPr="00B22616" w:rsidRDefault="00B22616" w:rsidP="00B22616">
      <w:r w:rsidRPr="00B22616">
        <w:t>To achieve the research objective, field experiments were conducted in two rural, two-lane work zones on US-36 and US-73 in Kansas following a construction company as it moved from one segment to another down each road to resurface the highway. Both US-36 and US-73 had a statutory speed limit of 65 mph and a posted work zone speed limit of 45 mph. The field experiments and data collection were conducted for 4 days (June 3–6, 2008) on US-36 and for 1 day (June 13, 2008) on US-73. Two traffic signs, a PCMS and a TTS (W20-1), were utilized and setup in three cases in the field experiments including:</w:t>
      </w:r>
    </w:p>
    <w:p w14:paraId="605ABA1C" w14:textId="4BE7EB14" w:rsidR="00B22616" w:rsidRPr="00B22616" w:rsidRDefault="00B22616" w:rsidP="00CF2EFB">
      <w:pPr>
        <w:pStyle w:val="ListParagraph"/>
        <w:numPr>
          <w:ilvl w:val="0"/>
          <w:numId w:val="7"/>
        </w:numPr>
      </w:pPr>
      <w:r w:rsidRPr="00B22616">
        <w:t>PCMS turned off,</w:t>
      </w:r>
    </w:p>
    <w:p w14:paraId="615821F7" w14:textId="6F3225E7" w:rsidR="00B22616" w:rsidRPr="00B22616" w:rsidRDefault="00B22616" w:rsidP="00CF2EFB">
      <w:pPr>
        <w:pStyle w:val="ListParagraph"/>
        <w:numPr>
          <w:ilvl w:val="0"/>
          <w:numId w:val="7"/>
        </w:numPr>
      </w:pPr>
      <w:r w:rsidRPr="00B22616">
        <w:t>PCMS turned on (“Slow Down, Drive Safely”),</w:t>
      </w:r>
    </w:p>
    <w:p w14:paraId="048AF773" w14:textId="7962A286" w:rsidR="00B22616" w:rsidRPr="00B22616" w:rsidRDefault="00B22616" w:rsidP="00CF2EFB">
      <w:pPr>
        <w:pStyle w:val="ListParagraph"/>
        <w:numPr>
          <w:ilvl w:val="0"/>
          <w:numId w:val="7"/>
        </w:numPr>
      </w:pPr>
      <w:r w:rsidRPr="00B22616">
        <w:t>TTS: W20-1 (“Road Work Ahead”).</w:t>
      </w:r>
    </w:p>
    <w:p w14:paraId="6243B93D" w14:textId="5FB93F23" w:rsidR="00B22616" w:rsidRPr="00B22616" w:rsidRDefault="00B22616" w:rsidP="00B22616">
      <w:r w:rsidRPr="00B22616">
        <w:t>Data for each case were collected at the same location on the same day. Each case was setup in the work zones in about two hours per day. After the 2 h period, the setup was switched to another case. In addition, the order of the treatments was varied each day to account for time-of-day biases. For example, on the first day, data of PCMS OFF were collected first, followed by PCMS ON and TTS. However, on the second day, data of PCMS ON were recorded first, followed by TTS and PCMS OFF. This pattern was utilized through the entire data collection process.</w:t>
      </w:r>
    </w:p>
    <w:p w14:paraId="5B26376B" w14:textId="42DA2532" w:rsidR="00B22616" w:rsidRPr="00B22616" w:rsidRDefault="00B22616" w:rsidP="00B22616">
      <w:r w:rsidRPr="00B22616">
        <w:t>Two radar sensor systems (SmartSensor HD Model 125) were setup one in front of and another behind the PCMS or TTS to collect vehicle speed and length data. </w:t>
      </w:r>
      <w:bookmarkStart w:id="21" w:name="bfig1"/>
      <w:r w:rsidRPr="00170864">
        <w:t>Fig. 1</w:t>
      </w:r>
      <w:bookmarkEnd w:id="21"/>
      <w:r w:rsidRPr="00B22616">
        <w:t>, </w:t>
      </w:r>
      <w:bookmarkStart w:id="22" w:name="bfig2"/>
      <w:r w:rsidRPr="00170864">
        <w:t>Fig. 2</w:t>
      </w:r>
      <w:r w:rsidRPr="00B22616">
        <w:t> provide a detailed description of the layout and spatial referencing of materials for each case. The distance between W20-1 and Flagger for cases 1 and 2 was about 800 feet, same as the distance between W20-4 and flagger for case 3. </w:t>
      </w:r>
      <w:bookmarkStart w:id="23" w:name="bfig3"/>
      <w:r w:rsidRPr="00170864">
        <w:t>Fig. 3</w:t>
      </w:r>
      <w:bookmarkEnd w:id="23"/>
      <w:r w:rsidRPr="00B22616">
        <w:t> shows the PCMS and the typical setup of the speed sensor system.</w:t>
      </w:r>
    </w:p>
    <w:p w14:paraId="6428F10A" w14:textId="63B1F0B7" w:rsidR="00B22616" w:rsidRPr="00B22616" w:rsidRDefault="00B22616" w:rsidP="00CF2EFB">
      <w:pPr>
        <w:pStyle w:val="NoSpacing"/>
      </w:pPr>
      <w:r w:rsidRPr="00B22616">
        <w:rPr>
          <w:noProof/>
        </w:rPr>
        <w:drawing>
          <wp:inline distT="0" distB="0" distL="0" distR="0" wp14:anchorId="443EF2FC" wp14:editId="29569454">
            <wp:extent cx="5353050" cy="1438275"/>
            <wp:effectExtent l="0" t="0" r="0" b="9525"/>
            <wp:docPr id="5" name="Picture 5"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53050" cy="1438275"/>
                    </a:xfrm>
                    <a:prstGeom prst="rect">
                      <a:avLst/>
                    </a:prstGeom>
                    <a:noFill/>
                    <a:ln>
                      <a:noFill/>
                    </a:ln>
                  </pic:spPr>
                </pic:pic>
              </a:graphicData>
            </a:graphic>
          </wp:inline>
        </w:drawing>
      </w:r>
    </w:p>
    <w:p w14:paraId="415AB690" w14:textId="77777777" w:rsidR="00B22616" w:rsidRPr="00B22616" w:rsidRDefault="00B22616" w:rsidP="00CF2EFB">
      <w:pPr>
        <w:pStyle w:val="NoSpacing"/>
      </w:pPr>
      <w:r w:rsidRPr="00B22616">
        <w:t>Fig. 1. Location of speed sensors and PCMS sign in work zone for cases 1 and 2.</w:t>
      </w:r>
    </w:p>
    <w:p w14:paraId="501A9478" w14:textId="68685648" w:rsidR="00B22616" w:rsidRPr="00B22616" w:rsidRDefault="00B22616" w:rsidP="00CF2EFB">
      <w:pPr>
        <w:pStyle w:val="NoSpacing"/>
      </w:pPr>
      <w:r w:rsidRPr="00B22616">
        <w:rPr>
          <w:noProof/>
        </w:rPr>
        <w:drawing>
          <wp:inline distT="0" distB="0" distL="0" distR="0" wp14:anchorId="3DFC9420" wp14:editId="460F21F9">
            <wp:extent cx="5353050" cy="1314450"/>
            <wp:effectExtent l="0" t="0" r="0" b="0"/>
            <wp:docPr id="4" name="Picture 4"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53050" cy="1314450"/>
                    </a:xfrm>
                    <a:prstGeom prst="rect">
                      <a:avLst/>
                    </a:prstGeom>
                    <a:noFill/>
                    <a:ln>
                      <a:noFill/>
                    </a:ln>
                  </pic:spPr>
                </pic:pic>
              </a:graphicData>
            </a:graphic>
          </wp:inline>
        </w:drawing>
      </w:r>
    </w:p>
    <w:p w14:paraId="78C64C5B" w14:textId="77777777" w:rsidR="00B22616" w:rsidRPr="00B22616" w:rsidRDefault="00B22616" w:rsidP="00CF2EFB">
      <w:pPr>
        <w:pStyle w:val="NoSpacing"/>
      </w:pPr>
      <w:r w:rsidRPr="00B22616">
        <w:t>Fig. 2. Location of speed sensors and TTS (W20-1) in work zone for case 3.</w:t>
      </w:r>
    </w:p>
    <w:p w14:paraId="6A6C36DE" w14:textId="1C40318A" w:rsidR="00B22616" w:rsidRPr="00B22616" w:rsidRDefault="00B22616" w:rsidP="00CF2EFB">
      <w:pPr>
        <w:pStyle w:val="NoSpacing"/>
      </w:pPr>
      <w:r w:rsidRPr="00B22616">
        <w:rPr>
          <w:noProof/>
        </w:rPr>
        <w:drawing>
          <wp:inline distT="0" distB="0" distL="0" distR="0" wp14:anchorId="1DCB5CA7" wp14:editId="03A71413">
            <wp:extent cx="3552825" cy="2581275"/>
            <wp:effectExtent l="0" t="0" r="9525" b="9525"/>
            <wp:docPr id="3" name="Picture 3"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52825" cy="2581275"/>
                    </a:xfrm>
                    <a:prstGeom prst="rect">
                      <a:avLst/>
                    </a:prstGeom>
                    <a:noFill/>
                    <a:ln>
                      <a:noFill/>
                    </a:ln>
                  </pic:spPr>
                </pic:pic>
              </a:graphicData>
            </a:graphic>
          </wp:inline>
        </w:drawing>
      </w:r>
    </w:p>
    <w:p w14:paraId="12B83B99" w14:textId="77777777" w:rsidR="00B22616" w:rsidRPr="00B22616" w:rsidRDefault="00B22616" w:rsidP="00CF2EFB">
      <w:pPr>
        <w:pStyle w:val="NoSpacing"/>
      </w:pPr>
      <w:r w:rsidRPr="00B22616">
        <w:t>Fig. 3. PCMS and setup of the speed sensor system.</w:t>
      </w:r>
    </w:p>
    <w:p w14:paraId="4282EC11" w14:textId="77777777" w:rsidR="00CF2EFB" w:rsidRDefault="00CF2EFB" w:rsidP="00B22616"/>
    <w:p w14:paraId="40D32317" w14:textId="166A6A76" w:rsidR="00B22616" w:rsidRPr="00B22616" w:rsidRDefault="00B22616" w:rsidP="00B22616">
      <w:r w:rsidRPr="00B22616">
        <w:t>The authors would like to indicate that the vehicle speed changes were due to the combination of the influence of the traffic signs and drivers’ awareness of work zone conditions. In this research project, traffic signs include the PCMS, the W20-1 (Road Work Ahead), and the W20-4 (One Lane Road Ahead). For case 3 as shown in </w:t>
      </w:r>
      <w:r w:rsidRPr="00170864">
        <w:t>Fig. 2</w:t>
      </w:r>
      <w:bookmarkEnd w:id="22"/>
      <w:r w:rsidRPr="00B22616">
        <w:t>, because the W20-4 was placed in 200 feet apart from the W20-</w:t>
      </w:r>
      <w:proofErr w:type="gramStart"/>
      <w:r w:rsidRPr="00B22616">
        <w:t>1</w:t>
      </w:r>
      <w:proofErr w:type="gramEnd"/>
      <w:r w:rsidRPr="00B22616">
        <w:t xml:space="preserve"> which was within the typical distance of many motorists, therefore, these two signs should be considered as one configuration in the TTS case. Both of them might have impact on drivers’ behavior. In this research project, authors did not directly measure the impact of the W20-4 sign due to the resource limitation. The impact of the W20-4 sign on drivers’ behavior is a research topic that should be investigated in the future.</w:t>
      </w:r>
    </w:p>
    <w:p w14:paraId="7EF60045" w14:textId="77777777" w:rsidR="00B22616" w:rsidRPr="00607157" w:rsidRDefault="00B22616" w:rsidP="00607157">
      <w:pPr>
        <w:pStyle w:val="Heading2"/>
        <w:rPr>
          <w:rStyle w:val="Heading2Char"/>
        </w:rPr>
      </w:pPr>
      <w:r w:rsidRPr="00B22616">
        <w:t>4.2. Preliminary data analysis</w:t>
      </w:r>
    </w:p>
    <w:p w14:paraId="3E754BE1" w14:textId="77777777" w:rsidR="00B22616" w:rsidRPr="00B22616" w:rsidRDefault="00B22616" w:rsidP="00B22616">
      <w:r w:rsidRPr="00B22616">
        <w:t>The raw data collected from the field experiments went through an extensive screening and analysis process. The raw data was first thoroughly screened by matching individual vehicle data points recorded on both sensors 1 and 2. Any vehicle that was recorded on one sensor but did not have a corresponding data point on the other sensor was discarded. Also, if both sensors had two corresponding data points but one sensor did not record an accurate vehicle length, speed, or was missing any other necessary value, the data point was discarded from the data population. Finally, if either sensor recorded a vehicle speed less than 20 mph, the point was excluded from the data set because the sensor’s specifications stated that the device could not properly record speeds under 20 mph. Through this initial data screening and analysis, the raw data was narrowed down and sorted before using a statistical program to perform further analyses.</w:t>
      </w:r>
    </w:p>
    <w:p w14:paraId="34ECD779" w14:textId="25AD625B" w:rsidR="00B22616" w:rsidRPr="00B22616" w:rsidRDefault="00B22616" w:rsidP="00B22616">
      <w:r w:rsidRPr="00B22616">
        <w:t>The values of speed and length for each vehicle collected by the two sensors were then inserted into a statistical analysis program along with a corresponding numerical value to represent which sign was present when the values were recorded. The differences in the values of speed and length between sensors 1 and 2 were then calculated and a frequency analysis was performed based on these calculated values. The results show that the values of vehicle length measured by sensors were not consistent due to the vehicle speed changes. The standard deviation of vehicle length was 3.5 feet. It was decided that the majority of values were within two standard deviations (7 feet), and therefore all other points with a positive or negative change greater than 7 feet were discarded. This was done to account for errors in the ability of the sensors to accurately read a vehicle’s length. The final population consisted of 876 vehicle data points, broken down by case in </w:t>
      </w:r>
      <w:bookmarkStart w:id="24" w:name="btbl1"/>
      <w:r w:rsidRPr="00170864">
        <w:t>Table 1</w:t>
      </w:r>
      <w:bookmarkEnd w:id="24"/>
      <w:r w:rsidRPr="00B22616">
        <w:t> and by class in </w:t>
      </w:r>
      <w:bookmarkStart w:id="25" w:name="btbl2"/>
      <w:r w:rsidRPr="00170864">
        <w:t>Table 2</w:t>
      </w:r>
      <w:bookmarkEnd w:id="25"/>
      <w:r w:rsidRPr="00B22616">
        <w:t>.</w:t>
      </w:r>
    </w:p>
    <w:p w14:paraId="7D130389" w14:textId="77777777" w:rsidR="00B22616" w:rsidRPr="00B22616" w:rsidRDefault="00B22616" w:rsidP="00CF2EFB">
      <w:pPr>
        <w:spacing w:after="0"/>
      </w:pPr>
      <w:r w:rsidRPr="00B22616">
        <w:t>Table 1. Break down of data points by case.</w:t>
      </w:r>
    </w:p>
    <w:tbl>
      <w:tblPr>
        <w:tblStyle w:val="TableGrid"/>
        <w:tblW w:w="0" w:type="auto"/>
        <w:tblLook w:val="04A0" w:firstRow="1" w:lastRow="0" w:firstColumn="1" w:lastColumn="0" w:noHBand="0" w:noVBand="1"/>
      </w:tblPr>
      <w:tblGrid>
        <w:gridCol w:w="1134"/>
        <w:gridCol w:w="1237"/>
        <w:gridCol w:w="1988"/>
      </w:tblGrid>
      <w:tr w:rsidR="00B22616" w:rsidRPr="00B22616" w14:paraId="1164334E" w14:textId="77777777" w:rsidTr="00CF2EFB">
        <w:tc>
          <w:tcPr>
            <w:tcW w:w="0" w:type="auto"/>
            <w:hideMark/>
          </w:tcPr>
          <w:p w14:paraId="5D7BA304" w14:textId="77777777" w:rsidR="00B22616" w:rsidRPr="00B22616" w:rsidRDefault="00B22616" w:rsidP="00B22616">
            <w:pPr>
              <w:rPr>
                <w:b/>
                <w:bCs/>
              </w:rPr>
            </w:pPr>
            <w:r w:rsidRPr="00B22616">
              <w:rPr>
                <w:b/>
                <w:bCs/>
              </w:rPr>
              <w:t>Case</w:t>
            </w:r>
          </w:p>
        </w:tc>
        <w:tc>
          <w:tcPr>
            <w:tcW w:w="0" w:type="auto"/>
            <w:hideMark/>
          </w:tcPr>
          <w:p w14:paraId="6B29C138" w14:textId="77777777" w:rsidR="00B22616" w:rsidRPr="00B22616" w:rsidRDefault="00B22616" w:rsidP="00B22616">
            <w:pPr>
              <w:rPr>
                <w:b/>
                <w:bCs/>
              </w:rPr>
            </w:pPr>
            <w:r w:rsidRPr="00B22616">
              <w:rPr>
                <w:b/>
                <w:bCs/>
              </w:rPr>
              <w:t>No. of data</w:t>
            </w:r>
          </w:p>
        </w:tc>
        <w:tc>
          <w:tcPr>
            <w:tcW w:w="0" w:type="auto"/>
            <w:hideMark/>
          </w:tcPr>
          <w:p w14:paraId="3BE66958" w14:textId="77777777" w:rsidR="00B22616" w:rsidRPr="00B22616" w:rsidRDefault="00B22616" w:rsidP="00B22616">
            <w:pPr>
              <w:rPr>
                <w:b/>
                <w:bCs/>
              </w:rPr>
            </w:pPr>
            <w:r w:rsidRPr="00B22616">
              <w:rPr>
                <w:b/>
                <w:bCs/>
              </w:rPr>
              <w:t>Percent of total (%)</w:t>
            </w:r>
          </w:p>
        </w:tc>
      </w:tr>
      <w:tr w:rsidR="00B22616" w:rsidRPr="00B22616" w14:paraId="590648D5" w14:textId="77777777" w:rsidTr="00CF2EFB">
        <w:tc>
          <w:tcPr>
            <w:tcW w:w="0" w:type="auto"/>
            <w:hideMark/>
          </w:tcPr>
          <w:p w14:paraId="4C11051C" w14:textId="77777777" w:rsidR="00B22616" w:rsidRPr="00B22616" w:rsidRDefault="00B22616" w:rsidP="00B22616">
            <w:r w:rsidRPr="00B22616">
              <w:t>PCMS OFF</w:t>
            </w:r>
          </w:p>
        </w:tc>
        <w:tc>
          <w:tcPr>
            <w:tcW w:w="0" w:type="auto"/>
            <w:hideMark/>
          </w:tcPr>
          <w:p w14:paraId="43FDF1D7" w14:textId="77777777" w:rsidR="00B22616" w:rsidRPr="00B22616" w:rsidRDefault="00B22616" w:rsidP="00B22616">
            <w:r w:rsidRPr="00B22616">
              <w:t>409</w:t>
            </w:r>
          </w:p>
        </w:tc>
        <w:tc>
          <w:tcPr>
            <w:tcW w:w="0" w:type="auto"/>
            <w:hideMark/>
          </w:tcPr>
          <w:p w14:paraId="0033A9D0" w14:textId="77777777" w:rsidR="00B22616" w:rsidRPr="00B22616" w:rsidRDefault="00B22616" w:rsidP="00B22616">
            <w:r w:rsidRPr="00B22616">
              <w:t>47</w:t>
            </w:r>
          </w:p>
        </w:tc>
      </w:tr>
      <w:tr w:rsidR="00B22616" w:rsidRPr="00B22616" w14:paraId="2717237D" w14:textId="77777777" w:rsidTr="00CF2EFB">
        <w:tc>
          <w:tcPr>
            <w:tcW w:w="0" w:type="auto"/>
            <w:hideMark/>
          </w:tcPr>
          <w:p w14:paraId="6124FD07" w14:textId="77777777" w:rsidR="00B22616" w:rsidRPr="00B22616" w:rsidRDefault="00B22616" w:rsidP="00B22616">
            <w:r w:rsidRPr="00B22616">
              <w:t>PCMS ON</w:t>
            </w:r>
          </w:p>
        </w:tc>
        <w:tc>
          <w:tcPr>
            <w:tcW w:w="0" w:type="auto"/>
            <w:hideMark/>
          </w:tcPr>
          <w:p w14:paraId="630BE21D" w14:textId="77777777" w:rsidR="00B22616" w:rsidRPr="00B22616" w:rsidRDefault="00B22616" w:rsidP="00B22616">
            <w:r w:rsidRPr="00B22616">
              <w:t>334</w:t>
            </w:r>
          </w:p>
        </w:tc>
        <w:tc>
          <w:tcPr>
            <w:tcW w:w="0" w:type="auto"/>
            <w:hideMark/>
          </w:tcPr>
          <w:p w14:paraId="59EE53F1" w14:textId="77777777" w:rsidR="00B22616" w:rsidRPr="00B22616" w:rsidRDefault="00B22616" w:rsidP="00B22616">
            <w:r w:rsidRPr="00B22616">
              <w:t>38</w:t>
            </w:r>
          </w:p>
        </w:tc>
      </w:tr>
      <w:tr w:rsidR="00B22616" w:rsidRPr="00B22616" w14:paraId="78A78F6D" w14:textId="77777777" w:rsidTr="00CF2EFB">
        <w:tc>
          <w:tcPr>
            <w:tcW w:w="0" w:type="auto"/>
            <w:hideMark/>
          </w:tcPr>
          <w:p w14:paraId="3DB92B35" w14:textId="77777777" w:rsidR="00B22616" w:rsidRPr="00B22616" w:rsidRDefault="00B22616" w:rsidP="00B22616">
            <w:r w:rsidRPr="00B22616">
              <w:t>TTS</w:t>
            </w:r>
          </w:p>
        </w:tc>
        <w:tc>
          <w:tcPr>
            <w:tcW w:w="0" w:type="auto"/>
            <w:hideMark/>
          </w:tcPr>
          <w:p w14:paraId="03BB5DF5" w14:textId="77777777" w:rsidR="00B22616" w:rsidRPr="00B22616" w:rsidRDefault="00B22616" w:rsidP="00B22616">
            <w:r w:rsidRPr="00B22616">
              <w:t>133</w:t>
            </w:r>
          </w:p>
        </w:tc>
        <w:tc>
          <w:tcPr>
            <w:tcW w:w="0" w:type="auto"/>
            <w:hideMark/>
          </w:tcPr>
          <w:p w14:paraId="46104157" w14:textId="77777777" w:rsidR="00B22616" w:rsidRPr="00B22616" w:rsidRDefault="00B22616" w:rsidP="00B22616">
            <w:r w:rsidRPr="00B22616">
              <w:t>15</w:t>
            </w:r>
          </w:p>
        </w:tc>
      </w:tr>
      <w:tr w:rsidR="00637A4E" w:rsidRPr="00B22616" w14:paraId="713D4AA9" w14:textId="77777777" w:rsidTr="00CF2EFB">
        <w:tc>
          <w:tcPr>
            <w:tcW w:w="0" w:type="auto"/>
            <w:hideMark/>
          </w:tcPr>
          <w:p w14:paraId="6602DAA6" w14:textId="77777777" w:rsidR="00637A4E" w:rsidRPr="00B22616" w:rsidRDefault="00637A4E" w:rsidP="00B22616"/>
        </w:tc>
        <w:tc>
          <w:tcPr>
            <w:tcW w:w="0" w:type="auto"/>
          </w:tcPr>
          <w:p w14:paraId="168AF583" w14:textId="77777777" w:rsidR="00637A4E" w:rsidRPr="00B22616" w:rsidRDefault="00637A4E" w:rsidP="00B22616"/>
        </w:tc>
        <w:tc>
          <w:tcPr>
            <w:tcW w:w="0" w:type="auto"/>
          </w:tcPr>
          <w:p w14:paraId="4F364D38" w14:textId="1366B38D" w:rsidR="00637A4E" w:rsidRPr="00B22616" w:rsidRDefault="00637A4E" w:rsidP="00B22616"/>
        </w:tc>
      </w:tr>
      <w:tr w:rsidR="00B22616" w:rsidRPr="00B22616" w14:paraId="31C9D4CA" w14:textId="77777777" w:rsidTr="00CF2EFB">
        <w:tc>
          <w:tcPr>
            <w:tcW w:w="0" w:type="auto"/>
            <w:hideMark/>
          </w:tcPr>
          <w:p w14:paraId="5766361F" w14:textId="77777777" w:rsidR="00B22616" w:rsidRPr="00B22616" w:rsidRDefault="00B22616" w:rsidP="00B22616">
            <w:r w:rsidRPr="00B22616">
              <w:t>Total</w:t>
            </w:r>
          </w:p>
        </w:tc>
        <w:tc>
          <w:tcPr>
            <w:tcW w:w="0" w:type="auto"/>
            <w:hideMark/>
          </w:tcPr>
          <w:p w14:paraId="07371F81" w14:textId="77777777" w:rsidR="00B22616" w:rsidRPr="00B22616" w:rsidRDefault="00B22616" w:rsidP="00B22616">
            <w:r w:rsidRPr="00B22616">
              <w:t>876</w:t>
            </w:r>
          </w:p>
        </w:tc>
        <w:tc>
          <w:tcPr>
            <w:tcW w:w="0" w:type="auto"/>
            <w:hideMark/>
          </w:tcPr>
          <w:p w14:paraId="68C03BFA" w14:textId="77777777" w:rsidR="00B22616" w:rsidRPr="00B22616" w:rsidRDefault="00B22616" w:rsidP="00B22616">
            <w:r w:rsidRPr="00B22616">
              <w:t>100</w:t>
            </w:r>
          </w:p>
        </w:tc>
      </w:tr>
    </w:tbl>
    <w:p w14:paraId="07E3DDAF" w14:textId="77777777" w:rsidR="00CF2EFB" w:rsidRDefault="00CF2EFB" w:rsidP="00CF2EFB">
      <w:pPr>
        <w:spacing w:after="0"/>
      </w:pPr>
    </w:p>
    <w:p w14:paraId="26F52399" w14:textId="3279DB6E" w:rsidR="00B22616" w:rsidRPr="00B22616" w:rsidRDefault="00B22616" w:rsidP="00CF2EFB">
      <w:pPr>
        <w:spacing w:after="0"/>
      </w:pPr>
      <w:r w:rsidRPr="00B22616">
        <w:t>Table 2. </w:t>
      </w:r>
      <w:proofErr w:type="spellStart"/>
      <w:r w:rsidRPr="00B22616">
        <w:t>Break down</w:t>
      </w:r>
      <w:proofErr w:type="spellEnd"/>
      <w:r w:rsidRPr="00B22616">
        <w:t xml:space="preserve"> of data points by vehicle class.</w:t>
      </w:r>
    </w:p>
    <w:tbl>
      <w:tblPr>
        <w:tblStyle w:val="TableGrid"/>
        <w:tblW w:w="0" w:type="auto"/>
        <w:tblLook w:val="04A0" w:firstRow="1" w:lastRow="0" w:firstColumn="1" w:lastColumn="0" w:noHBand="0" w:noVBand="1"/>
      </w:tblPr>
      <w:tblGrid>
        <w:gridCol w:w="1447"/>
        <w:gridCol w:w="1237"/>
        <w:gridCol w:w="1988"/>
      </w:tblGrid>
      <w:tr w:rsidR="00B22616" w:rsidRPr="00B22616" w14:paraId="0C663428" w14:textId="77777777" w:rsidTr="00CF2EFB">
        <w:tc>
          <w:tcPr>
            <w:tcW w:w="0" w:type="auto"/>
            <w:hideMark/>
          </w:tcPr>
          <w:p w14:paraId="256372BC" w14:textId="77777777" w:rsidR="00B22616" w:rsidRPr="00B22616" w:rsidRDefault="00B22616" w:rsidP="00B22616">
            <w:pPr>
              <w:rPr>
                <w:b/>
                <w:bCs/>
              </w:rPr>
            </w:pPr>
            <w:r w:rsidRPr="00B22616">
              <w:rPr>
                <w:b/>
                <w:bCs/>
              </w:rPr>
              <w:t>Vehicle class</w:t>
            </w:r>
          </w:p>
        </w:tc>
        <w:tc>
          <w:tcPr>
            <w:tcW w:w="0" w:type="auto"/>
            <w:hideMark/>
          </w:tcPr>
          <w:p w14:paraId="73355B14" w14:textId="77777777" w:rsidR="00B22616" w:rsidRPr="00B22616" w:rsidRDefault="00B22616" w:rsidP="00B22616">
            <w:pPr>
              <w:rPr>
                <w:b/>
                <w:bCs/>
              </w:rPr>
            </w:pPr>
            <w:r w:rsidRPr="00B22616">
              <w:rPr>
                <w:b/>
                <w:bCs/>
              </w:rPr>
              <w:t>No. of data</w:t>
            </w:r>
          </w:p>
        </w:tc>
        <w:tc>
          <w:tcPr>
            <w:tcW w:w="0" w:type="auto"/>
            <w:hideMark/>
          </w:tcPr>
          <w:p w14:paraId="60F404BA" w14:textId="77777777" w:rsidR="00B22616" w:rsidRPr="00B22616" w:rsidRDefault="00B22616" w:rsidP="00B22616">
            <w:pPr>
              <w:rPr>
                <w:b/>
                <w:bCs/>
              </w:rPr>
            </w:pPr>
            <w:r w:rsidRPr="00B22616">
              <w:rPr>
                <w:b/>
                <w:bCs/>
              </w:rPr>
              <w:t>Percent of total (%)</w:t>
            </w:r>
          </w:p>
        </w:tc>
      </w:tr>
      <w:tr w:rsidR="00B22616" w:rsidRPr="00B22616" w14:paraId="6A3057A1" w14:textId="77777777" w:rsidTr="00CF2EFB">
        <w:tc>
          <w:tcPr>
            <w:tcW w:w="0" w:type="auto"/>
            <w:hideMark/>
          </w:tcPr>
          <w:p w14:paraId="47EB9B2D" w14:textId="77777777" w:rsidR="00B22616" w:rsidRPr="00B22616" w:rsidRDefault="00B22616" w:rsidP="00B22616">
            <w:r w:rsidRPr="00B22616">
              <w:t>Passenger car</w:t>
            </w:r>
          </w:p>
        </w:tc>
        <w:tc>
          <w:tcPr>
            <w:tcW w:w="0" w:type="auto"/>
            <w:hideMark/>
          </w:tcPr>
          <w:p w14:paraId="34ACF37A" w14:textId="77777777" w:rsidR="00B22616" w:rsidRPr="00B22616" w:rsidRDefault="00B22616" w:rsidP="00B22616">
            <w:r w:rsidRPr="00B22616">
              <w:t>394</w:t>
            </w:r>
          </w:p>
        </w:tc>
        <w:tc>
          <w:tcPr>
            <w:tcW w:w="0" w:type="auto"/>
            <w:hideMark/>
          </w:tcPr>
          <w:p w14:paraId="6A0558E6" w14:textId="77777777" w:rsidR="00B22616" w:rsidRPr="00B22616" w:rsidRDefault="00B22616" w:rsidP="00B22616">
            <w:r w:rsidRPr="00B22616">
              <w:t>45</w:t>
            </w:r>
          </w:p>
        </w:tc>
      </w:tr>
      <w:tr w:rsidR="00B22616" w:rsidRPr="00B22616" w14:paraId="01C7B56B" w14:textId="77777777" w:rsidTr="00CF2EFB">
        <w:tc>
          <w:tcPr>
            <w:tcW w:w="0" w:type="auto"/>
            <w:hideMark/>
          </w:tcPr>
          <w:p w14:paraId="5B9EA0CA" w14:textId="77777777" w:rsidR="00B22616" w:rsidRPr="00B22616" w:rsidRDefault="00B22616" w:rsidP="00B22616">
            <w:r w:rsidRPr="00B22616">
              <w:t>Truck</w:t>
            </w:r>
          </w:p>
        </w:tc>
        <w:tc>
          <w:tcPr>
            <w:tcW w:w="0" w:type="auto"/>
            <w:hideMark/>
          </w:tcPr>
          <w:p w14:paraId="6F8B5566" w14:textId="77777777" w:rsidR="00B22616" w:rsidRPr="00B22616" w:rsidRDefault="00B22616" w:rsidP="00B22616">
            <w:r w:rsidRPr="00B22616">
              <w:t>381</w:t>
            </w:r>
          </w:p>
        </w:tc>
        <w:tc>
          <w:tcPr>
            <w:tcW w:w="0" w:type="auto"/>
            <w:hideMark/>
          </w:tcPr>
          <w:p w14:paraId="4F581919" w14:textId="77777777" w:rsidR="00B22616" w:rsidRPr="00B22616" w:rsidRDefault="00B22616" w:rsidP="00B22616">
            <w:r w:rsidRPr="00B22616">
              <w:t>43</w:t>
            </w:r>
          </w:p>
        </w:tc>
      </w:tr>
      <w:tr w:rsidR="00B22616" w:rsidRPr="00B22616" w14:paraId="5919D991" w14:textId="77777777" w:rsidTr="00CF2EFB">
        <w:tc>
          <w:tcPr>
            <w:tcW w:w="0" w:type="auto"/>
            <w:hideMark/>
          </w:tcPr>
          <w:p w14:paraId="65877B79" w14:textId="77777777" w:rsidR="00B22616" w:rsidRPr="00B22616" w:rsidRDefault="00B22616" w:rsidP="00B22616">
            <w:r w:rsidRPr="00B22616">
              <w:t>Semitrailer</w:t>
            </w:r>
          </w:p>
        </w:tc>
        <w:tc>
          <w:tcPr>
            <w:tcW w:w="0" w:type="auto"/>
            <w:hideMark/>
          </w:tcPr>
          <w:p w14:paraId="1998B43E" w14:textId="77777777" w:rsidR="00B22616" w:rsidRPr="00B22616" w:rsidRDefault="00B22616" w:rsidP="00B22616">
            <w:r w:rsidRPr="00B22616">
              <w:t>101</w:t>
            </w:r>
          </w:p>
        </w:tc>
        <w:tc>
          <w:tcPr>
            <w:tcW w:w="0" w:type="auto"/>
            <w:hideMark/>
          </w:tcPr>
          <w:p w14:paraId="12476C7E" w14:textId="77777777" w:rsidR="00B22616" w:rsidRPr="00B22616" w:rsidRDefault="00B22616" w:rsidP="00B22616">
            <w:r w:rsidRPr="00B22616">
              <w:t>12</w:t>
            </w:r>
          </w:p>
        </w:tc>
      </w:tr>
      <w:tr w:rsidR="00637A4E" w:rsidRPr="00B22616" w14:paraId="09DE01FE" w14:textId="77777777" w:rsidTr="00CF2EFB">
        <w:tc>
          <w:tcPr>
            <w:tcW w:w="0" w:type="auto"/>
            <w:hideMark/>
          </w:tcPr>
          <w:p w14:paraId="28BA0240" w14:textId="77777777" w:rsidR="00637A4E" w:rsidRPr="00B22616" w:rsidRDefault="00637A4E" w:rsidP="00B22616"/>
        </w:tc>
        <w:tc>
          <w:tcPr>
            <w:tcW w:w="0" w:type="auto"/>
          </w:tcPr>
          <w:p w14:paraId="02F525B3" w14:textId="77777777" w:rsidR="00637A4E" w:rsidRPr="00B22616" w:rsidRDefault="00637A4E" w:rsidP="00B22616"/>
        </w:tc>
        <w:tc>
          <w:tcPr>
            <w:tcW w:w="0" w:type="auto"/>
          </w:tcPr>
          <w:p w14:paraId="4FBC6791" w14:textId="36F32407" w:rsidR="00637A4E" w:rsidRPr="00B22616" w:rsidRDefault="00637A4E" w:rsidP="00B22616"/>
        </w:tc>
      </w:tr>
      <w:tr w:rsidR="00B22616" w:rsidRPr="00B22616" w14:paraId="6D9BC8A3" w14:textId="77777777" w:rsidTr="00CF2EFB">
        <w:tc>
          <w:tcPr>
            <w:tcW w:w="0" w:type="auto"/>
            <w:hideMark/>
          </w:tcPr>
          <w:p w14:paraId="24FF185C" w14:textId="77777777" w:rsidR="00B22616" w:rsidRPr="00B22616" w:rsidRDefault="00B22616" w:rsidP="00B22616">
            <w:r w:rsidRPr="00B22616">
              <w:t>Total</w:t>
            </w:r>
          </w:p>
        </w:tc>
        <w:tc>
          <w:tcPr>
            <w:tcW w:w="0" w:type="auto"/>
            <w:hideMark/>
          </w:tcPr>
          <w:p w14:paraId="695645E7" w14:textId="77777777" w:rsidR="00B22616" w:rsidRPr="00B22616" w:rsidRDefault="00B22616" w:rsidP="00B22616">
            <w:r w:rsidRPr="00B22616">
              <w:t>876</w:t>
            </w:r>
          </w:p>
        </w:tc>
        <w:tc>
          <w:tcPr>
            <w:tcW w:w="0" w:type="auto"/>
            <w:hideMark/>
          </w:tcPr>
          <w:p w14:paraId="2DC4AFDF" w14:textId="77777777" w:rsidR="00B22616" w:rsidRPr="00B22616" w:rsidRDefault="00B22616" w:rsidP="00B22616">
            <w:r w:rsidRPr="00B22616">
              <w:t>100</w:t>
            </w:r>
          </w:p>
        </w:tc>
      </w:tr>
    </w:tbl>
    <w:p w14:paraId="11803F39" w14:textId="77777777" w:rsidR="00CF2EFB" w:rsidRDefault="00CF2EFB" w:rsidP="00B22616"/>
    <w:p w14:paraId="0C6D1220" w14:textId="688DF487" w:rsidR="00B22616" w:rsidRPr="00B22616" w:rsidRDefault="00B22616" w:rsidP="00B22616">
      <w:r w:rsidRPr="00B22616">
        <w:t>The vehicle classes were determined using AASHTO Green Book definitions. A passenger car is defined as being 19 feet long and the smallest semitrailer (WB-12[WB-40]) is defined as being 45.5 feet long (</w:t>
      </w:r>
      <w:bookmarkStart w:id="26" w:name="bbib2"/>
      <w:r w:rsidRPr="00170864">
        <w:t>AASHTO, 2004</w:t>
      </w:r>
      <w:bookmarkEnd w:id="26"/>
      <w:r w:rsidRPr="00B22616">
        <w:t>). Therefore, class 1 (passenger car) includes any vehicle with an average length of 19 feet or less and class 3 (semitrailer) includes any vehicle with an average length equal to or greater than 45 feet. Class 2 (truck) is defined as any vehicle with an average length greater than 19 feet and less than 45 feet. After the individual data points were sorted by length and assigned a class, statistical analyses were performed.</w:t>
      </w:r>
    </w:p>
    <w:p w14:paraId="4F5D014F" w14:textId="77777777" w:rsidR="00B22616" w:rsidRPr="00B22616" w:rsidRDefault="00B22616" w:rsidP="005B1B7B">
      <w:pPr>
        <w:pStyle w:val="Heading1"/>
      </w:pPr>
      <w:r w:rsidRPr="00B22616">
        <w:t>5. Frequency analysis</w:t>
      </w:r>
    </w:p>
    <w:p w14:paraId="3E080991" w14:textId="76EDE535" w:rsidR="00B22616" w:rsidRPr="00B22616" w:rsidRDefault="00B22616" w:rsidP="00B22616">
      <w:r w:rsidRPr="00B22616">
        <w:t>The frequencies of individual vehicle speed changes, sorted by vehicle class, are shown in the histograms in </w:t>
      </w:r>
      <w:bookmarkStart w:id="27" w:name="bfig4"/>
      <w:r w:rsidRPr="00170864">
        <w:t>Fig. 4</w:t>
      </w:r>
      <w:bookmarkEnd w:id="27"/>
      <w:r w:rsidRPr="00B22616">
        <w:t>. Vehicle speed changes were assumed to be normally distributed. This assumption is generally accurate enough for the statistical analyses when the data points are large enough under non-perfect field conditions. </w:t>
      </w:r>
      <w:bookmarkStart w:id="28" w:name="btbl3"/>
      <w:r w:rsidRPr="00170864">
        <w:t>Table 3</w:t>
      </w:r>
      <w:r w:rsidRPr="00B22616">
        <w:t> shows the results of the data collected during field experiments. Researchers break the data down by vehicle class and then display the results for each case based on the vehicle class.</w:t>
      </w:r>
    </w:p>
    <w:p w14:paraId="5563DFA8" w14:textId="54143B6D" w:rsidR="00B22616" w:rsidRPr="00B22616" w:rsidRDefault="00B22616" w:rsidP="00F53470">
      <w:pPr>
        <w:pStyle w:val="NoSpacing"/>
      </w:pPr>
      <w:r w:rsidRPr="00B22616">
        <w:rPr>
          <w:noProof/>
        </w:rPr>
        <w:drawing>
          <wp:inline distT="0" distB="0" distL="0" distR="0" wp14:anchorId="1DAE4205" wp14:editId="5E354233">
            <wp:extent cx="3264408" cy="2743200"/>
            <wp:effectExtent l="0" t="0" r="0" b="0"/>
            <wp:docPr id="2" name="Picture 2"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64408" cy="2743200"/>
                    </a:xfrm>
                    <a:prstGeom prst="rect">
                      <a:avLst/>
                    </a:prstGeom>
                    <a:noFill/>
                    <a:ln>
                      <a:noFill/>
                    </a:ln>
                  </pic:spPr>
                </pic:pic>
              </a:graphicData>
            </a:graphic>
          </wp:inline>
        </w:drawing>
      </w:r>
    </w:p>
    <w:p w14:paraId="48DAB48C" w14:textId="77777777" w:rsidR="00B22616" w:rsidRDefault="00B22616" w:rsidP="00F53470">
      <w:pPr>
        <w:pStyle w:val="NoSpacing"/>
      </w:pPr>
      <w:r w:rsidRPr="00B22616">
        <w:t>Fig. 4. Histograms showing frequency of speed change by vehicle class.</w:t>
      </w:r>
    </w:p>
    <w:p w14:paraId="5D3498C4" w14:textId="77777777" w:rsidR="00F53470" w:rsidRPr="00B22616" w:rsidRDefault="00F53470" w:rsidP="00B22616"/>
    <w:p w14:paraId="094D4BE2" w14:textId="77777777" w:rsidR="00B22616" w:rsidRPr="00B22616" w:rsidRDefault="00B22616" w:rsidP="00F53470">
      <w:pPr>
        <w:spacing w:after="0"/>
      </w:pPr>
      <w:r w:rsidRPr="00B22616">
        <w:t>Table 3. Mean speed values based on class for each case.</w:t>
      </w:r>
    </w:p>
    <w:tbl>
      <w:tblPr>
        <w:tblStyle w:val="TableGrid"/>
        <w:tblW w:w="0" w:type="auto"/>
        <w:tblLook w:val="04A0" w:firstRow="1" w:lastRow="0" w:firstColumn="1" w:lastColumn="0" w:noHBand="0" w:noVBand="1"/>
      </w:tblPr>
      <w:tblGrid>
        <w:gridCol w:w="1310"/>
        <w:gridCol w:w="1205"/>
        <w:gridCol w:w="720"/>
        <w:gridCol w:w="1440"/>
        <w:gridCol w:w="1440"/>
        <w:gridCol w:w="1530"/>
        <w:gridCol w:w="1705"/>
      </w:tblGrid>
      <w:tr w:rsidR="00B22616" w:rsidRPr="00B22616" w14:paraId="77F98FA5" w14:textId="77777777" w:rsidTr="00EB3990">
        <w:tc>
          <w:tcPr>
            <w:tcW w:w="0" w:type="auto"/>
            <w:hideMark/>
          </w:tcPr>
          <w:p w14:paraId="7564DB97" w14:textId="77777777" w:rsidR="00B22616" w:rsidRPr="00B22616" w:rsidRDefault="00B22616" w:rsidP="00B22616">
            <w:pPr>
              <w:rPr>
                <w:b/>
                <w:bCs/>
              </w:rPr>
            </w:pPr>
            <w:r w:rsidRPr="00B22616">
              <w:rPr>
                <w:b/>
                <w:bCs/>
              </w:rPr>
              <w:t>Vehicle class</w:t>
            </w:r>
          </w:p>
        </w:tc>
        <w:tc>
          <w:tcPr>
            <w:tcW w:w="1205" w:type="dxa"/>
            <w:hideMark/>
          </w:tcPr>
          <w:p w14:paraId="39491C6D" w14:textId="77777777" w:rsidR="00B22616" w:rsidRPr="00B22616" w:rsidRDefault="00B22616" w:rsidP="00B22616">
            <w:pPr>
              <w:rPr>
                <w:b/>
                <w:bCs/>
              </w:rPr>
            </w:pPr>
            <w:r w:rsidRPr="00B22616">
              <w:rPr>
                <w:b/>
                <w:bCs/>
              </w:rPr>
              <w:t>Case</w:t>
            </w:r>
          </w:p>
        </w:tc>
        <w:tc>
          <w:tcPr>
            <w:tcW w:w="720" w:type="dxa"/>
            <w:hideMark/>
          </w:tcPr>
          <w:p w14:paraId="44D46314" w14:textId="77777777" w:rsidR="00B22616" w:rsidRPr="00B22616" w:rsidRDefault="00B22616" w:rsidP="00B22616">
            <w:pPr>
              <w:rPr>
                <w:b/>
                <w:bCs/>
              </w:rPr>
            </w:pPr>
            <w:r w:rsidRPr="00B22616">
              <w:rPr>
                <w:b/>
                <w:bCs/>
              </w:rPr>
              <w:t>No.</w:t>
            </w:r>
          </w:p>
        </w:tc>
        <w:tc>
          <w:tcPr>
            <w:tcW w:w="1440" w:type="dxa"/>
            <w:hideMark/>
          </w:tcPr>
          <w:p w14:paraId="22E9DC2C" w14:textId="77777777" w:rsidR="00B22616" w:rsidRPr="00B22616" w:rsidRDefault="00B22616" w:rsidP="00B22616">
            <w:pPr>
              <w:rPr>
                <w:b/>
                <w:bCs/>
              </w:rPr>
            </w:pPr>
            <w:r w:rsidRPr="00B22616">
              <w:rPr>
                <w:b/>
                <w:bCs/>
              </w:rPr>
              <w:t>Sensor 1 speed (mph)</w:t>
            </w:r>
          </w:p>
        </w:tc>
        <w:tc>
          <w:tcPr>
            <w:tcW w:w="1440" w:type="dxa"/>
            <w:hideMark/>
          </w:tcPr>
          <w:p w14:paraId="00B038AA" w14:textId="77777777" w:rsidR="00B22616" w:rsidRPr="00B22616" w:rsidRDefault="00B22616" w:rsidP="00B22616">
            <w:pPr>
              <w:rPr>
                <w:b/>
                <w:bCs/>
              </w:rPr>
            </w:pPr>
            <w:r w:rsidRPr="00B22616">
              <w:rPr>
                <w:b/>
                <w:bCs/>
              </w:rPr>
              <w:t>Sensor 2 speed (mph)</w:t>
            </w:r>
          </w:p>
        </w:tc>
        <w:tc>
          <w:tcPr>
            <w:tcW w:w="1530" w:type="dxa"/>
            <w:hideMark/>
          </w:tcPr>
          <w:p w14:paraId="037A7979" w14:textId="77777777" w:rsidR="00B22616" w:rsidRPr="00B22616" w:rsidRDefault="00B22616" w:rsidP="00B22616">
            <w:pPr>
              <w:rPr>
                <w:b/>
                <w:bCs/>
              </w:rPr>
            </w:pPr>
            <w:r w:rsidRPr="00B22616">
              <w:rPr>
                <w:b/>
                <w:bCs/>
              </w:rPr>
              <w:t>Mean speed change (mph)</w:t>
            </w:r>
          </w:p>
        </w:tc>
        <w:tc>
          <w:tcPr>
            <w:tcW w:w="1705" w:type="dxa"/>
            <w:hideMark/>
          </w:tcPr>
          <w:p w14:paraId="0C92D4C7" w14:textId="77777777" w:rsidR="00B22616" w:rsidRPr="00B22616" w:rsidRDefault="00B22616" w:rsidP="00B22616">
            <w:pPr>
              <w:rPr>
                <w:b/>
                <w:bCs/>
              </w:rPr>
            </w:pPr>
            <w:r w:rsidRPr="00B22616">
              <w:rPr>
                <w:b/>
                <w:bCs/>
              </w:rPr>
              <w:t>Speed change percentage (%)</w:t>
            </w:r>
          </w:p>
        </w:tc>
      </w:tr>
      <w:tr w:rsidR="00B22616" w:rsidRPr="00B22616" w14:paraId="312274EF" w14:textId="77777777" w:rsidTr="00EB3990">
        <w:tc>
          <w:tcPr>
            <w:tcW w:w="0" w:type="auto"/>
            <w:hideMark/>
          </w:tcPr>
          <w:p w14:paraId="3C089419" w14:textId="77777777" w:rsidR="00B22616" w:rsidRPr="00B22616" w:rsidRDefault="00B22616" w:rsidP="00B22616">
            <w:r w:rsidRPr="00B22616">
              <w:t>Passenger car</w:t>
            </w:r>
          </w:p>
        </w:tc>
        <w:tc>
          <w:tcPr>
            <w:tcW w:w="1205" w:type="dxa"/>
            <w:hideMark/>
          </w:tcPr>
          <w:p w14:paraId="3026695C" w14:textId="77777777" w:rsidR="00B22616" w:rsidRPr="00B22616" w:rsidRDefault="00B22616" w:rsidP="00B22616">
            <w:r w:rsidRPr="00B22616">
              <w:t>PCMS OFF</w:t>
            </w:r>
          </w:p>
        </w:tc>
        <w:tc>
          <w:tcPr>
            <w:tcW w:w="720" w:type="dxa"/>
            <w:hideMark/>
          </w:tcPr>
          <w:p w14:paraId="4CA4C5F0" w14:textId="77777777" w:rsidR="00B22616" w:rsidRPr="00B22616" w:rsidRDefault="00B22616" w:rsidP="00B22616">
            <w:r w:rsidRPr="00B22616">
              <w:t>188</w:t>
            </w:r>
          </w:p>
        </w:tc>
        <w:tc>
          <w:tcPr>
            <w:tcW w:w="1440" w:type="dxa"/>
            <w:hideMark/>
          </w:tcPr>
          <w:p w14:paraId="684A6805" w14:textId="77777777" w:rsidR="00B22616" w:rsidRPr="00B22616" w:rsidRDefault="00B22616" w:rsidP="00B22616">
            <w:r w:rsidRPr="00B22616">
              <w:t>60.2</w:t>
            </w:r>
          </w:p>
        </w:tc>
        <w:tc>
          <w:tcPr>
            <w:tcW w:w="1440" w:type="dxa"/>
            <w:hideMark/>
          </w:tcPr>
          <w:p w14:paraId="09856DDF" w14:textId="77777777" w:rsidR="00B22616" w:rsidRPr="00B22616" w:rsidRDefault="00B22616" w:rsidP="00B22616">
            <w:r w:rsidRPr="00B22616">
              <w:t>57.9</w:t>
            </w:r>
          </w:p>
        </w:tc>
        <w:tc>
          <w:tcPr>
            <w:tcW w:w="1530" w:type="dxa"/>
            <w:hideMark/>
          </w:tcPr>
          <w:p w14:paraId="5ED4C69F" w14:textId="77777777" w:rsidR="00B22616" w:rsidRPr="00B22616" w:rsidRDefault="00B22616" w:rsidP="00B22616">
            <w:r w:rsidRPr="00B22616">
              <w:t>2.4</w:t>
            </w:r>
          </w:p>
        </w:tc>
        <w:tc>
          <w:tcPr>
            <w:tcW w:w="1705" w:type="dxa"/>
            <w:hideMark/>
          </w:tcPr>
          <w:p w14:paraId="23D4ADF6" w14:textId="77777777" w:rsidR="00B22616" w:rsidRPr="00B22616" w:rsidRDefault="00B22616" w:rsidP="00B22616">
            <w:r w:rsidRPr="00B22616">
              <w:t>3.9</w:t>
            </w:r>
          </w:p>
        </w:tc>
      </w:tr>
      <w:tr w:rsidR="00B22616" w:rsidRPr="00B22616" w14:paraId="6B16BF8C" w14:textId="77777777" w:rsidTr="00EB3990">
        <w:tc>
          <w:tcPr>
            <w:tcW w:w="0" w:type="auto"/>
            <w:hideMark/>
          </w:tcPr>
          <w:p w14:paraId="11ECC201" w14:textId="77777777" w:rsidR="00B22616" w:rsidRPr="00B22616" w:rsidRDefault="00B22616" w:rsidP="00B22616"/>
        </w:tc>
        <w:tc>
          <w:tcPr>
            <w:tcW w:w="1205" w:type="dxa"/>
            <w:hideMark/>
          </w:tcPr>
          <w:p w14:paraId="42DB5749" w14:textId="77777777" w:rsidR="00B22616" w:rsidRPr="00B22616" w:rsidRDefault="00B22616" w:rsidP="00B22616">
            <w:r w:rsidRPr="00B22616">
              <w:t>PCMS ON</w:t>
            </w:r>
          </w:p>
        </w:tc>
        <w:tc>
          <w:tcPr>
            <w:tcW w:w="720" w:type="dxa"/>
            <w:hideMark/>
          </w:tcPr>
          <w:p w14:paraId="73B06AD3" w14:textId="77777777" w:rsidR="00B22616" w:rsidRPr="00B22616" w:rsidRDefault="00B22616" w:rsidP="00B22616">
            <w:r w:rsidRPr="00B22616">
              <w:t>132</w:t>
            </w:r>
          </w:p>
        </w:tc>
        <w:tc>
          <w:tcPr>
            <w:tcW w:w="1440" w:type="dxa"/>
            <w:hideMark/>
          </w:tcPr>
          <w:p w14:paraId="51FF22A7" w14:textId="77777777" w:rsidR="00B22616" w:rsidRPr="00B22616" w:rsidRDefault="00B22616" w:rsidP="00B22616">
            <w:r w:rsidRPr="00B22616">
              <w:t>58.5</w:t>
            </w:r>
          </w:p>
        </w:tc>
        <w:tc>
          <w:tcPr>
            <w:tcW w:w="1440" w:type="dxa"/>
            <w:hideMark/>
          </w:tcPr>
          <w:p w14:paraId="43E14034" w14:textId="77777777" w:rsidR="00B22616" w:rsidRPr="00B22616" w:rsidRDefault="00B22616" w:rsidP="00B22616">
            <w:r w:rsidRPr="00B22616">
              <w:t>54.5</w:t>
            </w:r>
          </w:p>
        </w:tc>
        <w:tc>
          <w:tcPr>
            <w:tcW w:w="1530" w:type="dxa"/>
            <w:hideMark/>
          </w:tcPr>
          <w:p w14:paraId="3368D512" w14:textId="77777777" w:rsidR="00B22616" w:rsidRPr="00B22616" w:rsidRDefault="00B22616" w:rsidP="00B22616">
            <w:r w:rsidRPr="00B22616">
              <w:t>3.9</w:t>
            </w:r>
          </w:p>
        </w:tc>
        <w:tc>
          <w:tcPr>
            <w:tcW w:w="1705" w:type="dxa"/>
            <w:hideMark/>
          </w:tcPr>
          <w:p w14:paraId="57C2E6A2" w14:textId="77777777" w:rsidR="00B22616" w:rsidRPr="00B22616" w:rsidRDefault="00B22616" w:rsidP="00B22616">
            <w:r w:rsidRPr="00B22616">
              <w:t>6.7</w:t>
            </w:r>
          </w:p>
        </w:tc>
      </w:tr>
      <w:tr w:rsidR="00B22616" w:rsidRPr="00B22616" w14:paraId="79FA9246" w14:textId="77777777" w:rsidTr="00EB3990">
        <w:tc>
          <w:tcPr>
            <w:tcW w:w="0" w:type="auto"/>
            <w:hideMark/>
          </w:tcPr>
          <w:p w14:paraId="62BF50DF" w14:textId="77777777" w:rsidR="00B22616" w:rsidRPr="00B22616" w:rsidRDefault="00B22616" w:rsidP="00B22616"/>
        </w:tc>
        <w:tc>
          <w:tcPr>
            <w:tcW w:w="1205" w:type="dxa"/>
            <w:hideMark/>
          </w:tcPr>
          <w:p w14:paraId="608E7452" w14:textId="77777777" w:rsidR="00B22616" w:rsidRPr="00B22616" w:rsidRDefault="00B22616" w:rsidP="00B22616">
            <w:r w:rsidRPr="00B22616">
              <w:t>TTS</w:t>
            </w:r>
          </w:p>
        </w:tc>
        <w:tc>
          <w:tcPr>
            <w:tcW w:w="720" w:type="dxa"/>
            <w:hideMark/>
          </w:tcPr>
          <w:p w14:paraId="54114A8D" w14:textId="77777777" w:rsidR="00B22616" w:rsidRPr="00B22616" w:rsidRDefault="00B22616" w:rsidP="00B22616">
            <w:r w:rsidRPr="00B22616">
              <w:t>74</w:t>
            </w:r>
          </w:p>
        </w:tc>
        <w:tc>
          <w:tcPr>
            <w:tcW w:w="1440" w:type="dxa"/>
            <w:hideMark/>
          </w:tcPr>
          <w:p w14:paraId="3665D81E" w14:textId="77777777" w:rsidR="00B22616" w:rsidRPr="00B22616" w:rsidRDefault="00B22616" w:rsidP="00B22616">
            <w:r w:rsidRPr="00B22616">
              <w:t>50.5</w:t>
            </w:r>
          </w:p>
        </w:tc>
        <w:tc>
          <w:tcPr>
            <w:tcW w:w="1440" w:type="dxa"/>
            <w:hideMark/>
          </w:tcPr>
          <w:p w14:paraId="7C20C904" w14:textId="77777777" w:rsidR="00B22616" w:rsidRPr="00B22616" w:rsidRDefault="00B22616" w:rsidP="00B22616">
            <w:r w:rsidRPr="00B22616">
              <w:t>45.3</w:t>
            </w:r>
          </w:p>
        </w:tc>
        <w:tc>
          <w:tcPr>
            <w:tcW w:w="1530" w:type="dxa"/>
            <w:hideMark/>
          </w:tcPr>
          <w:p w14:paraId="10CCA1A8" w14:textId="77777777" w:rsidR="00B22616" w:rsidRPr="00B22616" w:rsidRDefault="00B22616" w:rsidP="00B22616">
            <w:r w:rsidRPr="00B22616">
              <w:t>5.2</w:t>
            </w:r>
          </w:p>
        </w:tc>
        <w:tc>
          <w:tcPr>
            <w:tcW w:w="1705" w:type="dxa"/>
            <w:hideMark/>
          </w:tcPr>
          <w:p w14:paraId="15625F9C" w14:textId="77777777" w:rsidR="00B22616" w:rsidRPr="00B22616" w:rsidRDefault="00B22616" w:rsidP="00B22616">
            <w:r w:rsidRPr="00B22616">
              <w:t>10.3</w:t>
            </w:r>
          </w:p>
        </w:tc>
      </w:tr>
      <w:tr w:rsidR="00B22616" w:rsidRPr="00B22616" w14:paraId="05E04A9F" w14:textId="77777777" w:rsidTr="00EB3990">
        <w:tc>
          <w:tcPr>
            <w:tcW w:w="0" w:type="auto"/>
            <w:hideMark/>
          </w:tcPr>
          <w:p w14:paraId="1CCA86E3" w14:textId="77777777" w:rsidR="00B22616" w:rsidRPr="00B22616" w:rsidRDefault="00B22616" w:rsidP="00B22616">
            <w:r w:rsidRPr="00B22616">
              <w:t>Truck</w:t>
            </w:r>
          </w:p>
        </w:tc>
        <w:tc>
          <w:tcPr>
            <w:tcW w:w="1205" w:type="dxa"/>
            <w:hideMark/>
          </w:tcPr>
          <w:p w14:paraId="20A564E5" w14:textId="77777777" w:rsidR="00B22616" w:rsidRPr="00B22616" w:rsidRDefault="00B22616" w:rsidP="00B22616">
            <w:r w:rsidRPr="00B22616">
              <w:t>PCMS OFF</w:t>
            </w:r>
          </w:p>
        </w:tc>
        <w:tc>
          <w:tcPr>
            <w:tcW w:w="720" w:type="dxa"/>
            <w:hideMark/>
          </w:tcPr>
          <w:p w14:paraId="041C620A" w14:textId="77777777" w:rsidR="00B22616" w:rsidRPr="00B22616" w:rsidRDefault="00B22616" w:rsidP="00B22616">
            <w:r w:rsidRPr="00B22616">
              <w:t>174</w:t>
            </w:r>
          </w:p>
        </w:tc>
        <w:tc>
          <w:tcPr>
            <w:tcW w:w="1440" w:type="dxa"/>
            <w:hideMark/>
          </w:tcPr>
          <w:p w14:paraId="4FE9B9A0" w14:textId="77777777" w:rsidR="00B22616" w:rsidRPr="00B22616" w:rsidRDefault="00B22616" w:rsidP="00B22616">
            <w:r w:rsidRPr="00B22616">
              <w:t>59.4</w:t>
            </w:r>
          </w:p>
        </w:tc>
        <w:tc>
          <w:tcPr>
            <w:tcW w:w="1440" w:type="dxa"/>
            <w:hideMark/>
          </w:tcPr>
          <w:p w14:paraId="54831E78" w14:textId="77777777" w:rsidR="00B22616" w:rsidRPr="00B22616" w:rsidRDefault="00B22616" w:rsidP="00B22616">
            <w:r w:rsidRPr="00B22616">
              <w:t>55.7</w:t>
            </w:r>
          </w:p>
        </w:tc>
        <w:tc>
          <w:tcPr>
            <w:tcW w:w="1530" w:type="dxa"/>
            <w:hideMark/>
          </w:tcPr>
          <w:p w14:paraId="4534B849" w14:textId="77777777" w:rsidR="00B22616" w:rsidRPr="00B22616" w:rsidRDefault="00B22616" w:rsidP="00B22616">
            <w:r w:rsidRPr="00B22616">
              <w:t>3.7</w:t>
            </w:r>
          </w:p>
        </w:tc>
        <w:tc>
          <w:tcPr>
            <w:tcW w:w="1705" w:type="dxa"/>
            <w:hideMark/>
          </w:tcPr>
          <w:p w14:paraId="128EA86E" w14:textId="77777777" w:rsidR="00B22616" w:rsidRPr="00B22616" w:rsidRDefault="00B22616" w:rsidP="00B22616">
            <w:r w:rsidRPr="00B22616">
              <w:t>6.2</w:t>
            </w:r>
          </w:p>
        </w:tc>
      </w:tr>
      <w:tr w:rsidR="00B22616" w:rsidRPr="00B22616" w14:paraId="01ACCDFB" w14:textId="77777777" w:rsidTr="00EB3990">
        <w:tc>
          <w:tcPr>
            <w:tcW w:w="0" w:type="auto"/>
            <w:hideMark/>
          </w:tcPr>
          <w:p w14:paraId="089B7441" w14:textId="77777777" w:rsidR="00B22616" w:rsidRPr="00B22616" w:rsidRDefault="00B22616" w:rsidP="00B22616"/>
        </w:tc>
        <w:tc>
          <w:tcPr>
            <w:tcW w:w="1205" w:type="dxa"/>
            <w:hideMark/>
          </w:tcPr>
          <w:p w14:paraId="4EC7A7D2" w14:textId="77777777" w:rsidR="00B22616" w:rsidRPr="00B22616" w:rsidRDefault="00B22616" w:rsidP="00B22616">
            <w:r w:rsidRPr="00B22616">
              <w:t>PCMS ON</w:t>
            </w:r>
          </w:p>
        </w:tc>
        <w:tc>
          <w:tcPr>
            <w:tcW w:w="720" w:type="dxa"/>
            <w:hideMark/>
          </w:tcPr>
          <w:p w14:paraId="5C7E04B2" w14:textId="77777777" w:rsidR="00B22616" w:rsidRPr="00B22616" w:rsidRDefault="00B22616" w:rsidP="00B22616">
            <w:r w:rsidRPr="00B22616">
              <w:t>154</w:t>
            </w:r>
          </w:p>
        </w:tc>
        <w:tc>
          <w:tcPr>
            <w:tcW w:w="1440" w:type="dxa"/>
            <w:hideMark/>
          </w:tcPr>
          <w:p w14:paraId="6986FF99" w14:textId="77777777" w:rsidR="00B22616" w:rsidRPr="00B22616" w:rsidRDefault="00B22616" w:rsidP="00B22616">
            <w:r w:rsidRPr="00B22616">
              <w:t>57.0</w:t>
            </w:r>
          </w:p>
        </w:tc>
        <w:tc>
          <w:tcPr>
            <w:tcW w:w="1440" w:type="dxa"/>
            <w:hideMark/>
          </w:tcPr>
          <w:p w14:paraId="7B086FBD" w14:textId="77777777" w:rsidR="00B22616" w:rsidRPr="00B22616" w:rsidRDefault="00B22616" w:rsidP="00B22616">
            <w:r w:rsidRPr="00B22616">
              <w:t>52.3</w:t>
            </w:r>
          </w:p>
        </w:tc>
        <w:tc>
          <w:tcPr>
            <w:tcW w:w="1530" w:type="dxa"/>
            <w:hideMark/>
          </w:tcPr>
          <w:p w14:paraId="0DB399BA" w14:textId="77777777" w:rsidR="00B22616" w:rsidRPr="00B22616" w:rsidRDefault="00B22616" w:rsidP="00B22616">
            <w:r w:rsidRPr="00B22616">
              <w:t>4.7</w:t>
            </w:r>
          </w:p>
        </w:tc>
        <w:tc>
          <w:tcPr>
            <w:tcW w:w="1705" w:type="dxa"/>
            <w:hideMark/>
          </w:tcPr>
          <w:p w14:paraId="3E1D35FC" w14:textId="77777777" w:rsidR="00B22616" w:rsidRPr="00B22616" w:rsidRDefault="00B22616" w:rsidP="00B22616">
            <w:r w:rsidRPr="00B22616">
              <w:t>8.3</w:t>
            </w:r>
          </w:p>
        </w:tc>
      </w:tr>
      <w:tr w:rsidR="00B22616" w:rsidRPr="00B22616" w14:paraId="1FFDAF1D" w14:textId="77777777" w:rsidTr="00EB3990">
        <w:tc>
          <w:tcPr>
            <w:tcW w:w="0" w:type="auto"/>
            <w:hideMark/>
          </w:tcPr>
          <w:p w14:paraId="5D66C9F5" w14:textId="77777777" w:rsidR="00B22616" w:rsidRPr="00B22616" w:rsidRDefault="00B22616" w:rsidP="00B22616"/>
        </w:tc>
        <w:tc>
          <w:tcPr>
            <w:tcW w:w="1205" w:type="dxa"/>
            <w:hideMark/>
          </w:tcPr>
          <w:p w14:paraId="4B5EA98D" w14:textId="77777777" w:rsidR="00B22616" w:rsidRPr="00B22616" w:rsidRDefault="00B22616" w:rsidP="00B22616">
            <w:r w:rsidRPr="00B22616">
              <w:t>TTS</w:t>
            </w:r>
          </w:p>
        </w:tc>
        <w:tc>
          <w:tcPr>
            <w:tcW w:w="720" w:type="dxa"/>
            <w:hideMark/>
          </w:tcPr>
          <w:p w14:paraId="099B6622" w14:textId="77777777" w:rsidR="00B22616" w:rsidRPr="00B22616" w:rsidRDefault="00B22616" w:rsidP="00B22616">
            <w:r w:rsidRPr="00B22616">
              <w:t>53</w:t>
            </w:r>
          </w:p>
        </w:tc>
        <w:tc>
          <w:tcPr>
            <w:tcW w:w="1440" w:type="dxa"/>
            <w:hideMark/>
          </w:tcPr>
          <w:p w14:paraId="29A9ED03" w14:textId="77777777" w:rsidR="00B22616" w:rsidRPr="00B22616" w:rsidRDefault="00B22616" w:rsidP="00B22616">
            <w:r w:rsidRPr="00B22616">
              <w:t>48.2</w:t>
            </w:r>
          </w:p>
        </w:tc>
        <w:tc>
          <w:tcPr>
            <w:tcW w:w="1440" w:type="dxa"/>
            <w:hideMark/>
          </w:tcPr>
          <w:p w14:paraId="76F64A94" w14:textId="77777777" w:rsidR="00B22616" w:rsidRPr="00B22616" w:rsidRDefault="00B22616" w:rsidP="00B22616">
            <w:r w:rsidRPr="00B22616">
              <w:t>45.4</w:t>
            </w:r>
          </w:p>
        </w:tc>
        <w:tc>
          <w:tcPr>
            <w:tcW w:w="1530" w:type="dxa"/>
            <w:hideMark/>
          </w:tcPr>
          <w:p w14:paraId="6197FC56" w14:textId="77777777" w:rsidR="00B22616" w:rsidRPr="00B22616" w:rsidRDefault="00B22616" w:rsidP="00B22616">
            <w:r w:rsidRPr="00B22616">
              <w:t>2.8</w:t>
            </w:r>
          </w:p>
        </w:tc>
        <w:tc>
          <w:tcPr>
            <w:tcW w:w="1705" w:type="dxa"/>
            <w:hideMark/>
          </w:tcPr>
          <w:p w14:paraId="1EB850BA" w14:textId="77777777" w:rsidR="00B22616" w:rsidRPr="00B22616" w:rsidRDefault="00B22616" w:rsidP="00B22616">
            <w:r w:rsidRPr="00B22616">
              <w:t>5.8</w:t>
            </w:r>
          </w:p>
        </w:tc>
      </w:tr>
      <w:tr w:rsidR="00B22616" w:rsidRPr="00B22616" w14:paraId="0A59CBF2" w14:textId="77777777" w:rsidTr="00EB3990">
        <w:tc>
          <w:tcPr>
            <w:tcW w:w="0" w:type="auto"/>
            <w:hideMark/>
          </w:tcPr>
          <w:p w14:paraId="6233A035" w14:textId="77777777" w:rsidR="00B22616" w:rsidRPr="00B22616" w:rsidRDefault="00B22616" w:rsidP="00B22616">
            <w:r w:rsidRPr="00B22616">
              <w:t>Semitrailer</w:t>
            </w:r>
          </w:p>
        </w:tc>
        <w:tc>
          <w:tcPr>
            <w:tcW w:w="1205" w:type="dxa"/>
            <w:hideMark/>
          </w:tcPr>
          <w:p w14:paraId="719605B1" w14:textId="77777777" w:rsidR="00B22616" w:rsidRPr="00B22616" w:rsidRDefault="00B22616" w:rsidP="00B22616">
            <w:r w:rsidRPr="00B22616">
              <w:t>PCMS OFF</w:t>
            </w:r>
          </w:p>
        </w:tc>
        <w:tc>
          <w:tcPr>
            <w:tcW w:w="720" w:type="dxa"/>
            <w:hideMark/>
          </w:tcPr>
          <w:p w14:paraId="23653B7B" w14:textId="77777777" w:rsidR="00B22616" w:rsidRPr="00B22616" w:rsidRDefault="00B22616" w:rsidP="00B22616">
            <w:r w:rsidRPr="00B22616">
              <w:t>47</w:t>
            </w:r>
          </w:p>
        </w:tc>
        <w:tc>
          <w:tcPr>
            <w:tcW w:w="1440" w:type="dxa"/>
            <w:hideMark/>
          </w:tcPr>
          <w:p w14:paraId="7DA7B1F9" w14:textId="77777777" w:rsidR="00B22616" w:rsidRPr="00B22616" w:rsidRDefault="00B22616" w:rsidP="00B22616">
            <w:r w:rsidRPr="00B22616">
              <w:t>61.6</w:t>
            </w:r>
          </w:p>
        </w:tc>
        <w:tc>
          <w:tcPr>
            <w:tcW w:w="1440" w:type="dxa"/>
            <w:hideMark/>
          </w:tcPr>
          <w:p w14:paraId="2563AAEC" w14:textId="77777777" w:rsidR="00B22616" w:rsidRPr="00B22616" w:rsidRDefault="00B22616" w:rsidP="00B22616">
            <w:r w:rsidRPr="00B22616">
              <w:t>58.6</w:t>
            </w:r>
          </w:p>
        </w:tc>
        <w:tc>
          <w:tcPr>
            <w:tcW w:w="1530" w:type="dxa"/>
            <w:hideMark/>
          </w:tcPr>
          <w:p w14:paraId="7BA0F72C" w14:textId="77777777" w:rsidR="00B22616" w:rsidRPr="00B22616" w:rsidRDefault="00B22616" w:rsidP="00B22616">
            <w:r w:rsidRPr="00B22616">
              <w:t>3.0</w:t>
            </w:r>
          </w:p>
        </w:tc>
        <w:tc>
          <w:tcPr>
            <w:tcW w:w="1705" w:type="dxa"/>
            <w:hideMark/>
          </w:tcPr>
          <w:p w14:paraId="69375236" w14:textId="77777777" w:rsidR="00B22616" w:rsidRPr="00B22616" w:rsidRDefault="00B22616" w:rsidP="00B22616">
            <w:r w:rsidRPr="00B22616">
              <w:t>4.8</w:t>
            </w:r>
          </w:p>
        </w:tc>
      </w:tr>
      <w:tr w:rsidR="00B22616" w:rsidRPr="00B22616" w14:paraId="722C68FD" w14:textId="77777777" w:rsidTr="00EB3990">
        <w:tc>
          <w:tcPr>
            <w:tcW w:w="0" w:type="auto"/>
            <w:hideMark/>
          </w:tcPr>
          <w:p w14:paraId="31F1ACBA" w14:textId="77777777" w:rsidR="00B22616" w:rsidRPr="00B22616" w:rsidRDefault="00B22616" w:rsidP="00B22616"/>
        </w:tc>
        <w:tc>
          <w:tcPr>
            <w:tcW w:w="1205" w:type="dxa"/>
            <w:hideMark/>
          </w:tcPr>
          <w:p w14:paraId="1F7C1CAF" w14:textId="77777777" w:rsidR="00B22616" w:rsidRPr="00B22616" w:rsidRDefault="00B22616" w:rsidP="00B22616">
            <w:r w:rsidRPr="00B22616">
              <w:t>PCMS ON</w:t>
            </w:r>
          </w:p>
        </w:tc>
        <w:tc>
          <w:tcPr>
            <w:tcW w:w="720" w:type="dxa"/>
            <w:hideMark/>
          </w:tcPr>
          <w:p w14:paraId="7765397E" w14:textId="77777777" w:rsidR="00B22616" w:rsidRPr="00B22616" w:rsidRDefault="00B22616" w:rsidP="00B22616">
            <w:r w:rsidRPr="00B22616">
              <w:t>48</w:t>
            </w:r>
          </w:p>
        </w:tc>
        <w:tc>
          <w:tcPr>
            <w:tcW w:w="1440" w:type="dxa"/>
            <w:hideMark/>
          </w:tcPr>
          <w:p w14:paraId="015B8167" w14:textId="77777777" w:rsidR="00B22616" w:rsidRPr="00B22616" w:rsidRDefault="00B22616" w:rsidP="00B22616">
            <w:r w:rsidRPr="00B22616">
              <w:t>59.1</w:t>
            </w:r>
          </w:p>
        </w:tc>
        <w:tc>
          <w:tcPr>
            <w:tcW w:w="1440" w:type="dxa"/>
            <w:hideMark/>
          </w:tcPr>
          <w:p w14:paraId="2E7FEBD0" w14:textId="77777777" w:rsidR="00B22616" w:rsidRPr="00B22616" w:rsidRDefault="00B22616" w:rsidP="00B22616">
            <w:r w:rsidRPr="00B22616">
              <w:t>56.1</w:t>
            </w:r>
          </w:p>
        </w:tc>
        <w:tc>
          <w:tcPr>
            <w:tcW w:w="1530" w:type="dxa"/>
            <w:hideMark/>
          </w:tcPr>
          <w:p w14:paraId="7C866885" w14:textId="77777777" w:rsidR="00B22616" w:rsidRPr="00B22616" w:rsidRDefault="00B22616" w:rsidP="00B22616">
            <w:r w:rsidRPr="00B22616">
              <w:t>3.1</w:t>
            </w:r>
          </w:p>
        </w:tc>
        <w:tc>
          <w:tcPr>
            <w:tcW w:w="1705" w:type="dxa"/>
            <w:hideMark/>
          </w:tcPr>
          <w:p w14:paraId="4B64B97A" w14:textId="77777777" w:rsidR="00B22616" w:rsidRPr="00B22616" w:rsidRDefault="00B22616" w:rsidP="00B22616">
            <w:r w:rsidRPr="00B22616">
              <w:t>5.2</w:t>
            </w:r>
          </w:p>
        </w:tc>
      </w:tr>
      <w:tr w:rsidR="00B22616" w:rsidRPr="00B22616" w14:paraId="1016D119" w14:textId="77777777" w:rsidTr="00EB3990">
        <w:tc>
          <w:tcPr>
            <w:tcW w:w="0" w:type="auto"/>
            <w:hideMark/>
          </w:tcPr>
          <w:p w14:paraId="2CC4B2CA" w14:textId="77777777" w:rsidR="00B22616" w:rsidRPr="00B22616" w:rsidRDefault="00B22616" w:rsidP="00B22616"/>
        </w:tc>
        <w:tc>
          <w:tcPr>
            <w:tcW w:w="1205" w:type="dxa"/>
            <w:hideMark/>
          </w:tcPr>
          <w:p w14:paraId="110BB30C" w14:textId="77777777" w:rsidR="00B22616" w:rsidRPr="00B22616" w:rsidRDefault="00B22616" w:rsidP="00B22616">
            <w:r w:rsidRPr="00B22616">
              <w:t>TTS</w:t>
            </w:r>
          </w:p>
        </w:tc>
        <w:tc>
          <w:tcPr>
            <w:tcW w:w="720" w:type="dxa"/>
            <w:hideMark/>
          </w:tcPr>
          <w:p w14:paraId="08E087AA" w14:textId="77777777" w:rsidR="00B22616" w:rsidRPr="00B22616" w:rsidRDefault="00B22616" w:rsidP="00B22616">
            <w:r w:rsidRPr="00B22616">
              <w:t>6</w:t>
            </w:r>
          </w:p>
        </w:tc>
        <w:tc>
          <w:tcPr>
            <w:tcW w:w="1440" w:type="dxa"/>
            <w:hideMark/>
          </w:tcPr>
          <w:p w14:paraId="28C12FFE" w14:textId="77777777" w:rsidR="00B22616" w:rsidRPr="00B22616" w:rsidRDefault="00B22616" w:rsidP="00B22616">
            <w:r w:rsidRPr="00B22616">
              <w:t>49.2</w:t>
            </w:r>
          </w:p>
        </w:tc>
        <w:tc>
          <w:tcPr>
            <w:tcW w:w="1440" w:type="dxa"/>
            <w:hideMark/>
          </w:tcPr>
          <w:p w14:paraId="165AF5B3" w14:textId="77777777" w:rsidR="00B22616" w:rsidRPr="00B22616" w:rsidRDefault="00B22616" w:rsidP="00B22616">
            <w:r w:rsidRPr="00B22616">
              <w:t>44.2</w:t>
            </w:r>
          </w:p>
        </w:tc>
        <w:tc>
          <w:tcPr>
            <w:tcW w:w="1530" w:type="dxa"/>
            <w:hideMark/>
          </w:tcPr>
          <w:p w14:paraId="3A908003" w14:textId="77777777" w:rsidR="00B22616" w:rsidRPr="00B22616" w:rsidRDefault="00B22616" w:rsidP="00B22616">
            <w:r w:rsidRPr="00B22616">
              <w:t>5.0</w:t>
            </w:r>
          </w:p>
        </w:tc>
        <w:tc>
          <w:tcPr>
            <w:tcW w:w="1705" w:type="dxa"/>
            <w:hideMark/>
          </w:tcPr>
          <w:p w14:paraId="548BBE77" w14:textId="77777777" w:rsidR="00B22616" w:rsidRPr="00B22616" w:rsidRDefault="00B22616" w:rsidP="00B22616">
            <w:r w:rsidRPr="00B22616">
              <w:t>10.2</w:t>
            </w:r>
          </w:p>
        </w:tc>
      </w:tr>
    </w:tbl>
    <w:p w14:paraId="081A4AEC" w14:textId="77777777" w:rsidR="00BC2DB7" w:rsidRDefault="00BC2DB7" w:rsidP="00B22616"/>
    <w:p w14:paraId="566054D8" w14:textId="01006B20" w:rsidR="00B22616" w:rsidRPr="00B22616" w:rsidRDefault="00B22616" w:rsidP="00B22616">
      <w:r w:rsidRPr="00B22616">
        <w:t xml:space="preserve">When the PCMS was turned off, the passenger car, truck, and semitrailer classes experienced speed reductions of 2.4 mph, 3.7 mph, and 3.0 mph over a </w:t>
      </w:r>
      <w:proofErr w:type="gramStart"/>
      <w:r w:rsidRPr="00B22616">
        <w:t>500 foot</w:t>
      </w:r>
      <w:proofErr w:type="gramEnd"/>
      <w:r w:rsidRPr="00B22616">
        <w:t xml:space="preserve"> distance, respectively. These speed reductions showed that the PCMS, though turned off, could still affect a vehicle’s speed. The inactive PCMS produced the highest speed reduction of 3.7 mph, or a 6.2% reduction, in the truck class over a 500 foot distance.</w:t>
      </w:r>
    </w:p>
    <w:p w14:paraId="48A3B51D" w14:textId="77777777" w:rsidR="00B22616" w:rsidRPr="00B22616" w:rsidRDefault="00B22616" w:rsidP="00B22616">
      <w:r w:rsidRPr="00B22616">
        <w:t>When the PCMS was turned on, the passenger car, truck, and semitrailer classes experienced speed reductions of 3.9 mph, 4.7 mph, and 3.1 mph over a 500 foot distance. These speed reductions demonstrated that when the PCMS was on, the speed reductions of the passenger car and truck classes increased by 1.5 mph and 1.0 mph over a 500 foot distance, respectively. If measured in percentage, the use of a PCMS caused the greatest speed reduction in the truck class, up to 8.3%.</w:t>
      </w:r>
    </w:p>
    <w:p w14:paraId="4B6800C9" w14:textId="77777777" w:rsidR="00B22616" w:rsidRPr="00B22616" w:rsidRDefault="00B22616" w:rsidP="00B22616">
      <w:r w:rsidRPr="00B22616">
        <w:t>When a TTS (no PCMS) was present on the highway, the passenger car, truck, and semitrailer classes experienced speed reductions of 5.2 mph, 2.8 mph, and 5.0 mph over a 500 foot distance, respectively. These speed reductions showed that of the vehicles approaching the advance warning area, the passenger car class slowed down the most.</w:t>
      </w:r>
    </w:p>
    <w:p w14:paraId="6FF30465" w14:textId="526DD7EC" w:rsidR="00B22616" w:rsidRPr="00B22616" w:rsidRDefault="00B22616" w:rsidP="00B22616">
      <w:r w:rsidRPr="00B22616">
        <w:t>As seen in </w:t>
      </w:r>
      <w:r w:rsidRPr="00170864">
        <w:t>Table 3</w:t>
      </w:r>
      <w:bookmarkEnd w:id="28"/>
      <w:r w:rsidRPr="00B22616">
        <w:t> above, the greatest speed reduction for the passenger car class occurred when approaching the TTS in the advance warning area with a 10.3% reduction. The greatest speed reduction for the truck class occurred when the PCMS was on, with an 8.3% reduction. The semitrailer class experienced the greatest speed reduction of 10.2% when approaching the advance warning area with a TTS.</w:t>
      </w:r>
    </w:p>
    <w:p w14:paraId="58FC8DAD" w14:textId="38F682D5" w:rsidR="00B22616" w:rsidRPr="00B22616" w:rsidRDefault="00B22616" w:rsidP="00B22616">
      <w:r w:rsidRPr="00B22616">
        <w:t>For two of the three conditions, the average speed of the semitrailer class was greater than the other two classes. This indicates that the semitrailer drivers usually maintain their high speeds when on rural highways. The PCMS was not effective in reducing semitrailer vehicle speeds in rural highway work zones. Based on the analysis results, the PCMS, when either on or off, had a greater effect on the truck class than the TTS (8.3% vs. 5.8% or 6.2% vs. 5.8%). The change in speed for different vehicle classes is shown in </w:t>
      </w:r>
      <w:bookmarkStart w:id="29" w:name="bfig5"/>
      <w:r w:rsidRPr="00170864">
        <w:t>Fig. 5</w:t>
      </w:r>
      <w:r w:rsidRPr="00B22616">
        <w:t>.</w:t>
      </w:r>
    </w:p>
    <w:p w14:paraId="6BD410C5" w14:textId="2560E847" w:rsidR="00B22616" w:rsidRPr="00B22616" w:rsidRDefault="00B22616" w:rsidP="00BC2DB7">
      <w:pPr>
        <w:pStyle w:val="NoSpacing"/>
      </w:pPr>
      <w:r w:rsidRPr="00B22616">
        <w:rPr>
          <w:noProof/>
        </w:rPr>
        <w:drawing>
          <wp:inline distT="0" distB="0" distL="0" distR="0" wp14:anchorId="41277B01" wp14:editId="73B8FE39">
            <wp:extent cx="2743200" cy="2743200"/>
            <wp:effectExtent l="0" t="0" r="0" b="0"/>
            <wp:docPr id="1" name="Picture 1"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p>
    <w:p w14:paraId="6E138D48" w14:textId="77777777" w:rsidR="00B22616" w:rsidRDefault="00B22616" w:rsidP="00BC2DB7">
      <w:pPr>
        <w:pStyle w:val="NoSpacing"/>
      </w:pPr>
      <w:r w:rsidRPr="00B22616">
        <w:t>Fig. 5. Mean speed change of vehicle classes for three cases.</w:t>
      </w:r>
    </w:p>
    <w:p w14:paraId="150C6A77" w14:textId="77777777" w:rsidR="00BC2DB7" w:rsidRPr="00B22616" w:rsidRDefault="00BC2DB7" w:rsidP="00B22616"/>
    <w:p w14:paraId="7F1FE802" w14:textId="1702B202" w:rsidR="00B22616" w:rsidRPr="00B22616" w:rsidRDefault="00B22616" w:rsidP="00B22616">
      <w:r w:rsidRPr="00170864">
        <w:t>Fig. 5</w:t>
      </w:r>
      <w:r w:rsidRPr="00B22616">
        <w:t> provides a visual of the breakdown of mean speed changes for each case based on vehicle class. The bar chart in </w:t>
      </w:r>
      <w:r w:rsidRPr="00170864">
        <w:t>Fig. 5</w:t>
      </w:r>
      <w:bookmarkEnd w:id="29"/>
      <w:r w:rsidRPr="00B22616">
        <w:t> indicates that the truck class was the most responsive vehicle class to cases 1 and 2, both involving the PCMS in rural work zones. The chart also indicates that the truck class was the least responsive vehicle class to case 3, involving the TTS in rural work zones. Another correlation that can be drawn from the chart is that the passenger car and semitrailer classes were more responsive to warning messages than to the inactive PCMS on the roadside in rural work zones.</w:t>
      </w:r>
    </w:p>
    <w:p w14:paraId="06148174" w14:textId="77777777" w:rsidR="00B22616" w:rsidRPr="00B22616" w:rsidRDefault="00B22616" w:rsidP="008E150E">
      <w:pPr>
        <w:pStyle w:val="Heading1"/>
      </w:pPr>
      <w:r w:rsidRPr="00B22616">
        <w:t>6. Significance of test analysis</w:t>
      </w:r>
    </w:p>
    <w:p w14:paraId="5BB6E1D5" w14:textId="4903AC08" w:rsidR="00B22616" w:rsidRPr="00B22616" w:rsidRDefault="00B22616" w:rsidP="00B22616">
      <w:r w:rsidRPr="00B22616">
        <w:t>Hypothesis tests were also conducted during the data analysis process. The null hypothesis of this research was that there was no change between cases in the mean speeds of the three vehicle classes. The alternative hypothesis was that there was a difference between cases in the mean speed of one or more of the vehicle classes. A univariate analysis of variance (UNIANOVA) was performed on the data to determine whether or not the interaction between the three cases and the three vehicle classes was significant. UNIANOVA is a two-way analysis of variance with vehicle class and case as the two factors. The results of the UNIANOVA test are shown in </w:t>
      </w:r>
      <w:bookmarkStart w:id="30" w:name="btbl4"/>
      <w:r w:rsidRPr="00170864">
        <w:t>Table 4</w:t>
      </w:r>
      <w:r w:rsidRPr="00B22616">
        <w:t>. For the null hypothesis to be rejected and for there to be a significant interaction between the two effects (vehicle class and case) the value of significance must be less than 0.05 (for a 95% confidence level). </w:t>
      </w:r>
      <w:r w:rsidRPr="00170864">
        <w:t>Table 4</w:t>
      </w:r>
      <w:bookmarkEnd w:id="30"/>
      <w:r w:rsidRPr="00B22616">
        <w:t> shows that testing vehicle class and case separately, none of them is significant. Testing the interaction of vehicle class by case, the result is significant. Since the test returned a significance value of 0.019 for the interaction of vehicle class and case, the null hypothesis was rejected in favor of the alternative hypothesis.</w:t>
      </w:r>
    </w:p>
    <w:p w14:paraId="1202860B" w14:textId="77777777" w:rsidR="00B22616" w:rsidRPr="00B22616" w:rsidRDefault="00B22616" w:rsidP="00BC2DB7">
      <w:pPr>
        <w:spacing w:after="0"/>
      </w:pPr>
      <w:r w:rsidRPr="00B22616">
        <w:t>Table 4. UNIANOVA test of between-subjects effects.</w:t>
      </w:r>
    </w:p>
    <w:tbl>
      <w:tblPr>
        <w:tblStyle w:val="TableGrid"/>
        <w:tblW w:w="0" w:type="auto"/>
        <w:tblLook w:val="04A0" w:firstRow="1" w:lastRow="0" w:firstColumn="1" w:lastColumn="0" w:noHBand="0" w:noVBand="1"/>
      </w:tblPr>
      <w:tblGrid>
        <w:gridCol w:w="3235"/>
        <w:gridCol w:w="1530"/>
        <w:gridCol w:w="1260"/>
        <w:gridCol w:w="1088"/>
        <w:gridCol w:w="941"/>
        <w:gridCol w:w="1296"/>
      </w:tblGrid>
      <w:tr w:rsidR="00B22616" w:rsidRPr="00B22616" w14:paraId="22739714" w14:textId="77777777" w:rsidTr="00841748">
        <w:tc>
          <w:tcPr>
            <w:tcW w:w="3235" w:type="dxa"/>
            <w:hideMark/>
          </w:tcPr>
          <w:p w14:paraId="05DD096D" w14:textId="77777777" w:rsidR="00B22616" w:rsidRPr="00B22616" w:rsidRDefault="00B22616" w:rsidP="00B22616">
            <w:pPr>
              <w:rPr>
                <w:b/>
                <w:bCs/>
              </w:rPr>
            </w:pPr>
            <w:r w:rsidRPr="00B22616">
              <w:rPr>
                <w:b/>
                <w:bCs/>
              </w:rPr>
              <w:t>Source</w:t>
            </w:r>
          </w:p>
        </w:tc>
        <w:tc>
          <w:tcPr>
            <w:tcW w:w="1530" w:type="dxa"/>
            <w:hideMark/>
          </w:tcPr>
          <w:p w14:paraId="0BBF3B45" w14:textId="77777777" w:rsidR="00B22616" w:rsidRPr="00B22616" w:rsidRDefault="00B22616" w:rsidP="00B22616">
            <w:pPr>
              <w:rPr>
                <w:b/>
                <w:bCs/>
              </w:rPr>
            </w:pPr>
            <w:r w:rsidRPr="00B22616">
              <w:rPr>
                <w:b/>
                <w:bCs/>
              </w:rPr>
              <w:t>Type III sum of squares</w:t>
            </w:r>
          </w:p>
        </w:tc>
        <w:tc>
          <w:tcPr>
            <w:tcW w:w="1260" w:type="dxa"/>
            <w:hideMark/>
          </w:tcPr>
          <w:p w14:paraId="42518109" w14:textId="77777777" w:rsidR="00B22616" w:rsidRPr="00B22616" w:rsidRDefault="00B22616" w:rsidP="00B22616">
            <w:pPr>
              <w:rPr>
                <w:b/>
                <w:bCs/>
              </w:rPr>
            </w:pPr>
            <w:r w:rsidRPr="00B22616">
              <w:rPr>
                <w:b/>
                <w:bCs/>
              </w:rPr>
              <w:t>Degrees of freedom</w:t>
            </w:r>
          </w:p>
        </w:tc>
        <w:tc>
          <w:tcPr>
            <w:tcW w:w="1088" w:type="dxa"/>
            <w:hideMark/>
          </w:tcPr>
          <w:p w14:paraId="4BD00E3C" w14:textId="77777777" w:rsidR="00B22616" w:rsidRPr="00B22616" w:rsidRDefault="00B22616" w:rsidP="00B22616">
            <w:pPr>
              <w:rPr>
                <w:b/>
                <w:bCs/>
              </w:rPr>
            </w:pPr>
            <w:r w:rsidRPr="00B22616">
              <w:rPr>
                <w:b/>
                <w:bCs/>
              </w:rPr>
              <w:t>Mean square</w:t>
            </w:r>
          </w:p>
        </w:tc>
        <w:tc>
          <w:tcPr>
            <w:tcW w:w="941" w:type="dxa"/>
            <w:hideMark/>
          </w:tcPr>
          <w:p w14:paraId="07BEF715" w14:textId="77777777" w:rsidR="00B22616" w:rsidRPr="00B22616" w:rsidRDefault="00B22616" w:rsidP="00B22616">
            <w:pPr>
              <w:rPr>
                <w:b/>
                <w:bCs/>
              </w:rPr>
            </w:pPr>
            <w:r w:rsidRPr="00B22616">
              <w:rPr>
                <w:b/>
                <w:bCs/>
                <w:i/>
                <w:iCs/>
              </w:rPr>
              <w:t>F</w:t>
            </w:r>
          </w:p>
        </w:tc>
        <w:tc>
          <w:tcPr>
            <w:tcW w:w="1296" w:type="dxa"/>
            <w:hideMark/>
          </w:tcPr>
          <w:p w14:paraId="44198797" w14:textId="77777777" w:rsidR="00B22616" w:rsidRPr="00B22616" w:rsidRDefault="00B22616" w:rsidP="00B22616">
            <w:pPr>
              <w:rPr>
                <w:b/>
                <w:bCs/>
              </w:rPr>
            </w:pPr>
            <w:r w:rsidRPr="00B22616">
              <w:rPr>
                <w:b/>
                <w:bCs/>
              </w:rPr>
              <w:t>Significance</w:t>
            </w:r>
          </w:p>
        </w:tc>
      </w:tr>
      <w:tr w:rsidR="00B22616" w:rsidRPr="00B22616" w14:paraId="34E688E9" w14:textId="77777777" w:rsidTr="00841748">
        <w:tc>
          <w:tcPr>
            <w:tcW w:w="3235" w:type="dxa"/>
            <w:hideMark/>
          </w:tcPr>
          <w:p w14:paraId="4777B155" w14:textId="77777777" w:rsidR="00B22616" w:rsidRPr="00B22616" w:rsidRDefault="00B22616" w:rsidP="00B22616">
            <w:r w:rsidRPr="00B22616">
              <w:t>Corrected model</w:t>
            </w:r>
          </w:p>
        </w:tc>
        <w:tc>
          <w:tcPr>
            <w:tcW w:w="1530" w:type="dxa"/>
            <w:hideMark/>
          </w:tcPr>
          <w:p w14:paraId="55DAE644" w14:textId="76C5DE04" w:rsidR="00B22616" w:rsidRPr="00B22616" w:rsidRDefault="00B22616" w:rsidP="00B22616">
            <w:r w:rsidRPr="00B22616">
              <w:t>764.395</w:t>
            </w:r>
            <w:bookmarkStart w:id="31" w:name="btblfn1"/>
            <w:r w:rsidRPr="00170864">
              <w:rPr>
                <w:vertAlign w:val="superscript"/>
              </w:rPr>
              <w:t>a</w:t>
            </w:r>
            <w:bookmarkEnd w:id="31"/>
          </w:p>
        </w:tc>
        <w:tc>
          <w:tcPr>
            <w:tcW w:w="1260" w:type="dxa"/>
            <w:hideMark/>
          </w:tcPr>
          <w:p w14:paraId="49C0971E" w14:textId="77777777" w:rsidR="00B22616" w:rsidRPr="00B22616" w:rsidRDefault="00B22616" w:rsidP="00B22616">
            <w:r w:rsidRPr="00B22616">
              <w:t>8</w:t>
            </w:r>
          </w:p>
        </w:tc>
        <w:tc>
          <w:tcPr>
            <w:tcW w:w="1088" w:type="dxa"/>
            <w:hideMark/>
          </w:tcPr>
          <w:p w14:paraId="7C72409F" w14:textId="77777777" w:rsidR="00B22616" w:rsidRPr="00B22616" w:rsidRDefault="00B22616" w:rsidP="00B22616">
            <w:r w:rsidRPr="00B22616">
              <w:t>95.549</w:t>
            </w:r>
          </w:p>
        </w:tc>
        <w:tc>
          <w:tcPr>
            <w:tcW w:w="941" w:type="dxa"/>
            <w:hideMark/>
          </w:tcPr>
          <w:p w14:paraId="46261517" w14:textId="77777777" w:rsidR="00B22616" w:rsidRPr="00B22616" w:rsidRDefault="00B22616" w:rsidP="00B22616">
            <w:r w:rsidRPr="00B22616">
              <w:t>3.072</w:t>
            </w:r>
          </w:p>
        </w:tc>
        <w:tc>
          <w:tcPr>
            <w:tcW w:w="1296" w:type="dxa"/>
            <w:hideMark/>
          </w:tcPr>
          <w:p w14:paraId="3E03DA9D" w14:textId="77777777" w:rsidR="00B22616" w:rsidRPr="00B22616" w:rsidRDefault="00B22616" w:rsidP="00B22616">
            <w:r w:rsidRPr="00B22616">
              <w:t>.002</w:t>
            </w:r>
          </w:p>
        </w:tc>
      </w:tr>
      <w:tr w:rsidR="00B22616" w:rsidRPr="00B22616" w14:paraId="290B62E1" w14:textId="77777777" w:rsidTr="00841748">
        <w:tc>
          <w:tcPr>
            <w:tcW w:w="3235" w:type="dxa"/>
            <w:hideMark/>
          </w:tcPr>
          <w:p w14:paraId="0B1F1E40" w14:textId="77777777" w:rsidR="00B22616" w:rsidRPr="00B22616" w:rsidRDefault="00B22616" w:rsidP="00B22616">
            <w:r w:rsidRPr="00B22616">
              <w:t>Intercept</w:t>
            </w:r>
          </w:p>
        </w:tc>
        <w:tc>
          <w:tcPr>
            <w:tcW w:w="1530" w:type="dxa"/>
            <w:hideMark/>
          </w:tcPr>
          <w:p w14:paraId="43D83B4A" w14:textId="77777777" w:rsidR="00B22616" w:rsidRPr="00B22616" w:rsidRDefault="00B22616" w:rsidP="00B22616">
            <w:r w:rsidRPr="00B22616">
              <w:t>4264.488</w:t>
            </w:r>
          </w:p>
        </w:tc>
        <w:tc>
          <w:tcPr>
            <w:tcW w:w="1260" w:type="dxa"/>
            <w:hideMark/>
          </w:tcPr>
          <w:p w14:paraId="59676F02" w14:textId="77777777" w:rsidR="00B22616" w:rsidRPr="00B22616" w:rsidRDefault="00B22616" w:rsidP="00B22616">
            <w:r w:rsidRPr="00B22616">
              <w:t>1</w:t>
            </w:r>
          </w:p>
        </w:tc>
        <w:tc>
          <w:tcPr>
            <w:tcW w:w="1088" w:type="dxa"/>
            <w:hideMark/>
          </w:tcPr>
          <w:p w14:paraId="701A737E" w14:textId="77777777" w:rsidR="00B22616" w:rsidRPr="00B22616" w:rsidRDefault="00B22616" w:rsidP="00B22616">
            <w:r w:rsidRPr="00B22616">
              <w:t>4264.488</w:t>
            </w:r>
          </w:p>
        </w:tc>
        <w:tc>
          <w:tcPr>
            <w:tcW w:w="941" w:type="dxa"/>
            <w:hideMark/>
          </w:tcPr>
          <w:p w14:paraId="41CDABD3" w14:textId="77777777" w:rsidR="00B22616" w:rsidRPr="00B22616" w:rsidRDefault="00B22616" w:rsidP="00B22616">
            <w:r w:rsidRPr="00B22616">
              <w:t>137.097</w:t>
            </w:r>
          </w:p>
        </w:tc>
        <w:tc>
          <w:tcPr>
            <w:tcW w:w="1296" w:type="dxa"/>
            <w:hideMark/>
          </w:tcPr>
          <w:p w14:paraId="0A458BA8" w14:textId="77777777" w:rsidR="00B22616" w:rsidRPr="00B22616" w:rsidRDefault="00B22616" w:rsidP="00B22616">
            <w:r w:rsidRPr="00B22616">
              <w:t>.000</w:t>
            </w:r>
          </w:p>
        </w:tc>
      </w:tr>
      <w:tr w:rsidR="00B22616" w:rsidRPr="00B22616" w14:paraId="7F19869B" w14:textId="77777777" w:rsidTr="00841748">
        <w:tc>
          <w:tcPr>
            <w:tcW w:w="3235" w:type="dxa"/>
            <w:hideMark/>
          </w:tcPr>
          <w:p w14:paraId="34DD2A14" w14:textId="77777777" w:rsidR="00B22616" w:rsidRPr="00B22616" w:rsidRDefault="00B22616" w:rsidP="00B22616">
            <w:r w:rsidRPr="00B22616">
              <w:t>Vehicle class</w:t>
            </w:r>
          </w:p>
        </w:tc>
        <w:tc>
          <w:tcPr>
            <w:tcW w:w="1530" w:type="dxa"/>
            <w:hideMark/>
          </w:tcPr>
          <w:p w14:paraId="23A42107" w14:textId="77777777" w:rsidR="00B22616" w:rsidRPr="00B22616" w:rsidRDefault="00B22616" w:rsidP="00B22616">
            <w:r w:rsidRPr="00B22616">
              <w:t>1.713</w:t>
            </w:r>
          </w:p>
        </w:tc>
        <w:tc>
          <w:tcPr>
            <w:tcW w:w="1260" w:type="dxa"/>
            <w:hideMark/>
          </w:tcPr>
          <w:p w14:paraId="6A93C243" w14:textId="77777777" w:rsidR="00B22616" w:rsidRPr="00B22616" w:rsidRDefault="00B22616" w:rsidP="00B22616">
            <w:r w:rsidRPr="00B22616">
              <w:t>2</w:t>
            </w:r>
          </w:p>
        </w:tc>
        <w:tc>
          <w:tcPr>
            <w:tcW w:w="1088" w:type="dxa"/>
            <w:hideMark/>
          </w:tcPr>
          <w:p w14:paraId="41907170" w14:textId="77777777" w:rsidR="00B22616" w:rsidRPr="00B22616" w:rsidRDefault="00B22616" w:rsidP="00B22616">
            <w:r w:rsidRPr="00B22616">
              <w:t>.856</w:t>
            </w:r>
          </w:p>
        </w:tc>
        <w:tc>
          <w:tcPr>
            <w:tcW w:w="941" w:type="dxa"/>
            <w:hideMark/>
          </w:tcPr>
          <w:p w14:paraId="5D5C9B25" w14:textId="77777777" w:rsidR="00B22616" w:rsidRPr="00B22616" w:rsidRDefault="00B22616" w:rsidP="00B22616">
            <w:r w:rsidRPr="00B22616">
              <w:t>.028</w:t>
            </w:r>
          </w:p>
        </w:tc>
        <w:tc>
          <w:tcPr>
            <w:tcW w:w="1296" w:type="dxa"/>
            <w:hideMark/>
          </w:tcPr>
          <w:p w14:paraId="44B8C2E4" w14:textId="77777777" w:rsidR="00B22616" w:rsidRPr="00B22616" w:rsidRDefault="00B22616" w:rsidP="00B22616">
            <w:r w:rsidRPr="00B22616">
              <w:t>.973</w:t>
            </w:r>
          </w:p>
        </w:tc>
      </w:tr>
      <w:tr w:rsidR="00B22616" w:rsidRPr="00B22616" w14:paraId="78B490AF" w14:textId="77777777" w:rsidTr="00841748">
        <w:tc>
          <w:tcPr>
            <w:tcW w:w="3235" w:type="dxa"/>
            <w:hideMark/>
          </w:tcPr>
          <w:p w14:paraId="114DEA16" w14:textId="77777777" w:rsidR="00B22616" w:rsidRPr="00B22616" w:rsidRDefault="00B22616" w:rsidP="00B22616">
            <w:r w:rsidRPr="00B22616">
              <w:t>Case</w:t>
            </w:r>
          </w:p>
        </w:tc>
        <w:tc>
          <w:tcPr>
            <w:tcW w:w="1530" w:type="dxa"/>
            <w:hideMark/>
          </w:tcPr>
          <w:p w14:paraId="751A188B" w14:textId="77777777" w:rsidR="00B22616" w:rsidRPr="00B22616" w:rsidRDefault="00B22616" w:rsidP="00B22616">
            <w:r w:rsidRPr="00B22616">
              <w:t>142.241</w:t>
            </w:r>
          </w:p>
        </w:tc>
        <w:tc>
          <w:tcPr>
            <w:tcW w:w="1260" w:type="dxa"/>
            <w:hideMark/>
          </w:tcPr>
          <w:p w14:paraId="052C8270" w14:textId="77777777" w:rsidR="00B22616" w:rsidRPr="00B22616" w:rsidRDefault="00B22616" w:rsidP="00B22616">
            <w:r w:rsidRPr="00B22616">
              <w:t>2</w:t>
            </w:r>
          </w:p>
        </w:tc>
        <w:tc>
          <w:tcPr>
            <w:tcW w:w="1088" w:type="dxa"/>
            <w:hideMark/>
          </w:tcPr>
          <w:p w14:paraId="1794B292" w14:textId="77777777" w:rsidR="00B22616" w:rsidRPr="00B22616" w:rsidRDefault="00B22616" w:rsidP="00B22616">
            <w:r w:rsidRPr="00B22616">
              <w:t>71.121</w:t>
            </w:r>
          </w:p>
        </w:tc>
        <w:tc>
          <w:tcPr>
            <w:tcW w:w="941" w:type="dxa"/>
            <w:hideMark/>
          </w:tcPr>
          <w:p w14:paraId="3E934123" w14:textId="77777777" w:rsidR="00B22616" w:rsidRPr="00B22616" w:rsidRDefault="00B22616" w:rsidP="00B22616">
            <w:r w:rsidRPr="00B22616">
              <w:t>2.286</w:t>
            </w:r>
          </w:p>
        </w:tc>
        <w:tc>
          <w:tcPr>
            <w:tcW w:w="1296" w:type="dxa"/>
            <w:hideMark/>
          </w:tcPr>
          <w:p w14:paraId="3236BB1A" w14:textId="77777777" w:rsidR="00B22616" w:rsidRPr="00B22616" w:rsidRDefault="00B22616" w:rsidP="00B22616">
            <w:r w:rsidRPr="00B22616">
              <w:t>.102</w:t>
            </w:r>
          </w:p>
        </w:tc>
      </w:tr>
      <w:tr w:rsidR="00B22616" w:rsidRPr="00B22616" w14:paraId="4F4172AD" w14:textId="77777777" w:rsidTr="00841748">
        <w:tc>
          <w:tcPr>
            <w:tcW w:w="3235" w:type="dxa"/>
            <w:hideMark/>
          </w:tcPr>
          <w:p w14:paraId="421F8B46" w14:textId="77777777" w:rsidR="00B22616" w:rsidRPr="00B22616" w:rsidRDefault="00B22616" w:rsidP="00B22616">
            <w:r w:rsidRPr="00B22616">
              <w:t>Interaction (vehicle class by case)</w:t>
            </w:r>
          </w:p>
        </w:tc>
        <w:tc>
          <w:tcPr>
            <w:tcW w:w="1530" w:type="dxa"/>
            <w:hideMark/>
          </w:tcPr>
          <w:p w14:paraId="4F2EE674" w14:textId="77777777" w:rsidR="00B22616" w:rsidRPr="00B22616" w:rsidRDefault="00B22616" w:rsidP="00B22616">
            <w:r w:rsidRPr="00B22616">
              <w:t>367.435</w:t>
            </w:r>
          </w:p>
        </w:tc>
        <w:tc>
          <w:tcPr>
            <w:tcW w:w="1260" w:type="dxa"/>
            <w:hideMark/>
          </w:tcPr>
          <w:p w14:paraId="554BCACE" w14:textId="77777777" w:rsidR="00B22616" w:rsidRPr="00B22616" w:rsidRDefault="00B22616" w:rsidP="00B22616">
            <w:r w:rsidRPr="00B22616">
              <w:t>4</w:t>
            </w:r>
          </w:p>
        </w:tc>
        <w:tc>
          <w:tcPr>
            <w:tcW w:w="1088" w:type="dxa"/>
            <w:hideMark/>
          </w:tcPr>
          <w:p w14:paraId="57B0126F" w14:textId="77777777" w:rsidR="00B22616" w:rsidRPr="00B22616" w:rsidRDefault="00B22616" w:rsidP="00B22616">
            <w:r w:rsidRPr="00B22616">
              <w:t>91.859</w:t>
            </w:r>
          </w:p>
        </w:tc>
        <w:tc>
          <w:tcPr>
            <w:tcW w:w="941" w:type="dxa"/>
            <w:hideMark/>
          </w:tcPr>
          <w:p w14:paraId="18BFFEC0" w14:textId="77777777" w:rsidR="00B22616" w:rsidRPr="00B22616" w:rsidRDefault="00B22616" w:rsidP="00B22616">
            <w:r w:rsidRPr="00B22616">
              <w:t>2.953</w:t>
            </w:r>
          </w:p>
        </w:tc>
        <w:tc>
          <w:tcPr>
            <w:tcW w:w="1296" w:type="dxa"/>
            <w:hideMark/>
          </w:tcPr>
          <w:p w14:paraId="189CB7BC" w14:textId="77777777" w:rsidR="00B22616" w:rsidRPr="00B22616" w:rsidRDefault="00B22616" w:rsidP="00B22616">
            <w:r w:rsidRPr="00B22616">
              <w:rPr>
                <w:b/>
                <w:bCs/>
              </w:rPr>
              <w:t>.019</w:t>
            </w:r>
          </w:p>
        </w:tc>
      </w:tr>
      <w:tr w:rsidR="008E150E" w:rsidRPr="00B22616" w14:paraId="51A0F375" w14:textId="77777777" w:rsidTr="00841748">
        <w:tc>
          <w:tcPr>
            <w:tcW w:w="3235" w:type="dxa"/>
            <w:hideMark/>
          </w:tcPr>
          <w:p w14:paraId="33BB3979" w14:textId="77777777" w:rsidR="008E150E" w:rsidRPr="00B22616" w:rsidRDefault="008E150E" w:rsidP="00B22616"/>
        </w:tc>
        <w:tc>
          <w:tcPr>
            <w:tcW w:w="1530" w:type="dxa"/>
          </w:tcPr>
          <w:p w14:paraId="309893CD" w14:textId="77777777" w:rsidR="008E150E" w:rsidRPr="00B22616" w:rsidRDefault="008E150E" w:rsidP="00B22616"/>
        </w:tc>
        <w:tc>
          <w:tcPr>
            <w:tcW w:w="1260" w:type="dxa"/>
          </w:tcPr>
          <w:p w14:paraId="686AE5D4" w14:textId="77777777" w:rsidR="008E150E" w:rsidRPr="00B22616" w:rsidRDefault="008E150E" w:rsidP="00B22616"/>
        </w:tc>
        <w:tc>
          <w:tcPr>
            <w:tcW w:w="1088" w:type="dxa"/>
          </w:tcPr>
          <w:p w14:paraId="67FFE55B" w14:textId="77777777" w:rsidR="008E150E" w:rsidRPr="00B22616" w:rsidRDefault="008E150E" w:rsidP="00B22616"/>
        </w:tc>
        <w:tc>
          <w:tcPr>
            <w:tcW w:w="941" w:type="dxa"/>
          </w:tcPr>
          <w:p w14:paraId="5F0ED11D" w14:textId="77777777" w:rsidR="008E150E" w:rsidRPr="00B22616" w:rsidRDefault="008E150E" w:rsidP="00B22616"/>
        </w:tc>
        <w:tc>
          <w:tcPr>
            <w:tcW w:w="1296" w:type="dxa"/>
          </w:tcPr>
          <w:p w14:paraId="1CD92659" w14:textId="0B46BC87" w:rsidR="008E150E" w:rsidRPr="00B22616" w:rsidRDefault="008E150E" w:rsidP="00B22616"/>
        </w:tc>
      </w:tr>
      <w:tr w:rsidR="00B22616" w:rsidRPr="00B22616" w14:paraId="6ED30302" w14:textId="77777777" w:rsidTr="00841748">
        <w:tc>
          <w:tcPr>
            <w:tcW w:w="3235" w:type="dxa"/>
            <w:hideMark/>
          </w:tcPr>
          <w:p w14:paraId="26A8A227" w14:textId="77777777" w:rsidR="00B22616" w:rsidRPr="00B22616" w:rsidRDefault="00B22616" w:rsidP="00B22616">
            <w:r w:rsidRPr="00B22616">
              <w:t>Error</w:t>
            </w:r>
          </w:p>
        </w:tc>
        <w:tc>
          <w:tcPr>
            <w:tcW w:w="1530" w:type="dxa"/>
            <w:hideMark/>
          </w:tcPr>
          <w:p w14:paraId="2E61730F" w14:textId="77777777" w:rsidR="00B22616" w:rsidRPr="00B22616" w:rsidRDefault="00B22616" w:rsidP="00B22616">
            <w:r w:rsidRPr="00B22616">
              <w:t>26968.540</w:t>
            </w:r>
          </w:p>
        </w:tc>
        <w:tc>
          <w:tcPr>
            <w:tcW w:w="1260" w:type="dxa"/>
            <w:hideMark/>
          </w:tcPr>
          <w:p w14:paraId="6B87C576" w14:textId="77777777" w:rsidR="00B22616" w:rsidRPr="00B22616" w:rsidRDefault="00B22616" w:rsidP="00B22616">
            <w:r w:rsidRPr="00B22616">
              <w:t>867</w:t>
            </w:r>
          </w:p>
        </w:tc>
        <w:tc>
          <w:tcPr>
            <w:tcW w:w="1088" w:type="dxa"/>
            <w:hideMark/>
          </w:tcPr>
          <w:p w14:paraId="52AF36DA" w14:textId="77777777" w:rsidR="00B22616" w:rsidRPr="00B22616" w:rsidRDefault="00B22616" w:rsidP="00B22616">
            <w:r w:rsidRPr="00B22616">
              <w:t>31.106</w:t>
            </w:r>
          </w:p>
        </w:tc>
        <w:tc>
          <w:tcPr>
            <w:tcW w:w="941" w:type="dxa"/>
            <w:hideMark/>
          </w:tcPr>
          <w:p w14:paraId="26D8341F" w14:textId="77777777" w:rsidR="00B22616" w:rsidRPr="00B22616" w:rsidRDefault="00B22616" w:rsidP="00B22616"/>
        </w:tc>
        <w:tc>
          <w:tcPr>
            <w:tcW w:w="1296" w:type="dxa"/>
            <w:hideMark/>
          </w:tcPr>
          <w:p w14:paraId="4F544474" w14:textId="77777777" w:rsidR="00B22616" w:rsidRPr="00B22616" w:rsidRDefault="00B22616" w:rsidP="00B22616"/>
        </w:tc>
      </w:tr>
      <w:tr w:rsidR="00B22616" w:rsidRPr="00B22616" w14:paraId="39F284DF" w14:textId="77777777" w:rsidTr="00841748">
        <w:tc>
          <w:tcPr>
            <w:tcW w:w="3235" w:type="dxa"/>
            <w:hideMark/>
          </w:tcPr>
          <w:p w14:paraId="30276102" w14:textId="77777777" w:rsidR="00B22616" w:rsidRPr="00B22616" w:rsidRDefault="00B22616" w:rsidP="00B22616">
            <w:r w:rsidRPr="00B22616">
              <w:t>Total</w:t>
            </w:r>
          </w:p>
        </w:tc>
        <w:tc>
          <w:tcPr>
            <w:tcW w:w="1530" w:type="dxa"/>
            <w:hideMark/>
          </w:tcPr>
          <w:p w14:paraId="71C1582C" w14:textId="77777777" w:rsidR="00B22616" w:rsidRPr="00B22616" w:rsidRDefault="00B22616" w:rsidP="00B22616">
            <w:r w:rsidRPr="00B22616">
              <w:t>39255.000</w:t>
            </w:r>
          </w:p>
        </w:tc>
        <w:tc>
          <w:tcPr>
            <w:tcW w:w="1260" w:type="dxa"/>
            <w:hideMark/>
          </w:tcPr>
          <w:p w14:paraId="21609702" w14:textId="77777777" w:rsidR="00B22616" w:rsidRPr="00B22616" w:rsidRDefault="00B22616" w:rsidP="00B22616">
            <w:r w:rsidRPr="00B22616">
              <w:t>876</w:t>
            </w:r>
          </w:p>
        </w:tc>
        <w:tc>
          <w:tcPr>
            <w:tcW w:w="1088" w:type="dxa"/>
            <w:hideMark/>
          </w:tcPr>
          <w:p w14:paraId="118DE77E" w14:textId="77777777" w:rsidR="00B22616" w:rsidRPr="00B22616" w:rsidRDefault="00B22616" w:rsidP="00B22616"/>
        </w:tc>
        <w:tc>
          <w:tcPr>
            <w:tcW w:w="941" w:type="dxa"/>
            <w:hideMark/>
          </w:tcPr>
          <w:p w14:paraId="0BF6965B" w14:textId="77777777" w:rsidR="00B22616" w:rsidRPr="00B22616" w:rsidRDefault="00B22616" w:rsidP="00B22616"/>
        </w:tc>
        <w:tc>
          <w:tcPr>
            <w:tcW w:w="1296" w:type="dxa"/>
            <w:hideMark/>
          </w:tcPr>
          <w:p w14:paraId="0DF2E2C6" w14:textId="77777777" w:rsidR="00B22616" w:rsidRPr="00B22616" w:rsidRDefault="00B22616" w:rsidP="00B22616"/>
        </w:tc>
      </w:tr>
      <w:tr w:rsidR="00B22616" w:rsidRPr="00B22616" w14:paraId="26A9942C" w14:textId="77777777" w:rsidTr="00841748">
        <w:tc>
          <w:tcPr>
            <w:tcW w:w="3235" w:type="dxa"/>
            <w:hideMark/>
          </w:tcPr>
          <w:p w14:paraId="27E028AB" w14:textId="77777777" w:rsidR="00B22616" w:rsidRPr="00B22616" w:rsidRDefault="00B22616" w:rsidP="00B22616">
            <w:r w:rsidRPr="00B22616">
              <w:t>Corrected total</w:t>
            </w:r>
          </w:p>
        </w:tc>
        <w:tc>
          <w:tcPr>
            <w:tcW w:w="1530" w:type="dxa"/>
            <w:hideMark/>
          </w:tcPr>
          <w:p w14:paraId="5D84F0CD" w14:textId="77777777" w:rsidR="00B22616" w:rsidRPr="00B22616" w:rsidRDefault="00B22616" w:rsidP="00B22616">
            <w:r w:rsidRPr="00B22616">
              <w:t>27732.935</w:t>
            </w:r>
          </w:p>
        </w:tc>
        <w:tc>
          <w:tcPr>
            <w:tcW w:w="1260" w:type="dxa"/>
            <w:hideMark/>
          </w:tcPr>
          <w:p w14:paraId="5016C9A7" w14:textId="77777777" w:rsidR="00B22616" w:rsidRPr="00B22616" w:rsidRDefault="00B22616" w:rsidP="00B22616">
            <w:r w:rsidRPr="00B22616">
              <w:t>875</w:t>
            </w:r>
          </w:p>
        </w:tc>
        <w:tc>
          <w:tcPr>
            <w:tcW w:w="1088" w:type="dxa"/>
            <w:hideMark/>
          </w:tcPr>
          <w:p w14:paraId="1542FC10" w14:textId="77777777" w:rsidR="00B22616" w:rsidRPr="00B22616" w:rsidRDefault="00B22616" w:rsidP="00B22616"/>
        </w:tc>
        <w:tc>
          <w:tcPr>
            <w:tcW w:w="941" w:type="dxa"/>
            <w:hideMark/>
          </w:tcPr>
          <w:p w14:paraId="45CCB6F9" w14:textId="77777777" w:rsidR="00B22616" w:rsidRPr="00B22616" w:rsidRDefault="00B22616" w:rsidP="00B22616"/>
        </w:tc>
        <w:tc>
          <w:tcPr>
            <w:tcW w:w="1296" w:type="dxa"/>
            <w:hideMark/>
          </w:tcPr>
          <w:p w14:paraId="59943B08" w14:textId="77777777" w:rsidR="00B22616" w:rsidRPr="00B22616" w:rsidRDefault="00B22616" w:rsidP="00B22616"/>
        </w:tc>
      </w:tr>
    </w:tbl>
    <w:p w14:paraId="52A635E6" w14:textId="77777777" w:rsidR="00B22616" w:rsidRPr="00B22616" w:rsidRDefault="00B22616" w:rsidP="00841748">
      <w:pPr>
        <w:pStyle w:val="NoSpacing"/>
      </w:pPr>
      <w:r w:rsidRPr="00B22616">
        <w:rPr>
          <w:i/>
          <w:iCs/>
        </w:rPr>
        <w:t>Note</w:t>
      </w:r>
      <w:r w:rsidRPr="00B22616">
        <w:t>: Dependent variable = mean speed change.</w:t>
      </w:r>
    </w:p>
    <w:p w14:paraId="25C5006F" w14:textId="47F53443" w:rsidR="00B22616" w:rsidRDefault="00B22616" w:rsidP="00841748">
      <w:pPr>
        <w:pStyle w:val="NoSpacing"/>
      </w:pPr>
      <w:proofErr w:type="spellStart"/>
      <w:r w:rsidRPr="00841748">
        <w:rPr>
          <w:vertAlign w:val="superscript"/>
        </w:rPr>
        <w:t>a</w:t>
      </w:r>
      <w:r w:rsidRPr="00B22616">
        <w:rPr>
          <w:i/>
          <w:iCs/>
        </w:rPr>
        <w:t>R</w:t>
      </w:r>
      <w:proofErr w:type="spellEnd"/>
      <w:r w:rsidRPr="00B22616">
        <w:t> squared = .028 (adjusted </w:t>
      </w:r>
      <w:r w:rsidRPr="00B22616">
        <w:rPr>
          <w:i/>
          <w:iCs/>
        </w:rPr>
        <w:t>R</w:t>
      </w:r>
      <w:r w:rsidRPr="00B22616">
        <w:t> squared = .019).</w:t>
      </w:r>
    </w:p>
    <w:p w14:paraId="2B545C51" w14:textId="77777777" w:rsidR="00841748" w:rsidRPr="00B22616" w:rsidRDefault="00841748" w:rsidP="00B22616"/>
    <w:p w14:paraId="11AE70ED" w14:textId="1D74378D" w:rsidR="00B22616" w:rsidRPr="00B22616" w:rsidRDefault="00B22616" w:rsidP="00B22616">
      <w:r w:rsidRPr="00B22616">
        <w:t>Further UNIANOVA tests were performed to determine which factors were causing the significance in the interaction between vehicle class and case. </w:t>
      </w:r>
      <w:bookmarkStart w:id="32" w:name="btbl5"/>
      <w:r w:rsidRPr="00170864">
        <w:t>Table 5</w:t>
      </w:r>
      <w:bookmarkEnd w:id="32"/>
      <w:r w:rsidRPr="00B22616">
        <w:t> shows a comparison of each individual vehicle class with the cases. It indicates that the significance is between one or more of the three sign cases and the passenger car and truck classes only, with significance values of 0.000 and 0.060, respectively.</w:t>
      </w:r>
    </w:p>
    <w:p w14:paraId="6C2EFC53" w14:textId="77777777" w:rsidR="00B22616" w:rsidRPr="00B22616" w:rsidRDefault="00B22616" w:rsidP="00841748">
      <w:pPr>
        <w:spacing w:after="0"/>
      </w:pPr>
      <w:r w:rsidRPr="00B22616">
        <w:t>Table 5. Comparison of individual vehicle classes with cases.</w:t>
      </w:r>
    </w:p>
    <w:tbl>
      <w:tblPr>
        <w:tblStyle w:val="TableGrid"/>
        <w:tblW w:w="0" w:type="auto"/>
        <w:tblLook w:val="04A0" w:firstRow="1" w:lastRow="0" w:firstColumn="1" w:lastColumn="0" w:noHBand="0" w:noVBand="1"/>
      </w:tblPr>
      <w:tblGrid>
        <w:gridCol w:w="2335"/>
        <w:gridCol w:w="1530"/>
        <w:gridCol w:w="1170"/>
        <w:gridCol w:w="1260"/>
        <w:gridCol w:w="1041"/>
        <w:gridCol w:w="718"/>
        <w:gridCol w:w="1296"/>
      </w:tblGrid>
      <w:tr w:rsidR="00B22616" w:rsidRPr="00B22616" w14:paraId="23359020" w14:textId="77777777" w:rsidTr="00841748">
        <w:tc>
          <w:tcPr>
            <w:tcW w:w="2335" w:type="dxa"/>
            <w:hideMark/>
          </w:tcPr>
          <w:p w14:paraId="61930040" w14:textId="77777777" w:rsidR="00B22616" w:rsidRPr="00B22616" w:rsidRDefault="00B22616" w:rsidP="00B22616">
            <w:pPr>
              <w:rPr>
                <w:b/>
                <w:bCs/>
              </w:rPr>
            </w:pPr>
            <w:r w:rsidRPr="00B22616">
              <w:rPr>
                <w:b/>
                <w:bCs/>
              </w:rPr>
              <w:t>Vehicle class</w:t>
            </w:r>
          </w:p>
        </w:tc>
        <w:tc>
          <w:tcPr>
            <w:tcW w:w="1530" w:type="dxa"/>
            <w:hideMark/>
          </w:tcPr>
          <w:p w14:paraId="5F7D7A14" w14:textId="77777777" w:rsidR="00B22616" w:rsidRPr="00B22616" w:rsidRDefault="00B22616" w:rsidP="00B22616">
            <w:pPr>
              <w:rPr>
                <w:b/>
                <w:bCs/>
              </w:rPr>
            </w:pPr>
            <w:r w:rsidRPr="00B22616">
              <w:rPr>
                <w:b/>
                <w:bCs/>
              </w:rPr>
              <w:t>Analysis type</w:t>
            </w:r>
          </w:p>
        </w:tc>
        <w:tc>
          <w:tcPr>
            <w:tcW w:w="1170" w:type="dxa"/>
            <w:hideMark/>
          </w:tcPr>
          <w:p w14:paraId="6BC14181" w14:textId="77777777" w:rsidR="00B22616" w:rsidRPr="00B22616" w:rsidRDefault="00B22616" w:rsidP="00B22616">
            <w:pPr>
              <w:rPr>
                <w:b/>
                <w:bCs/>
              </w:rPr>
            </w:pPr>
            <w:r w:rsidRPr="00B22616">
              <w:rPr>
                <w:b/>
                <w:bCs/>
              </w:rPr>
              <w:t>Sum of squares</w:t>
            </w:r>
          </w:p>
        </w:tc>
        <w:tc>
          <w:tcPr>
            <w:tcW w:w="1260" w:type="dxa"/>
            <w:hideMark/>
          </w:tcPr>
          <w:p w14:paraId="6FFAF5CF" w14:textId="77777777" w:rsidR="00B22616" w:rsidRPr="00B22616" w:rsidRDefault="00B22616" w:rsidP="00B22616">
            <w:pPr>
              <w:rPr>
                <w:b/>
                <w:bCs/>
              </w:rPr>
            </w:pPr>
            <w:r w:rsidRPr="00B22616">
              <w:rPr>
                <w:b/>
                <w:bCs/>
              </w:rPr>
              <w:t>Degrees of freedom</w:t>
            </w:r>
          </w:p>
        </w:tc>
        <w:tc>
          <w:tcPr>
            <w:tcW w:w="1041" w:type="dxa"/>
            <w:hideMark/>
          </w:tcPr>
          <w:p w14:paraId="09B50176" w14:textId="77777777" w:rsidR="00B22616" w:rsidRPr="00B22616" w:rsidRDefault="00B22616" w:rsidP="00B22616">
            <w:pPr>
              <w:rPr>
                <w:b/>
                <w:bCs/>
              </w:rPr>
            </w:pPr>
            <w:r w:rsidRPr="00B22616">
              <w:rPr>
                <w:b/>
                <w:bCs/>
              </w:rPr>
              <w:t>Mean square</w:t>
            </w:r>
          </w:p>
        </w:tc>
        <w:tc>
          <w:tcPr>
            <w:tcW w:w="0" w:type="auto"/>
            <w:hideMark/>
          </w:tcPr>
          <w:p w14:paraId="0005B7B4" w14:textId="77777777" w:rsidR="00B22616" w:rsidRPr="00B22616" w:rsidRDefault="00B22616" w:rsidP="00B22616">
            <w:pPr>
              <w:rPr>
                <w:b/>
                <w:bCs/>
              </w:rPr>
            </w:pPr>
            <w:r w:rsidRPr="00B22616">
              <w:rPr>
                <w:b/>
                <w:bCs/>
                <w:i/>
                <w:iCs/>
              </w:rPr>
              <w:t>F</w:t>
            </w:r>
          </w:p>
        </w:tc>
        <w:tc>
          <w:tcPr>
            <w:tcW w:w="0" w:type="auto"/>
            <w:hideMark/>
          </w:tcPr>
          <w:p w14:paraId="766531D4" w14:textId="77777777" w:rsidR="00B22616" w:rsidRPr="00B22616" w:rsidRDefault="00B22616" w:rsidP="00B22616">
            <w:pPr>
              <w:rPr>
                <w:b/>
                <w:bCs/>
              </w:rPr>
            </w:pPr>
            <w:r w:rsidRPr="00B22616">
              <w:rPr>
                <w:b/>
                <w:bCs/>
              </w:rPr>
              <w:t>Significance</w:t>
            </w:r>
          </w:p>
        </w:tc>
      </w:tr>
      <w:tr w:rsidR="00B22616" w:rsidRPr="00B22616" w14:paraId="77BDCE13" w14:textId="77777777" w:rsidTr="00841748">
        <w:tc>
          <w:tcPr>
            <w:tcW w:w="2335" w:type="dxa"/>
            <w:hideMark/>
          </w:tcPr>
          <w:p w14:paraId="58E6D17F" w14:textId="77777777" w:rsidR="00B22616" w:rsidRPr="00B22616" w:rsidRDefault="00B22616" w:rsidP="00B22616">
            <w:r w:rsidRPr="00B22616">
              <w:t>Passenger car</w:t>
            </w:r>
          </w:p>
        </w:tc>
        <w:tc>
          <w:tcPr>
            <w:tcW w:w="1530" w:type="dxa"/>
            <w:hideMark/>
          </w:tcPr>
          <w:p w14:paraId="29FFE5FB" w14:textId="77777777" w:rsidR="00B22616" w:rsidRPr="00B22616" w:rsidRDefault="00B22616" w:rsidP="00B22616">
            <w:r w:rsidRPr="00B22616">
              <w:t>Contrast</w:t>
            </w:r>
          </w:p>
        </w:tc>
        <w:tc>
          <w:tcPr>
            <w:tcW w:w="1170" w:type="dxa"/>
            <w:hideMark/>
          </w:tcPr>
          <w:p w14:paraId="592696CA" w14:textId="77777777" w:rsidR="00B22616" w:rsidRPr="00B22616" w:rsidRDefault="00B22616" w:rsidP="00B22616">
            <w:r w:rsidRPr="00B22616">
              <w:t>478.505</w:t>
            </w:r>
          </w:p>
        </w:tc>
        <w:tc>
          <w:tcPr>
            <w:tcW w:w="1260" w:type="dxa"/>
            <w:hideMark/>
          </w:tcPr>
          <w:p w14:paraId="38739D99" w14:textId="77777777" w:rsidR="00B22616" w:rsidRPr="00B22616" w:rsidRDefault="00B22616" w:rsidP="00B22616">
            <w:r w:rsidRPr="00B22616">
              <w:t>2</w:t>
            </w:r>
          </w:p>
        </w:tc>
        <w:tc>
          <w:tcPr>
            <w:tcW w:w="1041" w:type="dxa"/>
            <w:hideMark/>
          </w:tcPr>
          <w:p w14:paraId="4671C4BB" w14:textId="77777777" w:rsidR="00B22616" w:rsidRPr="00B22616" w:rsidRDefault="00B22616" w:rsidP="00B22616">
            <w:r w:rsidRPr="00B22616">
              <w:t>239.252</w:t>
            </w:r>
          </w:p>
        </w:tc>
        <w:tc>
          <w:tcPr>
            <w:tcW w:w="0" w:type="auto"/>
            <w:hideMark/>
          </w:tcPr>
          <w:p w14:paraId="15952515" w14:textId="77777777" w:rsidR="00B22616" w:rsidRPr="00B22616" w:rsidRDefault="00B22616" w:rsidP="00B22616">
            <w:r w:rsidRPr="00B22616">
              <w:t>7.692</w:t>
            </w:r>
          </w:p>
        </w:tc>
        <w:tc>
          <w:tcPr>
            <w:tcW w:w="0" w:type="auto"/>
            <w:hideMark/>
          </w:tcPr>
          <w:p w14:paraId="15BC66BB" w14:textId="77777777" w:rsidR="00B22616" w:rsidRPr="00B22616" w:rsidRDefault="00B22616" w:rsidP="00B22616">
            <w:r w:rsidRPr="00B22616">
              <w:rPr>
                <w:b/>
                <w:bCs/>
              </w:rPr>
              <w:t>0.000</w:t>
            </w:r>
          </w:p>
        </w:tc>
      </w:tr>
      <w:tr w:rsidR="00B22616" w:rsidRPr="00B22616" w14:paraId="5A8A497D" w14:textId="77777777" w:rsidTr="00841748">
        <w:tc>
          <w:tcPr>
            <w:tcW w:w="2335" w:type="dxa"/>
            <w:hideMark/>
          </w:tcPr>
          <w:p w14:paraId="4797AD4E" w14:textId="77777777" w:rsidR="00B22616" w:rsidRPr="00B22616" w:rsidRDefault="00B22616" w:rsidP="00B22616"/>
        </w:tc>
        <w:tc>
          <w:tcPr>
            <w:tcW w:w="1530" w:type="dxa"/>
            <w:hideMark/>
          </w:tcPr>
          <w:p w14:paraId="20E073A9" w14:textId="77777777" w:rsidR="00B22616" w:rsidRPr="00B22616" w:rsidRDefault="00B22616" w:rsidP="00B22616">
            <w:r w:rsidRPr="00B22616">
              <w:t>Error</w:t>
            </w:r>
          </w:p>
        </w:tc>
        <w:tc>
          <w:tcPr>
            <w:tcW w:w="1170" w:type="dxa"/>
            <w:hideMark/>
          </w:tcPr>
          <w:p w14:paraId="5DC1EA91" w14:textId="77777777" w:rsidR="00B22616" w:rsidRPr="00B22616" w:rsidRDefault="00B22616" w:rsidP="00B22616">
            <w:r w:rsidRPr="00B22616">
              <w:t>26968.54</w:t>
            </w:r>
          </w:p>
        </w:tc>
        <w:tc>
          <w:tcPr>
            <w:tcW w:w="1260" w:type="dxa"/>
            <w:hideMark/>
          </w:tcPr>
          <w:p w14:paraId="7350A426" w14:textId="77777777" w:rsidR="00B22616" w:rsidRPr="00B22616" w:rsidRDefault="00B22616" w:rsidP="00B22616">
            <w:r w:rsidRPr="00B22616">
              <w:t>867</w:t>
            </w:r>
          </w:p>
        </w:tc>
        <w:tc>
          <w:tcPr>
            <w:tcW w:w="1041" w:type="dxa"/>
            <w:hideMark/>
          </w:tcPr>
          <w:p w14:paraId="77B64016" w14:textId="77777777" w:rsidR="00B22616" w:rsidRPr="00B22616" w:rsidRDefault="00B22616" w:rsidP="00B22616">
            <w:r w:rsidRPr="00B22616">
              <w:t>31.106</w:t>
            </w:r>
          </w:p>
        </w:tc>
        <w:tc>
          <w:tcPr>
            <w:tcW w:w="0" w:type="auto"/>
            <w:hideMark/>
          </w:tcPr>
          <w:p w14:paraId="25C5769E" w14:textId="77777777" w:rsidR="00B22616" w:rsidRPr="00B22616" w:rsidRDefault="00B22616" w:rsidP="00B22616"/>
        </w:tc>
        <w:tc>
          <w:tcPr>
            <w:tcW w:w="0" w:type="auto"/>
            <w:hideMark/>
          </w:tcPr>
          <w:p w14:paraId="23645129" w14:textId="77777777" w:rsidR="00B22616" w:rsidRPr="00B22616" w:rsidRDefault="00B22616" w:rsidP="00B22616"/>
        </w:tc>
      </w:tr>
      <w:tr w:rsidR="00B22616" w:rsidRPr="00B22616" w14:paraId="6B1D8C74" w14:textId="77777777" w:rsidTr="00841748">
        <w:tc>
          <w:tcPr>
            <w:tcW w:w="2335" w:type="dxa"/>
            <w:hideMark/>
          </w:tcPr>
          <w:p w14:paraId="06323813" w14:textId="77777777" w:rsidR="00B22616" w:rsidRPr="00B22616" w:rsidRDefault="00B22616" w:rsidP="00B22616">
            <w:r w:rsidRPr="00B22616">
              <w:t>Truck</w:t>
            </w:r>
          </w:p>
        </w:tc>
        <w:tc>
          <w:tcPr>
            <w:tcW w:w="1530" w:type="dxa"/>
            <w:hideMark/>
          </w:tcPr>
          <w:p w14:paraId="4F9DE773" w14:textId="77777777" w:rsidR="00B22616" w:rsidRPr="00B22616" w:rsidRDefault="00B22616" w:rsidP="00B22616">
            <w:r w:rsidRPr="00B22616">
              <w:t>Contrast</w:t>
            </w:r>
          </w:p>
        </w:tc>
        <w:tc>
          <w:tcPr>
            <w:tcW w:w="1170" w:type="dxa"/>
            <w:hideMark/>
          </w:tcPr>
          <w:p w14:paraId="77C5099B" w14:textId="77777777" w:rsidR="00B22616" w:rsidRPr="00B22616" w:rsidRDefault="00B22616" w:rsidP="00B22616">
            <w:r w:rsidRPr="00B22616">
              <w:t>175.1</w:t>
            </w:r>
          </w:p>
        </w:tc>
        <w:tc>
          <w:tcPr>
            <w:tcW w:w="1260" w:type="dxa"/>
            <w:hideMark/>
          </w:tcPr>
          <w:p w14:paraId="5D0E6F8D" w14:textId="77777777" w:rsidR="00B22616" w:rsidRPr="00B22616" w:rsidRDefault="00B22616" w:rsidP="00B22616">
            <w:r w:rsidRPr="00B22616">
              <w:t>2</w:t>
            </w:r>
          </w:p>
        </w:tc>
        <w:tc>
          <w:tcPr>
            <w:tcW w:w="1041" w:type="dxa"/>
            <w:hideMark/>
          </w:tcPr>
          <w:p w14:paraId="0DDA51F6" w14:textId="77777777" w:rsidR="00B22616" w:rsidRPr="00B22616" w:rsidRDefault="00B22616" w:rsidP="00B22616">
            <w:r w:rsidRPr="00B22616">
              <w:t>87.55</w:t>
            </w:r>
          </w:p>
        </w:tc>
        <w:tc>
          <w:tcPr>
            <w:tcW w:w="0" w:type="auto"/>
            <w:hideMark/>
          </w:tcPr>
          <w:p w14:paraId="0B8706C3" w14:textId="77777777" w:rsidR="00B22616" w:rsidRPr="00B22616" w:rsidRDefault="00B22616" w:rsidP="00B22616">
            <w:r w:rsidRPr="00B22616">
              <w:t>2.815</w:t>
            </w:r>
          </w:p>
        </w:tc>
        <w:tc>
          <w:tcPr>
            <w:tcW w:w="0" w:type="auto"/>
            <w:hideMark/>
          </w:tcPr>
          <w:p w14:paraId="561B29C0" w14:textId="77777777" w:rsidR="00B22616" w:rsidRPr="00B22616" w:rsidRDefault="00B22616" w:rsidP="00B22616">
            <w:r w:rsidRPr="00B22616">
              <w:rPr>
                <w:b/>
                <w:bCs/>
              </w:rPr>
              <w:t>0.060</w:t>
            </w:r>
          </w:p>
        </w:tc>
      </w:tr>
      <w:tr w:rsidR="00B22616" w:rsidRPr="00B22616" w14:paraId="0E289052" w14:textId="77777777" w:rsidTr="00841748">
        <w:tc>
          <w:tcPr>
            <w:tcW w:w="2335" w:type="dxa"/>
            <w:hideMark/>
          </w:tcPr>
          <w:p w14:paraId="67A238F2" w14:textId="77777777" w:rsidR="00B22616" w:rsidRPr="00B22616" w:rsidRDefault="00B22616" w:rsidP="00B22616"/>
        </w:tc>
        <w:tc>
          <w:tcPr>
            <w:tcW w:w="1530" w:type="dxa"/>
            <w:hideMark/>
          </w:tcPr>
          <w:p w14:paraId="556F9107" w14:textId="77777777" w:rsidR="00B22616" w:rsidRPr="00B22616" w:rsidRDefault="00B22616" w:rsidP="00B22616">
            <w:r w:rsidRPr="00B22616">
              <w:t>Error</w:t>
            </w:r>
          </w:p>
        </w:tc>
        <w:tc>
          <w:tcPr>
            <w:tcW w:w="1170" w:type="dxa"/>
            <w:hideMark/>
          </w:tcPr>
          <w:p w14:paraId="341B8FB6" w14:textId="77777777" w:rsidR="00B22616" w:rsidRPr="00B22616" w:rsidRDefault="00B22616" w:rsidP="00B22616">
            <w:r w:rsidRPr="00B22616">
              <w:t>26968.54</w:t>
            </w:r>
          </w:p>
        </w:tc>
        <w:tc>
          <w:tcPr>
            <w:tcW w:w="1260" w:type="dxa"/>
            <w:hideMark/>
          </w:tcPr>
          <w:p w14:paraId="20650E9D" w14:textId="77777777" w:rsidR="00B22616" w:rsidRPr="00B22616" w:rsidRDefault="00B22616" w:rsidP="00B22616">
            <w:r w:rsidRPr="00B22616">
              <w:t>867</w:t>
            </w:r>
          </w:p>
        </w:tc>
        <w:tc>
          <w:tcPr>
            <w:tcW w:w="1041" w:type="dxa"/>
            <w:hideMark/>
          </w:tcPr>
          <w:p w14:paraId="5FEE5A2D" w14:textId="77777777" w:rsidR="00B22616" w:rsidRPr="00B22616" w:rsidRDefault="00B22616" w:rsidP="00B22616">
            <w:r w:rsidRPr="00B22616">
              <w:t>31.106</w:t>
            </w:r>
          </w:p>
        </w:tc>
        <w:tc>
          <w:tcPr>
            <w:tcW w:w="0" w:type="auto"/>
            <w:hideMark/>
          </w:tcPr>
          <w:p w14:paraId="56065294" w14:textId="77777777" w:rsidR="00B22616" w:rsidRPr="00B22616" w:rsidRDefault="00B22616" w:rsidP="00B22616"/>
        </w:tc>
        <w:tc>
          <w:tcPr>
            <w:tcW w:w="0" w:type="auto"/>
            <w:hideMark/>
          </w:tcPr>
          <w:p w14:paraId="4B9AD6A0" w14:textId="77777777" w:rsidR="00B22616" w:rsidRPr="00B22616" w:rsidRDefault="00B22616" w:rsidP="00B22616"/>
        </w:tc>
      </w:tr>
      <w:tr w:rsidR="00B22616" w:rsidRPr="00B22616" w14:paraId="209D1916" w14:textId="77777777" w:rsidTr="00841748">
        <w:tc>
          <w:tcPr>
            <w:tcW w:w="2335" w:type="dxa"/>
            <w:hideMark/>
          </w:tcPr>
          <w:p w14:paraId="4535453F" w14:textId="77777777" w:rsidR="00B22616" w:rsidRPr="00B22616" w:rsidRDefault="00B22616" w:rsidP="00B22616">
            <w:r w:rsidRPr="00B22616">
              <w:t>Semitrailer</w:t>
            </w:r>
          </w:p>
        </w:tc>
        <w:tc>
          <w:tcPr>
            <w:tcW w:w="1530" w:type="dxa"/>
            <w:hideMark/>
          </w:tcPr>
          <w:p w14:paraId="27AE6937" w14:textId="77777777" w:rsidR="00B22616" w:rsidRPr="00B22616" w:rsidRDefault="00B22616" w:rsidP="00B22616">
            <w:r w:rsidRPr="00B22616">
              <w:t>Contrast</w:t>
            </w:r>
          </w:p>
        </w:tc>
        <w:tc>
          <w:tcPr>
            <w:tcW w:w="1170" w:type="dxa"/>
            <w:hideMark/>
          </w:tcPr>
          <w:p w14:paraId="690728F6" w14:textId="77777777" w:rsidR="00B22616" w:rsidRPr="00B22616" w:rsidRDefault="00B22616" w:rsidP="00B22616">
            <w:r w:rsidRPr="00B22616">
              <w:t>22.268</w:t>
            </w:r>
          </w:p>
        </w:tc>
        <w:tc>
          <w:tcPr>
            <w:tcW w:w="1260" w:type="dxa"/>
            <w:hideMark/>
          </w:tcPr>
          <w:p w14:paraId="52BB583B" w14:textId="77777777" w:rsidR="00B22616" w:rsidRPr="00B22616" w:rsidRDefault="00B22616" w:rsidP="00B22616">
            <w:r w:rsidRPr="00B22616">
              <w:t>2</w:t>
            </w:r>
          </w:p>
        </w:tc>
        <w:tc>
          <w:tcPr>
            <w:tcW w:w="1041" w:type="dxa"/>
            <w:hideMark/>
          </w:tcPr>
          <w:p w14:paraId="7834BABA" w14:textId="77777777" w:rsidR="00B22616" w:rsidRPr="00B22616" w:rsidRDefault="00B22616" w:rsidP="00B22616">
            <w:r w:rsidRPr="00B22616">
              <w:t>11.134</w:t>
            </w:r>
          </w:p>
        </w:tc>
        <w:tc>
          <w:tcPr>
            <w:tcW w:w="0" w:type="auto"/>
            <w:hideMark/>
          </w:tcPr>
          <w:p w14:paraId="19EC75F9" w14:textId="77777777" w:rsidR="00B22616" w:rsidRPr="00B22616" w:rsidRDefault="00B22616" w:rsidP="00B22616">
            <w:r w:rsidRPr="00B22616">
              <w:t>0.358</w:t>
            </w:r>
          </w:p>
        </w:tc>
        <w:tc>
          <w:tcPr>
            <w:tcW w:w="0" w:type="auto"/>
            <w:hideMark/>
          </w:tcPr>
          <w:p w14:paraId="1F768370" w14:textId="77777777" w:rsidR="00B22616" w:rsidRPr="00B22616" w:rsidRDefault="00B22616" w:rsidP="00B22616">
            <w:r w:rsidRPr="00B22616">
              <w:t>0.699</w:t>
            </w:r>
          </w:p>
        </w:tc>
      </w:tr>
      <w:tr w:rsidR="00B22616" w:rsidRPr="00B22616" w14:paraId="43E28C04" w14:textId="77777777" w:rsidTr="00841748">
        <w:tc>
          <w:tcPr>
            <w:tcW w:w="2335" w:type="dxa"/>
            <w:hideMark/>
          </w:tcPr>
          <w:p w14:paraId="45D819B6" w14:textId="77777777" w:rsidR="00B22616" w:rsidRPr="00B22616" w:rsidRDefault="00B22616" w:rsidP="00B22616"/>
        </w:tc>
        <w:tc>
          <w:tcPr>
            <w:tcW w:w="1530" w:type="dxa"/>
            <w:hideMark/>
          </w:tcPr>
          <w:p w14:paraId="0E5F4837" w14:textId="77777777" w:rsidR="00B22616" w:rsidRPr="00B22616" w:rsidRDefault="00B22616" w:rsidP="00B22616">
            <w:r w:rsidRPr="00B22616">
              <w:t>Error</w:t>
            </w:r>
          </w:p>
        </w:tc>
        <w:tc>
          <w:tcPr>
            <w:tcW w:w="1170" w:type="dxa"/>
            <w:hideMark/>
          </w:tcPr>
          <w:p w14:paraId="78622B70" w14:textId="77777777" w:rsidR="00B22616" w:rsidRPr="00B22616" w:rsidRDefault="00B22616" w:rsidP="00B22616">
            <w:r w:rsidRPr="00B22616">
              <w:t>26968.54</w:t>
            </w:r>
          </w:p>
        </w:tc>
        <w:tc>
          <w:tcPr>
            <w:tcW w:w="1260" w:type="dxa"/>
            <w:hideMark/>
          </w:tcPr>
          <w:p w14:paraId="69295023" w14:textId="77777777" w:rsidR="00B22616" w:rsidRPr="00B22616" w:rsidRDefault="00B22616" w:rsidP="00B22616">
            <w:r w:rsidRPr="00B22616">
              <w:t>867</w:t>
            </w:r>
          </w:p>
        </w:tc>
        <w:tc>
          <w:tcPr>
            <w:tcW w:w="1041" w:type="dxa"/>
            <w:hideMark/>
          </w:tcPr>
          <w:p w14:paraId="70F430A5" w14:textId="77777777" w:rsidR="00B22616" w:rsidRPr="00B22616" w:rsidRDefault="00B22616" w:rsidP="00B22616">
            <w:r w:rsidRPr="00B22616">
              <w:t>31.106</w:t>
            </w:r>
          </w:p>
        </w:tc>
        <w:tc>
          <w:tcPr>
            <w:tcW w:w="0" w:type="auto"/>
            <w:hideMark/>
          </w:tcPr>
          <w:p w14:paraId="62FB134A" w14:textId="77777777" w:rsidR="00B22616" w:rsidRPr="00B22616" w:rsidRDefault="00B22616" w:rsidP="00B22616"/>
        </w:tc>
        <w:tc>
          <w:tcPr>
            <w:tcW w:w="0" w:type="auto"/>
            <w:hideMark/>
          </w:tcPr>
          <w:p w14:paraId="551FE6B5" w14:textId="77777777" w:rsidR="00B22616" w:rsidRPr="00B22616" w:rsidRDefault="00B22616" w:rsidP="00B22616"/>
        </w:tc>
      </w:tr>
    </w:tbl>
    <w:p w14:paraId="65223C42" w14:textId="77777777" w:rsidR="00B22616" w:rsidRDefault="00B22616" w:rsidP="00841748">
      <w:pPr>
        <w:pStyle w:val="NoSpacing"/>
      </w:pPr>
      <w:r w:rsidRPr="00B22616">
        <w:rPr>
          <w:i/>
          <w:iCs/>
        </w:rPr>
        <w:t>Note</w:t>
      </w:r>
      <w:r w:rsidRPr="00B22616">
        <w:t>: Each </w:t>
      </w:r>
      <w:r w:rsidRPr="00B22616">
        <w:rPr>
          <w:i/>
          <w:iCs/>
        </w:rPr>
        <w:t>F</w:t>
      </w:r>
      <w:r w:rsidRPr="00B22616">
        <w:t> tests the simple effects of sign case within each level combination of the other effects shown. These tests are based on the linearly independent pairwise comparisons among the estimated marginal means.</w:t>
      </w:r>
    </w:p>
    <w:p w14:paraId="3E18E99C" w14:textId="77777777" w:rsidR="00841748" w:rsidRPr="00B22616" w:rsidRDefault="00841748" w:rsidP="00B22616"/>
    <w:p w14:paraId="6D6EA2C4" w14:textId="56FD55E0" w:rsidR="00B22616" w:rsidRPr="00B22616" w:rsidRDefault="00B22616" w:rsidP="00B22616">
      <w:bookmarkStart w:id="33" w:name="btbl6"/>
      <w:r w:rsidRPr="00170864">
        <w:t>Table 6</w:t>
      </w:r>
      <w:r w:rsidRPr="00B22616">
        <w:t> shows a more in-depth pairwise comparison of both the passenger car and truck classes with the three cases. This analysis was performed by taking the data from the specified vehicle class and comparing the mean speed change between only two of the cases at a time to determine significance. The results in </w:t>
      </w:r>
      <w:r w:rsidRPr="00170864">
        <w:t>Table 6</w:t>
      </w:r>
      <w:r w:rsidRPr="00B22616">
        <w:t> indicate that for the passenger car class there was a significant in the difference between the PCMS OFF case and both the PCMS ON and TTS cases, but no significance in the difference between the PCMS ON and TTS cases. </w:t>
      </w:r>
      <w:r w:rsidRPr="00170864">
        <w:t>Table 6</w:t>
      </w:r>
      <w:r w:rsidRPr="00B22616">
        <w:t> also indicates that for the truck class there was a significant difference between the PCMS ON case and TTS case, but no significance in the difference between the PCMS OFF case and the PCMS ON and TTS cases. The most important thing to note about the results in </w:t>
      </w:r>
      <w:r w:rsidRPr="00170864">
        <w:t>Table 6</w:t>
      </w:r>
      <w:bookmarkEnd w:id="33"/>
      <w:r w:rsidRPr="00B22616">
        <w:t> is that the PCMS ON case caused a significantly greater mean speed change than the TTS case. This is important because 43% of vehicles measured during this research were in the truck class.</w:t>
      </w:r>
    </w:p>
    <w:p w14:paraId="48671D88" w14:textId="77777777" w:rsidR="00B22616" w:rsidRPr="00B22616" w:rsidRDefault="00B22616" w:rsidP="00841748">
      <w:pPr>
        <w:spacing w:after="0"/>
      </w:pPr>
      <w:r w:rsidRPr="00B22616">
        <w:t>Table 6. Pairwise comparison of class by case.</w:t>
      </w:r>
    </w:p>
    <w:tbl>
      <w:tblPr>
        <w:tblStyle w:val="TableGrid"/>
        <w:tblW w:w="0" w:type="auto"/>
        <w:tblLook w:val="04A0" w:firstRow="1" w:lastRow="0" w:firstColumn="1" w:lastColumn="0" w:noHBand="0" w:noVBand="1"/>
      </w:tblPr>
      <w:tblGrid>
        <w:gridCol w:w="1206"/>
        <w:gridCol w:w="838"/>
        <w:gridCol w:w="823"/>
        <w:gridCol w:w="1431"/>
        <w:gridCol w:w="812"/>
        <w:gridCol w:w="1365"/>
        <w:gridCol w:w="1895"/>
        <w:gridCol w:w="980"/>
      </w:tblGrid>
      <w:tr w:rsidR="00EC6FF2" w:rsidRPr="00B22616" w14:paraId="75266D14" w14:textId="77777777" w:rsidTr="00841748">
        <w:tc>
          <w:tcPr>
            <w:tcW w:w="0" w:type="auto"/>
            <w:hideMark/>
          </w:tcPr>
          <w:p w14:paraId="36E4CCA3" w14:textId="77777777" w:rsidR="00EC6FF2" w:rsidRPr="00B22616" w:rsidRDefault="00EC6FF2" w:rsidP="00B22616">
            <w:pPr>
              <w:rPr>
                <w:b/>
                <w:bCs/>
              </w:rPr>
            </w:pPr>
            <w:bookmarkStart w:id="34" w:name="btblfn3" w:colFirst="5" w:colLast="6"/>
            <w:r w:rsidRPr="00B22616">
              <w:rPr>
                <w:b/>
                <w:bCs/>
              </w:rPr>
              <w:t>Vehicle class</w:t>
            </w:r>
          </w:p>
        </w:tc>
        <w:tc>
          <w:tcPr>
            <w:tcW w:w="0" w:type="auto"/>
            <w:hideMark/>
          </w:tcPr>
          <w:p w14:paraId="028B6814" w14:textId="77777777" w:rsidR="00EC6FF2" w:rsidRPr="00B22616" w:rsidRDefault="00EC6FF2" w:rsidP="00B22616">
            <w:pPr>
              <w:rPr>
                <w:b/>
                <w:bCs/>
              </w:rPr>
            </w:pPr>
            <w:r w:rsidRPr="00B22616">
              <w:rPr>
                <w:b/>
                <w:bCs/>
              </w:rPr>
              <w:t>(</w:t>
            </w:r>
            <w:r w:rsidRPr="00B22616">
              <w:rPr>
                <w:b/>
                <w:bCs/>
                <w:i/>
                <w:iCs/>
              </w:rPr>
              <w:t>I</w:t>
            </w:r>
            <w:r w:rsidRPr="00B22616">
              <w:rPr>
                <w:b/>
                <w:bCs/>
              </w:rPr>
              <w:t>) Case</w:t>
            </w:r>
          </w:p>
        </w:tc>
        <w:tc>
          <w:tcPr>
            <w:tcW w:w="0" w:type="auto"/>
            <w:hideMark/>
          </w:tcPr>
          <w:p w14:paraId="39247918" w14:textId="77777777" w:rsidR="00EC6FF2" w:rsidRPr="00B22616" w:rsidRDefault="00EC6FF2" w:rsidP="00B22616">
            <w:pPr>
              <w:rPr>
                <w:b/>
                <w:bCs/>
              </w:rPr>
            </w:pPr>
            <w:r w:rsidRPr="00B22616">
              <w:rPr>
                <w:b/>
                <w:bCs/>
              </w:rPr>
              <w:t>(</w:t>
            </w:r>
            <w:r w:rsidRPr="00B22616">
              <w:rPr>
                <w:b/>
                <w:bCs/>
                <w:i/>
                <w:iCs/>
              </w:rPr>
              <w:t>J</w:t>
            </w:r>
            <w:r w:rsidRPr="00B22616">
              <w:rPr>
                <w:b/>
                <w:bCs/>
              </w:rPr>
              <w:t>) Case</w:t>
            </w:r>
          </w:p>
        </w:tc>
        <w:tc>
          <w:tcPr>
            <w:tcW w:w="0" w:type="auto"/>
            <w:hideMark/>
          </w:tcPr>
          <w:p w14:paraId="47465F8B" w14:textId="77777777" w:rsidR="00EC6FF2" w:rsidRPr="00B22616" w:rsidRDefault="00EC6FF2" w:rsidP="00B22616">
            <w:pPr>
              <w:rPr>
                <w:b/>
                <w:bCs/>
              </w:rPr>
            </w:pPr>
            <w:r w:rsidRPr="00B22616">
              <w:rPr>
                <w:b/>
                <w:bCs/>
              </w:rPr>
              <w:t>Mean difference (</w:t>
            </w:r>
            <w:r w:rsidRPr="00B22616">
              <w:rPr>
                <w:b/>
                <w:bCs/>
                <w:i/>
                <w:iCs/>
              </w:rPr>
              <w:t>I</w:t>
            </w:r>
            <w:r w:rsidRPr="00B22616">
              <w:rPr>
                <w:b/>
                <w:bCs/>
              </w:rPr>
              <w:t> − </w:t>
            </w:r>
            <w:r w:rsidRPr="00B22616">
              <w:rPr>
                <w:b/>
                <w:bCs/>
                <w:i/>
                <w:iCs/>
              </w:rPr>
              <w:t>J</w:t>
            </w:r>
            <w:r w:rsidRPr="00B22616">
              <w:rPr>
                <w:b/>
                <w:bCs/>
              </w:rPr>
              <w:t>)</w:t>
            </w:r>
          </w:p>
        </w:tc>
        <w:tc>
          <w:tcPr>
            <w:tcW w:w="0" w:type="auto"/>
            <w:hideMark/>
          </w:tcPr>
          <w:p w14:paraId="71CC2F76" w14:textId="77777777" w:rsidR="00EC6FF2" w:rsidRPr="00B22616" w:rsidRDefault="00EC6FF2" w:rsidP="00B22616">
            <w:pPr>
              <w:rPr>
                <w:b/>
                <w:bCs/>
              </w:rPr>
            </w:pPr>
            <w:r w:rsidRPr="00B22616">
              <w:rPr>
                <w:b/>
                <w:bCs/>
              </w:rPr>
              <w:t>Std. error</w:t>
            </w:r>
          </w:p>
        </w:tc>
        <w:tc>
          <w:tcPr>
            <w:tcW w:w="0" w:type="auto"/>
            <w:hideMark/>
          </w:tcPr>
          <w:p w14:paraId="4145A526" w14:textId="23433AE9" w:rsidR="00EC6FF2" w:rsidRPr="00B22616" w:rsidRDefault="00EC6FF2" w:rsidP="00B22616">
            <w:pPr>
              <w:rPr>
                <w:b/>
                <w:bCs/>
              </w:rPr>
            </w:pPr>
            <w:proofErr w:type="spellStart"/>
            <w:r w:rsidRPr="00B22616">
              <w:rPr>
                <w:b/>
                <w:bCs/>
              </w:rPr>
              <w:t>Significance</w:t>
            </w:r>
            <w:r w:rsidRPr="00170864">
              <w:rPr>
                <w:b/>
                <w:bCs/>
                <w:vertAlign w:val="superscript"/>
              </w:rPr>
              <w:t>a</w:t>
            </w:r>
            <w:proofErr w:type="spellEnd"/>
          </w:p>
        </w:tc>
        <w:tc>
          <w:tcPr>
            <w:tcW w:w="0" w:type="auto"/>
            <w:hideMark/>
          </w:tcPr>
          <w:p w14:paraId="7E9F2390" w14:textId="5DD603EF" w:rsidR="00EC6FF2" w:rsidRPr="00B22616" w:rsidRDefault="00EC6FF2" w:rsidP="00B22616">
            <w:pPr>
              <w:rPr>
                <w:b/>
                <w:bCs/>
              </w:rPr>
            </w:pPr>
            <w:r w:rsidRPr="00B22616">
              <w:rPr>
                <w:b/>
                <w:bCs/>
              </w:rPr>
              <w:t xml:space="preserve">95% Confidence interval for </w:t>
            </w:r>
            <w:proofErr w:type="spellStart"/>
            <w:r w:rsidRPr="00B22616">
              <w:rPr>
                <w:b/>
                <w:bCs/>
              </w:rPr>
              <w:t>difference</w:t>
            </w:r>
            <w:r w:rsidRPr="00170864">
              <w:rPr>
                <w:b/>
                <w:bCs/>
                <w:vertAlign w:val="superscript"/>
              </w:rPr>
              <w:t>a</w:t>
            </w:r>
            <w:proofErr w:type="spellEnd"/>
          </w:p>
        </w:tc>
        <w:tc>
          <w:tcPr>
            <w:tcW w:w="0" w:type="auto"/>
          </w:tcPr>
          <w:p w14:paraId="27DD7035" w14:textId="65FEE4DF" w:rsidR="00EC6FF2" w:rsidRPr="00B22616" w:rsidRDefault="00EC6FF2" w:rsidP="00B22616">
            <w:pPr>
              <w:rPr>
                <w:b/>
                <w:bCs/>
              </w:rPr>
            </w:pPr>
          </w:p>
        </w:tc>
      </w:tr>
      <w:bookmarkEnd w:id="34"/>
      <w:tr w:rsidR="00B22616" w:rsidRPr="00B22616" w14:paraId="479DCEFD" w14:textId="77777777" w:rsidTr="00841748">
        <w:tc>
          <w:tcPr>
            <w:tcW w:w="0" w:type="auto"/>
            <w:hideMark/>
          </w:tcPr>
          <w:p w14:paraId="5E339193" w14:textId="77777777" w:rsidR="00B22616" w:rsidRPr="00B22616" w:rsidRDefault="00B22616" w:rsidP="00B22616">
            <w:pPr>
              <w:rPr>
                <w:b/>
                <w:bCs/>
              </w:rPr>
            </w:pPr>
          </w:p>
        </w:tc>
        <w:tc>
          <w:tcPr>
            <w:tcW w:w="0" w:type="auto"/>
            <w:hideMark/>
          </w:tcPr>
          <w:p w14:paraId="7B64913C" w14:textId="77777777" w:rsidR="00B22616" w:rsidRPr="00B22616" w:rsidRDefault="00B22616" w:rsidP="00B22616">
            <w:pPr>
              <w:rPr>
                <w:b/>
                <w:bCs/>
              </w:rPr>
            </w:pPr>
          </w:p>
        </w:tc>
        <w:tc>
          <w:tcPr>
            <w:tcW w:w="0" w:type="auto"/>
            <w:hideMark/>
          </w:tcPr>
          <w:p w14:paraId="5C24AD05" w14:textId="77777777" w:rsidR="00B22616" w:rsidRPr="00B22616" w:rsidRDefault="00B22616" w:rsidP="00B22616">
            <w:pPr>
              <w:rPr>
                <w:b/>
                <w:bCs/>
              </w:rPr>
            </w:pPr>
          </w:p>
        </w:tc>
        <w:tc>
          <w:tcPr>
            <w:tcW w:w="0" w:type="auto"/>
            <w:hideMark/>
          </w:tcPr>
          <w:p w14:paraId="060E8D55" w14:textId="77777777" w:rsidR="00B22616" w:rsidRPr="00B22616" w:rsidRDefault="00B22616" w:rsidP="00B22616">
            <w:pPr>
              <w:rPr>
                <w:b/>
                <w:bCs/>
              </w:rPr>
            </w:pPr>
          </w:p>
        </w:tc>
        <w:tc>
          <w:tcPr>
            <w:tcW w:w="0" w:type="auto"/>
            <w:hideMark/>
          </w:tcPr>
          <w:p w14:paraId="7750BAA9" w14:textId="77777777" w:rsidR="00B22616" w:rsidRPr="00B22616" w:rsidRDefault="00B22616" w:rsidP="00B22616">
            <w:pPr>
              <w:rPr>
                <w:b/>
                <w:bCs/>
              </w:rPr>
            </w:pPr>
          </w:p>
        </w:tc>
        <w:tc>
          <w:tcPr>
            <w:tcW w:w="0" w:type="auto"/>
            <w:hideMark/>
          </w:tcPr>
          <w:p w14:paraId="6F15DBDB" w14:textId="77777777" w:rsidR="00B22616" w:rsidRPr="00B22616" w:rsidRDefault="00B22616" w:rsidP="00B22616">
            <w:pPr>
              <w:rPr>
                <w:b/>
                <w:bCs/>
              </w:rPr>
            </w:pPr>
          </w:p>
        </w:tc>
        <w:tc>
          <w:tcPr>
            <w:tcW w:w="0" w:type="auto"/>
            <w:hideMark/>
          </w:tcPr>
          <w:p w14:paraId="34A04124" w14:textId="77777777" w:rsidR="00B22616" w:rsidRPr="00B22616" w:rsidRDefault="00B22616" w:rsidP="00B22616">
            <w:pPr>
              <w:rPr>
                <w:b/>
                <w:bCs/>
              </w:rPr>
            </w:pPr>
            <w:r w:rsidRPr="00B22616">
              <w:rPr>
                <w:b/>
                <w:bCs/>
              </w:rPr>
              <w:t>Lower bound</w:t>
            </w:r>
          </w:p>
        </w:tc>
        <w:tc>
          <w:tcPr>
            <w:tcW w:w="0" w:type="auto"/>
            <w:hideMark/>
          </w:tcPr>
          <w:p w14:paraId="02EFE12B" w14:textId="77777777" w:rsidR="00B22616" w:rsidRPr="00B22616" w:rsidRDefault="00B22616" w:rsidP="00B22616">
            <w:pPr>
              <w:rPr>
                <w:b/>
                <w:bCs/>
              </w:rPr>
            </w:pPr>
            <w:r w:rsidRPr="00B22616">
              <w:rPr>
                <w:b/>
                <w:bCs/>
              </w:rPr>
              <w:t>Upper bound</w:t>
            </w:r>
          </w:p>
        </w:tc>
      </w:tr>
      <w:tr w:rsidR="00B22616" w:rsidRPr="00B22616" w14:paraId="7969AEEF" w14:textId="77777777" w:rsidTr="00841748">
        <w:tc>
          <w:tcPr>
            <w:tcW w:w="0" w:type="auto"/>
            <w:hideMark/>
          </w:tcPr>
          <w:p w14:paraId="0C1AABBD" w14:textId="77777777" w:rsidR="00B22616" w:rsidRPr="00B22616" w:rsidRDefault="00B22616" w:rsidP="00B22616">
            <w:bookmarkStart w:id="35" w:name="btblfn2" w:colFirst="3" w:colLast="3"/>
            <w:r w:rsidRPr="00B22616">
              <w:t>Passenger car</w:t>
            </w:r>
          </w:p>
        </w:tc>
        <w:tc>
          <w:tcPr>
            <w:tcW w:w="0" w:type="auto"/>
            <w:hideMark/>
          </w:tcPr>
          <w:p w14:paraId="763B2462" w14:textId="77777777" w:rsidR="00B22616" w:rsidRPr="00B22616" w:rsidRDefault="00B22616" w:rsidP="00B22616">
            <w:r w:rsidRPr="00B22616">
              <w:t>PCMS OFF</w:t>
            </w:r>
          </w:p>
        </w:tc>
        <w:tc>
          <w:tcPr>
            <w:tcW w:w="0" w:type="auto"/>
            <w:hideMark/>
          </w:tcPr>
          <w:p w14:paraId="55EFC2AE" w14:textId="77777777" w:rsidR="00B22616" w:rsidRPr="00B22616" w:rsidRDefault="00B22616" w:rsidP="00B22616">
            <w:r w:rsidRPr="00B22616">
              <w:t>PCMS ON</w:t>
            </w:r>
          </w:p>
        </w:tc>
        <w:tc>
          <w:tcPr>
            <w:tcW w:w="0" w:type="auto"/>
            <w:hideMark/>
          </w:tcPr>
          <w:p w14:paraId="6A0C6972" w14:textId="30224341" w:rsidR="00B22616" w:rsidRPr="00B22616" w:rsidRDefault="00B22616" w:rsidP="00B22616">
            <w:r w:rsidRPr="00B22616">
              <w:t>−1.588</w:t>
            </w:r>
            <w:r w:rsidRPr="00170864">
              <w:rPr>
                <w:rFonts w:ascii="Tahoma" w:hAnsi="Tahoma" w:cs="Tahoma"/>
                <w:vertAlign w:val="superscript"/>
              </w:rPr>
              <w:t>⁎</w:t>
            </w:r>
          </w:p>
        </w:tc>
        <w:tc>
          <w:tcPr>
            <w:tcW w:w="0" w:type="auto"/>
            <w:hideMark/>
          </w:tcPr>
          <w:p w14:paraId="79362B41" w14:textId="77777777" w:rsidR="00B22616" w:rsidRPr="00B22616" w:rsidRDefault="00B22616" w:rsidP="00B22616">
            <w:r w:rsidRPr="00B22616">
              <w:t>0.636</w:t>
            </w:r>
          </w:p>
        </w:tc>
        <w:tc>
          <w:tcPr>
            <w:tcW w:w="0" w:type="auto"/>
            <w:hideMark/>
          </w:tcPr>
          <w:p w14:paraId="2E264B95" w14:textId="77777777" w:rsidR="00B22616" w:rsidRPr="00B22616" w:rsidRDefault="00B22616" w:rsidP="00B22616">
            <w:r w:rsidRPr="00B22616">
              <w:rPr>
                <w:b/>
                <w:bCs/>
              </w:rPr>
              <w:t>0.013</w:t>
            </w:r>
          </w:p>
        </w:tc>
        <w:tc>
          <w:tcPr>
            <w:tcW w:w="0" w:type="auto"/>
            <w:hideMark/>
          </w:tcPr>
          <w:p w14:paraId="0E2E6D6C" w14:textId="77777777" w:rsidR="00B22616" w:rsidRPr="00B22616" w:rsidRDefault="00B22616" w:rsidP="00B22616">
            <w:r w:rsidRPr="00B22616">
              <w:t>−2.839</w:t>
            </w:r>
          </w:p>
        </w:tc>
        <w:tc>
          <w:tcPr>
            <w:tcW w:w="0" w:type="auto"/>
            <w:hideMark/>
          </w:tcPr>
          <w:p w14:paraId="262876FE" w14:textId="77777777" w:rsidR="00B22616" w:rsidRPr="00B22616" w:rsidRDefault="00B22616" w:rsidP="00B22616">
            <w:r w:rsidRPr="00B22616">
              <w:t>−0.338</w:t>
            </w:r>
          </w:p>
        </w:tc>
      </w:tr>
      <w:tr w:rsidR="00B22616" w:rsidRPr="00B22616" w14:paraId="6F383CF1" w14:textId="77777777" w:rsidTr="00841748">
        <w:tc>
          <w:tcPr>
            <w:tcW w:w="0" w:type="auto"/>
            <w:hideMark/>
          </w:tcPr>
          <w:p w14:paraId="6668FDA9" w14:textId="77777777" w:rsidR="00B22616" w:rsidRPr="00B22616" w:rsidRDefault="00B22616" w:rsidP="00B22616"/>
        </w:tc>
        <w:tc>
          <w:tcPr>
            <w:tcW w:w="0" w:type="auto"/>
            <w:hideMark/>
          </w:tcPr>
          <w:p w14:paraId="64D81987" w14:textId="77777777" w:rsidR="00B22616" w:rsidRPr="00B22616" w:rsidRDefault="00B22616" w:rsidP="00B22616">
            <w:r w:rsidRPr="00B22616">
              <w:t>PCMS OFF</w:t>
            </w:r>
          </w:p>
        </w:tc>
        <w:tc>
          <w:tcPr>
            <w:tcW w:w="0" w:type="auto"/>
            <w:hideMark/>
          </w:tcPr>
          <w:p w14:paraId="515847C7" w14:textId="77777777" w:rsidR="00B22616" w:rsidRPr="00B22616" w:rsidRDefault="00B22616" w:rsidP="00B22616">
            <w:r w:rsidRPr="00B22616">
              <w:t>TTS</w:t>
            </w:r>
          </w:p>
        </w:tc>
        <w:tc>
          <w:tcPr>
            <w:tcW w:w="0" w:type="auto"/>
            <w:hideMark/>
          </w:tcPr>
          <w:p w14:paraId="42C6812C" w14:textId="456FA724" w:rsidR="00B22616" w:rsidRPr="00B22616" w:rsidRDefault="00B22616" w:rsidP="00B22616">
            <w:r w:rsidRPr="00B22616">
              <w:t>−2.825</w:t>
            </w:r>
            <w:r w:rsidRPr="00170864">
              <w:rPr>
                <w:rFonts w:ascii="Tahoma" w:hAnsi="Tahoma" w:cs="Tahoma"/>
                <w:vertAlign w:val="superscript"/>
              </w:rPr>
              <w:t>⁎</w:t>
            </w:r>
          </w:p>
        </w:tc>
        <w:tc>
          <w:tcPr>
            <w:tcW w:w="0" w:type="auto"/>
            <w:hideMark/>
          </w:tcPr>
          <w:p w14:paraId="545653B1" w14:textId="77777777" w:rsidR="00B22616" w:rsidRPr="00B22616" w:rsidRDefault="00B22616" w:rsidP="00B22616">
            <w:r w:rsidRPr="00B22616">
              <w:t>0.769</w:t>
            </w:r>
          </w:p>
        </w:tc>
        <w:tc>
          <w:tcPr>
            <w:tcW w:w="0" w:type="auto"/>
            <w:hideMark/>
          </w:tcPr>
          <w:p w14:paraId="0ED59DEC" w14:textId="77777777" w:rsidR="00B22616" w:rsidRPr="00B22616" w:rsidRDefault="00B22616" w:rsidP="00B22616">
            <w:r w:rsidRPr="00B22616">
              <w:rPr>
                <w:b/>
                <w:bCs/>
              </w:rPr>
              <w:t>0.000</w:t>
            </w:r>
          </w:p>
        </w:tc>
        <w:tc>
          <w:tcPr>
            <w:tcW w:w="0" w:type="auto"/>
            <w:hideMark/>
          </w:tcPr>
          <w:p w14:paraId="34181A70" w14:textId="77777777" w:rsidR="00B22616" w:rsidRPr="00B22616" w:rsidRDefault="00B22616" w:rsidP="00B22616">
            <w:r w:rsidRPr="00B22616">
              <w:t>−4.336</w:t>
            </w:r>
          </w:p>
        </w:tc>
        <w:tc>
          <w:tcPr>
            <w:tcW w:w="0" w:type="auto"/>
            <w:hideMark/>
          </w:tcPr>
          <w:p w14:paraId="1BBAFAE7" w14:textId="77777777" w:rsidR="00B22616" w:rsidRPr="00B22616" w:rsidRDefault="00B22616" w:rsidP="00B22616">
            <w:r w:rsidRPr="00B22616">
              <w:t>−1.313</w:t>
            </w:r>
          </w:p>
        </w:tc>
      </w:tr>
      <w:tr w:rsidR="00B22616" w:rsidRPr="00B22616" w14:paraId="6E7F5FD8" w14:textId="77777777" w:rsidTr="00841748">
        <w:tc>
          <w:tcPr>
            <w:tcW w:w="0" w:type="auto"/>
            <w:hideMark/>
          </w:tcPr>
          <w:p w14:paraId="5B86DF43" w14:textId="77777777" w:rsidR="00B22616" w:rsidRPr="00B22616" w:rsidRDefault="00B22616" w:rsidP="00B22616"/>
        </w:tc>
        <w:tc>
          <w:tcPr>
            <w:tcW w:w="0" w:type="auto"/>
            <w:hideMark/>
          </w:tcPr>
          <w:p w14:paraId="602FF4F7" w14:textId="77777777" w:rsidR="00B22616" w:rsidRPr="00B22616" w:rsidRDefault="00B22616" w:rsidP="00B22616">
            <w:r w:rsidRPr="00B22616">
              <w:t>PCMS ON</w:t>
            </w:r>
          </w:p>
        </w:tc>
        <w:tc>
          <w:tcPr>
            <w:tcW w:w="0" w:type="auto"/>
            <w:hideMark/>
          </w:tcPr>
          <w:p w14:paraId="2AD58997" w14:textId="77777777" w:rsidR="00B22616" w:rsidRPr="00B22616" w:rsidRDefault="00B22616" w:rsidP="00B22616">
            <w:r w:rsidRPr="00B22616">
              <w:t>TTS</w:t>
            </w:r>
          </w:p>
        </w:tc>
        <w:tc>
          <w:tcPr>
            <w:tcW w:w="0" w:type="auto"/>
            <w:hideMark/>
          </w:tcPr>
          <w:p w14:paraId="5D0C21DF" w14:textId="77777777" w:rsidR="00B22616" w:rsidRPr="00B22616" w:rsidRDefault="00B22616" w:rsidP="00B22616">
            <w:r w:rsidRPr="00B22616">
              <w:t>−1.236</w:t>
            </w:r>
          </w:p>
        </w:tc>
        <w:tc>
          <w:tcPr>
            <w:tcW w:w="0" w:type="auto"/>
            <w:hideMark/>
          </w:tcPr>
          <w:p w14:paraId="357C54CF" w14:textId="77777777" w:rsidR="00B22616" w:rsidRPr="00B22616" w:rsidRDefault="00B22616" w:rsidP="00B22616">
            <w:r w:rsidRPr="00B22616">
              <w:t>0.813</w:t>
            </w:r>
          </w:p>
        </w:tc>
        <w:tc>
          <w:tcPr>
            <w:tcW w:w="0" w:type="auto"/>
            <w:hideMark/>
          </w:tcPr>
          <w:p w14:paraId="7DCE5925" w14:textId="77777777" w:rsidR="00B22616" w:rsidRPr="00B22616" w:rsidRDefault="00B22616" w:rsidP="00B22616">
            <w:r w:rsidRPr="00B22616">
              <w:t>0.129</w:t>
            </w:r>
          </w:p>
        </w:tc>
        <w:tc>
          <w:tcPr>
            <w:tcW w:w="0" w:type="auto"/>
            <w:hideMark/>
          </w:tcPr>
          <w:p w14:paraId="703ED960" w14:textId="77777777" w:rsidR="00B22616" w:rsidRPr="00B22616" w:rsidRDefault="00B22616" w:rsidP="00B22616">
            <w:r w:rsidRPr="00B22616">
              <w:t>−2.836</w:t>
            </w:r>
          </w:p>
        </w:tc>
        <w:tc>
          <w:tcPr>
            <w:tcW w:w="0" w:type="auto"/>
            <w:hideMark/>
          </w:tcPr>
          <w:p w14:paraId="3626184F" w14:textId="77777777" w:rsidR="00B22616" w:rsidRPr="00B22616" w:rsidRDefault="00B22616" w:rsidP="00B22616">
            <w:r w:rsidRPr="00B22616">
              <w:t>0.363</w:t>
            </w:r>
          </w:p>
        </w:tc>
      </w:tr>
      <w:tr w:rsidR="00B22616" w:rsidRPr="00B22616" w14:paraId="3E5B02C2" w14:textId="77777777" w:rsidTr="00841748">
        <w:tc>
          <w:tcPr>
            <w:tcW w:w="0" w:type="auto"/>
            <w:hideMark/>
          </w:tcPr>
          <w:p w14:paraId="278CD6CF" w14:textId="77777777" w:rsidR="00B22616" w:rsidRPr="00B22616" w:rsidRDefault="00B22616" w:rsidP="00B22616">
            <w:r w:rsidRPr="00B22616">
              <w:t>Truck</w:t>
            </w:r>
          </w:p>
        </w:tc>
        <w:tc>
          <w:tcPr>
            <w:tcW w:w="0" w:type="auto"/>
            <w:hideMark/>
          </w:tcPr>
          <w:p w14:paraId="6119880E" w14:textId="77777777" w:rsidR="00B22616" w:rsidRPr="00B22616" w:rsidRDefault="00B22616" w:rsidP="00B22616">
            <w:r w:rsidRPr="00B22616">
              <w:t>PCMS OFF</w:t>
            </w:r>
          </w:p>
        </w:tc>
        <w:tc>
          <w:tcPr>
            <w:tcW w:w="0" w:type="auto"/>
            <w:hideMark/>
          </w:tcPr>
          <w:p w14:paraId="2B857E84" w14:textId="77777777" w:rsidR="00B22616" w:rsidRPr="00B22616" w:rsidRDefault="00B22616" w:rsidP="00B22616">
            <w:r w:rsidRPr="00B22616">
              <w:t>PCMS ON</w:t>
            </w:r>
          </w:p>
        </w:tc>
        <w:tc>
          <w:tcPr>
            <w:tcW w:w="0" w:type="auto"/>
            <w:hideMark/>
          </w:tcPr>
          <w:p w14:paraId="3B536A57" w14:textId="77777777" w:rsidR="00B22616" w:rsidRPr="00B22616" w:rsidRDefault="00B22616" w:rsidP="00B22616">
            <w:r w:rsidRPr="00B22616">
              <w:t>−1.043</w:t>
            </w:r>
          </w:p>
        </w:tc>
        <w:tc>
          <w:tcPr>
            <w:tcW w:w="0" w:type="auto"/>
            <w:hideMark/>
          </w:tcPr>
          <w:p w14:paraId="0A236406" w14:textId="77777777" w:rsidR="00B22616" w:rsidRPr="00B22616" w:rsidRDefault="00B22616" w:rsidP="00B22616">
            <w:r w:rsidRPr="00B22616">
              <w:t>0.642</w:t>
            </w:r>
          </w:p>
        </w:tc>
        <w:tc>
          <w:tcPr>
            <w:tcW w:w="0" w:type="auto"/>
            <w:hideMark/>
          </w:tcPr>
          <w:p w14:paraId="0AC0FA8C" w14:textId="77777777" w:rsidR="00B22616" w:rsidRPr="00B22616" w:rsidRDefault="00B22616" w:rsidP="00B22616">
            <w:r w:rsidRPr="00B22616">
              <w:t>0.105</w:t>
            </w:r>
          </w:p>
        </w:tc>
        <w:tc>
          <w:tcPr>
            <w:tcW w:w="0" w:type="auto"/>
            <w:hideMark/>
          </w:tcPr>
          <w:p w14:paraId="28588176" w14:textId="77777777" w:rsidR="00B22616" w:rsidRPr="00B22616" w:rsidRDefault="00B22616" w:rsidP="00B22616">
            <w:r w:rsidRPr="00B22616">
              <w:t>−2.305</w:t>
            </w:r>
          </w:p>
        </w:tc>
        <w:tc>
          <w:tcPr>
            <w:tcW w:w="0" w:type="auto"/>
            <w:hideMark/>
          </w:tcPr>
          <w:p w14:paraId="666B52F9" w14:textId="77777777" w:rsidR="00B22616" w:rsidRPr="00B22616" w:rsidRDefault="00B22616" w:rsidP="00B22616">
            <w:r w:rsidRPr="00B22616">
              <w:t>0.219</w:t>
            </w:r>
          </w:p>
        </w:tc>
      </w:tr>
      <w:tr w:rsidR="00B22616" w:rsidRPr="00B22616" w14:paraId="51DFF58F" w14:textId="77777777" w:rsidTr="00841748">
        <w:tc>
          <w:tcPr>
            <w:tcW w:w="0" w:type="auto"/>
            <w:hideMark/>
          </w:tcPr>
          <w:p w14:paraId="4485A052" w14:textId="77777777" w:rsidR="00B22616" w:rsidRPr="00B22616" w:rsidRDefault="00B22616" w:rsidP="00B22616"/>
        </w:tc>
        <w:tc>
          <w:tcPr>
            <w:tcW w:w="0" w:type="auto"/>
            <w:hideMark/>
          </w:tcPr>
          <w:p w14:paraId="55644D71" w14:textId="77777777" w:rsidR="00B22616" w:rsidRPr="00B22616" w:rsidRDefault="00B22616" w:rsidP="00B22616">
            <w:r w:rsidRPr="00B22616">
              <w:t>PCMS OFF</w:t>
            </w:r>
          </w:p>
        </w:tc>
        <w:tc>
          <w:tcPr>
            <w:tcW w:w="0" w:type="auto"/>
            <w:hideMark/>
          </w:tcPr>
          <w:p w14:paraId="03FBD839" w14:textId="77777777" w:rsidR="00B22616" w:rsidRPr="00B22616" w:rsidRDefault="00B22616" w:rsidP="00B22616">
            <w:r w:rsidRPr="00B22616">
              <w:t>TTS</w:t>
            </w:r>
          </w:p>
        </w:tc>
        <w:tc>
          <w:tcPr>
            <w:tcW w:w="0" w:type="auto"/>
            <w:hideMark/>
          </w:tcPr>
          <w:p w14:paraId="6FA2B2F5" w14:textId="77777777" w:rsidR="00B22616" w:rsidRPr="00B22616" w:rsidRDefault="00B22616" w:rsidP="00B22616">
            <w:r w:rsidRPr="00B22616">
              <w:t>0.886</w:t>
            </w:r>
          </w:p>
        </w:tc>
        <w:tc>
          <w:tcPr>
            <w:tcW w:w="0" w:type="auto"/>
            <w:hideMark/>
          </w:tcPr>
          <w:p w14:paraId="4FB8604E" w14:textId="77777777" w:rsidR="00B22616" w:rsidRPr="00B22616" w:rsidRDefault="00B22616" w:rsidP="00B22616">
            <w:r w:rsidRPr="00B22616">
              <w:t>0.910</w:t>
            </w:r>
          </w:p>
        </w:tc>
        <w:tc>
          <w:tcPr>
            <w:tcW w:w="0" w:type="auto"/>
            <w:hideMark/>
          </w:tcPr>
          <w:p w14:paraId="6F53818D" w14:textId="77777777" w:rsidR="00B22616" w:rsidRPr="00B22616" w:rsidRDefault="00B22616" w:rsidP="00B22616">
            <w:r w:rsidRPr="00B22616">
              <w:t>0.331</w:t>
            </w:r>
          </w:p>
        </w:tc>
        <w:tc>
          <w:tcPr>
            <w:tcW w:w="0" w:type="auto"/>
            <w:hideMark/>
          </w:tcPr>
          <w:p w14:paraId="719DE9AB" w14:textId="77777777" w:rsidR="00B22616" w:rsidRPr="00B22616" w:rsidRDefault="00B22616" w:rsidP="00B22616">
            <w:r w:rsidRPr="00B22616">
              <w:t>−0.904</w:t>
            </w:r>
          </w:p>
        </w:tc>
        <w:tc>
          <w:tcPr>
            <w:tcW w:w="0" w:type="auto"/>
            <w:hideMark/>
          </w:tcPr>
          <w:p w14:paraId="521A313E" w14:textId="77777777" w:rsidR="00B22616" w:rsidRPr="00B22616" w:rsidRDefault="00B22616" w:rsidP="00B22616">
            <w:r w:rsidRPr="00B22616">
              <w:t>2.675</w:t>
            </w:r>
          </w:p>
        </w:tc>
      </w:tr>
      <w:tr w:rsidR="00B22616" w:rsidRPr="00B22616" w14:paraId="119A21B6" w14:textId="77777777" w:rsidTr="00841748">
        <w:tc>
          <w:tcPr>
            <w:tcW w:w="0" w:type="auto"/>
            <w:hideMark/>
          </w:tcPr>
          <w:p w14:paraId="17DC4738" w14:textId="77777777" w:rsidR="00B22616" w:rsidRPr="00B22616" w:rsidRDefault="00B22616" w:rsidP="00B22616"/>
        </w:tc>
        <w:tc>
          <w:tcPr>
            <w:tcW w:w="0" w:type="auto"/>
            <w:hideMark/>
          </w:tcPr>
          <w:p w14:paraId="78A4E1C4" w14:textId="77777777" w:rsidR="00B22616" w:rsidRPr="00B22616" w:rsidRDefault="00B22616" w:rsidP="00B22616">
            <w:r w:rsidRPr="00B22616">
              <w:t>PCMS ON</w:t>
            </w:r>
          </w:p>
        </w:tc>
        <w:tc>
          <w:tcPr>
            <w:tcW w:w="0" w:type="auto"/>
            <w:hideMark/>
          </w:tcPr>
          <w:p w14:paraId="687625C5" w14:textId="77777777" w:rsidR="00B22616" w:rsidRPr="00B22616" w:rsidRDefault="00B22616" w:rsidP="00B22616">
            <w:r w:rsidRPr="00B22616">
              <w:t>TTS</w:t>
            </w:r>
          </w:p>
        </w:tc>
        <w:tc>
          <w:tcPr>
            <w:tcW w:w="0" w:type="auto"/>
            <w:hideMark/>
          </w:tcPr>
          <w:p w14:paraId="1793E34A" w14:textId="3727060F" w:rsidR="00B22616" w:rsidRPr="00B22616" w:rsidRDefault="00B22616" w:rsidP="00B22616">
            <w:r w:rsidRPr="00B22616">
              <w:t>1.928</w:t>
            </w:r>
            <w:r w:rsidRPr="00170864">
              <w:rPr>
                <w:rFonts w:ascii="Tahoma" w:hAnsi="Tahoma" w:cs="Tahoma"/>
                <w:vertAlign w:val="superscript"/>
              </w:rPr>
              <w:t>⁎</w:t>
            </w:r>
          </w:p>
        </w:tc>
        <w:tc>
          <w:tcPr>
            <w:tcW w:w="0" w:type="auto"/>
            <w:hideMark/>
          </w:tcPr>
          <w:p w14:paraId="1F8356DE" w14:textId="77777777" w:rsidR="00B22616" w:rsidRPr="00B22616" w:rsidRDefault="00B22616" w:rsidP="00B22616">
            <w:r w:rsidRPr="00B22616">
              <w:t>0.924</w:t>
            </w:r>
          </w:p>
        </w:tc>
        <w:tc>
          <w:tcPr>
            <w:tcW w:w="0" w:type="auto"/>
            <w:hideMark/>
          </w:tcPr>
          <w:p w14:paraId="0CA832FB" w14:textId="77777777" w:rsidR="00B22616" w:rsidRPr="00B22616" w:rsidRDefault="00B22616" w:rsidP="00B22616">
            <w:r w:rsidRPr="00B22616">
              <w:rPr>
                <w:b/>
                <w:bCs/>
              </w:rPr>
              <w:t>0.038</w:t>
            </w:r>
          </w:p>
        </w:tc>
        <w:tc>
          <w:tcPr>
            <w:tcW w:w="0" w:type="auto"/>
            <w:hideMark/>
          </w:tcPr>
          <w:p w14:paraId="2BB880BB" w14:textId="77777777" w:rsidR="00B22616" w:rsidRPr="00B22616" w:rsidRDefault="00B22616" w:rsidP="00B22616">
            <w:r w:rsidRPr="00B22616">
              <w:t>0.112</w:t>
            </w:r>
          </w:p>
        </w:tc>
        <w:tc>
          <w:tcPr>
            <w:tcW w:w="0" w:type="auto"/>
            <w:hideMark/>
          </w:tcPr>
          <w:p w14:paraId="602F4C97" w14:textId="77777777" w:rsidR="00B22616" w:rsidRPr="00B22616" w:rsidRDefault="00B22616" w:rsidP="00B22616">
            <w:r w:rsidRPr="00B22616">
              <w:t>3.745</w:t>
            </w:r>
          </w:p>
        </w:tc>
      </w:tr>
    </w:tbl>
    <w:bookmarkEnd w:id="35"/>
    <w:p w14:paraId="25CE9690" w14:textId="515B742B" w:rsidR="00B22616" w:rsidRPr="00B22616" w:rsidRDefault="00B22616" w:rsidP="00841748">
      <w:pPr>
        <w:pStyle w:val="NoSpacing"/>
      </w:pPr>
      <w:r w:rsidRPr="00B22616">
        <w:rPr>
          <w:rFonts w:ascii="Tahoma" w:hAnsi="Tahoma" w:cs="Tahoma"/>
        </w:rPr>
        <w:t>⁎</w:t>
      </w:r>
      <w:r w:rsidRPr="00B22616">
        <w:t>The mean difference is significant at the .05 level.</w:t>
      </w:r>
    </w:p>
    <w:p w14:paraId="2BDE1F43" w14:textId="619A14DF" w:rsidR="00B22616" w:rsidRDefault="00B22616" w:rsidP="00841748">
      <w:pPr>
        <w:pStyle w:val="NoSpacing"/>
      </w:pPr>
      <w:proofErr w:type="spellStart"/>
      <w:r w:rsidRPr="00841748">
        <w:rPr>
          <w:vertAlign w:val="superscript"/>
        </w:rPr>
        <w:t>a</w:t>
      </w:r>
      <w:r w:rsidRPr="00B22616">
        <w:t>Adjustment</w:t>
      </w:r>
      <w:proofErr w:type="spellEnd"/>
      <w:r w:rsidRPr="00B22616">
        <w:t xml:space="preserve"> for multiple comparisons: least significant difference (equivalent to no adjustments).</w:t>
      </w:r>
    </w:p>
    <w:p w14:paraId="03621B0C" w14:textId="77777777" w:rsidR="00B22616" w:rsidRPr="00B22616" w:rsidRDefault="00B22616" w:rsidP="00FC111B">
      <w:pPr>
        <w:pStyle w:val="Heading1"/>
      </w:pPr>
      <w:r w:rsidRPr="00B22616">
        <w:t>7. Conclusions</w:t>
      </w:r>
    </w:p>
    <w:p w14:paraId="65B441D5" w14:textId="77777777" w:rsidR="00B22616" w:rsidRPr="00B22616" w:rsidRDefault="00B22616" w:rsidP="00B22616">
      <w:r w:rsidRPr="00B22616">
        <w:t>Preservation, rehabilitation, and expansion of rural, two-lane highways require the setup of a large number of work zones. To improve safety in work zones, many types of signage have been developed and employed. However, the effectiveness of some signs has not been quantified. Researchers of this project determined motorists’ responses to signage (PCMS and TTS) in rural, two-lane highway work zones using field experiments. The message displaced on the PCMS was </w:t>
      </w:r>
      <w:r w:rsidRPr="00B22616">
        <w:rPr>
          <w:i/>
          <w:iCs/>
        </w:rPr>
        <w:t>Slow Down</w:t>
      </w:r>
      <w:r w:rsidRPr="00B22616">
        <w:t>, </w:t>
      </w:r>
      <w:r w:rsidRPr="00B22616">
        <w:rPr>
          <w:i/>
          <w:iCs/>
        </w:rPr>
        <w:t>Drive Safely</w:t>
      </w:r>
      <w:r w:rsidRPr="00B22616">
        <w:t>. The data analysis results show that the PCMS was effective in reducing vehicle speeds in two-lane work zones. When the PCMS was turned on, the device reduced passenger car vehicle speeds by 3.9 mph, truck vehicle speeds by 4.7 mph, and semitrailer vehicle speeds by 3.1 mph over a 500 foot distance. When the PCMS was turned off, passenger car vehicle speeds were reduced by 2.4 mph, truck vehicle speeds by 3.7 mph, and semitrailer vehicle speeds by 3.0 mph over a 500 foot distance. When a TTS (no PCMS) was on the road and the vehicles approached the advance warning area, passenger car speeds dropped by 5.2 mph, truck speeds by 2.8 mph, and semitrailer speeds by 5.0 mph over a 500 foot distance. The TTS (W20-1) had more effect on passenger car and semitrailer speeds than the PCMS ON at reducing these types of vehicle speeds. Also, based on the results of the UNIANOVA tests and the pairwise comparison, researchers concluded that the mean speed reduction of truck vehicles caused by PCMS ON was significantly greater than TTS and PCMS OFF. This is important because 43% of vehicles measured during this study were in the truck vehicle class. A reduction in vehicular speed allows for greater reaction time to avoid crashes and potentially creates a safer environment for drivers and workers in the work zones. Thus, the authors recommend that both the PCMS and the TTS (W20-1) should be utilized in the work zones. Currently, the PCMS is an optional sign in the work zones. As indicated in this study, deploying PCMS will reduce the mean speed of truck vehicles approaching the work zones.</w:t>
      </w:r>
    </w:p>
    <w:p w14:paraId="4F4E7FDA" w14:textId="77777777" w:rsidR="00B22616" w:rsidRPr="00B22616" w:rsidRDefault="00B22616" w:rsidP="00B22616">
      <w:r w:rsidRPr="00B22616">
        <w:t>The authors would like to indicate that the vehicle speed changes were due to the combination of the influence of the traffic signs and drivers’ awareness of work zone conditions. In this research project, traffic signs include the PCMS, the W20-1 (Road Work Ahead), and the W20-4 (One Lane Road Ahead). Because the W20-4 was placed right after the W20-1 within the typical distance of many motorists, therefore, these two signs should be considered as one configuration in the TTS case. Both of them might have impact on drivers’ behavior. In this research project, authors did not directly measure the impact of the W20-4 sign due to the resource limitation. The impact of the W20-4 sign on drivers’ behavior is a research topic that should be investigated in the future. In addition, the drivers’ awareness of work zone conditions was difficult to measure using the existing technologies. In this project, authors only measured the influence of the traffic signs with the understanding that drivers’ awareness of work zone conditions may also have impact on the speed changes. Additional research is needed to quantity the impact of drivers’ awareness of work zone conditions on the vehicle speed changes. Furthermore, existing knowledge cannot explain exactly what reasons caused the effects on speed reduction differ between passenger cars and semitrailers under TTS configuration (W20-1 and W20-4) and trucks under PCMS ON condition. Further research is needed to unlock the secret.</w:t>
      </w:r>
    </w:p>
    <w:p w14:paraId="118BACE8" w14:textId="77777777" w:rsidR="00B22616" w:rsidRPr="00B22616" w:rsidRDefault="00B22616" w:rsidP="00FC111B">
      <w:pPr>
        <w:pStyle w:val="Heading1"/>
      </w:pPr>
      <w:r w:rsidRPr="00B22616">
        <w:t>Acknowledgments</w:t>
      </w:r>
    </w:p>
    <w:p w14:paraId="36750A89" w14:textId="77777777" w:rsidR="00B22616" w:rsidRPr="00B22616" w:rsidRDefault="00B22616" w:rsidP="00B22616">
      <w:r w:rsidRPr="00B22616">
        <w:t>The authors would like to express their gratitude and thanks to Mr. Kevin F. Palic, P.E., Construction Engineer; Mr. Luke Perry, Senior Engineering Technician; and Mr. Pat Haverkamp, Senior Engineering Technician from the Kansas Department of Transportation (KDOT) for their valuable help during the course of this study. The authors would also like to thank Mr. Mickey Waxman, Statistic Consultant, for his advice and help in statistical analysis. Special thanks also go to the University of Kansas Transportation Research Institute, KDOT, and the Federal Highway Administration for providing generous financial support.</w:t>
      </w:r>
    </w:p>
    <w:p w14:paraId="6DA03227" w14:textId="094729CC" w:rsidR="005546E1" w:rsidRPr="005546E1" w:rsidRDefault="00B22616" w:rsidP="005546E1">
      <w:pPr>
        <w:pStyle w:val="Heading1"/>
      </w:pPr>
      <w:r w:rsidRPr="00B22616">
        <w:t>References</w:t>
      </w:r>
    </w:p>
    <w:p w14:paraId="306ACC08" w14:textId="49144E24" w:rsidR="00B22616" w:rsidRPr="00B22616" w:rsidRDefault="00B22616" w:rsidP="00841748">
      <w:pPr>
        <w:spacing w:after="0"/>
        <w:ind w:left="720" w:hanging="720"/>
      </w:pPr>
      <w:r w:rsidRPr="00170864">
        <w:t>AASHTO, 1987</w:t>
      </w:r>
      <w:r w:rsidR="008961CB">
        <w:t xml:space="preserve"> </w:t>
      </w:r>
      <w:r w:rsidRPr="00B22616">
        <w:t>AASHTO, 1987. Summary Report on Work Zone Crashes. Standing Committee on Highway Traffic Safety. American Association of State Highway and Transportation Officials, Washington, DC.</w:t>
      </w:r>
    </w:p>
    <w:p w14:paraId="67BAA525" w14:textId="0D17F936" w:rsidR="00B22616" w:rsidRPr="00B22616" w:rsidRDefault="00B22616" w:rsidP="00841748">
      <w:pPr>
        <w:spacing w:after="0"/>
        <w:ind w:left="720" w:hanging="720"/>
      </w:pPr>
      <w:r w:rsidRPr="00170864">
        <w:t>AASHTO, 2004</w:t>
      </w:r>
      <w:r w:rsidR="008961CB">
        <w:t xml:space="preserve"> </w:t>
      </w:r>
      <w:r w:rsidRPr="00B22616">
        <w:t>AASHTO, 2004. AASHTO Green Book: A Policy on Geometric Design of Highways and Streets, fifth ed. American Association of State Highway and Transportation Officials, Washington, DC.</w:t>
      </w:r>
    </w:p>
    <w:p w14:paraId="3B844EBB" w14:textId="5B5E305E" w:rsidR="00B22616" w:rsidRPr="00B22616" w:rsidRDefault="00B22616" w:rsidP="00841748">
      <w:pPr>
        <w:spacing w:after="0"/>
        <w:ind w:left="720" w:hanging="720"/>
      </w:pPr>
      <w:proofErr w:type="spellStart"/>
      <w:r w:rsidRPr="00170864">
        <w:t>Benekohal</w:t>
      </w:r>
      <w:proofErr w:type="spellEnd"/>
      <w:r w:rsidRPr="00170864">
        <w:t xml:space="preserve"> and Shim, 1999</w:t>
      </w:r>
      <w:r w:rsidR="008961CB">
        <w:t xml:space="preserve"> </w:t>
      </w:r>
      <w:r w:rsidRPr="00B22616">
        <w:t>R.F. Benekohal, E. Shim</w:t>
      </w:r>
      <w:r w:rsidR="006932EE">
        <w:t xml:space="preserve"> </w:t>
      </w:r>
      <w:r w:rsidRPr="00B22616">
        <w:rPr>
          <w:b/>
          <w:bCs/>
        </w:rPr>
        <w:t>Multivariate analysis of truck drivers’ assessment of work zone safety</w:t>
      </w:r>
      <w:r w:rsidR="006932EE">
        <w:t xml:space="preserve"> </w:t>
      </w:r>
      <w:r w:rsidRPr="00B22616">
        <w:t>Journal of Transportation Engineering, 125 (5) (1999), pp. 398-406</w:t>
      </w:r>
    </w:p>
    <w:p w14:paraId="4FAADF19" w14:textId="5A3BC79E" w:rsidR="00B22616" w:rsidRPr="00B22616" w:rsidRDefault="00B22616" w:rsidP="00841748">
      <w:pPr>
        <w:spacing w:after="0"/>
        <w:ind w:left="720" w:hanging="720"/>
      </w:pPr>
      <w:r w:rsidRPr="00170864">
        <w:t>Brewer et al., 2006</w:t>
      </w:r>
      <w:r w:rsidR="006932EE">
        <w:t xml:space="preserve"> </w:t>
      </w:r>
      <w:r w:rsidRPr="00B22616">
        <w:t>M.A. Brewer, G. </w:t>
      </w:r>
      <w:proofErr w:type="spellStart"/>
      <w:r w:rsidRPr="00B22616">
        <w:t>Pesti</w:t>
      </w:r>
      <w:proofErr w:type="spellEnd"/>
      <w:r w:rsidRPr="00B22616">
        <w:t>, W. Schneider IV</w:t>
      </w:r>
      <w:r w:rsidR="006932EE">
        <w:t xml:space="preserve"> </w:t>
      </w:r>
      <w:r w:rsidRPr="00B22616">
        <w:rPr>
          <w:b/>
          <w:bCs/>
        </w:rPr>
        <w:t>Improving compliance with work zone speed limits: effectiveness of selected devices</w:t>
      </w:r>
      <w:r w:rsidR="006932EE">
        <w:t xml:space="preserve"> </w:t>
      </w:r>
      <w:r w:rsidRPr="00B22616">
        <w:t>Journal of the Transportation Research Record (1948) (2006), pp. 67-76</w:t>
      </w:r>
    </w:p>
    <w:p w14:paraId="3A2CB45A" w14:textId="233C5EE6" w:rsidR="00B22616" w:rsidRPr="00B22616" w:rsidRDefault="00B22616" w:rsidP="00841748">
      <w:pPr>
        <w:spacing w:after="0"/>
        <w:ind w:left="720" w:hanging="720"/>
      </w:pPr>
      <w:r w:rsidRPr="00170864">
        <w:t>Daniel et al., 2000</w:t>
      </w:r>
      <w:r w:rsidR="006932EE">
        <w:t xml:space="preserve"> </w:t>
      </w:r>
      <w:r w:rsidRPr="00B22616">
        <w:t>J. Daniel, K. Dixon, D. Jared</w:t>
      </w:r>
      <w:r w:rsidR="006932EE">
        <w:t xml:space="preserve"> </w:t>
      </w:r>
      <w:r w:rsidRPr="00B22616">
        <w:rPr>
          <w:b/>
          <w:bCs/>
        </w:rPr>
        <w:t>Analysis of fatal crashes in Georgia work zones</w:t>
      </w:r>
      <w:r w:rsidR="006932EE">
        <w:t xml:space="preserve"> </w:t>
      </w:r>
      <w:r w:rsidRPr="00B22616">
        <w:t>Journal of the Transportation Research Record (1715) (2000), pp. 18-23</w:t>
      </w:r>
    </w:p>
    <w:p w14:paraId="69F714CA" w14:textId="1D691384" w:rsidR="00B22616" w:rsidRPr="00B22616" w:rsidRDefault="00B22616" w:rsidP="00841748">
      <w:pPr>
        <w:spacing w:after="0"/>
        <w:ind w:left="720" w:hanging="720"/>
      </w:pPr>
      <w:r w:rsidRPr="00170864">
        <w:t>FHWA, 2003</w:t>
      </w:r>
      <w:r w:rsidR="006932EE">
        <w:t xml:space="preserve"> </w:t>
      </w:r>
      <w:r w:rsidRPr="00B22616">
        <w:t>FHWA, 2003. Manual on Uniform Traffic Control Devices for Streets and Highways. Federal Highway Administration, Washington, DC.</w:t>
      </w:r>
    </w:p>
    <w:p w14:paraId="46E93498" w14:textId="69A59E1D" w:rsidR="00B22616" w:rsidRPr="00B22616" w:rsidRDefault="00B22616" w:rsidP="00841748">
      <w:pPr>
        <w:spacing w:after="0"/>
        <w:ind w:left="720" w:hanging="720"/>
      </w:pPr>
      <w:r w:rsidRPr="00170864">
        <w:t>Garber and Patel, 1994</w:t>
      </w:r>
      <w:r w:rsidR="006932EE">
        <w:t xml:space="preserve"> </w:t>
      </w:r>
      <w:r w:rsidRPr="00B22616">
        <w:t>Garber, N.J., Patel, S.T., 1994. Effectiveness of Changeable Message Signs in Controlling Vehicles Speeds in Work Zones. Report No. VTRC 95-R4. Virginia Transportation Research Council, Charlottesville, Virginia.</w:t>
      </w:r>
    </w:p>
    <w:p w14:paraId="317CCE4E" w14:textId="0CACB91B" w:rsidR="00B22616" w:rsidRPr="00B22616" w:rsidRDefault="00B22616" w:rsidP="00841748">
      <w:pPr>
        <w:spacing w:after="0"/>
        <w:ind w:left="720" w:hanging="720"/>
      </w:pPr>
      <w:r w:rsidRPr="00170864">
        <w:t>Garber and Srinivasan, 1998</w:t>
      </w:r>
      <w:r w:rsidR="006932EE">
        <w:t xml:space="preserve"> </w:t>
      </w:r>
      <w:r w:rsidRPr="00B22616">
        <w:t>Garber, N.J., Srinivasan, S., 1998. Effectiveness of Changeable Message Signs in Work Zones: Phase II. Report No. VTRC 98-R10. Virginia Transportation Research Council, Charlottesville, Virginia.</w:t>
      </w:r>
    </w:p>
    <w:p w14:paraId="06C8DF52" w14:textId="6D2BCB8E" w:rsidR="00B22616" w:rsidRPr="00B22616" w:rsidRDefault="00B22616" w:rsidP="00841748">
      <w:pPr>
        <w:spacing w:after="0"/>
        <w:ind w:left="720" w:hanging="720"/>
      </w:pPr>
      <w:r w:rsidRPr="00170864">
        <w:t>Garber and Zhao, 2002</w:t>
      </w:r>
      <w:r w:rsidR="006932EE">
        <w:t xml:space="preserve"> </w:t>
      </w:r>
      <w:r w:rsidRPr="00B22616">
        <w:t>Garber, N.J., Zhao, M., 2002. Crash Characteristics at Work Zones. Report No. VTRC 02-R12. Virginia Transportation Research Council, Charlottesville, Virginia.</w:t>
      </w:r>
    </w:p>
    <w:p w14:paraId="3155472D" w14:textId="5CCBF4B6" w:rsidR="00B22616" w:rsidRPr="00B22616" w:rsidRDefault="00B22616" w:rsidP="00841748">
      <w:pPr>
        <w:spacing w:after="0"/>
        <w:ind w:left="720" w:hanging="720"/>
      </w:pPr>
      <w:proofErr w:type="spellStart"/>
      <w:r w:rsidRPr="00170864">
        <w:t>Hargroves</w:t>
      </w:r>
      <w:proofErr w:type="spellEnd"/>
      <w:r w:rsidRPr="00170864">
        <w:t>, 1981</w:t>
      </w:r>
      <w:r w:rsidR="006932EE">
        <w:t xml:space="preserve"> </w:t>
      </w:r>
      <w:r w:rsidRPr="00B22616">
        <w:t>B.T. </w:t>
      </w:r>
      <w:proofErr w:type="spellStart"/>
      <w:r w:rsidRPr="00B22616">
        <w:t>Hargroves</w:t>
      </w:r>
      <w:proofErr w:type="spellEnd"/>
      <w:r w:rsidR="006932EE">
        <w:t xml:space="preserve"> </w:t>
      </w:r>
      <w:r w:rsidRPr="00B22616">
        <w:rPr>
          <w:b/>
          <w:bCs/>
        </w:rPr>
        <w:t>Vehicle crashes in highway work zones</w:t>
      </w:r>
      <w:r w:rsidR="006932EE">
        <w:t xml:space="preserve"> </w:t>
      </w:r>
      <w:r w:rsidRPr="00B22616">
        <w:t>Journal of Transportation Engineering, 107 (TE5) (1981), pp. 525-539</w:t>
      </w:r>
    </w:p>
    <w:p w14:paraId="5E110CF2" w14:textId="6D63B3DD" w:rsidR="00B22616" w:rsidRPr="00B22616" w:rsidRDefault="00B22616" w:rsidP="00841748">
      <w:pPr>
        <w:spacing w:after="0"/>
        <w:ind w:left="720" w:hanging="720"/>
      </w:pPr>
      <w:r w:rsidRPr="00170864">
        <w:t>Li and Bai, 2008a</w:t>
      </w:r>
      <w:r w:rsidR="006932EE">
        <w:t xml:space="preserve"> </w:t>
      </w:r>
      <w:r w:rsidRPr="00B22616">
        <w:t>Y. Li, Y. Bai</w:t>
      </w:r>
      <w:r w:rsidR="006932EE">
        <w:t xml:space="preserve"> </w:t>
      </w:r>
      <w:r w:rsidRPr="00B22616">
        <w:rPr>
          <w:b/>
          <w:bCs/>
        </w:rPr>
        <w:t>Comparison of characteristics between fatal and injury accidents in the highway construction zones</w:t>
      </w:r>
      <w:r w:rsidR="006932EE">
        <w:t xml:space="preserve"> </w:t>
      </w:r>
      <w:r w:rsidRPr="00B22616">
        <w:t>Safety Science, Elsevier, 46 (4) (2008), pp. 646-660</w:t>
      </w:r>
    </w:p>
    <w:p w14:paraId="4359DF9E" w14:textId="777697E1" w:rsidR="00B22616" w:rsidRPr="00B22616" w:rsidRDefault="00B22616" w:rsidP="00841748">
      <w:pPr>
        <w:spacing w:after="0"/>
        <w:ind w:left="720" w:hanging="720"/>
      </w:pPr>
      <w:r w:rsidRPr="00170864">
        <w:t>Li and Bai, 2008b</w:t>
      </w:r>
      <w:r w:rsidR="006932EE">
        <w:t xml:space="preserve"> </w:t>
      </w:r>
      <w:r w:rsidRPr="00B22616">
        <w:t>Y. Li, Y. Bai</w:t>
      </w:r>
      <w:r w:rsidR="006932EE">
        <w:t xml:space="preserve"> </w:t>
      </w:r>
      <w:r w:rsidRPr="00B22616">
        <w:rPr>
          <w:b/>
          <w:bCs/>
        </w:rPr>
        <w:t>Development of crash-severity-index models for the measurement of work zone risk levels</w:t>
      </w:r>
      <w:r w:rsidR="006932EE">
        <w:t xml:space="preserve"> </w:t>
      </w:r>
      <w:r w:rsidRPr="00B22616">
        <w:t>Accident Analysis and Prevention, Elsevier, 40 (5) (2008), pp. 1724-1731</w:t>
      </w:r>
    </w:p>
    <w:p w14:paraId="478C6BFF" w14:textId="388CE7EF" w:rsidR="00B22616" w:rsidRPr="00B22616" w:rsidRDefault="00B22616" w:rsidP="00841748">
      <w:pPr>
        <w:spacing w:after="0"/>
        <w:ind w:left="720" w:hanging="720"/>
      </w:pPr>
      <w:r w:rsidRPr="00170864">
        <w:t xml:space="preserve">Nemeth and </w:t>
      </w:r>
      <w:proofErr w:type="spellStart"/>
      <w:r w:rsidRPr="00170864">
        <w:t>Migletz</w:t>
      </w:r>
      <w:proofErr w:type="spellEnd"/>
      <w:r w:rsidRPr="00170864">
        <w:t>, 1978</w:t>
      </w:r>
      <w:r w:rsidR="006932EE">
        <w:t xml:space="preserve"> </w:t>
      </w:r>
      <w:r w:rsidRPr="00B22616">
        <w:t>Z.A. Nemeth, D.J. </w:t>
      </w:r>
      <w:proofErr w:type="spellStart"/>
      <w:r w:rsidRPr="00B22616">
        <w:t>Migletz</w:t>
      </w:r>
      <w:proofErr w:type="spellEnd"/>
      <w:r w:rsidR="006932EE">
        <w:t xml:space="preserve"> </w:t>
      </w:r>
      <w:r w:rsidRPr="00B22616">
        <w:rPr>
          <w:b/>
          <w:bCs/>
        </w:rPr>
        <w:t>Accident characteristics before, during, and after safety upgrading projects on Ohio’s rural interstate system</w:t>
      </w:r>
      <w:r w:rsidR="006932EE">
        <w:t xml:space="preserve"> </w:t>
      </w:r>
      <w:r w:rsidRPr="00B22616">
        <w:t>Journal of the Transportation Research Record (672) (1978), pp. 19-23</w:t>
      </w:r>
    </w:p>
    <w:p w14:paraId="4A607705" w14:textId="1670BE92" w:rsidR="00B22616" w:rsidRPr="00B22616" w:rsidRDefault="00B22616" w:rsidP="00841748">
      <w:pPr>
        <w:spacing w:after="0"/>
        <w:ind w:left="720" w:hanging="720"/>
      </w:pPr>
      <w:r w:rsidRPr="00170864">
        <w:t>Pigman and Agent, 1990</w:t>
      </w:r>
      <w:r w:rsidR="006932EE">
        <w:t xml:space="preserve"> </w:t>
      </w:r>
      <w:r w:rsidRPr="00B22616">
        <w:t>J.G. Pigman, K.R. Agent</w:t>
      </w:r>
      <w:r w:rsidR="006932EE">
        <w:t xml:space="preserve"> </w:t>
      </w:r>
      <w:r w:rsidRPr="00B22616">
        <w:rPr>
          <w:b/>
          <w:bCs/>
        </w:rPr>
        <w:t>Highway crashes in construction and maintenance work zones</w:t>
      </w:r>
      <w:r w:rsidR="006932EE">
        <w:t xml:space="preserve"> </w:t>
      </w:r>
      <w:r w:rsidRPr="00B22616">
        <w:t>Journal of the Transportation Research Record (1270) (1990), pp. 12-21</w:t>
      </w:r>
    </w:p>
    <w:p w14:paraId="1C5E2298" w14:textId="3A37D2B9" w:rsidR="00B22616" w:rsidRPr="00B22616" w:rsidRDefault="00B22616" w:rsidP="00841748">
      <w:pPr>
        <w:spacing w:after="0"/>
        <w:ind w:left="720" w:hanging="720"/>
      </w:pPr>
      <w:r w:rsidRPr="00170864">
        <w:t>Richards and Dudek, 1986</w:t>
      </w:r>
      <w:r w:rsidR="006932EE">
        <w:t xml:space="preserve"> </w:t>
      </w:r>
      <w:r w:rsidRPr="00B22616">
        <w:t>S.H. Richards, C.L. Dudek</w:t>
      </w:r>
      <w:r w:rsidR="006932EE">
        <w:t xml:space="preserve"> </w:t>
      </w:r>
      <w:r w:rsidRPr="00B22616">
        <w:rPr>
          <w:b/>
          <w:bCs/>
        </w:rPr>
        <w:t>Implementation of work zone speed control measures</w:t>
      </w:r>
      <w:r w:rsidR="006932EE">
        <w:t xml:space="preserve"> </w:t>
      </w:r>
      <w:r w:rsidRPr="00B22616">
        <w:t>Journal of the Transportation Research Record (1086) (1986), pp. 36-42</w:t>
      </w:r>
    </w:p>
    <w:p w14:paraId="3886849A" w14:textId="2BDA2419" w:rsidR="00B22616" w:rsidRPr="00B22616" w:rsidRDefault="00B22616" w:rsidP="00841748">
      <w:pPr>
        <w:spacing w:after="0"/>
        <w:ind w:left="720" w:hanging="720"/>
      </w:pPr>
      <w:r w:rsidRPr="00170864">
        <w:t>Schrock et al., 2004</w:t>
      </w:r>
      <w:r w:rsidR="006932EE">
        <w:t xml:space="preserve"> </w:t>
      </w:r>
      <w:r w:rsidRPr="00B22616">
        <w:t>Schrock, D.S., Ullman, G.L., Cothron, A.S., Kraus, E., Voigt, A.P., 2004. An Analysis of Fatal Work Zone Crashes in Texas. Report FHWA/TX-05/0-4028-1, FHWA. US Department of Transportation.</w:t>
      </w:r>
    </w:p>
    <w:p w14:paraId="75EBE17A" w14:textId="48E5B020" w:rsidR="00B22616" w:rsidRPr="00B22616" w:rsidRDefault="00B22616" w:rsidP="00841748">
      <w:pPr>
        <w:spacing w:after="0"/>
        <w:ind w:left="720" w:hanging="720"/>
      </w:pPr>
      <w:r w:rsidRPr="00170864">
        <w:t>Steinke et al., 2000</w:t>
      </w:r>
      <w:r w:rsidR="006932EE">
        <w:t xml:space="preserve"> </w:t>
      </w:r>
      <w:r w:rsidRPr="00B22616">
        <w:t>Steinke, D.P., Sanderson, L., Byrnes, J.F., Conrad, J., Forrestel, R., Harrington-Hughes, K., Kobetsky, K.F., Lanford, S., Snyder-Petty, K., Testa, D., Wilkerson, J.D., 2000. Methods and Procedures to Reduce Motorist Delays in European Work Zones. Final Report No. FHWA-PL-00-001. Federal Highway Administration, Washington, DC 20590.</w:t>
      </w:r>
    </w:p>
    <w:p w14:paraId="22646FF5" w14:textId="67244CDC" w:rsidR="00B22616" w:rsidRPr="00B22616" w:rsidRDefault="00B22616" w:rsidP="00841748">
      <w:pPr>
        <w:spacing w:after="0"/>
        <w:ind w:left="720" w:hanging="720"/>
      </w:pPr>
      <w:r w:rsidRPr="00170864">
        <w:t>Takemoto et al., 2008</w:t>
      </w:r>
      <w:r w:rsidR="006932EE">
        <w:t xml:space="preserve"> </w:t>
      </w:r>
      <w:r w:rsidRPr="00B22616">
        <w:t>Takemoto, A., Hirasawa, M., and Asano, M., 2008. Improving the nighttime visibility of signs and workers in road work zones in Japan. In: Proceedings of the 87th TRB Annual Meeting. Transportation Research Board, Washington, DC, January 13–17 (in CD-ROM).</w:t>
      </w:r>
    </w:p>
    <w:p w14:paraId="4133FE22" w14:textId="288B432A" w:rsidR="00B22616" w:rsidRPr="00B22616" w:rsidRDefault="00B22616" w:rsidP="00841748">
      <w:pPr>
        <w:spacing w:after="0"/>
        <w:ind w:left="720" w:hanging="720"/>
      </w:pPr>
      <w:r w:rsidRPr="00170864">
        <w:t>Wang et al., 1996</w:t>
      </w:r>
      <w:r w:rsidR="006932EE">
        <w:t xml:space="preserve"> </w:t>
      </w:r>
      <w:r w:rsidRPr="00B22616">
        <w:t>J. Wang, W.E. Hughes, F.M. Council, J.E. </w:t>
      </w:r>
      <w:proofErr w:type="spellStart"/>
      <w:r w:rsidRPr="00B22616">
        <w:t>Paniati</w:t>
      </w:r>
      <w:proofErr w:type="spellEnd"/>
      <w:r w:rsidR="006932EE">
        <w:t xml:space="preserve"> </w:t>
      </w:r>
      <w:r w:rsidRPr="00B22616">
        <w:rPr>
          <w:b/>
          <w:bCs/>
        </w:rPr>
        <w:t>Investigation of highway work zone crashes: what we know and what we don’t know</w:t>
      </w:r>
      <w:r w:rsidR="006932EE">
        <w:t xml:space="preserve"> </w:t>
      </w:r>
      <w:r w:rsidRPr="00B22616">
        <w:t>Journal of the Transportation Research Record (1529) (1996), pp. 54-64</w:t>
      </w:r>
    </w:p>
    <w:p w14:paraId="475A9F0A" w14:textId="658977C0" w:rsidR="00B22616" w:rsidRPr="00B22616" w:rsidRDefault="00B22616" w:rsidP="00841748">
      <w:pPr>
        <w:spacing w:after="0"/>
        <w:ind w:left="720" w:hanging="720"/>
      </w:pPr>
      <w:r w:rsidRPr="00170864">
        <w:t>Wu and Wu, 2004</w:t>
      </w:r>
      <w:r w:rsidR="006932EE">
        <w:t xml:space="preserve"> </w:t>
      </w:r>
      <w:r w:rsidRPr="00B22616">
        <w:t>Xinkai Wu, Bing Wu</w:t>
      </w:r>
      <w:r w:rsidR="006932EE">
        <w:t xml:space="preserve"> </w:t>
      </w:r>
      <w:r w:rsidRPr="00B22616">
        <w:rPr>
          <w:b/>
          <w:bCs/>
        </w:rPr>
        <w:t>Discussion on speed control measures in highway maintenance and construction work zone</w:t>
      </w:r>
      <w:r w:rsidR="006932EE">
        <w:t xml:space="preserve"> </w:t>
      </w:r>
      <w:r w:rsidRPr="00B22616">
        <w:t>Highway (7) (2004), pp. 132-137</w:t>
      </w:r>
      <w:r w:rsidR="006932EE">
        <w:t xml:space="preserve"> </w:t>
      </w:r>
      <w:r w:rsidRPr="00B22616">
        <w:t>(published in Chinese)</w:t>
      </w:r>
    </w:p>
    <w:p w14:paraId="04B94A49" w14:textId="77777777" w:rsidR="001F6EC3" w:rsidRDefault="005E2413" w:rsidP="00841748">
      <w:pPr>
        <w:spacing w:after="0"/>
      </w:pPr>
    </w:p>
    <w:sectPr w:rsidR="001F6E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3576B"/>
    <w:multiLevelType w:val="multilevel"/>
    <w:tmpl w:val="F8C06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D42785"/>
    <w:multiLevelType w:val="multilevel"/>
    <w:tmpl w:val="A6083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8C97D20"/>
    <w:multiLevelType w:val="multilevel"/>
    <w:tmpl w:val="1A06A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3E05FAA"/>
    <w:multiLevelType w:val="multilevel"/>
    <w:tmpl w:val="ADB22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81B2FA3"/>
    <w:multiLevelType w:val="multilevel"/>
    <w:tmpl w:val="7BF04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20C7981"/>
    <w:multiLevelType w:val="multilevel"/>
    <w:tmpl w:val="28629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45C422A"/>
    <w:multiLevelType w:val="hybridMultilevel"/>
    <w:tmpl w:val="115412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30846251">
    <w:abstractNumId w:val="0"/>
  </w:num>
  <w:num w:numId="2" w16cid:durableId="972175805">
    <w:abstractNumId w:val="1"/>
  </w:num>
  <w:num w:numId="3" w16cid:durableId="1419328598">
    <w:abstractNumId w:val="5"/>
  </w:num>
  <w:num w:numId="4" w16cid:durableId="1668172908">
    <w:abstractNumId w:val="3"/>
  </w:num>
  <w:num w:numId="5" w16cid:durableId="2134395208">
    <w:abstractNumId w:val="4"/>
  </w:num>
  <w:num w:numId="6" w16cid:durableId="413165980">
    <w:abstractNumId w:val="2"/>
  </w:num>
  <w:num w:numId="7" w16cid:durableId="2697002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tNc6zp4EC13SLb1HEQS3x19KUTa4RF6qLv/INrrr13f3ZDeWK8dIAlFqb5lkdPFmdB9YzM5sSkG6VtZkrCddQw==" w:salt="69VrSIGT4fVyd+1Hlt7qq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96160"/>
    <w:rsid w:val="00097A93"/>
    <w:rsid w:val="00163718"/>
    <w:rsid w:val="00170864"/>
    <w:rsid w:val="00171BA7"/>
    <w:rsid w:val="001A41A4"/>
    <w:rsid w:val="001B5FC1"/>
    <w:rsid w:val="001D4F7A"/>
    <w:rsid w:val="001E0214"/>
    <w:rsid w:val="002B77E0"/>
    <w:rsid w:val="00382825"/>
    <w:rsid w:val="00540A36"/>
    <w:rsid w:val="005546E1"/>
    <w:rsid w:val="005B1B7B"/>
    <w:rsid w:val="005E2413"/>
    <w:rsid w:val="00607157"/>
    <w:rsid w:val="00637A4E"/>
    <w:rsid w:val="006932EE"/>
    <w:rsid w:val="006D4AD2"/>
    <w:rsid w:val="007066B2"/>
    <w:rsid w:val="007175BC"/>
    <w:rsid w:val="007B47C0"/>
    <w:rsid w:val="00841748"/>
    <w:rsid w:val="008961CB"/>
    <w:rsid w:val="008E150E"/>
    <w:rsid w:val="00933FB4"/>
    <w:rsid w:val="009856AA"/>
    <w:rsid w:val="00997000"/>
    <w:rsid w:val="00A765A5"/>
    <w:rsid w:val="00B22616"/>
    <w:rsid w:val="00BC2DB7"/>
    <w:rsid w:val="00C57D87"/>
    <w:rsid w:val="00C672E8"/>
    <w:rsid w:val="00CF2EFB"/>
    <w:rsid w:val="00D26757"/>
    <w:rsid w:val="00EB3990"/>
    <w:rsid w:val="00EC6FF2"/>
    <w:rsid w:val="00F53470"/>
    <w:rsid w:val="00FC111B"/>
    <w:rsid w:val="00FC6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6B2"/>
  </w:style>
  <w:style w:type="paragraph" w:styleId="Heading1">
    <w:name w:val="heading 1"/>
    <w:basedOn w:val="Normal"/>
    <w:next w:val="Normal"/>
    <w:link w:val="Heading1Char"/>
    <w:uiPriority w:val="9"/>
    <w:qFormat/>
    <w:rsid w:val="007066B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066B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066B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7066B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7066B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7066B2"/>
    <w:pPr>
      <w:keepNext/>
      <w:keepLines/>
      <w:spacing w:before="40" w:after="0"/>
      <w:outlineLvl w:val="5"/>
    </w:pPr>
  </w:style>
  <w:style w:type="paragraph" w:styleId="Heading7">
    <w:name w:val="heading 7"/>
    <w:basedOn w:val="Normal"/>
    <w:next w:val="Normal"/>
    <w:link w:val="Heading7Char"/>
    <w:uiPriority w:val="9"/>
    <w:semiHidden/>
    <w:unhideWhenUsed/>
    <w:qFormat/>
    <w:rsid w:val="007066B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066B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066B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D4AD2"/>
    <w:rPr>
      <w:color w:val="0563C1" w:themeColor="hyperlink"/>
      <w:u w:val="single"/>
    </w:rPr>
  </w:style>
  <w:style w:type="character" w:styleId="UnresolvedMention">
    <w:name w:val="Unresolved Mention"/>
    <w:basedOn w:val="DefaultParagraphFont"/>
    <w:uiPriority w:val="99"/>
    <w:semiHidden/>
    <w:unhideWhenUsed/>
    <w:rsid w:val="006D4AD2"/>
    <w:rPr>
      <w:color w:val="605E5C"/>
      <w:shd w:val="clear" w:color="auto" w:fill="E1DFDD"/>
    </w:rPr>
  </w:style>
  <w:style w:type="character" w:customStyle="1" w:styleId="Heading2Char">
    <w:name w:val="Heading 2 Char"/>
    <w:basedOn w:val="DefaultParagraphFont"/>
    <w:link w:val="Heading2"/>
    <w:uiPriority w:val="9"/>
    <w:rsid w:val="007066B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066B2"/>
    <w:rPr>
      <w:rFonts w:asciiTheme="majorHAnsi" w:eastAsiaTheme="majorEastAsia" w:hAnsiTheme="majorHAnsi" w:cstheme="majorBidi"/>
      <w:color w:val="0D0D0D" w:themeColor="text1" w:themeTint="F2"/>
      <w:sz w:val="24"/>
      <w:szCs w:val="24"/>
    </w:rPr>
  </w:style>
  <w:style w:type="paragraph" w:customStyle="1" w:styleId="msonormal0">
    <w:name w:val="msonormal"/>
    <w:basedOn w:val="Normal"/>
    <w:rsid w:val="00B2261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2261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066B2"/>
    <w:rPr>
      <w:i/>
      <w:iCs/>
      <w:color w:val="auto"/>
    </w:rPr>
  </w:style>
  <w:style w:type="paragraph" w:customStyle="1" w:styleId="previous">
    <w:name w:val="previous"/>
    <w:basedOn w:val="Normal"/>
    <w:rsid w:val="00B2261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22616"/>
    <w:rPr>
      <w:color w:val="800080"/>
      <w:u w:val="single"/>
    </w:rPr>
  </w:style>
  <w:style w:type="character" w:customStyle="1" w:styleId="button-alternative-text">
    <w:name w:val="button-alternative-text"/>
    <w:basedOn w:val="DefaultParagraphFont"/>
    <w:rsid w:val="00B22616"/>
  </w:style>
  <w:style w:type="character" w:styleId="Strong">
    <w:name w:val="Strong"/>
    <w:basedOn w:val="DefaultParagraphFont"/>
    <w:uiPriority w:val="22"/>
    <w:qFormat/>
    <w:rsid w:val="007066B2"/>
    <w:rPr>
      <w:b/>
      <w:bCs/>
      <w:color w:val="auto"/>
    </w:rPr>
  </w:style>
  <w:style w:type="character" w:customStyle="1" w:styleId="extra-detail-1">
    <w:name w:val="extra-detail-1"/>
    <w:basedOn w:val="DefaultParagraphFont"/>
    <w:rsid w:val="00B22616"/>
  </w:style>
  <w:style w:type="character" w:customStyle="1" w:styleId="extra-detail-2">
    <w:name w:val="extra-detail-2"/>
    <w:basedOn w:val="DefaultParagraphFont"/>
    <w:rsid w:val="00B22616"/>
  </w:style>
  <w:style w:type="paragraph" w:customStyle="1" w:styleId="next">
    <w:name w:val="next"/>
    <w:basedOn w:val="Normal"/>
    <w:rsid w:val="00B226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B22616"/>
  </w:style>
  <w:style w:type="character" w:customStyle="1" w:styleId="download-link-title">
    <w:name w:val="download-link-title"/>
    <w:basedOn w:val="DefaultParagraphFont"/>
    <w:rsid w:val="00B22616"/>
  </w:style>
  <w:style w:type="character" w:customStyle="1" w:styleId="captions">
    <w:name w:val="captions"/>
    <w:basedOn w:val="DefaultParagraphFont"/>
    <w:rsid w:val="00B22616"/>
  </w:style>
  <w:style w:type="character" w:customStyle="1" w:styleId="label">
    <w:name w:val="label"/>
    <w:basedOn w:val="DefaultParagraphFont"/>
    <w:rsid w:val="00B22616"/>
  </w:style>
  <w:style w:type="paragraph" w:customStyle="1" w:styleId="legend">
    <w:name w:val="legend"/>
    <w:basedOn w:val="Normal"/>
    <w:rsid w:val="00B226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B22616"/>
  </w:style>
  <w:style w:type="paragraph" w:styleId="Title">
    <w:name w:val="Title"/>
    <w:basedOn w:val="Normal"/>
    <w:next w:val="Normal"/>
    <w:link w:val="TitleChar"/>
    <w:uiPriority w:val="10"/>
    <w:qFormat/>
    <w:rsid w:val="007066B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066B2"/>
    <w:rPr>
      <w:rFonts w:asciiTheme="majorHAnsi" w:eastAsiaTheme="majorEastAsia" w:hAnsiTheme="majorHAnsi" w:cstheme="majorBidi"/>
      <w:spacing w:val="-10"/>
      <w:sz w:val="56"/>
      <w:szCs w:val="56"/>
    </w:rPr>
  </w:style>
  <w:style w:type="character" w:customStyle="1" w:styleId="Heading1Char">
    <w:name w:val="Heading 1 Char"/>
    <w:basedOn w:val="DefaultParagraphFont"/>
    <w:link w:val="Heading1"/>
    <w:uiPriority w:val="9"/>
    <w:rsid w:val="007066B2"/>
    <w:rPr>
      <w:rFonts w:asciiTheme="majorHAnsi" w:eastAsiaTheme="majorEastAsia" w:hAnsiTheme="majorHAnsi" w:cstheme="majorBidi"/>
      <w:color w:val="262626" w:themeColor="text1" w:themeTint="D9"/>
      <w:sz w:val="32"/>
      <w:szCs w:val="32"/>
    </w:rPr>
  </w:style>
  <w:style w:type="table" w:styleId="TableGrid">
    <w:name w:val="Table Grid"/>
    <w:basedOn w:val="TableNormal"/>
    <w:uiPriority w:val="39"/>
    <w:rsid w:val="006071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7066B2"/>
    <w:rPr>
      <w:i/>
      <w:iCs/>
    </w:rPr>
  </w:style>
  <w:style w:type="character" w:customStyle="1" w:styleId="Heading5Char">
    <w:name w:val="Heading 5 Char"/>
    <w:basedOn w:val="DefaultParagraphFont"/>
    <w:link w:val="Heading5"/>
    <w:uiPriority w:val="9"/>
    <w:semiHidden/>
    <w:rsid w:val="007066B2"/>
    <w:rPr>
      <w:color w:val="404040" w:themeColor="text1" w:themeTint="BF"/>
    </w:rPr>
  </w:style>
  <w:style w:type="character" w:customStyle="1" w:styleId="Heading6Char">
    <w:name w:val="Heading 6 Char"/>
    <w:basedOn w:val="DefaultParagraphFont"/>
    <w:link w:val="Heading6"/>
    <w:uiPriority w:val="9"/>
    <w:semiHidden/>
    <w:rsid w:val="007066B2"/>
  </w:style>
  <w:style w:type="character" w:customStyle="1" w:styleId="Heading7Char">
    <w:name w:val="Heading 7 Char"/>
    <w:basedOn w:val="DefaultParagraphFont"/>
    <w:link w:val="Heading7"/>
    <w:uiPriority w:val="9"/>
    <w:semiHidden/>
    <w:rsid w:val="007066B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066B2"/>
    <w:rPr>
      <w:color w:val="262626" w:themeColor="text1" w:themeTint="D9"/>
      <w:sz w:val="21"/>
      <w:szCs w:val="21"/>
    </w:rPr>
  </w:style>
  <w:style w:type="character" w:customStyle="1" w:styleId="Heading9Char">
    <w:name w:val="Heading 9 Char"/>
    <w:basedOn w:val="DefaultParagraphFont"/>
    <w:link w:val="Heading9"/>
    <w:uiPriority w:val="9"/>
    <w:semiHidden/>
    <w:rsid w:val="007066B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066B2"/>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7066B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066B2"/>
    <w:rPr>
      <w:color w:val="5A5A5A" w:themeColor="text1" w:themeTint="A5"/>
      <w:spacing w:val="15"/>
    </w:rPr>
  </w:style>
  <w:style w:type="paragraph" w:styleId="NoSpacing">
    <w:name w:val="No Spacing"/>
    <w:uiPriority w:val="1"/>
    <w:qFormat/>
    <w:rsid w:val="007066B2"/>
    <w:pPr>
      <w:spacing w:after="0" w:line="240" w:lineRule="auto"/>
    </w:pPr>
  </w:style>
  <w:style w:type="paragraph" w:styleId="Quote">
    <w:name w:val="Quote"/>
    <w:basedOn w:val="Normal"/>
    <w:next w:val="Normal"/>
    <w:link w:val="QuoteChar"/>
    <w:uiPriority w:val="29"/>
    <w:qFormat/>
    <w:rsid w:val="007066B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066B2"/>
    <w:rPr>
      <w:i/>
      <w:iCs/>
      <w:color w:val="404040" w:themeColor="text1" w:themeTint="BF"/>
    </w:rPr>
  </w:style>
  <w:style w:type="paragraph" w:styleId="IntenseQuote">
    <w:name w:val="Intense Quote"/>
    <w:basedOn w:val="Normal"/>
    <w:next w:val="Normal"/>
    <w:link w:val="IntenseQuoteChar"/>
    <w:uiPriority w:val="30"/>
    <w:qFormat/>
    <w:rsid w:val="007066B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066B2"/>
    <w:rPr>
      <w:i/>
      <w:iCs/>
      <w:color w:val="404040" w:themeColor="text1" w:themeTint="BF"/>
    </w:rPr>
  </w:style>
  <w:style w:type="character" w:styleId="SubtleEmphasis">
    <w:name w:val="Subtle Emphasis"/>
    <w:basedOn w:val="DefaultParagraphFont"/>
    <w:uiPriority w:val="19"/>
    <w:qFormat/>
    <w:rsid w:val="007066B2"/>
    <w:rPr>
      <w:i/>
      <w:iCs/>
      <w:color w:val="404040" w:themeColor="text1" w:themeTint="BF"/>
    </w:rPr>
  </w:style>
  <w:style w:type="character" w:styleId="IntenseEmphasis">
    <w:name w:val="Intense Emphasis"/>
    <w:basedOn w:val="DefaultParagraphFont"/>
    <w:uiPriority w:val="21"/>
    <w:qFormat/>
    <w:rsid w:val="007066B2"/>
    <w:rPr>
      <w:b/>
      <w:bCs/>
      <w:i/>
      <w:iCs/>
      <w:color w:val="auto"/>
    </w:rPr>
  </w:style>
  <w:style w:type="character" w:styleId="SubtleReference">
    <w:name w:val="Subtle Reference"/>
    <w:basedOn w:val="DefaultParagraphFont"/>
    <w:uiPriority w:val="31"/>
    <w:qFormat/>
    <w:rsid w:val="007066B2"/>
    <w:rPr>
      <w:smallCaps/>
      <w:color w:val="404040" w:themeColor="text1" w:themeTint="BF"/>
    </w:rPr>
  </w:style>
  <w:style w:type="character" w:styleId="IntenseReference">
    <w:name w:val="Intense Reference"/>
    <w:basedOn w:val="DefaultParagraphFont"/>
    <w:uiPriority w:val="32"/>
    <w:qFormat/>
    <w:rsid w:val="007066B2"/>
    <w:rPr>
      <w:b/>
      <w:bCs/>
      <w:smallCaps/>
      <w:color w:val="404040" w:themeColor="text1" w:themeTint="BF"/>
      <w:spacing w:val="5"/>
    </w:rPr>
  </w:style>
  <w:style w:type="character" w:styleId="BookTitle">
    <w:name w:val="Book Title"/>
    <w:basedOn w:val="DefaultParagraphFont"/>
    <w:uiPriority w:val="33"/>
    <w:qFormat/>
    <w:rsid w:val="007066B2"/>
    <w:rPr>
      <w:b/>
      <w:bCs/>
      <w:i/>
      <w:iCs/>
      <w:spacing w:val="5"/>
    </w:rPr>
  </w:style>
  <w:style w:type="paragraph" w:styleId="TOCHeading">
    <w:name w:val="TOC Heading"/>
    <w:basedOn w:val="Heading1"/>
    <w:next w:val="Normal"/>
    <w:uiPriority w:val="39"/>
    <w:semiHidden/>
    <w:unhideWhenUsed/>
    <w:qFormat/>
    <w:rsid w:val="007066B2"/>
    <w:pPr>
      <w:outlineLvl w:val="9"/>
    </w:pPr>
  </w:style>
  <w:style w:type="paragraph" w:styleId="ListParagraph">
    <w:name w:val="List Paragraph"/>
    <w:basedOn w:val="Normal"/>
    <w:uiPriority w:val="34"/>
    <w:qFormat/>
    <w:rsid w:val="00CF2E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79061">
      <w:bodyDiv w:val="1"/>
      <w:marLeft w:val="0"/>
      <w:marRight w:val="0"/>
      <w:marTop w:val="0"/>
      <w:marBottom w:val="0"/>
      <w:divBdr>
        <w:top w:val="none" w:sz="0" w:space="0" w:color="auto"/>
        <w:left w:val="none" w:sz="0" w:space="0" w:color="auto"/>
        <w:bottom w:val="none" w:sz="0" w:space="0" w:color="auto"/>
        <w:right w:val="none" w:sz="0" w:space="0" w:color="auto"/>
      </w:divBdr>
      <w:divsChild>
        <w:div w:id="543060514">
          <w:marLeft w:val="0"/>
          <w:marRight w:val="0"/>
          <w:marTop w:val="0"/>
          <w:marBottom w:val="120"/>
          <w:divBdr>
            <w:top w:val="none" w:sz="0" w:space="0" w:color="auto"/>
            <w:left w:val="none" w:sz="0" w:space="0" w:color="auto"/>
            <w:bottom w:val="none" w:sz="0" w:space="0" w:color="auto"/>
            <w:right w:val="none" w:sz="0" w:space="0" w:color="auto"/>
          </w:divBdr>
          <w:divsChild>
            <w:div w:id="2089182493">
              <w:marLeft w:val="0"/>
              <w:marRight w:val="0"/>
              <w:marTop w:val="0"/>
              <w:marBottom w:val="0"/>
              <w:divBdr>
                <w:top w:val="none" w:sz="0" w:space="0" w:color="auto"/>
                <w:left w:val="none" w:sz="0" w:space="0" w:color="auto"/>
                <w:bottom w:val="none" w:sz="0" w:space="0" w:color="auto"/>
                <w:right w:val="none" w:sz="0" w:space="0" w:color="auto"/>
              </w:divBdr>
              <w:divsChild>
                <w:div w:id="58210775">
                  <w:marLeft w:val="0"/>
                  <w:marRight w:val="0"/>
                  <w:marTop w:val="0"/>
                  <w:marBottom w:val="0"/>
                  <w:divBdr>
                    <w:top w:val="none" w:sz="0" w:space="0" w:color="auto"/>
                    <w:left w:val="none" w:sz="0" w:space="0" w:color="auto"/>
                    <w:bottom w:val="none" w:sz="0" w:space="0" w:color="auto"/>
                    <w:right w:val="none" w:sz="0" w:space="0" w:color="auto"/>
                  </w:divBdr>
                  <w:divsChild>
                    <w:div w:id="193307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472824">
      <w:bodyDiv w:val="1"/>
      <w:marLeft w:val="0"/>
      <w:marRight w:val="0"/>
      <w:marTop w:val="0"/>
      <w:marBottom w:val="0"/>
      <w:divBdr>
        <w:top w:val="none" w:sz="0" w:space="0" w:color="auto"/>
        <w:left w:val="none" w:sz="0" w:space="0" w:color="auto"/>
        <w:bottom w:val="none" w:sz="0" w:space="0" w:color="auto"/>
        <w:right w:val="none" w:sz="0" w:space="0" w:color="auto"/>
      </w:divBdr>
      <w:divsChild>
        <w:div w:id="1792749168">
          <w:marLeft w:val="0"/>
          <w:marRight w:val="0"/>
          <w:marTop w:val="0"/>
          <w:marBottom w:val="0"/>
          <w:divBdr>
            <w:top w:val="none" w:sz="0" w:space="0" w:color="auto"/>
            <w:left w:val="none" w:sz="0" w:space="0" w:color="auto"/>
            <w:bottom w:val="none" w:sz="0" w:space="0" w:color="auto"/>
            <w:right w:val="none" w:sz="0" w:space="0" w:color="auto"/>
          </w:divBdr>
          <w:divsChild>
            <w:div w:id="1844389396">
              <w:marLeft w:val="0"/>
              <w:marRight w:val="0"/>
              <w:marTop w:val="0"/>
              <w:marBottom w:val="120"/>
              <w:divBdr>
                <w:top w:val="none" w:sz="0" w:space="0" w:color="auto"/>
                <w:left w:val="none" w:sz="0" w:space="0" w:color="auto"/>
                <w:bottom w:val="none" w:sz="0" w:space="0" w:color="auto"/>
                <w:right w:val="none" w:sz="0" w:space="0" w:color="auto"/>
              </w:divBdr>
              <w:divsChild>
                <w:div w:id="188810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50443">
          <w:marLeft w:val="0"/>
          <w:marRight w:val="0"/>
          <w:marTop w:val="0"/>
          <w:marBottom w:val="480"/>
          <w:divBdr>
            <w:top w:val="none" w:sz="0" w:space="0" w:color="auto"/>
            <w:left w:val="none" w:sz="0" w:space="0" w:color="auto"/>
            <w:bottom w:val="single" w:sz="12" w:space="24" w:color="EBEBEB"/>
            <w:right w:val="none" w:sz="0" w:space="0" w:color="auto"/>
          </w:divBdr>
          <w:divsChild>
            <w:div w:id="1226719430">
              <w:marLeft w:val="0"/>
              <w:marRight w:val="0"/>
              <w:marTop w:val="0"/>
              <w:marBottom w:val="0"/>
              <w:divBdr>
                <w:top w:val="none" w:sz="0" w:space="0" w:color="auto"/>
                <w:left w:val="none" w:sz="0" w:space="0" w:color="auto"/>
                <w:bottom w:val="none" w:sz="0" w:space="0" w:color="auto"/>
                <w:right w:val="none" w:sz="0" w:space="0" w:color="auto"/>
              </w:divBdr>
              <w:divsChild>
                <w:div w:id="2126465302">
                  <w:marLeft w:val="0"/>
                  <w:marRight w:val="0"/>
                  <w:marTop w:val="0"/>
                  <w:marBottom w:val="0"/>
                  <w:divBdr>
                    <w:top w:val="none" w:sz="0" w:space="0" w:color="auto"/>
                    <w:left w:val="none" w:sz="0" w:space="0" w:color="auto"/>
                    <w:bottom w:val="none" w:sz="0" w:space="0" w:color="auto"/>
                    <w:right w:val="none" w:sz="0" w:space="0" w:color="auto"/>
                  </w:divBdr>
                </w:div>
                <w:div w:id="1811902749">
                  <w:marLeft w:val="0"/>
                  <w:marRight w:val="0"/>
                  <w:marTop w:val="0"/>
                  <w:marBottom w:val="0"/>
                  <w:divBdr>
                    <w:top w:val="none" w:sz="0" w:space="0" w:color="auto"/>
                    <w:left w:val="none" w:sz="0" w:space="0" w:color="auto"/>
                    <w:bottom w:val="none" w:sz="0" w:space="0" w:color="auto"/>
                    <w:right w:val="none" w:sz="0" w:space="0" w:color="auto"/>
                  </w:divBdr>
                </w:div>
                <w:div w:id="284120391">
                  <w:marLeft w:val="0"/>
                  <w:marRight w:val="0"/>
                  <w:marTop w:val="0"/>
                  <w:marBottom w:val="0"/>
                  <w:divBdr>
                    <w:top w:val="none" w:sz="0" w:space="0" w:color="auto"/>
                    <w:left w:val="none" w:sz="0" w:space="0" w:color="auto"/>
                    <w:bottom w:val="none" w:sz="0" w:space="0" w:color="auto"/>
                    <w:right w:val="none" w:sz="0" w:space="0" w:color="auto"/>
                  </w:divBdr>
                </w:div>
                <w:div w:id="328220008">
                  <w:marLeft w:val="0"/>
                  <w:marRight w:val="0"/>
                  <w:marTop w:val="0"/>
                  <w:marBottom w:val="0"/>
                  <w:divBdr>
                    <w:top w:val="none" w:sz="0" w:space="0" w:color="auto"/>
                    <w:left w:val="none" w:sz="0" w:space="0" w:color="auto"/>
                    <w:bottom w:val="none" w:sz="0" w:space="0" w:color="auto"/>
                    <w:right w:val="none" w:sz="0" w:space="0" w:color="auto"/>
                  </w:divBdr>
                </w:div>
                <w:div w:id="1513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656094">
          <w:marLeft w:val="0"/>
          <w:marRight w:val="0"/>
          <w:marTop w:val="0"/>
          <w:marBottom w:val="0"/>
          <w:divBdr>
            <w:top w:val="none" w:sz="0" w:space="0" w:color="auto"/>
            <w:left w:val="none" w:sz="0" w:space="0" w:color="auto"/>
            <w:bottom w:val="none" w:sz="0" w:space="0" w:color="auto"/>
            <w:right w:val="none" w:sz="0" w:space="0" w:color="auto"/>
          </w:divBdr>
          <w:divsChild>
            <w:div w:id="940725382">
              <w:marLeft w:val="0"/>
              <w:marRight w:val="0"/>
              <w:marTop w:val="0"/>
              <w:marBottom w:val="0"/>
              <w:divBdr>
                <w:top w:val="none" w:sz="0" w:space="0" w:color="auto"/>
                <w:left w:val="none" w:sz="0" w:space="0" w:color="auto"/>
                <w:bottom w:val="none" w:sz="0" w:space="0" w:color="auto"/>
                <w:right w:val="none" w:sz="0" w:space="0" w:color="auto"/>
              </w:divBdr>
              <w:divsChild>
                <w:div w:id="1429740025">
                  <w:marLeft w:val="0"/>
                  <w:marRight w:val="0"/>
                  <w:marTop w:val="0"/>
                  <w:marBottom w:val="0"/>
                  <w:divBdr>
                    <w:top w:val="none" w:sz="0" w:space="0" w:color="auto"/>
                    <w:left w:val="none" w:sz="0" w:space="0" w:color="auto"/>
                    <w:bottom w:val="none" w:sz="0" w:space="0" w:color="auto"/>
                    <w:right w:val="none" w:sz="0" w:space="0" w:color="auto"/>
                  </w:divBdr>
                </w:div>
                <w:div w:id="730811467">
                  <w:marLeft w:val="0"/>
                  <w:marRight w:val="0"/>
                  <w:marTop w:val="0"/>
                  <w:marBottom w:val="0"/>
                  <w:divBdr>
                    <w:top w:val="none" w:sz="0" w:space="0" w:color="auto"/>
                    <w:left w:val="none" w:sz="0" w:space="0" w:color="auto"/>
                    <w:bottom w:val="none" w:sz="0" w:space="0" w:color="auto"/>
                    <w:right w:val="none" w:sz="0" w:space="0" w:color="auto"/>
                  </w:divBdr>
                  <w:divsChild>
                    <w:div w:id="1650087850">
                      <w:marLeft w:val="0"/>
                      <w:marRight w:val="0"/>
                      <w:marTop w:val="240"/>
                      <w:marBottom w:val="240"/>
                      <w:divBdr>
                        <w:top w:val="single" w:sz="12" w:space="0" w:color="EBEBEB"/>
                        <w:left w:val="none" w:sz="0" w:space="0" w:color="auto"/>
                        <w:bottom w:val="single" w:sz="12" w:space="0" w:color="EBEBEB"/>
                        <w:right w:val="none" w:sz="0" w:space="0" w:color="auto"/>
                      </w:divBdr>
                      <w:divsChild>
                        <w:div w:id="1552307205">
                          <w:marLeft w:val="0"/>
                          <w:marRight w:val="0"/>
                          <w:marTop w:val="240"/>
                          <w:marBottom w:val="240"/>
                          <w:divBdr>
                            <w:top w:val="none" w:sz="0" w:space="0" w:color="auto"/>
                            <w:left w:val="none" w:sz="0" w:space="0" w:color="auto"/>
                            <w:bottom w:val="none" w:sz="0" w:space="0" w:color="auto"/>
                            <w:right w:val="none" w:sz="0" w:space="0" w:color="auto"/>
                          </w:divBdr>
                        </w:div>
                      </w:divsChild>
                    </w:div>
                    <w:div w:id="1191989051">
                      <w:marLeft w:val="0"/>
                      <w:marRight w:val="0"/>
                      <w:marTop w:val="240"/>
                      <w:marBottom w:val="240"/>
                      <w:divBdr>
                        <w:top w:val="single" w:sz="12" w:space="0" w:color="EBEBEB"/>
                        <w:left w:val="none" w:sz="0" w:space="0" w:color="auto"/>
                        <w:bottom w:val="single" w:sz="12" w:space="0" w:color="EBEBEB"/>
                        <w:right w:val="none" w:sz="0" w:space="0" w:color="auto"/>
                      </w:divBdr>
                      <w:divsChild>
                        <w:div w:id="186318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3149521">
                  <w:marLeft w:val="0"/>
                  <w:marRight w:val="0"/>
                  <w:marTop w:val="0"/>
                  <w:marBottom w:val="0"/>
                  <w:divBdr>
                    <w:top w:val="none" w:sz="0" w:space="0" w:color="auto"/>
                    <w:left w:val="none" w:sz="0" w:space="0" w:color="auto"/>
                    <w:bottom w:val="none" w:sz="0" w:space="0" w:color="auto"/>
                    <w:right w:val="none" w:sz="0" w:space="0" w:color="auto"/>
                  </w:divBdr>
                  <w:divsChild>
                    <w:div w:id="2095591875">
                      <w:marLeft w:val="0"/>
                      <w:marRight w:val="0"/>
                      <w:marTop w:val="240"/>
                      <w:marBottom w:val="240"/>
                      <w:divBdr>
                        <w:top w:val="single" w:sz="12" w:space="0" w:color="EBEBEB"/>
                        <w:left w:val="none" w:sz="0" w:space="0" w:color="auto"/>
                        <w:bottom w:val="single" w:sz="12" w:space="0" w:color="EBEBEB"/>
                        <w:right w:val="none" w:sz="0" w:space="0" w:color="auto"/>
                      </w:divBdr>
                      <w:divsChild>
                        <w:div w:id="1785894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13013885">
                  <w:marLeft w:val="0"/>
                  <w:marRight w:val="0"/>
                  <w:marTop w:val="0"/>
                  <w:marBottom w:val="0"/>
                  <w:divBdr>
                    <w:top w:val="none" w:sz="0" w:space="0" w:color="auto"/>
                    <w:left w:val="none" w:sz="0" w:space="0" w:color="auto"/>
                    <w:bottom w:val="none" w:sz="0" w:space="0" w:color="auto"/>
                    <w:right w:val="none" w:sz="0" w:space="0" w:color="auto"/>
                  </w:divBdr>
                </w:div>
                <w:div w:id="2033220573">
                  <w:marLeft w:val="0"/>
                  <w:marRight w:val="0"/>
                  <w:marTop w:val="0"/>
                  <w:marBottom w:val="0"/>
                  <w:divBdr>
                    <w:top w:val="none" w:sz="0" w:space="0" w:color="auto"/>
                    <w:left w:val="none" w:sz="0" w:space="0" w:color="auto"/>
                    <w:bottom w:val="none" w:sz="0" w:space="0" w:color="auto"/>
                    <w:right w:val="none" w:sz="0" w:space="0" w:color="auto"/>
                  </w:divBdr>
                  <w:divsChild>
                    <w:div w:id="2020960056">
                      <w:marLeft w:val="0"/>
                      <w:marRight w:val="0"/>
                      <w:marTop w:val="240"/>
                      <w:marBottom w:val="240"/>
                      <w:divBdr>
                        <w:top w:val="single" w:sz="12" w:space="0" w:color="EBEBEB"/>
                        <w:left w:val="none" w:sz="0" w:space="0" w:color="auto"/>
                        <w:bottom w:val="single" w:sz="12" w:space="0" w:color="EBEBEB"/>
                        <w:right w:val="none" w:sz="0" w:space="0" w:color="auto"/>
                      </w:divBdr>
                      <w:divsChild>
                        <w:div w:id="3138765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12596986">
                  <w:marLeft w:val="0"/>
                  <w:marRight w:val="0"/>
                  <w:marTop w:val="0"/>
                  <w:marBottom w:val="0"/>
                  <w:divBdr>
                    <w:top w:val="none" w:sz="0" w:space="0" w:color="auto"/>
                    <w:left w:val="none" w:sz="0" w:space="0" w:color="auto"/>
                    <w:bottom w:val="none" w:sz="0" w:space="0" w:color="auto"/>
                    <w:right w:val="none" w:sz="0" w:space="0" w:color="auto"/>
                  </w:divBdr>
                  <w:divsChild>
                    <w:div w:id="977035494">
                      <w:marLeft w:val="0"/>
                      <w:marRight w:val="0"/>
                      <w:marTop w:val="240"/>
                      <w:marBottom w:val="240"/>
                      <w:divBdr>
                        <w:top w:val="single" w:sz="12" w:space="0" w:color="EBEBEB"/>
                        <w:left w:val="none" w:sz="0" w:space="0" w:color="auto"/>
                        <w:bottom w:val="single" w:sz="12" w:space="0" w:color="EBEBEB"/>
                        <w:right w:val="none" w:sz="0" w:space="0" w:color="auto"/>
                      </w:divBdr>
                      <w:divsChild>
                        <w:div w:id="16571757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98464521">
                  <w:marLeft w:val="0"/>
                  <w:marRight w:val="0"/>
                  <w:marTop w:val="0"/>
                  <w:marBottom w:val="0"/>
                  <w:divBdr>
                    <w:top w:val="none" w:sz="0" w:space="0" w:color="auto"/>
                    <w:left w:val="none" w:sz="0" w:space="0" w:color="auto"/>
                    <w:bottom w:val="none" w:sz="0" w:space="0" w:color="auto"/>
                    <w:right w:val="none" w:sz="0" w:space="0" w:color="auto"/>
                  </w:divBdr>
                  <w:divsChild>
                    <w:div w:id="385110112">
                      <w:marLeft w:val="0"/>
                      <w:marRight w:val="0"/>
                      <w:marTop w:val="240"/>
                      <w:marBottom w:val="240"/>
                      <w:divBdr>
                        <w:top w:val="single" w:sz="12" w:space="0" w:color="EBEBEB"/>
                        <w:left w:val="none" w:sz="0" w:space="0" w:color="auto"/>
                        <w:bottom w:val="single" w:sz="12" w:space="0" w:color="EBEBEB"/>
                        <w:right w:val="none" w:sz="0" w:space="0" w:color="auto"/>
                      </w:divBdr>
                      <w:divsChild>
                        <w:div w:id="27421297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610627694">
          <w:marLeft w:val="0"/>
          <w:marRight w:val="0"/>
          <w:marTop w:val="0"/>
          <w:marBottom w:val="0"/>
          <w:divBdr>
            <w:top w:val="none" w:sz="0" w:space="0" w:color="auto"/>
            <w:left w:val="none" w:sz="0" w:space="0" w:color="auto"/>
            <w:bottom w:val="none" w:sz="0" w:space="0" w:color="auto"/>
            <w:right w:val="none" w:sz="0" w:space="0" w:color="auto"/>
          </w:divBdr>
        </w:div>
        <w:div w:id="470445789">
          <w:marLeft w:val="0"/>
          <w:marRight w:val="0"/>
          <w:marTop w:val="0"/>
          <w:marBottom w:val="0"/>
          <w:divBdr>
            <w:top w:val="none" w:sz="0" w:space="0" w:color="auto"/>
            <w:left w:val="none" w:sz="0" w:space="0" w:color="auto"/>
            <w:bottom w:val="none" w:sz="0" w:space="0" w:color="auto"/>
            <w:right w:val="none" w:sz="0" w:space="0" w:color="auto"/>
          </w:divBdr>
        </w:div>
        <w:div w:id="1998266502">
          <w:marLeft w:val="0"/>
          <w:marRight w:val="0"/>
          <w:marTop w:val="0"/>
          <w:marBottom w:val="0"/>
          <w:divBdr>
            <w:top w:val="none" w:sz="0" w:space="0" w:color="auto"/>
            <w:left w:val="none" w:sz="0" w:space="0" w:color="auto"/>
            <w:bottom w:val="none" w:sz="0" w:space="0" w:color="auto"/>
            <w:right w:val="none" w:sz="0" w:space="0" w:color="auto"/>
          </w:divBdr>
          <w:divsChild>
            <w:div w:id="849219408">
              <w:marLeft w:val="0"/>
              <w:marRight w:val="0"/>
              <w:marTop w:val="0"/>
              <w:marBottom w:val="0"/>
              <w:divBdr>
                <w:top w:val="none" w:sz="0" w:space="0" w:color="auto"/>
                <w:left w:val="none" w:sz="0" w:space="0" w:color="auto"/>
                <w:bottom w:val="none" w:sz="0" w:space="0" w:color="auto"/>
                <w:right w:val="none" w:sz="0" w:space="0" w:color="auto"/>
              </w:divBdr>
            </w:div>
          </w:divsChild>
        </w:div>
        <w:div w:id="994340656">
          <w:marLeft w:val="0"/>
          <w:marRight w:val="0"/>
          <w:marTop w:val="0"/>
          <w:marBottom w:val="0"/>
          <w:divBdr>
            <w:top w:val="none" w:sz="0" w:space="0" w:color="auto"/>
            <w:left w:val="none" w:sz="0" w:space="0" w:color="auto"/>
            <w:bottom w:val="none" w:sz="0" w:space="0" w:color="auto"/>
            <w:right w:val="none" w:sz="0" w:space="0" w:color="auto"/>
          </w:divBdr>
        </w:div>
        <w:div w:id="845677847">
          <w:marLeft w:val="0"/>
          <w:marRight w:val="0"/>
          <w:marTop w:val="0"/>
          <w:marBottom w:val="0"/>
          <w:divBdr>
            <w:top w:val="none" w:sz="0" w:space="0" w:color="auto"/>
            <w:left w:val="none" w:sz="0" w:space="0" w:color="auto"/>
            <w:bottom w:val="none" w:sz="0" w:space="0" w:color="auto"/>
            <w:right w:val="none" w:sz="0" w:space="0" w:color="auto"/>
          </w:divBdr>
        </w:div>
        <w:div w:id="900872478">
          <w:marLeft w:val="0"/>
          <w:marRight w:val="0"/>
          <w:marTop w:val="0"/>
          <w:marBottom w:val="0"/>
          <w:divBdr>
            <w:top w:val="none" w:sz="0" w:space="0" w:color="auto"/>
            <w:left w:val="none" w:sz="0" w:space="0" w:color="auto"/>
            <w:bottom w:val="none" w:sz="0" w:space="0" w:color="auto"/>
            <w:right w:val="none" w:sz="0" w:space="0" w:color="auto"/>
          </w:divBdr>
          <w:divsChild>
            <w:div w:id="1079716385">
              <w:marLeft w:val="0"/>
              <w:marRight w:val="0"/>
              <w:marTop w:val="0"/>
              <w:marBottom w:val="0"/>
              <w:divBdr>
                <w:top w:val="none" w:sz="0" w:space="0" w:color="auto"/>
                <w:left w:val="none" w:sz="0" w:space="0" w:color="auto"/>
                <w:bottom w:val="none" w:sz="0" w:space="0" w:color="auto"/>
                <w:right w:val="none" w:sz="0" w:space="0" w:color="auto"/>
              </w:divBdr>
            </w:div>
          </w:divsChild>
        </w:div>
        <w:div w:id="1368141947">
          <w:marLeft w:val="0"/>
          <w:marRight w:val="0"/>
          <w:marTop w:val="0"/>
          <w:marBottom w:val="0"/>
          <w:divBdr>
            <w:top w:val="none" w:sz="0" w:space="0" w:color="auto"/>
            <w:left w:val="none" w:sz="0" w:space="0" w:color="auto"/>
            <w:bottom w:val="none" w:sz="0" w:space="0" w:color="auto"/>
            <w:right w:val="none" w:sz="0" w:space="0" w:color="auto"/>
          </w:divBdr>
        </w:div>
        <w:div w:id="1978414623">
          <w:marLeft w:val="0"/>
          <w:marRight w:val="0"/>
          <w:marTop w:val="0"/>
          <w:marBottom w:val="0"/>
          <w:divBdr>
            <w:top w:val="none" w:sz="0" w:space="0" w:color="auto"/>
            <w:left w:val="none" w:sz="0" w:space="0" w:color="auto"/>
            <w:bottom w:val="none" w:sz="0" w:space="0" w:color="auto"/>
            <w:right w:val="none" w:sz="0" w:space="0" w:color="auto"/>
          </w:divBdr>
        </w:div>
        <w:div w:id="2106221029">
          <w:marLeft w:val="0"/>
          <w:marRight w:val="0"/>
          <w:marTop w:val="0"/>
          <w:marBottom w:val="0"/>
          <w:divBdr>
            <w:top w:val="none" w:sz="0" w:space="0" w:color="auto"/>
            <w:left w:val="none" w:sz="0" w:space="0" w:color="auto"/>
            <w:bottom w:val="none" w:sz="0" w:space="0" w:color="auto"/>
            <w:right w:val="none" w:sz="0" w:space="0" w:color="auto"/>
          </w:divBdr>
          <w:divsChild>
            <w:div w:id="1804078368">
              <w:marLeft w:val="0"/>
              <w:marRight w:val="0"/>
              <w:marTop w:val="0"/>
              <w:marBottom w:val="0"/>
              <w:divBdr>
                <w:top w:val="none" w:sz="0" w:space="0" w:color="auto"/>
                <w:left w:val="none" w:sz="0" w:space="0" w:color="auto"/>
                <w:bottom w:val="none" w:sz="0" w:space="0" w:color="auto"/>
                <w:right w:val="none" w:sz="0" w:space="0" w:color="auto"/>
              </w:divBdr>
            </w:div>
          </w:divsChild>
        </w:div>
        <w:div w:id="652878288">
          <w:marLeft w:val="0"/>
          <w:marRight w:val="0"/>
          <w:marTop w:val="0"/>
          <w:marBottom w:val="0"/>
          <w:divBdr>
            <w:top w:val="none" w:sz="0" w:space="0" w:color="auto"/>
            <w:left w:val="none" w:sz="0" w:space="0" w:color="auto"/>
            <w:bottom w:val="none" w:sz="0" w:space="0" w:color="auto"/>
            <w:right w:val="none" w:sz="0" w:space="0" w:color="auto"/>
          </w:divBdr>
        </w:div>
        <w:div w:id="634874309">
          <w:marLeft w:val="0"/>
          <w:marRight w:val="0"/>
          <w:marTop w:val="0"/>
          <w:marBottom w:val="0"/>
          <w:divBdr>
            <w:top w:val="none" w:sz="0" w:space="0" w:color="auto"/>
            <w:left w:val="none" w:sz="0" w:space="0" w:color="auto"/>
            <w:bottom w:val="none" w:sz="0" w:space="0" w:color="auto"/>
            <w:right w:val="none" w:sz="0" w:space="0" w:color="auto"/>
          </w:divBdr>
          <w:divsChild>
            <w:div w:id="1145588041">
              <w:marLeft w:val="0"/>
              <w:marRight w:val="360"/>
              <w:marTop w:val="0"/>
              <w:marBottom w:val="0"/>
              <w:divBdr>
                <w:top w:val="none" w:sz="0" w:space="0" w:color="auto"/>
                <w:left w:val="none" w:sz="0" w:space="0" w:color="auto"/>
                <w:bottom w:val="none" w:sz="0" w:space="0" w:color="auto"/>
                <w:right w:val="none" w:sz="0" w:space="0" w:color="auto"/>
              </w:divBdr>
            </w:div>
          </w:divsChild>
        </w:div>
        <w:div w:id="1088231851">
          <w:marLeft w:val="0"/>
          <w:marRight w:val="0"/>
          <w:marTop w:val="0"/>
          <w:marBottom w:val="0"/>
          <w:divBdr>
            <w:top w:val="none" w:sz="0" w:space="0" w:color="auto"/>
            <w:left w:val="none" w:sz="0" w:space="0" w:color="auto"/>
            <w:bottom w:val="none" w:sz="0" w:space="0" w:color="auto"/>
            <w:right w:val="none" w:sz="0" w:space="0" w:color="auto"/>
          </w:divBdr>
        </w:div>
        <w:div w:id="987589944">
          <w:marLeft w:val="0"/>
          <w:marRight w:val="0"/>
          <w:marTop w:val="0"/>
          <w:marBottom w:val="0"/>
          <w:divBdr>
            <w:top w:val="none" w:sz="0" w:space="0" w:color="auto"/>
            <w:left w:val="none" w:sz="0" w:space="0" w:color="auto"/>
            <w:bottom w:val="none" w:sz="0" w:space="0" w:color="auto"/>
            <w:right w:val="none" w:sz="0" w:space="0" w:color="auto"/>
          </w:divBdr>
        </w:div>
        <w:div w:id="340355096">
          <w:marLeft w:val="0"/>
          <w:marRight w:val="0"/>
          <w:marTop w:val="0"/>
          <w:marBottom w:val="0"/>
          <w:divBdr>
            <w:top w:val="none" w:sz="0" w:space="0" w:color="auto"/>
            <w:left w:val="none" w:sz="0" w:space="0" w:color="auto"/>
            <w:bottom w:val="none" w:sz="0" w:space="0" w:color="auto"/>
            <w:right w:val="none" w:sz="0" w:space="0" w:color="auto"/>
          </w:divBdr>
        </w:div>
        <w:div w:id="255213599">
          <w:marLeft w:val="0"/>
          <w:marRight w:val="0"/>
          <w:marTop w:val="0"/>
          <w:marBottom w:val="0"/>
          <w:divBdr>
            <w:top w:val="none" w:sz="0" w:space="0" w:color="auto"/>
            <w:left w:val="none" w:sz="0" w:space="0" w:color="auto"/>
            <w:bottom w:val="none" w:sz="0" w:space="0" w:color="auto"/>
            <w:right w:val="none" w:sz="0" w:space="0" w:color="auto"/>
          </w:divBdr>
        </w:div>
        <w:div w:id="1874229444">
          <w:marLeft w:val="0"/>
          <w:marRight w:val="0"/>
          <w:marTop w:val="0"/>
          <w:marBottom w:val="0"/>
          <w:divBdr>
            <w:top w:val="none" w:sz="0" w:space="0" w:color="auto"/>
            <w:left w:val="none" w:sz="0" w:space="0" w:color="auto"/>
            <w:bottom w:val="none" w:sz="0" w:space="0" w:color="auto"/>
            <w:right w:val="none" w:sz="0" w:space="0" w:color="auto"/>
          </w:divBdr>
          <w:divsChild>
            <w:div w:id="1843160477">
              <w:marLeft w:val="0"/>
              <w:marRight w:val="0"/>
              <w:marTop w:val="0"/>
              <w:marBottom w:val="0"/>
              <w:divBdr>
                <w:top w:val="none" w:sz="0" w:space="0" w:color="auto"/>
                <w:left w:val="none" w:sz="0" w:space="0" w:color="auto"/>
                <w:bottom w:val="none" w:sz="0" w:space="0" w:color="auto"/>
                <w:right w:val="none" w:sz="0" w:space="0" w:color="auto"/>
              </w:divBdr>
            </w:div>
          </w:divsChild>
        </w:div>
        <w:div w:id="423958807">
          <w:marLeft w:val="0"/>
          <w:marRight w:val="0"/>
          <w:marTop w:val="0"/>
          <w:marBottom w:val="0"/>
          <w:divBdr>
            <w:top w:val="none" w:sz="0" w:space="0" w:color="auto"/>
            <w:left w:val="none" w:sz="0" w:space="0" w:color="auto"/>
            <w:bottom w:val="none" w:sz="0" w:space="0" w:color="auto"/>
            <w:right w:val="none" w:sz="0" w:space="0" w:color="auto"/>
          </w:divBdr>
        </w:div>
        <w:div w:id="1497912905">
          <w:marLeft w:val="0"/>
          <w:marRight w:val="0"/>
          <w:marTop w:val="0"/>
          <w:marBottom w:val="0"/>
          <w:divBdr>
            <w:top w:val="none" w:sz="0" w:space="0" w:color="auto"/>
            <w:left w:val="none" w:sz="0" w:space="0" w:color="auto"/>
            <w:bottom w:val="none" w:sz="0" w:space="0" w:color="auto"/>
            <w:right w:val="none" w:sz="0" w:space="0" w:color="auto"/>
          </w:divBdr>
          <w:divsChild>
            <w:div w:id="202058013">
              <w:marLeft w:val="0"/>
              <w:marRight w:val="360"/>
              <w:marTop w:val="0"/>
              <w:marBottom w:val="0"/>
              <w:divBdr>
                <w:top w:val="none" w:sz="0" w:space="0" w:color="auto"/>
                <w:left w:val="none" w:sz="0" w:space="0" w:color="auto"/>
                <w:bottom w:val="none" w:sz="0" w:space="0" w:color="auto"/>
                <w:right w:val="none" w:sz="0" w:space="0" w:color="auto"/>
              </w:divBdr>
            </w:div>
          </w:divsChild>
        </w:div>
        <w:div w:id="742679090">
          <w:marLeft w:val="0"/>
          <w:marRight w:val="0"/>
          <w:marTop w:val="0"/>
          <w:marBottom w:val="0"/>
          <w:divBdr>
            <w:top w:val="none" w:sz="0" w:space="0" w:color="auto"/>
            <w:left w:val="none" w:sz="0" w:space="0" w:color="auto"/>
            <w:bottom w:val="none" w:sz="0" w:space="0" w:color="auto"/>
            <w:right w:val="none" w:sz="0" w:space="0" w:color="auto"/>
          </w:divBdr>
          <w:divsChild>
            <w:div w:id="1554384397">
              <w:marLeft w:val="0"/>
              <w:marRight w:val="0"/>
              <w:marTop w:val="0"/>
              <w:marBottom w:val="0"/>
              <w:divBdr>
                <w:top w:val="none" w:sz="0" w:space="0" w:color="auto"/>
                <w:left w:val="none" w:sz="0" w:space="0" w:color="auto"/>
                <w:bottom w:val="none" w:sz="0" w:space="0" w:color="auto"/>
                <w:right w:val="none" w:sz="0" w:space="0" w:color="auto"/>
              </w:divBdr>
            </w:div>
          </w:divsChild>
        </w:div>
        <w:div w:id="1180706054">
          <w:marLeft w:val="0"/>
          <w:marRight w:val="0"/>
          <w:marTop w:val="0"/>
          <w:marBottom w:val="0"/>
          <w:divBdr>
            <w:top w:val="none" w:sz="0" w:space="0" w:color="auto"/>
            <w:left w:val="none" w:sz="0" w:space="0" w:color="auto"/>
            <w:bottom w:val="none" w:sz="0" w:space="0" w:color="auto"/>
            <w:right w:val="none" w:sz="0" w:space="0" w:color="auto"/>
          </w:divBdr>
        </w:div>
        <w:div w:id="1698922378">
          <w:marLeft w:val="0"/>
          <w:marRight w:val="0"/>
          <w:marTop w:val="0"/>
          <w:marBottom w:val="0"/>
          <w:divBdr>
            <w:top w:val="none" w:sz="0" w:space="0" w:color="auto"/>
            <w:left w:val="none" w:sz="0" w:space="0" w:color="auto"/>
            <w:bottom w:val="none" w:sz="0" w:space="0" w:color="auto"/>
            <w:right w:val="none" w:sz="0" w:space="0" w:color="auto"/>
          </w:divBdr>
        </w:div>
        <w:div w:id="2025400052">
          <w:marLeft w:val="0"/>
          <w:marRight w:val="0"/>
          <w:marTop w:val="0"/>
          <w:marBottom w:val="0"/>
          <w:divBdr>
            <w:top w:val="none" w:sz="0" w:space="0" w:color="auto"/>
            <w:left w:val="none" w:sz="0" w:space="0" w:color="auto"/>
            <w:bottom w:val="none" w:sz="0" w:space="0" w:color="auto"/>
            <w:right w:val="none" w:sz="0" w:space="0" w:color="auto"/>
          </w:divBdr>
          <w:divsChild>
            <w:div w:id="2098749093">
              <w:marLeft w:val="0"/>
              <w:marRight w:val="0"/>
              <w:marTop w:val="0"/>
              <w:marBottom w:val="0"/>
              <w:divBdr>
                <w:top w:val="none" w:sz="0" w:space="0" w:color="auto"/>
                <w:left w:val="none" w:sz="0" w:space="0" w:color="auto"/>
                <w:bottom w:val="none" w:sz="0" w:space="0" w:color="auto"/>
                <w:right w:val="none" w:sz="0" w:space="0" w:color="auto"/>
              </w:divBdr>
            </w:div>
          </w:divsChild>
        </w:div>
        <w:div w:id="71392823">
          <w:marLeft w:val="0"/>
          <w:marRight w:val="0"/>
          <w:marTop w:val="0"/>
          <w:marBottom w:val="0"/>
          <w:divBdr>
            <w:top w:val="none" w:sz="0" w:space="0" w:color="auto"/>
            <w:left w:val="none" w:sz="0" w:space="0" w:color="auto"/>
            <w:bottom w:val="none" w:sz="0" w:space="0" w:color="auto"/>
            <w:right w:val="none" w:sz="0" w:space="0" w:color="auto"/>
          </w:divBdr>
        </w:div>
        <w:div w:id="454719704">
          <w:marLeft w:val="0"/>
          <w:marRight w:val="0"/>
          <w:marTop w:val="0"/>
          <w:marBottom w:val="0"/>
          <w:divBdr>
            <w:top w:val="none" w:sz="0" w:space="0" w:color="auto"/>
            <w:left w:val="none" w:sz="0" w:space="0" w:color="auto"/>
            <w:bottom w:val="none" w:sz="0" w:space="0" w:color="auto"/>
            <w:right w:val="none" w:sz="0" w:space="0" w:color="auto"/>
          </w:divBdr>
        </w:div>
        <w:div w:id="1682390687">
          <w:marLeft w:val="0"/>
          <w:marRight w:val="0"/>
          <w:marTop w:val="0"/>
          <w:marBottom w:val="0"/>
          <w:divBdr>
            <w:top w:val="none" w:sz="0" w:space="0" w:color="auto"/>
            <w:left w:val="none" w:sz="0" w:space="0" w:color="auto"/>
            <w:bottom w:val="none" w:sz="0" w:space="0" w:color="auto"/>
            <w:right w:val="none" w:sz="0" w:space="0" w:color="auto"/>
          </w:divBdr>
          <w:divsChild>
            <w:div w:id="615866524">
              <w:marLeft w:val="0"/>
              <w:marRight w:val="0"/>
              <w:marTop w:val="0"/>
              <w:marBottom w:val="0"/>
              <w:divBdr>
                <w:top w:val="none" w:sz="0" w:space="0" w:color="auto"/>
                <w:left w:val="none" w:sz="0" w:space="0" w:color="auto"/>
                <w:bottom w:val="none" w:sz="0" w:space="0" w:color="auto"/>
                <w:right w:val="none" w:sz="0" w:space="0" w:color="auto"/>
              </w:divBdr>
            </w:div>
          </w:divsChild>
        </w:div>
        <w:div w:id="30154554">
          <w:marLeft w:val="0"/>
          <w:marRight w:val="0"/>
          <w:marTop w:val="0"/>
          <w:marBottom w:val="0"/>
          <w:divBdr>
            <w:top w:val="none" w:sz="0" w:space="0" w:color="auto"/>
            <w:left w:val="none" w:sz="0" w:space="0" w:color="auto"/>
            <w:bottom w:val="none" w:sz="0" w:space="0" w:color="auto"/>
            <w:right w:val="none" w:sz="0" w:space="0" w:color="auto"/>
          </w:divBdr>
        </w:div>
        <w:div w:id="145359118">
          <w:marLeft w:val="0"/>
          <w:marRight w:val="0"/>
          <w:marTop w:val="0"/>
          <w:marBottom w:val="0"/>
          <w:divBdr>
            <w:top w:val="none" w:sz="0" w:space="0" w:color="auto"/>
            <w:left w:val="none" w:sz="0" w:space="0" w:color="auto"/>
            <w:bottom w:val="none" w:sz="0" w:space="0" w:color="auto"/>
            <w:right w:val="none" w:sz="0" w:space="0" w:color="auto"/>
          </w:divBdr>
        </w:div>
        <w:div w:id="1571503527">
          <w:marLeft w:val="0"/>
          <w:marRight w:val="0"/>
          <w:marTop w:val="0"/>
          <w:marBottom w:val="0"/>
          <w:divBdr>
            <w:top w:val="none" w:sz="0" w:space="0" w:color="auto"/>
            <w:left w:val="none" w:sz="0" w:space="0" w:color="auto"/>
            <w:bottom w:val="none" w:sz="0" w:space="0" w:color="auto"/>
            <w:right w:val="none" w:sz="0" w:space="0" w:color="auto"/>
          </w:divBdr>
          <w:divsChild>
            <w:div w:id="98917718">
              <w:marLeft w:val="0"/>
              <w:marRight w:val="0"/>
              <w:marTop w:val="0"/>
              <w:marBottom w:val="0"/>
              <w:divBdr>
                <w:top w:val="none" w:sz="0" w:space="0" w:color="auto"/>
                <w:left w:val="none" w:sz="0" w:space="0" w:color="auto"/>
                <w:bottom w:val="none" w:sz="0" w:space="0" w:color="auto"/>
                <w:right w:val="none" w:sz="0" w:space="0" w:color="auto"/>
              </w:divBdr>
            </w:div>
          </w:divsChild>
        </w:div>
        <w:div w:id="1516385959">
          <w:marLeft w:val="0"/>
          <w:marRight w:val="0"/>
          <w:marTop w:val="0"/>
          <w:marBottom w:val="0"/>
          <w:divBdr>
            <w:top w:val="none" w:sz="0" w:space="0" w:color="auto"/>
            <w:left w:val="none" w:sz="0" w:space="0" w:color="auto"/>
            <w:bottom w:val="none" w:sz="0" w:space="0" w:color="auto"/>
            <w:right w:val="none" w:sz="0" w:space="0" w:color="auto"/>
          </w:divBdr>
        </w:div>
        <w:div w:id="755059306">
          <w:marLeft w:val="0"/>
          <w:marRight w:val="0"/>
          <w:marTop w:val="0"/>
          <w:marBottom w:val="0"/>
          <w:divBdr>
            <w:top w:val="none" w:sz="0" w:space="0" w:color="auto"/>
            <w:left w:val="none" w:sz="0" w:space="0" w:color="auto"/>
            <w:bottom w:val="none" w:sz="0" w:space="0" w:color="auto"/>
            <w:right w:val="none" w:sz="0" w:space="0" w:color="auto"/>
          </w:divBdr>
        </w:div>
        <w:div w:id="451873053">
          <w:marLeft w:val="0"/>
          <w:marRight w:val="0"/>
          <w:marTop w:val="0"/>
          <w:marBottom w:val="0"/>
          <w:divBdr>
            <w:top w:val="none" w:sz="0" w:space="0" w:color="auto"/>
            <w:left w:val="none" w:sz="0" w:space="0" w:color="auto"/>
            <w:bottom w:val="none" w:sz="0" w:space="0" w:color="auto"/>
            <w:right w:val="none" w:sz="0" w:space="0" w:color="auto"/>
          </w:divBdr>
          <w:divsChild>
            <w:div w:id="1729840724">
              <w:marLeft w:val="0"/>
              <w:marRight w:val="0"/>
              <w:marTop w:val="0"/>
              <w:marBottom w:val="0"/>
              <w:divBdr>
                <w:top w:val="none" w:sz="0" w:space="0" w:color="auto"/>
                <w:left w:val="none" w:sz="0" w:space="0" w:color="auto"/>
                <w:bottom w:val="none" w:sz="0" w:space="0" w:color="auto"/>
                <w:right w:val="none" w:sz="0" w:space="0" w:color="auto"/>
              </w:divBdr>
            </w:div>
          </w:divsChild>
        </w:div>
        <w:div w:id="754978702">
          <w:marLeft w:val="0"/>
          <w:marRight w:val="0"/>
          <w:marTop w:val="0"/>
          <w:marBottom w:val="0"/>
          <w:divBdr>
            <w:top w:val="none" w:sz="0" w:space="0" w:color="auto"/>
            <w:left w:val="none" w:sz="0" w:space="0" w:color="auto"/>
            <w:bottom w:val="none" w:sz="0" w:space="0" w:color="auto"/>
            <w:right w:val="none" w:sz="0" w:space="0" w:color="auto"/>
          </w:divBdr>
        </w:div>
        <w:div w:id="1068309139">
          <w:marLeft w:val="0"/>
          <w:marRight w:val="0"/>
          <w:marTop w:val="0"/>
          <w:marBottom w:val="0"/>
          <w:divBdr>
            <w:top w:val="none" w:sz="0" w:space="0" w:color="auto"/>
            <w:left w:val="none" w:sz="0" w:space="0" w:color="auto"/>
            <w:bottom w:val="none" w:sz="0" w:space="0" w:color="auto"/>
            <w:right w:val="none" w:sz="0" w:space="0" w:color="auto"/>
          </w:divBdr>
        </w:div>
        <w:div w:id="30081705">
          <w:marLeft w:val="0"/>
          <w:marRight w:val="0"/>
          <w:marTop w:val="0"/>
          <w:marBottom w:val="0"/>
          <w:divBdr>
            <w:top w:val="none" w:sz="0" w:space="0" w:color="auto"/>
            <w:left w:val="none" w:sz="0" w:space="0" w:color="auto"/>
            <w:bottom w:val="none" w:sz="0" w:space="0" w:color="auto"/>
            <w:right w:val="none" w:sz="0" w:space="0" w:color="auto"/>
          </w:divBdr>
        </w:div>
        <w:div w:id="391471043">
          <w:marLeft w:val="0"/>
          <w:marRight w:val="0"/>
          <w:marTop w:val="0"/>
          <w:marBottom w:val="0"/>
          <w:divBdr>
            <w:top w:val="none" w:sz="0" w:space="0" w:color="auto"/>
            <w:left w:val="none" w:sz="0" w:space="0" w:color="auto"/>
            <w:bottom w:val="none" w:sz="0" w:space="0" w:color="auto"/>
            <w:right w:val="none" w:sz="0" w:space="0" w:color="auto"/>
          </w:divBdr>
        </w:div>
        <w:div w:id="1632244744">
          <w:marLeft w:val="0"/>
          <w:marRight w:val="0"/>
          <w:marTop w:val="0"/>
          <w:marBottom w:val="0"/>
          <w:divBdr>
            <w:top w:val="none" w:sz="0" w:space="0" w:color="auto"/>
            <w:left w:val="none" w:sz="0" w:space="0" w:color="auto"/>
            <w:bottom w:val="none" w:sz="0" w:space="0" w:color="auto"/>
            <w:right w:val="none" w:sz="0" w:space="0" w:color="auto"/>
          </w:divBdr>
        </w:div>
        <w:div w:id="187913022">
          <w:marLeft w:val="0"/>
          <w:marRight w:val="0"/>
          <w:marTop w:val="0"/>
          <w:marBottom w:val="0"/>
          <w:divBdr>
            <w:top w:val="none" w:sz="0" w:space="0" w:color="auto"/>
            <w:left w:val="none" w:sz="0" w:space="0" w:color="auto"/>
            <w:bottom w:val="none" w:sz="0" w:space="0" w:color="auto"/>
            <w:right w:val="none" w:sz="0" w:space="0" w:color="auto"/>
          </w:divBdr>
          <w:divsChild>
            <w:div w:id="100491137">
              <w:marLeft w:val="0"/>
              <w:marRight w:val="0"/>
              <w:marTop w:val="0"/>
              <w:marBottom w:val="0"/>
              <w:divBdr>
                <w:top w:val="none" w:sz="0" w:space="0" w:color="auto"/>
                <w:left w:val="none" w:sz="0" w:space="0" w:color="auto"/>
                <w:bottom w:val="none" w:sz="0" w:space="0" w:color="auto"/>
                <w:right w:val="none" w:sz="0" w:space="0" w:color="auto"/>
              </w:divBdr>
            </w:div>
          </w:divsChild>
        </w:div>
        <w:div w:id="159661930">
          <w:marLeft w:val="0"/>
          <w:marRight w:val="0"/>
          <w:marTop w:val="0"/>
          <w:marBottom w:val="0"/>
          <w:divBdr>
            <w:top w:val="none" w:sz="0" w:space="0" w:color="auto"/>
            <w:left w:val="none" w:sz="0" w:space="0" w:color="auto"/>
            <w:bottom w:val="none" w:sz="0" w:space="0" w:color="auto"/>
            <w:right w:val="none" w:sz="0" w:space="0" w:color="auto"/>
          </w:divBdr>
        </w:div>
        <w:div w:id="1307197287">
          <w:marLeft w:val="0"/>
          <w:marRight w:val="0"/>
          <w:marTop w:val="0"/>
          <w:marBottom w:val="0"/>
          <w:divBdr>
            <w:top w:val="none" w:sz="0" w:space="0" w:color="auto"/>
            <w:left w:val="none" w:sz="0" w:space="0" w:color="auto"/>
            <w:bottom w:val="none" w:sz="0" w:space="0" w:color="auto"/>
            <w:right w:val="none" w:sz="0" w:space="0" w:color="auto"/>
          </w:divBdr>
        </w:div>
        <w:div w:id="1249466340">
          <w:marLeft w:val="0"/>
          <w:marRight w:val="0"/>
          <w:marTop w:val="0"/>
          <w:marBottom w:val="0"/>
          <w:divBdr>
            <w:top w:val="none" w:sz="0" w:space="0" w:color="auto"/>
            <w:left w:val="none" w:sz="0" w:space="0" w:color="auto"/>
            <w:bottom w:val="none" w:sz="0" w:space="0" w:color="auto"/>
            <w:right w:val="none" w:sz="0" w:space="0" w:color="auto"/>
          </w:divBdr>
          <w:divsChild>
            <w:div w:id="1742100038">
              <w:marLeft w:val="0"/>
              <w:marRight w:val="0"/>
              <w:marTop w:val="0"/>
              <w:marBottom w:val="0"/>
              <w:divBdr>
                <w:top w:val="none" w:sz="0" w:space="0" w:color="auto"/>
                <w:left w:val="none" w:sz="0" w:space="0" w:color="auto"/>
                <w:bottom w:val="none" w:sz="0" w:space="0" w:color="auto"/>
                <w:right w:val="none" w:sz="0" w:space="0" w:color="auto"/>
              </w:divBdr>
            </w:div>
          </w:divsChild>
        </w:div>
        <w:div w:id="1955626956">
          <w:marLeft w:val="0"/>
          <w:marRight w:val="0"/>
          <w:marTop w:val="0"/>
          <w:marBottom w:val="0"/>
          <w:divBdr>
            <w:top w:val="none" w:sz="0" w:space="0" w:color="auto"/>
            <w:left w:val="none" w:sz="0" w:space="0" w:color="auto"/>
            <w:bottom w:val="none" w:sz="0" w:space="0" w:color="auto"/>
            <w:right w:val="none" w:sz="0" w:space="0" w:color="auto"/>
          </w:divBdr>
        </w:div>
        <w:div w:id="1874684853">
          <w:marLeft w:val="0"/>
          <w:marRight w:val="0"/>
          <w:marTop w:val="0"/>
          <w:marBottom w:val="0"/>
          <w:divBdr>
            <w:top w:val="none" w:sz="0" w:space="0" w:color="auto"/>
            <w:left w:val="none" w:sz="0" w:space="0" w:color="auto"/>
            <w:bottom w:val="none" w:sz="0" w:space="0" w:color="auto"/>
            <w:right w:val="none" w:sz="0" w:space="0" w:color="auto"/>
          </w:divBdr>
        </w:div>
        <w:div w:id="9043377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pii/S0925753509001581?via%3Dihub"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ADC099-AB57-40FF-AFBB-C218C06B53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ABC68B-AA89-4A8E-868A-74B4BF6DD37D}">
  <ds:schemaRefs>
    <ds:schemaRef ds:uri="http://schemas.microsoft.com/sharepoint/v3/contenttype/forms"/>
  </ds:schemaRefs>
</ds:datastoreItem>
</file>

<file path=customXml/itemProps3.xml><?xml version="1.0" encoding="utf-8"?>
<ds:datastoreItem xmlns:ds="http://schemas.openxmlformats.org/officeDocument/2006/customXml" ds:itemID="{0F06BC47-BE65-4859-94D5-518BBFADD2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4730</Words>
  <Characters>26962</Characters>
  <Application>Microsoft Office Word</Application>
  <DocSecurity>8</DocSecurity>
  <Lines>224</Lines>
  <Paragraphs>63</Paragraphs>
  <ScaleCrop>false</ScaleCrop>
  <Company/>
  <LinksUpToDate>false</LinksUpToDate>
  <CharactersWithSpaces>31629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38</cp:revision>
  <dcterms:created xsi:type="dcterms:W3CDTF">2022-09-06T17:43:00Z</dcterms:created>
  <dcterms:modified xsi:type="dcterms:W3CDTF">2022-09-16T12:45:00Z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