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0F7F3F" w:rsidR="000A7622" w:rsidRPr="00C04F25" w:rsidRDefault="00DB6305"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271B22D" w:rsidR="000A7622" w:rsidRDefault="000A7622" w:rsidP="00D14423">
      <w:pPr>
        <w:rPr>
          <w:rFonts w:cstheme="minorHAnsi"/>
          <w:sz w:val="24"/>
          <w:szCs w:val="24"/>
        </w:rPr>
      </w:pPr>
      <w:r w:rsidRPr="00C04F25">
        <w:rPr>
          <w:rFonts w:cstheme="minorHAnsi"/>
          <w:i/>
          <w:sz w:val="24"/>
          <w:szCs w:val="24"/>
          <w:lang w:val="fr-FR"/>
        </w:rPr>
        <w:t>Journal</w:t>
      </w:r>
      <w:r w:rsidR="00134119">
        <w:rPr>
          <w:rFonts w:cstheme="minorHAnsi"/>
          <w:i/>
          <w:sz w:val="24"/>
          <w:szCs w:val="24"/>
          <w:lang w:val="fr-FR"/>
        </w:rPr>
        <w:t xml:space="preserve"> of General Management</w:t>
      </w:r>
      <w:r w:rsidRPr="00C04F25">
        <w:rPr>
          <w:rFonts w:cstheme="minorHAnsi"/>
          <w:sz w:val="24"/>
          <w:szCs w:val="24"/>
          <w:lang w:val="fr-FR"/>
        </w:rPr>
        <w:t xml:space="preserve">, Vol. </w:t>
      </w:r>
      <w:r w:rsidR="00524024">
        <w:rPr>
          <w:rFonts w:cstheme="minorHAnsi"/>
          <w:sz w:val="24"/>
          <w:szCs w:val="24"/>
          <w:lang w:val="fr-FR"/>
        </w:rPr>
        <w:t>47</w:t>
      </w:r>
      <w:r w:rsidRPr="00C04F25">
        <w:rPr>
          <w:rFonts w:cstheme="minorHAnsi"/>
          <w:sz w:val="24"/>
          <w:szCs w:val="24"/>
          <w:lang w:val="fr-FR"/>
        </w:rPr>
        <w:t xml:space="preserve">, No. </w:t>
      </w:r>
      <w:r w:rsidR="00524024">
        <w:rPr>
          <w:rFonts w:cstheme="minorHAnsi"/>
          <w:sz w:val="24"/>
          <w:szCs w:val="24"/>
          <w:lang w:val="fr-FR"/>
        </w:rPr>
        <w:t>1</w:t>
      </w:r>
      <w:r w:rsidRPr="00C04F25">
        <w:rPr>
          <w:rFonts w:cstheme="minorHAnsi"/>
          <w:sz w:val="24"/>
          <w:szCs w:val="24"/>
          <w:lang w:val="fr-FR"/>
        </w:rPr>
        <w:t xml:space="preserve"> (</w:t>
      </w:r>
      <w:proofErr w:type="spellStart"/>
      <w:r w:rsidR="00524024">
        <w:rPr>
          <w:rFonts w:cstheme="minorHAnsi"/>
          <w:sz w:val="24"/>
          <w:szCs w:val="24"/>
          <w:lang w:val="fr-FR"/>
        </w:rPr>
        <w:t>October</w:t>
      </w:r>
      <w:proofErr w:type="spellEnd"/>
      <w:r w:rsidR="00524024">
        <w:rPr>
          <w:rFonts w:cstheme="minorHAnsi"/>
          <w:sz w:val="24"/>
          <w:szCs w:val="24"/>
          <w:lang w:val="fr-FR"/>
        </w:rPr>
        <w:t xml:space="preserve"> 1, 2021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524024">
        <w:rPr>
          <w:rFonts w:cstheme="minorHAnsi"/>
          <w:sz w:val="24"/>
          <w:szCs w:val="24"/>
          <w:lang w:val="fr-FR"/>
        </w:rPr>
        <w:t>56-68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675D17">
        <w:rPr>
          <w:rFonts w:cstheme="minorHAnsi"/>
          <w:sz w:val="24"/>
          <w:szCs w:val="24"/>
        </w:rPr>
        <w:t>SAGE Publications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675D17">
        <w:rPr>
          <w:rFonts w:cstheme="minorHAnsi"/>
          <w:sz w:val="24"/>
          <w:szCs w:val="24"/>
        </w:rPr>
        <w:t>SAGE Publications</w:t>
      </w:r>
      <w:r w:rsidRPr="00C04F25">
        <w:rPr>
          <w:rFonts w:cstheme="minorHAnsi"/>
          <w:sz w:val="24"/>
          <w:szCs w:val="24"/>
        </w:rPr>
        <w:t xml:space="preserve"> does not grant permission for this article to be further copied/distributed or hosted elsewhere without the express permission from </w:t>
      </w:r>
      <w:r w:rsidR="00675D17">
        <w:rPr>
          <w:rFonts w:cstheme="minorHAnsi"/>
          <w:sz w:val="24"/>
          <w:szCs w:val="24"/>
        </w:rPr>
        <w:t>SAGE Publications</w:t>
      </w:r>
      <w:r w:rsidRPr="00C04F25">
        <w:rPr>
          <w:rFonts w:cstheme="minorHAnsi"/>
          <w:sz w:val="24"/>
          <w:szCs w:val="24"/>
        </w:rPr>
        <w:t xml:space="preserve">. </w:t>
      </w:r>
      <w:bookmarkEnd w:id="1"/>
    </w:p>
    <w:p w14:paraId="36D66B89" w14:textId="23B4E1F0" w:rsidR="000976FB" w:rsidRDefault="000976FB" w:rsidP="000976FB"/>
    <w:p w14:paraId="6D4C717A" w14:textId="09DEDF44" w:rsidR="00196595" w:rsidRDefault="00196595" w:rsidP="00196595">
      <w:pPr>
        <w:pStyle w:val="Title"/>
      </w:pPr>
      <w:r w:rsidRPr="00196595">
        <w:t>Executive Dismissal or Retention? A Study of Performance, Power, and Survival for College Basketball Coaches</w:t>
      </w:r>
    </w:p>
    <w:p w14:paraId="2E8876AD" w14:textId="77777777" w:rsidR="00DB6305" w:rsidRDefault="00DB6305" w:rsidP="00196595"/>
    <w:p w14:paraId="6E7486B5" w14:textId="31E00923" w:rsidR="00733863" w:rsidRPr="00F60DA1" w:rsidRDefault="00733863" w:rsidP="00F60DA1">
      <w:pPr>
        <w:pStyle w:val="NoSpacing"/>
        <w:rPr>
          <w:sz w:val="32"/>
          <w:szCs w:val="32"/>
        </w:rPr>
      </w:pPr>
      <w:r w:rsidRPr="00F60DA1">
        <w:rPr>
          <w:sz w:val="32"/>
          <w:szCs w:val="32"/>
        </w:rPr>
        <w:t>David B. Wangrow</w:t>
      </w:r>
    </w:p>
    <w:p w14:paraId="66A5C432" w14:textId="5C23963B" w:rsidR="00733863" w:rsidRPr="00F60DA1" w:rsidRDefault="00733863" w:rsidP="00F60DA1">
      <w:pPr>
        <w:pStyle w:val="NoSpacing"/>
        <w:rPr>
          <w:sz w:val="24"/>
          <w:szCs w:val="24"/>
        </w:rPr>
      </w:pPr>
      <w:r w:rsidRPr="00F60DA1">
        <w:rPr>
          <w:sz w:val="24"/>
          <w:szCs w:val="24"/>
        </w:rPr>
        <w:t>Marquette University, Milwaukee, WI</w:t>
      </w:r>
    </w:p>
    <w:p w14:paraId="1330732D" w14:textId="0B95B661" w:rsidR="007A3882" w:rsidRPr="00F60DA1" w:rsidRDefault="007A3882" w:rsidP="00F60DA1">
      <w:pPr>
        <w:pStyle w:val="NoSpacing"/>
        <w:rPr>
          <w:sz w:val="32"/>
          <w:szCs w:val="32"/>
        </w:rPr>
      </w:pPr>
      <w:r w:rsidRPr="00F60DA1">
        <w:rPr>
          <w:sz w:val="32"/>
          <w:szCs w:val="32"/>
        </w:rPr>
        <w:t>Evan Schwartz</w:t>
      </w:r>
    </w:p>
    <w:p w14:paraId="6A0422F5" w14:textId="2BD4CF94" w:rsidR="007A3882" w:rsidRPr="00F60DA1" w:rsidRDefault="007A3882" w:rsidP="00F60DA1">
      <w:pPr>
        <w:pStyle w:val="NoSpacing"/>
        <w:rPr>
          <w:sz w:val="24"/>
          <w:szCs w:val="24"/>
        </w:rPr>
      </w:pPr>
      <w:r w:rsidRPr="00F60DA1">
        <w:rPr>
          <w:sz w:val="24"/>
          <w:szCs w:val="24"/>
        </w:rPr>
        <w:t xml:space="preserve">Wake Forest University, </w:t>
      </w:r>
      <w:r w:rsidR="00F60DA1" w:rsidRPr="00F60DA1">
        <w:rPr>
          <w:sz w:val="24"/>
          <w:szCs w:val="24"/>
        </w:rPr>
        <w:t>Winston-Salem, NC</w:t>
      </w:r>
    </w:p>
    <w:p w14:paraId="4627E53B" w14:textId="5E5E9B31" w:rsidR="00196595" w:rsidRPr="00F60DA1" w:rsidRDefault="00196595" w:rsidP="00F60DA1">
      <w:pPr>
        <w:pStyle w:val="NoSpacing"/>
        <w:rPr>
          <w:sz w:val="32"/>
          <w:szCs w:val="32"/>
        </w:rPr>
      </w:pPr>
      <w:r w:rsidRPr="00F60DA1">
        <w:rPr>
          <w:sz w:val="32"/>
          <w:szCs w:val="32"/>
        </w:rPr>
        <w:t xml:space="preserve">Margaret Hughes-Morgan </w:t>
      </w:r>
    </w:p>
    <w:p w14:paraId="6C08ACC3" w14:textId="5225A6D2" w:rsidR="00196595" w:rsidRPr="00F60DA1" w:rsidRDefault="00F60DA1" w:rsidP="00F60DA1">
      <w:pPr>
        <w:pStyle w:val="NoSpacing"/>
        <w:rPr>
          <w:sz w:val="24"/>
          <w:szCs w:val="24"/>
        </w:rPr>
      </w:pPr>
      <w:r w:rsidRPr="00F60DA1">
        <w:rPr>
          <w:sz w:val="24"/>
          <w:szCs w:val="24"/>
        </w:rPr>
        <w:t>Marquette University, Milwaukee, WI</w:t>
      </w:r>
    </w:p>
    <w:p w14:paraId="34F8F234" w14:textId="77777777" w:rsidR="00F60DA1" w:rsidRDefault="00F60DA1" w:rsidP="00196595"/>
    <w:p w14:paraId="60D49452" w14:textId="77777777" w:rsidR="006144A0" w:rsidRPr="006144A0" w:rsidRDefault="006144A0" w:rsidP="00F60DA1">
      <w:pPr>
        <w:pStyle w:val="Heading1"/>
      </w:pPr>
      <w:r w:rsidRPr="006144A0">
        <w:t>Abstract</w:t>
      </w:r>
    </w:p>
    <w:p w14:paraId="564AF484" w14:textId="77777777" w:rsidR="006144A0" w:rsidRPr="006144A0" w:rsidRDefault="006144A0" w:rsidP="006144A0">
      <w:r w:rsidRPr="006144A0">
        <w:t>This study applies upper echelons theory associated with executive dismissal and power to examine the relationships of performance and four types of executive power—</w:t>
      </w:r>
      <w:r w:rsidRPr="006144A0">
        <w:rPr>
          <w:i/>
          <w:iCs/>
        </w:rPr>
        <w:t>structural, prestige, expert</w:t>
      </w:r>
      <w:r w:rsidRPr="006144A0">
        <w:t>, and </w:t>
      </w:r>
      <w:r w:rsidRPr="006144A0">
        <w:rPr>
          <w:i/>
          <w:iCs/>
        </w:rPr>
        <w:t>governance concentration</w:t>
      </w:r>
      <w:r w:rsidRPr="006144A0">
        <w:t>—with dismissal. Using the context of National Collegiate Athletic Association college basketball, in which coaches are completely responsible for strategies and human capital acquisition and retention, a curvilinear relationship between performance and dismissal is found. Significant relationships for prestige and expert power with dismissal are also found, but the “honeymoon period” is longer than prior studies of executive and coach dismissal have shown. Surprisingly, concentrated governance is found to be negatively associated with the likelihood of dismissal.</w:t>
      </w:r>
    </w:p>
    <w:p w14:paraId="149346EB" w14:textId="77777777" w:rsidR="006144A0" w:rsidRPr="006144A0" w:rsidRDefault="006144A0" w:rsidP="00F60DA1">
      <w:pPr>
        <w:pStyle w:val="Heading1"/>
      </w:pPr>
      <w:r w:rsidRPr="006144A0">
        <w:t>Keywords </w:t>
      </w:r>
    </w:p>
    <w:p w14:paraId="71146C7A" w14:textId="4D7510FC" w:rsidR="006144A0" w:rsidRPr="006144A0" w:rsidRDefault="006144A0" w:rsidP="006144A0">
      <w:r w:rsidRPr="00672F48">
        <w:t>concentrated governance</w:t>
      </w:r>
      <w:r w:rsidRPr="006144A0">
        <w:t>, </w:t>
      </w:r>
      <w:r w:rsidRPr="00672F48">
        <w:t>cox proportional hazard model</w:t>
      </w:r>
      <w:r w:rsidRPr="006144A0">
        <w:t>, </w:t>
      </w:r>
      <w:r w:rsidRPr="00672F48">
        <w:t>executive dismissal</w:t>
      </w:r>
      <w:r w:rsidRPr="006144A0">
        <w:t>, </w:t>
      </w:r>
      <w:r w:rsidRPr="00672F48">
        <w:t>power</w:t>
      </w:r>
      <w:r w:rsidRPr="006144A0">
        <w:t>, </w:t>
      </w:r>
      <w:r w:rsidRPr="00672F48">
        <w:t>reputation</w:t>
      </w:r>
    </w:p>
    <w:p w14:paraId="37926C9F" w14:textId="77777777" w:rsidR="006144A0" w:rsidRPr="006144A0" w:rsidRDefault="006144A0" w:rsidP="00F60DA1">
      <w:pPr>
        <w:pStyle w:val="Heading1"/>
      </w:pPr>
      <w:bookmarkStart w:id="2" w:name="_i1"/>
      <w:bookmarkEnd w:id="2"/>
      <w:r w:rsidRPr="006144A0">
        <w:t>Introduction</w:t>
      </w:r>
    </w:p>
    <w:p w14:paraId="075DE39C" w14:textId="51EBC308" w:rsidR="006144A0" w:rsidRPr="006144A0" w:rsidRDefault="006144A0" w:rsidP="006144A0">
      <w:r w:rsidRPr="006144A0">
        <w:lastRenderedPageBreak/>
        <w:t>Poor organizational performance generates strong negative opinions and emotions for many stakeholders, leading them to hold accountable the senior executives tasked with leading the organization’s strategy and operations (</w:t>
      </w:r>
      <w:proofErr w:type="spellStart"/>
      <w:r w:rsidRPr="00672F48">
        <w:t>Lusthaus</w:t>
      </w:r>
      <w:proofErr w:type="spellEnd"/>
      <w:r w:rsidRPr="00672F48">
        <w:t xml:space="preserve"> et al., 1999</w:t>
      </w:r>
      <w:r w:rsidRPr="006144A0">
        <w:t xml:space="preserve">). Stakeholders feel a sense of personal loss and demand new leadership to stimulate change that improves outcomes. Financial and market returns are firms’ strongest performance indicators, with examples in 2019 at General Electric, Intel, and </w:t>
      </w:r>
      <w:proofErr w:type="spellStart"/>
      <w:r w:rsidRPr="006144A0">
        <w:t>WeWork</w:t>
      </w:r>
      <w:proofErr w:type="spellEnd"/>
      <w:r w:rsidRPr="006144A0">
        <w:t xml:space="preserve"> illustrating how failure to meet expected performance levels can foster stakeholder demands for chief executive officers (CEOs) to resign or be fired. Stakeholders’ personal loss is markedly different in professional and college sport since very few are owners or </w:t>
      </w:r>
      <w:proofErr w:type="gramStart"/>
      <w:r w:rsidRPr="006144A0">
        <w:t>shareholders</w:t>
      </w:r>
      <w:proofErr w:type="gramEnd"/>
      <w:r w:rsidRPr="006144A0">
        <w:t xml:space="preserve"> and most are not employed by the organization. Still, the subsequent demand for new leadership (</w:t>
      </w:r>
      <w:proofErr w:type="gramStart"/>
      <w:r w:rsidRPr="006144A0">
        <w:t>i.e.</w:t>
      </w:r>
      <w:proofErr w:type="gramEnd"/>
      <w:r w:rsidRPr="006144A0">
        <w:t xml:space="preserve"> coaches) when losses occur can be equally strong. Recent coach dismissals in professional (</w:t>
      </w:r>
      <w:proofErr w:type="gramStart"/>
      <w:r w:rsidRPr="006144A0">
        <w:t>e.g.</w:t>
      </w:r>
      <w:proofErr w:type="gramEnd"/>
      <w:r w:rsidRPr="006144A0">
        <w:t xml:space="preserve"> Ron Rivera—Carolina Panthers) and college sport (e.g. Steve Alford—University of California-Los Angeles) seem consistent with theory and prior scholarly research regarding performance and dismissal (see </w:t>
      </w:r>
      <w:r w:rsidRPr="00672F48">
        <w:t>Holmes, 2011</w:t>
      </w:r>
      <w:r w:rsidRPr="006144A0">
        <w:t>; </w:t>
      </w:r>
      <w:r w:rsidRPr="00672F48">
        <w:t>Wangrow et al., 2018</w:t>
      </w:r>
      <w:r w:rsidRPr="006144A0">
        <w:t>). Yet, in each of these instances of coach dismissal, the antecedents and context associated with dismissal may go beyond performance. For example, Rivera led his team to the Super Bowl in 2015 and won the Associated Press National Football League (NFL) Coach of the Year awards in 2013 and 2015, but the prestige power (see </w:t>
      </w:r>
      <w:r w:rsidRPr="00672F48">
        <w:t>Finkelstein, 1992</w:t>
      </w:r>
      <w:r w:rsidRPr="006144A0">
        <w:t>) associated with these accomplishments diminished and he was dismissed during the 2019 season. Indeed, prior research has shown that performance is just one of many factors associated with senior executive dismissals (</w:t>
      </w:r>
      <w:r w:rsidRPr="00672F48">
        <w:t>Allen and Chadwick, 2012</w:t>
      </w:r>
      <w:r w:rsidRPr="006144A0">
        <w:t>; </w:t>
      </w:r>
      <w:r w:rsidRPr="00672F48">
        <w:t>Finkelstein et al., 2009</w:t>
      </w:r>
      <w:r w:rsidRPr="006144A0">
        <w:t>).</w:t>
      </w:r>
    </w:p>
    <w:p w14:paraId="37F194F7" w14:textId="7022E8EE" w:rsidR="006144A0" w:rsidRPr="006144A0" w:rsidRDefault="006144A0" w:rsidP="006144A0">
      <w:r w:rsidRPr="006144A0">
        <w:t>While they assert performance is the predominant factor influencing dismissal, </w:t>
      </w:r>
      <w:r w:rsidRPr="00672F48">
        <w:t>Fredrickson et al. (1988)</w:t>
      </w:r>
      <w:r w:rsidRPr="006144A0">
        <w:t> theorize that the power executives hold can supersede other factors (</w:t>
      </w:r>
      <w:proofErr w:type="gramStart"/>
      <w:r w:rsidRPr="006144A0">
        <w:t>e.g.</w:t>
      </w:r>
      <w:proofErr w:type="gramEnd"/>
      <w:r w:rsidRPr="006144A0">
        <w:t xml:space="preserve"> expectations, allegiances) that impact decision-makers’ latitude to dismiss senior executives. Senior executives derive power from a wide range of sources, including control of critical resources, ownership, structural authority, reputation, and personal traits (</w:t>
      </w:r>
      <w:r w:rsidRPr="00672F48">
        <w:t>Finkelstein, 1992</w:t>
      </w:r>
      <w:r w:rsidRPr="006144A0">
        <w:t>). If they are unable to derive power from at least one of these sources, they are more vulnerable to dismissal. Other management scholars have found support for various sources of power influencing dismissal, including social and celebrity status relative to board members (</w:t>
      </w:r>
      <w:proofErr w:type="spellStart"/>
      <w:r w:rsidRPr="00672F48">
        <w:t>Flickingeret</w:t>
      </w:r>
      <w:proofErr w:type="spellEnd"/>
      <w:r w:rsidRPr="00672F48">
        <w:t xml:space="preserve"> al., 2016</w:t>
      </w:r>
      <w:r w:rsidRPr="006144A0">
        <w:t>), loyalty (</w:t>
      </w:r>
      <w:proofErr w:type="gramStart"/>
      <w:r w:rsidRPr="006144A0">
        <w:t>i.e.</w:t>
      </w:r>
      <w:proofErr w:type="gramEnd"/>
      <w:r w:rsidRPr="006144A0">
        <w:t xml:space="preserve"> interdependence) of board members</w:t>
      </w:r>
      <w:r w:rsidRPr="00672F48">
        <w:rPr>
          <w:vertAlign w:val="superscript"/>
        </w:rPr>
        <w:t>1</w:t>
      </w:r>
      <w:r w:rsidRPr="006144A0">
        <w:t> (</w:t>
      </w:r>
      <w:proofErr w:type="spellStart"/>
      <w:r w:rsidRPr="00672F48">
        <w:t>Boeker</w:t>
      </w:r>
      <w:proofErr w:type="spellEnd"/>
      <w:r w:rsidRPr="00672F48">
        <w:t>, 1992</w:t>
      </w:r>
      <w:r w:rsidRPr="006144A0">
        <w:t>), and expertise derived from tenure (</w:t>
      </w:r>
      <w:r w:rsidRPr="00672F48">
        <w:t>Kim, 1996</w:t>
      </w:r>
      <w:r w:rsidRPr="006144A0">
        <w:t>). Research examining coach dismissals in professional sport supports power’s effect on dismissal, with scholars finding significant relationships for structural power from simultaneously holding the coach and general manager positions (</w:t>
      </w:r>
      <w:r w:rsidRPr="00672F48">
        <w:t>Wangrow et al., 2018</w:t>
      </w:r>
      <w:r w:rsidRPr="006144A0">
        <w:t>) and expert power derived from tenure (</w:t>
      </w:r>
      <w:r w:rsidRPr="00672F48">
        <w:t>Allen and Chadwick, 2012</w:t>
      </w:r>
      <w:r w:rsidRPr="006144A0">
        <w:t>; </w:t>
      </w:r>
      <w:r w:rsidRPr="00672F48">
        <w:t xml:space="preserve">Foreman and </w:t>
      </w:r>
      <w:proofErr w:type="spellStart"/>
      <w:r w:rsidRPr="00672F48">
        <w:t>Soebbing</w:t>
      </w:r>
      <w:proofErr w:type="spellEnd"/>
      <w:r w:rsidRPr="00672F48">
        <w:t>, 2015</w:t>
      </w:r>
      <w:r w:rsidRPr="006144A0">
        <w:t>) with dismissal.</w:t>
      </w:r>
    </w:p>
    <w:p w14:paraId="49EC9189" w14:textId="15C22E1F" w:rsidR="006144A0" w:rsidRPr="006144A0" w:rsidRDefault="006144A0" w:rsidP="006144A0">
      <w:r w:rsidRPr="006144A0">
        <w:t>Despite prior examinations of power in management and sport literature (</w:t>
      </w:r>
      <w:proofErr w:type="gramStart"/>
      <w:r w:rsidRPr="006144A0">
        <w:t>e.g.</w:t>
      </w:r>
      <w:proofErr w:type="gramEnd"/>
      <w:r w:rsidRPr="006144A0">
        <w:t> </w:t>
      </w:r>
      <w:proofErr w:type="spellStart"/>
      <w:r w:rsidRPr="00672F48">
        <w:t>Amedu</w:t>
      </w:r>
      <w:proofErr w:type="spellEnd"/>
      <w:r w:rsidRPr="00672F48">
        <w:t xml:space="preserve"> and </w:t>
      </w:r>
      <w:proofErr w:type="spellStart"/>
      <w:r w:rsidRPr="00672F48">
        <w:t>Dulewicz</w:t>
      </w:r>
      <w:proofErr w:type="spellEnd"/>
      <w:r w:rsidRPr="00672F48">
        <w:t>, 2018</w:t>
      </w:r>
      <w:r w:rsidRPr="006144A0">
        <w:t>; </w:t>
      </w:r>
      <w:r w:rsidRPr="00672F48">
        <w:t>Wangrow et al., 2018</w:t>
      </w:r>
      <w:r w:rsidRPr="006144A0">
        <w:t>), its effect on dismissal in intercollegiate sport has been minimally studied. This is surprising since intercollegiate sport provides a unique landscape in which several power-oriented factors are constant across all coaches. Unlike firms and professional sport teams, all college coaches hold the dual role of coach and general manager. Besides being accountable for game strategy and execution, a college coach is fully accountable for the team’s human capital via recruiting and retention of players and assistant coaches. Thus, like a CEO who serves as board chairman, a college coach has considerable power. Moreover, unlike firms in which CEOs have varying degrees of personal ownership (</w:t>
      </w:r>
      <w:r w:rsidRPr="00672F48">
        <w:t>Daily and Johnson, 1997</w:t>
      </w:r>
      <w:r w:rsidRPr="006144A0">
        <w:t>), college coaches have no financial stake in the team and therefore are unable to exert power from ownership. Consequently, intercollegiate sport provides a rich landscape to examine the four forms of power posited by </w:t>
      </w:r>
      <w:r w:rsidRPr="00672F48">
        <w:t>Finkelstein (1992)</w:t>
      </w:r>
      <w:r w:rsidRPr="006144A0">
        <w:t> to be relevant to top management: expert power associated with tenure, structural power in relation to a decision-making stakeholder, prestige power from reputational capital, and power associated with concentrated versus dispersed governance. The value of studying these forms of power within this context is further enhanced by the availability of data to support multiple objective performance measures, thus increasing the robustness of any findings by accounting for stakeholders’ varying definitions of success.</w:t>
      </w:r>
    </w:p>
    <w:p w14:paraId="13980B64" w14:textId="5E4EDE92" w:rsidR="006144A0" w:rsidRPr="006144A0" w:rsidRDefault="006144A0" w:rsidP="006144A0">
      <w:r w:rsidRPr="006144A0">
        <w:lastRenderedPageBreak/>
        <w:t>The relationship of performance with dismissal is first examined, as this is necessary for examining the relationship of power with dismissal (</w:t>
      </w:r>
      <w:r w:rsidRPr="00672F48">
        <w:t>Wangrow et al., 2018</w:t>
      </w:r>
      <w:r w:rsidRPr="006144A0">
        <w:t>). Theory and prior scholarly research associated with dismissal are reviewed and used to inform five hypotheses associated with the relationships of performance and four power dimensions with the likelihood of dismissal. Next, methods utilized in this study are detailed. As prior scholarly work suggests that competitive sport offers objective measures that are less affected by external factors (</w:t>
      </w:r>
      <w:proofErr w:type="spellStart"/>
      <w:r w:rsidRPr="00672F48">
        <w:t>Giambatista</w:t>
      </w:r>
      <w:proofErr w:type="spellEnd"/>
      <w:r w:rsidRPr="00672F48">
        <w:t>, 2004</w:t>
      </w:r>
      <w:r w:rsidRPr="006144A0">
        <w:t>), National Collegiate Athletic Association (NCAA) Division 1 college basketball (hereafter referred to as college basketball) coach dismissals in major conferences over 16 seasons are examined. This longer event window overcomes potential problems from missing complex strategic issues manifested over multiple years that may be missed if a shorter timeframe is used (</w:t>
      </w:r>
      <w:r w:rsidRPr="00672F48">
        <w:t>Box-Steffensmeier and Jones, 2004</w:t>
      </w:r>
      <w:r w:rsidRPr="006144A0">
        <w:t>). A Cox Proportional Hazards event history model is used to test the hypotheses.</w:t>
      </w:r>
    </w:p>
    <w:p w14:paraId="4AF9ADE8" w14:textId="77777777" w:rsidR="006144A0" w:rsidRPr="006144A0" w:rsidRDefault="006144A0" w:rsidP="006144A0">
      <w:r w:rsidRPr="006144A0">
        <w:t>Taken as a whole, several contributions are made to the literature on executive dismissal. First, a curvilinear relationship of performance with the likelihood of dismissal is found which suggests that the impact of performance improvements on the likelihood of dismissal depends on the current performance level. Second, while expert power from tenure is found to be negatively related to the likelihood of dismissal, the results suggest that expert power’s effect on the likelihood of dismissal occurs much later in the context of college basketball than it has in previously examined contexts. Indeed, the likelihood of dismissal continues to increase until coaches reach their ninth season, at which point it levels off and then declines with further tenure. Third, the results suggest that coaches with greater prestige power associated with reputational capital are less likely to be dismissed, though no relationship is found for changes in structural power from athletic director (AD) succession with the likelihood of dismissal. Lastly, a significant relationship between concentrated governance and the likelihood of dismissal is shown, but in a direction that is contrary to the prediction and prior research. This suggests that additional factors may influence how concentrated and dispersed governance affect the likelihood of dismissal.</w:t>
      </w:r>
    </w:p>
    <w:p w14:paraId="6791680F" w14:textId="77777777" w:rsidR="006144A0" w:rsidRPr="006144A0" w:rsidRDefault="006144A0" w:rsidP="00F60DA1">
      <w:pPr>
        <w:pStyle w:val="Heading1"/>
      </w:pPr>
      <w:bookmarkStart w:id="3" w:name="_i2"/>
      <w:bookmarkEnd w:id="3"/>
      <w:r w:rsidRPr="006144A0">
        <w:t>Literature review</w:t>
      </w:r>
    </w:p>
    <w:p w14:paraId="5051EBED" w14:textId="77777777" w:rsidR="006144A0" w:rsidRPr="006144A0" w:rsidRDefault="006144A0" w:rsidP="00F60DA1">
      <w:pPr>
        <w:pStyle w:val="Heading2"/>
      </w:pPr>
      <w:r w:rsidRPr="006144A0">
        <w:t>Performance and dismissal</w:t>
      </w:r>
    </w:p>
    <w:p w14:paraId="71D4D330" w14:textId="18F2E399" w:rsidR="006144A0" w:rsidRPr="006144A0" w:rsidRDefault="006144A0" w:rsidP="006144A0">
      <w:r w:rsidRPr="006144A0">
        <w:t xml:space="preserve">There are many reasons why executives leave their position. Executives may leave because of death, illness, mandatory early retirement, or other personal reasons. They also may voluntarily leave for an executive position in another </w:t>
      </w:r>
      <w:proofErr w:type="gramStart"/>
      <w:r w:rsidRPr="006144A0">
        <w:t>organization</w:t>
      </w:r>
      <w:proofErr w:type="gramEnd"/>
      <w:r w:rsidRPr="006144A0">
        <w:t xml:space="preserve"> or they may leave due to stress and fatigue, though stress and fatigue are often associated with pressures from performance demands of powerful groups and individuals (</w:t>
      </w:r>
      <w:r w:rsidRPr="00672F48">
        <w:t>Hambrick et al., 2005</w:t>
      </w:r>
      <w:r w:rsidRPr="006144A0">
        <w:t>). Lastly, they may be dismissed by a more powerful individual or group who feels that performance will improve with new leadership (</w:t>
      </w:r>
      <w:r w:rsidRPr="00672F48">
        <w:t>Shen and Cannella, 2002</w:t>
      </w:r>
      <w:r w:rsidRPr="006144A0">
        <w:t>). In their model of CEO dismissal, </w:t>
      </w:r>
      <w:proofErr w:type="gramStart"/>
      <w:r w:rsidRPr="00672F48">
        <w:t>Frederickson</w:t>
      </w:r>
      <w:proofErr w:type="gramEnd"/>
      <w:r w:rsidRPr="00672F48">
        <w:t xml:space="preserve"> and colleagues (1988)</w:t>
      </w:r>
      <w:r w:rsidRPr="006144A0">
        <w:t> stated that the most obvious reason for CEOs being fired is that their organizations perform poorly. Yet, they caution that prior studies (</w:t>
      </w:r>
      <w:proofErr w:type="gramStart"/>
      <w:r w:rsidRPr="006144A0">
        <w:t>e.g.</w:t>
      </w:r>
      <w:proofErr w:type="gramEnd"/>
      <w:r w:rsidRPr="006144A0">
        <w:t> </w:t>
      </w:r>
      <w:proofErr w:type="spellStart"/>
      <w:r w:rsidRPr="00672F48">
        <w:t>Salancik</w:t>
      </w:r>
      <w:proofErr w:type="spellEnd"/>
      <w:r w:rsidRPr="00672F48">
        <w:t xml:space="preserve"> and Pfeffer, 1980</w:t>
      </w:r>
      <w:r w:rsidRPr="006144A0">
        <w:t>) found that performance explained less than half of the variance of dismissal. Subsequent work has suggested that performance explains as little as 10% of variance associated with dismissal (</w:t>
      </w:r>
      <w:r w:rsidRPr="00672F48">
        <w:t>Finkelstein et al., 2009</w:t>
      </w:r>
      <w:r w:rsidRPr="006144A0">
        <w:t>).</w:t>
      </w:r>
    </w:p>
    <w:p w14:paraId="0CB6CE74" w14:textId="63C76C9F" w:rsidR="006144A0" w:rsidRPr="006144A0" w:rsidRDefault="006144A0" w:rsidP="006144A0">
      <w:r w:rsidRPr="006144A0">
        <w:t xml:space="preserve">The relationship between performance and dismissal in sport is </w:t>
      </w:r>
      <w:proofErr w:type="gramStart"/>
      <w:r w:rsidRPr="006144A0">
        <w:t>similar to</w:t>
      </w:r>
      <w:proofErr w:type="gramEnd"/>
      <w:r w:rsidRPr="006144A0">
        <w:t xml:space="preserve"> business, with winning percentage, instead of profitability, often serving as the “bottom line” measure (</w:t>
      </w:r>
      <w:proofErr w:type="spellStart"/>
      <w:r w:rsidRPr="00672F48">
        <w:t>Fizel</w:t>
      </w:r>
      <w:proofErr w:type="spellEnd"/>
      <w:r w:rsidRPr="00672F48">
        <w:t xml:space="preserve"> and </w:t>
      </w:r>
      <w:proofErr w:type="spellStart"/>
      <w:r w:rsidRPr="00672F48">
        <w:t>D’Itri</w:t>
      </w:r>
      <w:proofErr w:type="spellEnd"/>
      <w:r w:rsidRPr="00672F48">
        <w:t>, 1999</w:t>
      </w:r>
      <w:r w:rsidRPr="006144A0">
        <w:t>). Within the context of intercollegiate sport, </w:t>
      </w:r>
      <w:proofErr w:type="spellStart"/>
      <w:r w:rsidRPr="00672F48">
        <w:t>Fizel</w:t>
      </w:r>
      <w:proofErr w:type="spellEnd"/>
      <w:r w:rsidRPr="00672F48">
        <w:t xml:space="preserve"> and </w:t>
      </w:r>
      <w:proofErr w:type="spellStart"/>
      <w:r w:rsidRPr="00672F48">
        <w:t>D’Itri</w:t>
      </w:r>
      <w:proofErr w:type="spellEnd"/>
      <w:r w:rsidRPr="00672F48">
        <w:t xml:space="preserve"> (1999)</w:t>
      </w:r>
      <w:r w:rsidRPr="006144A0">
        <w:t> examined college basketball coach dismissals from 1983 to 1992 and found that overall winning percentage, rather than a coach’s ability to efficiently manage talent, was the dominant predictor of involuntary (but not voluntary) turnover. </w:t>
      </w:r>
      <w:r w:rsidRPr="00672F48">
        <w:t>Holmes (2011)</w:t>
      </w:r>
      <w:r w:rsidRPr="006144A0">
        <w:t> examined NCAA college football coach dismissals from 1983 to 2006 and found that recent winning percentages were negatively related to the likelihood of dismissal. Interestingly, the models in Holmes’ analysis, which also include tenure, performance against rivals, infractions, and whether the coach was an alumnus, suggest that less than half of the variance was explained. </w:t>
      </w:r>
      <w:r w:rsidRPr="00672F48">
        <w:t>Humphreys et al.’s (2016)</w:t>
      </w:r>
      <w:r w:rsidRPr="006144A0">
        <w:t> examination of NCAA college football coach dismissals from 1980 to 2004 offers a different perspective for the performance–dismissal relationship, finding that performance versus expectations (instead of actual performance) was positively related to retention.</w:t>
      </w:r>
    </w:p>
    <w:p w14:paraId="5C1AEEE9" w14:textId="5A1C1107" w:rsidR="006144A0" w:rsidRPr="006144A0" w:rsidRDefault="006144A0" w:rsidP="006144A0">
      <w:r w:rsidRPr="006144A0">
        <w:t>While it may not be possible for new executives to immediately improve performance (</w:t>
      </w:r>
      <w:proofErr w:type="spellStart"/>
      <w:r w:rsidRPr="00672F48">
        <w:t>Schepker</w:t>
      </w:r>
      <w:proofErr w:type="spellEnd"/>
      <w:r w:rsidRPr="00672F48">
        <w:t xml:space="preserve"> et al., 2017</w:t>
      </w:r>
      <w:r w:rsidRPr="006144A0">
        <w:t>), the belief among decision-makers who initiate succession (</w:t>
      </w:r>
      <w:proofErr w:type="gramStart"/>
      <w:r w:rsidRPr="006144A0">
        <w:t>e.g.</w:t>
      </w:r>
      <w:proofErr w:type="gramEnd"/>
      <w:r w:rsidRPr="006144A0">
        <w:t xml:space="preserve"> boards, ADs) is that new senior executives can change personnel in key positions, implement new strategies, and deliver a strong message to current employees (</w:t>
      </w:r>
      <w:proofErr w:type="spellStart"/>
      <w:r w:rsidRPr="00672F48">
        <w:t>Meindl</w:t>
      </w:r>
      <w:proofErr w:type="spellEnd"/>
      <w:r w:rsidRPr="00672F48">
        <w:t xml:space="preserve"> et al., 1985</w:t>
      </w:r>
      <w:r w:rsidRPr="006144A0">
        <w:t>; see also </w:t>
      </w:r>
      <w:proofErr w:type="spellStart"/>
      <w:r w:rsidRPr="00672F48">
        <w:t>Berns</w:t>
      </w:r>
      <w:proofErr w:type="spellEnd"/>
      <w:r w:rsidRPr="00672F48">
        <w:t xml:space="preserve"> and </w:t>
      </w:r>
      <w:proofErr w:type="spellStart"/>
      <w:r w:rsidRPr="00672F48">
        <w:t>Klarner</w:t>
      </w:r>
      <w:proofErr w:type="spellEnd"/>
      <w:r w:rsidRPr="00672F48">
        <w:t>, 2017</w:t>
      </w:r>
      <w:r w:rsidRPr="006144A0">
        <w:t> for a review). Indeed, in a meta-analysis of CEO successions over a 40-year period, </w:t>
      </w:r>
      <w:proofErr w:type="spellStart"/>
      <w:r w:rsidRPr="00672F48">
        <w:t>Schepker</w:t>
      </w:r>
      <w:proofErr w:type="spellEnd"/>
      <w:r w:rsidRPr="00672F48">
        <w:t xml:space="preserve"> et al. (2017)</w:t>
      </w:r>
      <w:r w:rsidRPr="006144A0">
        <w:t> found that short-term performance is likely to decline with executive succession and that strategic change is a prerequisite for long-term performance improvement with the new executive. In sport, </w:t>
      </w:r>
      <w:proofErr w:type="spellStart"/>
      <w:r w:rsidRPr="00672F48">
        <w:t>Giambatista</w:t>
      </w:r>
      <w:proofErr w:type="spellEnd"/>
      <w:r w:rsidRPr="00672F48">
        <w:t xml:space="preserve"> (2004)</w:t>
      </w:r>
      <w:r w:rsidRPr="006144A0">
        <w:t> considered three management theoretical lenses of dismissal (common sense, vicious cycle, and ritual scapegoating) but argued that only dismissals consistent with common sense theory are associated with performance improvements. Common sense dismissals assume that decision-makers can distinguish poor executives from good executives and expect new executives to bring enthusiasm and fresh ideas.</w:t>
      </w:r>
    </w:p>
    <w:p w14:paraId="104C5862" w14:textId="77777777" w:rsidR="006144A0" w:rsidRPr="006144A0" w:rsidRDefault="006144A0" w:rsidP="001273BB">
      <w:pPr>
        <w:pStyle w:val="Heading2"/>
      </w:pPr>
      <w:r w:rsidRPr="006144A0">
        <w:t>Power and dismissal</w:t>
      </w:r>
    </w:p>
    <w:p w14:paraId="5BE7651E" w14:textId="117D694B" w:rsidR="006144A0" w:rsidRPr="006144A0" w:rsidRDefault="006144A0" w:rsidP="006144A0">
      <w:r w:rsidRPr="006144A0">
        <w:t xml:space="preserve">The power to dismiss a </w:t>
      </w:r>
      <w:proofErr w:type="gramStart"/>
      <w:r w:rsidRPr="006144A0">
        <w:t>senior executive rests</w:t>
      </w:r>
      <w:proofErr w:type="gramEnd"/>
      <w:r w:rsidRPr="006144A0">
        <w:t xml:space="preserve"> with the organization’s governing body, with the likelihood of dismissal influenced by his or her degree of power relative to the governing body (</w:t>
      </w:r>
      <w:r w:rsidRPr="00672F48">
        <w:t>Haynes and Hillman, 2010</w:t>
      </w:r>
      <w:r w:rsidRPr="006144A0">
        <w:t>). In firms and many other types of organizations, board members collectively decide whether to dismiss the CEO, though more powerful (</w:t>
      </w:r>
      <w:proofErr w:type="gramStart"/>
      <w:r w:rsidRPr="006144A0">
        <w:t>e.g.</w:t>
      </w:r>
      <w:proofErr w:type="gramEnd"/>
      <w:r w:rsidRPr="006144A0">
        <w:t xml:space="preserve"> board chairman, committee chairs) or independent board members (i.e. directors who joined the board prior to the start of the CEO’s tenure) may strongly influence this decision (</w:t>
      </w:r>
      <w:r w:rsidRPr="00672F48">
        <w:t>Fredrickson et al., 1988</w:t>
      </w:r>
      <w:r w:rsidRPr="006144A0">
        <w:t>; </w:t>
      </w:r>
      <w:proofErr w:type="spellStart"/>
      <w:r w:rsidRPr="00672F48">
        <w:t>Haleblian</w:t>
      </w:r>
      <w:proofErr w:type="spellEnd"/>
      <w:r w:rsidRPr="00672F48">
        <w:t xml:space="preserve"> and Rajagopalan, 2006</w:t>
      </w:r>
      <w:r w:rsidRPr="006144A0">
        <w:t>). Dismissal decisions are further influenced by structural authority available to the CEO, the presence of board members who joined the board after the CEO began his or her tenure, key stakeholders’ attributions regarding poor performance, and the expected challenges of finding a qualified successor who is acceptable to key stakeholders (</w:t>
      </w:r>
      <w:r w:rsidRPr="00672F48">
        <w:t>Fredrickson et al., 1988</w:t>
      </w:r>
      <w:r w:rsidRPr="006144A0">
        <w:t>; </w:t>
      </w:r>
      <w:proofErr w:type="spellStart"/>
      <w:r w:rsidRPr="00672F48">
        <w:t>Hilger</w:t>
      </w:r>
      <w:proofErr w:type="spellEnd"/>
      <w:r w:rsidRPr="00672F48">
        <w:t xml:space="preserve"> et al., 2013</w:t>
      </w:r>
      <w:r w:rsidRPr="006144A0">
        <w:t>). Ultimately, power dynamics can vary greatly, with the most powerful individuals best positioned to set agendas and build coalitions that give precedence to their desired outcomes (</w:t>
      </w:r>
      <w:proofErr w:type="spellStart"/>
      <w:r w:rsidRPr="00672F48">
        <w:t>Lukes</w:t>
      </w:r>
      <w:proofErr w:type="spellEnd"/>
      <w:r w:rsidRPr="00672F48">
        <w:t>, 1974</w:t>
      </w:r>
      <w:r w:rsidRPr="006144A0">
        <w:t>; </w:t>
      </w:r>
      <w:r w:rsidRPr="00672F48">
        <w:t>Zhao et al., 2019</w:t>
      </w:r>
      <w:r w:rsidRPr="006144A0">
        <w:t>).</w:t>
      </w:r>
    </w:p>
    <w:p w14:paraId="571F0E9B" w14:textId="6EF35C07" w:rsidR="006144A0" w:rsidRPr="006144A0" w:rsidRDefault="006144A0" w:rsidP="006144A0">
      <w:r w:rsidRPr="00672F48">
        <w:t>Finkelstein (1992)</w:t>
      </w:r>
      <w:r w:rsidRPr="006144A0">
        <w:t> argues that executives gain power from four sources: structure, ownership, expertise, and prestige. While these sources of executive power apply to intercollegiate sport coaches, the nature of these power sources differs from traditional firms and organizations. First, a college coach and individuals or groups who are directly involved in dismissal decisions have no ownership stake. Second, college coaches have almost complete authority over acquisition, usage, and retention of human capital (</w:t>
      </w:r>
      <w:proofErr w:type="gramStart"/>
      <w:r w:rsidRPr="006144A0">
        <w:t>i.e.</w:t>
      </w:r>
      <w:proofErr w:type="gramEnd"/>
      <w:r w:rsidRPr="006144A0">
        <w:t xml:space="preserve"> players) and, thus, effectively serve in the dual role of coach and general manager. This becomes highly salient when comparing the context of traditional firms and organizations with sport teams, as human capital is even more essential for competitive advantage (</w:t>
      </w:r>
      <w:r w:rsidRPr="00672F48">
        <w:t xml:space="preserve">Bailey and </w:t>
      </w:r>
      <w:proofErr w:type="spellStart"/>
      <w:r w:rsidRPr="00672F48">
        <w:t>Helfat</w:t>
      </w:r>
      <w:proofErr w:type="spellEnd"/>
      <w:r w:rsidRPr="00672F48">
        <w:t>, 2003</w:t>
      </w:r>
      <w:r w:rsidRPr="006144A0">
        <w:t>; </w:t>
      </w:r>
      <w:proofErr w:type="spellStart"/>
      <w:r w:rsidRPr="00672F48">
        <w:t>Lajiliet</w:t>
      </w:r>
      <w:proofErr w:type="spellEnd"/>
      <w:r w:rsidRPr="00672F48">
        <w:t xml:space="preserve"> al., 2020</w:t>
      </w:r>
      <w:r w:rsidRPr="006144A0">
        <w:t>). Third, many alternative candidates are visible to the person (</w:t>
      </w:r>
      <w:proofErr w:type="gramStart"/>
      <w:r w:rsidRPr="006144A0">
        <w:t>i.e.</w:t>
      </w:r>
      <w:proofErr w:type="gramEnd"/>
      <w:r w:rsidRPr="006144A0">
        <w:t xml:space="preserve"> the AD) determining whether dismissal is required. </w:t>
      </w:r>
      <w:proofErr w:type="gramStart"/>
      <w:r w:rsidRPr="006144A0">
        <w:t>Similar to</w:t>
      </w:r>
      <w:proofErr w:type="gramEnd"/>
      <w:r w:rsidRPr="006144A0">
        <w:t xml:space="preserve"> how the awareness of suitable replacements can influence the likelihood of replacing a CEO (</w:t>
      </w:r>
      <w:r w:rsidRPr="00672F48">
        <w:t>Fredrickson et al., 1988</w:t>
      </w:r>
      <w:r w:rsidRPr="006144A0">
        <w:t>), ample availability of coaches from other teams and assistant coaches from highly successful teams reduces the power of all incumbent coaches (</w:t>
      </w:r>
      <w:r w:rsidRPr="00672F48">
        <w:t xml:space="preserve">Foreman and </w:t>
      </w:r>
      <w:proofErr w:type="spellStart"/>
      <w:r w:rsidRPr="00672F48">
        <w:t>Soebbing</w:t>
      </w:r>
      <w:proofErr w:type="spellEnd"/>
      <w:r w:rsidRPr="00672F48">
        <w:t>, 2015</w:t>
      </w:r>
      <w:r w:rsidRPr="006144A0">
        <w:t>).</w:t>
      </w:r>
    </w:p>
    <w:p w14:paraId="5D8040ED" w14:textId="4E85A916" w:rsidR="006144A0" w:rsidRPr="006144A0" w:rsidRDefault="006144A0" w:rsidP="006144A0">
      <w:r w:rsidRPr="006144A0">
        <w:t>As </w:t>
      </w:r>
      <w:r w:rsidRPr="00672F48">
        <w:t>Wangrow et al. (2018)</w:t>
      </w:r>
      <w:r w:rsidRPr="006144A0">
        <w:t> discuss in their study of National Basketball Association (NBA) coach dismissals, prior studies examining dismissal have focused on determinants of dismissal (</w:t>
      </w:r>
      <w:proofErr w:type="gramStart"/>
      <w:r w:rsidRPr="006144A0">
        <w:t>e.g.</w:t>
      </w:r>
      <w:proofErr w:type="gramEnd"/>
      <w:r w:rsidRPr="006144A0">
        <w:t xml:space="preserve"> performance, missed expectations). Wangrow and colleagues examined how other power sources counterbalance ownership’s power, finding that structural power from the coach serving as general manager and prestige power from reputational capital decreased the likelihood of an NBA coach being dismissed. Yet, little attention has been given to how developing and sustaining power affects dismissal in an environment in which some traditional power sources are constant or unavailable. Hence, this study hypothesizes and analyzes the relationships of performance and </w:t>
      </w:r>
      <w:r w:rsidRPr="00672F48">
        <w:t>Finkelstein’s (1992)</w:t>
      </w:r>
      <w:r w:rsidRPr="006144A0">
        <w:t> four sources of power for executives with the likelihood of dismissal but utilizes constructs and relationships that are specific to the environment.</w:t>
      </w:r>
    </w:p>
    <w:p w14:paraId="1C479E2A" w14:textId="77777777" w:rsidR="006144A0" w:rsidRPr="006144A0" w:rsidRDefault="006144A0" w:rsidP="001273BB">
      <w:pPr>
        <w:pStyle w:val="Heading1"/>
      </w:pPr>
      <w:bookmarkStart w:id="4" w:name="_i5"/>
      <w:bookmarkEnd w:id="4"/>
      <w:r w:rsidRPr="006144A0">
        <w:t>Hypotheses</w:t>
      </w:r>
    </w:p>
    <w:p w14:paraId="028B717A" w14:textId="77777777" w:rsidR="006144A0" w:rsidRPr="006144A0" w:rsidRDefault="006144A0" w:rsidP="001273BB">
      <w:pPr>
        <w:pStyle w:val="Heading2"/>
      </w:pPr>
      <w:r w:rsidRPr="006144A0">
        <w:t>Dismissal and performance</w:t>
      </w:r>
    </w:p>
    <w:p w14:paraId="3A8CFBFC" w14:textId="2D0447F7" w:rsidR="006144A0" w:rsidRPr="006144A0" w:rsidRDefault="006144A0" w:rsidP="006144A0">
      <w:r w:rsidRPr="006144A0">
        <w:t>A variety of options are available for boards to assist CEOs or athletic departments to assist coaches in reversing performance, including providing additional resources, counseling, or internally and externally supporting executives’ abilities and initiatives (</w:t>
      </w:r>
      <w:r w:rsidRPr="00672F48">
        <w:t>McDonald and Westphal, 2003</w:t>
      </w:r>
      <w:r w:rsidRPr="006144A0">
        <w:t>; </w:t>
      </w:r>
      <w:r w:rsidRPr="00672F48">
        <w:t xml:space="preserve">Vestal and </w:t>
      </w:r>
      <w:proofErr w:type="spellStart"/>
      <w:r w:rsidRPr="00672F48">
        <w:t>Guidice</w:t>
      </w:r>
      <w:proofErr w:type="spellEnd"/>
      <w:r w:rsidRPr="00672F48">
        <w:t>, 2019</w:t>
      </w:r>
      <w:r w:rsidRPr="006144A0">
        <w:t>). However, if individuals chartered with assessing executive performance believe that poor performance is indicative of poor management (</w:t>
      </w:r>
      <w:r w:rsidRPr="00672F48">
        <w:t>Frick and Simmons, 2008</w:t>
      </w:r>
      <w:r w:rsidRPr="006144A0">
        <w:t>), they may believe that any alternative assistance would be wasteful and delay taking the necessary steps for turnaround. In intercollegiate sport, where the coach has dominant control over the acquisition and usage of talent, this becomes even more acute and, therefore, leaves few alternatives for decision-makers beyond dismissal. Yet, for the entire range of performance, this relationship may not be linear. Stakeholders may not be satisfied with modest improvements when performance is poor, and they may not accept dismissal for any reason when performance is strong (</w:t>
      </w:r>
      <w:r w:rsidRPr="00672F48">
        <w:t>Wangrow et al., 2018</w:t>
      </w:r>
      <w:r w:rsidRPr="006144A0">
        <w:t>). Thus, the following relationship between team performance and the likelihood of coach dismissal is hypothesized.</w:t>
      </w:r>
    </w:p>
    <w:p w14:paraId="4DABC1E6" w14:textId="77777777" w:rsidR="006144A0" w:rsidRPr="006144A0" w:rsidRDefault="006144A0" w:rsidP="006144A0">
      <w:pPr>
        <w:numPr>
          <w:ilvl w:val="0"/>
          <w:numId w:val="19"/>
        </w:numPr>
      </w:pPr>
      <w:r w:rsidRPr="006144A0">
        <w:rPr>
          <w:b/>
          <w:bCs/>
        </w:rPr>
        <w:t>Hypothesis 1:</w:t>
      </w:r>
      <w:r w:rsidRPr="006144A0">
        <w:t> The relationship between team performance and the likelihood of coach dismissal is curvilinear.</w:t>
      </w:r>
    </w:p>
    <w:p w14:paraId="513A6CBF" w14:textId="77777777" w:rsidR="006144A0" w:rsidRPr="006144A0" w:rsidRDefault="006144A0" w:rsidP="001273BB">
      <w:pPr>
        <w:pStyle w:val="Heading2"/>
      </w:pPr>
      <w:r w:rsidRPr="006144A0">
        <w:t>Dismissal and structural power</w:t>
      </w:r>
    </w:p>
    <w:p w14:paraId="496AAD35" w14:textId="16BE1FF5" w:rsidR="006144A0" w:rsidRPr="006144A0" w:rsidRDefault="006144A0" w:rsidP="006144A0">
      <w:r w:rsidRPr="006144A0">
        <w:t>As stated previously, intercollegiate sport coaches have considerable structural power since they essentially hold the dual role of coach and general manager. While the relationship of duality with structural power is well-established in the literature (</w:t>
      </w:r>
      <w:proofErr w:type="spellStart"/>
      <w:r w:rsidRPr="00672F48">
        <w:t>Berns</w:t>
      </w:r>
      <w:proofErr w:type="spellEnd"/>
      <w:r w:rsidRPr="00672F48">
        <w:t xml:space="preserve"> et al., 2021</w:t>
      </w:r>
      <w:r w:rsidRPr="006144A0">
        <w:t>; </w:t>
      </w:r>
      <w:r w:rsidRPr="00672F48">
        <w:t>Daily and Johnson, 1997</w:t>
      </w:r>
      <w:r w:rsidRPr="006144A0">
        <w:t>; </w:t>
      </w:r>
      <w:r w:rsidRPr="00672F48">
        <w:t>Haynes and Hillman, 2010</w:t>
      </w:r>
      <w:r w:rsidRPr="006144A0">
        <w:t>; </w:t>
      </w:r>
      <w:r w:rsidRPr="00672F48">
        <w:t>Shen and Cannella, 2002</w:t>
      </w:r>
      <w:r w:rsidRPr="006144A0">
        <w:t>), interdependence between the executive and the board of directors has also been shown to be a source of structural power (</w:t>
      </w:r>
      <w:r w:rsidRPr="00672F48">
        <w:t>Daily and Johnson, 1997</w:t>
      </w:r>
      <w:r w:rsidRPr="006144A0">
        <w:t>; </w:t>
      </w:r>
      <w:r w:rsidRPr="00672F48">
        <w:t xml:space="preserve">Finkelstein and </w:t>
      </w:r>
      <w:proofErr w:type="spellStart"/>
      <w:r w:rsidRPr="00672F48">
        <w:t>D’Aveni</w:t>
      </w:r>
      <w:proofErr w:type="spellEnd"/>
      <w:r w:rsidRPr="00672F48">
        <w:t>, 1994</w:t>
      </w:r>
      <w:r w:rsidRPr="006144A0">
        <w:t xml:space="preserve">). For intercollegiate sport, interdependence is defined by the relationship between the coach and the AD, since an AD who hires the coach will have a vested interest in seeing his or her selected coach succeed. Indeed, with the national visibility of college basketball, the AD’s </w:t>
      </w:r>
      <w:proofErr w:type="gramStart"/>
      <w:r w:rsidRPr="006144A0">
        <w:t>reputation</w:t>
      </w:r>
      <w:proofErr w:type="gramEnd"/>
      <w:r w:rsidRPr="006144A0">
        <w:t xml:space="preserve"> and ability to stay in his or her position may be dependent on other stakeholders’ perceptions of the team and its performance under the coach’s leadership. As the coach and the hiring AD are linked to one another, the coach retains greater power and, thus, is less likely to be dismissed while the hiring AD remains in place.</w:t>
      </w:r>
    </w:p>
    <w:p w14:paraId="1C83B195" w14:textId="77777777" w:rsidR="006144A0" w:rsidRPr="006144A0" w:rsidRDefault="006144A0" w:rsidP="006144A0">
      <w:pPr>
        <w:numPr>
          <w:ilvl w:val="0"/>
          <w:numId w:val="20"/>
        </w:numPr>
      </w:pPr>
      <w:r w:rsidRPr="006144A0">
        <w:rPr>
          <w:b/>
          <w:bCs/>
        </w:rPr>
        <w:t>Hypothesis 2:</w:t>
      </w:r>
      <w:r w:rsidRPr="006144A0">
        <w:t> Coaches will be more likely to be dismissed when the AD who hired the coach is no longer in the position.</w:t>
      </w:r>
    </w:p>
    <w:p w14:paraId="0340671E" w14:textId="77777777" w:rsidR="006144A0" w:rsidRPr="006144A0" w:rsidRDefault="006144A0" w:rsidP="001273BB">
      <w:pPr>
        <w:pStyle w:val="Heading2"/>
      </w:pPr>
      <w:r w:rsidRPr="006144A0">
        <w:t>Dismissal and prestige power</w:t>
      </w:r>
    </w:p>
    <w:p w14:paraId="58C09009" w14:textId="570A7BFD" w:rsidR="006144A0" w:rsidRPr="006144A0" w:rsidRDefault="006144A0" w:rsidP="006144A0">
      <w:r w:rsidRPr="006144A0">
        <w:t>Scholars have previously theorized and shown that executives whom others view as prestigious are more likely to have poor performance and other shortcomings overlooked (</w:t>
      </w:r>
      <w:r w:rsidRPr="00672F48">
        <w:t>Finkelstein, 1992</w:t>
      </w:r>
      <w:r w:rsidRPr="006144A0">
        <w:t>; </w:t>
      </w:r>
      <w:proofErr w:type="spellStart"/>
      <w:r w:rsidRPr="00672F48">
        <w:t>Rindova</w:t>
      </w:r>
      <w:proofErr w:type="spellEnd"/>
      <w:r w:rsidRPr="00672F48">
        <w:t xml:space="preserve"> et al., 2005</w:t>
      </w:r>
      <w:r w:rsidRPr="006144A0">
        <w:t>). Reputational capital can be developed in several ways, including strong performance outcomes recognized by all stakeholders and certification contests in which objective and qualified third parties recognize outstanding performance (</w:t>
      </w:r>
      <w:proofErr w:type="spellStart"/>
      <w:r w:rsidRPr="00672F48">
        <w:t>Graffin</w:t>
      </w:r>
      <w:proofErr w:type="spellEnd"/>
      <w:r w:rsidRPr="00672F48">
        <w:t xml:space="preserve"> and Ward, 2010</w:t>
      </w:r>
      <w:r w:rsidRPr="006144A0">
        <w:t>; </w:t>
      </w:r>
      <w:proofErr w:type="spellStart"/>
      <w:r w:rsidRPr="00672F48">
        <w:t>Rindova</w:t>
      </w:r>
      <w:proofErr w:type="spellEnd"/>
      <w:r w:rsidRPr="00672F48">
        <w:t xml:space="preserve"> et al., 2005</w:t>
      </w:r>
      <w:r w:rsidRPr="006144A0">
        <w:t xml:space="preserve">). For intercollegiate sport coaches, reputational capital provides additional power in a manner </w:t>
      </w:r>
      <w:proofErr w:type="gramStart"/>
      <w:r w:rsidRPr="006144A0">
        <w:t>similar to</w:t>
      </w:r>
      <w:proofErr w:type="gramEnd"/>
      <w:r w:rsidRPr="006144A0">
        <w:t xml:space="preserve"> executives. Highly prestigious coaches are likely to attract better talent because they may be perceived as more likely to win future championships and more effective in developing NBA-ready talent (</w:t>
      </w:r>
      <w:r w:rsidRPr="00672F48">
        <w:t>Evans and Pitts, 2017</w:t>
      </w:r>
      <w:r w:rsidRPr="006144A0">
        <w:t>). Additionally, teams with highly prestigious coaches are more likely to be considered elite. Thus, recent poor performance is less likely to affect other outcomes (</w:t>
      </w:r>
      <w:proofErr w:type="gramStart"/>
      <w:r w:rsidRPr="006144A0">
        <w:t>e.g.</w:t>
      </w:r>
      <w:proofErr w:type="gramEnd"/>
      <w:r w:rsidRPr="006144A0">
        <w:t xml:space="preserve"> attendance, television appearances). Conversely, losing a prestigious coach may signal other problems to players being recruited, coaching successor candidates, and other stakeholders—reducing perceptions of whether the team is elite and expectations of the team’s future outcomes. Current and incoming (</w:t>
      </w:r>
      <w:proofErr w:type="gramStart"/>
      <w:r w:rsidRPr="006144A0">
        <w:t>i.e.</w:t>
      </w:r>
      <w:proofErr w:type="gramEnd"/>
      <w:r w:rsidRPr="006144A0">
        <w:t xml:space="preserve"> recruited) players who are aligned with the prestigious coach may choose to play elsewhere. Additionally, since coaches with substantial reputational capital are more likely to have sizable, guaranteed salaries, universities may incur a substantial financial loss from dismissing such a coach. Overall, reputational capital can provide a college basketball coach with extensive power, since replacing such a coach with one who is viewed by stakeholders as equally capable is likely to be difficult and costly.</w:t>
      </w:r>
    </w:p>
    <w:p w14:paraId="6E629491" w14:textId="77777777" w:rsidR="006144A0" w:rsidRPr="006144A0" w:rsidRDefault="006144A0" w:rsidP="006144A0">
      <w:pPr>
        <w:numPr>
          <w:ilvl w:val="0"/>
          <w:numId w:val="21"/>
        </w:numPr>
      </w:pPr>
      <w:r w:rsidRPr="006144A0">
        <w:rPr>
          <w:b/>
          <w:bCs/>
        </w:rPr>
        <w:t>Hypothesis 3:</w:t>
      </w:r>
      <w:r w:rsidRPr="006144A0">
        <w:t> Coaches with higher levels of reputational capital are less likely to be dismissed than coaches with lower levels of reputational capital.</w:t>
      </w:r>
    </w:p>
    <w:p w14:paraId="56EA73B6" w14:textId="77777777" w:rsidR="006144A0" w:rsidRPr="006144A0" w:rsidRDefault="006144A0" w:rsidP="001273BB">
      <w:pPr>
        <w:pStyle w:val="Heading2"/>
      </w:pPr>
      <w:r w:rsidRPr="006144A0">
        <w:t>Dismissal and expert power</w:t>
      </w:r>
    </w:p>
    <w:p w14:paraId="7B6602D4" w14:textId="0FDCE357" w:rsidR="006144A0" w:rsidRPr="006144A0" w:rsidRDefault="006144A0" w:rsidP="006144A0">
      <w:r w:rsidRPr="006144A0">
        <w:t>As their tenure progresses, senior executives acquire a deeper understanding of their position and develop capabilities and contacts necessary to operate and succeed in their organization’s environment (</w:t>
      </w:r>
      <w:r w:rsidRPr="00672F48">
        <w:t xml:space="preserve">Hambrick and </w:t>
      </w:r>
      <w:proofErr w:type="spellStart"/>
      <w:r w:rsidRPr="00672F48">
        <w:t>Fukutomi</w:t>
      </w:r>
      <w:proofErr w:type="spellEnd"/>
      <w:r w:rsidRPr="00672F48">
        <w:t>, 1991</w:t>
      </w:r>
      <w:r w:rsidRPr="006144A0">
        <w:t>). Comprehending critical contingencies associated with the environment and developing experience to address these contingencies are the foundations of expert power (</w:t>
      </w:r>
      <w:r w:rsidRPr="00672F48">
        <w:t>Finkelstein, 1992</w:t>
      </w:r>
      <w:r w:rsidRPr="006144A0">
        <w:t>). College basketball coaches develop expert power from experience serving as assistant coach or head coach of an NBA or college team. However, the most relevant experience to coaches developing expert power and retaining their position is time spent leading the team, since that experience develops the most organization-specific expertise. Each season further develops the coach’s knowledge associated with recruiting, talent utilization, game strategies against rivals and conference opponents, and interactions with the team’s other stakeholders.</w:t>
      </w:r>
    </w:p>
    <w:p w14:paraId="13876692" w14:textId="72B0E63D" w:rsidR="006144A0" w:rsidRPr="006144A0" w:rsidRDefault="006144A0" w:rsidP="006144A0">
      <w:r w:rsidRPr="006144A0">
        <w:t>Prior research has shown that CEOs and coaches are given a honeymoon period in which they are allowed time to develop and implement new strategies that can only be evaluated after several seasons (</w:t>
      </w:r>
      <w:proofErr w:type="gramStart"/>
      <w:r w:rsidRPr="006144A0">
        <w:t>e.g.</w:t>
      </w:r>
      <w:proofErr w:type="gramEnd"/>
      <w:r w:rsidRPr="006144A0">
        <w:t> </w:t>
      </w:r>
      <w:r w:rsidRPr="00672F48">
        <w:t>Allen and Chadwick, 2012</w:t>
      </w:r>
      <w:r w:rsidRPr="006144A0">
        <w:t>; </w:t>
      </w:r>
      <w:r w:rsidRPr="00672F48">
        <w:t xml:space="preserve">Hambrick and </w:t>
      </w:r>
      <w:proofErr w:type="spellStart"/>
      <w:r w:rsidRPr="00672F48">
        <w:t>Fukutomi</w:t>
      </w:r>
      <w:proofErr w:type="spellEnd"/>
      <w:r w:rsidRPr="00672F48">
        <w:t>, 1991</w:t>
      </w:r>
      <w:r w:rsidRPr="006144A0">
        <w:t>). The likelihood of dismissal is lower during this period, but scholars have shown that the likelihood increases with tenure. However, the likelihood of dismissal will decrease when the coach has substantial expert power associated with longer tenure. Notably, only a few studies have indicated when, during his or her tenure, an executive or coach is at the greatest risk of dismissal. </w:t>
      </w:r>
      <w:r w:rsidRPr="00672F48">
        <w:t>Kim (1996)</w:t>
      </w:r>
      <w:r w:rsidRPr="006144A0">
        <w:t> found that dismissal was most likely after a CEO’s fourth year and that the likelihood of dismissal did not substantially decline until a CEO’s 10th year. Like Kim, </w:t>
      </w:r>
      <w:proofErr w:type="spellStart"/>
      <w:r w:rsidRPr="00672F48">
        <w:t>Giambatista</w:t>
      </w:r>
      <w:proofErr w:type="spellEnd"/>
      <w:r w:rsidRPr="00672F48">
        <w:t xml:space="preserve"> (2004)</w:t>
      </w:r>
      <w:r w:rsidRPr="006144A0">
        <w:t> found support for a similar honeymoon period for NBA coaches, which was later supported by </w:t>
      </w:r>
      <w:r w:rsidRPr="00672F48">
        <w:t>Wangrow et al., (2018)</w:t>
      </w:r>
      <w:r w:rsidRPr="006144A0">
        <w:t> who also found that after the eighth season the likelihood of dismissal is reduced by 50% from its peak.</w:t>
      </w:r>
    </w:p>
    <w:p w14:paraId="4C76A3B7" w14:textId="77777777" w:rsidR="006144A0" w:rsidRPr="006144A0" w:rsidRDefault="006144A0" w:rsidP="006144A0">
      <w:r w:rsidRPr="006144A0">
        <w:t>College basketball coaches are also likely to also be granted a honeymoon period in which they are given time to develop and implement new strategies. While the likelihood of their dismissal will increase with tenure, it will eventually decline when they accrue expert power associated with tenure. Thus, the following is hypothesized:</w:t>
      </w:r>
    </w:p>
    <w:p w14:paraId="7E73718D" w14:textId="77777777" w:rsidR="006144A0" w:rsidRPr="006144A0" w:rsidRDefault="006144A0" w:rsidP="006144A0">
      <w:pPr>
        <w:numPr>
          <w:ilvl w:val="0"/>
          <w:numId w:val="22"/>
        </w:numPr>
      </w:pPr>
      <w:r w:rsidRPr="006144A0">
        <w:rPr>
          <w:b/>
          <w:bCs/>
        </w:rPr>
        <w:t>Hypothesis 4:</w:t>
      </w:r>
      <w:r w:rsidRPr="006144A0">
        <w:t> There is an inverted u-shaped relationship between coach tenure and the likelihood of dismissal.</w:t>
      </w:r>
    </w:p>
    <w:p w14:paraId="2DD838C4" w14:textId="77777777" w:rsidR="006144A0" w:rsidRPr="006144A0" w:rsidRDefault="006144A0" w:rsidP="001273BB">
      <w:pPr>
        <w:pStyle w:val="Heading2"/>
      </w:pPr>
      <w:r w:rsidRPr="006144A0">
        <w:t>Concentrated governance</w:t>
      </w:r>
    </w:p>
    <w:p w14:paraId="5B068B7F" w14:textId="7F79BF30" w:rsidR="006144A0" w:rsidRPr="006144A0" w:rsidRDefault="006144A0" w:rsidP="006144A0">
      <w:r w:rsidRPr="006144A0">
        <w:t>The degree that the governance structure is concentrated or dispersed is likely to affect whether strategic action can be taken. When governance entails fewer people and levels, parties within the governance ranks (</w:t>
      </w:r>
      <w:proofErr w:type="gramStart"/>
      <w:r w:rsidRPr="006144A0">
        <w:t>e.g.</w:t>
      </w:r>
      <w:proofErr w:type="gramEnd"/>
      <w:r w:rsidRPr="006144A0">
        <w:t xml:space="preserve"> boards, shareholders) are better positioned to monitor and act due to greater ease in gaining consensus. Alternatively, scholars have suggested that when there are additional levels in the governance ranks involving more, dispersed individuals, it may be more difficult to develop a common position which limits the ability to reach agreement regarding key decisions (</w:t>
      </w:r>
      <w:r w:rsidRPr="00672F48">
        <w:t>Haynes and Hillman, 2010</w:t>
      </w:r>
      <w:r w:rsidRPr="006144A0">
        <w:t>). Thus, the parties responsible for governance are likely to have greater power relative to the senior executive when governance is concentrated than when it is dispersed (</w:t>
      </w:r>
      <w:proofErr w:type="spellStart"/>
      <w:r w:rsidRPr="00672F48">
        <w:t>Grabke-Rundell</w:t>
      </w:r>
      <w:proofErr w:type="spellEnd"/>
      <w:r w:rsidRPr="00672F48">
        <w:t xml:space="preserve"> and Gomez-Mejia, 2002</w:t>
      </w:r>
      <w:r w:rsidRPr="006144A0">
        <w:t>).</w:t>
      </w:r>
    </w:p>
    <w:p w14:paraId="25226E3D" w14:textId="77777777" w:rsidR="006144A0" w:rsidRPr="006144A0" w:rsidRDefault="006144A0" w:rsidP="006144A0">
      <w:r w:rsidRPr="006144A0">
        <w:t>All universities in the United States share some governance characteristics. Relative to this study, a coach reports to the AD who, in turn, reports to the university’s president or an executive (</w:t>
      </w:r>
      <w:proofErr w:type="gramStart"/>
      <w:r w:rsidRPr="006144A0">
        <w:t>e.g.</w:t>
      </w:r>
      <w:proofErr w:type="gramEnd"/>
      <w:r w:rsidRPr="006144A0">
        <w:t xml:space="preserve"> provost) who reports to the president. Presidents are accountable to a governance board (directors, regents, trustees). However, a publicly owned university has additional governance </w:t>
      </w:r>
      <w:proofErr w:type="gramStart"/>
      <w:r w:rsidRPr="006144A0">
        <w:t>layers, since</w:t>
      </w:r>
      <w:proofErr w:type="gramEnd"/>
      <w:r w:rsidRPr="006144A0">
        <w:t xml:space="preserve"> the governance board is appointed by and responsible to the state’s government. Thus, governance is more concentrated in privately owned universities than it is in publicly owned universities. Subsequently, coaches of teams at privately owned universities are likely to have less power than their counterparts at publicly owned </w:t>
      </w:r>
      <w:proofErr w:type="gramStart"/>
      <w:r w:rsidRPr="006144A0">
        <w:t>universities, since</w:t>
      </w:r>
      <w:proofErr w:type="gramEnd"/>
      <w:r w:rsidRPr="006144A0">
        <w:t xml:space="preserve"> the concentrated governance structure of privately owned universities allows for more expedient and unified decision-making. Based on coaches’ reduced power from concentrated governance at privately owned universities, the following relationship regarding the likelihood of their dismissal is hypothesized.</w:t>
      </w:r>
    </w:p>
    <w:p w14:paraId="34EBF19A" w14:textId="77777777" w:rsidR="006144A0" w:rsidRPr="006144A0" w:rsidRDefault="006144A0" w:rsidP="006144A0">
      <w:pPr>
        <w:numPr>
          <w:ilvl w:val="0"/>
          <w:numId w:val="23"/>
        </w:numPr>
      </w:pPr>
      <w:r w:rsidRPr="006144A0">
        <w:rPr>
          <w:b/>
          <w:bCs/>
        </w:rPr>
        <w:t>Hypothesis 5:</w:t>
      </w:r>
      <w:r w:rsidRPr="006144A0">
        <w:t> A coach whose team represents a privately owned university will be more likely to be dismissed than a coach whose team represents a publicly owned university.</w:t>
      </w:r>
    </w:p>
    <w:p w14:paraId="5AA079CF" w14:textId="77777777" w:rsidR="006144A0" w:rsidRPr="006144A0" w:rsidRDefault="006144A0" w:rsidP="001273BB">
      <w:pPr>
        <w:pStyle w:val="Heading1"/>
      </w:pPr>
      <w:bookmarkStart w:id="5" w:name="_i11"/>
      <w:bookmarkEnd w:id="5"/>
      <w:r w:rsidRPr="006144A0">
        <w:t>Method</w:t>
      </w:r>
    </w:p>
    <w:p w14:paraId="596DE45F" w14:textId="125DF735" w:rsidR="006144A0" w:rsidRPr="006144A0" w:rsidRDefault="006144A0" w:rsidP="006144A0">
      <w:r w:rsidRPr="006144A0">
        <w:t>To examine college basketball coach dismissals, a model that included all teams from the 10 major conferences (American Athletic, Atlantic Coast, Atlantic 10, Big East, Big 10, Big 12, Pacific 12, Missouri Valley, Mountain West, Southeastern) for each season from 2003–2004 to 2018–2019 was developed.</w:t>
      </w:r>
      <w:r w:rsidRPr="00672F48">
        <w:rPr>
          <w:vertAlign w:val="superscript"/>
        </w:rPr>
        <w:t>2</w:t>
      </w:r>
      <w:r w:rsidRPr="006144A0">
        <w:t> Each coach’s tenure was divided into annual spells that represent each season in which an individual coached a team. A spell is an at-risk period from the start of one season to the beginning of the following season in which a coach can potentially be dismissed. Splitting the data into annual spells is necessary because some covariates in the survival model vary during each coach’s tenure (</w:t>
      </w:r>
      <w:r w:rsidRPr="00672F48">
        <w:t xml:space="preserve">Benner and </w:t>
      </w:r>
      <w:proofErr w:type="spellStart"/>
      <w:r w:rsidRPr="00672F48">
        <w:t>Tripsas</w:t>
      </w:r>
      <w:proofErr w:type="spellEnd"/>
      <w:r w:rsidRPr="00672F48">
        <w:t>, 2012</w:t>
      </w:r>
      <w:r w:rsidRPr="006144A0">
        <w:t>; </w:t>
      </w:r>
      <w:r w:rsidRPr="00672F48">
        <w:t>Wangrow et al., 2018</w:t>
      </w:r>
      <w:r w:rsidRPr="006144A0">
        <w:t>). The data spans 1768 spells (</w:t>
      </w:r>
      <w:proofErr w:type="gramStart"/>
      <w:r w:rsidRPr="006144A0">
        <w:t>i.e.</w:t>
      </w:r>
      <w:proofErr w:type="gramEnd"/>
      <w:r w:rsidRPr="006144A0">
        <w:t xml:space="preserve"> years in which the coach is at risk of being dismissed) involving 347 coaching tenures.</w:t>
      </w:r>
      <w:r w:rsidRPr="00672F48">
        <w:rPr>
          <w:vertAlign w:val="superscript"/>
        </w:rPr>
        <w:t>3</w:t>
      </w:r>
      <w:r w:rsidRPr="006144A0">
        <w:t> One hundred and forty-five of these coaching tenures ended with dismissal. The remaining 202 coaching tenures were voluntarily discontinued (retirement, leaving to coach another NCAA Division 1 team or an NBA team), terminated due to the coach’s death, or continued into the 2019–2020 season.</w:t>
      </w:r>
    </w:p>
    <w:p w14:paraId="67DEF91C" w14:textId="77777777" w:rsidR="006144A0" w:rsidRPr="006144A0" w:rsidRDefault="006144A0" w:rsidP="006144A0">
      <w:r w:rsidRPr="006144A0">
        <w:t>There were very few mid-season replacements in the sample. As including mid-season replacements would create uneven time spells which violate an assumption in Cox models, only coaches who began a season coaching a team were included.</w:t>
      </w:r>
    </w:p>
    <w:p w14:paraId="700796E3" w14:textId="705A3A8C" w:rsidR="006144A0" w:rsidRPr="006144A0" w:rsidRDefault="006144A0" w:rsidP="006144A0">
      <w:proofErr w:type="gramStart"/>
      <w:r w:rsidRPr="006144A0">
        <w:t>The majority of</w:t>
      </w:r>
      <w:proofErr w:type="gramEnd"/>
      <w:r w:rsidRPr="006144A0">
        <w:t xml:space="preserve"> data used in this study comes from the commercial website, </w:t>
      </w:r>
      <w:r w:rsidRPr="00672F48">
        <w:t>https://www.sports-reference.com/cbb/</w:t>
      </w:r>
      <w:r w:rsidRPr="006144A0">
        <w:t>, which publishes official historical college basketball statistics and other information regarding teams, coaches, and players. Other data sources included </w:t>
      </w:r>
      <w:r w:rsidRPr="00672F48">
        <w:t>www.coachesdatabase.com</w:t>
      </w:r>
      <w:r w:rsidRPr="006144A0">
        <w:t>, </w:t>
      </w:r>
      <w:r w:rsidRPr="00672F48">
        <w:t>www.NCAA.org</w:t>
      </w:r>
      <w:r w:rsidRPr="006144A0">
        <w:t>, and university websites. Articles found through Google searches were the primary sources used to determine coach dismissal and the coach’s racial or ethnic affiliation.</w:t>
      </w:r>
    </w:p>
    <w:p w14:paraId="6E347BFF" w14:textId="77777777" w:rsidR="006144A0" w:rsidRPr="006144A0" w:rsidRDefault="006144A0" w:rsidP="001273BB">
      <w:pPr>
        <w:pStyle w:val="Heading2"/>
      </w:pPr>
      <w:r w:rsidRPr="006144A0">
        <w:t>Dependent variable</w:t>
      </w:r>
    </w:p>
    <w:p w14:paraId="6E85D773" w14:textId="00580A4A" w:rsidR="006144A0" w:rsidRPr="006144A0" w:rsidRDefault="006144A0" w:rsidP="006144A0">
      <w:r w:rsidRPr="006144A0">
        <w:t>Similar to prior studies designed to examine power and performance (</w:t>
      </w:r>
      <w:proofErr w:type="gramStart"/>
      <w:r w:rsidRPr="006144A0">
        <w:t>e.g.</w:t>
      </w:r>
      <w:proofErr w:type="gramEnd"/>
      <w:r w:rsidRPr="006144A0">
        <w:t> </w:t>
      </w:r>
      <w:proofErr w:type="spellStart"/>
      <w:r w:rsidRPr="00672F48">
        <w:t>Haleblian</w:t>
      </w:r>
      <w:proofErr w:type="spellEnd"/>
      <w:r w:rsidRPr="00672F48">
        <w:t xml:space="preserve"> and Rajagopalan, 2006</w:t>
      </w:r>
      <w:r w:rsidRPr="006144A0">
        <w:t>), dismissal, instead of turnover, was chosen as the dependent variable. An event variable representing dismissal was assigned “1” for a season (</w:t>
      </w:r>
      <w:proofErr w:type="gramStart"/>
      <w:r w:rsidRPr="006144A0">
        <w:t>i.e.</w:t>
      </w:r>
      <w:proofErr w:type="gramEnd"/>
      <w:r w:rsidRPr="006144A0">
        <w:t xml:space="preserve"> spell) in which the coach was involuntarily dismissed or forced to resign. This event variable was coded “0” if the coach remained in place at the beginning of the following season or it was determined that the coach had voluntarily left the position or passed away.</w:t>
      </w:r>
    </w:p>
    <w:p w14:paraId="1FA753AF" w14:textId="7DA758EB" w:rsidR="006144A0" w:rsidRPr="006144A0" w:rsidRDefault="006144A0" w:rsidP="006144A0">
      <w:r w:rsidRPr="006144A0">
        <w:t>It is difficult to determine the cause of an executive turnover event, since organizations are reluctant to publicly disclose reasons of dismissal (</w:t>
      </w:r>
      <w:r w:rsidRPr="00672F48">
        <w:t>Shen and Cannella, 2002</w:t>
      </w:r>
      <w:r w:rsidRPr="006144A0">
        <w:t>). Thus, methods that distinguish dismissals from other types of turnover are necessary for a valid measure of dismissal. Following methods from prior studies (</w:t>
      </w:r>
      <w:proofErr w:type="gramStart"/>
      <w:r w:rsidRPr="006144A0">
        <w:t>e.g.</w:t>
      </w:r>
      <w:proofErr w:type="gramEnd"/>
      <w:r w:rsidRPr="006144A0">
        <w:t> </w:t>
      </w:r>
      <w:r w:rsidRPr="00672F48">
        <w:t>Shen and Canella, 2002</w:t>
      </w:r>
      <w:r w:rsidRPr="006144A0">
        <w:t>; </w:t>
      </w:r>
      <w:r w:rsidRPr="00672F48">
        <w:t>Wangrow et al., 2018</w:t>
      </w:r>
      <w:r w:rsidRPr="006144A0">
        <w:t>), a list of all coaching turnover events in the sample was created. Two of the authors independently reviewed media accounts and press releases associated with turnover events and assessed whether the coach was dismissed. The authors agreed on 97.4% of the turnover events (Cohen’s kappa = 0.95), suggesting excellent rater reliability (</w:t>
      </w:r>
      <w:r w:rsidRPr="00672F48">
        <w:t>McHugh, 2012</w:t>
      </w:r>
      <w:r w:rsidRPr="006144A0">
        <w:t>). The two authors then discussed information associated with turnover events in which they had disagreed and reached a consensus regarding whether those events were associated with dismissal.</w:t>
      </w:r>
    </w:p>
    <w:p w14:paraId="7142329E" w14:textId="77777777" w:rsidR="006144A0" w:rsidRPr="006144A0" w:rsidRDefault="006144A0" w:rsidP="001273BB">
      <w:pPr>
        <w:pStyle w:val="Heading2"/>
      </w:pPr>
      <w:r w:rsidRPr="006144A0">
        <w:t>Independent variables</w:t>
      </w:r>
    </w:p>
    <w:p w14:paraId="139CD3A2" w14:textId="77777777" w:rsidR="006144A0" w:rsidRPr="006144A0" w:rsidRDefault="006144A0" w:rsidP="006144A0">
      <w:r w:rsidRPr="006144A0">
        <w:rPr>
          <w:i/>
          <w:iCs/>
        </w:rPr>
        <w:t>Winning Percentage</w:t>
      </w:r>
      <w:r w:rsidRPr="006144A0">
        <w:t> is used to measure team performance and is the number of games that a team won versus all games that it played during a season.</w:t>
      </w:r>
    </w:p>
    <w:p w14:paraId="026FA7A0" w14:textId="6587D74B" w:rsidR="006144A0" w:rsidRPr="006144A0" w:rsidRDefault="006144A0" w:rsidP="006144A0">
      <w:r w:rsidRPr="006144A0">
        <w:t>For structural power, the traditional measure of whether the person holds the dual role of chief executive and leading the group who hires and oversees the chief executive is not appropriate for the context of college basketball, since all coaches make decisions similar to those of professional sport general managers (</w:t>
      </w:r>
      <w:proofErr w:type="gramStart"/>
      <w:r w:rsidRPr="006144A0">
        <w:t>e.g.</w:t>
      </w:r>
      <w:proofErr w:type="gramEnd"/>
      <w:r w:rsidRPr="006144A0">
        <w:t xml:space="preserve"> assessing and acquiring talent). Instead, interdependence between the AD and the coach is used (see </w:t>
      </w:r>
      <w:r w:rsidRPr="00672F48">
        <w:t>Daily and Johnson, 1997</w:t>
      </w:r>
      <w:r w:rsidRPr="006144A0">
        <w:t>; </w:t>
      </w:r>
      <w:r w:rsidRPr="00672F48">
        <w:t>Holmes, 2011</w:t>
      </w:r>
      <w:r w:rsidRPr="006144A0">
        <w:t>). Thus, structural power was measured using a binary variable, </w:t>
      </w:r>
      <w:r w:rsidRPr="006144A0">
        <w:rPr>
          <w:i/>
          <w:iCs/>
        </w:rPr>
        <w:t>AD Change</w:t>
      </w:r>
      <w:r w:rsidRPr="006144A0">
        <w:t>, with “1” assigned if the current AD did not hire the coach.</w:t>
      </w:r>
    </w:p>
    <w:p w14:paraId="107E5A54" w14:textId="1F7EF33F" w:rsidR="006144A0" w:rsidRPr="006144A0" w:rsidRDefault="006144A0" w:rsidP="006144A0">
      <w:r w:rsidRPr="006144A0">
        <w:rPr>
          <w:i/>
          <w:iCs/>
        </w:rPr>
        <w:t>Coach Reputational Capital</w:t>
      </w:r>
      <w:r w:rsidRPr="006144A0">
        <w:t> is used to measure prestige power and is a count of coaches’ cumulative accomplishments (see </w:t>
      </w:r>
      <w:r w:rsidRPr="00672F48">
        <w:t>Wangrow et al., 2018</w:t>
      </w:r>
      <w:r w:rsidRPr="006144A0">
        <w:t> for an example). Two accomplishments are associated with team achievements (reaching the Final Four and winning the national championship), while two accomplishments are associated with personal achievements (winning the Naismith National Coach of the Year Award and winning the conference’s coach of the year award). The result was a variable ranging from 0 to 25 with a mean of 2.66.</w:t>
      </w:r>
    </w:p>
    <w:p w14:paraId="5A5BFAA5" w14:textId="77777777" w:rsidR="006144A0" w:rsidRPr="006144A0" w:rsidRDefault="006144A0" w:rsidP="006144A0">
      <w:r w:rsidRPr="006144A0">
        <w:t>Governance concentration was measured using a binary variable, </w:t>
      </w:r>
      <w:r w:rsidRPr="006144A0">
        <w:rPr>
          <w:i/>
          <w:iCs/>
        </w:rPr>
        <w:t>Private University</w:t>
      </w:r>
      <w:r w:rsidRPr="006144A0">
        <w:t>, that was set to “1” if the team represented a privately owned university and “0” if the team represented a publicly owned university.</w:t>
      </w:r>
    </w:p>
    <w:p w14:paraId="15AB6A47" w14:textId="77777777" w:rsidR="006144A0" w:rsidRPr="006144A0" w:rsidRDefault="006144A0" w:rsidP="001273BB">
      <w:pPr>
        <w:pStyle w:val="Heading2"/>
      </w:pPr>
      <w:r w:rsidRPr="006144A0">
        <w:t>Control variables and alternative performance measures</w:t>
      </w:r>
    </w:p>
    <w:p w14:paraId="6C18F391" w14:textId="4481F0F5" w:rsidR="006144A0" w:rsidRPr="006144A0" w:rsidRDefault="006144A0" w:rsidP="006144A0">
      <w:r w:rsidRPr="006144A0">
        <w:t>An extensive set of control variables associated with coaches, athletic departments, player talent, and stakeholders’ expectations—as well as dummy variables for conference and year—are detailed in </w:t>
      </w:r>
      <w:r w:rsidRPr="00672F48">
        <w:t>Table 1</w:t>
      </w:r>
      <w:r w:rsidRPr="006144A0">
        <w:t> and are included in the analysis. Since other performance indicators may influence the likelihood of dismissal, </w:t>
      </w:r>
      <w:r w:rsidRPr="00672F48">
        <w:t>Table 1</w:t>
      </w:r>
      <w:r w:rsidRPr="006144A0">
        <w:t> also includes three additional performance measures (</w:t>
      </w:r>
      <w:r w:rsidRPr="006144A0">
        <w:rPr>
          <w:i/>
          <w:iCs/>
        </w:rPr>
        <w:t>Conference Winning Percentage</w:t>
      </w:r>
      <w:r w:rsidRPr="006144A0">
        <w:t>, </w:t>
      </w:r>
      <w:r w:rsidRPr="006144A0">
        <w:rPr>
          <w:i/>
          <w:iCs/>
        </w:rPr>
        <w:t>Made NCAA Tournament</w:t>
      </w:r>
      <w:r w:rsidRPr="006144A0">
        <w:t>, </w:t>
      </w:r>
      <w:r w:rsidRPr="006144A0">
        <w:rPr>
          <w:i/>
          <w:iCs/>
        </w:rPr>
        <w:t>Tournament Wins</w:t>
      </w:r>
      <w:r w:rsidRPr="006144A0">
        <w:t>) that were used to verify the robustness of findings.</w:t>
      </w:r>
    </w:p>
    <w:p w14:paraId="0FB59D92" w14:textId="77777777" w:rsidR="006144A0" w:rsidRDefault="006144A0" w:rsidP="006144A0">
      <w:r w:rsidRPr="006144A0">
        <w:rPr>
          <w:b/>
          <w:bCs/>
        </w:rPr>
        <w:t>Table 1.</w:t>
      </w:r>
      <w:r w:rsidRPr="006144A0">
        <w:t> Descriptions of control variables and alternative performance measures.</w:t>
      </w:r>
    </w:p>
    <w:tbl>
      <w:tblPr>
        <w:tblStyle w:val="TableGrid"/>
        <w:tblW w:w="0" w:type="auto"/>
        <w:tblLook w:val="04A0" w:firstRow="1" w:lastRow="0" w:firstColumn="1" w:lastColumn="0" w:noHBand="0" w:noVBand="1"/>
      </w:tblPr>
      <w:tblGrid>
        <w:gridCol w:w="1631"/>
        <w:gridCol w:w="4222"/>
        <w:gridCol w:w="4217"/>
      </w:tblGrid>
      <w:tr w:rsidR="00AB4666" w:rsidRPr="00C603C3" w14:paraId="75BC3532" w14:textId="77777777" w:rsidTr="00890B2D">
        <w:tc>
          <w:tcPr>
            <w:tcW w:w="0" w:type="auto"/>
          </w:tcPr>
          <w:p w14:paraId="433F3E9C" w14:textId="3F7CFDC5" w:rsidR="005F0B60" w:rsidRPr="00C603C3" w:rsidRDefault="005F0B60" w:rsidP="006144A0">
            <w:pPr>
              <w:rPr>
                <w:rFonts w:cstheme="minorHAnsi"/>
              </w:rPr>
            </w:pPr>
            <w:r w:rsidRPr="00C603C3">
              <w:rPr>
                <w:rFonts w:cstheme="minorHAnsi"/>
              </w:rPr>
              <w:t>Variable</w:t>
            </w:r>
          </w:p>
        </w:tc>
        <w:tc>
          <w:tcPr>
            <w:tcW w:w="0" w:type="auto"/>
          </w:tcPr>
          <w:p w14:paraId="6C51C18F" w14:textId="7F8BC5DE" w:rsidR="005F0B60" w:rsidRPr="00C603C3" w:rsidRDefault="005F0B60" w:rsidP="006144A0">
            <w:pPr>
              <w:rPr>
                <w:rFonts w:cstheme="minorHAnsi"/>
              </w:rPr>
            </w:pPr>
            <w:r w:rsidRPr="00C603C3">
              <w:rPr>
                <w:rFonts w:cstheme="minorHAnsi"/>
              </w:rPr>
              <w:t>Description</w:t>
            </w:r>
          </w:p>
        </w:tc>
        <w:tc>
          <w:tcPr>
            <w:tcW w:w="0" w:type="auto"/>
          </w:tcPr>
          <w:p w14:paraId="177B7174" w14:textId="7D3DF7F2" w:rsidR="005F0B60" w:rsidRPr="00C603C3" w:rsidRDefault="005F0B60" w:rsidP="006144A0">
            <w:pPr>
              <w:rPr>
                <w:rFonts w:cstheme="minorHAnsi"/>
              </w:rPr>
            </w:pPr>
            <w:r w:rsidRPr="00C603C3">
              <w:rPr>
                <w:rFonts w:cstheme="minorHAnsi"/>
              </w:rPr>
              <w:t>Source</w:t>
            </w:r>
          </w:p>
        </w:tc>
      </w:tr>
      <w:tr w:rsidR="00AB4666" w:rsidRPr="00C603C3" w14:paraId="2BF79AFC" w14:textId="77777777" w:rsidTr="00890B2D">
        <w:tc>
          <w:tcPr>
            <w:tcW w:w="0" w:type="auto"/>
          </w:tcPr>
          <w:p w14:paraId="5051B8FF" w14:textId="10E81436" w:rsidR="005F0B60" w:rsidRPr="00C603C3" w:rsidRDefault="00106D91" w:rsidP="006144A0">
            <w:pPr>
              <w:rPr>
                <w:rFonts w:cstheme="minorHAnsi"/>
              </w:rPr>
            </w:pPr>
            <w:r w:rsidRPr="00C603C3">
              <w:rPr>
                <w:rFonts w:cstheme="minorHAnsi"/>
                <w:i/>
                <w:iCs/>
              </w:rPr>
              <w:t>Control variables</w:t>
            </w:r>
          </w:p>
        </w:tc>
        <w:tc>
          <w:tcPr>
            <w:tcW w:w="0" w:type="auto"/>
          </w:tcPr>
          <w:p w14:paraId="6A32F5F6" w14:textId="77777777" w:rsidR="005F0B60" w:rsidRPr="00C603C3" w:rsidRDefault="005F0B60" w:rsidP="006144A0">
            <w:pPr>
              <w:rPr>
                <w:rFonts w:cstheme="minorHAnsi"/>
              </w:rPr>
            </w:pPr>
          </w:p>
        </w:tc>
        <w:tc>
          <w:tcPr>
            <w:tcW w:w="0" w:type="auto"/>
          </w:tcPr>
          <w:p w14:paraId="4012CAB7" w14:textId="77777777" w:rsidR="005F0B60" w:rsidRPr="00C603C3" w:rsidRDefault="005F0B60" w:rsidP="006144A0">
            <w:pPr>
              <w:rPr>
                <w:rFonts w:cstheme="minorHAnsi"/>
              </w:rPr>
            </w:pPr>
          </w:p>
        </w:tc>
      </w:tr>
      <w:tr w:rsidR="00AB4666" w:rsidRPr="00C603C3" w14:paraId="71A7F7F6" w14:textId="77777777" w:rsidTr="00890B2D">
        <w:tc>
          <w:tcPr>
            <w:tcW w:w="0" w:type="auto"/>
          </w:tcPr>
          <w:p w14:paraId="55017A7B" w14:textId="22CBBA6F" w:rsidR="005F0B60" w:rsidRPr="00C603C3" w:rsidRDefault="00106D91" w:rsidP="00106D91">
            <w:pPr>
              <w:autoSpaceDE w:val="0"/>
              <w:autoSpaceDN w:val="0"/>
              <w:adjustRightInd w:val="0"/>
              <w:rPr>
                <w:rFonts w:cstheme="minorHAnsi"/>
              </w:rPr>
            </w:pPr>
            <w:r w:rsidRPr="00106D91">
              <w:rPr>
                <w:rFonts w:cstheme="minorHAnsi"/>
              </w:rPr>
              <w:t xml:space="preserve">Alumni </w:t>
            </w:r>
          </w:p>
        </w:tc>
        <w:tc>
          <w:tcPr>
            <w:tcW w:w="0" w:type="auto"/>
          </w:tcPr>
          <w:p w14:paraId="34C49EB8" w14:textId="41D62C62" w:rsidR="005F0B60" w:rsidRPr="00C603C3" w:rsidRDefault="00106D91" w:rsidP="008B6B90">
            <w:pPr>
              <w:autoSpaceDE w:val="0"/>
              <w:autoSpaceDN w:val="0"/>
              <w:adjustRightInd w:val="0"/>
              <w:ind w:left="306" w:hanging="306"/>
              <w:rPr>
                <w:rFonts w:cstheme="minorHAnsi"/>
              </w:rPr>
            </w:pPr>
            <w:r w:rsidRPr="00106D91">
              <w:rPr>
                <w:rFonts w:cstheme="minorHAnsi"/>
              </w:rPr>
              <w:t>Binary variable set to ‘‘1’’ if the coach had attended the</w:t>
            </w:r>
            <w:r w:rsidRPr="00C603C3">
              <w:rPr>
                <w:rFonts w:cstheme="minorHAnsi"/>
              </w:rPr>
              <w:t xml:space="preserve"> </w:t>
            </w:r>
            <w:r w:rsidRPr="00106D91">
              <w:rPr>
                <w:rFonts w:cstheme="minorHAnsi"/>
              </w:rPr>
              <w:t>university as a student.</w:t>
            </w:r>
          </w:p>
        </w:tc>
        <w:tc>
          <w:tcPr>
            <w:tcW w:w="0" w:type="auto"/>
          </w:tcPr>
          <w:p w14:paraId="7609D11B" w14:textId="1E523517" w:rsidR="005F0B60" w:rsidRPr="00C603C3" w:rsidRDefault="00106D91" w:rsidP="00106D91">
            <w:pPr>
              <w:autoSpaceDE w:val="0"/>
              <w:autoSpaceDN w:val="0"/>
              <w:adjustRightInd w:val="0"/>
              <w:rPr>
                <w:rFonts w:cstheme="minorHAnsi"/>
              </w:rPr>
            </w:pPr>
            <w:r w:rsidRPr="00106D91">
              <w:rPr>
                <w:rFonts w:cstheme="minorHAnsi"/>
              </w:rPr>
              <w:t>Web searches. https://www.sportsreference.</w:t>
            </w:r>
            <w:r w:rsidRPr="00C603C3">
              <w:rPr>
                <w:rFonts w:cstheme="minorHAnsi"/>
              </w:rPr>
              <w:t>com/cbb/.</w:t>
            </w:r>
          </w:p>
        </w:tc>
      </w:tr>
      <w:tr w:rsidR="00AB4666" w:rsidRPr="00C603C3" w14:paraId="7E4DC212" w14:textId="77777777" w:rsidTr="00890B2D">
        <w:tc>
          <w:tcPr>
            <w:tcW w:w="0" w:type="auto"/>
          </w:tcPr>
          <w:p w14:paraId="53E07BA5" w14:textId="70ED86E5" w:rsidR="005F0B60" w:rsidRPr="00C603C3" w:rsidRDefault="0010244F" w:rsidP="0010244F">
            <w:pPr>
              <w:autoSpaceDE w:val="0"/>
              <w:autoSpaceDN w:val="0"/>
              <w:adjustRightInd w:val="0"/>
              <w:rPr>
                <w:rFonts w:cstheme="minorHAnsi"/>
              </w:rPr>
            </w:pPr>
            <w:r w:rsidRPr="0010244F">
              <w:rPr>
                <w:rFonts w:cstheme="minorHAnsi"/>
              </w:rPr>
              <w:t xml:space="preserve">Former division 1 player </w:t>
            </w:r>
          </w:p>
        </w:tc>
        <w:tc>
          <w:tcPr>
            <w:tcW w:w="0" w:type="auto"/>
          </w:tcPr>
          <w:p w14:paraId="65F45CB4" w14:textId="0A90287F" w:rsidR="005F0B60" w:rsidRPr="00C603C3" w:rsidRDefault="0010244F" w:rsidP="008B6B90">
            <w:pPr>
              <w:autoSpaceDE w:val="0"/>
              <w:autoSpaceDN w:val="0"/>
              <w:adjustRightInd w:val="0"/>
              <w:ind w:left="306" w:hanging="306"/>
              <w:rPr>
                <w:rFonts w:cstheme="minorHAnsi"/>
              </w:rPr>
            </w:pPr>
            <w:r w:rsidRPr="0010244F">
              <w:rPr>
                <w:rFonts w:cstheme="minorHAnsi"/>
              </w:rPr>
              <w:t>Binary variable set to ‘‘1’’ if the coach had played NCAA</w:t>
            </w:r>
            <w:r w:rsidRPr="00C603C3">
              <w:rPr>
                <w:rFonts w:cstheme="minorHAnsi"/>
              </w:rPr>
              <w:t xml:space="preserve"> </w:t>
            </w:r>
            <w:r w:rsidRPr="0010244F">
              <w:rPr>
                <w:rFonts w:cstheme="minorHAnsi"/>
              </w:rPr>
              <w:t>Division 1 college basketball.</w:t>
            </w:r>
          </w:p>
        </w:tc>
        <w:tc>
          <w:tcPr>
            <w:tcW w:w="0" w:type="auto"/>
          </w:tcPr>
          <w:p w14:paraId="6A955794" w14:textId="5FDE54EA" w:rsidR="005F0B60" w:rsidRPr="00C603C3" w:rsidRDefault="0010244F" w:rsidP="0010244F">
            <w:pPr>
              <w:autoSpaceDE w:val="0"/>
              <w:autoSpaceDN w:val="0"/>
              <w:adjustRightInd w:val="0"/>
              <w:rPr>
                <w:rFonts w:cstheme="minorHAnsi"/>
              </w:rPr>
            </w:pPr>
            <w:r w:rsidRPr="0010244F">
              <w:rPr>
                <w:rFonts w:cstheme="minorHAnsi"/>
              </w:rPr>
              <w:t>Web searches. https://www.sportsreference.</w:t>
            </w:r>
            <w:r w:rsidRPr="00C603C3">
              <w:rPr>
                <w:rFonts w:cstheme="minorHAnsi"/>
              </w:rPr>
              <w:t>com/cbb/.</w:t>
            </w:r>
          </w:p>
        </w:tc>
      </w:tr>
      <w:tr w:rsidR="00AB4666" w:rsidRPr="00C603C3" w14:paraId="5F709700" w14:textId="77777777" w:rsidTr="00890B2D">
        <w:tc>
          <w:tcPr>
            <w:tcW w:w="0" w:type="auto"/>
          </w:tcPr>
          <w:p w14:paraId="081B2FAB" w14:textId="5ECC7FCB" w:rsidR="005F0B60" w:rsidRPr="00C603C3" w:rsidRDefault="00225FA7" w:rsidP="00890B2D">
            <w:pPr>
              <w:autoSpaceDE w:val="0"/>
              <w:autoSpaceDN w:val="0"/>
              <w:adjustRightInd w:val="0"/>
              <w:rPr>
                <w:rFonts w:cstheme="minorHAnsi"/>
              </w:rPr>
            </w:pPr>
            <w:r w:rsidRPr="00225FA7">
              <w:rPr>
                <w:rFonts w:cstheme="minorHAnsi"/>
              </w:rPr>
              <w:t xml:space="preserve">Coach age </w:t>
            </w:r>
          </w:p>
        </w:tc>
        <w:tc>
          <w:tcPr>
            <w:tcW w:w="0" w:type="auto"/>
          </w:tcPr>
          <w:p w14:paraId="160061CE" w14:textId="35EE542D" w:rsidR="005F0B60" w:rsidRPr="00C603C3" w:rsidRDefault="00890B2D" w:rsidP="008B6B90">
            <w:pPr>
              <w:ind w:left="306" w:hanging="306"/>
              <w:rPr>
                <w:rFonts w:cstheme="minorHAnsi"/>
              </w:rPr>
            </w:pPr>
            <w:r w:rsidRPr="00225FA7">
              <w:rPr>
                <w:rFonts w:cstheme="minorHAnsi"/>
              </w:rPr>
              <w:t>The coach’s age in years at the beginning of the season.</w:t>
            </w:r>
          </w:p>
        </w:tc>
        <w:tc>
          <w:tcPr>
            <w:tcW w:w="0" w:type="auto"/>
          </w:tcPr>
          <w:p w14:paraId="27B4D588" w14:textId="0B329556" w:rsidR="005F0B60" w:rsidRPr="00C603C3" w:rsidRDefault="00225FA7" w:rsidP="00890B2D">
            <w:pPr>
              <w:autoSpaceDE w:val="0"/>
              <w:autoSpaceDN w:val="0"/>
              <w:adjustRightInd w:val="0"/>
              <w:rPr>
                <w:rFonts w:cstheme="minorHAnsi"/>
              </w:rPr>
            </w:pPr>
            <w:r w:rsidRPr="00225FA7">
              <w:rPr>
                <w:rFonts w:cstheme="minorHAnsi"/>
              </w:rPr>
              <w:t>https://www.sports-reference.com/cbb/</w:t>
            </w:r>
            <w:r w:rsidRPr="00C603C3">
              <w:rPr>
                <w:rFonts w:cstheme="minorHAnsi"/>
              </w:rPr>
              <w:t xml:space="preserve"> </w:t>
            </w:r>
          </w:p>
        </w:tc>
      </w:tr>
      <w:tr w:rsidR="008A2574" w:rsidRPr="00C603C3" w14:paraId="3004216E" w14:textId="77777777" w:rsidTr="00890B2D">
        <w:tc>
          <w:tcPr>
            <w:tcW w:w="0" w:type="auto"/>
          </w:tcPr>
          <w:p w14:paraId="709B89E2" w14:textId="77777777" w:rsidR="00890B2D" w:rsidRPr="00C603C3" w:rsidRDefault="00890B2D" w:rsidP="00890B2D">
            <w:pPr>
              <w:autoSpaceDE w:val="0"/>
              <w:autoSpaceDN w:val="0"/>
              <w:adjustRightInd w:val="0"/>
              <w:rPr>
                <w:rFonts w:cstheme="minorHAnsi"/>
              </w:rPr>
            </w:pPr>
            <w:r w:rsidRPr="00225FA7">
              <w:rPr>
                <w:rFonts w:cstheme="minorHAnsi"/>
              </w:rPr>
              <w:t xml:space="preserve">Minority </w:t>
            </w:r>
          </w:p>
          <w:p w14:paraId="552B1EF5" w14:textId="77777777" w:rsidR="0010244F" w:rsidRPr="00C603C3" w:rsidRDefault="0010244F" w:rsidP="006144A0">
            <w:pPr>
              <w:rPr>
                <w:rFonts w:cstheme="minorHAnsi"/>
              </w:rPr>
            </w:pPr>
          </w:p>
        </w:tc>
        <w:tc>
          <w:tcPr>
            <w:tcW w:w="0" w:type="auto"/>
          </w:tcPr>
          <w:p w14:paraId="724F738B" w14:textId="0198F367" w:rsidR="0010244F" w:rsidRPr="00C603C3" w:rsidRDefault="00890B2D" w:rsidP="008B6B90">
            <w:pPr>
              <w:autoSpaceDE w:val="0"/>
              <w:autoSpaceDN w:val="0"/>
              <w:adjustRightInd w:val="0"/>
              <w:ind w:left="306" w:hanging="306"/>
              <w:rPr>
                <w:rFonts w:cstheme="minorHAnsi"/>
              </w:rPr>
            </w:pPr>
            <w:r w:rsidRPr="00225FA7">
              <w:rPr>
                <w:rFonts w:cstheme="minorHAnsi"/>
              </w:rPr>
              <w:t>Binary variable set to ‘‘1’’ if the coach represented a minority</w:t>
            </w:r>
            <w:r w:rsidRPr="00C603C3">
              <w:rPr>
                <w:rFonts w:cstheme="minorHAnsi"/>
              </w:rPr>
              <w:t xml:space="preserve"> </w:t>
            </w:r>
            <w:r w:rsidRPr="00225FA7">
              <w:rPr>
                <w:rFonts w:cstheme="minorHAnsi"/>
              </w:rPr>
              <w:t>racial or ethnic group.</w:t>
            </w:r>
          </w:p>
        </w:tc>
        <w:tc>
          <w:tcPr>
            <w:tcW w:w="0" w:type="auto"/>
          </w:tcPr>
          <w:p w14:paraId="6D1093D4" w14:textId="5C7D36B4" w:rsidR="0010244F" w:rsidRPr="00C603C3" w:rsidRDefault="00890B2D" w:rsidP="00890B2D">
            <w:pPr>
              <w:autoSpaceDE w:val="0"/>
              <w:autoSpaceDN w:val="0"/>
              <w:adjustRightInd w:val="0"/>
              <w:rPr>
                <w:rFonts w:cstheme="minorHAnsi"/>
              </w:rPr>
            </w:pPr>
            <w:r w:rsidRPr="00225FA7">
              <w:rPr>
                <w:rFonts w:cstheme="minorHAnsi"/>
              </w:rPr>
              <w:t>Web searches of pictures from press</w:t>
            </w:r>
            <w:r w:rsidRPr="00C603C3">
              <w:rPr>
                <w:rFonts w:cstheme="minorHAnsi"/>
              </w:rPr>
              <w:t xml:space="preserve"> </w:t>
            </w:r>
            <w:r w:rsidRPr="00C603C3">
              <w:rPr>
                <w:rFonts w:cstheme="minorHAnsi"/>
              </w:rPr>
              <w:t>reports.</w:t>
            </w:r>
          </w:p>
        </w:tc>
      </w:tr>
      <w:tr w:rsidR="008A2574" w:rsidRPr="00C603C3" w14:paraId="6A309160" w14:textId="77777777" w:rsidTr="00890B2D">
        <w:tc>
          <w:tcPr>
            <w:tcW w:w="0" w:type="auto"/>
          </w:tcPr>
          <w:p w14:paraId="2D5A1B7C" w14:textId="24B6935E" w:rsidR="0010244F" w:rsidRPr="00C603C3" w:rsidRDefault="00E241D7" w:rsidP="00E241D7">
            <w:pPr>
              <w:autoSpaceDE w:val="0"/>
              <w:autoSpaceDN w:val="0"/>
              <w:adjustRightInd w:val="0"/>
              <w:rPr>
                <w:rFonts w:cstheme="minorHAnsi"/>
              </w:rPr>
            </w:pPr>
            <w:r w:rsidRPr="00E241D7">
              <w:rPr>
                <w:rFonts w:cstheme="minorHAnsi"/>
              </w:rPr>
              <w:t>Football bowl</w:t>
            </w:r>
            <w:r w:rsidRPr="00C603C3">
              <w:rPr>
                <w:rFonts w:cstheme="minorHAnsi"/>
              </w:rPr>
              <w:t xml:space="preserve"> </w:t>
            </w:r>
            <w:r w:rsidRPr="00E241D7">
              <w:rPr>
                <w:rFonts w:cstheme="minorHAnsi"/>
              </w:rPr>
              <w:t>subdivision</w:t>
            </w:r>
          </w:p>
        </w:tc>
        <w:tc>
          <w:tcPr>
            <w:tcW w:w="0" w:type="auto"/>
          </w:tcPr>
          <w:p w14:paraId="74DD39B0" w14:textId="1D78FD41" w:rsidR="0010244F" w:rsidRPr="00C603C3" w:rsidRDefault="00E241D7" w:rsidP="008B6B90">
            <w:pPr>
              <w:autoSpaceDE w:val="0"/>
              <w:autoSpaceDN w:val="0"/>
              <w:adjustRightInd w:val="0"/>
              <w:ind w:left="306" w:hanging="306"/>
              <w:rPr>
                <w:rFonts w:cstheme="minorHAnsi"/>
              </w:rPr>
            </w:pPr>
            <w:r w:rsidRPr="00E241D7">
              <w:rPr>
                <w:rFonts w:cstheme="minorHAnsi"/>
              </w:rPr>
              <w:t>Binary variable set to ‘‘1’’ if the university had a team that</w:t>
            </w:r>
            <w:r w:rsidRPr="00C603C3">
              <w:rPr>
                <w:rFonts w:cstheme="minorHAnsi"/>
              </w:rPr>
              <w:t xml:space="preserve"> </w:t>
            </w:r>
            <w:r w:rsidRPr="00E241D7">
              <w:rPr>
                <w:rFonts w:cstheme="minorHAnsi"/>
              </w:rPr>
              <w:t>competed in NCAA college football’s top division during the</w:t>
            </w:r>
            <w:r w:rsidRPr="00C603C3">
              <w:rPr>
                <w:rFonts w:cstheme="minorHAnsi"/>
              </w:rPr>
              <w:t xml:space="preserve"> </w:t>
            </w:r>
            <w:r w:rsidRPr="00E241D7">
              <w:rPr>
                <w:rFonts w:cstheme="minorHAnsi"/>
              </w:rPr>
              <w:t>season.</w:t>
            </w:r>
          </w:p>
        </w:tc>
        <w:tc>
          <w:tcPr>
            <w:tcW w:w="0" w:type="auto"/>
          </w:tcPr>
          <w:p w14:paraId="65FB0661" w14:textId="4DD74983" w:rsidR="0010244F" w:rsidRPr="00C603C3" w:rsidRDefault="00E241D7" w:rsidP="006144A0">
            <w:pPr>
              <w:rPr>
                <w:rFonts w:cstheme="minorHAnsi"/>
              </w:rPr>
            </w:pPr>
            <w:r w:rsidRPr="00C603C3">
              <w:rPr>
                <w:rFonts w:cstheme="minorHAnsi"/>
              </w:rPr>
              <w:t>https://www.sports-reference.com/cfb/</w:t>
            </w:r>
          </w:p>
        </w:tc>
      </w:tr>
      <w:tr w:rsidR="00C603C3" w:rsidRPr="00C603C3" w14:paraId="7E9F6C9D" w14:textId="77777777" w:rsidTr="00890B2D">
        <w:tc>
          <w:tcPr>
            <w:tcW w:w="0" w:type="auto"/>
          </w:tcPr>
          <w:p w14:paraId="1CFEAB07" w14:textId="21CEC9C2" w:rsidR="00890B2D" w:rsidRPr="00C603C3" w:rsidRDefault="005D1F63" w:rsidP="005D1F63">
            <w:pPr>
              <w:autoSpaceDE w:val="0"/>
              <w:autoSpaceDN w:val="0"/>
              <w:adjustRightInd w:val="0"/>
              <w:rPr>
                <w:rFonts w:cstheme="minorHAnsi"/>
              </w:rPr>
            </w:pPr>
            <w:r w:rsidRPr="005D1F63">
              <w:rPr>
                <w:rFonts w:cstheme="minorHAnsi"/>
              </w:rPr>
              <w:t xml:space="preserve">NCAA sanctions </w:t>
            </w:r>
          </w:p>
        </w:tc>
        <w:tc>
          <w:tcPr>
            <w:tcW w:w="0" w:type="auto"/>
          </w:tcPr>
          <w:p w14:paraId="70F3EB87" w14:textId="28E49BBB" w:rsidR="00890B2D" w:rsidRPr="00C603C3" w:rsidRDefault="005D1F63" w:rsidP="008B6B90">
            <w:pPr>
              <w:autoSpaceDE w:val="0"/>
              <w:autoSpaceDN w:val="0"/>
              <w:adjustRightInd w:val="0"/>
              <w:ind w:left="306" w:hanging="306"/>
              <w:rPr>
                <w:rFonts w:cstheme="minorHAnsi"/>
              </w:rPr>
            </w:pPr>
            <w:r w:rsidRPr="005D1F63">
              <w:rPr>
                <w:rFonts w:cstheme="minorHAnsi"/>
              </w:rPr>
              <w:t>Binary variable set to ‘‘1’’ if the basketball team was under</w:t>
            </w:r>
            <w:r w:rsidRPr="00C603C3">
              <w:rPr>
                <w:rFonts w:cstheme="minorHAnsi"/>
              </w:rPr>
              <w:t xml:space="preserve"> </w:t>
            </w:r>
            <w:r w:rsidRPr="005D1F63">
              <w:rPr>
                <w:rFonts w:cstheme="minorHAnsi"/>
              </w:rPr>
              <w:t>sanctions for NCAA violations during the season.</w:t>
            </w:r>
          </w:p>
        </w:tc>
        <w:tc>
          <w:tcPr>
            <w:tcW w:w="0" w:type="auto"/>
          </w:tcPr>
          <w:p w14:paraId="589F9EE4" w14:textId="370AB2A8" w:rsidR="00890B2D" w:rsidRPr="00C603C3" w:rsidRDefault="005D1F63" w:rsidP="005D1F63">
            <w:pPr>
              <w:autoSpaceDE w:val="0"/>
              <w:autoSpaceDN w:val="0"/>
              <w:adjustRightInd w:val="0"/>
              <w:rPr>
                <w:rFonts w:cstheme="minorHAnsi"/>
              </w:rPr>
            </w:pPr>
            <w:r w:rsidRPr="005D1F63">
              <w:rPr>
                <w:rFonts w:cstheme="minorHAnsi"/>
              </w:rPr>
              <w:t>Web searches. https://www.sportsreference.</w:t>
            </w:r>
            <w:r w:rsidRPr="00C603C3">
              <w:rPr>
                <w:rFonts w:cstheme="minorHAnsi"/>
              </w:rPr>
              <w:t>com/cbb/.</w:t>
            </w:r>
          </w:p>
        </w:tc>
      </w:tr>
      <w:tr w:rsidR="00C603C3" w:rsidRPr="00C603C3" w14:paraId="47064282" w14:textId="77777777" w:rsidTr="00890B2D">
        <w:tc>
          <w:tcPr>
            <w:tcW w:w="0" w:type="auto"/>
          </w:tcPr>
          <w:p w14:paraId="039B10E7" w14:textId="2101F4FB" w:rsidR="00890B2D" w:rsidRPr="00C603C3" w:rsidRDefault="008C7B71" w:rsidP="008C7B71">
            <w:pPr>
              <w:autoSpaceDE w:val="0"/>
              <w:autoSpaceDN w:val="0"/>
              <w:adjustRightInd w:val="0"/>
              <w:rPr>
                <w:rFonts w:cstheme="minorHAnsi"/>
              </w:rPr>
            </w:pPr>
            <w:r w:rsidRPr="008C7B71">
              <w:rPr>
                <w:rFonts w:cstheme="minorHAnsi"/>
              </w:rPr>
              <w:t xml:space="preserve">Basketball expenses </w:t>
            </w:r>
          </w:p>
        </w:tc>
        <w:tc>
          <w:tcPr>
            <w:tcW w:w="0" w:type="auto"/>
          </w:tcPr>
          <w:p w14:paraId="6EE414E1" w14:textId="1F3262F1" w:rsidR="00890B2D" w:rsidRPr="00C603C3" w:rsidRDefault="008C7B71" w:rsidP="008B6B90">
            <w:pPr>
              <w:autoSpaceDE w:val="0"/>
              <w:autoSpaceDN w:val="0"/>
              <w:adjustRightInd w:val="0"/>
              <w:ind w:left="306" w:hanging="306"/>
              <w:rPr>
                <w:rFonts w:cstheme="minorHAnsi"/>
              </w:rPr>
            </w:pPr>
            <w:r w:rsidRPr="008C7B71">
              <w:rPr>
                <w:rFonts w:cstheme="minorHAnsi"/>
              </w:rPr>
              <w:t>Spending (in millions) during the season on the university’s</w:t>
            </w:r>
            <w:r w:rsidRPr="00C603C3">
              <w:rPr>
                <w:rFonts w:cstheme="minorHAnsi"/>
              </w:rPr>
              <w:t xml:space="preserve"> </w:t>
            </w:r>
            <w:r w:rsidRPr="008C7B71">
              <w:rPr>
                <w:rFonts w:cstheme="minorHAnsi"/>
              </w:rPr>
              <w:t>college basketball program.</w:t>
            </w:r>
          </w:p>
        </w:tc>
        <w:tc>
          <w:tcPr>
            <w:tcW w:w="0" w:type="auto"/>
          </w:tcPr>
          <w:p w14:paraId="3F01E6F6" w14:textId="684C6090" w:rsidR="00890B2D" w:rsidRPr="00C603C3" w:rsidRDefault="008C7B71" w:rsidP="008C7B71">
            <w:pPr>
              <w:autoSpaceDE w:val="0"/>
              <w:autoSpaceDN w:val="0"/>
              <w:adjustRightInd w:val="0"/>
              <w:rPr>
                <w:rFonts w:cstheme="minorHAnsi"/>
              </w:rPr>
            </w:pPr>
            <w:r w:rsidRPr="008C7B71">
              <w:rPr>
                <w:rFonts w:cstheme="minorHAnsi"/>
              </w:rPr>
              <w:t>United States Department of Education</w:t>
            </w:r>
            <w:r w:rsidRPr="00C603C3">
              <w:rPr>
                <w:rFonts w:cstheme="minorHAnsi"/>
              </w:rPr>
              <w:t xml:space="preserve"> </w:t>
            </w:r>
            <w:r w:rsidRPr="00C603C3">
              <w:rPr>
                <w:rFonts w:cstheme="minorHAnsi"/>
              </w:rPr>
              <w:t>EADA database.</w:t>
            </w:r>
          </w:p>
        </w:tc>
      </w:tr>
      <w:tr w:rsidR="00A459F1" w:rsidRPr="00C603C3" w14:paraId="25D7595F" w14:textId="77777777" w:rsidTr="00890B2D">
        <w:tc>
          <w:tcPr>
            <w:tcW w:w="0" w:type="auto"/>
          </w:tcPr>
          <w:p w14:paraId="0D84B44D" w14:textId="491A4DB9" w:rsidR="008C7B71" w:rsidRPr="00C603C3" w:rsidRDefault="007256F1" w:rsidP="007256F1">
            <w:pPr>
              <w:autoSpaceDE w:val="0"/>
              <w:autoSpaceDN w:val="0"/>
              <w:adjustRightInd w:val="0"/>
              <w:rPr>
                <w:rFonts w:cstheme="minorHAnsi"/>
              </w:rPr>
            </w:pPr>
            <w:r w:rsidRPr="007256F1">
              <w:rPr>
                <w:rFonts w:cstheme="minorHAnsi"/>
              </w:rPr>
              <w:t xml:space="preserve">Preseason ranking </w:t>
            </w:r>
          </w:p>
        </w:tc>
        <w:tc>
          <w:tcPr>
            <w:tcW w:w="0" w:type="auto"/>
          </w:tcPr>
          <w:p w14:paraId="37059D68" w14:textId="279E2A6A" w:rsidR="008C7B71" w:rsidRPr="00C603C3" w:rsidRDefault="007256F1" w:rsidP="008B6B90">
            <w:pPr>
              <w:autoSpaceDE w:val="0"/>
              <w:autoSpaceDN w:val="0"/>
              <w:adjustRightInd w:val="0"/>
              <w:ind w:left="306" w:hanging="306"/>
              <w:rPr>
                <w:rFonts w:cstheme="minorHAnsi"/>
              </w:rPr>
            </w:pPr>
            <w:r w:rsidRPr="007256F1">
              <w:rPr>
                <w:rFonts w:cstheme="minorHAnsi"/>
              </w:rPr>
              <w:t>Team’s Associated Press ranking prior to the season. A team</w:t>
            </w:r>
            <w:r w:rsidRPr="00C603C3">
              <w:rPr>
                <w:rFonts w:cstheme="minorHAnsi"/>
              </w:rPr>
              <w:t xml:space="preserve"> </w:t>
            </w:r>
            <w:r w:rsidRPr="007256F1">
              <w:rPr>
                <w:rFonts w:cstheme="minorHAnsi"/>
              </w:rPr>
              <w:t>ranked number one was assigned 25, number two was</w:t>
            </w:r>
            <w:r w:rsidRPr="00C603C3">
              <w:rPr>
                <w:rFonts w:cstheme="minorHAnsi"/>
              </w:rPr>
              <w:t xml:space="preserve"> </w:t>
            </w:r>
            <w:r w:rsidRPr="007256F1">
              <w:rPr>
                <w:rFonts w:cstheme="minorHAnsi"/>
              </w:rPr>
              <w:t>assigned 24, and so on. Teams not ranked were assigned 0.</w:t>
            </w:r>
          </w:p>
        </w:tc>
        <w:tc>
          <w:tcPr>
            <w:tcW w:w="0" w:type="auto"/>
          </w:tcPr>
          <w:p w14:paraId="6D74686F" w14:textId="72E42945" w:rsidR="008C7B71" w:rsidRPr="00C603C3" w:rsidRDefault="007256F1" w:rsidP="008C7B71">
            <w:pPr>
              <w:autoSpaceDE w:val="0"/>
              <w:autoSpaceDN w:val="0"/>
              <w:adjustRightInd w:val="0"/>
              <w:rPr>
                <w:rFonts w:cstheme="minorHAnsi"/>
              </w:rPr>
            </w:pPr>
            <w:r w:rsidRPr="00C603C3">
              <w:rPr>
                <w:rFonts w:cstheme="minorHAnsi"/>
              </w:rPr>
              <w:t>https://www.sports-reference.com/cbb/</w:t>
            </w:r>
          </w:p>
        </w:tc>
      </w:tr>
      <w:tr w:rsidR="00A459F1" w:rsidRPr="00C603C3" w14:paraId="221F6467" w14:textId="77777777" w:rsidTr="00890B2D">
        <w:tc>
          <w:tcPr>
            <w:tcW w:w="0" w:type="auto"/>
          </w:tcPr>
          <w:p w14:paraId="062690D2" w14:textId="6E30C493" w:rsidR="008C7B71" w:rsidRPr="00C603C3" w:rsidRDefault="00053928" w:rsidP="00053928">
            <w:pPr>
              <w:autoSpaceDE w:val="0"/>
              <w:autoSpaceDN w:val="0"/>
              <w:adjustRightInd w:val="0"/>
              <w:rPr>
                <w:rFonts w:cstheme="minorHAnsi"/>
              </w:rPr>
            </w:pPr>
            <w:r w:rsidRPr="00053928">
              <w:rPr>
                <w:rFonts w:cstheme="minorHAnsi"/>
              </w:rPr>
              <w:t xml:space="preserve">Recruiting rank </w:t>
            </w:r>
          </w:p>
        </w:tc>
        <w:tc>
          <w:tcPr>
            <w:tcW w:w="0" w:type="auto"/>
          </w:tcPr>
          <w:p w14:paraId="108E8D27" w14:textId="7DA3380B" w:rsidR="008C7B71" w:rsidRPr="00C603C3" w:rsidRDefault="00053928" w:rsidP="008B6B90">
            <w:pPr>
              <w:autoSpaceDE w:val="0"/>
              <w:autoSpaceDN w:val="0"/>
              <w:adjustRightInd w:val="0"/>
              <w:ind w:left="306" w:hanging="306"/>
              <w:rPr>
                <w:rFonts w:cstheme="minorHAnsi"/>
              </w:rPr>
            </w:pPr>
            <w:r w:rsidRPr="00053928">
              <w:rPr>
                <w:rFonts w:cstheme="minorHAnsi"/>
              </w:rPr>
              <w:t>Rank of team’s incoming players among all college basketball</w:t>
            </w:r>
            <w:r w:rsidRPr="00C603C3">
              <w:rPr>
                <w:rFonts w:cstheme="minorHAnsi"/>
              </w:rPr>
              <w:t xml:space="preserve"> </w:t>
            </w:r>
            <w:r w:rsidRPr="00053928">
              <w:rPr>
                <w:rFonts w:cstheme="minorHAnsi"/>
              </w:rPr>
              <w:t>teams. A team ranked number one was assigned 240, number</w:t>
            </w:r>
            <w:r w:rsidRPr="00C603C3">
              <w:rPr>
                <w:rFonts w:cstheme="minorHAnsi"/>
              </w:rPr>
              <w:t xml:space="preserve"> </w:t>
            </w:r>
            <w:r w:rsidRPr="00053928">
              <w:rPr>
                <w:rFonts w:cstheme="minorHAnsi"/>
              </w:rPr>
              <w:t>two was assigned 239, and so on. Teams not ranked or</w:t>
            </w:r>
            <w:r w:rsidRPr="00C603C3">
              <w:rPr>
                <w:rFonts w:cstheme="minorHAnsi"/>
              </w:rPr>
              <w:t xml:space="preserve"> </w:t>
            </w:r>
            <w:r w:rsidRPr="00053928">
              <w:rPr>
                <w:rFonts w:cstheme="minorHAnsi"/>
              </w:rPr>
              <w:t>ranked below 240th were assigned 0.</w:t>
            </w:r>
          </w:p>
        </w:tc>
        <w:tc>
          <w:tcPr>
            <w:tcW w:w="0" w:type="auto"/>
          </w:tcPr>
          <w:p w14:paraId="47C9C1DF" w14:textId="15FC6B2A" w:rsidR="008C7B71" w:rsidRPr="00C603C3" w:rsidRDefault="00053928" w:rsidP="00053928">
            <w:pPr>
              <w:autoSpaceDE w:val="0"/>
              <w:autoSpaceDN w:val="0"/>
              <w:adjustRightInd w:val="0"/>
              <w:rPr>
                <w:rFonts w:cstheme="minorHAnsi"/>
              </w:rPr>
            </w:pPr>
            <w:r w:rsidRPr="00053928">
              <w:rPr>
                <w:rFonts w:cstheme="minorHAnsi"/>
              </w:rPr>
              <w:t>Annual college basketball recruiting ranking</w:t>
            </w:r>
            <w:r w:rsidRPr="00C603C3">
              <w:rPr>
                <w:rFonts w:cstheme="minorHAnsi"/>
              </w:rPr>
              <w:t xml:space="preserve"> </w:t>
            </w:r>
            <w:r w:rsidRPr="00C603C3">
              <w:rPr>
                <w:rFonts w:cstheme="minorHAnsi"/>
              </w:rPr>
              <w:t>from www.247sports.com</w:t>
            </w:r>
          </w:p>
        </w:tc>
      </w:tr>
      <w:tr w:rsidR="00A459F1" w:rsidRPr="00C603C3" w14:paraId="24CA71C0" w14:textId="77777777" w:rsidTr="00890B2D">
        <w:tc>
          <w:tcPr>
            <w:tcW w:w="0" w:type="auto"/>
          </w:tcPr>
          <w:p w14:paraId="15EE8239" w14:textId="2C940F86" w:rsidR="008C7B71" w:rsidRPr="00C603C3" w:rsidRDefault="00022AA8" w:rsidP="00022AA8">
            <w:pPr>
              <w:autoSpaceDE w:val="0"/>
              <w:autoSpaceDN w:val="0"/>
              <w:adjustRightInd w:val="0"/>
              <w:rPr>
                <w:rFonts w:cstheme="minorHAnsi"/>
              </w:rPr>
            </w:pPr>
            <w:r w:rsidRPr="00022AA8">
              <w:rPr>
                <w:rFonts w:cstheme="minorHAnsi"/>
              </w:rPr>
              <w:t xml:space="preserve">Draft value </w:t>
            </w:r>
          </w:p>
        </w:tc>
        <w:tc>
          <w:tcPr>
            <w:tcW w:w="0" w:type="auto"/>
          </w:tcPr>
          <w:p w14:paraId="7A0686A4" w14:textId="3BBE62C0" w:rsidR="008C7B71" w:rsidRPr="00C603C3" w:rsidRDefault="00022AA8" w:rsidP="008B6B90">
            <w:pPr>
              <w:autoSpaceDE w:val="0"/>
              <w:autoSpaceDN w:val="0"/>
              <w:adjustRightInd w:val="0"/>
              <w:ind w:left="306" w:hanging="306"/>
              <w:rPr>
                <w:rFonts w:cstheme="minorHAnsi"/>
              </w:rPr>
            </w:pPr>
            <w:r w:rsidRPr="00022AA8">
              <w:rPr>
                <w:rFonts w:cstheme="minorHAnsi"/>
              </w:rPr>
              <w:t>Count variable representing the talent level for the season.</w:t>
            </w:r>
            <w:r w:rsidRPr="00C603C3">
              <w:rPr>
                <w:rFonts w:cstheme="minorHAnsi"/>
              </w:rPr>
              <w:t xml:space="preserve"> </w:t>
            </w:r>
            <w:r w:rsidRPr="00022AA8">
              <w:rPr>
                <w:rFonts w:cstheme="minorHAnsi"/>
              </w:rPr>
              <w:t>Calculated from the number of current players who</w:t>
            </w:r>
            <w:r w:rsidRPr="00C603C3">
              <w:rPr>
                <w:rFonts w:cstheme="minorHAnsi"/>
              </w:rPr>
              <w:t xml:space="preserve"> </w:t>
            </w:r>
            <w:r w:rsidRPr="00022AA8">
              <w:rPr>
                <w:rFonts w:cstheme="minorHAnsi"/>
              </w:rPr>
              <w:t>eventually played in the NBA and the place in which current</w:t>
            </w:r>
            <w:r w:rsidRPr="00C603C3">
              <w:rPr>
                <w:rFonts w:cstheme="minorHAnsi"/>
              </w:rPr>
              <w:t xml:space="preserve"> </w:t>
            </w:r>
            <w:r w:rsidRPr="00022AA8">
              <w:rPr>
                <w:rFonts w:cstheme="minorHAnsi"/>
              </w:rPr>
              <w:t>players were selected in a future NBA player draft.</w:t>
            </w:r>
          </w:p>
        </w:tc>
        <w:tc>
          <w:tcPr>
            <w:tcW w:w="0" w:type="auto"/>
          </w:tcPr>
          <w:p w14:paraId="46539A3E" w14:textId="77777777" w:rsidR="00022AA8" w:rsidRPr="00022AA8" w:rsidRDefault="00022AA8" w:rsidP="00022AA8">
            <w:pPr>
              <w:autoSpaceDE w:val="0"/>
              <w:autoSpaceDN w:val="0"/>
              <w:adjustRightInd w:val="0"/>
              <w:rPr>
                <w:rFonts w:cstheme="minorHAnsi"/>
              </w:rPr>
            </w:pPr>
            <w:r w:rsidRPr="00022AA8">
              <w:rPr>
                <w:rFonts w:cstheme="minorHAnsi"/>
              </w:rPr>
              <w:t>https://www.sports-reference.com/cbb/.</w:t>
            </w:r>
          </w:p>
          <w:p w14:paraId="67683BC9" w14:textId="10511996" w:rsidR="008C7B71" w:rsidRPr="00C603C3" w:rsidRDefault="00022AA8" w:rsidP="00022AA8">
            <w:pPr>
              <w:autoSpaceDE w:val="0"/>
              <w:autoSpaceDN w:val="0"/>
              <w:adjustRightInd w:val="0"/>
              <w:rPr>
                <w:rFonts w:cstheme="minorHAnsi"/>
              </w:rPr>
            </w:pPr>
            <w:r w:rsidRPr="00C603C3">
              <w:rPr>
                <w:rFonts w:cstheme="minorHAnsi"/>
              </w:rPr>
              <w:t>https://www.basketball-reference.com/</w:t>
            </w:r>
          </w:p>
        </w:tc>
      </w:tr>
      <w:tr w:rsidR="00A459F1" w:rsidRPr="00C603C3" w14:paraId="32ACC04E" w14:textId="77777777" w:rsidTr="00890B2D">
        <w:tc>
          <w:tcPr>
            <w:tcW w:w="0" w:type="auto"/>
          </w:tcPr>
          <w:p w14:paraId="0DCBAA05" w14:textId="37A6BC2C" w:rsidR="008C7B71" w:rsidRPr="00C603C3" w:rsidRDefault="009F0718" w:rsidP="009F0718">
            <w:pPr>
              <w:autoSpaceDE w:val="0"/>
              <w:autoSpaceDN w:val="0"/>
              <w:adjustRightInd w:val="0"/>
              <w:rPr>
                <w:rFonts w:cstheme="minorHAnsi"/>
              </w:rPr>
            </w:pPr>
            <w:r w:rsidRPr="009F0718">
              <w:rPr>
                <w:rFonts w:cstheme="minorHAnsi"/>
              </w:rPr>
              <w:t>Winning percentage</w:t>
            </w:r>
            <w:r w:rsidRPr="00C603C3">
              <w:rPr>
                <w:rFonts w:cstheme="minorHAnsi"/>
              </w:rPr>
              <w:t xml:space="preserve"> </w:t>
            </w:r>
            <m:oMath>
              <m:r>
                <w:rPr>
                  <w:rFonts w:ascii="Cambria Math" w:hAnsi="Cambria Math" w:cstheme="minorHAnsi"/>
                </w:rPr>
                <m:t>(</m:t>
              </m:r>
              <m:r>
                <w:rPr>
                  <w:rFonts w:ascii="Cambria Math" w:hAnsi="Cambria Math" w:cstheme="minorHAnsi"/>
                </w:rPr>
                <m:t>t</m:t>
              </m:r>
              <m:r>
                <w:rPr>
                  <w:rFonts w:ascii="Cambria Math" w:hAnsi="Cambria Math" w:cstheme="minorHAnsi"/>
                </w:rPr>
                <m:t>-</m:t>
              </m:r>
              <m:r>
                <w:rPr>
                  <w:rFonts w:ascii="Cambria Math" w:hAnsi="Cambria Math" w:cstheme="minorHAnsi"/>
                </w:rPr>
                <m:t>1)</m:t>
              </m:r>
            </m:oMath>
          </w:p>
        </w:tc>
        <w:tc>
          <w:tcPr>
            <w:tcW w:w="0" w:type="auto"/>
          </w:tcPr>
          <w:p w14:paraId="59462B53" w14:textId="76732550" w:rsidR="008C7B71" w:rsidRPr="00C603C3" w:rsidRDefault="009F0718" w:rsidP="008B6B90">
            <w:pPr>
              <w:autoSpaceDE w:val="0"/>
              <w:autoSpaceDN w:val="0"/>
              <w:adjustRightInd w:val="0"/>
              <w:ind w:left="306" w:hanging="306"/>
              <w:rPr>
                <w:rFonts w:cstheme="minorHAnsi"/>
              </w:rPr>
            </w:pPr>
            <w:r w:rsidRPr="009F0718">
              <w:rPr>
                <w:rFonts w:cstheme="minorHAnsi"/>
              </w:rPr>
              <w:t>Percentage of wins versus total games played for the team’s</w:t>
            </w:r>
            <w:r w:rsidR="00A459F1" w:rsidRPr="00C603C3">
              <w:rPr>
                <w:rFonts w:cstheme="minorHAnsi"/>
              </w:rPr>
              <w:t xml:space="preserve"> </w:t>
            </w:r>
            <w:r w:rsidRPr="009F0718">
              <w:rPr>
                <w:rFonts w:cstheme="minorHAnsi"/>
              </w:rPr>
              <w:t>prior season.</w:t>
            </w:r>
          </w:p>
        </w:tc>
        <w:tc>
          <w:tcPr>
            <w:tcW w:w="0" w:type="auto"/>
          </w:tcPr>
          <w:p w14:paraId="73F9011E" w14:textId="622A4F0A" w:rsidR="008C7B71" w:rsidRPr="00C603C3" w:rsidRDefault="009F0718" w:rsidP="008C7B71">
            <w:pPr>
              <w:autoSpaceDE w:val="0"/>
              <w:autoSpaceDN w:val="0"/>
              <w:adjustRightInd w:val="0"/>
              <w:rPr>
                <w:rFonts w:cstheme="minorHAnsi"/>
              </w:rPr>
            </w:pPr>
            <w:r w:rsidRPr="00C603C3">
              <w:rPr>
                <w:rFonts w:cstheme="minorHAnsi"/>
              </w:rPr>
              <w:t>https://www.sports-reference.com/cbb/</w:t>
            </w:r>
          </w:p>
        </w:tc>
      </w:tr>
      <w:tr w:rsidR="00A459F1" w:rsidRPr="00C603C3" w14:paraId="495586F0" w14:textId="77777777" w:rsidTr="00890B2D">
        <w:tc>
          <w:tcPr>
            <w:tcW w:w="0" w:type="auto"/>
          </w:tcPr>
          <w:p w14:paraId="712A5806" w14:textId="27D58254" w:rsidR="008C7B71" w:rsidRPr="00C603C3" w:rsidRDefault="00844D83" w:rsidP="008C7B71">
            <w:pPr>
              <w:autoSpaceDE w:val="0"/>
              <w:autoSpaceDN w:val="0"/>
              <w:adjustRightInd w:val="0"/>
              <w:rPr>
                <w:rFonts w:cstheme="minorHAnsi"/>
              </w:rPr>
            </w:pPr>
            <w:r w:rsidRPr="00C603C3">
              <w:rPr>
                <w:rFonts w:cstheme="minorHAnsi"/>
              </w:rPr>
              <w:t xml:space="preserve">Conference </w:t>
            </w:r>
          </w:p>
        </w:tc>
        <w:tc>
          <w:tcPr>
            <w:tcW w:w="0" w:type="auto"/>
          </w:tcPr>
          <w:p w14:paraId="007FDACA" w14:textId="44F59034" w:rsidR="008C7B71" w:rsidRPr="00C603C3" w:rsidRDefault="00844D83" w:rsidP="008B6B90">
            <w:pPr>
              <w:autoSpaceDE w:val="0"/>
              <w:autoSpaceDN w:val="0"/>
              <w:adjustRightInd w:val="0"/>
              <w:ind w:left="306" w:hanging="306"/>
              <w:rPr>
                <w:rFonts w:cstheme="minorHAnsi"/>
              </w:rPr>
            </w:pPr>
            <w:r w:rsidRPr="00C603C3">
              <w:rPr>
                <w:rFonts w:cstheme="minorHAnsi"/>
              </w:rPr>
              <w:t>Dummy variables for each of the 10 conferences.</w:t>
            </w:r>
          </w:p>
        </w:tc>
        <w:tc>
          <w:tcPr>
            <w:tcW w:w="0" w:type="auto"/>
          </w:tcPr>
          <w:p w14:paraId="43F92D8E" w14:textId="7CA91DE9" w:rsidR="008C7B71" w:rsidRPr="00C603C3" w:rsidRDefault="00844D83" w:rsidP="008C7B71">
            <w:pPr>
              <w:autoSpaceDE w:val="0"/>
              <w:autoSpaceDN w:val="0"/>
              <w:adjustRightInd w:val="0"/>
              <w:rPr>
                <w:rFonts w:cstheme="minorHAnsi"/>
              </w:rPr>
            </w:pPr>
            <w:r w:rsidRPr="00C603C3">
              <w:rPr>
                <w:rFonts w:cstheme="minorHAnsi"/>
              </w:rPr>
              <w:t>https://www.sports-reference.com/cbb/</w:t>
            </w:r>
          </w:p>
        </w:tc>
      </w:tr>
      <w:tr w:rsidR="00844D83" w:rsidRPr="00C603C3" w14:paraId="3523FD85" w14:textId="77777777" w:rsidTr="00890B2D">
        <w:tc>
          <w:tcPr>
            <w:tcW w:w="0" w:type="auto"/>
          </w:tcPr>
          <w:p w14:paraId="799A9ADB" w14:textId="478FD4DC" w:rsidR="00844D83" w:rsidRPr="00C603C3" w:rsidRDefault="004617ED" w:rsidP="008C7B71">
            <w:pPr>
              <w:autoSpaceDE w:val="0"/>
              <w:autoSpaceDN w:val="0"/>
              <w:adjustRightInd w:val="0"/>
              <w:rPr>
                <w:rFonts w:cstheme="minorHAnsi"/>
              </w:rPr>
            </w:pPr>
            <w:r w:rsidRPr="00C603C3">
              <w:rPr>
                <w:rFonts w:cstheme="minorHAnsi"/>
              </w:rPr>
              <w:t xml:space="preserve">Year </w:t>
            </w:r>
          </w:p>
        </w:tc>
        <w:tc>
          <w:tcPr>
            <w:tcW w:w="0" w:type="auto"/>
          </w:tcPr>
          <w:p w14:paraId="3B33C962" w14:textId="73E5D430" w:rsidR="00844D83" w:rsidRPr="00C603C3" w:rsidRDefault="004617ED" w:rsidP="008B6B90">
            <w:pPr>
              <w:autoSpaceDE w:val="0"/>
              <w:autoSpaceDN w:val="0"/>
              <w:adjustRightInd w:val="0"/>
              <w:ind w:left="306" w:hanging="306"/>
              <w:rPr>
                <w:rFonts w:cstheme="minorHAnsi"/>
              </w:rPr>
            </w:pPr>
            <w:r w:rsidRPr="00C603C3">
              <w:rPr>
                <w:rFonts w:cstheme="minorHAnsi"/>
              </w:rPr>
              <w:t>Dummy variables for each of the 16 seasons used in the sample.</w:t>
            </w:r>
          </w:p>
        </w:tc>
        <w:tc>
          <w:tcPr>
            <w:tcW w:w="0" w:type="auto"/>
          </w:tcPr>
          <w:p w14:paraId="4CC177F6" w14:textId="77777777" w:rsidR="00844D83" w:rsidRPr="00C603C3" w:rsidRDefault="00844D83" w:rsidP="008C7B71">
            <w:pPr>
              <w:autoSpaceDE w:val="0"/>
              <w:autoSpaceDN w:val="0"/>
              <w:adjustRightInd w:val="0"/>
              <w:rPr>
                <w:rFonts w:cstheme="minorHAnsi"/>
              </w:rPr>
            </w:pPr>
          </w:p>
        </w:tc>
      </w:tr>
      <w:tr w:rsidR="00844D83" w:rsidRPr="00C603C3" w14:paraId="2B606625" w14:textId="77777777" w:rsidTr="00890B2D">
        <w:tc>
          <w:tcPr>
            <w:tcW w:w="0" w:type="auto"/>
          </w:tcPr>
          <w:p w14:paraId="3B1F67B0" w14:textId="7686C186" w:rsidR="00844D83" w:rsidRPr="00C603C3" w:rsidRDefault="004617ED" w:rsidP="008C7B71">
            <w:pPr>
              <w:autoSpaceDE w:val="0"/>
              <w:autoSpaceDN w:val="0"/>
              <w:adjustRightInd w:val="0"/>
              <w:rPr>
                <w:rFonts w:cstheme="minorHAnsi"/>
              </w:rPr>
            </w:pPr>
            <w:r w:rsidRPr="00C603C3">
              <w:rPr>
                <w:rFonts w:cstheme="minorHAnsi"/>
                <w:i/>
                <w:iCs/>
              </w:rPr>
              <w:t>Alternative performance measures</w:t>
            </w:r>
          </w:p>
        </w:tc>
        <w:tc>
          <w:tcPr>
            <w:tcW w:w="0" w:type="auto"/>
          </w:tcPr>
          <w:p w14:paraId="3ED992F2" w14:textId="77777777" w:rsidR="00844D83" w:rsidRPr="00C603C3" w:rsidRDefault="00844D83" w:rsidP="008B6B90">
            <w:pPr>
              <w:autoSpaceDE w:val="0"/>
              <w:autoSpaceDN w:val="0"/>
              <w:adjustRightInd w:val="0"/>
              <w:ind w:left="306" w:hanging="306"/>
              <w:rPr>
                <w:rFonts w:cstheme="minorHAnsi"/>
              </w:rPr>
            </w:pPr>
          </w:p>
        </w:tc>
        <w:tc>
          <w:tcPr>
            <w:tcW w:w="0" w:type="auto"/>
          </w:tcPr>
          <w:p w14:paraId="3BE716BF" w14:textId="77777777" w:rsidR="00844D83" w:rsidRPr="00C603C3" w:rsidRDefault="00844D83" w:rsidP="008C7B71">
            <w:pPr>
              <w:autoSpaceDE w:val="0"/>
              <w:autoSpaceDN w:val="0"/>
              <w:adjustRightInd w:val="0"/>
              <w:rPr>
                <w:rFonts w:cstheme="minorHAnsi"/>
              </w:rPr>
            </w:pPr>
          </w:p>
        </w:tc>
      </w:tr>
      <w:tr w:rsidR="004617ED" w:rsidRPr="00C603C3" w14:paraId="5D2C1176" w14:textId="77777777" w:rsidTr="00890B2D">
        <w:tc>
          <w:tcPr>
            <w:tcW w:w="0" w:type="auto"/>
          </w:tcPr>
          <w:p w14:paraId="0522FB0B" w14:textId="77777777" w:rsidR="00AB4666" w:rsidRPr="00AB4666" w:rsidRDefault="00AB4666" w:rsidP="00AB4666">
            <w:pPr>
              <w:autoSpaceDE w:val="0"/>
              <w:autoSpaceDN w:val="0"/>
              <w:adjustRightInd w:val="0"/>
              <w:rPr>
                <w:rFonts w:cstheme="minorHAnsi"/>
              </w:rPr>
            </w:pPr>
            <w:r w:rsidRPr="00AB4666">
              <w:rPr>
                <w:rFonts w:cstheme="minorHAnsi"/>
              </w:rPr>
              <w:t>Conference winning</w:t>
            </w:r>
          </w:p>
          <w:p w14:paraId="63D05FF3" w14:textId="4B3F12DF" w:rsidR="004617ED" w:rsidRPr="00C603C3" w:rsidRDefault="00AB4666" w:rsidP="00AB4666">
            <w:pPr>
              <w:autoSpaceDE w:val="0"/>
              <w:autoSpaceDN w:val="0"/>
              <w:adjustRightInd w:val="0"/>
              <w:rPr>
                <w:rFonts w:cstheme="minorHAnsi"/>
              </w:rPr>
            </w:pPr>
            <w:r w:rsidRPr="00AB4666">
              <w:rPr>
                <w:rFonts w:cstheme="minorHAnsi"/>
              </w:rPr>
              <w:t>percentage</w:t>
            </w:r>
          </w:p>
        </w:tc>
        <w:tc>
          <w:tcPr>
            <w:tcW w:w="0" w:type="auto"/>
          </w:tcPr>
          <w:p w14:paraId="7344C35D" w14:textId="77777777" w:rsidR="00AB4666" w:rsidRPr="00AB4666" w:rsidRDefault="00AB4666" w:rsidP="008B6B90">
            <w:pPr>
              <w:autoSpaceDE w:val="0"/>
              <w:autoSpaceDN w:val="0"/>
              <w:adjustRightInd w:val="0"/>
              <w:ind w:left="306" w:hanging="306"/>
              <w:rPr>
                <w:rFonts w:cstheme="minorHAnsi"/>
              </w:rPr>
            </w:pPr>
            <w:r w:rsidRPr="00AB4666">
              <w:rPr>
                <w:rFonts w:cstheme="minorHAnsi"/>
              </w:rPr>
              <w:t>Percentage of wins in conference games versus total</w:t>
            </w:r>
          </w:p>
          <w:p w14:paraId="4BFDE95C" w14:textId="1A6442C4" w:rsidR="004617ED" w:rsidRPr="00C603C3" w:rsidRDefault="00AB4666" w:rsidP="008B6B90">
            <w:pPr>
              <w:autoSpaceDE w:val="0"/>
              <w:autoSpaceDN w:val="0"/>
              <w:adjustRightInd w:val="0"/>
              <w:ind w:left="306" w:hanging="306"/>
              <w:rPr>
                <w:rFonts w:cstheme="minorHAnsi"/>
              </w:rPr>
            </w:pPr>
            <w:r w:rsidRPr="00AB4666">
              <w:rPr>
                <w:rFonts w:cstheme="minorHAnsi"/>
              </w:rPr>
              <w:t>conference games played for the season.</w:t>
            </w:r>
          </w:p>
        </w:tc>
        <w:tc>
          <w:tcPr>
            <w:tcW w:w="0" w:type="auto"/>
          </w:tcPr>
          <w:p w14:paraId="66EE4077" w14:textId="367B26C2" w:rsidR="004617ED" w:rsidRPr="00C603C3" w:rsidRDefault="00AB4666" w:rsidP="008C7B71">
            <w:pPr>
              <w:autoSpaceDE w:val="0"/>
              <w:autoSpaceDN w:val="0"/>
              <w:adjustRightInd w:val="0"/>
              <w:rPr>
                <w:rFonts w:cstheme="minorHAnsi"/>
              </w:rPr>
            </w:pPr>
            <w:r w:rsidRPr="00C603C3">
              <w:rPr>
                <w:rFonts w:cstheme="minorHAnsi"/>
              </w:rPr>
              <w:t>https://www.sports-reference.com/cbb/</w:t>
            </w:r>
          </w:p>
        </w:tc>
      </w:tr>
      <w:tr w:rsidR="004617ED" w:rsidRPr="00C603C3" w14:paraId="0D6C6397" w14:textId="77777777" w:rsidTr="00890B2D">
        <w:tc>
          <w:tcPr>
            <w:tcW w:w="0" w:type="auto"/>
          </w:tcPr>
          <w:p w14:paraId="02DFFB33" w14:textId="77777777" w:rsidR="008A2574" w:rsidRPr="008A2574" w:rsidRDefault="008A2574" w:rsidP="008A2574">
            <w:pPr>
              <w:autoSpaceDE w:val="0"/>
              <w:autoSpaceDN w:val="0"/>
              <w:adjustRightInd w:val="0"/>
              <w:rPr>
                <w:rFonts w:cstheme="minorHAnsi"/>
              </w:rPr>
            </w:pPr>
            <w:r w:rsidRPr="008A2574">
              <w:rPr>
                <w:rFonts w:cstheme="minorHAnsi"/>
              </w:rPr>
              <w:t>Made NCAA</w:t>
            </w:r>
          </w:p>
          <w:p w14:paraId="5C04E0C3" w14:textId="6C87DCD7" w:rsidR="004617ED" w:rsidRPr="00C603C3" w:rsidRDefault="008A2574" w:rsidP="008A2574">
            <w:pPr>
              <w:autoSpaceDE w:val="0"/>
              <w:autoSpaceDN w:val="0"/>
              <w:adjustRightInd w:val="0"/>
              <w:rPr>
                <w:rFonts w:cstheme="minorHAnsi"/>
              </w:rPr>
            </w:pPr>
            <w:r w:rsidRPr="008A2574">
              <w:rPr>
                <w:rFonts w:cstheme="minorHAnsi"/>
              </w:rPr>
              <w:t>tournament</w:t>
            </w:r>
          </w:p>
        </w:tc>
        <w:tc>
          <w:tcPr>
            <w:tcW w:w="0" w:type="auto"/>
          </w:tcPr>
          <w:p w14:paraId="422F76BA" w14:textId="42C01FF0" w:rsidR="004617ED" w:rsidRPr="00C603C3" w:rsidRDefault="008A2574" w:rsidP="008B6B90">
            <w:pPr>
              <w:autoSpaceDE w:val="0"/>
              <w:autoSpaceDN w:val="0"/>
              <w:adjustRightInd w:val="0"/>
              <w:ind w:left="306" w:hanging="306"/>
              <w:rPr>
                <w:rFonts w:cstheme="minorHAnsi"/>
              </w:rPr>
            </w:pPr>
            <w:r w:rsidRPr="008A2574">
              <w:rPr>
                <w:rFonts w:cstheme="minorHAnsi"/>
              </w:rPr>
              <w:t>Binary variable set to ‘‘1’’ if the team made that season’s NCAA</w:t>
            </w:r>
            <w:r w:rsidRPr="00C603C3">
              <w:rPr>
                <w:rFonts w:cstheme="minorHAnsi"/>
              </w:rPr>
              <w:t xml:space="preserve"> </w:t>
            </w:r>
            <w:r w:rsidRPr="008A2574">
              <w:rPr>
                <w:rFonts w:cstheme="minorHAnsi"/>
              </w:rPr>
              <w:t>Division 1 college basketball tournament.</w:t>
            </w:r>
          </w:p>
        </w:tc>
        <w:tc>
          <w:tcPr>
            <w:tcW w:w="0" w:type="auto"/>
          </w:tcPr>
          <w:p w14:paraId="31EA87E6" w14:textId="6A6D0C73" w:rsidR="004617ED" w:rsidRPr="00C603C3" w:rsidRDefault="008A2574" w:rsidP="008C7B71">
            <w:pPr>
              <w:autoSpaceDE w:val="0"/>
              <w:autoSpaceDN w:val="0"/>
              <w:adjustRightInd w:val="0"/>
              <w:rPr>
                <w:rFonts w:cstheme="minorHAnsi"/>
              </w:rPr>
            </w:pPr>
            <w:r w:rsidRPr="00C603C3">
              <w:rPr>
                <w:rFonts w:cstheme="minorHAnsi"/>
              </w:rPr>
              <w:t>https://www.sports-reference.com/cbb/</w:t>
            </w:r>
          </w:p>
        </w:tc>
      </w:tr>
      <w:tr w:rsidR="008A2574" w:rsidRPr="00C603C3" w14:paraId="770C7957" w14:textId="77777777" w:rsidTr="00890B2D">
        <w:tc>
          <w:tcPr>
            <w:tcW w:w="0" w:type="auto"/>
          </w:tcPr>
          <w:p w14:paraId="25E092F3" w14:textId="7AC65D85" w:rsidR="008A2574" w:rsidRPr="00C603C3" w:rsidRDefault="00C603C3" w:rsidP="00C603C3">
            <w:pPr>
              <w:autoSpaceDE w:val="0"/>
              <w:autoSpaceDN w:val="0"/>
              <w:adjustRightInd w:val="0"/>
              <w:rPr>
                <w:rFonts w:cstheme="minorHAnsi"/>
              </w:rPr>
            </w:pPr>
            <w:r w:rsidRPr="00C603C3">
              <w:rPr>
                <w:rFonts w:cstheme="minorHAnsi"/>
              </w:rPr>
              <w:t xml:space="preserve">Tournament wins </w:t>
            </w:r>
          </w:p>
        </w:tc>
        <w:tc>
          <w:tcPr>
            <w:tcW w:w="0" w:type="auto"/>
          </w:tcPr>
          <w:p w14:paraId="33724128" w14:textId="072952F5" w:rsidR="008A2574" w:rsidRPr="00C603C3" w:rsidRDefault="00C603C3" w:rsidP="008B6B90">
            <w:pPr>
              <w:autoSpaceDE w:val="0"/>
              <w:autoSpaceDN w:val="0"/>
              <w:adjustRightInd w:val="0"/>
              <w:ind w:left="306" w:hanging="306"/>
              <w:rPr>
                <w:rFonts w:cstheme="minorHAnsi"/>
              </w:rPr>
            </w:pPr>
            <w:r w:rsidRPr="00C603C3">
              <w:rPr>
                <w:rFonts w:cstheme="minorHAnsi"/>
              </w:rPr>
              <w:t>Count variable indicating the number of games won during the</w:t>
            </w:r>
            <w:r w:rsidRPr="00C603C3">
              <w:rPr>
                <w:rFonts w:cstheme="minorHAnsi"/>
              </w:rPr>
              <w:t xml:space="preserve"> </w:t>
            </w:r>
            <w:r w:rsidRPr="00C603C3">
              <w:rPr>
                <w:rFonts w:cstheme="minorHAnsi"/>
              </w:rPr>
              <w:t>season’s NCAA Division 1 college basketball tournament.</w:t>
            </w:r>
          </w:p>
        </w:tc>
        <w:tc>
          <w:tcPr>
            <w:tcW w:w="0" w:type="auto"/>
          </w:tcPr>
          <w:p w14:paraId="413A5CF2" w14:textId="101D4F93" w:rsidR="008A2574" w:rsidRPr="00C603C3" w:rsidRDefault="00C603C3" w:rsidP="008C7B71">
            <w:pPr>
              <w:autoSpaceDE w:val="0"/>
              <w:autoSpaceDN w:val="0"/>
              <w:adjustRightInd w:val="0"/>
              <w:rPr>
                <w:rFonts w:cstheme="minorHAnsi"/>
              </w:rPr>
            </w:pPr>
            <w:r w:rsidRPr="00C603C3">
              <w:rPr>
                <w:rFonts w:cstheme="minorHAnsi"/>
              </w:rPr>
              <w:t>https://www.sports-reference.com/cbb/</w:t>
            </w:r>
          </w:p>
        </w:tc>
      </w:tr>
    </w:tbl>
    <w:p w14:paraId="18DB270E" w14:textId="40B4E020" w:rsidR="001273BB" w:rsidRPr="006144A0" w:rsidRDefault="00C603C3" w:rsidP="00C603C3">
      <w:r>
        <w:rPr>
          <w:rFonts w:ascii="AdvGillSans-Italic" w:hAnsi="AdvGillSans-Italic" w:cs="AdvGillSans-Italic"/>
          <w:i/>
          <w:iCs/>
        </w:rPr>
        <w:t>Note</w:t>
      </w:r>
      <w:r>
        <w:t xml:space="preserve">: </w:t>
      </w:r>
      <w:r>
        <w:rPr>
          <w:rFonts w:ascii="AdvGillSans-Italic" w:hAnsi="AdvGillSans-Italic" w:cs="AdvGillSans-Italic"/>
          <w:i/>
          <w:iCs/>
        </w:rPr>
        <w:t>NCAA</w:t>
      </w:r>
      <w:r>
        <w:t xml:space="preserve">: National Collegiate Athletic Association; </w:t>
      </w:r>
      <w:r>
        <w:rPr>
          <w:rFonts w:ascii="AdvGillSans-Italic" w:hAnsi="AdvGillSans-Italic" w:cs="AdvGillSans-Italic"/>
          <w:i/>
          <w:iCs/>
        </w:rPr>
        <w:t>NBA</w:t>
      </w:r>
      <w:r>
        <w:t>: National Basketball Association.</w:t>
      </w:r>
    </w:p>
    <w:p w14:paraId="53656B29" w14:textId="77777777" w:rsidR="006144A0" w:rsidRPr="006144A0" w:rsidRDefault="006144A0" w:rsidP="008B6B90">
      <w:pPr>
        <w:pStyle w:val="Heading1"/>
      </w:pPr>
      <w:bookmarkStart w:id="6" w:name="_i16"/>
      <w:bookmarkEnd w:id="6"/>
      <w:r w:rsidRPr="006144A0">
        <w:t>Analysis</w:t>
      </w:r>
    </w:p>
    <w:p w14:paraId="74CCD617" w14:textId="42AA7BAA" w:rsidR="006144A0" w:rsidRPr="006144A0" w:rsidRDefault="006144A0" w:rsidP="006144A0">
      <w:r w:rsidRPr="006144A0">
        <w:t>A Cox Proportional Hazards event history model (</w:t>
      </w:r>
      <w:r w:rsidRPr="00672F48">
        <w:t>Cox, 1972</w:t>
      </w:r>
      <w:r w:rsidRPr="006144A0">
        <w:t>) was used to examine antecedents of coach dismissals. In this study, a Cox model estimates the hazard rate </w:t>
      </w:r>
      <w:r w:rsidRPr="006144A0">
        <w:rPr>
          <w:i/>
          <w:iCs/>
        </w:rPr>
        <w:t>h(t)</w:t>
      </w:r>
      <w:r w:rsidRPr="006144A0">
        <w:t> which represents the probability that a coach is dismissed during or following a season—a distinct period (</w:t>
      </w:r>
      <w:proofErr w:type="gramStart"/>
      <w:r w:rsidRPr="006144A0">
        <w:t>i.e.</w:t>
      </w:r>
      <w:proofErr w:type="gramEnd"/>
      <w:r w:rsidRPr="006144A0">
        <w:t xml:space="preserve"> spell) in which the coach is at risk of being dismissed. A Cox model was chosen since it uses data to determine the underlying hazard function instead of assuming characteristics of the underlying hazard function (</w:t>
      </w:r>
      <w:r w:rsidRPr="00672F48">
        <w:t xml:space="preserve">Benner and </w:t>
      </w:r>
      <w:proofErr w:type="spellStart"/>
      <w:r w:rsidRPr="00672F48">
        <w:t>Tripsas</w:t>
      </w:r>
      <w:proofErr w:type="spellEnd"/>
      <w:r w:rsidRPr="00672F48">
        <w:t>, 2012</w:t>
      </w:r>
      <w:r w:rsidRPr="006144A0">
        <w:t>; </w:t>
      </w:r>
      <w:proofErr w:type="spellStart"/>
      <w:r w:rsidRPr="00672F48">
        <w:t>Blossfeld</w:t>
      </w:r>
      <w:proofErr w:type="spellEnd"/>
      <w:r w:rsidRPr="00672F48">
        <w:t xml:space="preserve"> et al., 2007</w:t>
      </w:r>
      <w:r w:rsidRPr="006144A0">
        <w:t>). Additionally, many variables change during a coach’s tenure, and thus need to assume different values over time for a single at-risk coach. By allowing for time-varying covariates, Cox models are ideally suited to handle fluctuations of variables over a coach’s tenure (</w:t>
      </w:r>
      <w:proofErr w:type="spellStart"/>
      <w:r w:rsidRPr="00672F48">
        <w:t>Blossfeld</w:t>
      </w:r>
      <w:proofErr w:type="spellEnd"/>
      <w:r w:rsidRPr="00672F48">
        <w:t xml:space="preserve"> et al., 2007</w:t>
      </w:r>
      <w:r w:rsidRPr="006144A0">
        <w:t>; </w:t>
      </w:r>
      <w:r w:rsidRPr="00672F48">
        <w:t>Box-Steffensmeier and Jones, 2004</w:t>
      </w:r>
      <w:r w:rsidRPr="006144A0">
        <w:t>). Furthermore, many coaching tenures end voluntarily or continue into the 2019–2020 season, which requires analysis methods that retain right-censored observations. Cox models effectively handle right-censored data, preventing biased parameter estimates (</w:t>
      </w:r>
      <w:r w:rsidRPr="00672F48">
        <w:t>Allison, 1984</w:t>
      </w:r>
      <w:r w:rsidRPr="006144A0">
        <w:t>; </w:t>
      </w:r>
      <w:r w:rsidRPr="00672F48">
        <w:t>Box-Steffensmeier and Jones, 2004</w:t>
      </w:r>
      <w:r w:rsidRPr="006144A0">
        <w:t>).</w:t>
      </w:r>
    </w:p>
    <w:p w14:paraId="713E1428" w14:textId="60D455AF" w:rsidR="006144A0" w:rsidRPr="006144A0" w:rsidRDefault="006144A0" w:rsidP="006144A0">
      <w:r w:rsidRPr="006144A0">
        <w:t>The smoothed baseline hazard function for all coaches in the sample is shown in </w:t>
      </w:r>
      <w:r w:rsidRPr="00672F48">
        <w:t>Figure 1</w:t>
      </w:r>
      <w:r w:rsidRPr="006144A0">
        <w:t>. The hazard function is shown for 24 years of coaching tenure, in which a coach is at risk of being dismissed during each year. As shown in </w:t>
      </w:r>
      <w:r w:rsidRPr="00672F48">
        <w:t>Figure 1</w:t>
      </w:r>
      <w:r w:rsidRPr="006144A0">
        <w:t>, approximately 1.6% of coaches (hazard rate of approximately 0.016) are dismissed prior to the start of their second season. Of the coaches who remained in position for their second season, approximately 2% of the coaches are dismissed prior to the start of their third season. Indeed, </w:t>
      </w:r>
      <w:r w:rsidRPr="00672F48">
        <w:t>Figure 1</w:t>
      </w:r>
      <w:r w:rsidRPr="006144A0">
        <w:t> shows that coaches are most likely to be dismissed after their ninth season, in which about 7% of remaining coaches are dismissed. Overall, the results suggest that if 100 NCAA Division 1 coaching tenures from the sample were randomly selected, about 38 of the coaches would be dismissed prior to their tenth season.</w:t>
      </w:r>
    </w:p>
    <w:p w14:paraId="759840A2" w14:textId="50364C14" w:rsidR="006144A0" w:rsidRPr="006144A0" w:rsidRDefault="00DF32C8" w:rsidP="00DF32C8">
      <w:pPr>
        <w:pStyle w:val="NoSpacing"/>
      </w:pPr>
      <w:r w:rsidRPr="00DF32C8">
        <w:rPr>
          <w:noProof/>
        </w:rPr>
        <w:drawing>
          <wp:inline distT="0" distB="0" distL="0" distR="0" wp14:anchorId="39220B63" wp14:editId="14E628C5">
            <wp:extent cx="3657600" cy="2615184"/>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6CF47BAA" w14:textId="77777777" w:rsidR="006144A0" w:rsidRDefault="006144A0" w:rsidP="00DF32C8">
      <w:pPr>
        <w:pStyle w:val="NoSpacing"/>
      </w:pPr>
      <w:r w:rsidRPr="006144A0">
        <w:rPr>
          <w:b/>
          <w:bCs/>
        </w:rPr>
        <w:t>Figure 1.</w:t>
      </w:r>
      <w:r w:rsidRPr="006144A0">
        <w:t> Estimated baseline hazard function—all coaches.</w:t>
      </w:r>
    </w:p>
    <w:p w14:paraId="7A39097D" w14:textId="77777777" w:rsidR="006144A0" w:rsidRPr="006144A0" w:rsidRDefault="006144A0" w:rsidP="00DF32C8">
      <w:pPr>
        <w:pStyle w:val="Heading1"/>
      </w:pPr>
      <w:bookmarkStart w:id="7" w:name="_i18"/>
      <w:bookmarkEnd w:id="7"/>
      <w:r w:rsidRPr="006144A0">
        <w:t>Results</w:t>
      </w:r>
    </w:p>
    <w:p w14:paraId="792DED6D" w14:textId="490BE0AB" w:rsidR="006144A0" w:rsidRPr="006144A0" w:rsidRDefault="006144A0" w:rsidP="006144A0">
      <w:r w:rsidRPr="00672F48">
        <w:t>Table 2</w:t>
      </w:r>
      <w:r w:rsidRPr="006144A0">
        <w:t> shows descriptive statistics and correlations. Results from the event history analysis are provided in a stepwise fashion in </w:t>
      </w:r>
      <w:r w:rsidRPr="00672F48">
        <w:t>Table 3</w:t>
      </w:r>
      <w:r w:rsidRPr="006144A0">
        <w:t xml:space="preserve">. Exponentiated hazard coefficients are reported, with a positive (negative) coefficient indicating that the likelihood of a coach being dismissed increases (decreases) as the associated variable increases. The variable’s numerical effect on coach dismissal is determined by taking the exponential function of the coefficient (i.e. numerical effect = </w:t>
      </w:r>
      <w:proofErr w:type="gramStart"/>
      <w:r w:rsidRPr="006144A0">
        <w:t>exp(</w:t>
      </w:r>
      <w:proofErr w:type="gramEnd"/>
      <w:r w:rsidRPr="006144A0">
        <w:t>exponentiated hazard coefficient)). For example, model 7 of </w:t>
      </w:r>
      <w:r w:rsidRPr="00672F48">
        <w:t>Table 3</w:t>
      </w:r>
      <w:r w:rsidRPr="006144A0">
        <w:t> (</w:t>
      </w:r>
      <w:proofErr w:type="gramStart"/>
      <w:r w:rsidRPr="006144A0">
        <w:t>i.e.</w:t>
      </w:r>
      <w:proofErr w:type="gramEnd"/>
      <w:r w:rsidRPr="006144A0">
        <w:t xml:space="preserve"> the full model) reports a significant hazard coefficient for the independent variable, </w:t>
      </w:r>
      <w:r w:rsidRPr="006144A0">
        <w:rPr>
          <w:i/>
          <w:iCs/>
        </w:rPr>
        <w:t>Private University</w:t>
      </w:r>
      <w:r w:rsidRPr="006144A0">
        <w:t xml:space="preserve">, of −0.533. Since </w:t>
      </w:r>
      <w:proofErr w:type="gramStart"/>
      <w:r w:rsidRPr="006144A0">
        <w:t>exp(</w:t>
      </w:r>
      <w:proofErr w:type="gramEnd"/>
      <w:r w:rsidRPr="006144A0">
        <w:t>−0.533) equals 0.575, the results suggest that, when other factors are held equal, the likelihood of a coach being dismissed decreases by about 42.5% (i.e. 1 − 0.575 = 0.425) when the team is associated with a privately owned university. Robust standard errors (clustered by coach) are reported to correct for potential heteroscedasticity.</w:t>
      </w:r>
    </w:p>
    <w:p w14:paraId="7B480F53" w14:textId="77777777" w:rsidR="00490CEF" w:rsidRDefault="00490CEF" w:rsidP="006144A0">
      <w:pPr>
        <w:rPr>
          <w:b/>
          <w:bCs/>
        </w:rPr>
        <w:sectPr w:rsidR="00490CEF" w:rsidSect="00013176">
          <w:pgSz w:w="12240" w:h="15840"/>
          <w:pgMar w:top="1080" w:right="1080" w:bottom="1080" w:left="1080" w:header="720" w:footer="720" w:gutter="0"/>
          <w:cols w:space="720"/>
          <w:docGrid w:linePitch="360"/>
        </w:sectPr>
      </w:pPr>
    </w:p>
    <w:p w14:paraId="0CF4EA98" w14:textId="77777777" w:rsidR="006144A0" w:rsidRPr="006144A0" w:rsidRDefault="006144A0" w:rsidP="00DF6A2D">
      <w:pPr>
        <w:spacing w:after="0"/>
      </w:pPr>
      <w:r w:rsidRPr="006144A0">
        <w:rPr>
          <w:b/>
          <w:bCs/>
        </w:rPr>
        <w:t>Table 2.</w:t>
      </w:r>
      <w:r w:rsidRPr="006144A0">
        <w:t> Descriptive statistics and correlations.</w:t>
      </w:r>
    </w:p>
    <w:tbl>
      <w:tblPr>
        <w:tblStyle w:val="TableGrid"/>
        <w:tblW w:w="0" w:type="auto"/>
        <w:tblLook w:val="04A0" w:firstRow="1" w:lastRow="0" w:firstColumn="1" w:lastColumn="0" w:noHBand="0" w:noVBand="1"/>
      </w:tblPr>
      <w:tblGrid>
        <w:gridCol w:w="1995"/>
        <w:gridCol w:w="775"/>
        <w:gridCol w:w="673"/>
        <w:gridCol w:w="572"/>
        <w:gridCol w:w="583"/>
        <w:gridCol w:w="795"/>
        <w:gridCol w:w="795"/>
        <w:gridCol w:w="795"/>
        <w:gridCol w:w="696"/>
        <w:gridCol w:w="795"/>
        <w:gridCol w:w="795"/>
        <w:gridCol w:w="795"/>
        <w:gridCol w:w="770"/>
        <w:gridCol w:w="770"/>
        <w:gridCol w:w="795"/>
        <w:gridCol w:w="795"/>
        <w:gridCol w:w="795"/>
        <w:gridCol w:w="795"/>
        <w:gridCol w:w="795"/>
        <w:gridCol w:w="795"/>
        <w:gridCol w:w="795"/>
        <w:gridCol w:w="795"/>
        <w:gridCol w:w="770"/>
        <w:gridCol w:w="696"/>
      </w:tblGrid>
      <w:tr w:rsidR="00DF6A2D" w:rsidRPr="00DF6A2D" w14:paraId="35C4937B" w14:textId="77777777" w:rsidTr="00DF6A2D">
        <w:tc>
          <w:tcPr>
            <w:tcW w:w="0" w:type="auto"/>
          </w:tcPr>
          <w:p w14:paraId="5C1B903D" w14:textId="77777777" w:rsidR="00490CEF" w:rsidRPr="00DF6A2D" w:rsidRDefault="00490CEF" w:rsidP="00DF6A2D">
            <w:pPr>
              <w:pStyle w:val="NoSpacing"/>
              <w:rPr>
                <w:b/>
                <w:bCs/>
                <w:sz w:val="20"/>
                <w:szCs w:val="20"/>
              </w:rPr>
            </w:pPr>
          </w:p>
        </w:tc>
        <w:tc>
          <w:tcPr>
            <w:tcW w:w="0" w:type="auto"/>
          </w:tcPr>
          <w:p w14:paraId="28795B6A" w14:textId="2E135C43" w:rsidR="00490CEF" w:rsidRPr="00DF6A2D" w:rsidRDefault="00490CEF" w:rsidP="00DF6A2D">
            <w:pPr>
              <w:pStyle w:val="NoSpacing"/>
              <w:rPr>
                <w:b/>
                <w:bCs/>
                <w:sz w:val="20"/>
                <w:szCs w:val="20"/>
              </w:rPr>
            </w:pPr>
            <w:r w:rsidRPr="00DF6A2D">
              <w:rPr>
                <w:b/>
                <w:bCs/>
                <w:sz w:val="20"/>
                <w:szCs w:val="20"/>
              </w:rPr>
              <w:t>Mean</w:t>
            </w:r>
          </w:p>
        </w:tc>
        <w:tc>
          <w:tcPr>
            <w:tcW w:w="0" w:type="auto"/>
          </w:tcPr>
          <w:p w14:paraId="52B4B086" w14:textId="71D7E359" w:rsidR="00490CEF" w:rsidRPr="00DF6A2D" w:rsidRDefault="00490CEF" w:rsidP="00DF6A2D">
            <w:pPr>
              <w:pStyle w:val="NoSpacing"/>
              <w:rPr>
                <w:b/>
                <w:bCs/>
                <w:sz w:val="20"/>
                <w:szCs w:val="20"/>
              </w:rPr>
            </w:pPr>
            <w:r w:rsidRPr="00DF6A2D">
              <w:rPr>
                <w:b/>
                <w:bCs/>
                <w:sz w:val="20"/>
                <w:szCs w:val="20"/>
              </w:rPr>
              <w:t>SD</w:t>
            </w:r>
          </w:p>
        </w:tc>
        <w:tc>
          <w:tcPr>
            <w:tcW w:w="0" w:type="auto"/>
          </w:tcPr>
          <w:p w14:paraId="78E4D54D" w14:textId="7B55B378" w:rsidR="00490CEF" w:rsidRPr="00DF6A2D" w:rsidRDefault="00490CEF" w:rsidP="00DF6A2D">
            <w:pPr>
              <w:pStyle w:val="NoSpacing"/>
              <w:rPr>
                <w:b/>
                <w:bCs/>
                <w:sz w:val="20"/>
                <w:szCs w:val="20"/>
              </w:rPr>
            </w:pPr>
            <w:r w:rsidRPr="00DF6A2D">
              <w:rPr>
                <w:b/>
                <w:bCs/>
                <w:sz w:val="20"/>
                <w:szCs w:val="20"/>
              </w:rPr>
              <w:t>Min</w:t>
            </w:r>
          </w:p>
        </w:tc>
        <w:tc>
          <w:tcPr>
            <w:tcW w:w="0" w:type="auto"/>
          </w:tcPr>
          <w:p w14:paraId="7DD7D5E4" w14:textId="2D112536" w:rsidR="00490CEF" w:rsidRPr="00DF6A2D" w:rsidRDefault="00490CEF" w:rsidP="00DF6A2D">
            <w:pPr>
              <w:pStyle w:val="NoSpacing"/>
              <w:rPr>
                <w:b/>
                <w:bCs/>
                <w:sz w:val="20"/>
                <w:szCs w:val="20"/>
              </w:rPr>
            </w:pPr>
            <w:r w:rsidRPr="00DF6A2D">
              <w:rPr>
                <w:b/>
                <w:bCs/>
                <w:sz w:val="20"/>
                <w:szCs w:val="20"/>
              </w:rPr>
              <w:t>Max</w:t>
            </w:r>
          </w:p>
        </w:tc>
        <w:tc>
          <w:tcPr>
            <w:tcW w:w="0" w:type="auto"/>
          </w:tcPr>
          <w:p w14:paraId="5C3593D2" w14:textId="05CD4623" w:rsidR="00490CEF" w:rsidRPr="00DF6A2D" w:rsidRDefault="00490CEF" w:rsidP="00DF6A2D">
            <w:pPr>
              <w:pStyle w:val="NoSpacing"/>
              <w:rPr>
                <w:b/>
                <w:bCs/>
                <w:sz w:val="20"/>
                <w:szCs w:val="20"/>
              </w:rPr>
            </w:pPr>
            <w:r w:rsidRPr="00DF6A2D">
              <w:rPr>
                <w:b/>
                <w:bCs/>
                <w:sz w:val="20"/>
                <w:szCs w:val="20"/>
              </w:rPr>
              <w:t>1</w:t>
            </w:r>
          </w:p>
        </w:tc>
        <w:tc>
          <w:tcPr>
            <w:tcW w:w="0" w:type="auto"/>
          </w:tcPr>
          <w:p w14:paraId="0E74D335" w14:textId="2F086510" w:rsidR="00490CEF" w:rsidRPr="00DF6A2D" w:rsidRDefault="00490CEF" w:rsidP="00DF6A2D">
            <w:pPr>
              <w:pStyle w:val="NoSpacing"/>
              <w:rPr>
                <w:b/>
                <w:bCs/>
                <w:sz w:val="20"/>
                <w:szCs w:val="20"/>
              </w:rPr>
            </w:pPr>
            <w:r w:rsidRPr="00DF6A2D">
              <w:rPr>
                <w:b/>
                <w:bCs/>
                <w:sz w:val="20"/>
                <w:szCs w:val="20"/>
              </w:rPr>
              <w:t>2</w:t>
            </w:r>
          </w:p>
        </w:tc>
        <w:tc>
          <w:tcPr>
            <w:tcW w:w="0" w:type="auto"/>
          </w:tcPr>
          <w:p w14:paraId="32D74BA8" w14:textId="7019E110" w:rsidR="00490CEF" w:rsidRPr="00DF6A2D" w:rsidRDefault="00490CEF" w:rsidP="00DF6A2D">
            <w:pPr>
              <w:pStyle w:val="NoSpacing"/>
              <w:rPr>
                <w:b/>
                <w:bCs/>
                <w:sz w:val="20"/>
                <w:szCs w:val="20"/>
              </w:rPr>
            </w:pPr>
            <w:r w:rsidRPr="00DF6A2D">
              <w:rPr>
                <w:b/>
                <w:bCs/>
                <w:sz w:val="20"/>
                <w:szCs w:val="20"/>
              </w:rPr>
              <w:t>3</w:t>
            </w:r>
          </w:p>
        </w:tc>
        <w:tc>
          <w:tcPr>
            <w:tcW w:w="0" w:type="auto"/>
          </w:tcPr>
          <w:p w14:paraId="087E36BD" w14:textId="2BDC233E" w:rsidR="00490CEF" w:rsidRPr="00DF6A2D" w:rsidRDefault="00490CEF" w:rsidP="00DF6A2D">
            <w:pPr>
              <w:pStyle w:val="NoSpacing"/>
              <w:rPr>
                <w:b/>
                <w:bCs/>
                <w:sz w:val="20"/>
                <w:szCs w:val="20"/>
              </w:rPr>
            </w:pPr>
            <w:r w:rsidRPr="00DF6A2D">
              <w:rPr>
                <w:b/>
                <w:bCs/>
                <w:sz w:val="20"/>
                <w:szCs w:val="20"/>
              </w:rPr>
              <w:t>4</w:t>
            </w:r>
          </w:p>
        </w:tc>
        <w:tc>
          <w:tcPr>
            <w:tcW w:w="0" w:type="auto"/>
          </w:tcPr>
          <w:p w14:paraId="6D06A7CE" w14:textId="3740C1E3" w:rsidR="00490CEF" w:rsidRPr="00DF6A2D" w:rsidRDefault="00490CEF" w:rsidP="00DF6A2D">
            <w:pPr>
              <w:pStyle w:val="NoSpacing"/>
              <w:rPr>
                <w:b/>
                <w:bCs/>
                <w:sz w:val="20"/>
                <w:szCs w:val="20"/>
              </w:rPr>
            </w:pPr>
            <w:r w:rsidRPr="00DF6A2D">
              <w:rPr>
                <w:b/>
                <w:bCs/>
                <w:sz w:val="20"/>
                <w:szCs w:val="20"/>
              </w:rPr>
              <w:t>5</w:t>
            </w:r>
          </w:p>
        </w:tc>
        <w:tc>
          <w:tcPr>
            <w:tcW w:w="0" w:type="auto"/>
          </w:tcPr>
          <w:p w14:paraId="33607E0D" w14:textId="4A5AFC6D" w:rsidR="00490CEF" w:rsidRPr="00DF6A2D" w:rsidRDefault="00490CEF" w:rsidP="00DF6A2D">
            <w:pPr>
              <w:pStyle w:val="NoSpacing"/>
              <w:rPr>
                <w:b/>
                <w:bCs/>
                <w:sz w:val="20"/>
                <w:szCs w:val="20"/>
              </w:rPr>
            </w:pPr>
            <w:r w:rsidRPr="00DF6A2D">
              <w:rPr>
                <w:b/>
                <w:bCs/>
                <w:sz w:val="20"/>
                <w:szCs w:val="20"/>
              </w:rPr>
              <w:t>6</w:t>
            </w:r>
          </w:p>
        </w:tc>
        <w:tc>
          <w:tcPr>
            <w:tcW w:w="0" w:type="auto"/>
          </w:tcPr>
          <w:p w14:paraId="17D08813" w14:textId="1F92CF12" w:rsidR="00490CEF" w:rsidRPr="00DF6A2D" w:rsidRDefault="00490CEF" w:rsidP="00DF6A2D">
            <w:pPr>
              <w:pStyle w:val="NoSpacing"/>
              <w:rPr>
                <w:b/>
                <w:bCs/>
                <w:sz w:val="20"/>
                <w:szCs w:val="20"/>
              </w:rPr>
            </w:pPr>
            <w:r w:rsidRPr="00DF6A2D">
              <w:rPr>
                <w:b/>
                <w:bCs/>
                <w:sz w:val="20"/>
                <w:szCs w:val="20"/>
              </w:rPr>
              <w:t>7</w:t>
            </w:r>
          </w:p>
        </w:tc>
        <w:tc>
          <w:tcPr>
            <w:tcW w:w="0" w:type="auto"/>
          </w:tcPr>
          <w:p w14:paraId="36010217" w14:textId="5E1EA779" w:rsidR="00490CEF" w:rsidRPr="00DF6A2D" w:rsidRDefault="00490CEF" w:rsidP="00DF6A2D">
            <w:pPr>
              <w:pStyle w:val="NoSpacing"/>
              <w:rPr>
                <w:b/>
                <w:bCs/>
                <w:sz w:val="20"/>
                <w:szCs w:val="20"/>
              </w:rPr>
            </w:pPr>
            <w:r w:rsidRPr="00DF6A2D">
              <w:rPr>
                <w:b/>
                <w:bCs/>
                <w:sz w:val="20"/>
                <w:szCs w:val="20"/>
              </w:rPr>
              <w:t>8</w:t>
            </w:r>
          </w:p>
        </w:tc>
        <w:tc>
          <w:tcPr>
            <w:tcW w:w="0" w:type="auto"/>
          </w:tcPr>
          <w:p w14:paraId="5FBA073E" w14:textId="590BC72A" w:rsidR="00490CEF" w:rsidRPr="00DF6A2D" w:rsidRDefault="00490CEF" w:rsidP="00DF6A2D">
            <w:pPr>
              <w:pStyle w:val="NoSpacing"/>
              <w:rPr>
                <w:b/>
                <w:bCs/>
                <w:sz w:val="20"/>
                <w:szCs w:val="20"/>
              </w:rPr>
            </w:pPr>
            <w:r w:rsidRPr="00DF6A2D">
              <w:rPr>
                <w:b/>
                <w:bCs/>
                <w:sz w:val="20"/>
                <w:szCs w:val="20"/>
              </w:rPr>
              <w:t>9</w:t>
            </w:r>
          </w:p>
        </w:tc>
        <w:tc>
          <w:tcPr>
            <w:tcW w:w="0" w:type="auto"/>
          </w:tcPr>
          <w:p w14:paraId="7EB4BC06" w14:textId="5F25CFD0" w:rsidR="00490CEF" w:rsidRPr="00DF6A2D" w:rsidRDefault="00490CEF" w:rsidP="00DF6A2D">
            <w:pPr>
              <w:pStyle w:val="NoSpacing"/>
              <w:rPr>
                <w:b/>
                <w:bCs/>
                <w:sz w:val="20"/>
                <w:szCs w:val="20"/>
              </w:rPr>
            </w:pPr>
            <w:r w:rsidRPr="00DF6A2D">
              <w:rPr>
                <w:b/>
                <w:bCs/>
                <w:sz w:val="20"/>
                <w:szCs w:val="20"/>
              </w:rPr>
              <w:t>10</w:t>
            </w:r>
          </w:p>
        </w:tc>
        <w:tc>
          <w:tcPr>
            <w:tcW w:w="0" w:type="auto"/>
          </w:tcPr>
          <w:p w14:paraId="769E1E99" w14:textId="11DEFEA7" w:rsidR="00490CEF" w:rsidRPr="00DF6A2D" w:rsidRDefault="00490CEF" w:rsidP="00DF6A2D">
            <w:pPr>
              <w:pStyle w:val="NoSpacing"/>
              <w:rPr>
                <w:b/>
                <w:bCs/>
                <w:sz w:val="20"/>
                <w:szCs w:val="20"/>
              </w:rPr>
            </w:pPr>
            <w:r w:rsidRPr="00DF6A2D">
              <w:rPr>
                <w:b/>
                <w:bCs/>
                <w:sz w:val="20"/>
                <w:szCs w:val="20"/>
              </w:rPr>
              <w:t>11</w:t>
            </w:r>
          </w:p>
        </w:tc>
        <w:tc>
          <w:tcPr>
            <w:tcW w:w="0" w:type="auto"/>
          </w:tcPr>
          <w:p w14:paraId="2B08CD7E" w14:textId="407C54E5" w:rsidR="00490CEF" w:rsidRPr="00DF6A2D" w:rsidRDefault="00490CEF" w:rsidP="00DF6A2D">
            <w:pPr>
              <w:pStyle w:val="NoSpacing"/>
              <w:rPr>
                <w:b/>
                <w:bCs/>
                <w:sz w:val="20"/>
                <w:szCs w:val="20"/>
              </w:rPr>
            </w:pPr>
            <w:r w:rsidRPr="00DF6A2D">
              <w:rPr>
                <w:b/>
                <w:bCs/>
                <w:sz w:val="20"/>
                <w:szCs w:val="20"/>
              </w:rPr>
              <w:t>12</w:t>
            </w:r>
          </w:p>
        </w:tc>
        <w:tc>
          <w:tcPr>
            <w:tcW w:w="0" w:type="auto"/>
          </w:tcPr>
          <w:p w14:paraId="0BC022A2" w14:textId="10CA9363" w:rsidR="00490CEF" w:rsidRPr="00DF6A2D" w:rsidRDefault="00490CEF" w:rsidP="00DF6A2D">
            <w:pPr>
              <w:pStyle w:val="NoSpacing"/>
              <w:rPr>
                <w:b/>
                <w:bCs/>
                <w:sz w:val="20"/>
                <w:szCs w:val="20"/>
              </w:rPr>
            </w:pPr>
            <w:r w:rsidRPr="00DF6A2D">
              <w:rPr>
                <w:b/>
                <w:bCs/>
                <w:sz w:val="20"/>
                <w:szCs w:val="20"/>
              </w:rPr>
              <w:t>13</w:t>
            </w:r>
          </w:p>
        </w:tc>
        <w:tc>
          <w:tcPr>
            <w:tcW w:w="0" w:type="auto"/>
          </w:tcPr>
          <w:p w14:paraId="64FD5BBE" w14:textId="75876B08" w:rsidR="00490CEF" w:rsidRPr="00DF6A2D" w:rsidRDefault="00490CEF" w:rsidP="00DF6A2D">
            <w:pPr>
              <w:pStyle w:val="NoSpacing"/>
              <w:rPr>
                <w:b/>
                <w:bCs/>
                <w:sz w:val="20"/>
                <w:szCs w:val="20"/>
              </w:rPr>
            </w:pPr>
            <w:r w:rsidRPr="00DF6A2D">
              <w:rPr>
                <w:b/>
                <w:bCs/>
                <w:sz w:val="20"/>
                <w:szCs w:val="20"/>
              </w:rPr>
              <w:t>14</w:t>
            </w:r>
          </w:p>
        </w:tc>
        <w:tc>
          <w:tcPr>
            <w:tcW w:w="0" w:type="auto"/>
          </w:tcPr>
          <w:p w14:paraId="66B57F62" w14:textId="1CDEFECE" w:rsidR="00490CEF" w:rsidRPr="00DF6A2D" w:rsidRDefault="00490CEF" w:rsidP="00DF6A2D">
            <w:pPr>
              <w:pStyle w:val="NoSpacing"/>
              <w:rPr>
                <w:b/>
                <w:bCs/>
                <w:sz w:val="20"/>
                <w:szCs w:val="20"/>
              </w:rPr>
            </w:pPr>
            <w:r w:rsidRPr="00DF6A2D">
              <w:rPr>
                <w:b/>
                <w:bCs/>
                <w:sz w:val="20"/>
                <w:szCs w:val="20"/>
              </w:rPr>
              <w:t>15</w:t>
            </w:r>
          </w:p>
        </w:tc>
        <w:tc>
          <w:tcPr>
            <w:tcW w:w="0" w:type="auto"/>
          </w:tcPr>
          <w:p w14:paraId="5BE4BA00" w14:textId="44A97364" w:rsidR="00490CEF" w:rsidRPr="00DF6A2D" w:rsidRDefault="00490CEF" w:rsidP="00DF6A2D">
            <w:pPr>
              <w:pStyle w:val="NoSpacing"/>
              <w:rPr>
                <w:b/>
                <w:bCs/>
                <w:sz w:val="20"/>
                <w:szCs w:val="20"/>
              </w:rPr>
            </w:pPr>
            <w:r w:rsidRPr="00DF6A2D">
              <w:rPr>
                <w:b/>
                <w:bCs/>
                <w:sz w:val="20"/>
                <w:szCs w:val="20"/>
              </w:rPr>
              <w:t>16</w:t>
            </w:r>
          </w:p>
        </w:tc>
        <w:tc>
          <w:tcPr>
            <w:tcW w:w="0" w:type="auto"/>
          </w:tcPr>
          <w:p w14:paraId="70C08550" w14:textId="67DD55A9" w:rsidR="00490CEF" w:rsidRPr="00DF6A2D" w:rsidRDefault="00490CEF" w:rsidP="00DF6A2D">
            <w:pPr>
              <w:pStyle w:val="NoSpacing"/>
              <w:rPr>
                <w:b/>
                <w:bCs/>
                <w:sz w:val="20"/>
                <w:szCs w:val="20"/>
              </w:rPr>
            </w:pPr>
            <w:r w:rsidRPr="00DF6A2D">
              <w:rPr>
                <w:b/>
                <w:bCs/>
                <w:sz w:val="20"/>
                <w:szCs w:val="20"/>
              </w:rPr>
              <w:t>17</w:t>
            </w:r>
          </w:p>
        </w:tc>
        <w:tc>
          <w:tcPr>
            <w:tcW w:w="0" w:type="auto"/>
          </w:tcPr>
          <w:p w14:paraId="24C73CCF" w14:textId="0341B8EE" w:rsidR="00490CEF" w:rsidRPr="00DF6A2D" w:rsidRDefault="00490CEF" w:rsidP="00DF6A2D">
            <w:pPr>
              <w:pStyle w:val="NoSpacing"/>
              <w:rPr>
                <w:b/>
                <w:bCs/>
                <w:sz w:val="20"/>
                <w:szCs w:val="20"/>
              </w:rPr>
            </w:pPr>
            <w:r w:rsidRPr="00DF6A2D">
              <w:rPr>
                <w:b/>
                <w:bCs/>
                <w:sz w:val="20"/>
                <w:szCs w:val="20"/>
              </w:rPr>
              <w:t>18</w:t>
            </w:r>
          </w:p>
        </w:tc>
        <w:tc>
          <w:tcPr>
            <w:tcW w:w="0" w:type="auto"/>
          </w:tcPr>
          <w:p w14:paraId="0A7496A9" w14:textId="0286C672" w:rsidR="00490CEF" w:rsidRPr="00DF6A2D" w:rsidRDefault="00490CEF" w:rsidP="00DF6A2D">
            <w:pPr>
              <w:pStyle w:val="NoSpacing"/>
              <w:rPr>
                <w:b/>
                <w:bCs/>
                <w:sz w:val="20"/>
                <w:szCs w:val="20"/>
              </w:rPr>
            </w:pPr>
            <w:r w:rsidRPr="00DF6A2D">
              <w:rPr>
                <w:b/>
                <w:bCs/>
                <w:sz w:val="20"/>
                <w:szCs w:val="20"/>
              </w:rPr>
              <w:t>19</w:t>
            </w:r>
          </w:p>
        </w:tc>
      </w:tr>
      <w:tr w:rsidR="00DF6A2D" w:rsidRPr="00DF6A2D" w14:paraId="29782EF9" w14:textId="77777777" w:rsidTr="00DF6A2D">
        <w:tc>
          <w:tcPr>
            <w:tcW w:w="0" w:type="auto"/>
          </w:tcPr>
          <w:p w14:paraId="515AB777" w14:textId="315D5739" w:rsidR="00490CEF" w:rsidRPr="00DF6A2D" w:rsidRDefault="00DE670C" w:rsidP="00DF6A2D">
            <w:pPr>
              <w:pStyle w:val="NoSpacing"/>
              <w:rPr>
                <w:sz w:val="20"/>
                <w:szCs w:val="20"/>
              </w:rPr>
            </w:pPr>
            <w:r w:rsidRPr="00DF6A2D">
              <w:rPr>
                <w:sz w:val="20"/>
                <w:szCs w:val="20"/>
              </w:rPr>
              <w:t>1. Involuntary</w:t>
            </w:r>
            <w:r w:rsidR="003C17EE" w:rsidRPr="00DF6A2D">
              <w:rPr>
                <w:sz w:val="20"/>
                <w:szCs w:val="20"/>
              </w:rPr>
              <w:t xml:space="preserve"> </w:t>
            </w:r>
            <w:r w:rsidRPr="00DF6A2D">
              <w:rPr>
                <w:sz w:val="20"/>
                <w:szCs w:val="20"/>
              </w:rPr>
              <w:t>dismissal</w:t>
            </w:r>
          </w:p>
        </w:tc>
        <w:tc>
          <w:tcPr>
            <w:tcW w:w="0" w:type="auto"/>
          </w:tcPr>
          <w:p w14:paraId="203D2BA5" w14:textId="1440E7F5" w:rsidR="00490CEF" w:rsidRPr="00DF6A2D" w:rsidRDefault="008D2F65" w:rsidP="00DF6A2D">
            <w:pPr>
              <w:pStyle w:val="NoSpacing"/>
              <w:rPr>
                <w:sz w:val="20"/>
                <w:szCs w:val="20"/>
              </w:rPr>
            </w:pPr>
            <w:r w:rsidRPr="00DF6A2D">
              <w:rPr>
                <w:sz w:val="20"/>
                <w:szCs w:val="20"/>
              </w:rPr>
              <w:t>0.08</w:t>
            </w:r>
          </w:p>
        </w:tc>
        <w:tc>
          <w:tcPr>
            <w:tcW w:w="0" w:type="auto"/>
          </w:tcPr>
          <w:p w14:paraId="65C0237E" w14:textId="486B32A0" w:rsidR="00490CEF" w:rsidRPr="00DF6A2D" w:rsidRDefault="008D2F65" w:rsidP="00DF6A2D">
            <w:pPr>
              <w:pStyle w:val="NoSpacing"/>
              <w:rPr>
                <w:sz w:val="20"/>
                <w:szCs w:val="20"/>
              </w:rPr>
            </w:pPr>
            <w:r w:rsidRPr="00DF6A2D">
              <w:rPr>
                <w:sz w:val="20"/>
                <w:szCs w:val="20"/>
              </w:rPr>
              <w:t>0.27</w:t>
            </w:r>
          </w:p>
        </w:tc>
        <w:tc>
          <w:tcPr>
            <w:tcW w:w="0" w:type="auto"/>
          </w:tcPr>
          <w:p w14:paraId="171E8EB7" w14:textId="006BF38E" w:rsidR="00490CEF" w:rsidRPr="00DF6A2D" w:rsidRDefault="008D2F65" w:rsidP="00DF6A2D">
            <w:pPr>
              <w:pStyle w:val="NoSpacing"/>
              <w:rPr>
                <w:sz w:val="20"/>
                <w:szCs w:val="20"/>
              </w:rPr>
            </w:pPr>
            <w:r w:rsidRPr="00DF6A2D">
              <w:rPr>
                <w:sz w:val="20"/>
                <w:szCs w:val="20"/>
              </w:rPr>
              <w:t>0</w:t>
            </w:r>
          </w:p>
        </w:tc>
        <w:tc>
          <w:tcPr>
            <w:tcW w:w="0" w:type="auto"/>
          </w:tcPr>
          <w:p w14:paraId="0A55B237" w14:textId="2023F694" w:rsidR="00490CEF" w:rsidRPr="00DF6A2D" w:rsidRDefault="008D2F65" w:rsidP="00DF6A2D">
            <w:pPr>
              <w:pStyle w:val="NoSpacing"/>
              <w:rPr>
                <w:sz w:val="20"/>
                <w:szCs w:val="20"/>
              </w:rPr>
            </w:pPr>
            <w:r w:rsidRPr="00DF6A2D">
              <w:rPr>
                <w:sz w:val="20"/>
                <w:szCs w:val="20"/>
              </w:rPr>
              <w:t>1</w:t>
            </w:r>
          </w:p>
        </w:tc>
        <w:tc>
          <w:tcPr>
            <w:tcW w:w="0" w:type="auto"/>
          </w:tcPr>
          <w:p w14:paraId="14A29025" w14:textId="77777777" w:rsidR="00490CEF" w:rsidRPr="00DF6A2D" w:rsidRDefault="00490CEF" w:rsidP="00DF6A2D">
            <w:pPr>
              <w:pStyle w:val="NoSpacing"/>
              <w:rPr>
                <w:sz w:val="20"/>
                <w:szCs w:val="20"/>
              </w:rPr>
            </w:pPr>
          </w:p>
        </w:tc>
        <w:tc>
          <w:tcPr>
            <w:tcW w:w="0" w:type="auto"/>
          </w:tcPr>
          <w:p w14:paraId="3B809CB4" w14:textId="77777777" w:rsidR="00490CEF" w:rsidRPr="00DF6A2D" w:rsidRDefault="00490CEF" w:rsidP="00DF6A2D">
            <w:pPr>
              <w:pStyle w:val="NoSpacing"/>
              <w:rPr>
                <w:sz w:val="20"/>
                <w:szCs w:val="20"/>
              </w:rPr>
            </w:pPr>
          </w:p>
        </w:tc>
        <w:tc>
          <w:tcPr>
            <w:tcW w:w="0" w:type="auto"/>
          </w:tcPr>
          <w:p w14:paraId="5008873F" w14:textId="77777777" w:rsidR="00490CEF" w:rsidRPr="00DF6A2D" w:rsidRDefault="00490CEF" w:rsidP="00DF6A2D">
            <w:pPr>
              <w:pStyle w:val="NoSpacing"/>
              <w:rPr>
                <w:sz w:val="20"/>
                <w:szCs w:val="20"/>
              </w:rPr>
            </w:pPr>
          </w:p>
        </w:tc>
        <w:tc>
          <w:tcPr>
            <w:tcW w:w="0" w:type="auto"/>
          </w:tcPr>
          <w:p w14:paraId="72395E44" w14:textId="77777777" w:rsidR="00490CEF" w:rsidRPr="00DF6A2D" w:rsidRDefault="00490CEF" w:rsidP="00DF6A2D">
            <w:pPr>
              <w:pStyle w:val="NoSpacing"/>
              <w:rPr>
                <w:sz w:val="20"/>
                <w:szCs w:val="20"/>
              </w:rPr>
            </w:pPr>
          </w:p>
        </w:tc>
        <w:tc>
          <w:tcPr>
            <w:tcW w:w="0" w:type="auto"/>
          </w:tcPr>
          <w:p w14:paraId="1DE24380" w14:textId="77777777" w:rsidR="00490CEF" w:rsidRPr="00DF6A2D" w:rsidRDefault="00490CEF" w:rsidP="00DF6A2D">
            <w:pPr>
              <w:pStyle w:val="NoSpacing"/>
              <w:rPr>
                <w:sz w:val="20"/>
                <w:szCs w:val="20"/>
              </w:rPr>
            </w:pPr>
          </w:p>
        </w:tc>
        <w:tc>
          <w:tcPr>
            <w:tcW w:w="0" w:type="auto"/>
          </w:tcPr>
          <w:p w14:paraId="0C445574" w14:textId="77777777" w:rsidR="00490CEF" w:rsidRPr="00DF6A2D" w:rsidRDefault="00490CEF" w:rsidP="00DF6A2D">
            <w:pPr>
              <w:pStyle w:val="NoSpacing"/>
              <w:rPr>
                <w:sz w:val="20"/>
                <w:szCs w:val="20"/>
              </w:rPr>
            </w:pPr>
          </w:p>
        </w:tc>
        <w:tc>
          <w:tcPr>
            <w:tcW w:w="0" w:type="auto"/>
          </w:tcPr>
          <w:p w14:paraId="348EEF59" w14:textId="77777777" w:rsidR="00490CEF" w:rsidRPr="00DF6A2D" w:rsidRDefault="00490CEF" w:rsidP="00DF6A2D">
            <w:pPr>
              <w:pStyle w:val="NoSpacing"/>
              <w:rPr>
                <w:sz w:val="20"/>
                <w:szCs w:val="20"/>
              </w:rPr>
            </w:pPr>
          </w:p>
        </w:tc>
        <w:tc>
          <w:tcPr>
            <w:tcW w:w="0" w:type="auto"/>
          </w:tcPr>
          <w:p w14:paraId="6A81099D" w14:textId="77777777" w:rsidR="00490CEF" w:rsidRPr="00DF6A2D" w:rsidRDefault="00490CEF" w:rsidP="00DF6A2D">
            <w:pPr>
              <w:pStyle w:val="NoSpacing"/>
              <w:rPr>
                <w:sz w:val="20"/>
                <w:szCs w:val="20"/>
              </w:rPr>
            </w:pPr>
          </w:p>
        </w:tc>
        <w:tc>
          <w:tcPr>
            <w:tcW w:w="0" w:type="auto"/>
          </w:tcPr>
          <w:p w14:paraId="735AB588" w14:textId="77777777" w:rsidR="00490CEF" w:rsidRPr="00DF6A2D" w:rsidRDefault="00490CEF" w:rsidP="00DF6A2D">
            <w:pPr>
              <w:pStyle w:val="NoSpacing"/>
              <w:rPr>
                <w:sz w:val="20"/>
                <w:szCs w:val="20"/>
              </w:rPr>
            </w:pPr>
          </w:p>
        </w:tc>
        <w:tc>
          <w:tcPr>
            <w:tcW w:w="0" w:type="auto"/>
          </w:tcPr>
          <w:p w14:paraId="79F31904" w14:textId="77777777" w:rsidR="00490CEF" w:rsidRPr="00DF6A2D" w:rsidRDefault="00490CEF" w:rsidP="00DF6A2D">
            <w:pPr>
              <w:pStyle w:val="NoSpacing"/>
              <w:rPr>
                <w:sz w:val="20"/>
                <w:szCs w:val="20"/>
              </w:rPr>
            </w:pPr>
          </w:p>
        </w:tc>
        <w:tc>
          <w:tcPr>
            <w:tcW w:w="0" w:type="auto"/>
          </w:tcPr>
          <w:p w14:paraId="7E139CF8" w14:textId="77777777" w:rsidR="00490CEF" w:rsidRPr="00DF6A2D" w:rsidRDefault="00490CEF" w:rsidP="00DF6A2D">
            <w:pPr>
              <w:pStyle w:val="NoSpacing"/>
              <w:rPr>
                <w:sz w:val="20"/>
                <w:szCs w:val="20"/>
              </w:rPr>
            </w:pPr>
          </w:p>
        </w:tc>
        <w:tc>
          <w:tcPr>
            <w:tcW w:w="0" w:type="auto"/>
          </w:tcPr>
          <w:p w14:paraId="5179D34C" w14:textId="77777777" w:rsidR="00490CEF" w:rsidRPr="00DF6A2D" w:rsidRDefault="00490CEF" w:rsidP="00DF6A2D">
            <w:pPr>
              <w:pStyle w:val="NoSpacing"/>
              <w:rPr>
                <w:sz w:val="20"/>
                <w:szCs w:val="20"/>
              </w:rPr>
            </w:pPr>
          </w:p>
        </w:tc>
        <w:tc>
          <w:tcPr>
            <w:tcW w:w="0" w:type="auto"/>
          </w:tcPr>
          <w:p w14:paraId="49ABF887" w14:textId="77777777" w:rsidR="00490CEF" w:rsidRPr="00DF6A2D" w:rsidRDefault="00490CEF" w:rsidP="00DF6A2D">
            <w:pPr>
              <w:pStyle w:val="NoSpacing"/>
              <w:rPr>
                <w:sz w:val="20"/>
                <w:szCs w:val="20"/>
              </w:rPr>
            </w:pPr>
          </w:p>
        </w:tc>
        <w:tc>
          <w:tcPr>
            <w:tcW w:w="0" w:type="auto"/>
          </w:tcPr>
          <w:p w14:paraId="656A3ECA" w14:textId="77777777" w:rsidR="00490CEF" w:rsidRPr="00DF6A2D" w:rsidRDefault="00490CEF" w:rsidP="00DF6A2D">
            <w:pPr>
              <w:pStyle w:val="NoSpacing"/>
              <w:rPr>
                <w:sz w:val="20"/>
                <w:szCs w:val="20"/>
              </w:rPr>
            </w:pPr>
          </w:p>
        </w:tc>
        <w:tc>
          <w:tcPr>
            <w:tcW w:w="0" w:type="auto"/>
          </w:tcPr>
          <w:p w14:paraId="37F7ACDE" w14:textId="77777777" w:rsidR="00490CEF" w:rsidRPr="00DF6A2D" w:rsidRDefault="00490CEF" w:rsidP="00DF6A2D">
            <w:pPr>
              <w:pStyle w:val="NoSpacing"/>
              <w:rPr>
                <w:sz w:val="20"/>
                <w:szCs w:val="20"/>
              </w:rPr>
            </w:pPr>
          </w:p>
        </w:tc>
        <w:tc>
          <w:tcPr>
            <w:tcW w:w="0" w:type="auto"/>
          </w:tcPr>
          <w:p w14:paraId="33AF8030" w14:textId="77777777" w:rsidR="00490CEF" w:rsidRPr="00DF6A2D" w:rsidRDefault="00490CEF" w:rsidP="00DF6A2D">
            <w:pPr>
              <w:pStyle w:val="NoSpacing"/>
              <w:rPr>
                <w:sz w:val="20"/>
                <w:szCs w:val="20"/>
              </w:rPr>
            </w:pPr>
          </w:p>
        </w:tc>
        <w:tc>
          <w:tcPr>
            <w:tcW w:w="0" w:type="auto"/>
          </w:tcPr>
          <w:p w14:paraId="6ED58C79" w14:textId="77777777" w:rsidR="00490CEF" w:rsidRPr="00DF6A2D" w:rsidRDefault="00490CEF" w:rsidP="00DF6A2D">
            <w:pPr>
              <w:pStyle w:val="NoSpacing"/>
              <w:rPr>
                <w:sz w:val="20"/>
                <w:szCs w:val="20"/>
              </w:rPr>
            </w:pPr>
          </w:p>
        </w:tc>
        <w:tc>
          <w:tcPr>
            <w:tcW w:w="0" w:type="auto"/>
          </w:tcPr>
          <w:p w14:paraId="117AF266" w14:textId="77777777" w:rsidR="00490CEF" w:rsidRPr="00DF6A2D" w:rsidRDefault="00490CEF" w:rsidP="00DF6A2D">
            <w:pPr>
              <w:pStyle w:val="NoSpacing"/>
              <w:rPr>
                <w:sz w:val="20"/>
                <w:szCs w:val="20"/>
              </w:rPr>
            </w:pPr>
          </w:p>
        </w:tc>
        <w:tc>
          <w:tcPr>
            <w:tcW w:w="0" w:type="auto"/>
          </w:tcPr>
          <w:p w14:paraId="34B1F105" w14:textId="77777777" w:rsidR="00490CEF" w:rsidRPr="00DF6A2D" w:rsidRDefault="00490CEF" w:rsidP="00DF6A2D">
            <w:pPr>
              <w:pStyle w:val="NoSpacing"/>
              <w:rPr>
                <w:sz w:val="20"/>
                <w:szCs w:val="20"/>
              </w:rPr>
            </w:pPr>
          </w:p>
        </w:tc>
      </w:tr>
      <w:tr w:rsidR="00DF6A2D" w:rsidRPr="00DF6A2D" w14:paraId="00EE8D3B" w14:textId="77777777" w:rsidTr="00DF6A2D">
        <w:tc>
          <w:tcPr>
            <w:tcW w:w="0" w:type="auto"/>
          </w:tcPr>
          <w:p w14:paraId="02AEDE5A" w14:textId="3C24782C" w:rsidR="00490CEF" w:rsidRPr="00DF6A2D" w:rsidRDefault="00DE670C" w:rsidP="00DF6A2D">
            <w:pPr>
              <w:pStyle w:val="NoSpacing"/>
              <w:rPr>
                <w:sz w:val="20"/>
                <w:szCs w:val="20"/>
              </w:rPr>
            </w:pPr>
            <w:r w:rsidRPr="00DF6A2D">
              <w:rPr>
                <w:sz w:val="20"/>
                <w:szCs w:val="20"/>
              </w:rPr>
              <w:t>2. Years in</w:t>
            </w:r>
            <w:r w:rsidR="003C17EE" w:rsidRPr="00DF6A2D">
              <w:rPr>
                <w:sz w:val="20"/>
                <w:szCs w:val="20"/>
              </w:rPr>
              <w:t xml:space="preserve"> </w:t>
            </w:r>
            <w:r w:rsidRPr="00DF6A2D">
              <w:rPr>
                <w:sz w:val="20"/>
                <w:szCs w:val="20"/>
              </w:rPr>
              <w:t>position</w:t>
            </w:r>
          </w:p>
        </w:tc>
        <w:tc>
          <w:tcPr>
            <w:tcW w:w="0" w:type="auto"/>
          </w:tcPr>
          <w:p w14:paraId="0994D8A6" w14:textId="484D57C6" w:rsidR="00490CEF" w:rsidRPr="00DF6A2D" w:rsidRDefault="003C17EE" w:rsidP="00DF6A2D">
            <w:pPr>
              <w:pStyle w:val="NoSpacing"/>
              <w:rPr>
                <w:sz w:val="20"/>
                <w:szCs w:val="20"/>
              </w:rPr>
            </w:pPr>
            <w:r w:rsidRPr="00DF6A2D">
              <w:rPr>
                <w:sz w:val="20"/>
                <w:szCs w:val="20"/>
              </w:rPr>
              <w:t>6.14</w:t>
            </w:r>
          </w:p>
        </w:tc>
        <w:tc>
          <w:tcPr>
            <w:tcW w:w="0" w:type="auto"/>
          </w:tcPr>
          <w:p w14:paraId="2E480364" w14:textId="42774581" w:rsidR="00490CEF" w:rsidRPr="00DF6A2D" w:rsidRDefault="003C17EE" w:rsidP="00DF6A2D">
            <w:pPr>
              <w:pStyle w:val="NoSpacing"/>
              <w:rPr>
                <w:sz w:val="20"/>
                <w:szCs w:val="20"/>
              </w:rPr>
            </w:pPr>
            <w:r w:rsidRPr="00DF6A2D">
              <w:rPr>
                <w:sz w:val="20"/>
                <w:szCs w:val="20"/>
              </w:rPr>
              <w:t>5.93</w:t>
            </w:r>
          </w:p>
        </w:tc>
        <w:tc>
          <w:tcPr>
            <w:tcW w:w="0" w:type="auto"/>
          </w:tcPr>
          <w:p w14:paraId="1BB6EECF" w14:textId="584304D9" w:rsidR="00490CEF" w:rsidRPr="00DF6A2D" w:rsidRDefault="003C17EE" w:rsidP="00DF6A2D">
            <w:pPr>
              <w:pStyle w:val="NoSpacing"/>
              <w:rPr>
                <w:sz w:val="20"/>
                <w:szCs w:val="20"/>
              </w:rPr>
            </w:pPr>
            <w:r w:rsidRPr="00DF6A2D">
              <w:rPr>
                <w:sz w:val="20"/>
                <w:szCs w:val="20"/>
              </w:rPr>
              <w:t>1</w:t>
            </w:r>
          </w:p>
        </w:tc>
        <w:tc>
          <w:tcPr>
            <w:tcW w:w="0" w:type="auto"/>
          </w:tcPr>
          <w:p w14:paraId="53F43D79" w14:textId="55396121" w:rsidR="00490CEF" w:rsidRPr="00DF6A2D" w:rsidRDefault="008D2F65" w:rsidP="00DF6A2D">
            <w:pPr>
              <w:pStyle w:val="NoSpacing"/>
              <w:rPr>
                <w:sz w:val="20"/>
                <w:szCs w:val="20"/>
              </w:rPr>
            </w:pPr>
            <w:r w:rsidRPr="00DF6A2D">
              <w:rPr>
                <w:sz w:val="20"/>
                <w:szCs w:val="20"/>
              </w:rPr>
              <w:t>43</w:t>
            </w:r>
          </w:p>
        </w:tc>
        <w:tc>
          <w:tcPr>
            <w:tcW w:w="0" w:type="auto"/>
          </w:tcPr>
          <w:p w14:paraId="5BE72AFA" w14:textId="607FCE6E" w:rsidR="00490CEF" w:rsidRPr="00DF6A2D" w:rsidRDefault="008D2F65" w:rsidP="00DF6A2D">
            <w:pPr>
              <w:pStyle w:val="NoSpacing"/>
              <w:rPr>
                <w:sz w:val="20"/>
                <w:szCs w:val="20"/>
              </w:rPr>
            </w:pPr>
            <w:r w:rsidRPr="00DF6A2D">
              <w:rPr>
                <w:sz w:val="20"/>
                <w:szCs w:val="20"/>
              </w:rPr>
              <w:t>0.01</w:t>
            </w:r>
          </w:p>
        </w:tc>
        <w:tc>
          <w:tcPr>
            <w:tcW w:w="0" w:type="auto"/>
          </w:tcPr>
          <w:p w14:paraId="4E689D13" w14:textId="77777777" w:rsidR="00490CEF" w:rsidRPr="00DF6A2D" w:rsidRDefault="00490CEF" w:rsidP="00DF6A2D">
            <w:pPr>
              <w:pStyle w:val="NoSpacing"/>
              <w:rPr>
                <w:sz w:val="20"/>
                <w:szCs w:val="20"/>
              </w:rPr>
            </w:pPr>
          </w:p>
        </w:tc>
        <w:tc>
          <w:tcPr>
            <w:tcW w:w="0" w:type="auto"/>
          </w:tcPr>
          <w:p w14:paraId="1E5EBD18" w14:textId="77777777" w:rsidR="00490CEF" w:rsidRPr="00DF6A2D" w:rsidRDefault="00490CEF" w:rsidP="00DF6A2D">
            <w:pPr>
              <w:pStyle w:val="NoSpacing"/>
              <w:rPr>
                <w:sz w:val="20"/>
                <w:szCs w:val="20"/>
              </w:rPr>
            </w:pPr>
          </w:p>
        </w:tc>
        <w:tc>
          <w:tcPr>
            <w:tcW w:w="0" w:type="auto"/>
          </w:tcPr>
          <w:p w14:paraId="3388F75E" w14:textId="77777777" w:rsidR="00490CEF" w:rsidRPr="00DF6A2D" w:rsidRDefault="00490CEF" w:rsidP="00DF6A2D">
            <w:pPr>
              <w:pStyle w:val="NoSpacing"/>
              <w:rPr>
                <w:sz w:val="20"/>
                <w:szCs w:val="20"/>
              </w:rPr>
            </w:pPr>
          </w:p>
        </w:tc>
        <w:tc>
          <w:tcPr>
            <w:tcW w:w="0" w:type="auto"/>
          </w:tcPr>
          <w:p w14:paraId="2886AD16" w14:textId="77777777" w:rsidR="00490CEF" w:rsidRPr="00DF6A2D" w:rsidRDefault="00490CEF" w:rsidP="00DF6A2D">
            <w:pPr>
              <w:pStyle w:val="NoSpacing"/>
              <w:rPr>
                <w:sz w:val="20"/>
                <w:szCs w:val="20"/>
              </w:rPr>
            </w:pPr>
          </w:p>
        </w:tc>
        <w:tc>
          <w:tcPr>
            <w:tcW w:w="0" w:type="auto"/>
          </w:tcPr>
          <w:p w14:paraId="51AAF9F6" w14:textId="77777777" w:rsidR="00490CEF" w:rsidRPr="00DF6A2D" w:rsidRDefault="00490CEF" w:rsidP="00DF6A2D">
            <w:pPr>
              <w:pStyle w:val="NoSpacing"/>
              <w:rPr>
                <w:sz w:val="20"/>
                <w:szCs w:val="20"/>
              </w:rPr>
            </w:pPr>
          </w:p>
        </w:tc>
        <w:tc>
          <w:tcPr>
            <w:tcW w:w="0" w:type="auto"/>
          </w:tcPr>
          <w:p w14:paraId="27442B75" w14:textId="77777777" w:rsidR="00490CEF" w:rsidRPr="00DF6A2D" w:rsidRDefault="00490CEF" w:rsidP="00DF6A2D">
            <w:pPr>
              <w:pStyle w:val="NoSpacing"/>
              <w:rPr>
                <w:sz w:val="20"/>
                <w:szCs w:val="20"/>
              </w:rPr>
            </w:pPr>
          </w:p>
        </w:tc>
        <w:tc>
          <w:tcPr>
            <w:tcW w:w="0" w:type="auto"/>
          </w:tcPr>
          <w:p w14:paraId="7D440037" w14:textId="77777777" w:rsidR="00490CEF" w:rsidRPr="00DF6A2D" w:rsidRDefault="00490CEF" w:rsidP="00DF6A2D">
            <w:pPr>
              <w:pStyle w:val="NoSpacing"/>
              <w:rPr>
                <w:sz w:val="20"/>
                <w:szCs w:val="20"/>
              </w:rPr>
            </w:pPr>
          </w:p>
        </w:tc>
        <w:tc>
          <w:tcPr>
            <w:tcW w:w="0" w:type="auto"/>
          </w:tcPr>
          <w:p w14:paraId="34C94095" w14:textId="77777777" w:rsidR="00490CEF" w:rsidRPr="00DF6A2D" w:rsidRDefault="00490CEF" w:rsidP="00DF6A2D">
            <w:pPr>
              <w:pStyle w:val="NoSpacing"/>
              <w:rPr>
                <w:sz w:val="20"/>
                <w:szCs w:val="20"/>
              </w:rPr>
            </w:pPr>
          </w:p>
        </w:tc>
        <w:tc>
          <w:tcPr>
            <w:tcW w:w="0" w:type="auto"/>
          </w:tcPr>
          <w:p w14:paraId="27BF5EAF" w14:textId="77777777" w:rsidR="00490CEF" w:rsidRPr="00DF6A2D" w:rsidRDefault="00490CEF" w:rsidP="00DF6A2D">
            <w:pPr>
              <w:pStyle w:val="NoSpacing"/>
              <w:rPr>
                <w:sz w:val="20"/>
                <w:szCs w:val="20"/>
              </w:rPr>
            </w:pPr>
          </w:p>
        </w:tc>
        <w:tc>
          <w:tcPr>
            <w:tcW w:w="0" w:type="auto"/>
          </w:tcPr>
          <w:p w14:paraId="73A02F25" w14:textId="77777777" w:rsidR="00490CEF" w:rsidRPr="00DF6A2D" w:rsidRDefault="00490CEF" w:rsidP="00DF6A2D">
            <w:pPr>
              <w:pStyle w:val="NoSpacing"/>
              <w:rPr>
                <w:sz w:val="20"/>
                <w:szCs w:val="20"/>
              </w:rPr>
            </w:pPr>
          </w:p>
        </w:tc>
        <w:tc>
          <w:tcPr>
            <w:tcW w:w="0" w:type="auto"/>
          </w:tcPr>
          <w:p w14:paraId="633D9AE5" w14:textId="77777777" w:rsidR="00490CEF" w:rsidRPr="00DF6A2D" w:rsidRDefault="00490CEF" w:rsidP="00DF6A2D">
            <w:pPr>
              <w:pStyle w:val="NoSpacing"/>
              <w:rPr>
                <w:sz w:val="20"/>
                <w:szCs w:val="20"/>
              </w:rPr>
            </w:pPr>
          </w:p>
        </w:tc>
        <w:tc>
          <w:tcPr>
            <w:tcW w:w="0" w:type="auto"/>
          </w:tcPr>
          <w:p w14:paraId="4D6C3827" w14:textId="77777777" w:rsidR="00490CEF" w:rsidRPr="00DF6A2D" w:rsidRDefault="00490CEF" w:rsidP="00DF6A2D">
            <w:pPr>
              <w:pStyle w:val="NoSpacing"/>
              <w:rPr>
                <w:sz w:val="20"/>
                <w:szCs w:val="20"/>
              </w:rPr>
            </w:pPr>
          </w:p>
        </w:tc>
        <w:tc>
          <w:tcPr>
            <w:tcW w:w="0" w:type="auto"/>
          </w:tcPr>
          <w:p w14:paraId="4BB31EC3" w14:textId="77777777" w:rsidR="00490CEF" w:rsidRPr="00DF6A2D" w:rsidRDefault="00490CEF" w:rsidP="00DF6A2D">
            <w:pPr>
              <w:pStyle w:val="NoSpacing"/>
              <w:rPr>
                <w:sz w:val="20"/>
                <w:szCs w:val="20"/>
              </w:rPr>
            </w:pPr>
          </w:p>
        </w:tc>
        <w:tc>
          <w:tcPr>
            <w:tcW w:w="0" w:type="auto"/>
          </w:tcPr>
          <w:p w14:paraId="31AFFC94" w14:textId="77777777" w:rsidR="00490CEF" w:rsidRPr="00DF6A2D" w:rsidRDefault="00490CEF" w:rsidP="00DF6A2D">
            <w:pPr>
              <w:pStyle w:val="NoSpacing"/>
              <w:rPr>
                <w:sz w:val="20"/>
                <w:szCs w:val="20"/>
              </w:rPr>
            </w:pPr>
          </w:p>
        </w:tc>
        <w:tc>
          <w:tcPr>
            <w:tcW w:w="0" w:type="auto"/>
          </w:tcPr>
          <w:p w14:paraId="47797628" w14:textId="77777777" w:rsidR="00490CEF" w:rsidRPr="00DF6A2D" w:rsidRDefault="00490CEF" w:rsidP="00DF6A2D">
            <w:pPr>
              <w:pStyle w:val="NoSpacing"/>
              <w:rPr>
                <w:sz w:val="20"/>
                <w:szCs w:val="20"/>
              </w:rPr>
            </w:pPr>
          </w:p>
        </w:tc>
        <w:tc>
          <w:tcPr>
            <w:tcW w:w="0" w:type="auto"/>
          </w:tcPr>
          <w:p w14:paraId="19B6C5CF" w14:textId="77777777" w:rsidR="00490CEF" w:rsidRPr="00DF6A2D" w:rsidRDefault="00490CEF" w:rsidP="00DF6A2D">
            <w:pPr>
              <w:pStyle w:val="NoSpacing"/>
              <w:rPr>
                <w:sz w:val="20"/>
                <w:szCs w:val="20"/>
              </w:rPr>
            </w:pPr>
          </w:p>
        </w:tc>
        <w:tc>
          <w:tcPr>
            <w:tcW w:w="0" w:type="auto"/>
          </w:tcPr>
          <w:p w14:paraId="13CF518C" w14:textId="77777777" w:rsidR="00490CEF" w:rsidRPr="00DF6A2D" w:rsidRDefault="00490CEF" w:rsidP="00DF6A2D">
            <w:pPr>
              <w:pStyle w:val="NoSpacing"/>
              <w:rPr>
                <w:sz w:val="20"/>
                <w:szCs w:val="20"/>
              </w:rPr>
            </w:pPr>
          </w:p>
        </w:tc>
        <w:tc>
          <w:tcPr>
            <w:tcW w:w="0" w:type="auto"/>
          </w:tcPr>
          <w:p w14:paraId="137815F1" w14:textId="77777777" w:rsidR="00490CEF" w:rsidRPr="00DF6A2D" w:rsidRDefault="00490CEF" w:rsidP="00DF6A2D">
            <w:pPr>
              <w:pStyle w:val="NoSpacing"/>
              <w:rPr>
                <w:sz w:val="20"/>
                <w:szCs w:val="20"/>
              </w:rPr>
            </w:pPr>
          </w:p>
        </w:tc>
      </w:tr>
      <w:tr w:rsidR="00DF6A2D" w:rsidRPr="00DF6A2D" w14:paraId="610817D6" w14:textId="77777777" w:rsidTr="00DF6A2D">
        <w:tc>
          <w:tcPr>
            <w:tcW w:w="0" w:type="auto"/>
          </w:tcPr>
          <w:p w14:paraId="5AACB945" w14:textId="700890FC" w:rsidR="00490CEF" w:rsidRPr="00DF6A2D" w:rsidRDefault="00DE670C" w:rsidP="00DF6A2D">
            <w:pPr>
              <w:pStyle w:val="NoSpacing"/>
              <w:rPr>
                <w:sz w:val="20"/>
                <w:szCs w:val="20"/>
              </w:rPr>
            </w:pPr>
            <w:r w:rsidRPr="00DF6A2D">
              <w:rPr>
                <w:sz w:val="20"/>
                <w:szCs w:val="20"/>
              </w:rPr>
              <w:t xml:space="preserve">3. Minority </w:t>
            </w:r>
          </w:p>
        </w:tc>
        <w:tc>
          <w:tcPr>
            <w:tcW w:w="0" w:type="auto"/>
          </w:tcPr>
          <w:p w14:paraId="2F4C65AF" w14:textId="13AF13D4" w:rsidR="00490CEF" w:rsidRPr="00DF6A2D" w:rsidRDefault="00BD302E" w:rsidP="00DF6A2D">
            <w:pPr>
              <w:pStyle w:val="NoSpacing"/>
              <w:rPr>
                <w:sz w:val="20"/>
                <w:szCs w:val="20"/>
              </w:rPr>
            </w:pPr>
            <w:r w:rsidRPr="00DF6A2D">
              <w:rPr>
                <w:sz w:val="20"/>
                <w:szCs w:val="20"/>
              </w:rPr>
              <w:t>0.23</w:t>
            </w:r>
          </w:p>
        </w:tc>
        <w:tc>
          <w:tcPr>
            <w:tcW w:w="0" w:type="auto"/>
          </w:tcPr>
          <w:p w14:paraId="20E5B2CF" w14:textId="2AEA42C8" w:rsidR="00490CEF" w:rsidRPr="00DF6A2D" w:rsidRDefault="00BD302E" w:rsidP="00DF6A2D">
            <w:pPr>
              <w:pStyle w:val="NoSpacing"/>
              <w:rPr>
                <w:sz w:val="20"/>
                <w:szCs w:val="20"/>
              </w:rPr>
            </w:pPr>
            <w:r w:rsidRPr="00DF6A2D">
              <w:rPr>
                <w:sz w:val="20"/>
                <w:szCs w:val="20"/>
              </w:rPr>
              <w:t>0.42</w:t>
            </w:r>
          </w:p>
        </w:tc>
        <w:tc>
          <w:tcPr>
            <w:tcW w:w="0" w:type="auto"/>
          </w:tcPr>
          <w:p w14:paraId="27096693" w14:textId="2BDF8217" w:rsidR="00490CEF" w:rsidRPr="00DF6A2D" w:rsidRDefault="00BD302E" w:rsidP="00DF6A2D">
            <w:pPr>
              <w:pStyle w:val="NoSpacing"/>
              <w:rPr>
                <w:sz w:val="20"/>
                <w:szCs w:val="20"/>
              </w:rPr>
            </w:pPr>
            <w:r w:rsidRPr="00DF6A2D">
              <w:rPr>
                <w:sz w:val="20"/>
                <w:szCs w:val="20"/>
              </w:rPr>
              <w:t>0</w:t>
            </w:r>
          </w:p>
        </w:tc>
        <w:tc>
          <w:tcPr>
            <w:tcW w:w="0" w:type="auto"/>
          </w:tcPr>
          <w:p w14:paraId="2EB0D1CC" w14:textId="10C7E2AF" w:rsidR="00490CEF" w:rsidRPr="00DF6A2D" w:rsidRDefault="00BD302E" w:rsidP="00DF6A2D">
            <w:pPr>
              <w:pStyle w:val="NoSpacing"/>
              <w:rPr>
                <w:sz w:val="20"/>
                <w:szCs w:val="20"/>
              </w:rPr>
            </w:pPr>
            <w:r w:rsidRPr="00DF6A2D">
              <w:rPr>
                <w:sz w:val="20"/>
                <w:szCs w:val="20"/>
              </w:rPr>
              <w:t>1</w:t>
            </w:r>
          </w:p>
        </w:tc>
        <w:tc>
          <w:tcPr>
            <w:tcW w:w="0" w:type="auto"/>
          </w:tcPr>
          <w:p w14:paraId="506D4205" w14:textId="7D672E13" w:rsidR="00490CEF" w:rsidRPr="00DF6A2D" w:rsidRDefault="00BD302E" w:rsidP="00DF6A2D">
            <w:pPr>
              <w:pStyle w:val="NoSpacing"/>
              <w:rPr>
                <w:sz w:val="20"/>
                <w:szCs w:val="20"/>
              </w:rPr>
            </w:pPr>
            <w:r w:rsidRPr="00DF6A2D">
              <w:rPr>
                <w:sz w:val="20"/>
                <w:szCs w:val="20"/>
              </w:rPr>
              <w:t>0.10**</w:t>
            </w:r>
          </w:p>
        </w:tc>
        <w:tc>
          <w:tcPr>
            <w:tcW w:w="0" w:type="auto"/>
          </w:tcPr>
          <w:p w14:paraId="0A8A9B87" w14:textId="79879EEB" w:rsidR="00490CEF" w:rsidRPr="00DF6A2D" w:rsidRDefault="00BD302E" w:rsidP="00DF6A2D">
            <w:pPr>
              <w:pStyle w:val="NoSpacing"/>
              <w:rPr>
                <w:sz w:val="20"/>
                <w:szCs w:val="20"/>
              </w:rPr>
            </w:pPr>
            <w:r w:rsidRPr="00DF6A2D">
              <w:rPr>
                <w:sz w:val="20"/>
                <w:szCs w:val="20"/>
              </w:rPr>
              <w:t>-0.15**</w:t>
            </w:r>
          </w:p>
        </w:tc>
        <w:tc>
          <w:tcPr>
            <w:tcW w:w="0" w:type="auto"/>
          </w:tcPr>
          <w:p w14:paraId="027D3821" w14:textId="77777777" w:rsidR="00490CEF" w:rsidRPr="00DF6A2D" w:rsidRDefault="00490CEF" w:rsidP="00DF6A2D">
            <w:pPr>
              <w:pStyle w:val="NoSpacing"/>
              <w:rPr>
                <w:sz w:val="20"/>
                <w:szCs w:val="20"/>
              </w:rPr>
            </w:pPr>
          </w:p>
        </w:tc>
        <w:tc>
          <w:tcPr>
            <w:tcW w:w="0" w:type="auto"/>
          </w:tcPr>
          <w:p w14:paraId="18DEF24D" w14:textId="77777777" w:rsidR="00490CEF" w:rsidRPr="00DF6A2D" w:rsidRDefault="00490CEF" w:rsidP="00DF6A2D">
            <w:pPr>
              <w:pStyle w:val="NoSpacing"/>
              <w:rPr>
                <w:sz w:val="20"/>
                <w:szCs w:val="20"/>
              </w:rPr>
            </w:pPr>
          </w:p>
        </w:tc>
        <w:tc>
          <w:tcPr>
            <w:tcW w:w="0" w:type="auto"/>
          </w:tcPr>
          <w:p w14:paraId="3C02432D" w14:textId="77777777" w:rsidR="00490CEF" w:rsidRPr="00DF6A2D" w:rsidRDefault="00490CEF" w:rsidP="00DF6A2D">
            <w:pPr>
              <w:pStyle w:val="NoSpacing"/>
              <w:rPr>
                <w:sz w:val="20"/>
                <w:szCs w:val="20"/>
              </w:rPr>
            </w:pPr>
          </w:p>
        </w:tc>
        <w:tc>
          <w:tcPr>
            <w:tcW w:w="0" w:type="auto"/>
          </w:tcPr>
          <w:p w14:paraId="3DD7DF9A" w14:textId="77777777" w:rsidR="00490CEF" w:rsidRPr="00DF6A2D" w:rsidRDefault="00490CEF" w:rsidP="00DF6A2D">
            <w:pPr>
              <w:pStyle w:val="NoSpacing"/>
              <w:rPr>
                <w:sz w:val="20"/>
                <w:szCs w:val="20"/>
              </w:rPr>
            </w:pPr>
          </w:p>
        </w:tc>
        <w:tc>
          <w:tcPr>
            <w:tcW w:w="0" w:type="auto"/>
          </w:tcPr>
          <w:p w14:paraId="1DA9F103" w14:textId="77777777" w:rsidR="00490CEF" w:rsidRPr="00DF6A2D" w:rsidRDefault="00490CEF" w:rsidP="00DF6A2D">
            <w:pPr>
              <w:pStyle w:val="NoSpacing"/>
              <w:rPr>
                <w:sz w:val="20"/>
                <w:szCs w:val="20"/>
              </w:rPr>
            </w:pPr>
          </w:p>
        </w:tc>
        <w:tc>
          <w:tcPr>
            <w:tcW w:w="0" w:type="auto"/>
          </w:tcPr>
          <w:p w14:paraId="1B8FC04E" w14:textId="77777777" w:rsidR="00490CEF" w:rsidRPr="00DF6A2D" w:rsidRDefault="00490CEF" w:rsidP="00DF6A2D">
            <w:pPr>
              <w:pStyle w:val="NoSpacing"/>
              <w:rPr>
                <w:sz w:val="20"/>
                <w:szCs w:val="20"/>
              </w:rPr>
            </w:pPr>
          </w:p>
        </w:tc>
        <w:tc>
          <w:tcPr>
            <w:tcW w:w="0" w:type="auto"/>
          </w:tcPr>
          <w:p w14:paraId="74D13D5C" w14:textId="77777777" w:rsidR="00490CEF" w:rsidRPr="00DF6A2D" w:rsidRDefault="00490CEF" w:rsidP="00DF6A2D">
            <w:pPr>
              <w:pStyle w:val="NoSpacing"/>
              <w:rPr>
                <w:sz w:val="20"/>
                <w:szCs w:val="20"/>
              </w:rPr>
            </w:pPr>
          </w:p>
        </w:tc>
        <w:tc>
          <w:tcPr>
            <w:tcW w:w="0" w:type="auto"/>
          </w:tcPr>
          <w:p w14:paraId="1A2BE823" w14:textId="77777777" w:rsidR="00490CEF" w:rsidRPr="00DF6A2D" w:rsidRDefault="00490CEF" w:rsidP="00DF6A2D">
            <w:pPr>
              <w:pStyle w:val="NoSpacing"/>
              <w:rPr>
                <w:sz w:val="20"/>
                <w:szCs w:val="20"/>
              </w:rPr>
            </w:pPr>
          </w:p>
        </w:tc>
        <w:tc>
          <w:tcPr>
            <w:tcW w:w="0" w:type="auto"/>
          </w:tcPr>
          <w:p w14:paraId="217547FB" w14:textId="77777777" w:rsidR="00490CEF" w:rsidRPr="00DF6A2D" w:rsidRDefault="00490CEF" w:rsidP="00DF6A2D">
            <w:pPr>
              <w:pStyle w:val="NoSpacing"/>
              <w:rPr>
                <w:sz w:val="20"/>
                <w:szCs w:val="20"/>
              </w:rPr>
            </w:pPr>
          </w:p>
        </w:tc>
        <w:tc>
          <w:tcPr>
            <w:tcW w:w="0" w:type="auto"/>
          </w:tcPr>
          <w:p w14:paraId="2B5723AE" w14:textId="77777777" w:rsidR="00490CEF" w:rsidRPr="00DF6A2D" w:rsidRDefault="00490CEF" w:rsidP="00DF6A2D">
            <w:pPr>
              <w:pStyle w:val="NoSpacing"/>
              <w:rPr>
                <w:sz w:val="20"/>
                <w:szCs w:val="20"/>
              </w:rPr>
            </w:pPr>
          </w:p>
        </w:tc>
        <w:tc>
          <w:tcPr>
            <w:tcW w:w="0" w:type="auto"/>
          </w:tcPr>
          <w:p w14:paraId="4900863A" w14:textId="77777777" w:rsidR="00490CEF" w:rsidRPr="00DF6A2D" w:rsidRDefault="00490CEF" w:rsidP="00DF6A2D">
            <w:pPr>
              <w:pStyle w:val="NoSpacing"/>
              <w:rPr>
                <w:sz w:val="20"/>
                <w:szCs w:val="20"/>
              </w:rPr>
            </w:pPr>
          </w:p>
        </w:tc>
        <w:tc>
          <w:tcPr>
            <w:tcW w:w="0" w:type="auto"/>
          </w:tcPr>
          <w:p w14:paraId="342A4BDE" w14:textId="77777777" w:rsidR="00490CEF" w:rsidRPr="00DF6A2D" w:rsidRDefault="00490CEF" w:rsidP="00DF6A2D">
            <w:pPr>
              <w:pStyle w:val="NoSpacing"/>
              <w:rPr>
                <w:sz w:val="20"/>
                <w:szCs w:val="20"/>
              </w:rPr>
            </w:pPr>
          </w:p>
        </w:tc>
        <w:tc>
          <w:tcPr>
            <w:tcW w:w="0" w:type="auto"/>
          </w:tcPr>
          <w:p w14:paraId="55AD5399" w14:textId="77777777" w:rsidR="00490CEF" w:rsidRPr="00DF6A2D" w:rsidRDefault="00490CEF" w:rsidP="00DF6A2D">
            <w:pPr>
              <w:pStyle w:val="NoSpacing"/>
              <w:rPr>
                <w:sz w:val="20"/>
                <w:szCs w:val="20"/>
              </w:rPr>
            </w:pPr>
          </w:p>
        </w:tc>
        <w:tc>
          <w:tcPr>
            <w:tcW w:w="0" w:type="auto"/>
          </w:tcPr>
          <w:p w14:paraId="756CE726" w14:textId="77777777" w:rsidR="00490CEF" w:rsidRPr="00DF6A2D" w:rsidRDefault="00490CEF" w:rsidP="00DF6A2D">
            <w:pPr>
              <w:pStyle w:val="NoSpacing"/>
              <w:rPr>
                <w:sz w:val="20"/>
                <w:szCs w:val="20"/>
              </w:rPr>
            </w:pPr>
          </w:p>
        </w:tc>
        <w:tc>
          <w:tcPr>
            <w:tcW w:w="0" w:type="auto"/>
          </w:tcPr>
          <w:p w14:paraId="6DECA373" w14:textId="77777777" w:rsidR="00490CEF" w:rsidRPr="00DF6A2D" w:rsidRDefault="00490CEF" w:rsidP="00DF6A2D">
            <w:pPr>
              <w:pStyle w:val="NoSpacing"/>
              <w:rPr>
                <w:sz w:val="20"/>
                <w:szCs w:val="20"/>
              </w:rPr>
            </w:pPr>
          </w:p>
        </w:tc>
        <w:tc>
          <w:tcPr>
            <w:tcW w:w="0" w:type="auto"/>
          </w:tcPr>
          <w:p w14:paraId="2A475C5A" w14:textId="77777777" w:rsidR="00490CEF" w:rsidRPr="00DF6A2D" w:rsidRDefault="00490CEF" w:rsidP="00DF6A2D">
            <w:pPr>
              <w:pStyle w:val="NoSpacing"/>
              <w:rPr>
                <w:sz w:val="20"/>
                <w:szCs w:val="20"/>
              </w:rPr>
            </w:pPr>
          </w:p>
        </w:tc>
        <w:tc>
          <w:tcPr>
            <w:tcW w:w="0" w:type="auto"/>
          </w:tcPr>
          <w:p w14:paraId="0EAEBFFD" w14:textId="77777777" w:rsidR="00490CEF" w:rsidRPr="00DF6A2D" w:rsidRDefault="00490CEF" w:rsidP="00DF6A2D">
            <w:pPr>
              <w:pStyle w:val="NoSpacing"/>
              <w:rPr>
                <w:sz w:val="20"/>
                <w:szCs w:val="20"/>
              </w:rPr>
            </w:pPr>
          </w:p>
        </w:tc>
      </w:tr>
      <w:tr w:rsidR="00DF6A2D" w:rsidRPr="00DF6A2D" w14:paraId="71CDA673" w14:textId="77777777" w:rsidTr="00DF6A2D">
        <w:tc>
          <w:tcPr>
            <w:tcW w:w="0" w:type="auto"/>
          </w:tcPr>
          <w:p w14:paraId="0E875F29" w14:textId="76EEEAEF" w:rsidR="00A46CB1" w:rsidRPr="00DF6A2D" w:rsidRDefault="00A46CB1" w:rsidP="00DF6A2D">
            <w:pPr>
              <w:pStyle w:val="NoSpacing"/>
              <w:rPr>
                <w:sz w:val="20"/>
                <w:szCs w:val="20"/>
              </w:rPr>
            </w:pPr>
            <w:r w:rsidRPr="00DF6A2D">
              <w:rPr>
                <w:sz w:val="20"/>
                <w:szCs w:val="20"/>
              </w:rPr>
              <w:t>4. NCAA</w:t>
            </w:r>
            <w:r w:rsidRPr="00DF6A2D">
              <w:rPr>
                <w:sz w:val="20"/>
                <w:szCs w:val="20"/>
              </w:rPr>
              <w:t xml:space="preserve"> </w:t>
            </w:r>
            <w:r w:rsidRPr="00DF6A2D">
              <w:rPr>
                <w:sz w:val="20"/>
                <w:szCs w:val="20"/>
              </w:rPr>
              <w:t>sanctions</w:t>
            </w:r>
          </w:p>
        </w:tc>
        <w:tc>
          <w:tcPr>
            <w:tcW w:w="0" w:type="auto"/>
          </w:tcPr>
          <w:p w14:paraId="7A5A6961" w14:textId="6A09192B" w:rsidR="00A46CB1" w:rsidRPr="00DF6A2D" w:rsidRDefault="00A46CB1" w:rsidP="00DF6A2D">
            <w:pPr>
              <w:pStyle w:val="NoSpacing"/>
              <w:rPr>
                <w:sz w:val="20"/>
                <w:szCs w:val="20"/>
              </w:rPr>
            </w:pPr>
            <w:r w:rsidRPr="00DF6A2D">
              <w:rPr>
                <w:sz w:val="20"/>
                <w:szCs w:val="20"/>
              </w:rPr>
              <w:t>0.02</w:t>
            </w:r>
          </w:p>
        </w:tc>
        <w:tc>
          <w:tcPr>
            <w:tcW w:w="0" w:type="auto"/>
          </w:tcPr>
          <w:p w14:paraId="7989A4FF" w14:textId="29C52AB1" w:rsidR="00A46CB1" w:rsidRPr="00DF6A2D" w:rsidRDefault="00A46CB1" w:rsidP="00DF6A2D">
            <w:pPr>
              <w:pStyle w:val="NoSpacing"/>
              <w:rPr>
                <w:sz w:val="20"/>
                <w:szCs w:val="20"/>
              </w:rPr>
            </w:pPr>
            <w:r w:rsidRPr="00DF6A2D">
              <w:rPr>
                <w:sz w:val="20"/>
                <w:szCs w:val="20"/>
              </w:rPr>
              <w:t>0.15</w:t>
            </w:r>
          </w:p>
        </w:tc>
        <w:tc>
          <w:tcPr>
            <w:tcW w:w="0" w:type="auto"/>
          </w:tcPr>
          <w:p w14:paraId="308BC718" w14:textId="548D737A" w:rsidR="00A46CB1" w:rsidRPr="00DF6A2D" w:rsidRDefault="00A46CB1" w:rsidP="00DF6A2D">
            <w:pPr>
              <w:pStyle w:val="NoSpacing"/>
              <w:rPr>
                <w:sz w:val="20"/>
                <w:szCs w:val="20"/>
              </w:rPr>
            </w:pPr>
            <w:r w:rsidRPr="00DF6A2D">
              <w:rPr>
                <w:sz w:val="20"/>
                <w:szCs w:val="20"/>
              </w:rPr>
              <w:t>0</w:t>
            </w:r>
          </w:p>
        </w:tc>
        <w:tc>
          <w:tcPr>
            <w:tcW w:w="0" w:type="auto"/>
          </w:tcPr>
          <w:p w14:paraId="7D61B251" w14:textId="7068F5C2" w:rsidR="00A46CB1" w:rsidRPr="00DF6A2D" w:rsidRDefault="00A46CB1" w:rsidP="00DF6A2D">
            <w:pPr>
              <w:pStyle w:val="NoSpacing"/>
              <w:rPr>
                <w:sz w:val="20"/>
                <w:szCs w:val="20"/>
              </w:rPr>
            </w:pPr>
            <w:r w:rsidRPr="00DF6A2D">
              <w:rPr>
                <w:sz w:val="20"/>
                <w:szCs w:val="20"/>
              </w:rPr>
              <w:t>1</w:t>
            </w:r>
          </w:p>
        </w:tc>
        <w:tc>
          <w:tcPr>
            <w:tcW w:w="0" w:type="auto"/>
          </w:tcPr>
          <w:p w14:paraId="2802BC06" w14:textId="05A8FF27" w:rsidR="00A46CB1" w:rsidRPr="00DF6A2D" w:rsidRDefault="00A46CB1" w:rsidP="00DF6A2D">
            <w:pPr>
              <w:pStyle w:val="NoSpacing"/>
              <w:rPr>
                <w:sz w:val="20"/>
                <w:szCs w:val="20"/>
              </w:rPr>
            </w:pPr>
            <w:r w:rsidRPr="00DF6A2D">
              <w:rPr>
                <w:sz w:val="20"/>
                <w:szCs w:val="20"/>
              </w:rPr>
              <w:t>-0.00</w:t>
            </w:r>
          </w:p>
        </w:tc>
        <w:tc>
          <w:tcPr>
            <w:tcW w:w="0" w:type="auto"/>
          </w:tcPr>
          <w:p w14:paraId="0BF3E98E" w14:textId="3F512F65" w:rsidR="00A46CB1" w:rsidRPr="00DF6A2D" w:rsidRDefault="00A46CB1" w:rsidP="00DF6A2D">
            <w:pPr>
              <w:pStyle w:val="NoSpacing"/>
              <w:rPr>
                <w:sz w:val="20"/>
                <w:szCs w:val="20"/>
              </w:rPr>
            </w:pPr>
            <w:r w:rsidRPr="00DF6A2D">
              <w:rPr>
                <w:sz w:val="20"/>
                <w:szCs w:val="20"/>
              </w:rPr>
              <w:t>-0.01</w:t>
            </w:r>
          </w:p>
        </w:tc>
        <w:tc>
          <w:tcPr>
            <w:tcW w:w="0" w:type="auto"/>
          </w:tcPr>
          <w:p w14:paraId="2753A8FB" w14:textId="28940052" w:rsidR="00A46CB1" w:rsidRPr="00DF6A2D" w:rsidRDefault="00A46CB1" w:rsidP="00DF6A2D">
            <w:pPr>
              <w:pStyle w:val="NoSpacing"/>
              <w:rPr>
                <w:sz w:val="20"/>
                <w:szCs w:val="20"/>
              </w:rPr>
            </w:pPr>
            <w:r w:rsidRPr="00DF6A2D">
              <w:rPr>
                <w:sz w:val="20"/>
                <w:szCs w:val="20"/>
              </w:rPr>
              <w:t>0</w:t>
            </w:r>
          </w:p>
        </w:tc>
        <w:tc>
          <w:tcPr>
            <w:tcW w:w="0" w:type="auto"/>
          </w:tcPr>
          <w:p w14:paraId="4F866818" w14:textId="77777777" w:rsidR="00A46CB1" w:rsidRPr="00DF6A2D" w:rsidRDefault="00A46CB1" w:rsidP="00DF6A2D">
            <w:pPr>
              <w:pStyle w:val="NoSpacing"/>
              <w:rPr>
                <w:sz w:val="20"/>
                <w:szCs w:val="20"/>
              </w:rPr>
            </w:pPr>
          </w:p>
        </w:tc>
        <w:tc>
          <w:tcPr>
            <w:tcW w:w="0" w:type="auto"/>
          </w:tcPr>
          <w:p w14:paraId="7254426C" w14:textId="77777777" w:rsidR="00A46CB1" w:rsidRPr="00DF6A2D" w:rsidRDefault="00A46CB1" w:rsidP="00DF6A2D">
            <w:pPr>
              <w:pStyle w:val="NoSpacing"/>
              <w:rPr>
                <w:sz w:val="20"/>
                <w:szCs w:val="20"/>
              </w:rPr>
            </w:pPr>
          </w:p>
        </w:tc>
        <w:tc>
          <w:tcPr>
            <w:tcW w:w="0" w:type="auto"/>
          </w:tcPr>
          <w:p w14:paraId="2585240B" w14:textId="77777777" w:rsidR="00A46CB1" w:rsidRPr="00DF6A2D" w:rsidRDefault="00A46CB1" w:rsidP="00DF6A2D">
            <w:pPr>
              <w:pStyle w:val="NoSpacing"/>
              <w:rPr>
                <w:sz w:val="20"/>
                <w:szCs w:val="20"/>
              </w:rPr>
            </w:pPr>
          </w:p>
        </w:tc>
        <w:tc>
          <w:tcPr>
            <w:tcW w:w="0" w:type="auto"/>
          </w:tcPr>
          <w:p w14:paraId="7FC488BE" w14:textId="77777777" w:rsidR="00A46CB1" w:rsidRPr="00DF6A2D" w:rsidRDefault="00A46CB1" w:rsidP="00DF6A2D">
            <w:pPr>
              <w:pStyle w:val="NoSpacing"/>
              <w:rPr>
                <w:sz w:val="20"/>
                <w:szCs w:val="20"/>
              </w:rPr>
            </w:pPr>
          </w:p>
        </w:tc>
        <w:tc>
          <w:tcPr>
            <w:tcW w:w="0" w:type="auto"/>
          </w:tcPr>
          <w:p w14:paraId="31BEDD8E" w14:textId="77777777" w:rsidR="00A46CB1" w:rsidRPr="00DF6A2D" w:rsidRDefault="00A46CB1" w:rsidP="00DF6A2D">
            <w:pPr>
              <w:pStyle w:val="NoSpacing"/>
              <w:rPr>
                <w:sz w:val="20"/>
                <w:szCs w:val="20"/>
              </w:rPr>
            </w:pPr>
          </w:p>
        </w:tc>
        <w:tc>
          <w:tcPr>
            <w:tcW w:w="0" w:type="auto"/>
          </w:tcPr>
          <w:p w14:paraId="0246663C" w14:textId="77777777" w:rsidR="00A46CB1" w:rsidRPr="00DF6A2D" w:rsidRDefault="00A46CB1" w:rsidP="00DF6A2D">
            <w:pPr>
              <w:pStyle w:val="NoSpacing"/>
              <w:rPr>
                <w:sz w:val="20"/>
                <w:szCs w:val="20"/>
              </w:rPr>
            </w:pPr>
          </w:p>
        </w:tc>
        <w:tc>
          <w:tcPr>
            <w:tcW w:w="0" w:type="auto"/>
          </w:tcPr>
          <w:p w14:paraId="61CCB083" w14:textId="77777777" w:rsidR="00A46CB1" w:rsidRPr="00DF6A2D" w:rsidRDefault="00A46CB1" w:rsidP="00DF6A2D">
            <w:pPr>
              <w:pStyle w:val="NoSpacing"/>
              <w:rPr>
                <w:sz w:val="20"/>
                <w:szCs w:val="20"/>
              </w:rPr>
            </w:pPr>
          </w:p>
        </w:tc>
        <w:tc>
          <w:tcPr>
            <w:tcW w:w="0" w:type="auto"/>
          </w:tcPr>
          <w:p w14:paraId="049C6B96" w14:textId="77777777" w:rsidR="00A46CB1" w:rsidRPr="00DF6A2D" w:rsidRDefault="00A46CB1" w:rsidP="00DF6A2D">
            <w:pPr>
              <w:pStyle w:val="NoSpacing"/>
              <w:rPr>
                <w:sz w:val="20"/>
                <w:szCs w:val="20"/>
              </w:rPr>
            </w:pPr>
          </w:p>
        </w:tc>
        <w:tc>
          <w:tcPr>
            <w:tcW w:w="0" w:type="auto"/>
          </w:tcPr>
          <w:p w14:paraId="7FD80360" w14:textId="77777777" w:rsidR="00A46CB1" w:rsidRPr="00DF6A2D" w:rsidRDefault="00A46CB1" w:rsidP="00DF6A2D">
            <w:pPr>
              <w:pStyle w:val="NoSpacing"/>
              <w:rPr>
                <w:sz w:val="20"/>
                <w:szCs w:val="20"/>
              </w:rPr>
            </w:pPr>
          </w:p>
        </w:tc>
        <w:tc>
          <w:tcPr>
            <w:tcW w:w="0" w:type="auto"/>
          </w:tcPr>
          <w:p w14:paraId="1D066852" w14:textId="77777777" w:rsidR="00A46CB1" w:rsidRPr="00DF6A2D" w:rsidRDefault="00A46CB1" w:rsidP="00DF6A2D">
            <w:pPr>
              <w:pStyle w:val="NoSpacing"/>
              <w:rPr>
                <w:sz w:val="20"/>
                <w:szCs w:val="20"/>
              </w:rPr>
            </w:pPr>
          </w:p>
        </w:tc>
        <w:tc>
          <w:tcPr>
            <w:tcW w:w="0" w:type="auto"/>
          </w:tcPr>
          <w:p w14:paraId="19DCE1BD" w14:textId="77777777" w:rsidR="00A46CB1" w:rsidRPr="00DF6A2D" w:rsidRDefault="00A46CB1" w:rsidP="00DF6A2D">
            <w:pPr>
              <w:pStyle w:val="NoSpacing"/>
              <w:rPr>
                <w:sz w:val="20"/>
                <w:szCs w:val="20"/>
              </w:rPr>
            </w:pPr>
          </w:p>
        </w:tc>
        <w:tc>
          <w:tcPr>
            <w:tcW w:w="0" w:type="auto"/>
          </w:tcPr>
          <w:p w14:paraId="49CCE23B" w14:textId="77777777" w:rsidR="00A46CB1" w:rsidRPr="00DF6A2D" w:rsidRDefault="00A46CB1" w:rsidP="00DF6A2D">
            <w:pPr>
              <w:pStyle w:val="NoSpacing"/>
              <w:rPr>
                <w:sz w:val="20"/>
                <w:szCs w:val="20"/>
              </w:rPr>
            </w:pPr>
          </w:p>
        </w:tc>
        <w:tc>
          <w:tcPr>
            <w:tcW w:w="0" w:type="auto"/>
          </w:tcPr>
          <w:p w14:paraId="540FD1B7" w14:textId="77777777" w:rsidR="00A46CB1" w:rsidRPr="00DF6A2D" w:rsidRDefault="00A46CB1" w:rsidP="00DF6A2D">
            <w:pPr>
              <w:pStyle w:val="NoSpacing"/>
              <w:rPr>
                <w:sz w:val="20"/>
                <w:szCs w:val="20"/>
              </w:rPr>
            </w:pPr>
          </w:p>
        </w:tc>
        <w:tc>
          <w:tcPr>
            <w:tcW w:w="0" w:type="auto"/>
          </w:tcPr>
          <w:p w14:paraId="7DED42FA" w14:textId="77777777" w:rsidR="00A46CB1" w:rsidRPr="00DF6A2D" w:rsidRDefault="00A46CB1" w:rsidP="00DF6A2D">
            <w:pPr>
              <w:pStyle w:val="NoSpacing"/>
              <w:rPr>
                <w:sz w:val="20"/>
                <w:szCs w:val="20"/>
              </w:rPr>
            </w:pPr>
          </w:p>
        </w:tc>
        <w:tc>
          <w:tcPr>
            <w:tcW w:w="0" w:type="auto"/>
          </w:tcPr>
          <w:p w14:paraId="122F676F" w14:textId="77777777" w:rsidR="00A46CB1" w:rsidRPr="00DF6A2D" w:rsidRDefault="00A46CB1" w:rsidP="00DF6A2D">
            <w:pPr>
              <w:pStyle w:val="NoSpacing"/>
              <w:rPr>
                <w:sz w:val="20"/>
                <w:szCs w:val="20"/>
              </w:rPr>
            </w:pPr>
          </w:p>
        </w:tc>
        <w:tc>
          <w:tcPr>
            <w:tcW w:w="0" w:type="auto"/>
          </w:tcPr>
          <w:p w14:paraId="3F9FD57B" w14:textId="77777777" w:rsidR="00A46CB1" w:rsidRPr="00DF6A2D" w:rsidRDefault="00A46CB1" w:rsidP="00DF6A2D">
            <w:pPr>
              <w:pStyle w:val="NoSpacing"/>
              <w:rPr>
                <w:sz w:val="20"/>
                <w:szCs w:val="20"/>
              </w:rPr>
            </w:pPr>
          </w:p>
        </w:tc>
      </w:tr>
      <w:tr w:rsidR="00DF6A2D" w:rsidRPr="00DF6A2D" w14:paraId="6E4FA5EC" w14:textId="77777777" w:rsidTr="00DF6A2D">
        <w:tc>
          <w:tcPr>
            <w:tcW w:w="0" w:type="auto"/>
          </w:tcPr>
          <w:p w14:paraId="797770A7" w14:textId="633C48BD" w:rsidR="00490CEF" w:rsidRPr="00DF6A2D" w:rsidRDefault="00BD28ED" w:rsidP="00DF6A2D">
            <w:pPr>
              <w:pStyle w:val="NoSpacing"/>
              <w:rPr>
                <w:sz w:val="20"/>
                <w:szCs w:val="20"/>
              </w:rPr>
            </w:pPr>
            <w:r w:rsidRPr="00DF6A2D">
              <w:rPr>
                <w:sz w:val="20"/>
                <w:szCs w:val="20"/>
              </w:rPr>
              <w:t>5. Football bowl</w:t>
            </w:r>
            <w:r w:rsidR="00A46CB1" w:rsidRPr="00DF6A2D">
              <w:rPr>
                <w:sz w:val="20"/>
                <w:szCs w:val="20"/>
              </w:rPr>
              <w:t xml:space="preserve"> </w:t>
            </w:r>
            <w:r w:rsidRPr="00DF6A2D">
              <w:rPr>
                <w:sz w:val="20"/>
                <w:szCs w:val="20"/>
              </w:rPr>
              <w:t>subdivision</w:t>
            </w:r>
          </w:p>
        </w:tc>
        <w:tc>
          <w:tcPr>
            <w:tcW w:w="0" w:type="auto"/>
          </w:tcPr>
          <w:p w14:paraId="76299FA4" w14:textId="470F39D9" w:rsidR="00490CEF" w:rsidRPr="00DF6A2D" w:rsidRDefault="00A46CB1" w:rsidP="00DF6A2D">
            <w:pPr>
              <w:pStyle w:val="NoSpacing"/>
              <w:rPr>
                <w:sz w:val="20"/>
                <w:szCs w:val="20"/>
              </w:rPr>
            </w:pPr>
            <w:r w:rsidRPr="00DF6A2D">
              <w:rPr>
                <w:sz w:val="20"/>
                <w:szCs w:val="20"/>
              </w:rPr>
              <w:t>0.72</w:t>
            </w:r>
          </w:p>
        </w:tc>
        <w:tc>
          <w:tcPr>
            <w:tcW w:w="0" w:type="auto"/>
          </w:tcPr>
          <w:p w14:paraId="35DE42DA" w14:textId="27D495F9" w:rsidR="00490CEF" w:rsidRPr="00DF6A2D" w:rsidRDefault="00A46CB1" w:rsidP="00DF6A2D">
            <w:pPr>
              <w:pStyle w:val="NoSpacing"/>
              <w:rPr>
                <w:sz w:val="20"/>
                <w:szCs w:val="20"/>
              </w:rPr>
            </w:pPr>
            <w:r w:rsidRPr="00DF6A2D">
              <w:rPr>
                <w:sz w:val="20"/>
                <w:szCs w:val="20"/>
              </w:rPr>
              <w:t>0.45</w:t>
            </w:r>
          </w:p>
        </w:tc>
        <w:tc>
          <w:tcPr>
            <w:tcW w:w="0" w:type="auto"/>
          </w:tcPr>
          <w:p w14:paraId="2AB76ACE" w14:textId="73998035" w:rsidR="00490CEF" w:rsidRPr="00DF6A2D" w:rsidRDefault="00A46CB1" w:rsidP="00DF6A2D">
            <w:pPr>
              <w:pStyle w:val="NoSpacing"/>
              <w:rPr>
                <w:sz w:val="20"/>
                <w:szCs w:val="20"/>
              </w:rPr>
            </w:pPr>
            <w:r w:rsidRPr="00DF6A2D">
              <w:rPr>
                <w:sz w:val="20"/>
                <w:szCs w:val="20"/>
              </w:rPr>
              <w:t>0</w:t>
            </w:r>
          </w:p>
        </w:tc>
        <w:tc>
          <w:tcPr>
            <w:tcW w:w="0" w:type="auto"/>
          </w:tcPr>
          <w:p w14:paraId="598930DC" w14:textId="667D59E8" w:rsidR="00490CEF" w:rsidRPr="00DF6A2D" w:rsidRDefault="00A46CB1" w:rsidP="00DF6A2D">
            <w:pPr>
              <w:pStyle w:val="NoSpacing"/>
              <w:rPr>
                <w:sz w:val="20"/>
                <w:szCs w:val="20"/>
              </w:rPr>
            </w:pPr>
            <w:r w:rsidRPr="00DF6A2D">
              <w:rPr>
                <w:sz w:val="20"/>
                <w:szCs w:val="20"/>
              </w:rPr>
              <w:t>1</w:t>
            </w:r>
          </w:p>
        </w:tc>
        <w:tc>
          <w:tcPr>
            <w:tcW w:w="0" w:type="auto"/>
          </w:tcPr>
          <w:p w14:paraId="7F244175" w14:textId="17CFA4C1" w:rsidR="00490CEF" w:rsidRPr="00DF6A2D" w:rsidRDefault="00A46CB1" w:rsidP="00DF6A2D">
            <w:pPr>
              <w:pStyle w:val="NoSpacing"/>
              <w:rPr>
                <w:sz w:val="20"/>
                <w:szCs w:val="20"/>
              </w:rPr>
            </w:pPr>
            <w:r w:rsidRPr="00DF6A2D">
              <w:rPr>
                <w:sz w:val="20"/>
                <w:szCs w:val="20"/>
              </w:rPr>
              <w:t>0</w:t>
            </w:r>
          </w:p>
        </w:tc>
        <w:tc>
          <w:tcPr>
            <w:tcW w:w="0" w:type="auto"/>
          </w:tcPr>
          <w:p w14:paraId="2CF02808" w14:textId="14A56205" w:rsidR="00490CEF" w:rsidRPr="00DF6A2D" w:rsidRDefault="00A46CB1" w:rsidP="00DF6A2D">
            <w:pPr>
              <w:pStyle w:val="NoSpacing"/>
              <w:rPr>
                <w:sz w:val="20"/>
                <w:szCs w:val="20"/>
              </w:rPr>
            </w:pPr>
            <w:r w:rsidRPr="00DF6A2D">
              <w:rPr>
                <w:sz w:val="20"/>
                <w:szCs w:val="20"/>
              </w:rPr>
              <w:t>0.07**</w:t>
            </w:r>
          </w:p>
        </w:tc>
        <w:tc>
          <w:tcPr>
            <w:tcW w:w="0" w:type="auto"/>
          </w:tcPr>
          <w:p w14:paraId="143C7E92" w14:textId="2CECDE00" w:rsidR="00490CEF" w:rsidRPr="00DF6A2D" w:rsidRDefault="00A46CB1" w:rsidP="00DF6A2D">
            <w:pPr>
              <w:pStyle w:val="NoSpacing"/>
              <w:rPr>
                <w:sz w:val="20"/>
                <w:szCs w:val="20"/>
              </w:rPr>
            </w:pPr>
            <w:r w:rsidRPr="00DF6A2D">
              <w:rPr>
                <w:sz w:val="20"/>
                <w:szCs w:val="20"/>
              </w:rPr>
              <w:t>0.06*</w:t>
            </w:r>
          </w:p>
        </w:tc>
        <w:tc>
          <w:tcPr>
            <w:tcW w:w="0" w:type="auto"/>
          </w:tcPr>
          <w:p w14:paraId="6FD05B56" w14:textId="0D689668" w:rsidR="00490CEF" w:rsidRPr="00DF6A2D" w:rsidRDefault="00A46CB1" w:rsidP="00DF6A2D">
            <w:pPr>
              <w:pStyle w:val="NoSpacing"/>
              <w:rPr>
                <w:sz w:val="20"/>
                <w:szCs w:val="20"/>
              </w:rPr>
            </w:pPr>
            <w:r w:rsidRPr="00DF6A2D">
              <w:rPr>
                <w:sz w:val="20"/>
                <w:szCs w:val="20"/>
              </w:rPr>
              <w:t>-0.00</w:t>
            </w:r>
          </w:p>
        </w:tc>
        <w:tc>
          <w:tcPr>
            <w:tcW w:w="0" w:type="auto"/>
          </w:tcPr>
          <w:p w14:paraId="274CEA34" w14:textId="77777777" w:rsidR="00490CEF" w:rsidRPr="00DF6A2D" w:rsidRDefault="00490CEF" w:rsidP="00DF6A2D">
            <w:pPr>
              <w:pStyle w:val="NoSpacing"/>
              <w:rPr>
                <w:sz w:val="20"/>
                <w:szCs w:val="20"/>
              </w:rPr>
            </w:pPr>
          </w:p>
        </w:tc>
        <w:tc>
          <w:tcPr>
            <w:tcW w:w="0" w:type="auto"/>
          </w:tcPr>
          <w:p w14:paraId="4CC19F63" w14:textId="77777777" w:rsidR="00490CEF" w:rsidRPr="00DF6A2D" w:rsidRDefault="00490CEF" w:rsidP="00DF6A2D">
            <w:pPr>
              <w:pStyle w:val="NoSpacing"/>
              <w:rPr>
                <w:sz w:val="20"/>
                <w:szCs w:val="20"/>
              </w:rPr>
            </w:pPr>
          </w:p>
        </w:tc>
        <w:tc>
          <w:tcPr>
            <w:tcW w:w="0" w:type="auto"/>
          </w:tcPr>
          <w:p w14:paraId="3B0C7248" w14:textId="77777777" w:rsidR="00490CEF" w:rsidRPr="00DF6A2D" w:rsidRDefault="00490CEF" w:rsidP="00DF6A2D">
            <w:pPr>
              <w:pStyle w:val="NoSpacing"/>
              <w:rPr>
                <w:sz w:val="20"/>
                <w:szCs w:val="20"/>
              </w:rPr>
            </w:pPr>
          </w:p>
        </w:tc>
        <w:tc>
          <w:tcPr>
            <w:tcW w:w="0" w:type="auto"/>
          </w:tcPr>
          <w:p w14:paraId="6788FB69" w14:textId="77777777" w:rsidR="00490CEF" w:rsidRPr="00DF6A2D" w:rsidRDefault="00490CEF" w:rsidP="00DF6A2D">
            <w:pPr>
              <w:pStyle w:val="NoSpacing"/>
              <w:rPr>
                <w:sz w:val="20"/>
                <w:szCs w:val="20"/>
              </w:rPr>
            </w:pPr>
          </w:p>
        </w:tc>
        <w:tc>
          <w:tcPr>
            <w:tcW w:w="0" w:type="auto"/>
          </w:tcPr>
          <w:p w14:paraId="0D21E163" w14:textId="77777777" w:rsidR="00490CEF" w:rsidRPr="00DF6A2D" w:rsidRDefault="00490CEF" w:rsidP="00DF6A2D">
            <w:pPr>
              <w:pStyle w:val="NoSpacing"/>
              <w:rPr>
                <w:sz w:val="20"/>
                <w:szCs w:val="20"/>
              </w:rPr>
            </w:pPr>
          </w:p>
        </w:tc>
        <w:tc>
          <w:tcPr>
            <w:tcW w:w="0" w:type="auto"/>
          </w:tcPr>
          <w:p w14:paraId="67D03834" w14:textId="77777777" w:rsidR="00490CEF" w:rsidRPr="00DF6A2D" w:rsidRDefault="00490CEF" w:rsidP="00DF6A2D">
            <w:pPr>
              <w:pStyle w:val="NoSpacing"/>
              <w:rPr>
                <w:sz w:val="20"/>
                <w:szCs w:val="20"/>
              </w:rPr>
            </w:pPr>
          </w:p>
        </w:tc>
        <w:tc>
          <w:tcPr>
            <w:tcW w:w="0" w:type="auto"/>
          </w:tcPr>
          <w:p w14:paraId="3A09074C" w14:textId="77777777" w:rsidR="00490CEF" w:rsidRPr="00DF6A2D" w:rsidRDefault="00490CEF" w:rsidP="00DF6A2D">
            <w:pPr>
              <w:pStyle w:val="NoSpacing"/>
              <w:rPr>
                <w:sz w:val="20"/>
                <w:szCs w:val="20"/>
              </w:rPr>
            </w:pPr>
          </w:p>
        </w:tc>
        <w:tc>
          <w:tcPr>
            <w:tcW w:w="0" w:type="auto"/>
          </w:tcPr>
          <w:p w14:paraId="0769B160" w14:textId="77777777" w:rsidR="00490CEF" w:rsidRPr="00DF6A2D" w:rsidRDefault="00490CEF" w:rsidP="00DF6A2D">
            <w:pPr>
              <w:pStyle w:val="NoSpacing"/>
              <w:rPr>
                <w:sz w:val="20"/>
                <w:szCs w:val="20"/>
              </w:rPr>
            </w:pPr>
          </w:p>
        </w:tc>
        <w:tc>
          <w:tcPr>
            <w:tcW w:w="0" w:type="auto"/>
          </w:tcPr>
          <w:p w14:paraId="7CC65D47" w14:textId="77777777" w:rsidR="00490CEF" w:rsidRPr="00DF6A2D" w:rsidRDefault="00490CEF" w:rsidP="00DF6A2D">
            <w:pPr>
              <w:pStyle w:val="NoSpacing"/>
              <w:rPr>
                <w:sz w:val="20"/>
                <w:szCs w:val="20"/>
              </w:rPr>
            </w:pPr>
          </w:p>
        </w:tc>
        <w:tc>
          <w:tcPr>
            <w:tcW w:w="0" w:type="auto"/>
          </w:tcPr>
          <w:p w14:paraId="60F56FD7" w14:textId="77777777" w:rsidR="00490CEF" w:rsidRPr="00DF6A2D" w:rsidRDefault="00490CEF" w:rsidP="00DF6A2D">
            <w:pPr>
              <w:pStyle w:val="NoSpacing"/>
              <w:rPr>
                <w:sz w:val="20"/>
                <w:szCs w:val="20"/>
              </w:rPr>
            </w:pPr>
          </w:p>
        </w:tc>
        <w:tc>
          <w:tcPr>
            <w:tcW w:w="0" w:type="auto"/>
          </w:tcPr>
          <w:p w14:paraId="42D07F78" w14:textId="77777777" w:rsidR="00490CEF" w:rsidRPr="00DF6A2D" w:rsidRDefault="00490CEF" w:rsidP="00DF6A2D">
            <w:pPr>
              <w:pStyle w:val="NoSpacing"/>
              <w:rPr>
                <w:sz w:val="20"/>
                <w:szCs w:val="20"/>
              </w:rPr>
            </w:pPr>
          </w:p>
        </w:tc>
        <w:tc>
          <w:tcPr>
            <w:tcW w:w="0" w:type="auto"/>
          </w:tcPr>
          <w:p w14:paraId="53B6FBCE" w14:textId="77777777" w:rsidR="00490CEF" w:rsidRPr="00DF6A2D" w:rsidRDefault="00490CEF" w:rsidP="00DF6A2D">
            <w:pPr>
              <w:pStyle w:val="NoSpacing"/>
              <w:rPr>
                <w:sz w:val="20"/>
                <w:szCs w:val="20"/>
              </w:rPr>
            </w:pPr>
          </w:p>
        </w:tc>
        <w:tc>
          <w:tcPr>
            <w:tcW w:w="0" w:type="auto"/>
          </w:tcPr>
          <w:p w14:paraId="2DE6E62E" w14:textId="77777777" w:rsidR="00490CEF" w:rsidRPr="00DF6A2D" w:rsidRDefault="00490CEF" w:rsidP="00DF6A2D">
            <w:pPr>
              <w:pStyle w:val="NoSpacing"/>
              <w:rPr>
                <w:sz w:val="20"/>
                <w:szCs w:val="20"/>
              </w:rPr>
            </w:pPr>
          </w:p>
        </w:tc>
        <w:tc>
          <w:tcPr>
            <w:tcW w:w="0" w:type="auto"/>
          </w:tcPr>
          <w:p w14:paraId="0E192C1C" w14:textId="77777777" w:rsidR="00490CEF" w:rsidRPr="00DF6A2D" w:rsidRDefault="00490CEF" w:rsidP="00DF6A2D">
            <w:pPr>
              <w:pStyle w:val="NoSpacing"/>
              <w:rPr>
                <w:sz w:val="20"/>
                <w:szCs w:val="20"/>
              </w:rPr>
            </w:pPr>
          </w:p>
        </w:tc>
        <w:tc>
          <w:tcPr>
            <w:tcW w:w="0" w:type="auto"/>
          </w:tcPr>
          <w:p w14:paraId="76BDE6E4" w14:textId="77777777" w:rsidR="00490CEF" w:rsidRPr="00DF6A2D" w:rsidRDefault="00490CEF" w:rsidP="00DF6A2D">
            <w:pPr>
              <w:pStyle w:val="NoSpacing"/>
              <w:rPr>
                <w:sz w:val="20"/>
                <w:szCs w:val="20"/>
              </w:rPr>
            </w:pPr>
          </w:p>
        </w:tc>
      </w:tr>
      <w:tr w:rsidR="00DF6A2D" w:rsidRPr="00DF6A2D" w14:paraId="2EFAB4EE" w14:textId="77777777" w:rsidTr="00DF6A2D">
        <w:tc>
          <w:tcPr>
            <w:tcW w:w="0" w:type="auto"/>
          </w:tcPr>
          <w:p w14:paraId="009D3A8F" w14:textId="40B6634A" w:rsidR="002D2DB3" w:rsidRPr="00DF6A2D" w:rsidRDefault="002D2DB3" w:rsidP="00DF6A2D">
            <w:pPr>
              <w:pStyle w:val="NoSpacing"/>
              <w:rPr>
                <w:sz w:val="20"/>
                <w:szCs w:val="20"/>
              </w:rPr>
            </w:pPr>
            <w:r w:rsidRPr="00DF6A2D">
              <w:rPr>
                <w:sz w:val="20"/>
                <w:szCs w:val="20"/>
              </w:rPr>
              <w:t xml:space="preserve">6. Alumni </w:t>
            </w:r>
          </w:p>
        </w:tc>
        <w:tc>
          <w:tcPr>
            <w:tcW w:w="0" w:type="auto"/>
          </w:tcPr>
          <w:p w14:paraId="2ADC421D" w14:textId="300BE89F" w:rsidR="002D2DB3" w:rsidRPr="00DF6A2D" w:rsidRDefault="009F2228" w:rsidP="00DF6A2D">
            <w:pPr>
              <w:pStyle w:val="NoSpacing"/>
              <w:rPr>
                <w:sz w:val="20"/>
                <w:szCs w:val="20"/>
              </w:rPr>
            </w:pPr>
            <w:r w:rsidRPr="00DF6A2D">
              <w:rPr>
                <w:sz w:val="20"/>
                <w:szCs w:val="20"/>
              </w:rPr>
              <w:t>0.13</w:t>
            </w:r>
          </w:p>
        </w:tc>
        <w:tc>
          <w:tcPr>
            <w:tcW w:w="0" w:type="auto"/>
          </w:tcPr>
          <w:p w14:paraId="5EE114EC" w14:textId="6434962A" w:rsidR="002D2DB3" w:rsidRPr="00DF6A2D" w:rsidRDefault="009F2228" w:rsidP="00DF6A2D">
            <w:pPr>
              <w:pStyle w:val="NoSpacing"/>
              <w:rPr>
                <w:sz w:val="20"/>
                <w:szCs w:val="20"/>
              </w:rPr>
            </w:pPr>
            <w:r w:rsidRPr="00DF6A2D">
              <w:rPr>
                <w:sz w:val="20"/>
                <w:szCs w:val="20"/>
              </w:rPr>
              <w:t>0.33</w:t>
            </w:r>
          </w:p>
        </w:tc>
        <w:tc>
          <w:tcPr>
            <w:tcW w:w="0" w:type="auto"/>
          </w:tcPr>
          <w:p w14:paraId="7BEC8486" w14:textId="6D6440E4" w:rsidR="002D2DB3" w:rsidRPr="00DF6A2D" w:rsidRDefault="009F2228" w:rsidP="00DF6A2D">
            <w:pPr>
              <w:pStyle w:val="NoSpacing"/>
              <w:rPr>
                <w:sz w:val="20"/>
                <w:szCs w:val="20"/>
              </w:rPr>
            </w:pPr>
            <w:r w:rsidRPr="00DF6A2D">
              <w:rPr>
                <w:sz w:val="20"/>
                <w:szCs w:val="20"/>
              </w:rPr>
              <w:t>0</w:t>
            </w:r>
          </w:p>
        </w:tc>
        <w:tc>
          <w:tcPr>
            <w:tcW w:w="0" w:type="auto"/>
          </w:tcPr>
          <w:p w14:paraId="3BA508A8" w14:textId="61779CEA" w:rsidR="002D2DB3" w:rsidRPr="00DF6A2D" w:rsidRDefault="009F2228" w:rsidP="00DF6A2D">
            <w:pPr>
              <w:pStyle w:val="NoSpacing"/>
              <w:rPr>
                <w:sz w:val="20"/>
                <w:szCs w:val="20"/>
              </w:rPr>
            </w:pPr>
            <w:r w:rsidRPr="00DF6A2D">
              <w:rPr>
                <w:sz w:val="20"/>
                <w:szCs w:val="20"/>
              </w:rPr>
              <w:t>1</w:t>
            </w:r>
          </w:p>
        </w:tc>
        <w:tc>
          <w:tcPr>
            <w:tcW w:w="0" w:type="auto"/>
          </w:tcPr>
          <w:p w14:paraId="4549F829" w14:textId="56ACC6A0" w:rsidR="002D2DB3" w:rsidRPr="00DF6A2D" w:rsidRDefault="009F2228" w:rsidP="00DF6A2D">
            <w:pPr>
              <w:pStyle w:val="NoSpacing"/>
              <w:rPr>
                <w:sz w:val="20"/>
                <w:szCs w:val="20"/>
              </w:rPr>
            </w:pPr>
            <w:r w:rsidRPr="00DF6A2D">
              <w:rPr>
                <w:sz w:val="20"/>
                <w:szCs w:val="20"/>
              </w:rPr>
              <w:t>-0.02</w:t>
            </w:r>
          </w:p>
        </w:tc>
        <w:tc>
          <w:tcPr>
            <w:tcW w:w="0" w:type="auto"/>
          </w:tcPr>
          <w:p w14:paraId="41C222A6" w14:textId="749D7D0A" w:rsidR="002D2DB3" w:rsidRPr="00DF6A2D" w:rsidRDefault="002D2DB3" w:rsidP="00DF6A2D">
            <w:pPr>
              <w:pStyle w:val="NoSpacing"/>
              <w:rPr>
                <w:sz w:val="20"/>
                <w:szCs w:val="20"/>
              </w:rPr>
            </w:pPr>
            <w:r w:rsidRPr="00DF6A2D">
              <w:rPr>
                <w:sz w:val="20"/>
                <w:szCs w:val="20"/>
              </w:rPr>
              <w:t>0.14**</w:t>
            </w:r>
          </w:p>
        </w:tc>
        <w:tc>
          <w:tcPr>
            <w:tcW w:w="0" w:type="auto"/>
          </w:tcPr>
          <w:p w14:paraId="4FB80768" w14:textId="58D2EC0E" w:rsidR="002D2DB3" w:rsidRPr="00DF6A2D" w:rsidRDefault="002D2DB3" w:rsidP="00DF6A2D">
            <w:pPr>
              <w:pStyle w:val="NoSpacing"/>
              <w:rPr>
                <w:sz w:val="20"/>
                <w:szCs w:val="20"/>
              </w:rPr>
            </w:pPr>
            <w:r w:rsidRPr="00DF6A2D">
              <w:rPr>
                <w:sz w:val="20"/>
                <w:szCs w:val="20"/>
              </w:rPr>
              <w:t>0.02</w:t>
            </w:r>
          </w:p>
        </w:tc>
        <w:tc>
          <w:tcPr>
            <w:tcW w:w="0" w:type="auto"/>
          </w:tcPr>
          <w:p w14:paraId="6200F719" w14:textId="2EB6C601" w:rsidR="002D2DB3" w:rsidRPr="00DF6A2D" w:rsidRDefault="002D2DB3" w:rsidP="00DF6A2D">
            <w:pPr>
              <w:pStyle w:val="NoSpacing"/>
              <w:rPr>
                <w:sz w:val="20"/>
                <w:szCs w:val="20"/>
              </w:rPr>
            </w:pPr>
            <w:r w:rsidRPr="00DF6A2D">
              <w:rPr>
                <w:sz w:val="20"/>
                <w:szCs w:val="20"/>
              </w:rPr>
              <w:t>-0.01</w:t>
            </w:r>
          </w:p>
        </w:tc>
        <w:tc>
          <w:tcPr>
            <w:tcW w:w="0" w:type="auto"/>
          </w:tcPr>
          <w:p w14:paraId="5A145D83" w14:textId="34D6E3F0" w:rsidR="002D2DB3" w:rsidRPr="00DF6A2D" w:rsidRDefault="002D2DB3" w:rsidP="00DF6A2D">
            <w:pPr>
              <w:pStyle w:val="NoSpacing"/>
              <w:rPr>
                <w:sz w:val="20"/>
                <w:szCs w:val="20"/>
              </w:rPr>
            </w:pPr>
            <w:r w:rsidRPr="00DF6A2D">
              <w:rPr>
                <w:sz w:val="20"/>
                <w:szCs w:val="20"/>
              </w:rPr>
              <w:t>0</w:t>
            </w:r>
          </w:p>
        </w:tc>
        <w:tc>
          <w:tcPr>
            <w:tcW w:w="0" w:type="auto"/>
          </w:tcPr>
          <w:p w14:paraId="5A5445DA" w14:textId="77777777" w:rsidR="002D2DB3" w:rsidRPr="00DF6A2D" w:rsidRDefault="002D2DB3" w:rsidP="00DF6A2D">
            <w:pPr>
              <w:pStyle w:val="NoSpacing"/>
              <w:rPr>
                <w:sz w:val="20"/>
                <w:szCs w:val="20"/>
              </w:rPr>
            </w:pPr>
          </w:p>
        </w:tc>
        <w:tc>
          <w:tcPr>
            <w:tcW w:w="0" w:type="auto"/>
          </w:tcPr>
          <w:p w14:paraId="6E089F2C" w14:textId="77777777" w:rsidR="002D2DB3" w:rsidRPr="00DF6A2D" w:rsidRDefault="002D2DB3" w:rsidP="00DF6A2D">
            <w:pPr>
              <w:pStyle w:val="NoSpacing"/>
              <w:rPr>
                <w:sz w:val="20"/>
                <w:szCs w:val="20"/>
              </w:rPr>
            </w:pPr>
          </w:p>
        </w:tc>
        <w:tc>
          <w:tcPr>
            <w:tcW w:w="0" w:type="auto"/>
          </w:tcPr>
          <w:p w14:paraId="5BCF592A" w14:textId="77777777" w:rsidR="002D2DB3" w:rsidRPr="00DF6A2D" w:rsidRDefault="002D2DB3" w:rsidP="00DF6A2D">
            <w:pPr>
              <w:pStyle w:val="NoSpacing"/>
              <w:rPr>
                <w:sz w:val="20"/>
                <w:szCs w:val="20"/>
              </w:rPr>
            </w:pPr>
          </w:p>
        </w:tc>
        <w:tc>
          <w:tcPr>
            <w:tcW w:w="0" w:type="auto"/>
          </w:tcPr>
          <w:p w14:paraId="3C9C759A" w14:textId="77777777" w:rsidR="002D2DB3" w:rsidRPr="00DF6A2D" w:rsidRDefault="002D2DB3" w:rsidP="00DF6A2D">
            <w:pPr>
              <w:pStyle w:val="NoSpacing"/>
              <w:rPr>
                <w:sz w:val="20"/>
                <w:szCs w:val="20"/>
              </w:rPr>
            </w:pPr>
          </w:p>
        </w:tc>
        <w:tc>
          <w:tcPr>
            <w:tcW w:w="0" w:type="auto"/>
          </w:tcPr>
          <w:p w14:paraId="59586A83" w14:textId="77777777" w:rsidR="002D2DB3" w:rsidRPr="00DF6A2D" w:rsidRDefault="002D2DB3" w:rsidP="00DF6A2D">
            <w:pPr>
              <w:pStyle w:val="NoSpacing"/>
              <w:rPr>
                <w:sz w:val="20"/>
                <w:szCs w:val="20"/>
              </w:rPr>
            </w:pPr>
          </w:p>
        </w:tc>
        <w:tc>
          <w:tcPr>
            <w:tcW w:w="0" w:type="auto"/>
          </w:tcPr>
          <w:p w14:paraId="2FFB0E10" w14:textId="77777777" w:rsidR="002D2DB3" w:rsidRPr="00DF6A2D" w:rsidRDefault="002D2DB3" w:rsidP="00DF6A2D">
            <w:pPr>
              <w:pStyle w:val="NoSpacing"/>
              <w:rPr>
                <w:sz w:val="20"/>
                <w:szCs w:val="20"/>
              </w:rPr>
            </w:pPr>
          </w:p>
        </w:tc>
        <w:tc>
          <w:tcPr>
            <w:tcW w:w="0" w:type="auto"/>
          </w:tcPr>
          <w:p w14:paraId="4D5759EC" w14:textId="77777777" w:rsidR="002D2DB3" w:rsidRPr="00DF6A2D" w:rsidRDefault="002D2DB3" w:rsidP="00DF6A2D">
            <w:pPr>
              <w:pStyle w:val="NoSpacing"/>
              <w:rPr>
                <w:sz w:val="20"/>
                <w:szCs w:val="20"/>
              </w:rPr>
            </w:pPr>
          </w:p>
        </w:tc>
        <w:tc>
          <w:tcPr>
            <w:tcW w:w="0" w:type="auto"/>
          </w:tcPr>
          <w:p w14:paraId="2B2191F8" w14:textId="77777777" w:rsidR="002D2DB3" w:rsidRPr="00DF6A2D" w:rsidRDefault="002D2DB3" w:rsidP="00DF6A2D">
            <w:pPr>
              <w:pStyle w:val="NoSpacing"/>
              <w:rPr>
                <w:sz w:val="20"/>
                <w:szCs w:val="20"/>
              </w:rPr>
            </w:pPr>
          </w:p>
        </w:tc>
        <w:tc>
          <w:tcPr>
            <w:tcW w:w="0" w:type="auto"/>
          </w:tcPr>
          <w:p w14:paraId="41E9ABC3" w14:textId="77777777" w:rsidR="002D2DB3" w:rsidRPr="00DF6A2D" w:rsidRDefault="002D2DB3" w:rsidP="00DF6A2D">
            <w:pPr>
              <w:pStyle w:val="NoSpacing"/>
              <w:rPr>
                <w:sz w:val="20"/>
                <w:szCs w:val="20"/>
              </w:rPr>
            </w:pPr>
          </w:p>
        </w:tc>
        <w:tc>
          <w:tcPr>
            <w:tcW w:w="0" w:type="auto"/>
          </w:tcPr>
          <w:p w14:paraId="3C6F3B6C" w14:textId="77777777" w:rsidR="002D2DB3" w:rsidRPr="00DF6A2D" w:rsidRDefault="002D2DB3" w:rsidP="00DF6A2D">
            <w:pPr>
              <w:pStyle w:val="NoSpacing"/>
              <w:rPr>
                <w:sz w:val="20"/>
                <w:szCs w:val="20"/>
              </w:rPr>
            </w:pPr>
          </w:p>
        </w:tc>
        <w:tc>
          <w:tcPr>
            <w:tcW w:w="0" w:type="auto"/>
          </w:tcPr>
          <w:p w14:paraId="12476113" w14:textId="77777777" w:rsidR="002D2DB3" w:rsidRPr="00DF6A2D" w:rsidRDefault="002D2DB3" w:rsidP="00DF6A2D">
            <w:pPr>
              <w:pStyle w:val="NoSpacing"/>
              <w:rPr>
                <w:sz w:val="20"/>
                <w:szCs w:val="20"/>
              </w:rPr>
            </w:pPr>
          </w:p>
        </w:tc>
        <w:tc>
          <w:tcPr>
            <w:tcW w:w="0" w:type="auto"/>
          </w:tcPr>
          <w:p w14:paraId="5763CA47" w14:textId="77777777" w:rsidR="002D2DB3" w:rsidRPr="00DF6A2D" w:rsidRDefault="002D2DB3" w:rsidP="00DF6A2D">
            <w:pPr>
              <w:pStyle w:val="NoSpacing"/>
              <w:rPr>
                <w:sz w:val="20"/>
                <w:szCs w:val="20"/>
              </w:rPr>
            </w:pPr>
          </w:p>
        </w:tc>
        <w:tc>
          <w:tcPr>
            <w:tcW w:w="0" w:type="auto"/>
          </w:tcPr>
          <w:p w14:paraId="2A53DE5C" w14:textId="77777777" w:rsidR="002D2DB3" w:rsidRPr="00DF6A2D" w:rsidRDefault="002D2DB3" w:rsidP="00DF6A2D">
            <w:pPr>
              <w:pStyle w:val="NoSpacing"/>
              <w:rPr>
                <w:sz w:val="20"/>
                <w:szCs w:val="20"/>
              </w:rPr>
            </w:pPr>
          </w:p>
        </w:tc>
        <w:tc>
          <w:tcPr>
            <w:tcW w:w="0" w:type="auto"/>
          </w:tcPr>
          <w:p w14:paraId="6E863DB8" w14:textId="77777777" w:rsidR="002D2DB3" w:rsidRPr="00DF6A2D" w:rsidRDefault="002D2DB3" w:rsidP="00DF6A2D">
            <w:pPr>
              <w:pStyle w:val="NoSpacing"/>
              <w:rPr>
                <w:sz w:val="20"/>
                <w:szCs w:val="20"/>
              </w:rPr>
            </w:pPr>
          </w:p>
        </w:tc>
      </w:tr>
      <w:tr w:rsidR="00DF6A2D" w:rsidRPr="00DF6A2D" w14:paraId="0828B6E3" w14:textId="77777777" w:rsidTr="00DF6A2D">
        <w:tc>
          <w:tcPr>
            <w:tcW w:w="0" w:type="auto"/>
          </w:tcPr>
          <w:p w14:paraId="62FBD651" w14:textId="6FCF6CDB" w:rsidR="00490CEF" w:rsidRPr="00DF6A2D" w:rsidRDefault="00BD28ED" w:rsidP="00DF6A2D">
            <w:pPr>
              <w:pStyle w:val="NoSpacing"/>
              <w:rPr>
                <w:sz w:val="20"/>
                <w:szCs w:val="20"/>
              </w:rPr>
            </w:pPr>
            <w:r w:rsidRPr="00DF6A2D">
              <w:rPr>
                <w:sz w:val="20"/>
                <w:szCs w:val="20"/>
              </w:rPr>
              <w:t>7. Former</w:t>
            </w:r>
            <w:r w:rsidR="0085180E" w:rsidRPr="00DF6A2D">
              <w:rPr>
                <w:sz w:val="20"/>
                <w:szCs w:val="20"/>
              </w:rPr>
              <w:t xml:space="preserve"> </w:t>
            </w:r>
            <w:r w:rsidRPr="00DF6A2D">
              <w:rPr>
                <w:sz w:val="20"/>
                <w:szCs w:val="20"/>
              </w:rPr>
              <w:t>division 1</w:t>
            </w:r>
            <w:r w:rsidR="0085180E" w:rsidRPr="00DF6A2D">
              <w:rPr>
                <w:sz w:val="20"/>
                <w:szCs w:val="20"/>
              </w:rPr>
              <w:t xml:space="preserve"> </w:t>
            </w:r>
            <w:r w:rsidRPr="00DF6A2D">
              <w:rPr>
                <w:sz w:val="20"/>
                <w:szCs w:val="20"/>
              </w:rPr>
              <w:t>player</w:t>
            </w:r>
          </w:p>
        </w:tc>
        <w:tc>
          <w:tcPr>
            <w:tcW w:w="0" w:type="auto"/>
          </w:tcPr>
          <w:p w14:paraId="7259C2AE" w14:textId="2D87FF46" w:rsidR="00490CEF" w:rsidRPr="00DF6A2D" w:rsidRDefault="0085180E" w:rsidP="00DF6A2D">
            <w:pPr>
              <w:pStyle w:val="NoSpacing"/>
              <w:rPr>
                <w:sz w:val="20"/>
                <w:szCs w:val="20"/>
              </w:rPr>
            </w:pPr>
            <w:r w:rsidRPr="00DF6A2D">
              <w:rPr>
                <w:sz w:val="20"/>
                <w:szCs w:val="20"/>
              </w:rPr>
              <w:t>0.58</w:t>
            </w:r>
          </w:p>
        </w:tc>
        <w:tc>
          <w:tcPr>
            <w:tcW w:w="0" w:type="auto"/>
          </w:tcPr>
          <w:p w14:paraId="788E8492" w14:textId="3D40FF0C" w:rsidR="00490CEF" w:rsidRPr="00DF6A2D" w:rsidRDefault="0085180E" w:rsidP="00DF6A2D">
            <w:pPr>
              <w:pStyle w:val="NoSpacing"/>
              <w:rPr>
                <w:sz w:val="20"/>
                <w:szCs w:val="20"/>
              </w:rPr>
            </w:pPr>
            <w:r w:rsidRPr="00DF6A2D">
              <w:rPr>
                <w:sz w:val="20"/>
                <w:szCs w:val="20"/>
              </w:rPr>
              <w:t>0.49</w:t>
            </w:r>
          </w:p>
        </w:tc>
        <w:tc>
          <w:tcPr>
            <w:tcW w:w="0" w:type="auto"/>
          </w:tcPr>
          <w:p w14:paraId="0E80BC85" w14:textId="2FE84935" w:rsidR="00490CEF" w:rsidRPr="00DF6A2D" w:rsidRDefault="0085180E" w:rsidP="00DF6A2D">
            <w:pPr>
              <w:pStyle w:val="NoSpacing"/>
              <w:rPr>
                <w:sz w:val="20"/>
                <w:szCs w:val="20"/>
              </w:rPr>
            </w:pPr>
            <w:r w:rsidRPr="00DF6A2D">
              <w:rPr>
                <w:sz w:val="20"/>
                <w:szCs w:val="20"/>
              </w:rPr>
              <w:t>0</w:t>
            </w:r>
          </w:p>
        </w:tc>
        <w:tc>
          <w:tcPr>
            <w:tcW w:w="0" w:type="auto"/>
          </w:tcPr>
          <w:p w14:paraId="7BCCE7F2" w14:textId="5A1F099F" w:rsidR="00490CEF" w:rsidRPr="00DF6A2D" w:rsidRDefault="0085180E" w:rsidP="00DF6A2D">
            <w:pPr>
              <w:pStyle w:val="NoSpacing"/>
              <w:rPr>
                <w:sz w:val="20"/>
                <w:szCs w:val="20"/>
              </w:rPr>
            </w:pPr>
            <w:r w:rsidRPr="00DF6A2D">
              <w:rPr>
                <w:sz w:val="20"/>
                <w:szCs w:val="20"/>
              </w:rPr>
              <w:t>1</w:t>
            </w:r>
          </w:p>
        </w:tc>
        <w:tc>
          <w:tcPr>
            <w:tcW w:w="0" w:type="auto"/>
          </w:tcPr>
          <w:p w14:paraId="7EEB2080" w14:textId="34390F0B" w:rsidR="00490CEF" w:rsidRPr="00DF6A2D" w:rsidRDefault="0085180E" w:rsidP="00DF6A2D">
            <w:pPr>
              <w:pStyle w:val="NoSpacing"/>
              <w:rPr>
                <w:sz w:val="20"/>
                <w:szCs w:val="20"/>
              </w:rPr>
            </w:pPr>
            <w:r w:rsidRPr="00DF6A2D">
              <w:rPr>
                <w:sz w:val="20"/>
                <w:szCs w:val="20"/>
              </w:rPr>
              <w:t>-0.00</w:t>
            </w:r>
          </w:p>
        </w:tc>
        <w:tc>
          <w:tcPr>
            <w:tcW w:w="0" w:type="auto"/>
          </w:tcPr>
          <w:p w14:paraId="1D4ADCCB" w14:textId="3C6275F8" w:rsidR="00490CEF" w:rsidRPr="00DF6A2D" w:rsidRDefault="0085180E" w:rsidP="00DF6A2D">
            <w:pPr>
              <w:pStyle w:val="NoSpacing"/>
              <w:rPr>
                <w:sz w:val="20"/>
                <w:szCs w:val="20"/>
              </w:rPr>
            </w:pPr>
            <w:r w:rsidRPr="00DF6A2D">
              <w:rPr>
                <w:sz w:val="20"/>
                <w:szCs w:val="20"/>
              </w:rPr>
              <w:t>0.02</w:t>
            </w:r>
          </w:p>
        </w:tc>
        <w:tc>
          <w:tcPr>
            <w:tcW w:w="0" w:type="auto"/>
          </w:tcPr>
          <w:p w14:paraId="5C0508D3" w14:textId="46AF9F1C" w:rsidR="00490CEF" w:rsidRPr="00DF6A2D" w:rsidRDefault="0085180E" w:rsidP="00DF6A2D">
            <w:pPr>
              <w:pStyle w:val="NoSpacing"/>
              <w:rPr>
                <w:sz w:val="20"/>
                <w:szCs w:val="20"/>
              </w:rPr>
            </w:pPr>
            <w:r w:rsidRPr="00DF6A2D">
              <w:rPr>
                <w:sz w:val="20"/>
                <w:szCs w:val="20"/>
              </w:rPr>
              <w:t>0.01</w:t>
            </w:r>
          </w:p>
        </w:tc>
        <w:tc>
          <w:tcPr>
            <w:tcW w:w="0" w:type="auto"/>
          </w:tcPr>
          <w:p w14:paraId="48305F84" w14:textId="16952CAC" w:rsidR="00490CEF" w:rsidRPr="00DF6A2D" w:rsidRDefault="0085180E" w:rsidP="00DF6A2D">
            <w:pPr>
              <w:pStyle w:val="NoSpacing"/>
              <w:rPr>
                <w:sz w:val="20"/>
                <w:szCs w:val="20"/>
              </w:rPr>
            </w:pPr>
            <w:r w:rsidRPr="00DF6A2D">
              <w:rPr>
                <w:sz w:val="20"/>
                <w:szCs w:val="20"/>
              </w:rPr>
              <w:t>0.01</w:t>
            </w:r>
          </w:p>
        </w:tc>
        <w:tc>
          <w:tcPr>
            <w:tcW w:w="0" w:type="auto"/>
          </w:tcPr>
          <w:p w14:paraId="02CD3521" w14:textId="08CCB5A1" w:rsidR="00490CEF" w:rsidRPr="00DF6A2D" w:rsidRDefault="0085180E" w:rsidP="00DF6A2D">
            <w:pPr>
              <w:pStyle w:val="NoSpacing"/>
              <w:rPr>
                <w:sz w:val="20"/>
                <w:szCs w:val="20"/>
              </w:rPr>
            </w:pPr>
            <w:r w:rsidRPr="00DF6A2D">
              <w:rPr>
                <w:sz w:val="20"/>
                <w:szCs w:val="20"/>
              </w:rPr>
              <w:t>-0.04</w:t>
            </w:r>
          </w:p>
        </w:tc>
        <w:tc>
          <w:tcPr>
            <w:tcW w:w="0" w:type="auto"/>
          </w:tcPr>
          <w:p w14:paraId="157BF53A" w14:textId="35BE8D98" w:rsidR="00490CEF" w:rsidRPr="00DF6A2D" w:rsidRDefault="0085180E" w:rsidP="00DF6A2D">
            <w:pPr>
              <w:pStyle w:val="NoSpacing"/>
              <w:rPr>
                <w:sz w:val="20"/>
                <w:szCs w:val="20"/>
              </w:rPr>
            </w:pPr>
            <w:r w:rsidRPr="00DF6A2D">
              <w:rPr>
                <w:sz w:val="20"/>
                <w:szCs w:val="20"/>
              </w:rPr>
              <w:t>0.20**</w:t>
            </w:r>
          </w:p>
        </w:tc>
        <w:tc>
          <w:tcPr>
            <w:tcW w:w="0" w:type="auto"/>
          </w:tcPr>
          <w:p w14:paraId="4F7B7B6D" w14:textId="77777777" w:rsidR="00490CEF" w:rsidRPr="00DF6A2D" w:rsidRDefault="00490CEF" w:rsidP="00DF6A2D">
            <w:pPr>
              <w:pStyle w:val="NoSpacing"/>
              <w:rPr>
                <w:sz w:val="20"/>
                <w:szCs w:val="20"/>
              </w:rPr>
            </w:pPr>
          </w:p>
        </w:tc>
        <w:tc>
          <w:tcPr>
            <w:tcW w:w="0" w:type="auto"/>
          </w:tcPr>
          <w:p w14:paraId="4F3AEEC5" w14:textId="77777777" w:rsidR="00490CEF" w:rsidRPr="00DF6A2D" w:rsidRDefault="00490CEF" w:rsidP="00DF6A2D">
            <w:pPr>
              <w:pStyle w:val="NoSpacing"/>
              <w:rPr>
                <w:sz w:val="20"/>
                <w:szCs w:val="20"/>
              </w:rPr>
            </w:pPr>
          </w:p>
        </w:tc>
        <w:tc>
          <w:tcPr>
            <w:tcW w:w="0" w:type="auto"/>
          </w:tcPr>
          <w:p w14:paraId="22E6E42B" w14:textId="77777777" w:rsidR="00490CEF" w:rsidRPr="00DF6A2D" w:rsidRDefault="00490CEF" w:rsidP="00DF6A2D">
            <w:pPr>
              <w:pStyle w:val="NoSpacing"/>
              <w:rPr>
                <w:sz w:val="20"/>
                <w:szCs w:val="20"/>
              </w:rPr>
            </w:pPr>
          </w:p>
        </w:tc>
        <w:tc>
          <w:tcPr>
            <w:tcW w:w="0" w:type="auto"/>
          </w:tcPr>
          <w:p w14:paraId="0ECC0EFB" w14:textId="77777777" w:rsidR="00490CEF" w:rsidRPr="00DF6A2D" w:rsidRDefault="00490CEF" w:rsidP="00DF6A2D">
            <w:pPr>
              <w:pStyle w:val="NoSpacing"/>
              <w:rPr>
                <w:sz w:val="20"/>
                <w:szCs w:val="20"/>
              </w:rPr>
            </w:pPr>
          </w:p>
        </w:tc>
        <w:tc>
          <w:tcPr>
            <w:tcW w:w="0" w:type="auto"/>
          </w:tcPr>
          <w:p w14:paraId="45675FFE" w14:textId="77777777" w:rsidR="00490CEF" w:rsidRPr="00DF6A2D" w:rsidRDefault="00490CEF" w:rsidP="00DF6A2D">
            <w:pPr>
              <w:pStyle w:val="NoSpacing"/>
              <w:rPr>
                <w:sz w:val="20"/>
                <w:szCs w:val="20"/>
              </w:rPr>
            </w:pPr>
          </w:p>
        </w:tc>
        <w:tc>
          <w:tcPr>
            <w:tcW w:w="0" w:type="auto"/>
          </w:tcPr>
          <w:p w14:paraId="29DA5E94" w14:textId="77777777" w:rsidR="00490CEF" w:rsidRPr="00DF6A2D" w:rsidRDefault="00490CEF" w:rsidP="00DF6A2D">
            <w:pPr>
              <w:pStyle w:val="NoSpacing"/>
              <w:rPr>
                <w:sz w:val="20"/>
                <w:szCs w:val="20"/>
              </w:rPr>
            </w:pPr>
          </w:p>
        </w:tc>
        <w:tc>
          <w:tcPr>
            <w:tcW w:w="0" w:type="auto"/>
          </w:tcPr>
          <w:p w14:paraId="396B1C4C" w14:textId="77777777" w:rsidR="00490CEF" w:rsidRPr="00DF6A2D" w:rsidRDefault="00490CEF" w:rsidP="00DF6A2D">
            <w:pPr>
              <w:pStyle w:val="NoSpacing"/>
              <w:rPr>
                <w:sz w:val="20"/>
                <w:szCs w:val="20"/>
              </w:rPr>
            </w:pPr>
          </w:p>
        </w:tc>
        <w:tc>
          <w:tcPr>
            <w:tcW w:w="0" w:type="auto"/>
          </w:tcPr>
          <w:p w14:paraId="5D2962DA" w14:textId="77777777" w:rsidR="00490CEF" w:rsidRPr="00DF6A2D" w:rsidRDefault="00490CEF" w:rsidP="00DF6A2D">
            <w:pPr>
              <w:pStyle w:val="NoSpacing"/>
              <w:rPr>
                <w:sz w:val="20"/>
                <w:szCs w:val="20"/>
              </w:rPr>
            </w:pPr>
          </w:p>
        </w:tc>
        <w:tc>
          <w:tcPr>
            <w:tcW w:w="0" w:type="auto"/>
          </w:tcPr>
          <w:p w14:paraId="17C23DD5" w14:textId="77777777" w:rsidR="00490CEF" w:rsidRPr="00DF6A2D" w:rsidRDefault="00490CEF" w:rsidP="00DF6A2D">
            <w:pPr>
              <w:pStyle w:val="NoSpacing"/>
              <w:rPr>
                <w:sz w:val="20"/>
                <w:szCs w:val="20"/>
              </w:rPr>
            </w:pPr>
          </w:p>
        </w:tc>
        <w:tc>
          <w:tcPr>
            <w:tcW w:w="0" w:type="auto"/>
          </w:tcPr>
          <w:p w14:paraId="11CAD8CB" w14:textId="77777777" w:rsidR="00490CEF" w:rsidRPr="00DF6A2D" w:rsidRDefault="00490CEF" w:rsidP="00DF6A2D">
            <w:pPr>
              <w:pStyle w:val="NoSpacing"/>
              <w:rPr>
                <w:sz w:val="20"/>
                <w:szCs w:val="20"/>
              </w:rPr>
            </w:pPr>
          </w:p>
        </w:tc>
        <w:tc>
          <w:tcPr>
            <w:tcW w:w="0" w:type="auto"/>
          </w:tcPr>
          <w:p w14:paraId="2DEB9101" w14:textId="77777777" w:rsidR="00490CEF" w:rsidRPr="00DF6A2D" w:rsidRDefault="00490CEF" w:rsidP="00DF6A2D">
            <w:pPr>
              <w:pStyle w:val="NoSpacing"/>
              <w:rPr>
                <w:sz w:val="20"/>
                <w:szCs w:val="20"/>
              </w:rPr>
            </w:pPr>
          </w:p>
        </w:tc>
        <w:tc>
          <w:tcPr>
            <w:tcW w:w="0" w:type="auto"/>
          </w:tcPr>
          <w:p w14:paraId="4126A21D" w14:textId="77777777" w:rsidR="00490CEF" w:rsidRPr="00DF6A2D" w:rsidRDefault="00490CEF" w:rsidP="00DF6A2D">
            <w:pPr>
              <w:pStyle w:val="NoSpacing"/>
              <w:rPr>
                <w:sz w:val="20"/>
                <w:szCs w:val="20"/>
              </w:rPr>
            </w:pPr>
          </w:p>
        </w:tc>
        <w:tc>
          <w:tcPr>
            <w:tcW w:w="0" w:type="auto"/>
          </w:tcPr>
          <w:p w14:paraId="022608B5" w14:textId="77777777" w:rsidR="00490CEF" w:rsidRPr="00DF6A2D" w:rsidRDefault="00490CEF" w:rsidP="00DF6A2D">
            <w:pPr>
              <w:pStyle w:val="NoSpacing"/>
              <w:rPr>
                <w:sz w:val="20"/>
                <w:szCs w:val="20"/>
              </w:rPr>
            </w:pPr>
          </w:p>
        </w:tc>
      </w:tr>
      <w:tr w:rsidR="00DF6A2D" w:rsidRPr="00DF6A2D" w14:paraId="3D05B122" w14:textId="77777777" w:rsidTr="00DF6A2D">
        <w:tc>
          <w:tcPr>
            <w:tcW w:w="0" w:type="auto"/>
          </w:tcPr>
          <w:p w14:paraId="1CFCDF9C" w14:textId="38DCE1DA" w:rsidR="00490CEF" w:rsidRPr="00DF6A2D" w:rsidRDefault="009C4CAE" w:rsidP="00DF6A2D">
            <w:pPr>
              <w:pStyle w:val="NoSpacing"/>
              <w:rPr>
                <w:sz w:val="20"/>
                <w:szCs w:val="20"/>
              </w:rPr>
            </w:pPr>
            <w:r w:rsidRPr="00DF6A2D">
              <w:rPr>
                <w:sz w:val="20"/>
                <w:szCs w:val="20"/>
              </w:rPr>
              <w:t xml:space="preserve">8. Coach age </w:t>
            </w:r>
          </w:p>
        </w:tc>
        <w:tc>
          <w:tcPr>
            <w:tcW w:w="0" w:type="auto"/>
          </w:tcPr>
          <w:p w14:paraId="2C1B3689" w14:textId="0CD12DE2" w:rsidR="00490CEF" w:rsidRPr="00DF6A2D" w:rsidRDefault="0085180E" w:rsidP="00DF6A2D">
            <w:pPr>
              <w:pStyle w:val="NoSpacing"/>
              <w:rPr>
                <w:sz w:val="20"/>
                <w:szCs w:val="20"/>
              </w:rPr>
            </w:pPr>
            <w:r w:rsidRPr="00DF6A2D">
              <w:rPr>
                <w:sz w:val="20"/>
                <w:szCs w:val="20"/>
              </w:rPr>
              <w:t>49.42</w:t>
            </w:r>
          </w:p>
        </w:tc>
        <w:tc>
          <w:tcPr>
            <w:tcW w:w="0" w:type="auto"/>
          </w:tcPr>
          <w:p w14:paraId="2B07EC51" w14:textId="4D68409C" w:rsidR="00490CEF" w:rsidRPr="00DF6A2D" w:rsidRDefault="0085180E" w:rsidP="00DF6A2D">
            <w:pPr>
              <w:pStyle w:val="NoSpacing"/>
              <w:rPr>
                <w:sz w:val="20"/>
                <w:szCs w:val="20"/>
              </w:rPr>
            </w:pPr>
            <w:r w:rsidRPr="00DF6A2D">
              <w:rPr>
                <w:sz w:val="20"/>
                <w:szCs w:val="20"/>
              </w:rPr>
              <w:t>8.3</w:t>
            </w:r>
          </w:p>
        </w:tc>
        <w:tc>
          <w:tcPr>
            <w:tcW w:w="0" w:type="auto"/>
          </w:tcPr>
          <w:p w14:paraId="6A01A6A5" w14:textId="612127C2" w:rsidR="00490CEF" w:rsidRPr="00DF6A2D" w:rsidRDefault="0085180E" w:rsidP="00DF6A2D">
            <w:pPr>
              <w:pStyle w:val="NoSpacing"/>
              <w:rPr>
                <w:sz w:val="20"/>
                <w:szCs w:val="20"/>
              </w:rPr>
            </w:pPr>
            <w:r w:rsidRPr="00DF6A2D">
              <w:rPr>
                <w:sz w:val="20"/>
                <w:szCs w:val="20"/>
              </w:rPr>
              <w:t>31</w:t>
            </w:r>
          </w:p>
        </w:tc>
        <w:tc>
          <w:tcPr>
            <w:tcW w:w="0" w:type="auto"/>
          </w:tcPr>
          <w:p w14:paraId="5C62E783" w14:textId="046FDCF0" w:rsidR="00490CEF" w:rsidRPr="00DF6A2D" w:rsidRDefault="0085180E" w:rsidP="00DF6A2D">
            <w:pPr>
              <w:pStyle w:val="NoSpacing"/>
              <w:rPr>
                <w:sz w:val="20"/>
                <w:szCs w:val="20"/>
              </w:rPr>
            </w:pPr>
            <w:r w:rsidRPr="00DF6A2D">
              <w:rPr>
                <w:sz w:val="20"/>
                <w:szCs w:val="20"/>
              </w:rPr>
              <w:t>75</w:t>
            </w:r>
          </w:p>
        </w:tc>
        <w:tc>
          <w:tcPr>
            <w:tcW w:w="0" w:type="auto"/>
          </w:tcPr>
          <w:p w14:paraId="59586D65" w14:textId="1F37D3CC" w:rsidR="00490CEF" w:rsidRPr="00DF6A2D" w:rsidRDefault="0085180E" w:rsidP="00DF6A2D">
            <w:pPr>
              <w:pStyle w:val="NoSpacing"/>
              <w:rPr>
                <w:sz w:val="20"/>
                <w:szCs w:val="20"/>
              </w:rPr>
            </w:pPr>
            <w:r w:rsidRPr="00DF6A2D">
              <w:rPr>
                <w:sz w:val="20"/>
                <w:szCs w:val="20"/>
              </w:rPr>
              <w:t>0.03</w:t>
            </w:r>
          </w:p>
        </w:tc>
        <w:tc>
          <w:tcPr>
            <w:tcW w:w="0" w:type="auto"/>
          </w:tcPr>
          <w:p w14:paraId="3069AF9B" w14:textId="63E2D731" w:rsidR="00490CEF" w:rsidRPr="00DF6A2D" w:rsidRDefault="0085180E" w:rsidP="00DF6A2D">
            <w:pPr>
              <w:pStyle w:val="NoSpacing"/>
              <w:rPr>
                <w:sz w:val="20"/>
                <w:szCs w:val="20"/>
              </w:rPr>
            </w:pPr>
            <w:r w:rsidRPr="00DF6A2D">
              <w:rPr>
                <w:sz w:val="20"/>
                <w:szCs w:val="20"/>
              </w:rPr>
              <w:t>0.50**</w:t>
            </w:r>
          </w:p>
        </w:tc>
        <w:tc>
          <w:tcPr>
            <w:tcW w:w="0" w:type="auto"/>
          </w:tcPr>
          <w:p w14:paraId="6182A712" w14:textId="00088448" w:rsidR="00490CEF" w:rsidRPr="00DF6A2D" w:rsidRDefault="0085180E" w:rsidP="00DF6A2D">
            <w:pPr>
              <w:pStyle w:val="NoSpacing"/>
              <w:rPr>
                <w:sz w:val="20"/>
                <w:szCs w:val="20"/>
              </w:rPr>
            </w:pPr>
            <w:r w:rsidRPr="00DF6A2D">
              <w:rPr>
                <w:sz w:val="20"/>
                <w:szCs w:val="20"/>
              </w:rPr>
              <w:t>-0.06**</w:t>
            </w:r>
          </w:p>
        </w:tc>
        <w:tc>
          <w:tcPr>
            <w:tcW w:w="0" w:type="auto"/>
          </w:tcPr>
          <w:p w14:paraId="6C504E9A" w14:textId="3E2E785A" w:rsidR="00490CEF" w:rsidRPr="00DF6A2D" w:rsidRDefault="0085180E" w:rsidP="00DF6A2D">
            <w:pPr>
              <w:pStyle w:val="NoSpacing"/>
              <w:rPr>
                <w:sz w:val="20"/>
                <w:szCs w:val="20"/>
              </w:rPr>
            </w:pPr>
            <w:r w:rsidRPr="00DF6A2D">
              <w:rPr>
                <w:sz w:val="20"/>
                <w:szCs w:val="20"/>
              </w:rPr>
              <w:t>-0.00</w:t>
            </w:r>
          </w:p>
        </w:tc>
        <w:tc>
          <w:tcPr>
            <w:tcW w:w="0" w:type="auto"/>
          </w:tcPr>
          <w:p w14:paraId="5FE46DD1" w14:textId="6EC5180E" w:rsidR="00490CEF" w:rsidRPr="00DF6A2D" w:rsidRDefault="0085180E" w:rsidP="00DF6A2D">
            <w:pPr>
              <w:pStyle w:val="NoSpacing"/>
              <w:rPr>
                <w:sz w:val="20"/>
                <w:szCs w:val="20"/>
              </w:rPr>
            </w:pPr>
            <w:r w:rsidRPr="00DF6A2D">
              <w:rPr>
                <w:sz w:val="20"/>
                <w:szCs w:val="20"/>
              </w:rPr>
              <w:t>0.24**</w:t>
            </w:r>
          </w:p>
        </w:tc>
        <w:tc>
          <w:tcPr>
            <w:tcW w:w="0" w:type="auto"/>
          </w:tcPr>
          <w:p w14:paraId="5955DF23" w14:textId="6B596A31" w:rsidR="00490CEF" w:rsidRPr="00DF6A2D" w:rsidRDefault="0085180E" w:rsidP="00DF6A2D">
            <w:pPr>
              <w:pStyle w:val="NoSpacing"/>
              <w:rPr>
                <w:sz w:val="20"/>
                <w:szCs w:val="20"/>
              </w:rPr>
            </w:pPr>
            <w:r w:rsidRPr="00DF6A2D">
              <w:rPr>
                <w:sz w:val="20"/>
                <w:szCs w:val="20"/>
              </w:rPr>
              <w:t>-0.02</w:t>
            </w:r>
          </w:p>
        </w:tc>
        <w:tc>
          <w:tcPr>
            <w:tcW w:w="0" w:type="auto"/>
          </w:tcPr>
          <w:p w14:paraId="4E5E375A" w14:textId="783AAA3E" w:rsidR="00490CEF" w:rsidRPr="00DF6A2D" w:rsidRDefault="0085180E" w:rsidP="00DF6A2D">
            <w:pPr>
              <w:pStyle w:val="NoSpacing"/>
              <w:rPr>
                <w:sz w:val="20"/>
                <w:szCs w:val="20"/>
              </w:rPr>
            </w:pPr>
            <w:r w:rsidRPr="00DF6A2D">
              <w:rPr>
                <w:sz w:val="20"/>
                <w:szCs w:val="20"/>
              </w:rPr>
              <w:t>-0.10**</w:t>
            </w:r>
          </w:p>
        </w:tc>
        <w:tc>
          <w:tcPr>
            <w:tcW w:w="0" w:type="auto"/>
          </w:tcPr>
          <w:p w14:paraId="0F7E5848" w14:textId="77777777" w:rsidR="00490CEF" w:rsidRPr="00DF6A2D" w:rsidRDefault="00490CEF" w:rsidP="00DF6A2D">
            <w:pPr>
              <w:pStyle w:val="NoSpacing"/>
              <w:rPr>
                <w:sz w:val="20"/>
                <w:szCs w:val="20"/>
              </w:rPr>
            </w:pPr>
          </w:p>
        </w:tc>
        <w:tc>
          <w:tcPr>
            <w:tcW w:w="0" w:type="auto"/>
          </w:tcPr>
          <w:p w14:paraId="7D0D7ACC" w14:textId="77777777" w:rsidR="00490CEF" w:rsidRPr="00DF6A2D" w:rsidRDefault="00490CEF" w:rsidP="00DF6A2D">
            <w:pPr>
              <w:pStyle w:val="NoSpacing"/>
              <w:rPr>
                <w:sz w:val="20"/>
                <w:szCs w:val="20"/>
              </w:rPr>
            </w:pPr>
          </w:p>
        </w:tc>
        <w:tc>
          <w:tcPr>
            <w:tcW w:w="0" w:type="auto"/>
          </w:tcPr>
          <w:p w14:paraId="092CF09B" w14:textId="77777777" w:rsidR="00490CEF" w:rsidRPr="00DF6A2D" w:rsidRDefault="00490CEF" w:rsidP="00DF6A2D">
            <w:pPr>
              <w:pStyle w:val="NoSpacing"/>
              <w:rPr>
                <w:sz w:val="20"/>
                <w:szCs w:val="20"/>
              </w:rPr>
            </w:pPr>
          </w:p>
        </w:tc>
        <w:tc>
          <w:tcPr>
            <w:tcW w:w="0" w:type="auto"/>
          </w:tcPr>
          <w:p w14:paraId="1C170D9A" w14:textId="77777777" w:rsidR="00490CEF" w:rsidRPr="00DF6A2D" w:rsidRDefault="00490CEF" w:rsidP="00DF6A2D">
            <w:pPr>
              <w:pStyle w:val="NoSpacing"/>
              <w:rPr>
                <w:sz w:val="20"/>
                <w:szCs w:val="20"/>
              </w:rPr>
            </w:pPr>
          </w:p>
        </w:tc>
        <w:tc>
          <w:tcPr>
            <w:tcW w:w="0" w:type="auto"/>
          </w:tcPr>
          <w:p w14:paraId="3B7195A0" w14:textId="77777777" w:rsidR="00490CEF" w:rsidRPr="00DF6A2D" w:rsidRDefault="00490CEF" w:rsidP="00DF6A2D">
            <w:pPr>
              <w:pStyle w:val="NoSpacing"/>
              <w:rPr>
                <w:sz w:val="20"/>
                <w:szCs w:val="20"/>
              </w:rPr>
            </w:pPr>
          </w:p>
        </w:tc>
        <w:tc>
          <w:tcPr>
            <w:tcW w:w="0" w:type="auto"/>
          </w:tcPr>
          <w:p w14:paraId="0F85FC4F" w14:textId="77777777" w:rsidR="00490CEF" w:rsidRPr="00DF6A2D" w:rsidRDefault="00490CEF" w:rsidP="00DF6A2D">
            <w:pPr>
              <w:pStyle w:val="NoSpacing"/>
              <w:rPr>
                <w:sz w:val="20"/>
                <w:szCs w:val="20"/>
              </w:rPr>
            </w:pPr>
          </w:p>
        </w:tc>
        <w:tc>
          <w:tcPr>
            <w:tcW w:w="0" w:type="auto"/>
          </w:tcPr>
          <w:p w14:paraId="222D2CBB" w14:textId="77777777" w:rsidR="00490CEF" w:rsidRPr="00DF6A2D" w:rsidRDefault="00490CEF" w:rsidP="00DF6A2D">
            <w:pPr>
              <w:pStyle w:val="NoSpacing"/>
              <w:rPr>
                <w:sz w:val="20"/>
                <w:szCs w:val="20"/>
              </w:rPr>
            </w:pPr>
          </w:p>
        </w:tc>
        <w:tc>
          <w:tcPr>
            <w:tcW w:w="0" w:type="auto"/>
          </w:tcPr>
          <w:p w14:paraId="3A19C718" w14:textId="77777777" w:rsidR="00490CEF" w:rsidRPr="00DF6A2D" w:rsidRDefault="00490CEF" w:rsidP="00DF6A2D">
            <w:pPr>
              <w:pStyle w:val="NoSpacing"/>
              <w:rPr>
                <w:sz w:val="20"/>
                <w:szCs w:val="20"/>
              </w:rPr>
            </w:pPr>
          </w:p>
        </w:tc>
        <w:tc>
          <w:tcPr>
            <w:tcW w:w="0" w:type="auto"/>
          </w:tcPr>
          <w:p w14:paraId="09F7B04D" w14:textId="77777777" w:rsidR="00490CEF" w:rsidRPr="00DF6A2D" w:rsidRDefault="00490CEF" w:rsidP="00DF6A2D">
            <w:pPr>
              <w:pStyle w:val="NoSpacing"/>
              <w:rPr>
                <w:sz w:val="20"/>
                <w:szCs w:val="20"/>
              </w:rPr>
            </w:pPr>
          </w:p>
        </w:tc>
        <w:tc>
          <w:tcPr>
            <w:tcW w:w="0" w:type="auto"/>
          </w:tcPr>
          <w:p w14:paraId="7E331F82" w14:textId="77777777" w:rsidR="00490CEF" w:rsidRPr="00DF6A2D" w:rsidRDefault="00490CEF" w:rsidP="00DF6A2D">
            <w:pPr>
              <w:pStyle w:val="NoSpacing"/>
              <w:rPr>
                <w:sz w:val="20"/>
                <w:szCs w:val="20"/>
              </w:rPr>
            </w:pPr>
          </w:p>
        </w:tc>
        <w:tc>
          <w:tcPr>
            <w:tcW w:w="0" w:type="auto"/>
          </w:tcPr>
          <w:p w14:paraId="0A4CBE82" w14:textId="77777777" w:rsidR="00490CEF" w:rsidRPr="00DF6A2D" w:rsidRDefault="00490CEF" w:rsidP="00DF6A2D">
            <w:pPr>
              <w:pStyle w:val="NoSpacing"/>
              <w:rPr>
                <w:sz w:val="20"/>
                <w:szCs w:val="20"/>
              </w:rPr>
            </w:pPr>
          </w:p>
        </w:tc>
        <w:tc>
          <w:tcPr>
            <w:tcW w:w="0" w:type="auto"/>
          </w:tcPr>
          <w:p w14:paraId="3D353381" w14:textId="77777777" w:rsidR="00490CEF" w:rsidRPr="00DF6A2D" w:rsidRDefault="00490CEF" w:rsidP="00DF6A2D">
            <w:pPr>
              <w:pStyle w:val="NoSpacing"/>
              <w:rPr>
                <w:sz w:val="20"/>
                <w:szCs w:val="20"/>
              </w:rPr>
            </w:pPr>
          </w:p>
        </w:tc>
      </w:tr>
      <w:tr w:rsidR="00DF6A2D" w:rsidRPr="00DF6A2D" w14:paraId="45F867E1" w14:textId="77777777" w:rsidTr="00DF6A2D">
        <w:tc>
          <w:tcPr>
            <w:tcW w:w="0" w:type="auto"/>
          </w:tcPr>
          <w:p w14:paraId="4CB4B079" w14:textId="77777777" w:rsidR="009C4CAE" w:rsidRPr="00DF6A2D" w:rsidRDefault="009C4CAE" w:rsidP="00DF6A2D">
            <w:pPr>
              <w:pStyle w:val="NoSpacing"/>
              <w:rPr>
                <w:sz w:val="20"/>
                <w:szCs w:val="20"/>
              </w:rPr>
            </w:pPr>
            <w:r w:rsidRPr="00DF6A2D">
              <w:rPr>
                <w:sz w:val="20"/>
                <w:szCs w:val="20"/>
              </w:rPr>
              <w:t>9. Basketball</w:t>
            </w:r>
          </w:p>
          <w:p w14:paraId="1E6933F4" w14:textId="5669956D" w:rsidR="00490CEF" w:rsidRPr="00DF6A2D" w:rsidRDefault="009C4CAE" w:rsidP="00DF6A2D">
            <w:pPr>
              <w:pStyle w:val="NoSpacing"/>
              <w:rPr>
                <w:sz w:val="20"/>
                <w:szCs w:val="20"/>
              </w:rPr>
            </w:pPr>
            <w:r w:rsidRPr="00DF6A2D">
              <w:rPr>
                <w:sz w:val="20"/>
                <w:szCs w:val="20"/>
              </w:rPr>
              <w:t>expenses</w:t>
            </w:r>
          </w:p>
        </w:tc>
        <w:tc>
          <w:tcPr>
            <w:tcW w:w="0" w:type="auto"/>
          </w:tcPr>
          <w:p w14:paraId="44FADFDF" w14:textId="37612DBA" w:rsidR="00490CEF" w:rsidRPr="00DF6A2D" w:rsidRDefault="00DF6A2D" w:rsidP="00DF6A2D">
            <w:pPr>
              <w:pStyle w:val="NoSpacing"/>
              <w:rPr>
                <w:sz w:val="20"/>
                <w:szCs w:val="20"/>
              </w:rPr>
            </w:pPr>
            <w:r w:rsidRPr="00DF6A2D">
              <w:rPr>
                <w:sz w:val="20"/>
                <w:szCs w:val="20"/>
              </w:rPr>
              <w:t>5.52</w:t>
            </w:r>
          </w:p>
        </w:tc>
        <w:tc>
          <w:tcPr>
            <w:tcW w:w="0" w:type="auto"/>
          </w:tcPr>
          <w:p w14:paraId="676B4BBF" w14:textId="72FEEBE4" w:rsidR="00490CEF" w:rsidRPr="00DF6A2D" w:rsidRDefault="00DF6A2D" w:rsidP="00DF6A2D">
            <w:pPr>
              <w:pStyle w:val="NoSpacing"/>
              <w:rPr>
                <w:sz w:val="20"/>
                <w:szCs w:val="20"/>
              </w:rPr>
            </w:pPr>
            <w:r w:rsidRPr="00DF6A2D">
              <w:rPr>
                <w:sz w:val="20"/>
                <w:szCs w:val="20"/>
              </w:rPr>
              <w:t>3.16</w:t>
            </w:r>
          </w:p>
        </w:tc>
        <w:tc>
          <w:tcPr>
            <w:tcW w:w="0" w:type="auto"/>
          </w:tcPr>
          <w:p w14:paraId="1A45C125" w14:textId="0B2F537D" w:rsidR="00490CEF" w:rsidRPr="00DF6A2D" w:rsidRDefault="00DF6A2D" w:rsidP="00DF6A2D">
            <w:pPr>
              <w:pStyle w:val="NoSpacing"/>
              <w:rPr>
                <w:sz w:val="20"/>
                <w:szCs w:val="20"/>
              </w:rPr>
            </w:pPr>
            <w:r w:rsidRPr="00DF6A2D">
              <w:rPr>
                <w:sz w:val="20"/>
                <w:szCs w:val="20"/>
              </w:rPr>
              <w:t>0.95</w:t>
            </w:r>
          </w:p>
        </w:tc>
        <w:tc>
          <w:tcPr>
            <w:tcW w:w="0" w:type="auto"/>
          </w:tcPr>
          <w:p w14:paraId="010F6B5B" w14:textId="300F8A68" w:rsidR="00490CEF" w:rsidRPr="00DF6A2D" w:rsidRDefault="00DF6A2D" w:rsidP="00DF6A2D">
            <w:pPr>
              <w:pStyle w:val="NoSpacing"/>
              <w:rPr>
                <w:sz w:val="20"/>
                <w:szCs w:val="20"/>
              </w:rPr>
            </w:pPr>
            <w:r w:rsidRPr="00DF6A2D">
              <w:rPr>
                <w:sz w:val="20"/>
                <w:szCs w:val="20"/>
              </w:rPr>
              <w:t>22.9</w:t>
            </w:r>
          </w:p>
        </w:tc>
        <w:tc>
          <w:tcPr>
            <w:tcW w:w="0" w:type="auto"/>
          </w:tcPr>
          <w:p w14:paraId="47963D67" w14:textId="09FD4DE3" w:rsidR="00490CEF" w:rsidRPr="00DF6A2D" w:rsidRDefault="00DF6A2D" w:rsidP="00DF6A2D">
            <w:pPr>
              <w:pStyle w:val="NoSpacing"/>
              <w:rPr>
                <w:sz w:val="20"/>
                <w:szCs w:val="20"/>
              </w:rPr>
            </w:pPr>
            <w:r w:rsidRPr="00DF6A2D">
              <w:rPr>
                <w:sz w:val="20"/>
                <w:szCs w:val="20"/>
              </w:rPr>
              <w:t>0.03</w:t>
            </w:r>
          </w:p>
        </w:tc>
        <w:tc>
          <w:tcPr>
            <w:tcW w:w="0" w:type="auto"/>
          </w:tcPr>
          <w:p w14:paraId="69BE6CDC" w14:textId="53A947A9" w:rsidR="00490CEF" w:rsidRPr="00DF6A2D" w:rsidRDefault="00DF6A2D" w:rsidP="00DF6A2D">
            <w:pPr>
              <w:pStyle w:val="NoSpacing"/>
              <w:rPr>
                <w:sz w:val="20"/>
                <w:szCs w:val="20"/>
              </w:rPr>
            </w:pPr>
            <w:r w:rsidRPr="00DF6A2D">
              <w:rPr>
                <w:sz w:val="20"/>
                <w:szCs w:val="20"/>
              </w:rPr>
              <w:t>0.34**</w:t>
            </w:r>
          </w:p>
        </w:tc>
        <w:tc>
          <w:tcPr>
            <w:tcW w:w="0" w:type="auto"/>
          </w:tcPr>
          <w:p w14:paraId="4963346C" w14:textId="18E8E21F" w:rsidR="00490CEF" w:rsidRPr="00DF6A2D" w:rsidRDefault="00DF6A2D" w:rsidP="00DF6A2D">
            <w:pPr>
              <w:pStyle w:val="NoSpacing"/>
              <w:rPr>
                <w:sz w:val="20"/>
                <w:szCs w:val="20"/>
              </w:rPr>
            </w:pPr>
            <w:r w:rsidRPr="00DF6A2D">
              <w:rPr>
                <w:sz w:val="20"/>
                <w:szCs w:val="20"/>
              </w:rPr>
              <w:t>-0.03</w:t>
            </w:r>
          </w:p>
        </w:tc>
        <w:tc>
          <w:tcPr>
            <w:tcW w:w="0" w:type="auto"/>
          </w:tcPr>
          <w:p w14:paraId="7DDF00C7" w14:textId="6702F8B9" w:rsidR="00490CEF" w:rsidRPr="00DF6A2D" w:rsidRDefault="00DF6A2D" w:rsidP="00DF6A2D">
            <w:pPr>
              <w:pStyle w:val="NoSpacing"/>
              <w:rPr>
                <w:sz w:val="20"/>
                <w:szCs w:val="20"/>
              </w:rPr>
            </w:pPr>
            <w:r w:rsidRPr="00DF6A2D">
              <w:rPr>
                <w:sz w:val="20"/>
                <w:szCs w:val="20"/>
              </w:rPr>
              <w:t>0.01</w:t>
            </w:r>
          </w:p>
        </w:tc>
        <w:tc>
          <w:tcPr>
            <w:tcW w:w="0" w:type="auto"/>
          </w:tcPr>
          <w:p w14:paraId="6F2DC18F" w14:textId="1383E0EB" w:rsidR="00490CEF" w:rsidRPr="00DF6A2D" w:rsidRDefault="00DF6A2D" w:rsidP="00DF6A2D">
            <w:pPr>
              <w:pStyle w:val="NoSpacing"/>
              <w:rPr>
                <w:sz w:val="20"/>
                <w:szCs w:val="20"/>
              </w:rPr>
            </w:pPr>
            <w:r w:rsidRPr="00DF6A2D">
              <w:rPr>
                <w:sz w:val="20"/>
                <w:szCs w:val="20"/>
              </w:rPr>
              <w:t>0.30**</w:t>
            </w:r>
          </w:p>
        </w:tc>
        <w:tc>
          <w:tcPr>
            <w:tcW w:w="0" w:type="auto"/>
          </w:tcPr>
          <w:p w14:paraId="4967811C" w14:textId="1054A86C" w:rsidR="00490CEF" w:rsidRPr="00DF6A2D" w:rsidRDefault="00DF6A2D" w:rsidP="00DF6A2D">
            <w:pPr>
              <w:pStyle w:val="NoSpacing"/>
              <w:rPr>
                <w:sz w:val="20"/>
                <w:szCs w:val="20"/>
              </w:rPr>
            </w:pPr>
            <w:r w:rsidRPr="00DF6A2D">
              <w:rPr>
                <w:sz w:val="20"/>
                <w:szCs w:val="20"/>
              </w:rPr>
              <w:t>0.01</w:t>
            </w:r>
          </w:p>
        </w:tc>
        <w:tc>
          <w:tcPr>
            <w:tcW w:w="0" w:type="auto"/>
          </w:tcPr>
          <w:p w14:paraId="22D0FA3F" w14:textId="08CC4A2E" w:rsidR="00490CEF" w:rsidRPr="00DF6A2D" w:rsidRDefault="00DF6A2D" w:rsidP="00DF6A2D">
            <w:pPr>
              <w:pStyle w:val="NoSpacing"/>
              <w:rPr>
                <w:sz w:val="20"/>
                <w:szCs w:val="20"/>
              </w:rPr>
            </w:pPr>
            <w:r w:rsidRPr="00DF6A2D">
              <w:rPr>
                <w:sz w:val="20"/>
                <w:szCs w:val="20"/>
              </w:rPr>
              <w:t>0.09**</w:t>
            </w:r>
          </w:p>
        </w:tc>
        <w:tc>
          <w:tcPr>
            <w:tcW w:w="0" w:type="auto"/>
          </w:tcPr>
          <w:p w14:paraId="461D0C04" w14:textId="083CA057" w:rsidR="00490CEF" w:rsidRPr="00DF6A2D" w:rsidRDefault="00DF6A2D" w:rsidP="00DF6A2D">
            <w:pPr>
              <w:pStyle w:val="NoSpacing"/>
              <w:rPr>
                <w:sz w:val="20"/>
                <w:szCs w:val="20"/>
              </w:rPr>
            </w:pPr>
            <w:r w:rsidRPr="00DF6A2D">
              <w:rPr>
                <w:sz w:val="20"/>
                <w:szCs w:val="20"/>
              </w:rPr>
              <w:t>0.26**</w:t>
            </w:r>
          </w:p>
        </w:tc>
        <w:tc>
          <w:tcPr>
            <w:tcW w:w="0" w:type="auto"/>
          </w:tcPr>
          <w:p w14:paraId="6362DA14" w14:textId="77777777" w:rsidR="00490CEF" w:rsidRPr="00DF6A2D" w:rsidRDefault="00490CEF" w:rsidP="00DF6A2D">
            <w:pPr>
              <w:pStyle w:val="NoSpacing"/>
              <w:rPr>
                <w:sz w:val="20"/>
                <w:szCs w:val="20"/>
              </w:rPr>
            </w:pPr>
          </w:p>
        </w:tc>
        <w:tc>
          <w:tcPr>
            <w:tcW w:w="0" w:type="auto"/>
          </w:tcPr>
          <w:p w14:paraId="62552F4B" w14:textId="77777777" w:rsidR="00490CEF" w:rsidRPr="00DF6A2D" w:rsidRDefault="00490CEF" w:rsidP="00DF6A2D">
            <w:pPr>
              <w:pStyle w:val="NoSpacing"/>
              <w:rPr>
                <w:sz w:val="20"/>
                <w:szCs w:val="20"/>
              </w:rPr>
            </w:pPr>
          </w:p>
        </w:tc>
        <w:tc>
          <w:tcPr>
            <w:tcW w:w="0" w:type="auto"/>
          </w:tcPr>
          <w:p w14:paraId="79043E03" w14:textId="77777777" w:rsidR="00490CEF" w:rsidRPr="00DF6A2D" w:rsidRDefault="00490CEF" w:rsidP="00DF6A2D">
            <w:pPr>
              <w:pStyle w:val="NoSpacing"/>
              <w:rPr>
                <w:sz w:val="20"/>
                <w:szCs w:val="20"/>
              </w:rPr>
            </w:pPr>
          </w:p>
        </w:tc>
        <w:tc>
          <w:tcPr>
            <w:tcW w:w="0" w:type="auto"/>
          </w:tcPr>
          <w:p w14:paraId="32CBFD44" w14:textId="77777777" w:rsidR="00490CEF" w:rsidRPr="00DF6A2D" w:rsidRDefault="00490CEF" w:rsidP="00DF6A2D">
            <w:pPr>
              <w:pStyle w:val="NoSpacing"/>
              <w:rPr>
                <w:sz w:val="20"/>
                <w:szCs w:val="20"/>
              </w:rPr>
            </w:pPr>
          </w:p>
        </w:tc>
        <w:tc>
          <w:tcPr>
            <w:tcW w:w="0" w:type="auto"/>
          </w:tcPr>
          <w:p w14:paraId="56BFDD10" w14:textId="77777777" w:rsidR="00490CEF" w:rsidRPr="00DF6A2D" w:rsidRDefault="00490CEF" w:rsidP="00DF6A2D">
            <w:pPr>
              <w:pStyle w:val="NoSpacing"/>
              <w:rPr>
                <w:sz w:val="20"/>
                <w:szCs w:val="20"/>
              </w:rPr>
            </w:pPr>
          </w:p>
        </w:tc>
        <w:tc>
          <w:tcPr>
            <w:tcW w:w="0" w:type="auto"/>
          </w:tcPr>
          <w:p w14:paraId="199093F8" w14:textId="77777777" w:rsidR="00490CEF" w:rsidRPr="00DF6A2D" w:rsidRDefault="00490CEF" w:rsidP="00DF6A2D">
            <w:pPr>
              <w:pStyle w:val="NoSpacing"/>
              <w:rPr>
                <w:sz w:val="20"/>
                <w:szCs w:val="20"/>
              </w:rPr>
            </w:pPr>
          </w:p>
        </w:tc>
        <w:tc>
          <w:tcPr>
            <w:tcW w:w="0" w:type="auto"/>
          </w:tcPr>
          <w:p w14:paraId="5A894CCF" w14:textId="77777777" w:rsidR="00490CEF" w:rsidRPr="00DF6A2D" w:rsidRDefault="00490CEF" w:rsidP="00DF6A2D">
            <w:pPr>
              <w:pStyle w:val="NoSpacing"/>
              <w:rPr>
                <w:sz w:val="20"/>
                <w:szCs w:val="20"/>
              </w:rPr>
            </w:pPr>
          </w:p>
        </w:tc>
        <w:tc>
          <w:tcPr>
            <w:tcW w:w="0" w:type="auto"/>
          </w:tcPr>
          <w:p w14:paraId="6054987C" w14:textId="77777777" w:rsidR="00490CEF" w:rsidRPr="00DF6A2D" w:rsidRDefault="00490CEF" w:rsidP="00DF6A2D">
            <w:pPr>
              <w:pStyle w:val="NoSpacing"/>
              <w:rPr>
                <w:sz w:val="20"/>
                <w:szCs w:val="20"/>
              </w:rPr>
            </w:pPr>
          </w:p>
        </w:tc>
        <w:tc>
          <w:tcPr>
            <w:tcW w:w="0" w:type="auto"/>
          </w:tcPr>
          <w:p w14:paraId="286AAD7B" w14:textId="77777777" w:rsidR="00490CEF" w:rsidRPr="00DF6A2D" w:rsidRDefault="00490CEF" w:rsidP="00DF6A2D">
            <w:pPr>
              <w:pStyle w:val="NoSpacing"/>
              <w:rPr>
                <w:sz w:val="20"/>
                <w:szCs w:val="20"/>
              </w:rPr>
            </w:pPr>
          </w:p>
        </w:tc>
        <w:tc>
          <w:tcPr>
            <w:tcW w:w="0" w:type="auto"/>
          </w:tcPr>
          <w:p w14:paraId="1F8E18C2" w14:textId="77777777" w:rsidR="00490CEF" w:rsidRPr="00DF6A2D" w:rsidRDefault="00490CEF" w:rsidP="00DF6A2D">
            <w:pPr>
              <w:pStyle w:val="NoSpacing"/>
              <w:rPr>
                <w:sz w:val="20"/>
                <w:szCs w:val="20"/>
              </w:rPr>
            </w:pPr>
          </w:p>
        </w:tc>
        <w:tc>
          <w:tcPr>
            <w:tcW w:w="0" w:type="auto"/>
          </w:tcPr>
          <w:p w14:paraId="2958927C" w14:textId="77777777" w:rsidR="00490CEF" w:rsidRPr="00DF6A2D" w:rsidRDefault="00490CEF" w:rsidP="00DF6A2D">
            <w:pPr>
              <w:pStyle w:val="NoSpacing"/>
              <w:rPr>
                <w:sz w:val="20"/>
                <w:szCs w:val="20"/>
              </w:rPr>
            </w:pPr>
          </w:p>
        </w:tc>
      </w:tr>
      <w:tr w:rsidR="00DF6A2D" w:rsidRPr="00DF6A2D" w14:paraId="27A90D77" w14:textId="77777777" w:rsidTr="00DF6A2D">
        <w:tc>
          <w:tcPr>
            <w:tcW w:w="0" w:type="auto"/>
          </w:tcPr>
          <w:p w14:paraId="55FF57BD" w14:textId="77777777" w:rsidR="004A7F3B" w:rsidRPr="00DF6A2D" w:rsidRDefault="004A7F3B" w:rsidP="00DF6A2D">
            <w:pPr>
              <w:pStyle w:val="NoSpacing"/>
              <w:rPr>
                <w:sz w:val="20"/>
                <w:szCs w:val="20"/>
              </w:rPr>
            </w:pPr>
            <w:r w:rsidRPr="00DF6A2D">
              <w:rPr>
                <w:sz w:val="20"/>
                <w:szCs w:val="20"/>
              </w:rPr>
              <w:t>10. Preseason</w:t>
            </w:r>
          </w:p>
          <w:p w14:paraId="110202B2" w14:textId="2D7D13CD" w:rsidR="009C4CAE" w:rsidRPr="00DF6A2D" w:rsidRDefault="004A7F3B" w:rsidP="00DF6A2D">
            <w:pPr>
              <w:pStyle w:val="NoSpacing"/>
              <w:rPr>
                <w:sz w:val="20"/>
                <w:szCs w:val="20"/>
              </w:rPr>
            </w:pPr>
            <w:r w:rsidRPr="00DF6A2D">
              <w:rPr>
                <w:sz w:val="20"/>
                <w:szCs w:val="20"/>
              </w:rPr>
              <w:t>rank</w:t>
            </w:r>
          </w:p>
        </w:tc>
        <w:tc>
          <w:tcPr>
            <w:tcW w:w="0" w:type="auto"/>
          </w:tcPr>
          <w:p w14:paraId="152E2109" w14:textId="446E1155" w:rsidR="009C4CAE" w:rsidRPr="00DF6A2D" w:rsidRDefault="00DF6A2D" w:rsidP="00DF6A2D">
            <w:pPr>
              <w:pStyle w:val="NoSpacing"/>
              <w:rPr>
                <w:sz w:val="20"/>
                <w:szCs w:val="20"/>
              </w:rPr>
            </w:pPr>
            <w:r w:rsidRPr="00DF6A2D">
              <w:rPr>
                <w:sz w:val="20"/>
                <w:szCs w:val="20"/>
              </w:rPr>
              <w:t>2.72</w:t>
            </w:r>
          </w:p>
        </w:tc>
        <w:tc>
          <w:tcPr>
            <w:tcW w:w="0" w:type="auto"/>
          </w:tcPr>
          <w:p w14:paraId="25B61CDB" w14:textId="07C1CD9B" w:rsidR="009C4CAE" w:rsidRPr="00DF6A2D" w:rsidRDefault="00DF6A2D" w:rsidP="00DF6A2D">
            <w:pPr>
              <w:pStyle w:val="NoSpacing"/>
              <w:rPr>
                <w:sz w:val="20"/>
                <w:szCs w:val="20"/>
              </w:rPr>
            </w:pPr>
            <w:r w:rsidRPr="00DF6A2D">
              <w:rPr>
                <w:sz w:val="20"/>
                <w:szCs w:val="20"/>
              </w:rPr>
              <w:t>6.3</w:t>
            </w:r>
          </w:p>
        </w:tc>
        <w:tc>
          <w:tcPr>
            <w:tcW w:w="0" w:type="auto"/>
          </w:tcPr>
          <w:p w14:paraId="567DB514" w14:textId="3D3247CB" w:rsidR="009C4CAE" w:rsidRPr="00DF6A2D" w:rsidRDefault="00DF6A2D" w:rsidP="00DF6A2D">
            <w:pPr>
              <w:pStyle w:val="NoSpacing"/>
              <w:rPr>
                <w:sz w:val="20"/>
                <w:szCs w:val="20"/>
              </w:rPr>
            </w:pPr>
            <w:r w:rsidRPr="00DF6A2D">
              <w:rPr>
                <w:sz w:val="20"/>
                <w:szCs w:val="20"/>
              </w:rPr>
              <w:t>0</w:t>
            </w:r>
          </w:p>
        </w:tc>
        <w:tc>
          <w:tcPr>
            <w:tcW w:w="0" w:type="auto"/>
          </w:tcPr>
          <w:p w14:paraId="2F98B0F6" w14:textId="123BB416" w:rsidR="009C4CAE" w:rsidRPr="00DF6A2D" w:rsidRDefault="00DF6A2D" w:rsidP="00DF6A2D">
            <w:pPr>
              <w:pStyle w:val="NoSpacing"/>
              <w:rPr>
                <w:sz w:val="20"/>
                <w:szCs w:val="20"/>
              </w:rPr>
            </w:pPr>
            <w:r w:rsidRPr="00DF6A2D">
              <w:rPr>
                <w:sz w:val="20"/>
                <w:szCs w:val="20"/>
              </w:rPr>
              <w:t>25</w:t>
            </w:r>
          </w:p>
        </w:tc>
        <w:tc>
          <w:tcPr>
            <w:tcW w:w="0" w:type="auto"/>
          </w:tcPr>
          <w:p w14:paraId="0FC9880A" w14:textId="79E2FBE8" w:rsidR="009C4CAE" w:rsidRPr="00DF6A2D" w:rsidRDefault="00DF6A2D" w:rsidP="00DF6A2D">
            <w:pPr>
              <w:pStyle w:val="NoSpacing"/>
              <w:rPr>
                <w:sz w:val="20"/>
                <w:szCs w:val="20"/>
              </w:rPr>
            </w:pPr>
            <w:r w:rsidRPr="00DF6A2D">
              <w:rPr>
                <w:sz w:val="20"/>
                <w:szCs w:val="20"/>
              </w:rPr>
              <w:t>-0.10**</w:t>
            </w:r>
          </w:p>
        </w:tc>
        <w:tc>
          <w:tcPr>
            <w:tcW w:w="0" w:type="auto"/>
          </w:tcPr>
          <w:p w14:paraId="4174A3BA" w14:textId="6EA7681E" w:rsidR="009C4CAE" w:rsidRPr="00DF6A2D" w:rsidRDefault="00DF6A2D" w:rsidP="00DF6A2D">
            <w:pPr>
              <w:pStyle w:val="NoSpacing"/>
              <w:rPr>
                <w:sz w:val="20"/>
                <w:szCs w:val="20"/>
              </w:rPr>
            </w:pPr>
            <w:r w:rsidRPr="00DF6A2D">
              <w:rPr>
                <w:sz w:val="20"/>
                <w:szCs w:val="20"/>
              </w:rPr>
              <w:t>0.37**</w:t>
            </w:r>
          </w:p>
        </w:tc>
        <w:tc>
          <w:tcPr>
            <w:tcW w:w="0" w:type="auto"/>
          </w:tcPr>
          <w:p w14:paraId="32B9E3F9" w14:textId="223D5210" w:rsidR="009C4CAE" w:rsidRPr="00DF6A2D" w:rsidRDefault="00DF6A2D" w:rsidP="00DF6A2D">
            <w:pPr>
              <w:pStyle w:val="NoSpacing"/>
              <w:rPr>
                <w:sz w:val="20"/>
                <w:szCs w:val="20"/>
              </w:rPr>
            </w:pPr>
            <w:r w:rsidRPr="00DF6A2D">
              <w:rPr>
                <w:sz w:val="20"/>
                <w:szCs w:val="20"/>
              </w:rPr>
              <w:t>-0.14**</w:t>
            </w:r>
          </w:p>
        </w:tc>
        <w:tc>
          <w:tcPr>
            <w:tcW w:w="0" w:type="auto"/>
          </w:tcPr>
          <w:p w14:paraId="206B9349" w14:textId="51482C89" w:rsidR="009C4CAE" w:rsidRPr="00DF6A2D" w:rsidRDefault="00DF6A2D" w:rsidP="00DF6A2D">
            <w:pPr>
              <w:pStyle w:val="NoSpacing"/>
              <w:rPr>
                <w:sz w:val="20"/>
                <w:szCs w:val="20"/>
              </w:rPr>
            </w:pPr>
            <w:r w:rsidRPr="00DF6A2D">
              <w:rPr>
                <w:sz w:val="20"/>
                <w:szCs w:val="20"/>
              </w:rPr>
              <w:t>-</w:t>
            </w:r>
            <w:r w:rsidRPr="00DF6A2D">
              <w:rPr>
                <w:sz w:val="20"/>
                <w:szCs w:val="20"/>
              </w:rPr>
              <w:t>0.04</w:t>
            </w:r>
          </w:p>
        </w:tc>
        <w:tc>
          <w:tcPr>
            <w:tcW w:w="0" w:type="auto"/>
          </w:tcPr>
          <w:p w14:paraId="59FE2A77" w14:textId="51BC62BD" w:rsidR="009C4CAE" w:rsidRPr="00DF6A2D" w:rsidRDefault="00DF6A2D" w:rsidP="00DF6A2D">
            <w:pPr>
              <w:pStyle w:val="NoSpacing"/>
              <w:rPr>
                <w:sz w:val="20"/>
                <w:szCs w:val="20"/>
              </w:rPr>
            </w:pPr>
            <w:r w:rsidRPr="00DF6A2D">
              <w:rPr>
                <w:sz w:val="20"/>
                <w:szCs w:val="20"/>
              </w:rPr>
              <w:t>0.18**</w:t>
            </w:r>
          </w:p>
        </w:tc>
        <w:tc>
          <w:tcPr>
            <w:tcW w:w="0" w:type="auto"/>
          </w:tcPr>
          <w:p w14:paraId="06AFF3FF" w14:textId="6CE66A13" w:rsidR="009C4CAE" w:rsidRPr="00DF6A2D" w:rsidRDefault="00DF6A2D" w:rsidP="00DF6A2D">
            <w:pPr>
              <w:pStyle w:val="NoSpacing"/>
              <w:rPr>
                <w:sz w:val="20"/>
                <w:szCs w:val="20"/>
              </w:rPr>
            </w:pPr>
            <w:r w:rsidRPr="00DF6A2D">
              <w:rPr>
                <w:sz w:val="20"/>
                <w:szCs w:val="20"/>
              </w:rPr>
              <w:t>0.05*</w:t>
            </w:r>
          </w:p>
        </w:tc>
        <w:tc>
          <w:tcPr>
            <w:tcW w:w="0" w:type="auto"/>
          </w:tcPr>
          <w:p w14:paraId="27302C2B" w14:textId="1E9491E4" w:rsidR="009C4CAE" w:rsidRPr="00DF6A2D" w:rsidRDefault="00DF6A2D" w:rsidP="00DF6A2D">
            <w:pPr>
              <w:pStyle w:val="NoSpacing"/>
              <w:rPr>
                <w:sz w:val="20"/>
                <w:szCs w:val="20"/>
              </w:rPr>
            </w:pPr>
            <w:r w:rsidRPr="00DF6A2D">
              <w:rPr>
                <w:sz w:val="20"/>
                <w:szCs w:val="20"/>
              </w:rPr>
              <w:t>0.01</w:t>
            </w:r>
          </w:p>
        </w:tc>
        <w:tc>
          <w:tcPr>
            <w:tcW w:w="0" w:type="auto"/>
          </w:tcPr>
          <w:p w14:paraId="7E1B3FBD" w14:textId="125165A0" w:rsidR="009C4CAE" w:rsidRPr="00DF6A2D" w:rsidRDefault="00DF6A2D" w:rsidP="00DF6A2D">
            <w:pPr>
              <w:pStyle w:val="NoSpacing"/>
              <w:rPr>
                <w:sz w:val="20"/>
                <w:szCs w:val="20"/>
              </w:rPr>
            </w:pPr>
            <w:r w:rsidRPr="00DF6A2D">
              <w:rPr>
                <w:sz w:val="20"/>
                <w:szCs w:val="20"/>
              </w:rPr>
              <w:t>0.19**</w:t>
            </w:r>
          </w:p>
        </w:tc>
        <w:tc>
          <w:tcPr>
            <w:tcW w:w="0" w:type="auto"/>
          </w:tcPr>
          <w:p w14:paraId="766938DB" w14:textId="2E244D8B" w:rsidR="009C4CAE" w:rsidRPr="00DF6A2D" w:rsidRDefault="00DF6A2D" w:rsidP="00DF6A2D">
            <w:pPr>
              <w:pStyle w:val="NoSpacing"/>
              <w:rPr>
                <w:sz w:val="20"/>
                <w:szCs w:val="20"/>
              </w:rPr>
            </w:pPr>
            <w:r w:rsidRPr="00DF6A2D">
              <w:rPr>
                <w:sz w:val="20"/>
                <w:szCs w:val="20"/>
              </w:rPr>
              <w:t>0.41**</w:t>
            </w:r>
          </w:p>
        </w:tc>
        <w:tc>
          <w:tcPr>
            <w:tcW w:w="0" w:type="auto"/>
          </w:tcPr>
          <w:p w14:paraId="3DB72BDC" w14:textId="77777777" w:rsidR="009C4CAE" w:rsidRPr="00DF6A2D" w:rsidRDefault="009C4CAE" w:rsidP="00DF6A2D">
            <w:pPr>
              <w:pStyle w:val="NoSpacing"/>
              <w:rPr>
                <w:sz w:val="20"/>
                <w:szCs w:val="20"/>
              </w:rPr>
            </w:pPr>
          </w:p>
        </w:tc>
        <w:tc>
          <w:tcPr>
            <w:tcW w:w="0" w:type="auto"/>
          </w:tcPr>
          <w:p w14:paraId="371A6BF7" w14:textId="77777777" w:rsidR="009C4CAE" w:rsidRPr="00DF6A2D" w:rsidRDefault="009C4CAE" w:rsidP="00DF6A2D">
            <w:pPr>
              <w:pStyle w:val="NoSpacing"/>
              <w:rPr>
                <w:sz w:val="20"/>
                <w:szCs w:val="20"/>
              </w:rPr>
            </w:pPr>
          </w:p>
        </w:tc>
        <w:tc>
          <w:tcPr>
            <w:tcW w:w="0" w:type="auto"/>
          </w:tcPr>
          <w:p w14:paraId="0BACC2CB" w14:textId="77777777" w:rsidR="009C4CAE" w:rsidRPr="00DF6A2D" w:rsidRDefault="009C4CAE" w:rsidP="00DF6A2D">
            <w:pPr>
              <w:pStyle w:val="NoSpacing"/>
              <w:rPr>
                <w:sz w:val="20"/>
                <w:szCs w:val="20"/>
              </w:rPr>
            </w:pPr>
          </w:p>
        </w:tc>
        <w:tc>
          <w:tcPr>
            <w:tcW w:w="0" w:type="auto"/>
          </w:tcPr>
          <w:p w14:paraId="7DB993F9" w14:textId="77777777" w:rsidR="009C4CAE" w:rsidRPr="00DF6A2D" w:rsidRDefault="009C4CAE" w:rsidP="00DF6A2D">
            <w:pPr>
              <w:pStyle w:val="NoSpacing"/>
              <w:rPr>
                <w:sz w:val="20"/>
                <w:szCs w:val="20"/>
              </w:rPr>
            </w:pPr>
          </w:p>
        </w:tc>
        <w:tc>
          <w:tcPr>
            <w:tcW w:w="0" w:type="auto"/>
          </w:tcPr>
          <w:p w14:paraId="536EBA6E" w14:textId="77777777" w:rsidR="009C4CAE" w:rsidRPr="00DF6A2D" w:rsidRDefault="009C4CAE" w:rsidP="00DF6A2D">
            <w:pPr>
              <w:pStyle w:val="NoSpacing"/>
              <w:rPr>
                <w:sz w:val="20"/>
                <w:szCs w:val="20"/>
              </w:rPr>
            </w:pPr>
          </w:p>
        </w:tc>
        <w:tc>
          <w:tcPr>
            <w:tcW w:w="0" w:type="auto"/>
          </w:tcPr>
          <w:p w14:paraId="59F2FB48" w14:textId="77777777" w:rsidR="009C4CAE" w:rsidRPr="00DF6A2D" w:rsidRDefault="009C4CAE" w:rsidP="00DF6A2D">
            <w:pPr>
              <w:pStyle w:val="NoSpacing"/>
              <w:rPr>
                <w:sz w:val="20"/>
                <w:szCs w:val="20"/>
              </w:rPr>
            </w:pPr>
          </w:p>
        </w:tc>
        <w:tc>
          <w:tcPr>
            <w:tcW w:w="0" w:type="auto"/>
          </w:tcPr>
          <w:p w14:paraId="599ED385" w14:textId="77777777" w:rsidR="009C4CAE" w:rsidRPr="00DF6A2D" w:rsidRDefault="009C4CAE" w:rsidP="00DF6A2D">
            <w:pPr>
              <w:pStyle w:val="NoSpacing"/>
              <w:rPr>
                <w:sz w:val="20"/>
                <w:szCs w:val="20"/>
              </w:rPr>
            </w:pPr>
          </w:p>
        </w:tc>
        <w:tc>
          <w:tcPr>
            <w:tcW w:w="0" w:type="auto"/>
          </w:tcPr>
          <w:p w14:paraId="3D257167" w14:textId="77777777" w:rsidR="009C4CAE" w:rsidRPr="00DF6A2D" w:rsidRDefault="009C4CAE" w:rsidP="00DF6A2D">
            <w:pPr>
              <w:pStyle w:val="NoSpacing"/>
              <w:rPr>
                <w:sz w:val="20"/>
                <w:szCs w:val="20"/>
              </w:rPr>
            </w:pPr>
          </w:p>
        </w:tc>
        <w:tc>
          <w:tcPr>
            <w:tcW w:w="0" w:type="auto"/>
          </w:tcPr>
          <w:p w14:paraId="607C5F52" w14:textId="77777777" w:rsidR="009C4CAE" w:rsidRPr="00DF6A2D" w:rsidRDefault="009C4CAE" w:rsidP="00DF6A2D">
            <w:pPr>
              <w:pStyle w:val="NoSpacing"/>
              <w:rPr>
                <w:sz w:val="20"/>
                <w:szCs w:val="20"/>
              </w:rPr>
            </w:pPr>
          </w:p>
        </w:tc>
        <w:tc>
          <w:tcPr>
            <w:tcW w:w="0" w:type="auto"/>
          </w:tcPr>
          <w:p w14:paraId="1E61C401" w14:textId="77777777" w:rsidR="009C4CAE" w:rsidRPr="00DF6A2D" w:rsidRDefault="009C4CAE" w:rsidP="00DF6A2D">
            <w:pPr>
              <w:pStyle w:val="NoSpacing"/>
              <w:rPr>
                <w:sz w:val="20"/>
                <w:szCs w:val="20"/>
              </w:rPr>
            </w:pPr>
          </w:p>
        </w:tc>
      </w:tr>
      <w:tr w:rsidR="00DF6A2D" w:rsidRPr="00DF6A2D" w14:paraId="3337F291" w14:textId="77777777" w:rsidTr="00DF6A2D">
        <w:tc>
          <w:tcPr>
            <w:tcW w:w="0" w:type="auto"/>
          </w:tcPr>
          <w:p w14:paraId="136D5491" w14:textId="0897900A" w:rsidR="009C4CAE" w:rsidRPr="00DF6A2D" w:rsidRDefault="004A7F3B" w:rsidP="00DF6A2D">
            <w:pPr>
              <w:pStyle w:val="NoSpacing"/>
              <w:rPr>
                <w:sz w:val="20"/>
                <w:szCs w:val="20"/>
              </w:rPr>
            </w:pPr>
            <w:r w:rsidRPr="00DF6A2D">
              <w:rPr>
                <w:sz w:val="20"/>
                <w:szCs w:val="20"/>
              </w:rPr>
              <w:t>11. Recruiting</w:t>
            </w:r>
            <w:r w:rsidR="00DF6A2D" w:rsidRPr="00DF6A2D">
              <w:rPr>
                <w:sz w:val="20"/>
                <w:szCs w:val="20"/>
              </w:rPr>
              <w:t xml:space="preserve"> </w:t>
            </w:r>
            <w:r w:rsidRPr="00DF6A2D">
              <w:rPr>
                <w:sz w:val="20"/>
                <w:szCs w:val="20"/>
              </w:rPr>
              <w:t>ranking</w:t>
            </w:r>
          </w:p>
        </w:tc>
        <w:tc>
          <w:tcPr>
            <w:tcW w:w="0" w:type="auto"/>
          </w:tcPr>
          <w:p w14:paraId="6451EE1A" w14:textId="4689CB70" w:rsidR="009C4CAE" w:rsidRPr="00DF6A2D" w:rsidRDefault="00DF6A2D" w:rsidP="00DF6A2D">
            <w:pPr>
              <w:pStyle w:val="NoSpacing"/>
              <w:rPr>
                <w:sz w:val="20"/>
                <w:szCs w:val="20"/>
              </w:rPr>
            </w:pPr>
            <w:r w:rsidRPr="00DF6A2D">
              <w:rPr>
                <w:sz w:val="20"/>
                <w:szCs w:val="20"/>
              </w:rPr>
              <w:t>152.54</w:t>
            </w:r>
          </w:p>
        </w:tc>
        <w:tc>
          <w:tcPr>
            <w:tcW w:w="0" w:type="auto"/>
          </w:tcPr>
          <w:p w14:paraId="36285AD3" w14:textId="17EA81B3" w:rsidR="009C4CAE" w:rsidRPr="00DF6A2D" w:rsidRDefault="00DF6A2D" w:rsidP="00DF6A2D">
            <w:pPr>
              <w:pStyle w:val="NoSpacing"/>
              <w:rPr>
                <w:sz w:val="20"/>
                <w:szCs w:val="20"/>
              </w:rPr>
            </w:pPr>
            <w:r w:rsidRPr="00DF6A2D">
              <w:rPr>
                <w:sz w:val="20"/>
                <w:szCs w:val="20"/>
              </w:rPr>
              <w:t>75.56</w:t>
            </w:r>
          </w:p>
        </w:tc>
        <w:tc>
          <w:tcPr>
            <w:tcW w:w="0" w:type="auto"/>
          </w:tcPr>
          <w:p w14:paraId="45312266" w14:textId="1FFE6198" w:rsidR="009C4CAE" w:rsidRPr="00DF6A2D" w:rsidRDefault="00DF6A2D" w:rsidP="00DF6A2D">
            <w:pPr>
              <w:pStyle w:val="NoSpacing"/>
              <w:rPr>
                <w:sz w:val="20"/>
                <w:szCs w:val="20"/>
              </w:rPr>
            </w:pPr>
            <w:r w:rsidRPr="00DF6A2D">
              <w:rPr>
                <w:sz w:val="20"/>
                <w:szCs w:val="20"/>
              </w:rPr>
              <w:t>1</w:t>
            </w:r>
          </w:p>
        </w:tc>
        <w:tc>
          <w:tcPr>
            <w:tcW w:w="0" w:type="auto"/>
          </w:tcPr>
          <w:p w14:paraId="0901836B" w14:textId="5298A065" w:rsidR="009C4CAE" w:rsidRPr="00DF6A2D" w:rsidRDefault="00DF6A2D" w:rsidP="00DF6A2D">
            <w:pPr>
              <w:pStyle w:val="NoSpacing"/>
              <w:rPr>
                <w:sz w:val="20"/>
                <w:szCs w:val="20"/>
              </w:rPr>
            </w:pPr>
            <w:r w:rsidRPr="00DF6A2D">
              <w:rPr>
                <w:sz w:val="20"/>
                <w:szCs w:val="20"/>
              </w:rPr>
              <w:t>240</w:t>
            </w:r>
          </w:p>
        </w:tc>
        <w:tc>
          <w:tcPr>
            <w:tcW w:w="0" w:type="auto"/>
          </w:tcPr>
          <w:p w14:paraId="1A1B439D" w14:textId="4EDC5E8F" w:rsidR="009C4CAE" w:rsidRPr="00DF6A2D" w:rsidRDefault="00DF6A2D" w:rsidP="00DF6A2D">
            <w:pPr>
              <w:pStyle w:val="NoSpacing"/>
              <w:rPr>
                <w:sz w:val="20"/>
                <w:szCs w:val="20"/>
              </w:rPr>
            </w:pPr>
            <w:r w:rsidRPr="00DF6A2D">
              <w:rPr>
                <w:sz w:val="20"/>
                <w:szCs w:val="20"/>
              </w:rPr>
              <w:t>-0.01</w:t>
            </w:r>
          </w:p>
        </w:tc>
        <w:tc>
          <w:tcPr>
            <w:tcW w:w="0" w:type="auto"/>
          </w:tcPr>
          <w:p w14:paraId="22FDAA2A" w14:textId="06A82148" w:rsidR="009C4CAE" w:rsidRPr="00DF6A2D" w:rsidRDefault="00DF6A2D" w:rsidP="00DF6A2D">
            <w:pPr>
              <w:pStyle w:val="NoSpacing"/>
              <w:rPr>
                <w:sz w:val="20"/>
                <w:szCs w:val="20"/>
              </w:rPr>
            </w:pPr>
            <w:r w:rsidRPr="00DF6A2D">
              <w:rPr>
                <w:sz w:val="20"/>
                <w:szCs w:val="20"/>
              </w:rPr>
              <w:t>0.14**</w:t>
            </w:r>
          </w:p>
        </w:tc>
        <w:tc>
          <w:tcPr>
            <w:tcW w:w="0" w:type="auto"/>
          </w:tcPr>
          <w:p w14:paraId="7875D5B6" w14:textId="602CF535" w:rsidR="009C4CAE" w:rsidRPr="00DF6A2D" w:rsidRDefault="00DF6A2D" w:rsidP="00DF6A2D">
            <w:pPr>
              <w:pStyle w:val="NoSpacing"/>
              <w:rPr>
                <w:sz w:val="20"/>
                <w:szCs w:val="20"/>
              </w:rPr>
            </w:pPr>
            <w:r w:rsidRPr="00DF6A2D">
              <w:rPr>
                <w:sz w:val="20"/>
                <w:szCs w:val="20"/>
              </w:rPr>
              <w:t>0.05*</w:t>
            </w:r>
          </w:p>
        </w:tc>
        <w:tc>
          <w:tcPr>
            <w:tcW w:w="0" w:type="auto"/>
          </w:tcPr>
          <w:p w14:paraId="5B9499C2" w14:textId="7517D97D" w:rsidR="009C4CAE" w:rsidRPr="00DF6A2D" w:rsidRDefault="00DF6A2D" w:rsidP="00DF6A2D">
            <w:pPr>
              <w:pStyle w:val="NoSpacing"/>
              <w:rPr>
                <w:sz w:val="20"/>
                <w:szCs w:val="20"/>
              </w:rPr>
            </w:pPr>
            <w:r w:rsidRPr="00DF6A2D">
              <w:rPr>
                <w:sz w:val="20"/>
                <w:szCs w:val="20"/>
              </w:rPr>
              <w:t>0</w:t>
            </w:r>
          </w:p>
        </w:tc>
        <w:tc>
          <w:tcPr>
            <w:tcW w:w="0" w:type="auto"/>
          </w:tcPr>
          <w:p w14:paraId="6EDB7E04" w14:textId="75E18DB9" w:rsidR="009C4CAE" w:rsidRPr="00DF6A2D" w:rsidRDefault="00DF6A2D" w:rsidP="00DF6A2D">
            <w:pPr>
              <w:pStyle w:val="NoSpacing"/>
              <w:rPr>
                <w:sz w:val="20"/>
                <w:szCs w:val="20"/>
              </w:rPr>
            </w:pPr>
            <w:r w:rsidRPr="00DF6A2D">
              <w:rPr>
                <w:sz w:val="20"/>
                <w:szCs w:val="20"/>
              </w:rPr>
              <w:t>0.37**</w:t>
            </w:r>
          </w:p>
        </w:tc>
        <w:tc>
          <w:tcPr>
            <w:tcW w:w="0" w:type="auto"/>
          </w:tcPr>
          <w:p w14:paraId="757E57C9" w14:textId="4F050D5B" w:rsidR="009C4CAE" w:rsidRPr="00DF6A2D" w:rsidRDefault="00DF6A2D" w:rsidP="00DF6A2D">
            <w:pPr>
              <w:pStyle w:val="NoSpacing"/>
              <w:rPr>
                <w:sz w:val="20"/>
                <w:szCs w:val="20"/>
              </w:rPr>
            </w:pPr>
            <w:r w:rsidRPr="00DF6A2D">
              <w:rPr>
                <w:sz w:val="20"/>
                <w:szCs w:val="20"/>
              </w:rPr>
              <w:t>0.05*</w:t>
            </w:r>
          </w:p>
        </w:tc>
        <w:tc>
          <w:tcPr>
            <w:tcW w:w="0" w:type="auto"/>
          </w:tcPr>
          <w:p w14:paraId="0AFAAF70" w14:textId="00CE81C6" w:rsidR="009C4CAE" w:rsidRPr="00DF6A2D" w:rsidRDefault="00DF6A2D" w:rsidP="00DF6A2D">
            <w:pPr>
              <w:pStyle w:val="NoSpacing"/>
              <w:rPr>
                <w:sz w:val="20"/>
                <w:szCs w:val="20"/>
              </w:rPr>
            </w:pPr>
            <w:r w:rsidRPr="00DF6A2D">
              <w:rPr>
                <w:sz w:val="20"/>
                <w:szCs w:val="20"/>
              </w:rPr>
              <w:t>0.03</w:t>
            </w:r>
          </w:p>
        </w:tc>
        <w:tc>
          <w:tcPr>
            <w:tcW w:w="0" w:type="auto"/>
          </w:tcPr>
          <w:p w14:paraId="4E290114" w14:textId="7F272676" w:rsidR="009C4CAE" w:rsidRPr="00DF6A2D" w:rsidRDefault="00DF6A2D" w:rsidP="00DF6A2D">
            <w:pPr>
              <w:pStyle w:val="NoSpacing"/>
              <w:rPr>
                <w:sz w:val="20"/>
                <w:szCs w:val="20"/>
              </w:rPr>
            </w:pPr>
            <w:r w:rsidRPr="00DF6A2D">
              <w:rPr>
                <w:sz w:val="20"/>
                <w:szCs w:val="20"/>
              </w:rPr>
              <w:t>0.08**</w:t>
            </w:r>
          </w:p>
        </w:tc>
        <w:tc>
          <w:tcPr>
            <w:tcW w:w="0" w:type="auto"/>
          </w:tcPr>
          <w:p w14:paraId="161B283F" w14:textId="5808C029" w:rsidR="009C4CAE" w:rsidRPr="00DF6A2D" w:rsidRDefault="00DF6A2D" w:rsidP="00DF6A2D">
            <w:pPr>
              <w:pStyle w:val="NoSpacing"/>
              <w:rPr>
                <w:sz w:val="20"/>
                <w:szCs w:val="20"/>
              </w:rPr>
            </w:pPr>
            <w:r w:rsidRPr="00DF6A2D">
              <w:rPr>
                <w:sz w:val="20"/>
                <w:szCs w:val="20"/>
              </w:rPr>
              <w:t>0.43**</w:t>
            </w:r>
          </w:p>
        </w:tc>
        <w:tc>
          <w:tcPr>
            <w:tcW w:w="0" w:type="auto"/>
          </w:tcPr>
          <w:p w14:paraId="2AE3B368" w14:textId="4B594BEA" w:rsidR="009C4CAE" w:rsidRPr="00DF6A2D" w:rsidRDefault="00DF6A2D" w:rsidP="00DF6A2D">
            <w:pPr>
              <w:pStyle w:val="NoSpacing"/>
              <w:rPr>
                <w:sz w:val="20"/>
                <w:szCs w:val="20"/>
              </w:rPr>
            </w:pPr>
            <w:r w:rsidRPr="00DF6A2D">
              <w:rPr>
                <w:sz w:val="20"/>
                <w:szCs w:val="20"/>
              </w:rPr>
              <w:t>0.26**</w:t>
            </w:r>
          </w:p>
        </w:tc>
        <w:tc>
          <w:tcPr>
            <w:tcW w:w="0" w:type="auto"/>
          </w:tcPr>
          <w:p w14:paraId="7C66714C" w14:textId="77777777" w:rsidR="009C4CAE" w:rsidRPr="00DF6A2D" w:rsidRDefault="009C4CAE" w:rsidP="00DF6A2D">
            <w:pPr>
              <w:pStyle w:val="NoSpacing"/>
              <w:rPr>
                <w:sz w:val="20"/>
                <w:szCs w:val="20"/>
              </w:rPr>
            </w:pPr>
          </w:p>
        </w:tc>
        <w:tc>
          <w:tcPr>
            <w:tcW w:w="0" w:type="auto"/>
          </w:tcPr>
          <w:p w14:paraId="01156C9F" w14:textId="77777777" w:rsidR="009C4CAE" w:rsidRPr="00DF6A2D" w:rsidRDefault="009C4CAE" w:rsidP="00DF6A2D">
            <w:pPr>
              <w:pStyle w:val="NoSpacing"/>
              <w:rPr>
                <w:sz w:val="20"/>
                <w:szCs w:val="20"/>
              </w:rPr>
            </w:pPr>
          </w:p>
        </w:tc>
        <w:tc>
          <w:tcPr>
            <w:tcW w:w="0" w:type="auto"/>
          </w:tcPr>
          <w:p w14:paraId="2DF4B48E" w14:textId="77777777" w:rsidR="009C4CAE" w:rsidRPr="00DF6A2D" w:rsidRDefault="009C4CAE" w:rsidP="00DF6A2D">
            <w:pPr>
              <w:pStyle w:val="NoSpacing"/>
              <w:rPr>
                <w:sz w:val="20"/>
                <w:szCs w:val="20"/>
              </w:rPr>
            </w:pPr>
          </w:p>
        </w:tc>
        <w:tc>
          <w:tcPr>
            <w:tcW w:w="0" w:type="auto"/>
          </w:tcPr>
          <w:p w14:paraId="1FBF662F" w14:textId="77777777" w:rsidR="009C4CAE" w:rsidRPr="00DF6A2D" w:rsidRDefault="009C4CAE" w:rsidP="00DF6A2D">
            <w:pPr>
              <w:pStyle w:val="NoSpacing"/>
              <w:rPr>
                <w:sz w:val="20"/>
                <w:szCs w:val="20"/>
              </w:rPr>
            </w:pPr>
          </w:p>
        </w:tc>
        <w:tc>
          <w:tcPr>
            <w:tcW w:w="0" w:type="auto"/>
          </w:tcPr>
          <w:p w14:paraId="0CBFD9B4" w14:textId="77777777" w:rsidR="009C4CAE" w:rsidRPr="00DF6A2D" w:rsidRDefault="009C4CAE" w:rsidP="00DF6A2D">
            <w:pPr>
              <w:pStyle w:val="NoSpacing"/>
              <w:rPr>
                <w:sz w:val="20"/>
                <w:szCs w:val="20"/>
              </w:rPr>
            </w:pPr>
          </w:p>
        </w:tc>
        <w:tc>
          <w:tcPr>
            <w:tcW w:w="0" w:type="auto"/>
          </w:tcPr>
          <w:p w14:paraId="370F8833" w14:textId="77777777" w:rsidR="009C4CAE" w:rsidRPr="00DF6A2D" w:rsidRDefault="009C4CAE" w:rsidP="00DF6A2D">
            <w:pPr>
              <w:pStyle w:val="NoSpacing"/>
              <w:rPr>
                <w:sz w:val="20"/>
                <w:szCs w:val="20"/>
              </w:rPr>
            </w:pPr>
          </w:p>
        </w:tc>
        <w:tc>
          <w:tcPr>
            <w:tcW w:w="0" w:type="auto"/>
          </w:tcPr>
          <w:p w14:paraId="69E8D864" w14:textId="77777777" w:rsidR="009C4CAE" w:rsidRPr="00DF6A2D" w:rsidRDefault="009C4CAE" w:rsidP="00DF6A2D">
            <w:pPr>
              <w:pStyle w:val="NoSpacing"/>
              <w:rPr>
                <w:sz w:val="20"/>
                <w:szCs w:val="20"/>
              </w:rPr>
            </w:pPr>
          </w:p>
        </w:tc>
        <w:tc>
          <w:tcPr>
            <w:tcW w:w="0" w:type="auto"/>
          </w:tcPr>
          <w:p w14:paraId="24C25DFB" w14:textId="77777777" w:rsidR="009C4CAE" w:rsidRPr="00DF6A2D" w:rsidRDefault="009C4CAE" w:rsidP="00DF6A2D">
            <w:pPr>
              <w:pStyle w:val="NoSpacing"/>
              <w:rPr>
                <w:sz w:val="20"/>
                <w:szCs w:val="20"/>
              </w:rPr>
            </w:pPr>
          </w:p>
        </w:tc>
        <w:tc>
          <w:tcPr>
            <w:tcW w:w="0" w:type="auto"/>
          </w:tcPr>
          <w:p w14:paraId="4F9C1E01" w14:textId="77777777" w:rsidR="009C4CAE" w:rsidRPr="00DF6A2D" w:rsidRDefault="009C4CAE" w:rsidP="00DF6A2D">
            <w:pPr>
              <w:pStyle w:val="NoSpacing"/>
              <w:rPr>
                <w:sz w:val="20"/>
                <w:szCs w:val="20"/>
              </w:rPr>
            </w:pPr>
          </w:p>
        </w:tc>
      </w:tr>
      <w:tr w:rsidR="00DF6A2D" w:rsidRPr="00DF6A2D" w14:paraId="1DF9FEBD" w14:textId="77777777" w:rsidTr="00DF6A2D">
        <w:tc>
          <w:tcPr>
            <w:tcW w:w="0" w:type="auto"/>
          </w:tcPr>
          <w:p w14:paraId="2BE4DE65" w14:textId="5FA59022" w:rsidR="009C4CAE" w:rsidRPr="00DF6A2D" w:rsidRDefault="004A7F3B" w:rsidP="00DF6A2D">
            <w:pPr>
              <w:pStyle w:val="NoSpacing"/>
              <w:rPr>
                <w:sz w:val="20"/>
                <w:szCs w:val="20"/>
              </w:rPr>
            </w:pPr>
            <w:r w:rsidRPr="00DF6A2D">
              <w:rPr>
                <w:sz w:val="20"/>
                <w:szCs w:val="20"/>
              </w:rPr>
              <w:t xml:space="preserve">12. Draft value </w:t>
            </w:r>
          </w:p>
        </w:tc>
        <w:tc>
          <w:tcPr>
            <w:tcW w:w="0" w:type="auto"/>
          </w:tcPr>
          <w:p w14:paraId="06348F0E" w14:textId="6D975645" w:rsidR="009C4CAE" w:rsidRPr="00DF6A2D" w:rsidRDefault="00DF6A2D" w:rsidP="00DF6A2D">
            <w:pPr>
              <w:pStyle w:val="NoSpacing"/>
              <w:rPr>
                <w:sz w:val="20"/>
                <w:szCs w:val="20"/>
              </w:rPr>
            </w:pPr>
            <w:r w:rsidRPr="00DF6A2D">
              <w:rPr>
                <w:sz w:val="20"/>
                <w:szCs w:val="20"/>
              </w:rPr>
              <w:t>3.14</w:t>
            </w:r>
          </w:p>
        </w:tc>
        <w:tc>
          <w:tcPr>
            <w:tcW w:w="0" w:type="auto"/>
          </w:tcPr>
          <w:p w14:paraId="2960AEB4" w14:textId="2D6A5E0E" w:rsidR="009C4CAE" w:rsidRPr="00DF6A2D" w:rsidRDefault="00DF6A2D" w:rsidP="00DF6A2D">
            <w:pPr>
              <w:pStyle w:val="NoSpacing"/>
              <w:rPr>
                <w:sz w:val="20"/>
                <w:szCs w:val="20"/>
              </w:rPr>
            </w:pPr>
            <w:r w:rsidRPr="00DF6A2D">
              <w:rPr>
                <w:sz w:val="20"/>
                <w:szCs w:val="20"/>
              </w:rPr>
              <w:t>4.18</w:t>
            </w:r>
          </w:p>
        </w:tc>
        <w:tc>
          <w:tcPr>
            <w:tcW w:w="0" w:type="auto"/>
          </w:tcPr>
          <w:p w14:paraId="7D1B0614" w14:textId="772BF1B9" w:rsidR="009C4CAE" w:rsidRPr="00DF6A2D" w:rsidRDefault="00DF6A2D" w:rsidP="00DF6A2D">
            <w:pPr>
              <w:pStyle w:val="NoSpacing"/>
              <w:rPr>
                <w:sz w:val="20"/>
                <w:szCs w:val="20"/>
              </w:rPr>
            </w:pPr>
            <w:r w:rsidRPr="00DF6A2D">
              <w:rPr>
                <w:sz w:val="20"/>
                <w:szCs w:val="20"/>
              </w:rPr>
              <w:t>0</w:t>
            </w:r>
          </w:p>
        </w:tc>
        <w:tc>
          <w:tcPr>
            <w:tcW w:w="0" w:type="auto"/>
          </w:tcPr>
          <w:p w14:paraId="10C5338A" w14:textId="3AF71562" w:rsidR="009C4CAE" w:rsidRPr="00DF6A2D" w:rsidRDefault="00DF6A2D" w:rsidP="00DF6A2D">
            <w:pPr>
              <w:pStyle w:val="NoSpacing"/>
              <w:rPr>
                <w:sz w:val="20"/>
                <w:szCs w:val="20"/>
              </w:rPr>
            </w:pPr>
            <w:r w:rsidRPr="00DF6A2D">
              <w:rPr>
                <w:sz w:val="20"/>
                <w:szCs w:val="20"/>
              </w:rPr>
              <w:t>27</w:t>
            </w:r>
          </w:p>
        </w:tc>
        <w:tc>
          <w:tcPr>
            <w:tcW w:w="0" w:type="auto"/>
          </w:tcPr>
          <w:p w14:paraId="7856FBC9" w14:textId="25501380" w:rsidR="009C4CAE" w:rsidRPr="00DF6A2D" w:rsidRDefault="00DF6A2D" w:rsidP="00DF6A2D">
            <w:pPr>
              <w:pStyle w:val="NoSpacing"/>
              <w:rPr>
                <w:sz w:val="20"/>
                <w:szCs w:val="20"/>
              </w:rPr>
            </w:pPr>
            <w:r w:rsidRPr="00DF6A2D">
              <w:rPr>
                <w:sz w:val="20"/>
                <w:szCs w:val="20"/>
              </w:rPr>
              <w:t>-0.09**</w:t>
            </w:r>
          </w:p>
        </w:tc>
        <w:tc>
          <w:tcPr>
            <w:tcW w:w="0" w:type="auto"/>
          </w:tcPr>
          <w:p w14:paraId="3C06593D" w14:textId="4CE157CC" w:rsidR="009C4CAE" w:rsidRPr="00DF6A2D" w:rsidRDefault="00DF6A2D" w:rsidP="00DF6A2D">
            <w:pPr>
              <w:pStyle w:val="NoSpacing"/>
              <w:rPr>
                <w:sz w:val="20"/>
                <w:szCs w:val="20"/>
              </w:rPr>
            </w:pPr>
            <w:r w:rsidRPr="00DF6A2D">
              <w:rPr>
                <w:sz w:val="20"/>
                <w:szCs w:val="20"/>
              </w:rPr>
              <w:t>0.34**</w:t>
            </w:r>
          </w:p>
        </w:tc>
        <w:tc>
          <w:tcPr>
            <w:tcW w:w="0" w:type="auto"/>
          </w:tcPr>
          <w:p w14:paraId="5A9A3F84" w14:textId="54E24251" w:rsidR="009C4CAE" w:rsidRPr="00DF6A2D" w:rsidRDefault="00DF6A2D" w:rsidP="00DF6A2D">
            <w:pPr>
              <w:pStyle w:val="NoSpacing"/>
              <w:rPr>
                <w:sz w:val="20"/>
                <w:szCs w:val="20"/>
              </w:rPr>
            </w:pPr>
            <w:r w:rsidRPr="00DF6A2D">
              <w:rPr>
                <w:sz w:val="20"/>
                <w:szCs w:val="20"/>
              </w:rPr>
              <w:t>-0.05*</w:t>
            </w:r>
          </w:p>
        </w:tc>
        <w:tc>
          <w:tcPr>
            <w:tcW w:w="0" w:type="auto"/>
          </w:tcPr>
          <w:p w14:paraId="6A839A4B" w14:textId="6DF71DA1" w:rsidR="009C4CAE" w:rsidRPr="00DF6A2D" w:rsidRDefault="00DF6A2D" w:rsidP="00DF6A2D">
            <w:pPr>
              <w:pStyle w:val="NoSpacing"/>
              <w:rPr>
                <w:sz w:val="20"/>
                <w:szCs w:val="20"/>
              </w:rPr>
            </w:pPr>
            <w:r w:rsidRPr="00DF6A2D">
              <w:rPr>
                <w:sz w:val="20"/>
                <w:szCs w:val="20"/>
              </w:rPr>
              <w:t>0.02</w:t>
            </w:r>
          </w:p>
        </w:tc>
        <w:tc>
          <w:tcPr>
            <w:tcW w:w="0" w:type="auto"/>
          </w:tcPr>
          <w:p w14:paraId="55C32C4D" w14:textId="28DEE37A" w:rsidR="009C4CAE" w:rsidRPr="00DF6A2D" w:rsidRDefault="00DF6A2D" w:rsidP="00DF6A2D">
            <w:pPr>
              <w:pStyle w:val="NoSpacing"/>
              <w:rPr>
                <w:sz w:val="20"/>
                <w:szCs w:val="20"/>
              </w:rPr>
            </w:pPr>
            <w:r w:rsidRPr="00DF6A2D">
              <w:rPr>
                <w:sz w:val="20"/>
                <w:szCs w:val="20"/>
              </w:rPr>
              <w:t>0.28**</w:t>
            </w:r>
          </w:p>
        </w:tc>
        <w:tc>
          <w:tcPr>
            <w:tcW w:w="0" w:type="auto"/>
          </w:tcPr>
          <w:p w14:paraId="3B8765E2" w14:textId="2E149071" w:rsidR="009C4CAE" w:rsidRPr="00DF6A2D" w:rsidRDefault="00DF6A2D" w:rsidP="00DF6A2D">
            <w:pPr>
              <w:pStyle w:val="NoSpacing"/>
              <w:rPr>
                <w:sz w:val="20"/>
                <w:szCs w:val="20"/>
              </w:rPr>
            </w:pPr>
            <w:r w:rsidRPr="00DF6A2D">
              <w:rPr>
                <w:sz w:val="20"/>
                <w:szCs w:val="20"/>
              </w:rPr>
              <w:t>0.07**</w:t>
            </w:r>
          </w:p>
        </w:tc>
        <w:tc>
          <w:tcPr>
            <w:tcW w:w="0" w:type="auto"/>
          </w:tcPr>
          <w:p w14:paraId="545C55C2" w14:textId="5D580DD3" w:rsidR="009C4CAE" w:rsidRPr="00DF6A2D" w:rsidRDefault="00DF6A2D" w:rsidP="00DF6A2D">
            <w:pPr>
              <w:pStyle w:val="NoSpacing"/>
              <w:rPr>
                <w:sz w:val="20"/>
                <w:szCs w:val="20"/>
              </w:rPr>
            </w:pPr>
            <w:r w:rsidRPr="00DF6A2D">
              <w:rPr>
                <w:sz w:val="20"/>
                <w:szCs w:val="20"/>
              </w:rPr>
              <w:t>0.04</w:t>
            </w:r>
          </w:p>
        </w:tc>
        <w:tc>
          <w:tcPr>
            <w:tcW w:w="0" w:type="auto"/>
          </w:tcPr>
          <w:p w14:paraId="7552D854" w14:textId="652A16BF" w:rsidR="009C4CAE" w:rsidRPr="00DF6A2D" w:rsidRDefault="00DF6A2D" w:rsidP="00DF6A2D">
            <w:pPr>
              <w:pStyle w:val="NoSpacing"/>
              <w:rPr>
                <w:sz w:val="20"/>
                <w:szCs w:val="20"/>
              </w:rPr>
            </w:pPr>
            <w:r w:rsidRPr="00DF6A2D">
              <w:rPr>
                <w:sz w:val="20"/>
                <w:szCs w:val="20"/>
              </w:rPr>
              <w:t>0.21**</w:t>
            </w:r>
          </w:p>
        </w:tc>
        <w:tc>
          <w:tcPr>
            <w:tcW w:w="0" w:type="auto"/>
          </w:tcPr>
          <w:p w14:paraId="0641FB17" w14:textId="4B878CC1" w:rsidR="009C4CAE" w:rsidRPr="00DF6A2D" w:rsidRDefault="00DF6A2D" w:rsidP="00DF6A2D">
            <w:pPr>
              <w:pStyle w:val="NoSpacing"/>
              <w:rPr>
                <w:sz w:val="20"/>
                <w:szCs w:val="20"/>
              </w:rPr>
            </w:pPr>
            <w:r w:rsidRPr="00DF6A2D">
              <w:rPr>
                <w:sz w:val="20"/>
                <w:szCs w:val="20"/>
              </w:rPr>
              <w:t>0.42**</w:t>
            </w:r>
          </w:p>
        </w:tc>
        <w:tc>
          <w:tcPr>
            <w:tcW w:w="0" w:type="auto"/>
          </w:tcPr>
          <w:p w14:paraId="2C4A5C7A" w14:textId="4E453BBF" w:rsidR="009C4CAE" w:rsidRPr="00DF6A2D" w:rsidRDefault="00DF6A2D" w:rsidP="00DF6A2D">
            <w:pPr>
              <w:pStyle w:val="NoSpacing"/>
              <w:rPr>
                <w:sz w:val="20"/>
                <w:szCs w:val="20"/>
              </w:rPr>
            </w:pPr>
            <w:r w:rsidRPr="00DF6A2D">
              <w:rPr>
                <w:sz w:val="20"/>
                <w:szCs w:val="20"/>
              </w:rPr>
              <w:t>0.63**</w:t>
            </w:r>
          </w:p>
        </w:tc>
        <w:tc>
          <w:tcPr>
            <w:tcW w:w="0" w:type="auto"/>
          </w:tcPr>
          <w:p w14:paraId="3BCA73DC" w14:textId="2FE0014B" w:rsidR="009C4CAE" w:rsidRPr="00DF6A2D" w:rsidRDefault="00DF6A2D" w:rsidP="00DF6A2D">
            <w:pPr>
              <w:pStyle w:val="NoSpacing"/>
              <w:rPr>
                <w:sz w:val="20"/>
                <w:szCs w:val="20"/>
              </w:rPr>
            </w:pPr>
            <w:r w:rsidRPr="00DF6A2D">
              <w:rPr>
                <w:sz w:val="20"/>
                <w:szCs w:val="20"/>
              </w:rPr>
              <w:t>0.37**</w:t>
            </w:r>
          </w:p>
        </w:tc>
        <w:tc>
          <w:tcPr>
            <w:tcW w:w="0" w:type="auto"/>
          </w:tcPr>
          <w:p w14:paraId="60CB99F5" w14:textId="77777777" w:rsidR="009C4CAE" w:rsidRPr="00DF6A2D" w:rsidRDefault="009C4CAE" w:rsidP="00DF6A2D">
            <w:pPr>
              <w:pStyle w:val="NoSpacing"/>
              <w:rPr>
                <w:sz w:val="20"/>
                <w:szCs w:val="20"/>
              </w:rPr>
            </w:pPr>
          </w:p>
        </w:tc>
        <w:tc>
          <w:tcPr>
            <w:tcW w:w="0" w:type="auto"/>
          </w:tcPr>
          <w:p w14:paraId="7DDE4070" w14:textId="77777777" w:rsidR="009C4CAE" w:rsidRPr="00DF6A2D" w:rsidRDefault="009C4CAE" w:rsidP="00DF6A2D">
            <w:pPr>
              <w:pStyle w:val="NoSpacing"/>
              <w:rPr>
                <w:sz w:val="20"/>
                <w:szCs w:val="20"/>
              </w:rPr>
            </w:pPr>
          </w:p>
        </w:tc>
        <w:tc>
          <w:tcPr>
            <w:tcW w:w="0" w:type="auto"/>
          </w:tcPr>
          <w:p w14:paraId="525B133B" w14:textId="77777777" w:rsidR="009C4CAE" w:rsidRPr="00DF6A2D" w:rsidRDefault="009C4CAE" w:rsidP="00DF6A2D">
            <w:pPr>
              <w:pStyle w:val="NoSpacing"/>
              <w:rPr>
                <w:sz w:val="20"/>
                <w:szCs w:val="20"/>
              </w:rPr>
            </w:pPr>
          </w:p>
        </w:tc>
        <w:tc>
          <w:tcPr>
            <w:tcW w:w="0" w:type="auto"/>
          </w:tcPr>
          <w:p w14:paraId="0AFD92BB" w14:textId="77777777" w:rsidR="009C4CAE" w:rsidRPr="00DF6A2D" w:rsidRDefault="009C4CAE" w:rsidP="00DF6A2D">
            <w:pPr>
              <w:pStyle w:val="NoSpacing"/>
              <w:rPr>
                <w:sz w:val="20"/>
                <w:szCs w:val="20"/>
              </w:rPr>
            </w:pPr>
          </w:p>
        </w:tc>
        <w:tc>
          <w:tcPr>
            <w:tcW w:w="0" w:type="auto"/>
          </w:tcPr>
          <w:p w14:paraId="3CF2D0AC" w14:textId="77777777" w:rsidR="009C4CAE" w:rsidRPr="00DF6A2D" w:rsidRDefault="009C4CAE" w:rsidP="00DF6A2D">
            <w:pPr>
              <w:pStyle w:val="NoSpacing"/>
              <w:rPr>
                <w:sz w:val="20"/>
                <w:szCs w:val="20"/>
              </w:rPr>
            </w:pPr>
          </w:p>
        </w:tc>
        <w:tc>
          <w:tcPr>
            <w:tcW w:w="0" w:type="auto"/>
          </w:tcPr>
          <w:p w14:paraId="4A3C2DED" w14:textId="77777777" w:rsidR="009C4CAE" w:rsidRPr="00DF6A2D" w:rsidRDefault="009C4CAE" w:rsidP="00DF6A2D">
            <w:pPr>
              <w:pStyle w:val="NoSpacing"/>
              <w:rPr>
                <w:sz w:val="20"/>
                <w:szCs w:val="20"/>
              </w:rPr>
            </w:pPr>
          </w:p>
        </w:tc>
        <w:tc>
          <w:tcPr>
            <w:tcW w:w="0" w:type="auto"/>
          </w:tcPr>
          <w:p w14:paraId="01BAB5F7" w14:textId="77777777" w:rsidR="009C4CAE" w:rsidRPr="00DF6A2D" w:rsidRDefault="009C4CAE" w:rsidP="00DF6A2D">
            <w:pPr>
              <w:pStyle w:val="NoSpacing"/>
              <w:rPr>
                <w:sz w:val="20"/>
                <w:szCs w:val="20"/>
              </w:rPr>
            </w:pPr>
          </w:p>
        </w:tc>
        <w:tc>
          <w:tcPr>
            <w:tcW w:w="0" w:type="auto"/>
          </w:tcPr>
          <w:p w14:paraId="72E3888A" w14:textId="77777777" w:rsidR="009C4CAE" w:rsidRPr="00DF6A2D" w:rsidRDefault="009C4CAE" w:rsidP="00DF6A2D">
            <w:pPr>
              <w:pStyle w:val="NoSpacing"/>
              <w:rPr>
                <w:sz w:val="20"/>
                <w:szCs w:val="20"/>
              </w:rPr>
            </w:pPr>
          </w:p>
        </w:tc>
      </w:tr>
      <w:tr w:rsidR="00DF6A2D" w:rsidRPr="00DF6A2D" w14:paraId="4E2C19D8" w14:textId="77777777" w:rsidTr="00DF6A2D">
        <w:tc>
          <w:tcPr>
            <w:tcW w:w="0" w:type="auto"/>
          </w:tcPr>
          <w:p w14:paraId="661FA980" w14:textId="57D50C38" w:rsidR="009C4CAE" w:rsidRPr="00DF6A2D" w:rsidRDefault="008A2C56" w:rsidP="00DF6A2D">
            <w:pPr>
              <w:pStyle w:val="NoSpacing"/>
              <w:rPr>
                <w:sz w:val="20"/>
                <w:szCs w:val="20"/>
              </w:rPr>
            </w:pPr>
            <w:r w:rsidRPr="00DF6A2D">
              <w:rPr>
                <w:sz w:val="20"/>
                <w:szCs w:val="20"/>
              </w:rPr>
              <w:t>13. Winning</w:t>
            </w:r>
            <w:r w:rsidR="00DF6A2D" w:rsidRPr="00DF6A2D">
              <w:rPr>
                <w:sz w:val="20"/>
                <w:szCs w:val="20"/>
              </w:rPr>
              <w:t xml:space="preserve"> </w:t>
            </w:r>
            <w:r w:rsidRPr="00DF6A2D">
              <w:rPr>
                <w:sz w:val="20"/>
                <w:szCs w:val="20"/>
              </w:rPr>
              <w:t>percentage</w:t>
            </w:r>
          </w:p>
        </w:tc>
        <w:tc>
          <w:tcPr>
            <w:tcW w:w="0" w:type="auto"/>
          </w:tcPr>
          <w:p w14:paraId="67B66DC9" w14:textId="4EABA157" w:rsidR="009C4CAE" w:rsidRPr="00DF6A2D" w:rsidRDefault="00DF6A2D" w:rsidP="00DF6A2D">
            <w:pPr>
              <w:pStyle w:val="NoSpacing"/>
              <w:rPr>
                <w:sz w:val="20"/>
                <w:szCs w:val="20"/>
              </w:rPr>
            </w:pPr>
            <w:r w:rsidRPr="00DF6A2D">
              <w:rPr>
                <w:sz w:val="20"/>
                <w:szCs w:val="20"/>
              </w:rPr>
              <w:t>57.73</w:t>
            </w:r>
          </w:p>
        </w:tc>
        <w:tc>
          <w:tcPr>
            <w:tcW w:w="0" w:type="auto"/>
          </w:tcPr>
          <w:p w14:paraId="5C9EB380" w14:textId="4F3CAF80" w:rsidR="009C4CAE" w:rsidRPr="00DF6A2D" w:rsidRDefault="00DF6A2D" w:rsidP="00DF6A2D">
            <w:pPr>
              <w:pStyle w:val="NoSpacing"/>
              <w:rPr>
                <w:sz w:val="20"/>
                <w:szCs w:val="20"/>
              </w:rPr>
            </w:pPr>
            <w:r w:rsidRPr="00DF6A2D">
              <w:rPr>
                <w:sz w:val="20"/>
                <w:szCs w:val="20"/>
              </w:rPr>
              <w:t>16.1</w:t>
            </w:r>
          </w:p>
        </w:tc>
        <w:tc>
          <w:tcPr>
            <w:tcW w:w="0" w:type="auto"/>
          </w:tcPr>
          <w:p w14:paraId="4F591C87" w14:textId="2861A232" w:rsidR="009C4CAE" w:rsidRPr="00DF6A2D" w:rsidRDefault="00DF6A2D" w:rsidP="00DF6A2D">
            <w:pPr>
              <w:pStyle w:val="NoSpacing"/>
              <w:rPr>
                <w:sz w:val="20"/>
                <w:szCs w:val="20"/>
              </w:rPr>
            </w:pPr>
            <w:r w:rsidRPr="00DF6A2D">
              <w:rPr>
                <w:sz w:val="20"/>
                <w:szCs w:val="20"/>
              </w:rPr>
              <w:t>6.3</w:t>
            </w:r>
          </w:p>
        </w:tc>
        <w:tc>
          <w:tcPr>
            <w:tcW w:w="0" w:type="auto"/>
          </w:tcPr>
          <w:p w14:paraId="28A83785" w14:textId="27AAFA5F" w:rsidR="009C4CAE" w:rsidRPr="00DF6A2D" w:rsidRDefault="00DF6A2D" w:rsidP="00DF6A2D">
            <w:pPr>
              <w:pStyle w:val="NoSpacing"/>
              <w:rPr>
                <w:sz w:val="20"/>
                <w:szCs w:val="20"/>
              </w:rPr>
            </w:pPr>
            <w:r w:rsidRPr="00DF6A2D">
              <w:rPr>
                <w:sz w:val="20"/>
                <w:szCs w:val="20"/>
              </w:rPr>
              <w:t>97.4</w:t>
            </w:r>
          </w:p>
        </w:tc>
        <w:tc>
          <w:tcPr>
            <w:tcW w:w="0" w:type="auto"/>
          </w:tcPr>
          <w:p w14:paraId="58669FF0" w14:textId="68114307" w:rsidR="009C4CAE" w:rsidRPr="00DF6A2D" w:rsidRDefault="00DF6A2D" w:rsidP="00DF6A2D">
            <w:pPr>
              <w:pStyle w:val="NoSpacing"/>
              <w:rPr>
                <w:sz w:val="20"/>
                <w:szCs w:val="20"/>
              </w:rPr>
            </w:pPr>
            <w:r w:rsidRPr="00DF6A2D">
              <w:rPr>
                <w:sz w:val="20"/>
                <w:szCs w:val="20"/>
              </w:rPr>
              <w:t>-0.26**</w:t>
            </w:r>
          </w:p>
        </w:tc>
        <w:tc>
          <w:tcPr>
            <w:tcW w:w="0" w:type="auto"/>
          </w:tcPr>
          <w:p w14:paraId="7412A3FC" w14:textId="16C5050B" w:rsidR="009C4CAE" w:rsidRPr="00DF6A2D" w:rsidRDefault="00DF6A2D" w:rsidP="00DF6A2D">
            <w:pPr>
              <w:pStyle w:val="NoSpacing"/>
              <w:rPr>
                <w:sz w:val="20"/>
                <w:szCs w:val="20"/>
              </w:rPr>
            </w:pPr>
            <w:r w:rsidRPr="00DF6A2D">
              <w:rPr>
                <w:sz w:val="20"/>
                <w:szCs w:val="20"/>
              </w:rPr>
              <w:t>0.28**</w:t>
            </w:r>
          </w:p>
        </w:tc>
        <w:tc>
          <w:tcPr>
            <w:tcW w:w="0" w:type="auto"/>
          </w:tcPr>
          <w:p w14:paraId="0A29E6AC" w14:textId="624EA475" w:rsidR="009C4CAE" w:rsidRPr="00DF6A2D" w:rsidRDefault="00DF6A2D" w:rsidP="00DF6A2D">
            <w:pPr>
              <w:pStyle w:val="NoSpacing"/>
              <w:rPr>
                <w:sz w:val="20"/>
                <w:szCs w:val="20"/>
              </w:rPr>
            </w:pPr>
            <w:r w:rsidRPr="00DF6A2D">
              <w:rPr>
                <w:sz w:val="20"/>
                <w:szCs w:val="20"/>
              </w:rPr>
              <w:t>-0.15**</w:t>
            </w:r>
          </w:p>
        </w:tc>
        <w:tc>
          <w:tcPr>
            <w:tcW w:w="0" w:type="auto"/>
          </w:tcPr>
          <w:p w14:paraId="04830C29" w14:textId="59C6C90C" w:rsidR="009C4CAE" w:rsidRPr="00DF6A2D" w:rsidRDefault="00DF6A2D" w:rsidP="00DF6A2D">
            <w:pPr>
              <w:pStyle w:val="NoSpacing"/>
              <w:rPr>
                <w:sz w:val="20"/>
                <w:szCs w:val="20"/>
              </w:rPr>
            </w:pPr>
            <w:r w:rsidRPr="00DF6A2D">
              <w:rPr>
                <w:sz w:val="20"/>
                <w:szCs w:val="20"/>
              </w:rPr>
              <w:t>-0.04</w:t>
            </w:r>
          </w:p>
        </w:tc>
        <w:tc>
          <w:tcPr>
            <w:tcW w:w="0" w:type="auto"/>
          </w:tcPr>
          <w:p w14:paraId="327632CC" w14:textId="4325A6CA" w:rsidR="009C4CAE" w:rsidRPr="00DF6A2D" w:rsidRDefault="00DF6A2D" w:rsidP="00DF6A2D">
            <w:pPr>
              <w:pStyle w:val="NoSpacing"/>
              <w:rPr>
                <w:sz w:val="20"/>
                <w:szCs w:val="20"/>
              </w:rPr>
            </w:pPr>
            <w:r w:rsidRPr="00DF6A2D">
              <w:rPr>
                <w:sz w:val="20"/>
                <w:szCs w:val="20"/>
              </w:rPr>
              <w:t>0.13**</w:t>
            </w:r>
          </w:p>
        </w:tc>
        <w:tc>
          <w:tcPr>
            <w:tcW w:w="0" w:type="auto"/>
          </w:tcPr>
          <w:p w14:paraId="7B8794E5" w14:textId="34628839" w:rsidR="009C4CAE" w:rsidRPr="00DF6A2D" w:rsidRDefault="00DF6A2D" w:rsidP="00DF6A2D">
            <w:pPr>
              <w:pStyle w:val="NoSpacing"/>
              <w:rPr>
                <w:sz w:val="20"/>
                <w:szCs w:val="20"/>
              </w:rPr>
            </w:pPr>
            <w:r w:rsidRPr="00DF6A2D">
              <w:rPr>
                <w:sz w:val="20"/>
                <w:szCs w:val="20"/>
              </w:rPr>
              <w:t>0.05*</w:t>
            </w:r>
          </w:p>
        </w:tc>
        <w:tc>
          <w:tcPr>
            <w:tcW w:w="0" w:type="auto"/>
          </w:tcPr>
          <w:p w14:paraId="1B681EC3" w14:textId="396FC47A" w:rsidR="009C4CAE" w:rsidRPr="00DF6A2D" w:rsidRDefault="00DF6A2D" w:rsidP="00DF6A2D">
            <w:pPr>
              <w:pStyle w:val="NoSpacing"/>
              <w:rPr>
                <w:sz w:val="20"/>
                <w:szCs w:val="20"/>
              </w:rPr>
            </w:pPr>
            <w:r w:rsidRPr="00DF6A2D">
              <w:rPr>
                <w:sz w:val="20"/>
                <w:szCs w:val="20"/>
              </w:rPr>
              <w:t>0.04</w:t>
            </w:r>
          </w:p>
        </w:tc>
        <w:tc>
          <w:tcPr>
            <w:tcW w:w="0" w:type="auto"/>
          </w:tcPr>
          <w:p w14:paraId="0470E534" w14:textId="3D8894FD" w:rsidR="009C4CAE" w:rsidRPr="00DF6A2D" w:rsidRDefault="00DF6A2D" w:rsidP="00DF6A2D">
            <w:pPr>
              <w:pStyle w:val="NoSpacing"/>
              <w:rPr>
                <w:sz w:val="20"/>
                <w:szCs w:val="20"/>
              </w:rPr>
            </w:pPr>
            <w:r w:rsidRPr="00DF6A2D">
              <w:rPr>
                <w:sz w:val="20"/>
                <w:szCs w:val="20"/>
              </w:rPr>
              <w:t>0.12**</w:t>
            </w:r>
          </w:p>
        </w:tc>
        <w:tc>
          <w:tcPr>
            <w:tcW w:w="0" w:type="auto"/>
          </w:tcPr>
          <w:p w14:paraId="7A159E81" w14:textId="4127D248" w:rsidR="009C4CAE" w:rsidRPr="00DF6A2D" w:rsidRDefault="00DF6A2D" w:rsidP="00DF6A2D">
            <w:pPr>
              <w:pStyle w:val="NoSpacing"/>
              <w:rPr>
                <w:sz w:val="20"/>
                <w:szCs w:val="20"/>
              </w:rPr>
            </w:pPr>
            <w:r w:rsidRPr="00DF6A2D">
              <w:rPr>
                <w:sz w:val="20"/>
                <w:szCs w:val="20"/>
              </w:rPr>
              <w:t>0.29**</w:t>
            </w:r>
          </w:p>
        </w:tc>
        <w:tc>
          <w:tcPr>
            <w:tcW w:w="0" w:type="auto"/>
          </w:tcPr>
          <w:p w14:paraId="2A6EB7EC" w14:textId="56860C85" w:rsidR="009C4CAE" w:rsidRPr="00DF6A2D" w:rsidRDefault="00DF6A2D" w:rsidP="00DF6A2D">
            <w:pPr>
              <w:pStyle w:val="NoSpacing"/>
              <w:rPr>
                <w:sz w:val="20"/>
                <w:szCs w:val="20"/>
              </w:rPr>
            </w:pPr>
            <w:r w:rsidRPr="00DF6A2D">
              <w:rPr>
                <w:sz w:val="20"/>
                <w:szCs w:val="20"/>
              </w:rPr>
              <w:t>0.47**</w:t>
            </w:r>
          </w:p>
        </w:tc>
        <w:tc>
          <w:tcPr>
            <w:tcW w:w="0" w:type="auto"/>
          </w:tcPr>
          <w:p w14:paraId="7492925A" w14:textId="3F1BC801" w:rsidR="009C4CAE" w:rsidRPr="00DF6A2D" w:rsidRDefault="00DF6A2D" w:rsidP="00DF6A2D">
            <w:pPr>
              <w:pStyle w:val="NoSpacing"/>
              <w:rPr>
                <w:sz w:val="20"/>
                <w:szCs w:val="20"/>
              </w:rPr>
            </w:pPr>
            <w:r w:rsidRPr="00DF6A2D">
              <w:rPr>
                <w:sz w:val="20"/>
                <w:szCs w:val="20"/>
              </w:rPr>
              <w:t>0.17**</w:t>
            </w:r>
          </w:p>
        </w:tc>
        <w:tc>
          <w:tcPr>
            <w:tcW w:w="0" w:type="auto"/>
          </w:tcPr>
          <w:p w14:paraId="36057AAF" w14:textId="7D419CA4" w:rsidR="009C4CAE" w:rsidRPr="00DF6A2D" w:rsidRDefault="00DF6A2D" w:rsidP="00DF6A2D">
            <w:pPr>
              <w:pStyle w:val="NoSpacing"/>
              <w:rPr>
                <w:sz w:val="20"/>
                <w:szCs w:val="20"/>
              </w:rPr>
            </w:pPr>
            <w:r w:rsidRPr="00DF6A2D">
              <w:rPr>
                <w:sz w:val="20"/>
                <w:szCs w:val="20"/>
              </w:rPr>
              <w:t>0.50**</w:t>
            </w:r>
          </w:p>
        </w:tc>
        <w:tc>
          <w:tcPr>
            <w:tcW w:w="0" w:type="auto"/>
          </w:tcPr>
          <w:p w14:paraId="0B406C4F" w14:textId="77777777" w:rsidR="009C4CAE" w:rsidRPr="00DF6A2D" w:rsidRDefault="009C4CAE" w:rsidP="00DF6A2D">
            <w:pPr>
              <w:pStyle w:val="NoSpacing"/>
              <w:rPr>
                <w:sz w:val="20"/>
                <w:szCs w:val="20"/>
              </w:rPr>
            </w:pPr>
          </w:p>
        </w:tc>
        <w:tc>
          <w:tcPr>
            <w:tcW w:w="0" w:type="auto"/>
          </w:tcPr>
          <w:p w14:paraId="4187D948" w14:textId="77777777" w:rsidR="009C4CAE" w:rsidRPr="00DF6A2D" w:rsidRDefault="009C4CAE" w:rsidP="00DF6A2D">
            <w:pPr>
              <w:pStyle w:val="NoSpacing"/>
              <w:rPr>
                <w:sz w:val="20"/>
                <w:szCs w:val="20"/>
              </w:rPr>
            </w:pPr>
          </w:p>
        </w:tc>
        <w:tc>
          <w:tcPr>
            <w:tcW w:w="0" w:type="auto"/>
          </w:tcPr>
          <w:p w14:paraId="13A77D0B" w14:textId="77777777" w:rsidR="009C4CAE" w:rsidRPr="00DF6A2D" w:rsidRDefault="009C4CAE" w:rsidP="00DF6A2D">
            <w:pPr>
              <w:pStyle w:val="NoSpacing"/>
              <w:rPr>
                <w:sz w:val="20"/>
                <w:szCs w:val="20"/>
              </w:rPr>
            </w:pPr>
          </w:p>
        </w:tc>
        <w:tc>
          <w:tcPr>
            <w:tcW w:w="0" w:type="auto"/>
          </w:tcPr>
          <w:p w14:paraId="1B74D954" w14:textId="77777777" w:rsidR="009C4CAE" w:rsidRPr="00DF6A2D" w:rsidRDefault="009C4CAE" w:rsidP="00DF6A2D">
            <w:pPr>
              <w:pStyle w:val="NoSpacing"/>
              <w:rPr>
                <w:sz w:val="20"/>
                <w:szCs w:val="20"/>
              </w:rPr>
            </w:pPr>
          </w:p>
        </w:tc>
        <w:tc>
          <w:tcPr>
            <w:tcW w:w="0" w:type="auto"/>
          </w:tcPr>
          <w:p w14:paraId="6CC2262F" w14:textId="77777777" w:rsidR="009C4CAE" w:rsidRPr="00DF6A2D" w:rsidRDefault="009C4CAE" w:rsidP="00DF6A2D">
            <w:pPr>
              <w:pStyle w:val="NoSpacing"/>
              <w:rPr>
                <w:sz w:val="20"/>
                <w:szCs w:val="20"/>
              </w:rPr>
            </w:pPr>
          </w:p>
        </w:tc>
        <w:tc>
          <w:tcPr>
            <w:tcW w:w="0" w:type="auto"/>
          </w:tcPr>
          <w:p w14:paraId="6F3FBB87" w14:textId="77777777" w:rsidR="009C4CAE" w:rsidRPr="00DF6A2D" w:rsidRDefault="009C4CAE" w:rsidP="00DF6A2D">
            <w:pPr>
              <w:pStyle w:val="NoSpacing"/>
              <w:rPr>
                <w:sz w:val="20"/>
                <w:szCs w:val="20"/>
              </w:rPr>
            </w:pPr>
          </w:p>
        </w:tc>
        <w:tc>
          <w:tcPr>
            <w:tcW w:w="0" w:type="auto"/>
          </w:tcPr>
          <w:p w14:paraId="7B0A1DF4" w14:textId="77777777" w:rsidR="009C4CAE" w:rsidRPr="00DF6A2D" w:rsidRDefault="009C4CAE" w:rsidP="00DF6A2D">
            <w:pPr>
              <w:pStyle w:val="NoSpacing"/>
              <w:rPr>
                <w:sz w:val="20"/>
                <w:szCs w:val="20"/>
              </w:rPr>
            </w:pPr>
          </w:p>
        </w:tc>
      </w:tr>
      <w:tr w:rsidR="00DF6A2D" w:rsidRPr="00DF6A2D" w14:paraId="46739D58" w14:textId="77777777" w:rsidTr="00DF6A2D">
        <w:tc>
          <w:tcPr>
            <w:tcW w:w="0" w:type="auto"/>
          </w:tcPr>
          <w:p w14:paraId="69999479" w14:textId="459B3F4A" w:rsidR="009C4CAE" w:rsidRPr="00DF6A2D" w:rsidRDefault="008A2C56" w:rsidP="00DF6A2D">
            <w:pPr>
              <w:pStyle w:val="NoSpacing"/>
              <w:rPr>
                <w:sz w:val="20"/>
                <w:szCs w:val="20"/>
              </w:rPr>
            </w:pPr>
            <w:r w:rsidRPr="00DF6A2D">
              <w:rPr>
                <w:sz w:val="20"/>
                <w:szCs w:val="20"/>
              </w:rPr>
              <w:t>14. Winning</w:t>
            </w:r>
            <w:r w:rsidR="00DF6A2D" w:rsidRPr="00DF6A2D">
              <w:rPr>
                <w:sz w:val="20"/>
                <w:szCs w:val="20"/>
              </w:rPr>
              <w:t xml:space="preserve"> </w:t>
            </w:r>
            <w:r w:rsidRPr="00DF6A2D">
              <w:rPr>
                <w:sz w:val="20"/>
                <w:szCs w:val="20"/>
              </w:rPr>
              <w:t>percentage</w:t>
            </w:r>
            <w:r w:rsidR="00DF6A2D" w:rsidRPr="00DF6A2D">
              <w:rPr>
                <w:sz w:val="20"/>
                <w:szCs w:val="20"/>
              </w:rPr>
              <w:t xml:space="preserve"> </w:t>
            </w:r>
            <w:r w:rsidRPr="00DF6A2D">
              <w:rPr>
                <w:sz w:val="20"/>
                <w:szCs w:val="20"/>
              </w:rPr>
              <w:t>(</w:t>
            </w:r>
            <w:r w:rsidRPr="00DF6A2D">
              <w:rPr>
                <w:i/>
                <w:iCs/>
                <w:sz w:val="20"/>
                <w:szCs w:val="20"/>
              </w:rPr>
              <w:t xml:space="preserve">t </w:t>
            </w:r>
            <w:r w:rsidR="0085180E" w:rsidRPr="00DF6A2D">
              <w:rPr>
                <w:sz w:val="20"/>
                <w:szCs w:val="20"/>
              </w:rPr>
              <w:t>-</w:t>
            </w:r>
            <w:r w:rsidRPr="00DF6A2D">
              <w:rPr>
                <w:sz w:val="20"/>
                <w:szCs w:val="20"/>
              </w:rPr>
              <w:t xml:space="preserve"> 1)</w:t>
            </w:r>
          </w:p>
        </w:tc>
        <w:tc>
          <w:tcPr>
            <w:tcW w:w="0" w:type="auto"/>
          </w:tcPr>
          <w:p w14:paraId="43E1DFB7" w14:textId="6D817E79" w:rsidR="009C4CAE" w:rsidRPr="00DF6A2D" w:rsidRDefault="00DF6A2D" w:rsidP="00DF6A2D">
            <w:pPr>
              <w:pStyle w:val="NoSpacing"/>
              <w:rPr>
                <w:sz w:val="20"/>
                <w:szCs w:val="20"/>
              </w:rPr>
            </w:pPr>
            <w:r w:rsidRPr="00DF6A2D">
              <w:rPr>
                <w:sz w:val="20"/>
                <w:szCs w:val="20"/>
              </w:rPr>
              <w:t>57.77</w:t>
            </w:r>
          </w:p>
        </w:tc>
        <w:tc>
          <w:tcPr>
            <w:tcW w:w="0" w:type="auto"/>
          </w:tcPr>
          <w:p w14:paraId="4B504FB0" w14:textId="0F27D763" w:rsidR="009C4CAE" w:rsidRPr="00DF6A2D" w:rsidRDefault="00DF6A2D" w:rsidP="00DF6A2D">
            <w:pPr>
              <w:pStyle w:val="NoSpacing"/>
              <w:rPr>
                <w:sz w:val="20"/>
                <w:szCs w:val="20"/>
              </w:rPr>
            </w:pPr>
            <w:r w:rsidRPr="00DF6A2D">
              <w:rPr>
                <w:sz w:val="20"/>
                <w:szCs w:val="20"/>
              </w:rPr>
              <w:t>16.12</w:t>
            </w:r>
          </w:p>
        </w:tc>
        <w:tc>
          <w:tcPr>
            <w:tcW w:w="0" w:type="auto"/>
          </w:tcPr>
          <w:p w14:paraId="630DF577" w14:textId="3ED392DF" w:rsidR="009C4CAE" w:rsidRPr="00DF6A2D" w:rsidRDefault="00DF6A2D" w:rsidP="00DF6A2D">
            <w:pPr>
              <w:pStyle w:val="NoSpacing"/>
              <w:rPr>
                <w:sz w:val="20"/>
                <w:szCs w:val="20"/>
              </w:rPr>
            </w:pPr>
            <w:r w:rsidRPr="00DF6A2D">
              <w:rPr>
                <w:sz w:val="20"/>
                <w:szCs w:val="20"/>
              </w:rPr>
              <w:t>6.3</w:t>
            </w:r>
          </w:p>
        </w:tc>
        <w:tc>
          <w:tcPr>
            <w:tcW w:w="0" w:type="auto"/>
          </w:tcPr>
          <w:p w14:paraId="298ED0F7" w14:textId="6EAFDA50" w:rsidR="009C4CAE" w:rsidRPr="00DF6A2D" w:rsidRDefault="00DF6A2D" w:rsidP="00DF6A2D">
            <w:pPr>
              <w:pStyle w:val="NoSpacing"/>
              <w:rPr>
                <w:sz w:val="20"/>
                <w:szCs w:val="20"/>
              </w:rPr>
            </w:pPr>
            <w:r w:rsidRPr="00DF6A2D">
              <w:rPr>
                <w:sz w:val="20"/>
                <w:szCs w:val="20"/>
              </w:rPr>
              <w:t>97.4</w:t>
            </w:r>
          </w:p>
        </w:tc>
        <w:tc>
          <w:tcPr>
            <w:tcW w:w="0" w:type="auto"/>
          </w:tcPr>
          <w:p w14:paraId="66F35B6F" w14:textId="3DB83912" w:rsidR="009C4CAE" w:rsidRPr="00DF6A2D" w:rsidRDefault="00DF6A2D" w:rsidP="00DF6A2D">
            <w:pPr>
              <w:pStyle w:val="NoSpacing"/>
              <w:rPr>
                <w:sz w:val="20"/>
                <w:szCs w:val="20"/>
              </w:rPr>
            </w:pPr>
            <w:r w:rsidRPr="00DF6A2D">
              <w:rPr>
                <w:sz w:val="20"/>
                <w:szCs w:val="20"/>
              </w:rPr>
              <w:t>-0.16**</w:t>
            </w:r>
          </w:p>
        </w:tc>
        <w:tc>
          <w:tcPr>
            <w:tcW w:w="0" w:type="auto"/>
          </w:tcPr>
          <w:p w14:paraId="2107AB03" w14:textId="2A09E6A5" w:rsidR="009C4CAE" w:rsidRPr="00DF6A2D" w:rsidRDefault="00DF6A2D" w:rsidP="00DF6A2D">
            <w:pPr>
              <w:pStyle w:val="NoSpacing"/>
              <w:rPr>
                <w:sz w:val="20"/>
                <w:szCs w:val="20"/>
              </w:rPr>
            </w:pPr>
            <w:r w:rsidRPr="00DF6A2D">
              <w:rPr>
                <w:sz w:val="20"/>
                <w:szCs w:val="20"/>
              </w:rPr>
              <w:t>0.34**</w:t>
            </w:r>
          </w:p>
        </w:tc>
        <w:tc>
          <w:tcPr>
            <w:tcW w:w="0" w:type="auto"/>
          </w:tcPr>
          <w:p w14:paraId="3E3844F7" w14:textId="6257831F" w:rsidR="009C4CAE" w:rsidRPr="00DF6A2D" w:rsidRDefault="00DF6A2D" w:rsidP="00DF6A2D">
            <w:pPr>
              <w:pStyle w:val="NoSpacing"/>
              <w:rPr>
                <w:sz w:val="20"/>
                <w:szCs w:val="20"/>
              </w:rPr>
            </w:pPr>
            <w:r w:rsidRPr="00DF6A2D">
              <w:rPr>
                <w:sz w:val="20"/>
                <w:szCs w:val="20"/>
              </w:rPr>
              <w:t>-0.12**</w:t>
            </w:r>
          </w:p>
        </w:tc>
        <w:tc>
          <w:tcPr>
            <w:tcW w:w="0" w:type="auto"/>
          </w:tcPr>
          <w:p w14:paraId="0FBA9E63" w14:textId="1B16F08E" w:rsidR="009C4CAE" w:rsidRPr="00DF6A2D" w:rsidRDefault="00DF6A2D" w:rsidP="00DF6A2D">
            <w:pPr>
              <w:pStyle w:val="NoSpacing"/>
              <w:rPr>
                <w:sz w:val="20"/>
                <w:szCs w:val="20"/>
              </w:rPr>
            </w:pPr>
            <w:r w:rsidRPr="00DF6A2D">
              <w:rPr>
                <w:sz w:val="20"/>
                <w:szCs w:val="20"/>
              </w:rPr>
              <w:t>-0.05*</w:t>
            </w:r>
          </w:p>
        </w:tc>
        <w:tc>
          <w:tcPr>
            <w:tcW w:w="0" w:type="auto"/>
          </w:tcPr>
          <w:p w14:paraId="055AE99A" w14:textId="20022400" w:rsidR="009C4CAE" w:rsidRPr="00DF6A2D" w:rsidRDefault="00DF6A2D" w:rsidP="00DF6A2D">
            <w:pPr>
              <w:pStyle w:val="NoSpacing"/>
              <w:rPr>
                <w:sz w:val="20"/>
                <w:szCs w:val="20"/>
              </w:rPr>
            </w:pPr>
            <w:r w:rsidRPr="00DF6A2D">
              <w:rPr>
                <w:sz w:val="20"/>
                <w:szCs w:val="20"/>
              </w:rPr>
              <w:t>0.14**</w:t>
            </w:r>
          </w:p>
        </w:tc>
        <w:tc>
          <w:tcPr>
            <w:tcW w:w="0" w:type="auto"/>
          </w:tcPr>
          <w:p w14:paraId="0BC05DD0" w14:textId="1228CC11" w:rsidR="009C4CAE" w:rsidRPr="00DF6A2D" w:rsidRDefault="00DF6A2D" w:rsidP="00DF6A2D">
            <w:pPr>
              <w:pStyle w:val="NoSpacing"/>
              <w:rPr>
                <w:sz w:val="20"/>
                <w:szCs w:val="20"/>
              </w:rPr>
            </w:pPr>
            <w:r w:rsidRPr="00DF6A2D">
              <w:rPr>
                <w:sz w:val="20"/>
                <w:szCs w:val="20"/>
              </w:rPr>
              <w:t>0.08**</w:t>
            </w:r>
          </w:p>
        </w:tc>
        <w:tc>
          <w:tcPr>
            <w:tcW w:w="0" w:type="auto"/>
          </w:tcPr>
          <w:p w14:paraId="6DDBB61F" w14:textId="012CB22D" w:rsidR="009C4CAE" w:rsidRPr="00DF6A2D" w:rsidRDefault="00DF6A2D" w:rsidP="00DF6A2D">
            <w:pPr>
              <w:pStyle w:val="NoSpacing"/>
              <w:rPr>
                <w:sz w:val="20"/>
                <w:szCs w:val="20"/>
              </w:rPr>
            </w:pPr>
            <w:r w:rsidRPr="00DF6A2D">
              <w:rPr>
                <w:sz w:val="20"/>
                <w:szCs w:val="20"/>
              </w:rPr>
              <w:t>0.04</w:t>
            </w:r>
          </w:p>
        </w:tc>
        <w:tc>
          <w:tcPr>
            <w:tcW w:w="0" w:type="auto"/>
          </w:tcPr>
          <w:p w14:paraId="20E6C0FE" w14:textId="3A893FB8" w:rsidR="009C4CAE" w:rsidRPr="00DF6A2D" w:rsidRDefault="00DF6A2D" w:rsidP="00DF6A2D">
            <w:pPr>
              <w:pStyle w:val="NoSpacing"/>
              <w:rPr>
                <w:sz w:val="20"/>
                <w:szCs w:val="20"/>
              </w:rPr>
            </w:pPr>
            <w:r w:rsidRPr="00DF6A2D">
              <w:rPr>
                <w:sz w:val="20"/>
                <w:szCs w:val="20"/>
              </w:rPr>
              <w:t>0.13**</w:t>
            </w:r>
          </w:p>
        </w:tc>
        <w:tc>
          <w:tcPr>
            <w:tcW w:w="0" w:type="auto"/>
          </w:tcPr>
          <w:p w14:paraId="4F86A252" w14:textId="0165E957" w:rsidR="009C4CAE" w:rsidRPr="00DF6A2D" w:rsidRDefault="00DF6A2D" w:rsidP="00DF6A2D">
            <w:pPr>
              <w:pStyle w:val="NoSpacing"/>
              <w:rPr>
                <w:sz w:val="20"/>
                <w:szCs w:val="20"/>
              </w:rPr>
            </w:pPr>
            <w:r w:rsidRPr="00DF6A2D">
              <w:rPr>
                <w:sz w:val="20"/>
                <w:szCs w:val="20"/>
              </w:rPr>
              <w:t>0.29**</w:t>
            </w:r>
          </w:p>
        </w:tc>
        <w:tc>
          <w:tcPr>
            <w:tcW w:w="0" w:type="auto"/>
          </w:tcPr>
          <w:p w14:paraId="7B0DF9A7" w14:textId="6C791051" w:rsidR="009C4CAE" w:rsidRPr="00DF6A2D" w:rsidRDefault="00DF6A2D" w:rsidP="00DF6A2D">
            <w:pPr>
              <w:pStyle w:val="NoSpacing"/>
              <w:rPr>
                <w:sz w:val="20"/>
                <w:szCs w:val="20"/>
              </w:rPr>
            </w:pPr>
            <w:r w:rsidRPr="00DF6A2D">
              <w:rPr>
                <w:sz w:val="20"/>
                <w:szCs w:val="20"/>
              </w:rPr>
              <w:t>0.48**</w:t>
            </w:r>
          </w:p>
        </w:tc>
        <w:tc>
          <w:tcPr>
            <w:tcW w:w="0" w:type="auto"/>
          </w:tcPr>
          <w:p w14:paraId="622F8203" w14:textId="15D50A02" w:rsidR="009C4CAE" w:rsidRPr="00DF6A2D" w:rsidRDefault="00DF6A2D" w:rsidP="00DF6A2D">
            <w:pPr>
              <w:pStyle w:val="NoSpacing"/>
              <w:rPr>
                <w:sz w:val="20"/>
                <w:szCs w:val="20"/>
              </w:rPr>
            </w:pPr>
            <w:r w:rsidRPr="00DF6A2D">
              <w:rPr>
                <w:sz w:val="20"/>
                <w:szCs w:val="20"/>
              </w:rPr>
              <w:t>0.21**</w:t>
            </w:r>
          </w:p>
        </w:tc>
        <w:tc>
          <w:tcPr>
            <w:tcW w:w="0" w:type="auto"/>
          </w:tcPr>
          <w:p w14:paraId="539BA127" w14:textId="39452841" w:rsidR="009C4CAE" w:rsidRPr="00DF6A2D" w:rsidRDefault="00DF6A2D" w:rsidP="00DF6A2D">
            <w:pPr>
              <w:pStyle w:val="NoSpacing"/>
              <w:rPr>
                <w:sz w:val="20"/>
                <w:szCs w:val="20"/>
              </w:rPr>
            </w:pPr>
            <w:r w:rsidRPr="00DF6A2D">
              <w:rPr>
                <w:sz w:val="20"/>
                <w:szCs w:val="20"/>
              </w:rPr>
              <w:t>0.38**</w:t>
            </w:r>
          </w:p>
        </w:tc>
        <w:tc>
          <w:tcPr>
            <w:tcW w:w="0" w:type="auto"/>
          </w:tcPr>
          <w:p w14:paraId="14823CDF" w14:textId="44679C5D" w:rsidR="009C4CAE" w:rsidRPr="00DF6A2D" w:rsidRDefault="00DF6A2D" w:rsidP="00DF6A2D">
            <w:pPr>
              <w:pStyle w:val="NoSpacing"/>
              <w:rPr>
                <w:sz w:val="20"/>
                <w:szCs w:val="20"/>
              </w:rPr>
            </w:pPr>
            <w:r w:rsidRPr="00DF6A2D">
              <w:rPr>
                <w:sz w:val="20"/>
                <w:szCs w:val="20"/>
              </w:rPr>
              <w:t>0.54**</w:t>
            </w:r>
          </w:p>
        </w:tc>
        <w:tc>
          <w:tcPr>
            <w:tcW w:w="0" w:type="auto"/>
          </w:tcPr>
          <w:p w14:paraId="6365F979" w14:textId="77777777" w:rsidR="009C4CAE" w:rsidRPr="00DF6A2D" w:rsidRDefault="009C4CAE" w:rsidP="00DF6A2D">
            <w:pPr>
              <w:pStyle w:val="NoSpacing"/>
              <w:rPr>
                <w:sz w:val="20"/>
                <w:szCs w:val="20"/>
              </w:rPr>
            </w:pPr>
          </w:p>
        </w:tc>
        <w:tc>
          <w:tcPr>
            <w:tcW w:w="0" w:type="auto"/>
          </w:tcPr>
          <w:p w14:paraId="5A207537" w14:textId="77777777" w:rsidR="009C4CAE" w:rsidRPr="00DF6A2D" w:rsidRDefault="009C4CAE" w:rsidP="00DF6A2D">
            <w:pPr>
              <w:pStyle w:val="NoSpacing"/>
              <w:rPr>
                <w:sz w:val="20"/>
                <w:szCs w:val="20"/>
              </w:rPr>
            </w:pPr>
          </w:p>
        </w:tc>
        <w:tc>
          <w:tcPr>
            <w:tcW w:w="0" w:type="auto"/>
          </w:tcPr>
          <w:p w14:paraId="2A3DAC27" w14:textId="77777777" w:rsidR="009C4CAE" w:rsidRPr="00DF6A2D" w:rsidRDefault="009C4CAE" w:rsidP="00DF6A2D">
            <w:pPr>
              <w:pStyle w:val="NoSpacing"/>
              <w:rPr>
                <w:sz w:val="20"/>
                <w:szCs w:val="20"/>
              </w:rPr>
            </w:pPr>
          </w:p>
        </w:tc>
        <w:tc>
          <w:tcPr>
            <w:tcW w:w="0" w:type="auto"/>
          </w:tcPr>
          <w:p w14:paraId="1B022099" w14:textId="77777777" w:rsidR="009C4CAE" w:rsidRPr="00DF6A2D" w:rsidRDefault="009C4CAE" w:rsidP="00DF6A2D">
            <w:pPr>
              <w:pStyle w:val="NoSpacing"/>
              <w:rPr>
                <w:sz w:val="20"/>
                <w:szCs w:val="20"/>
              </w:rPr>
            </w:pPr>
          </w:p>
        </w:tc>
        <w:tc>
          <w:tcPr>
            <w:tcW w:w="0" w:type="auto"/>
          </w:tcPr>
          <w:p w14:paraId="3BA94B8C" w14:textId="77777777" w:rsidR="009C4CAE" w:rsidRPr="00DF6A2D" w:rsidRDefault="009C4CAE" w:rsidP="00DF6A2D">
            <w:pPr>
              <w:pStyle w:val="NoSpacing"/>
              <w:rPr>
                <w:sz w:val="20"/>
                <w:szCs w:val="20"/>
              </w:rPr>
            </w:pPr>
          </w:p>
        </w:tc>
        <w:tc>
          <w:tcPr>
            <w:tcW w:w="0" w:type="auto"/>
          </w:tcPr>
          <w:p w14:paraId="68C41C03" w14:textId="77777777" w:rsidR="009C4CAE" w:rsidRPr="00DF6A2D" w:rsidRDefault="009C4CAE" w:rsidP="00DF6A2D">
            <w:pPr>
              <w:pStyle w:val="NoSpacing"/>
              <w:rPr>
                <w:sz w:val="20"/>
                <w:szCs w:val="20"/>
              </w:rPr>
            </w:pPr>
          </w:p>
        </w:tc>
      </w:tr>
      <w:tr w:rsidR="00DF6A2D" w:rsidRPr="00DF6A2D" w14:paraId="75EF2185" w14:textId="77777777" w:rsidTr="00DF6A2D">
        <w:tc>
          <w:tcPr>
            <w:tcW w:w="0" w:type="auto"/>
          </w:tcPr>
          <w:p w14:paraId="1067E94D" w14:textId="5D09A4DF" w:rsidR="008A2C56" w:rsidRPr="00DF6A2D" w:rsidRDefault="00726832" w:rsidP="00DF6A2D">
            <w:pPr>
              <w:pStyle w:val="NoSpacing"/>
              <w:rPr>
                <w:sz w:val="20"/>
                <w:szCs w:val="20"/>
              </w:rPr>
            </w:pPr>
            <w:r w:rsidRPr="00DF6A2D">
              <w:rPr>
                <w:sz w:val="20"/>
                <w:szCs w:val="20"/>
              </w:rPr>
              <w:t>15. Conference</w:t>
            </w:r>
            <w:r w:rsidR="00DF6A2D" w:rsidRPr="00DF6A2D">
              <w:rPr>
                <w:sz w:val="20"/>
                <w:szCs w:val="20"/>
              </w:rPr>
              <w:t xml:space="preserve"> </w:t>
            </w:r>
            <w:r w:rsidRPr="00DF6A2D">
              <w:rPr>
                <w:sz w:val="20"/>
                <w:szCs w:val="20"/>
              </w:rPr>
              <w:t>winning</w:t>
            </w:r>
            <w:r w:rsidR="00DF6A2D" w:rsidRPr="00DF6A2D">
              <w:rPr>
                <w:sz w:val="20"/>
                <w:szCs w:val="20"/>
              </w:rPr>
              <w:t xml:space="preserve"> </w:t>
            </w:r>
            <w:r w:rsidRPr="00DF6A2D">
              <w:rPr>
                <w:sz w:val="20"/>
                <w:szCs w:val="20"/>
              </w:rPr>
              <w:t>percentage</w:t>
            </w:r>
          </w:p>
        </w:tc>
        <w:tc>
          <w:tcPr>
            <w:tcW w:w="0" w:type="auto"/>
          </w:tcPr>
          <w:p w14:paraId="7D6DEE49" w14:textId="69A953C3" w:rsidR="008A2C56" w:rsidRPr="00DF6A2D" w:rsidRDefault="00DF6A2D" w:rsidP="00DF6A2D">
            <w:pPr>
              <w:pStyle w:val="NoSpacing"/>
              <w:rPr>
                <w:sz w:val="20"/>
                <w:szCs w:val="20"/>
              </w:rPr>
            </w:pPr>
            <w:r w:rsidRPr="00DF6A2D">
              <w:rPr>
                <w:sz w:val="20"/>
                <w:szCs w:val="20"/>
              </w:rPr>
              <w:t>50.03</w:t>
            </w:r>
          </w:p>
        </w:tc>
        <w:tc>
          <w:tcPr>
            <w:tcW w:w="0" w:type="auto"/>
          </w:tcPr>
          <w:p w14:paraId="7D5B5303" w14:textId="4B37D6AC" w:rsidR="008A2C56" w:rsidRPr="00DF6A2D" w:rsidRDefault="00DF6A2D" w:rsidP="00DF6A2D">
            <w:pPr>
              <w:pStyle w:val="NoSpacing"/>
              <w:rPr>
                <w:sz w:val="20"/>
                <w:szCs w:val="20"/>
              </w:rPr>
            </w:pPr>
            <w:r w:rsidRPr="00DF6A2D">
              <w:rPr>
                <w:sz w:val="20"/>
                <w:szCs w:val="20"/>
              </w:rPr>
              <w:t>20.82</w:t>
            </w:r>
          </w:p>
        </w:tc>
        <w:tc>
          <w:tcPr>
            <w:tcW w:w="0" w:type="auto"/>
          </w:tcPr>
          <w:p w14:paraId="338C9AE5" w14:textId="54C75308" w:rsidR="008A2C56" w:rsidRPr="00DF6A2D" w:rsidRDefault="00DF6A2D" w:rsidP="00DF6A2D">
            <w:pPr>
              <w:pStyle w:val="NoSpacing"/>
              <w:rPr>
                <w:sz w:val="20"/>
                <w:szCs w:val="20"/>
              </w:rPr>
            </w:pPr>
            <w:r w:rsidRPr="00DF6A2D">
              <w:rPr>
                <w:sz w:val="20"/>
                <w:szCs w:val="20"/>
              </w:rPr>
              <w:t>0</w:t>
            </w:r>
          </w:p>
        </w:tc>
        <w:tc>
          <w:tcPr>
            <w:tcW w:w="0" w:type="auto"/>
          </w:tcPr>
          <w:p w14:paraId="341EFFF6" w14:textId="0C35B7C8" w:rsidR="008A2C56" w:rsidRPr="00DF6A2D" w:rsidRDefault="00DF6A2D" w:rsidP="00DF6A2D">
            <w:pPr>
              <w:pStyle w:val="NoSpacing"/>
              <w:rPr>
                <w:sz w:val="20"/>
                <w:szCs w:val="20"/>
              </w:rPr>
            </w:pPr>
            <w:r w:rsidRPr="00DF6A2D">
              <w:rPr>
                <w:sz w:val="20"/>
                <w:szCs w:val="20"/>
              </w:rPr>
              <w:t>100</w:t>
            </w:r>
          </w:p>
        </w:tc>
        <w:tc>
          <w:tcPr>
            <w:tcW w:w="0" w:type="auto"/>
          </w:tcPr>
          <w:p w14:paraId="244E3FC2" w14:textId="1C4D4F33" w:rsidR="008A2C56" w:rsidRPr="00DF6A2D" w:rsidRDefault="00DF6A2D" w:rsidP="00DF6A2D">
            <w:pPr>
              <w:pStyle w:val="NoSpacing"/>
              <w:rPr>
                <w:sz w:val="20"/>
                <w:szCs w:val="20"/>
              </w:rPr>
            </w:pPr>
            <w:r w:rsidRPr="00DF6A2D">
              <w:rPr>
                <w:sz w:val="20"/>
                <w:szCs w:val="20"/>
              </w:rPr>
              <w:t>-0.25**</w:t>
            </w:r>
          </w:p>
        </w:tc>
        <w:tc>
          <w:tcPr>
            <w:tcW w:w="0" w:type="auto"/>
          </w:tcPr>
          <w:p w14:paraId="68F0C293" w14:textId="6D437858" w:rsidR="008A2C56" w:rsidRPr="00DF6A2D" w:rsidRDefault="00DF6A2D" w:rsidP="00DF6A2D">
            <w:pPr>
              <w:pStyle w:val="NoSpacing"/>
              <w:rPr>
                <w:sz w:val="20"/>
                <w:szCs w:val="20"/>
              </w:rPr>
            </w:pPr>
            <w:r w:rsidRPr="00DF6A2D">
              <w:rPr>
                <w:sz w:val="20"/>
                <w:szCs w:val="20"/>
              </w:rPr>
              <w:t>0.26**</w:t>
            </w:r>
          </w:p>
        </w:tc>
        <w:tc>
          <w:tcPr>
            <w:tcW w:w="0" w:type="auto"/>
          </w:tcPr>
          <w:p w14:paraId="77657E14" w14:textId="74324EF8" w:rsidR="008A2C56" w:rsidRPr="00DF6A2D" w:rsidRDefault="00DF6A2D" w:rsidP="00DF6A2D">
            <w:pPr>
              <w:pStyle w:val="NoSpacing"/>
              <w:rPr>
                <w:sz w:val="20"/>
                <w:szCs w:val="20"/>
              </w:rPr>
            </w:pPr>
            <w:r w:rsidRPr="00DF6A2D">
              <w:rPr>
                <w:sz w:val="20"/>
                <w:szCs w:val="20"/>
              </w:rPr>
              <w:t>-0.17**</w:t>
            </w:r>
          </w:p>
        </w:tc>
        <w:tc>
          <w:tcPr>
            <w:tcW w:w="0" w:type="auto"/>
          </w:tcPr>
          <w:p w14:paraId="0BA2CF10" w14:textId="5386050B" w:rsidR="008A2C56" w:rsidRPr="00DF6A2D" w:rsidRDefault="00DF6A2D" w:rsidP="00DF6A2D">
            <w:pPr>
              <w:pStyle w:val="NoSpacing"/>
              <w:rPr>
                <w:sz w:val="20"/>
                <w:szCs w:val="20"/>
              </w:rPr>
            </w:pPr>
            <w:r w:rsidRPr="00DF6A2D">
              <w:rPr>
                <w:sz w:val="20"/>
                <w:szCs w:val="20"/>
              </w:rPr>
              <w:t>-0.03</w:t>
            </w:r>
          </w:p>
        </w:tc>
        <w:tc>
          <w:tcPr>
            <w:tcW w:w="0" w:type="auto"/>
          </w:tcPr>
          <w:p w14:paraId="7FEE4DC9" w14:textId="6A5BB9BC" w:rsidR="008A2C56" w:rsidRPr="00DF6A2D" w:rsidRDefault="00DF6A2D" w:rsidP="00DF6A2D">
            <w:pPr>
              <w:pStyle w:val="NoSpacing"/>
              <w:rPr>
                <w:sz w:val="20"/>
                <w:szCs w:val="20"/>
              </w:rPr>
            </w:pPr>
            <w:r w:rsidRPr="00DF6A2D">
              <w:rPr>
                <w:sz w:val="20"/>
                <w:szCs w:val="20"/>
              </w:rPr>
              <w:t>0.03</w:t>
            </w:r>
          </w:p>
        </w:tc>
        <w:tc>
          <w:tcPr>
            <w:tcW w:w="0" w:type="auto"/>
          </w:tcPr>
          <w:p w14:paraId="742B01F7" w14:textId="79463E83" w:rsidR="008A2C56" w:rsidRPr="00DF6A2D" w:rsidRDefault="00DF6A2D" w:rsidP="00DF6A2D">
            <w:pPr>
              <w:pStyle w:val="NoSpacing"/>
              <w:rPr>
                <w:sz w:val="20"/>
                <w:szCs w:val="20"/>
              </w:rPr>
            </w:pPr>
            <w:r w:rsidRPr="00DF6A2D">
              <w:rPr>
                <w:sz w:val="20"/>
                <w:szCs w:val="20"/>
              </w:rPr>
              <w:t>0.04</w:t>
            </w:r>
          </w:p>
        </w:tc>
        <w:tc>
          <w:tcPr>
            <w:tcW w:w="0" w:type="auto"/>
          </w:tcPr>
          <w:p w14:paraId="30F75AF1" w14:textId="6145B6E1" w:rsidR="008A2C56" w:rsidRPr="00DF6A2D" w:rsidRDefault="00DF6A2D" w:rsidP="00DF6A2D">
            <w:pPr>
              <w:pStyle w:val="NoSpacing"/>
              <w:rPr>
                <w:sz w:val="20"/>
                <w:szCs w:val="20"/>
              </w:rPr>
            </w:pPr>
            <w:r w:rsidRPr="00DF6A2D">
              <w:rPr>
                <w:sz w:val="20"/>
                <w:szCs w:val="20"/>
              </w:rPr>
              <w:t>0.04</w:t>
            </w:r>
          </w:p>
        </w:tc>
        <w:tc>
          <w:tcPr>
            <w:tcW w:w="0" w:type="auto"/>
          </w:tcPr>
          <w:p w14:paraId="1C688CEB" w14:textId="2118A217" w:rsidR="008A2C56" w:rsidRPr="00DF6A2D" w:rsidRDefault="00DF6A2D" w:rsidP="00DF6A2D">
            <w:pPr>
              <w:pStyle w:val="NoSpacing"/>
              <w:rPr>
                <w:sz w:val="20"/>
                <w:szCs w:val="20"/>
              </w:rPr>
            </w:pPr>
            <w:r w:rsidRPr="00DF6A2D">
              <w:rPr>
                <w:sz w:val="20"/>
                <w:szCs w:val="20"/>
              </w:rPr>
              <w:t>0.10**</w:t>
            </w:r>
          </w:p>
        </w:tc>
        <w:tc>
          <w:tcPr>
            <w:tcW w:w="0" w:type="auto"/>
          </w:tcPr>
          <w:p w14:paraId="71F2E424" w14:textId="40F948E0" w:rsidR="008A2C56" w:rsidRPr="00DF6A2D" w:rsidRDefault="00DF6A2D" w:rsidP="00DF6A2D">
            <w:pPr>
              <w:pStyle w:val="NoSpacing"/>
              <w:rPr>
                <w:sz w:val="20"/>
                <w:szCs w:val="20"/>
              </w:rPr>
            </w:pPr>
            <w:r w:rsidRPr="00DF6A2D">
              <w:rPr>
                <w:sz w:val="20"/>
                <w:szCs w:val="20"/>
              </w:rPr>
              <w:t>0.22**</w:t>
            </w:r>
          </w:p>
        </w:tc>
        <w:tc>
          <w:tcPr>
            <w:tcW w:w="0" w:type="auto"/>
          </w:tcPr>
          <w:p w14:paraId="0E2731F1" w14:textId="00D9770C" w:rsidR="008A2C56" w:rsidRPr="00DF6A2D" w:rsidRDefault="00DF6A2D" w:rsidP="00DF6A2D">
            <w:pPr>
              <w:pStyle w:val="NoSpacing"/>
              <w:rPr>
                <w:sz w:val="20"/>
                <w:szCs w:val="20"/>
              </w:rPr>
            </w:pPr>
            <w:r w:rsidRPr="00DF6A2D">
              <w:rPr>
                <w:sz w:val="20"/>
                <w:szCs w:val="20"/>
              </w:rPr>
              <w:t>0.42**</w:t>
            </w:r>
          </w:p>
        </w:tc>
        <w:tc>
          <w:tcPr>
            <w:tcW w:w="0" w:type="auto"/>
          </w:tcPr>
          <w:p w14:paraId="10B39D95" w14:textId="66A376C8" w:rsidR="008A2C56" w:rsidRPr="00DF6A2D" w:rsidRDefault="00DF6A2D" w:rsidP="00DF6A2D">
            <w:pPr>
              <w:pStyle w:val="NoSpacing"/>
              <w:rPr>
                <w:sz w:val="20"/>
                <w:szCs w:val="20"/>
              </w:rPr>
            </w:pPr>
            <w:r w:rsidRPr="00DF6A2D">
              <w:rPr>
                <w:sz w:val="20"/>
                <w:szCs w:val="20"/>
              </w:rPr>
              <w:t>0.10**</w:t>
            </w:r>
          </w:p>
        </w:tc>
        <w:tc>
          <w:tcPr>
            <w:tcW w:w="0" w:type="auto"/>
          </w:tcPr>
          <w:p w14:paraId="55B104FD" w14:textId="57B36D4F" w:rsidR="008A2C56" w:rsidRPr="00DF6A2D" w:rsidRDefault="00DF6A2D" w:rsidP="00DF6A2D">
            <w:pPr>
              <w:pStyle w:val="NoSpacing"/>
              <w:rPr>
                <w:sz w:val="20"/>
                <w:szCs w:val="20"/>
              </w:rPr>
            </w:pPr>
            <w:r w:rsidRPr="00DF6A2D">
              <w:rPr>
                <w:sz w:val="20"/>
                <w:szCs w:val="20"/>
              </w:rPr>
              <w:t>0.44**</w:t>
            </w:r>
          </w:p>
        </w:tc>
        <w:tc>
          <w:tcPr>
            <w:tcW w:w="0" w:type="auto"/>
          </w:tcPr>
          <w:p w14:paraId="03195008" w14:textId="5741D71A" w:rsidR="008A2C56" w:rsidRPr="00DF6A2D" w:rsidRDefault="00DF6A2D" w:rsidP="00DF6A2D">
            <w:pPr>
              <w:pStyle w:val="NoSpacing"/>
              <w:rPr>
                <w:sz w:val="20"/>
                <w:szCs w:val="20"/>
              </w:rPr>
            </w:pPr>
            <w:r w:rsidRPr="00DF6A2D">
              <w:rPr>
                <w:sz w:val="20"/>
                <w:szCs w:val="20"/>
              </w:rPr>
              <w:t>0.92**</w:t>
            </w:r>
          </w:p>
        </w:tc>
        <w:tc>
          <w:tcPr>
            <w:tcW w:w="0" w:type="auto"/>
          </w:tcPr>
          <w:p w14:paraId="7D1FE884" w14:textId="7EEF9273" w:rsidR="008A2C56" w:rsidRPr="00DF6A2D" w:rsidRDefault="00DF6A2D" w:rsidP="00DF6A2D">
            <w:pPr>
              <w:pStyle w:val="NoSpacing"/>
              <w:rPr>
                <w:sz w:val="20"/>
                <w:szCs w:val="20"/>
              </w:rPr>
            </w:pPr>
            <w:r w:rsidRPr="00DF6A2D">
              <w:rPr>
                <w:sz w:val="20"/>
                <w:szCs w:val="20"/>
              </w:rPr>
              <w:t>0.52**</w:t>
            </w:r>
          </w:p>
        </w:tc>
        <w:tc>
          <w:tcPr>
            <w:tcW w:w="0" w:type="auto"/>
          </w:tcPr>
          <w:p w14:paraId="4C281733" w14:textId="77777777" w:rsidR="008A2C56" w:rsidRPr="00DF6A2D" w:rsidRDefault="008A2C56" w:rsidP="00DF6A2D">
            <w:pPr>
              <w:pStyle w:val="NoSpacing"/>
              <w:rPr>
                <w:sz w:val="20"/>
                <w:szCs w:val="20"/>
              </w:rPr>
            </w:pPr>
          </w:p>
        </w:tc>
        <w:tc>
          <w:tcPr>
            <w:tcW w:w="0" w:type="auto"/>
          </w:tcPr>
          <w:p w14:paraId="390EEB0D" w14:textId="77777777" w:rsidR="008A2C56" w:rsidRPr="00DF6A2D" w:rsidRDefault="008A2C56" w:rsidP="00DF6A2D">
            <w:pPr>
              <w:pStyle w:val="NoSpacing"/>
              <w:rPr>
                <w:sz w:val="20"/>
                <w:szCs w:val="20"/>
              </w:rPr>
            </w:pPr>
          </w:p>
        </w:tc>
        <w:tc>
          <w:tcPr>
            <w:tcW w:w="0" w:type="auto"/>
          </w:tcPr>
          <w:p w14:paraId="0C5C1E4E" w14:textId="77777777" w:rsidR="008A2C56" w:rsidRPr="00DF6A2D" w:rsidRDefault="008A2C56" w:rsidP="00DF6A2D">
            <w:pPr>
              <w:pStyle w:val="NoSpacing"/>
              <w:rPr>
                <w:sz w:val="20"/>
                <w:szCs w:val="20"/>
              </w:rPr>
            </w:pPr>
          </w:p>
        </w:tc>
        <w:tc>
          <w:tcPr>
            <w:tcW w:w="0" w:type="auto"/>
          </w:tcPr>
          <w:p w14:paraId="45033BE0" w14:textId="77777777" w:rsidR="008A2C56" w:rsidRPr="00DF6A2D" w:rsidRDefault="008A2C56" w:rsidP="00DF6A2D">
            <w:pPr>
              <w:pStyle w:val="NoSpacing"/>
              <w:rPr>
                <w:sz w:val="20"/>
                <w:szCs w:val="20"/>
              </w:rPr>
            </w:pPr>
          </w:p>
        </w:tc>
        <w:tc>
          <w:tcPr>
            <w:tcW w:w="0" w:type="auto"/>
          </w:tcPr>
          <w:p w14:paraId="281CDA4A" w14:textId="77777777" w:rsidR="008A2C56" w:rsidRPr="00DF6A2D" w:rsidRDefault="008A2C56" w:rsidP="00DF6A2D">
            <w:pPr>
              <w:pStyle w:val="NoSpacing"/>
              <w:rPr>
                <w:sz w:val="20"/>
                <w:szCs w:val="20"/>
              </w:rPr>
            </w:pPr>
          </w:p>
        </w:tc>
      </w:tr>
      <w:tr w:rsidR="00DF6A2D" w:rsidRPr="00DF6A2D" w14:paraId="29676082" w14:textId="77777777" w:rsidTr="00DF6A2D">
        <w:tc>
          <w:tcPr>
            <w:tcW w:w="0" w:type="auto"/>
          </w:tcPr>
          <w:p w14:paraId="0CA33DE4" w14:textId="7EAFD25B" w:rsidR="008A2C56" w:rsidRPr="00DF6A2D" w:rsidRDefault="00726832" w:rsidP="00DF6A2D">
            <w:pPr>
              <w:pStyle w:val="NoSpacing"/>
              <w:rPr>
                <w:sz w:val="20"/>
                <w:szCs w:val="20"/>
              </w:rPr>
            </w:pPr>
            <w:r w:rsidRPr="00DF6A2D">
              <w:rPr>
                <w:sz w:val="20"/>
                <w:szCs w:val="20"/>
              </w:rPr>
              <w:t xml:space="preserve">16. Made NCAA </w:t>
            </w:r>
          </w:p>
        </w:tc>
        <w:tc>
          <w:tcPr>
            <w:tcW w:w="0" w:type="auto"/>
          </w:tcPr>
          <w:p w14:paraId="6D8A0D39" w14:textId="3A25E073" w:rsidR="008A2C56" w:rsidRPr="00DF6A2D" w:rsidRDefault="00DF6A2D" w:rsidP="00DF6A2D">
            <w:pPr>
              <w:pStyle w:val="NoSpacing"/>
              <w:rPr>
                <w:sz w:val="20"/>
                <w:szCs w:val="20"/>
              </w:rPr>
            </w:pPr>
            <w:r w:rsidRPr="00DF6A2D">
              <w:rPr>
                <w:sz w:val="20"/>
                <w:szCs w:val="20"/>
              </w:rPr>
              <w:t>0.39</w:t>
            </w:r>
          </w:p>
        </w:tc>
        <w:tc>
          <w:tcPr>
            <w:tcW w:w="0" w:type="auto"/>
          </w:tcPr>
          <w:p w14:paraId="642A22CA" w14:textId="07CE4750" w:rsidR="008A2C56" w:rsidRPr="00DF6A2D" w:rsidRDefault="00DF6A2D" w:rsidP="00DF6A2D">
            <w:pPr>
              <w:pStyle w:val="NoSpacing"/>
              <w:rPr>
                <w:sz w:val="20"/>
                <w:szCs w:val="20"/>
              </w:rPr>
            </w:pPr>
            <w:r w:rsidRPr="00DF6A2D">
              <w:rPr>
                <w:sz w:val="20"/>
                <w:szCs w:val="20"/>
              </w:rPr>
              <w:t>0.49</w:t>
            </w:r>
          </w:p>
        </w:tc>
        <w:tc>
          <w:tcPr>
            <w:tcW w:w="0" w:type="auto"/>
          </w:tcPr>
          <w:p w14:paraId="3F858C8E" w14:textId="6549BDCA" w:rsidR="008A2C56" w:rsidRPr="00DF6A2D" w:rsidRDefault="00DF6A2D" w:rsidP="00DF6A2D">
            <w:pPr>
              <w:pStyle w:val="NoSpacing"/>
              <w:rPr>
                <w:sz w:val="20"/>
                <w:szCs w:val="20"/>
              </w:rPr>
            </w:pPr>
            <w:r w:rsidRPr="00DF6A2D">
              <w:rPr>
                <w:sz w:val="20"/>
                <w:szCs w:val="20"/>
              </w:rPr>
              <w:t>0</w:t>
            </w:r>
          </w:p>
        </w:tc>
        <w:tc>
          <w:tcPr>
            <w:tcW w:w="0" w:type="auto"/>
          </w:tcPr>
          <w:p w14:paraId="016DF004" w14:textId="7CA4FB07" w:rsidR="008A2C56" w:rsidRPr="00DF6A2D" w:rsidRDefault="00DF6A2D" w:rsidP="00DF6A2D">
            <w:pPr>
              <w:pStyle w:val="NoSpacing"/>
              <w:rPr>
                <w:sz w:val="20"/>
                <w:szCs w:val="20"/>
              </w:rPr>
            </w:pPr>
            <w:r w:rsidRPr="00DF6A2D">
              <w:rPr>
                <w:sz w:val="20"/>
                <w:szCs w:val="20"/>
              </w:rPr>
              <w:t>1</w:t>
            </w:r>
          </w:p>
        </w:tc>
        <w:tc>
          <w:tcPr>
            <w:tcW w:w="0" w:type="auto"/>
          </w:tcPr>
          <w:p w14:paraId="719D876B" w14:textId="703A07AE" w:rsidR="008A2C56" w:rsidRPr="00DF6A2D" w:rsidRDefault="00DF6A2D" w:rsidP="00DF6A2D">
            <w:pPr>
              <w:pStyle w:val="NoSpacing"/>
              <w:rPr>
                <w:sz w:val="20"/>
                <w:szCs w:val="20"/>
              </w:rPr>
            </w:pPr>
            <w:r w:rsidRPr="00DF6A2D">
              <w:rPr>
                <w:sz w:val="20"/>
                <w:szCs w:val="20"/>
              </w:rPr>
              <w:t>-0.20**</w:t>
            </w:r>
          </w:p>
        </w:tc>
        <w:tc>
          <w:tcPr>
            <w:tcW w:w="0" w:type="auto"/>
          </w:tcPr>
          <w:p w14:paraId="4360F607" w14:textId="6ABE7882" w:rsidR="008A2C56" w:rsidRPr="00DF6A2D" w:rsidRDefault="00DF6A2D" w:rsidP="00DF6A2D">
            <w:pPr>
              <w:pStyle w:val="NoSpacing"/>
              <w:rPr>
                <w:sz w:val="20"/>
                <w:szCs w:val="20"/>
              </w:rPr>
            </w:pPr>
            <w:r w:rsidRPr="00DF6A2D">
              <w:rPr>
                <w:sz w:val="20"/>
                <w:szCs w:val="20"/>
              </w:rPr>
              <w:t>0.24**</w:t>
            </w:r>
          </w:p>
        </w:tc>
        <w:tc>
          <w:tcPr>
            <w:tcW w:w="0" w:type="auto"/>
          </w:tcPr>
          <w:p w14:paraId="79CB4DF8" w14:textId="68C642AF" w:rsidR="008A2C56" w:rsidRPr="00DF6A2D" w:rsidRDefault="00DF6A2D" w:rsidP="00DF6A2D">
            <w:pPr>
              <w:pStyle w:val="NoSpacing"/>
              <w:rPr>
                <w:sz w:val="20"/>
                <w:szCs w:val="20"/>
              </w:rPr>
            </w:pPr>
            <w:r w:rsidRPr="00DF6A2D">
              <w:rPr>
                <w:sz w:val="20"/>
                <w:szCs w:val="20"/>
              </w:rPr>
              <w:t>-0.11**</w:t>
            </w:r>
          </w:p>
        </w:tc>
        <w:tc>
          <w:tcPr>
            <w:tcW w:w="0" w:type="auto"/>
          </w:tcPr>
          <w:p w14:paraId="077B24B9" w14:textId="0A0566FD" w:rsidR="008A2C56" w:rsidRPr="00DF6A2D" w:rsidRDefault="00DF6A2D" w:rsidP="00DF6A2D">
            <w:pPr>
              <w:pStyle w:val="NoSpacing"/>
              <w:rPr>
                <w:sz w:val="20"/>
                <w:szCs w:val="20"/>
              </w:rPr>
            </w:pPr>
            <w:r w:rsidRPr="00DF6A2D">
              <w:rPr>
                <w:sz w:val="20"/>
                <w:szCs w:val="20"/>
              </w:rPr>
              <w:t>-0.02</w:t>
            </w:r>
          </w:p>
        </w:tc>
        <w:tc>
          <w:tcPr>
            <w:tcW w:w="0" w:type="auto"/>
          </w:tcPr>
          <w:p w14:paraId="1A3C89FA" w14:textId="61E13AE4" w:rsidR="008A2C56" w:rsidRPr="00DF6A2D" w:rsidRDefault="00DF6A2D" w:rsidP="00DF6A2D">
            <w:pPr>
              <w:pStyle w:val="NoSpacing"/>
              <w:rPr>
                <w:sz w:val="20"/>
                <w:szCs w:val="20"/>
              </w:rPr>
            </w:pPr>
            <w:r w:rsidRPr="00DF6A2D">
              <w:rPr>
                <w:sz w:val="20"/>
                <w:szCs w:val="20"/>
              </w:rPr>
              <w:t>0.16**</w:t>
            </w:r>
          </w:p>
        </w:tc>
        <w:tc>
          <w:tcPr>
            <w:tcW w:w="0" w:type="auto"/>
          </w:tcPr>
          <w:p w14:paraId="1F85FB36" w14:textId="478B1551" w:rsidR="008A2C56" w:rsidRPr="00DF6A2D" w:rsidRDefault="00DF6A2D" w:rsidP="00DF6A2D">
            <w:pPr>
              <w:pStyle w:val="NoSpacing"/>
              <w:rPr>
                <w:sz w:val="20"/>
                <w:szCs w:val="20"/>
              </w:rPr>
            </w:pPr>
            <w:r w:rsidRPr="00DF6A2D">
              <w:rPr>
                <w:sz w:val="20"/>
                <w:szCs w:val="20"/>
              </w:rPr>
              <w:t>0.05*</w:t>
            </w:r>
          </w:p>
        </w:tc>
        <w:tc>
          <w:tcPr>
            <w:tcW w:w="0" w:type="auto"/>
          </w:tcPr>
          <w:p w14:paraId="720313B7" w14:textId="36E718AE" w:rsidR="008A2C56" w:rsidRPr="00DF6A2D" w:rsidRDefault="00DF6A2D" w:rsidP="00DF6A2D">
            <w:pPr>
              <w:pStyle w:val="NoSpacing"/>
              <w:rPr>
                <w:sz w:val="20"/>
                <w:szCs w:val="20"/>
              </w:rPr>
            </w:pPr>
            <w:r w:rsidRPr="00DF6A2D">
              <w:rPr>
                <w:sz w:val="20"/>
                <w:szCs w:val="20"/>
              </w:rPr>
              <w:t>0.01</w:t>
            </w:r>
          </w:p>
        </w:tc>
        <w:tc>
          <w:tcPr>
            <w:tcW w:w="0" w:type="auto"/>
          </w:tcPr>
          <w:p w14:paraId="7B185028" w14:textId="59D60905" w:rsidR="008A2C56" w:rsidRPr="00DF6A2D" w:rsidRDefault="00DF6A2D" w:rsidP="00DF6A2D">
            <w:pPr>
              <w:pStyle w:val="NoSpacing"/>
              <w:rPr>
                <w:sz w:val="20"/>
                <w:szCs w:val="20"/>
              </w:rPr>
            </w:pPr>
            <w:r w:rsidRPr="00DF6A2D">
              <w:rPr>
                <w:sz w:val="20"/>
                <w:szCs w:val="20"/>
              </w:rPr>
              <w:t>0.12**</w:t>
            </w:r>
          </w:p>
        </w:tc>
        <w:tc>
          <w:tcPr>
            <w:tcW w:w="0" w:type="auto"/>
          </w:tcPr>
          <w:p w14:paraId="6EC81852" w14:textId="27C4984F" w:rsidR="008A2C56" w:rsidRPr="00DF6A2D" w:rsidRDefault="00DF6A2D" w:rsidP="00DF6A2D">
            <w:pPr>
              <w:pStyle w:val="NoSpacing"/>
              <w:rPr>
                <w:sz w:val="20"/>
                <w:szCs w:val="20"/>
              </w:rPr>
            </w:pPr>
            <w:r w:rsidRPr="00DF6A2D">
              <w:rPr>
                <w:sz w:val="20"/>
                <w:szCs w:val="20"/>
              </w:rPr>
              <w:t>0.31**</w:t>
            </w:r>
          </w:p>
        </w:tc>
        <w:tc>
          <w:tcPr>
            <w:tcW w:w="0" w:type="auto"/>
          </w:tcPr>
          <w:p w14:paraId="0D5A037E" w14:textId="48E6B828" w:rsidR="008A2C56" w:rsidRPr="00DF6A2D" w:rsidRDefault="00DF6A2D" w:rsidP="00DF6A2D">
            <w:pPr>
              <w:pStyle w:val="NoSpacing"/>
              <w:rPr>
                <w:sz w:val="20"/>
                <w:szCs w:val="20"/>
              </w:rPr>
            </w:pPr>
            <w:r w:rsidRPr="00DF6A2D">
              <w:rPr>
                <w:sz w:val="20"/>
                <w:szCs w:val="20"/>
              </w:rPr>
              <w:t>0.44**</w:t>
            </w:r>
          </w:p>
        </w:tc>
        <w:tc>
          <w:tcPr>
            <w:tcW w:w="0" w:type="auto"/>
          </w:tcPr>
          <w:p w14:paraId="5144BC6F" w14:textId="08EA0F42" w:rsidR="008A2C56" w:rsidRPr="00DF6A2D" w:rsidRDefault="00DF6A2D" w:rsidP="00DF6A2D">
            <w:pPr>
              <w:pStyle w:val="NoSpacing"/>
              <w:rPr>
                <w:sz w:val="20"/>
                <w:szCs w:val="20"/>
              </w:rPr>
            </w:pPr>
            <w:r w:rsidRPr="00DF6A2D">
              <w:rPr>
                <w:sz w:val="20"/>
                <w:szCs w:val="20"/>
              </w:rPr>
              <w:t>0.21**</w:t>
            </w:r>
          </w:p>
        </w:tc>
        <w:tc>
          <w:tcPr>
            <w:tcW w:w="0" w:type="auto"/>
          </w:tcPr>
          <w:p w14:paraId="54FDC8FD" w14:textId="09514EE2" w:rsidR="008A2C56" w:rsidRPr="00DF6A2D" w:rsidRDefault="00DF6A2D" w:rsidP="00DF6A2D">
            <w:pPr>
              <w:pStyle w:val="NoSpacing"/>
              <w:rPr>
                <w:sz w:val="20"/>
                <w:szCs w:val="20"/>
              </w:rPr>
            </w:pPr>
            <w:r w:rsidRPr="00DF6A2D">
              <w:rPr>
                <w:sz w:val="20"/>
                <w:szCs w:val="20"/>
              </w:rPr>
              <w:t>0.47**</w:t>
            </w:r>
          </w:p>
        </w:tc>
        <w:tc>
          <w:tcPr>
            <w:tcW w:w="0" w:type="auto"/>
          </w:tcPr>
          <w:p w14:paraId="27146382" w14:textId="2DE89987" w:rsidR="008A2C56" w:rsidRPr="00DF6A2D" w:rsidRDefault="00DF6A2D" w:rsidP="00DF6A2D">
            <w:pPr>
              <w:pStyle w:val="NoSpacing"/>
              <w:rPr>
                <w:sz w:val="20"/>
                <w:szCs w:val="20"/>
              </w:rPr>
            </w:pPr>
            <w:r w:rsidRPr="00DF6A2D">
              <w:rPr>
                <w:sz w:val="20"/>
                <w:szCs w:val="20"/>
              </w:rPr>
              <w:t>0.72**</w:t>
            </w:r>
          </w:p>
        </w:tc>
        <w:tc>
          <w:tcPr>
            <w:tcW w:w="0" w:type="auto"/>
          </w:tcPr>
          <w:p w14:paraId="543A44A6" w14:textId="202C1D20" w:rsidR="008A2C56" w:rsidRPr="00DF6A2D" w:rsidRDefault="00DF6A2D" w:rsidP="00DF6A2D">
            <w:pPr>
              <w:pStyle w:val="NoSpacing"/>
              <w:rPr>
                <w:sz w:val="20"/>
                <w:szCs w:val="20"/>
              </w:rPr>
            </w:pPr>
            <w:r w:rsidRPr="00DF6A2D">
              <w:rPr>
                <w:sz w:val="20"/>
                <w:szCs w:val="20"/>
              </w:rPr>
              <w:t>0.45**</w:t>
            </w:r>
          </w:p>
        </w:tc>
        <w:tc>
          <w:tcPr>
            <w:tcW w:w="0" w:type="auto"/>
          </w:tcPr>
          <w:p w14:paraId="5A6866A6" w14:textId="780A28E3" w:rsidR="008A2C56" w:rsidRPr="00DF6A2D" w:rsidRDefault="00DF6A2D" w:rsidP="00DF6A2D">
            <w:pPr>
              <w:pStyle w:val="NoSpacing"/>
              <w:rPr>
                <w:sz w:val="20"/>
                <w:szCs w:val="20"/>
              </w:rPr>
            </w:pPr>
            <w:r w:rsidRPr="00DF6A2D">
              <w:rPr>
                <w:sz w:val="20"/>
                <w:szCs w:val="20"/>
              </w:rPr>
              <w:t>0.69**</w:t>
            </w:r>
          </w:p>
        </w:tc>
        <w:tc>
          <w:tcPr>
            <w:tcW w:w="0" w:type="auto"/>
          </w:tcPr>
          <w:p w14:paraId="7236E00B" w14:textId="77777777" w:rsidR="008A2C56" w:rsidRPr="00DF6A2D" w:rsidRDefault="008A2C56" w:rsidP="00DF6A2D">
            <w:pPr>
              <w:pStyle w:val="NoSpacing"/>
              <w:rPr>
                <w:sz w:val="20"/>
                <w:szCs w:val="20"/>
              </w:rPr>
            </w:pPr>
          </w:p>
        </w:tc>
        <w:tc>
          <w:tcPr>
            <w:tcW w:w="0" w:type="auto"/>
          </w:tcPr>
          <w:p w14:paraId="3E3DFBDC" w14:textId="77777777" w:rsidR="008A2C56" w:rsidRPr="00DF6A2D" w:rsidRDefault="008A2C56" w:rsidP="00DF6A2D">
            <w:pPr>
              <w:pStyle w:val="NoSpacing"/>
              <w:rPr>
                <w:sz w:val="20"/>
                <w:szCs w:val="20"/>
              </w:rPr>
            </w:pPr>
          </w:p>
        </w:tc>
        <w:tc>
          <w:tcPr>
            <w:tcW w:w="0" w:type="auto"/>
          </w:tcPr>
          <w:p w14:paraId="6AF3F61E" w14:textId="77777777" w:rsidR="008A2C56" w:rsidRPr="00DF6A2D" w:rsidRDefault="008A2C56" w:rsidP="00DF6A2D">
            <w:pPr>
              <w:pStyle w:val="NoSpacing"/>
              <w:rPr>
                <w:sz w:val="20"/>
                <w:szCs w:val="20"/>
              </w:rPr>
            </w:pPr>
          </w:p>
        </w:tc>
        <w:tc>
          <w:tcPr>
            <w:tcW w:w="0" w:type="auto"/>
          </w:tcPr>
          <w:p w14:paraId="2C35DCE1" w14:textId="77777777" w:rsidR="008A2C56" w:rsidRPr="00DF6A2D" w:rsidRDefault="008A2C56" w:rsidP="00DF6A2D">
            <w:pPr>
              <w:pStyle w:val="NoSpacing"/>
              <w:rPr>
                <w:sz w:val="20"/>
                <w:szCs w:val="20"/>
              </w:rPr>
            </w:pPr>
          </w:p>
        </w:tc>
      </w:tr>
      <w:tr w:rsidR="00DF6A2D" w:rsidRPr="00DF6A2D" w14:paraId="6CC0A3BE" w14:textId="77777777" w:rsidTr="00DF6A2D">
        <w:tc>
          <w:tcPr>
            <w:tcW w:w="0" w:type="auto"/>
          </w:tcPr>
          <w:p w14:paraId="4C05AB11" w14:textId="7C79D373" w:rsidR="008A2C56" w:rsidRPr="00DF6A2D" w:rsidRDefault="00726832" w:rsidP="00DF6A2D">
            <w:pPr>
              <w:pStyle w:val="NoSpacing"/>
              <w:rPr>
                <w:sz w:val="20"/>
                <w:szCs w:val="20"/>
              </w:rPr>
            </w:pPr>
            <w:r w:rsidRPr="00DF6A2D">
              <w:rPr>
                <w:sz w:val="20"/>
                <w:szCs w:val="20"/>
              </w:rPr>
              <w:t>17. Tournament</w:t>
            </w:r>
            <w:r w:rsidR="00DF6A2D" w:rsidRPr="00DF6A2D">
              <w:rPr>
                <w:sz w:val="20"/>
                <w:szCs w:val="20"/>
              </w:rPr>
              <w:t xml:space="preserve"> </w:t>
            </w:r>
            <w:r w:rsidRPr="00DF6A2D">
              <w:rPr>
                <w:sz w:val="20"/>
                <w:szCs w:val="20"/>
              </w:rPr>
              <w:t>wins</w:t>
            </w:r>
          </w:p>
        </w:tc>
        <w:tc>
          <w:tcPr>
            <w:tcW w:w="0" w:type="auto"/>
          </w:tcPr>
          <w:p w14:paraId="10808AA3" w14:textId="0AE12C5C" w:rsidR="008A2C56" w:rsidRPr="00DF6A2D" w:rsidRDefault="00DF6A2D" w:rsidP="00DF6A2D">
            <w:pPr>
              <w:pStyle w:val="NoSpacing"/>
              <w:rPr>
                <w:sz w:val="20"/>
                <w:szCs w:val="20"/>
              </w:rPr>
            </w:pPr>
            <w:r w:rsidRPr="00DF6A2D">
              <w:rPr>
                <w:sz w:val="20"/>
                <w:szCs w:val="20"/>
              </w:rPr>
              <w:t>0.51</w:t>
            </w:r>
          </w:p>
        </w:tc>
        <w:tc>
          <w:tcPr>
            <w:tcW w:w="0" w:type="auto"/>
          </w:tcPr>
          <w:p w14:paraId="2E53526D" w14:textId="755D559E" w:rsidR="008A2C56" w:rsidRPr="00DF6A2D" w:rsidRDefault="00DF6A2D" w:rsidP="00DF6A2D">
            <w:pPr>
              <w:pStyle w:val="NoSpacing"/>
              <w:rPr>
                <w:sz w:val="20"/>
                <w:szCs w:val="20"/>
              </w:rPr>
            </w:pPr>
            <w:r w:rsidRPr="00DF6A2D">
              <w:rPr>
                <w:sz w:val="20"/>
                <w:szCs w:val="20"/>
              </w:rPr>
              <w:t>1.09</w:t>
            </w:r>
          </w:p>
        </w:tc>
        <w:tc>
          <w:tcPr>
            <w:tcW w:w="0" w:type="auto"/>
          </w:tcPr>
          <w:p w14:paraId="4D8DF6D0" w14:textId="099CC51A" w:rsidR="008A2C56" w:rsidRPr="00DF6A2D" w:rsidRDefault="00DF6A2D" w:rsidP="00DF6A2D">
            <w:pPr>
              <w:pStyle w:val="NoSpacing"/>
              <w:rPr>
                <w:sz w:val="20"/>
                <w:szCs w:val="20"/>
              </w:rPr>
            </w:pPr>
            <w:r w:rsidRPr="00DF6A2D">
              <w:rPr>
                <w:sz w:val="20"/>
                <w:szCs w:val="20"/>
              </w:rPr>
              <w:t>0</w:t>
            </w:r>
          </w:p>
        </w:tc>
        <w:tc>
          <w:tcPr>
            <w:tcW w:w="0" w:type="auto"/>
          </w:tcPr>
          <w:p w14:paraId="5A4273E2" w14:textId="4152D8B7" w:rsidR="008A2C56" w:rsidRPr="00DF6A2D" w:rsidRDefault="00DF6A2D" w:rsidP="00DF6A2D">
            <w:pPr>
              <w:pStyle w:val="NoSpacing"/>
              <w:rPr>
                <w:sz w:val="20"/>
                <w:szCs w:val="20"/>
              </w:rPr>
            </w:pPr>
            <w:r w:rsidRPr="00DF6A2D">
              <w:rPr>
                <w:sz w:val="20"/>
                <w:szCs w:val="20"/>
              </w:rPr>
              <w:t>6</w:t>
            </w:r>
          </w:p>
        </w:tc>
        <w:tc>
          <w:tcPr>
            <w:tcW w:w="0" w:type="auto"/>
          </w:tcPr>
          <w:p w14:paraId="42649BA3" w14:textId="07D18894" w:rsidR="008A2C56" w:rsidRPr="00DF6A2D" w:rsidRDefault="00DF6A2D" w:rsidP="00DF6A2D">
            <w:pPr>
              <w:pStyle w:val="NoSpacing"/>
              <w:rPr>
                <w:sz w:val="20"/>
                <w:szCs w:val="20"/>
              </w:rPr>
            </w:pPr>
            <w:r w:rsidRPr="00DF6A2D">
              <w:rPr>
                <w:sz w:val="20"/>
                <w:szCs w:val="20"/>
              </w:rPr>
              <w:t>-0.13**</w:t>
            </w:r>
          </w:p>
        </w:tc>
        <w:tc>
          <w:tcPr>
            <w:tcW w:w="0" w:type="auto"/>
          </w:tcPr>
          <w:p w14:paraId="28B3A3B1" w14:textId="178F1372" w:rsidR="008A2C56" w:rsidRPr="00DF6A2D" w:rsidRDefault="00DF6A2D" w:rsidP="00DF6A2D">
            <w:pPr>
              <w:pStyle w:val="NoSpacing"/>
              <w:rPr>
                <w:sz w:val="20"/>
                <w:szCs w:val="20"/>
              </w:rPr>
            </w:pPr>
            <w:r w:rsidRPr="00DF6A2D">
              <w:rPr>
                <w:sz w:val="20"/>
                <w:szCs w:val="20"/>
              </w:rPr>
              <w:t>0.26**</w:t>
            </w:r>
          </w:p>
        </w:tc>
        <w:tc>
          <w:tcPr>
            <w:tcW w:w="0" w:type="auto"/>
          </w:tcPr>
          <w:p w14:paraId="0E9B9139" w14:textId="4026FA55" w:rsidR="008A2C56" w:rsidRPr="00DF6A2D" w:rsidRDefault="00DF6A2D" w:rsidP="00DF6A2D">
            <w:pPr>
              <w:pStyle w:val="NoSpacing"/>
              <w:rPr>
                <w:sz w:val="20"/>
                <w:szCs w:val="20"/>
              </w:rPr>
            </w:pPr>
            <w:r w:rsidRPr="00DF6A2D">
              <w:rPr>
                <w:sz w:val="20"/>
                <w:szCs w:val="20"/>
              </w:rPr>
              <w:t>-0.12**</w:t>
            </w:r>
          </w:p>
        </w:tc>
        <w:tc>
          <w:tcPr>
            <w:tcW w:w="0" w:type="auto"/>
          </w:tcPr>
          <w:p w14:paraId="011EFBF9" w14:textId="10593032" w:rsidR="008A2C56" w:rsidRPr="00DF6A2D" w:rsidRDefault="00DF6A2D" w:rsidP="00DF6A2D">
            <w:pPr>
              <w:pStyle w:val="NoSpacing"/>
              <w:rPr>
                <w:sz w:val="20"/>
                <w:szCs w:val="20"/>
              </w:rPr>
            </w:pPr>
            <w:r w:rsidRPr="00DF6A2D">
              <w:rPr>
                <w:sz w:val="20"/>
                <w:szCs w:val="20"/>
              </w:rPr>
              <w:t>-0.02</w:t>
            </w:r>
          </w:p>
        </w:tc>
        <w:tc>
          <w:tcPr>
            <w:tcW w:w="0" w:type="auto"/>
          </w:tcPr>
          <w:p w14:paraId="1CB51EC8" w14:textId="20D83B60" w:rsidR="008A2C56" w:rsidRPr="00DF6A2D" w:rsidRDefault="00DF6A2D" w:rsidP="00DF6A2D">
            <w:pPr>
              <w:pStyle w:val="NoSpacing"/>
              <w:rPr>
                <w:sz w:val="20"/>
                <w:szCs w:val="20"/>
              </w:rPr>
            </w:pPr>
            <w:r w:rsidRPr="00DF6A2D">
              <w:rPr>
                <w:sz w:val="20"/>
                <w:szCs w:val="20"/>
              </w:rPr>
              <w:t>0.14**</w:t>
            </w:r>
          </w:p>
        </w:tc>
        <w:tc>
          <w:tcPr>
            <w:tcW w:w="0" w:type="auto"/>
          </w:tcPr>
          <w:p w14:paraId="6B6A8F49" w14:textId="0BC83688" w:rsidR="008A2C56" w:rsidRPr="00DF6A2D" w:rsidRDefault="00DF6A2D" w:rsidP="00DF6A2D">
            <w:pPr>
              <w:pStyle w:val="NoSpacing"/>
              <w:rPr>
                <w:sz w:val="20"/>
                <w:szCs w:val="20"/>
              </w:rPr>
            </w:pPr>
            <w:r w:rsidRPr="00DF6A2D">
              <w:rPr>
                <w:sz w:val="20"/>
                <w:szCs w:val="20"/>
              </w:rPr>
              <w:t>0.06**</w:t>
            </w:r>
          </w:p>
        </w:tc>
        <w:tc>
          <w:tcPr>
            <w:tcW w:w="0" w:type="auto"/>
          </w:tcPr>
          <w:p w14:paraId="7207C470" w14:textId="359F52A0" w:rsidR="008A2C56" w:rsidRPr="00DF6A2D" w:rsidRDefault="00DF6A2D" w:rsidP="00DF6A2D">
            <w:pPr>
              <w:pStyle w:val="NoSpacing"/>
              <w:rPr>
                <w:sz w:val="20"/>
                <w:szCs w:val="20"/>
              </w:rPr>
            </w:pPr>
            <w:r w:rsidRPr="00DF6A2D">
              <w:rPr>
                <w:sz w:val="20"/>
                <w:szCs w:val="20"/>
              </w:rPr>
              <w:t>0.01</w:t>
            </w:r>
          </w:p>
        </w:tc>
        <w:tc>
          <w:tcPr>
            <w:tcW w:w="0" w:type="auto"/>
          </w:tcPr>
          <w:p w14:paraId="2F07E7E9" w14:textId="7A5E5658" w:rsidR="008A2C56" w:rsidRPr="00DF6A2D" w:rsidRDefault="00DF6A2D" w:rsidP="00DF6A2D">
            <w:pPr>
              <w:pStyle w:val="NoSpacing"/>
              <w:rPr>
                <w:sz w:val="20"/>
                <w:szCs w:val="20"/>
              </w:rPr>
            </w:pPr>
            <w:r w:rsidRPr="00DF6A2D">
              <w:rPr>
                <w:sz w:val="20"/>
                <w:szCs w:val="20"/>
              </w:rPr>
              <w:t>0.14**</w:t>
            </w:r>
          </w:p>
        </w:tc>
        <w:tc>
          <w:tcPr>
            <w:tcW w:w="0" w:type="auto"/>
          </w:tcPr>
          <w:p w14:paraId="5D58ACC9" w14:textId="5063FD0C" w:rsidR="008A2C56" w:rsidRPr="00DF6A2D" w:rsidRDefault="00DF6A2D" w:rsidP="00DF6A2D">
            <w:pPr>
              <w:pStyle w:val="NoSpacing"/>
              <w:rPr>
                <w:sz w:val="20"/>
                <w:szCs w:val="20"/>
              </w:rPr>
            </w:pPr>
            <w:r w:rsidRPr="00DF6A2D">
              <w:rPr>
                <w:sz w:val="20"/>
                <w:szCs w:val="20"/>
              </w:rPr>
              <w:t>0.34**</w:t>
            </w:r>
          </w:p>
        </w:tc>
        <w:tc>
          <w:tcPr>
            <w:tcW w:w="0" w:type="auto"/>
          </w:tcPr>
          <w:p w14:paraId="2DE97E60" w14:textId="295028A5" w:rsidR="008A2C56" w:rsidRPr="00DF6A2D" w:rsidRDefault="00DF6A2D" w:rsidP="00DF6A2D">
            <w:pPr>
              <w:pStyle w:val="NoSpacing"/>
              <w:rPr>
                <w:sz w:val="20"/>
                <w:szCs w:val="20"/>
              </w:rPr>
            </w:pPr>
            <w:r w:rsidRPr="00DF6A2D">
              <w:rPr>
                <w:sz w:val="20"/>
                <w:szCs w:val="20"/>
              </w:rPr>
              <w:t>0.56**</w:t>
            </w:r>
          </w:p>
        </w:tc>
        <w:tc>
          <w:tcPr>
            <w:tcW w:w="0" w:type="auto"/>
          </w:tcPr>
          <w:p w14:paraId="71A1FD2B" w14:textId="1188AA7D" w:rsidR="008A2C56" w:rsidRPr="00DF6A2D" w:rsidRDefault="00DF6A2D" w:rsidP="00DF6A2D">
            <w:pPr>
              <w:pStyle w:val="NoSpacing"/>
              <w:rPr>
                <w:sz w:val="20"/>
                <w:szCs w:val="20"/>
              </w:rPr>
            </w:pPr>
            <w:r w:rsidRPr="00DF6A2D">
              <w:rPr>
                <w:sz w:val="20"/>
                <w:szCs w:val="20"/>
              </w:rPr>
              <w:t>0.19**</w:t>
            </w:r>
          </w:p>
        </w:tc>
        <w:tc>
          <w:tcPr>
            <w:tcW w:w="0" w:type="auto"/>
          </w:tcPr>
          <w:p w14:paraId="6E7A41B8" w14:textId="1C0D47ED" w:rsidR="008A2C56" w:rsidRPr="00DF6A2D" w:rsidRDefault="00DF6A2D" w:rsidP="00DF6A2D">
            <w:pPr>
              <w:pStyle w:val="NoSpacing"/>
              <w:rPr>
                <w:sz w:val="20"/>
                <w:szCs w:val="20"/>
              </w:rPr>
            </w:pPr>
            <w:r w:rsidRPr="00DF6A2D">
              <w:rPr>
                <w:sz w:val="20"/>
                <w:szCs w:val="20"/>
              </w:rPr>
              <w:t>0.57**</w:t>
            </w:r>
          </w:p>
        </w:tc>
        <w:tc>
          <w:tcPr>
            <w:tcW w:w="0" w:type="auto"/>
          </w:tcPr>
          <w:p w14:paraId="63382DA6" w14:textId="6DE83D28" w:rsidR="008A2C56" w:rsidRPr="00DF6A2D" w:rsidRDefault="00DF6A2D" w:rsidP="00DF6A2D">
            <w:pPr>
              <w:pStyle w:val="NoSpacing"/>
              <w:rPr>
                <w:sz w:val="20"/>
                <w:szCs w:val="20"/>
              </w:rPr>
            </w:pPr>
            <w:r w:rsidRPr="00DF6A2D">
              <w:rPr>
                <w:sz w:val="20"/>
                <w:szCs w:val="20"/>
              </w:rPr>
              <w:t>0.57**</w:t>
            </w:r>
          </w:p>
        </w:tc>
        <w:tc>
          <w:tcPr>
            <w:tcW w:w="0" w:type="auto"/>
          </w:tcPr>
          <w:p w14:paraId="7D3C123E" w14:textId="154571BF" w:rsidR="008A2C56" w:rsidRPr="00DF6A2D" w:rsidRDefault="00DF6A2D" w:rsidP="00DF6A2D">
            <w:pPr>
              <w:pStyle w:val="NoSpacing"/>
              <w:rPr>
                <w:sz w:val="20"/>
                <w:szCs w:val="20"/>
              </w:rPr>
            </w:pPr>
            <w:r w:rsidRPr="00DF6A2D">
              <w:rPr>
                <w:sz w:val="20"/>
                <w:szCs w:val="20"/>
              </w:rPr>
              <w:t>0.38**</w:t>
            </w:r>
          </w:p>
        </w:tc>
        <w:tc>
          <w:tcPr>
            <w:tcW w:w="0" w:type="auto"/>
          </w:tcPr>
          <w:p w14:paraId="0494C5AB" w14:textId="6B584D55" w:rsidR="008A2C56" w:rsidRPr="00DF6A2D" w:rsidRDefault="00DF6A2D" w:rsidP="00DF6A2D">
            <w:pPr>
              <w:pStyle w:val="NoSpacing"/>
              <w:rPr>
                <w:sz w:val="20"/>
                <w:szCs w:val="20"/>
              </w:rPr>
            </w:pPr>
            <w:r w:rsidRPr="00DF6A2D">
              <w:rPr>
                <w:sz w:val="20"/>
                <w:szCs w:val="20"/>
              </w:rPr>
              <w:t>0.51**</w:t>
            </w:r>
          </w:p>
        </w:tc>
        <w:tc>
          <w:tcPr>
            <w:tcW w:w="0" w:type="auto"/>
          </w:tcPr>
          <w:p w14:paraId="5A6FEF63" w14:textId="26EF62CF" w:rsidR="008A2C56" w:rsidRPr="00DF6A2D" w:rsidRDefault="00DF6A2D" w:rsidP="00DF6A2D">
            <w:pPr>
              <w:pStyle w:val="NoSpacing"/>
              <w:rPr>
                <w:sz w:val="20"/>
                <w:szCs w:val="20"/>
              </w:rPr>
            </w:pPr>
            <w:r w:rsidRPr="00DF6A2D">
              <w:rPr>
                <w:sz w:val="20"/>
                <w:szCs w:val="20"/>
              </w:rPr>
              <w:t>0.58**</w:t>
            </w:r>
          </w:p>
        </w:tc>
        <w:tc>
          <w:tcPr>
            <w:tcW w:w="0" w:type="auto"/>
          </w:tcPr>
          <w:p w14:paraId="133F80A2" w14:textId="77777777" w:rsidR="008A2C56" w:rsidRPr="00DF6A2D" w:rsidRDefault="008A2C56" w:rsidP="00DF6A2D">
            <w:pPr>
              <w:pStyle w:val="NoSpacing"/>
              <w:rPr>
                <w:sz w:val="20"/>
                <w:szCs w:val="20"/>
              </w:rPr>
            </w:pPr>
          </w:p>
        </w:tc>
        <w:tc>
          <w:tcPr>
            <w:tcW w:w="0" w:type="auto"/>
          </w:tcPr>
          <w:p w14:paraId="06368E43" w14:textId="77777777" w:rsidR="008A2C56" w:rsidRPr="00DF6A2D" w:rsidRDefault="008A2C56" w:rsidP="00DF6A2D">
            <w:pPr>
              <w:pStyle w:val="NoSpacing"/>
              <w:rPr>
                <w:sz w:val="20"/>
                <w:szCs w:val="20"/>
              </w:rPr>
            </w:pPr>
          </w:p>
        </w:tc>
        <w:tc>
          <w:tcPr>
            <w:tcW w:w="0" w:type="auto"/>
          </w:tcPr>
          <w:p w14:paraId="75FC57C9" w14:textId="77777777" w:rsidR="008A2C56" w:rsidRPr="00DF6A2D" w:rsidRDefault="008A2C56" w:rsidP="00DF6A2D">
            <w:pPr>
              <w:pStyle w:val="NoSpacing"/>
              <w:rPr>
                <w:sz w:val="20"/>
                <w:szCs w:val="20"/>
              </w:rPr>
            </w:pPr>
          </w:p>
        </w:tc>
      </w:tr>
      <w:tr w:rsidR="00DF6A2D" w:rsidRPr="00DF6A2D" w14:paraId="737CDD90" w14:textId="77777777" w:rsidTr="00DF6A2D">
        <w:tc>
          <w:tcPr>
            <w:tcW w:w="0" w:type="auto"/>
          </w:tcPr>
          <w:p w14:paraId="5B53B275" w14:textId="0B3DF8FD" w:rsidR="008A2C56" w:rsidRPr="00DF6A2D" w:rsidRDefault="00726832" w:rsidP="00DF6A2D">
            <w:pPr>
              <w:pStyle w:val="NoSpacing"/>
              <w:rPr>
                <w:sz w:val="20"/>
                <w:szCs w:val="20"/>
              </w:rPr>
            </w:pPr>
            <w:r w:rsidRPr="00DF6A2D">
              <w:rPr>
                <w:sz w:val="20"/>
                <w:szCs w:val="20"/>
              </w:rPr>
              <w:t xml:space="preserve">18. AD change </w:t>
            </w:r>
          </w:p>
        </w:tc>
        <w:tc>
          <w:tcPr>
            <w:tcW w:w="0" w:type="auto"/>
          </w:tcPr>
          <w:p w14:paraId="34F21170" w14:textId="6385B0BD" w:rsidR="008A2C56" w:rsidRPr="00DF6A2D" w:rsidRDefault="00DF6A2D" w:rsidP="00DF6A2D">
            <w:pPr>
              <w:pStyle w:val="NoSpacing"/>
              <w:rPr>
                <w:sz w:val="20"/>
                <w:szCs w:val="20"/>
              </w:rPr>
            </w:pPr>
            <w:r w:rsidRPr="00DF6A2D">
              <w:rPr>
                <w:sz w:val="20"/>
                <w:szCs w:val="20"/>
              </w:rPr>
              <w:t>0.42</w:t>
            </w:r>
          </w:p>
        </w:tc>
        <w:tc>
          <w:tcPr>
            <w:tcW w:w="0" w:type="auto"/>
          </w:tcPr>
          <w:p w14:paraId="4593D4D9" w14:textId="36BCC32B" w:rsidR="008A2C56" w:rsidRPr="00DF6A2D" w:rsidRDefault="00DF6A2D" w:rsidP="00DF6A2D">
            <w:pPr>
              <w:pStyle w:val="NoSpacing"/>
              <w:rPr>
                <w:sz w:val="20"/>
                <w:szCs w:val="20"/>
              </w:rPr>
            </w:pPr>
            <w:r w:rsidRPr="00DF6A2D">
              <w:rPr>
                <w:sz w:val="20"/>
                <w:szCs w:val="20"/>
              </w:rPr>
              <w:t>0.49</w:t>
            </w:r>
          </w:p>
        </w:tc>
        <w:tc>
          <w:tcPr>
            <w:tcW w:w="0" w:type="auto"/>
          </w:tcPr>
          <w:p w14:paraId="53595688" w14:textId="646CEC0C" w:rsidR="008A2C56" w:rsidRPr="00DF6A2D" w:rsidRDefault="00DF6A2D" w:rsidP="00DF6A2D">
            <w:pPr>
              <w:pStyle w:val="NoSpacing"/>
              <w:rPr>
                <w:sz w:val="20"/>
                <w:szCs w:val="20"/>
              </w:rPr>
            </w:pPr>
            <w:r w:rsidRPr="00DF6A2D">
              <w:rPr>
                <w:sz w:val="20"/>
                <w:szCs w:val="20"/>
              </w:rPr>
              <w:t>0</w:t>
            </w:r>
          </w:p>
        </w:tc>
        <w:tc>
          <w:tcPr>
            <w:tcW w:w="0" w:type="auto"/>
          </w:tcPr>
          <w:p w14:paraId="2559871C" w14:textId="6C33511D" w:rsidR="008A2C56" w:rsidRPr="00DF6A2D" w:rsidRDefault="00DF6A2D" w:rsidP="00DF6A2D">
            <w:pPr>
              <w:pStyle w:val="NoSpacing"/>
              <w:rPr>
                <w:sz w:val="20"/>
                <w:szCs w:val="20"/>
              </w:rPr>
            </w:pPr>
            <w:r w:rsidRPr="00DF6A2D">
              <w:rPr>
                <w:sz w:val="20"/>
                <w:szCs w:val="20"/>
              </w:rPr>
              <w:t>1</w:t>
            </w:r>
          </w:p>
        </w:tc>
        <w:tc>
          <w:tcPr>
            <w:tcW w:w="0" w:type="auto"/>
          </w:tcPr>
          <w:p w14:paraId="76A0FFA1" w14:textId="6EAFA3EE" w:rsidR="008A2C56" w:rsidRPr="00DF6A2D" w:rsidRDefault="00DF6A2D" w:rsidP="00DF6A2D">
            <w:pPr>
              <w:pStyle w:val="NoSpacing"/>
              <w:rPr>
                <w:sz w:val="20"/>
                <w:szCs w:val="20"/>
              </w:rPr>
            </w:pPr>
            <w:r w:rsidRPr="00DF6A2D">
              <w:rPr>
                <w:sz w:val="20"/>
                <w:szCs w:val="20"/>
              </w:rPr>
              <w:t>0.08**</w:t>
            </w:r>
          </w:p>
        </w:tc>
        <w:tc>
          <w:tcPr>
            <w:tcW w:w="0" w:type="auto"/>
          </w:tcPr>
          <w:p w14:paraId="197BC81D" w14:textId="5BE3AFC5" w:rsidR="008A2C56" w:rsidRPr="00DF6A2D" w:rsidRDefault="00DF6A2D" w:rsidP="00DF6A2D">
            <w:pPr>
              <w:pStyle w:val="NoSpacing"/>
              <w:rPr>
                <w:sz w:val="20"/>
                <w:szCs w:val="20"/>
              </w:rPr>
            </w:pPr>
            <w:r w:rsidRPr="00DF6A2D">
              <w:rPr>
                <w:sz w:val="20"/>
                <w:szCs w:val="20"/>
              </w:rPr>
              <w:t>0.39**</w:t>
            </w:r>
          </w:p>
        </w:tc>
        <w:tc>
          <w:tcPr>
            <w:tcW w:w="0" w:type="auto"/>
          </w:tcPr>
          <w:p w14:paraId="3CB8C77E" w14:textId="529A9095" w:rsidR="008A2C56" w:rsidRPr="00DF6A2D" w:rsidRDefault="00DF6A2D" w:rsidP="00DF6A2D">
            <w:pPr>
              <w:pStyle w:val="NoSpacing"/>
              <w:rPr>
                <w:sz w:val="20"/>
                <w:szCs w:val="20"/>
              </w:rPr>
            </w:pPr>
            <w:r w:rsidRPr="00DF6A2D">
              <w:rPr>
                <w:sz w:val="20"/>
                <w:szCs w:val="20"/>
              </w:rPr>
              <w:t>-0.00</w:t>
            </w:r>
          </w:p>
        </w:tc>
        <w:tc>
          <w:tcPr>
            <w:tcW w:w="0" w:type="auto"/>
          </w:tcPr>
          <w:p w14:paraId="17CA0724" w14:textId="36ED7CF3" w:rsidR="008A2C56" w:rsidRPr="00DF6A2D" w:rsidRDefault="00DF6A2D" w:rsidP="00DF6A2D">
            <w:pPr>
              <w:pStyle w:val="NoSpacing"/>
              <w:rPr>
                <w:sz w:val="20"/>
                <w:szCs w:val="20"/>
              </w:rPr>
            </w:pPr>
            <w:r w:rsidRPr="00DF6A2D">
              <w:rPr>
                <w:sz w:val="20"/>
                <w:szCs w:val="20"/>
              </w:rPr>
              <w:t>0.01</w:t>
            </w:r>
          </w:p>
        </w:tc>
        <w:tc>
          <w:tcPr>
            <w:tcW w:w="0" w:type="auto"/>
          </w:tcPr>
          <w:p w14:paraId="3C80A5CD" w14:textId="54226C66" w:rsidR="008A2C56" w:rsidRPr="00DF6A2D" w:rsidRDefault="00DF6A2D" w:rsidP="00DF6A2D">
            <w:pPr>
              <w:pStyle w:val="NoSpacing"/>
              <w:rPr>
                <w:sz w:val="20"/>
                <w:szCs w:val="20"/>
              </w:rPr>
            </w:pPr>
            <w:r w:rsidRPr="00DF6A2D">
              <w:rPr>
                <w:sz w:val="20"/>
                <w:szCs w:val="20"/>
              </w:rPr>
              <w:t>0.13**</w:t>
            </w:r>
          </w:p>
        </w:tc>
        <w:tc>
          <w:tcPr>
            <w:tcW w:w="0" w:type="auto"/>
          </w:tcPr>
          <w:p w14:paraId="2E658C61" w14:textId="737C8CC7" w:rsidR="008A2C56" w:rsidRPr="00DF6A2D" w:rsidRDefault="00DF6A2D" w:rsidP="00DF6A2D">
            <w:pPr>
              <w:pStyle w:val="NoSpacing"/>
              <w:rPr>
                <w:sz w:val="20"/>
                <w:szCs w:val="20"/>
              </w:rPr>
            </w:pPr>
            <w:r w:rsidRPr="00DF6A2D">
              <w:rPr>
                <w:sz w:val="20"/>
                <w:szCs w:val="20"/>
              </w:rPr>
              <w:t>0.09**</w:t>
            </w:r>
          </w:p>
        </w:tc>
        <w:tc>
          <w:tcPr>
            <w:tcW w:w="0" w:type="auto"/>
          </w:tcPr>
          <w:p w14:paraId="08C73617" w14:textId="51D767D9" w:rsidR="008A2C56" w:rsidRPr="00DF6A2D" w:rsidRDefault="00DF6A2D" w:rsidP="00DF6A2D">
            <w:pPr>
              <w:pStyle w:val="NoSpacing"/>
              <w:rPr>
                <w:sz w:val="20"/>
                <w:szCs w:val="20"/>
              </w:rPr>
            </w:pPr>
            <w:r w:rsidRPr="00DF6A2D">
              <w:rPr>
                <w:sz w:val="20"/>
                <w:szCs w:val="20"/>
              </w:rPr>
              <w:t>-0.08**</w:t>
            </w:r>
          </w:p>
        </w:tc>
        <w:tc>
          <w:tcPr>
            <w:tcW w:w="0" w:type="auto"/>
          </w:tcPr>
          <w:p w14:paraId="5D72C375" w14:textId="73F4B4C0" w:rsidR="008A2C56" w:rsidRPr="00DF6A2D" w:rsidRDefault="00DF6A2D" w:rsidP="00DF6A2D">
            <w:pPr>
              <w:pStyle w:val="NoSpacing"/>
              <w:rPr>
                <w:sz w:val="20"/>
                <w:szCs w:val="20"/>
              </w:rPr>
            </w:pPr>
            <w:r w:rsidRPr="00DF6A2D">
              <w:rPr>
                <w:sz w:val="20"/>
                <w:szCs w:val="20"/>
              </w:rPr>
              <w:t>0.23**</w:t>
            </w:r>
          </w:p>
        </w:tc>
        <w:tc>
          <w:tcPr>
            <w:tcW w:w="0" w:type="auto"/>
          </w:tcPr>
          <w:p w14:paraId="16C134B3" w14:textId="406A84CB" w:rsidR="008A2C56" w:rsidRPr="00DF6A2D" w:rsidRDefault="00DF6A2D" w:rsidP="00DF6A2D">
            <w:pPr>
              <w:pStyle w:val="NoSpacing"/>
              <w:rPr>
                <w:sz w:val="20"/>
                <w:szCs w:val="20"/>
              </w:rPr>
            </w:pPr>
            <w:r w:rsidRPr="00DF6A2D">
              <w:rPr>
                <w:sz w:val="20"/>
                <w:szCs w:val="20"/>
              </w:rPr>
              <w:t>0.17**</w:t>
            </w:r>
          </w:p>
        </w:tc>
        <w:tc>
          <w:tcPr>
            <w:tcW w:w="0" w:type="auto"/>
          </w:tcPr>
          <w:p w14:paraId="0D0F7EAA" w14:textId="5E2CE6E2" w:rsidR="008A2C56" w:rsidRPr="00DF6A2D" w:rsidRDefault="00DF6A2D" w:rsidP="00DF6A2D">
            <w:pPr>
              <w:pStyle w:val="NoSpacing"/>
              <w:rPr>
                <w:sz w:val="20"/>
                <w:szCs w:val="20"/>
              </w:rPr>
            </w:pPr>
            <w:r w:rsidRPr="00DF6A2D">
              <w:rPr>
                <w:sz w:val="20"/>
                <w:szCs w:val="20"/>
              </w:rPr>
              <w:t>0.15**</w:t>
            </w:r>
          </w:p>
        </w:tc>
        <w:tc>
          <w:tcPr>
            <w:tcW w:w="0" w:type="auto"/>
          </w:tcPr>
          <w:p w14:paraId="267AE5C0" w14:textId="6986DD6C" w:rsidR="008A2C56" w:rsidRPr="00DF6A2D" w:rsidRDefault="00DF6A2D" w:rsidP="00DF6A2D">
            <w:pPr>
              <w:pStyle w:val="NoSpacing"/>
              <w:rPr>
                <w:sz w:val="20"/>
                <w:szCs w:val="20"/>
              </w:rPr>
            </w:pPr>
            <w:r w:rsidRPr="00DF6A2D">
              <w:rPr>
                <w:sz w:val="20"/>
                <w:szCs w:val="20"/>
              </w:rPr>
              <w:t>0.12**</w:t>
            </w:r>
          </w:p>
        </w:tc>
        <w:tc>
          <w:tcPr>
            <w:tcW w:w="0" w:type="auto"/>
          </w:tcPr>
          <w:p w14:paraId="53CCADBF" w14:textId="2431CC70" w:rsidR="008A2C56" w:rsidRPr="00DF6A2D" w:rsidRDefault="00DF6A2D" w:rsidP="00DF6A2D">
            <w:pPr>
              <w:pStyle w:val="NoSpacing"/>
              <w:rPr>
                <w:sz w:val="20"/>
                <w:szCs w:val="20"/>
              </w:rPr>
            </w:pPr>
            <w:r w:rsidRPr="00DF6A2D">
              <w:rPr>
                <w:sz w:val="20"/>
                <w:szCs w:val="20"/>
              </w:rPr>
              <w:t>0.12**</w:t>
            </w:r>
          </w:p>
        </w:tc>
        <w:tc>
          <w:tcPr>
            <w:tcW w:w="0" w:type="auto"/>
          </w:tcPr>
          <w:p w14:paraId="6E325EA9" w14:textId="73E39942" w:rsidR="008A2C56" w:rsidRPr="00DF6A2D" w:rsidRDefault="00DF6A2D" w:rsidP="00DF6A2D">
            <w:pPr>
              <w:pStyle w:val="NoSpacing"/>
              <w:rPr>
                <w:sz w:val="20"/>
                <w:szCs w:val="20"/>
              </w:rPr>
            </w:pPr>
            <w:r w:rsidRPr="00DF6A2D">
              <w:rPr>
                <w:sz w:val="20"/>
                <w:szCs w:val="20"/>
              </w:rPr>
              <w:t>0.11**</w:t>
            </w:r>
          </w:p>
        </w:tc>
        <w:tc>
          <w:tcPr>
            <w:tcW w:w="0" w:type="auto"/>
          </w:tcPr>
          <w:p w14:paraId="1D667747" w14:textId="14980651" w:rsidR="008A2C56" w:rsidRPr="00DF6A2D" w:rsidRDefault="00DF6A2D" w:rsidP="00DF6A2D">
            <w:pPr>
              <w:pStyle w:val="NoSpacing"/>
              <w:rPr>
                <w:sz w:val="20"/>
                <w:szCs w:val="20"/>
              </w:rPr>
            </w:pPr>
            <w:r w:rsidRPr="00DF6A2D">
              <w:rPr>
                <w:sz w:val="20"/>
                <w:szCs w:val="20"/>
              </w:rPr>
              <w:t>0.15**</w:t>
            </w:r>
          </w:p>
        </w:tc>
        <w:tc>
          <w:tcPr>
            <w:tcW w:w="0" w:type="auto"/>
          </w:tcPr>
          <w:p w14:paraId="7EFA9842" w14:textId="19FBCA3F" w:rsidR="008A2C56" w:rsidRPr="00DF6A2D" w:rsidRDefault="00DF6A2D" w:rsidP="00DF6A2D">
            <w:pPr>
              <w:pStyle w:val="NoSpacing"/>
              <w:rPr>
                <w:sz w:val="20"/>
                <w:szCs w:val="20"/>
              </w:rPr>
            </w:pPr>
            <w:r w:rsidRPr="00DF6A2D">
              <w:rPr>
                <w:sz w:val="20"/>
                <w:szCs w:val="20"/>
              </w:rPr>
              <w:t>0.20**</w:t>
            </w:r>
          </w:p>
        </w:tc>
        <w:tc>
          <w:tcPr>
            <w:tcW w:w="0" w:type="auto"/>
          </w:tcPr>
          <w:p w14:paraId="6EB02864" w14:textId="22BDF7A6" w:rsidR="008A2C56" w:rsidRPr="00DF6A2D" w:rsidRDefault="00DF6A2D" w:rsidP="00DF6A2D">
            <w:pPr>
              <w:pStyle w:val="NoSpacing"/>
              <w:rPr>
                <w:sz w:val="20"/>
                <w:szCs w:val="20"/>
              </w:rPr>
            </w:pPr>
            <w:r w:rsidRPr="00DF6A2D">
              <w:rPr>
                <w:sz w:val="20"/>
                <w:szCs w:val="20"/>
              </w:rPr>
              <w:t>0.07**</w:t>
            </w:r>
          </w:p>
        </w:tc>
        <w:tc>
          <w:tcPr>
            <w:tcW w:w="0" w:type="auto"/>
          </w:tcPr>
          <w:p w14:paraId="770A6D73" w14:textId="16C437EA" w:rsidR="008A2C56" w:rsidRPr="00DF6A2D" w:rsidRDefault="00DF6A2D" w:rsidP="00DF6A2D">
            <w:pPr>
              <w:pStyle w:val="NoSpacing"/>
              <w:rPr>
                <w:sz w:val="20"/>
                <w:szCs w:val="20"/>
              </w:rPr>
            </w:pPr>
            <w:r w:rsidRPr="00DF6A2D">
              <w:rPr>
                <w:sz w:val="20"/>
                <w:szCs w:val="20"/>
              </w:rPr>
              <w:t>0.12**</w:t>
            </w:r>
          </w:p>
        </w:tc>
        <w:tc>
          <w:tcPr>
            <w:tcW w:w="0" w:type="auto"/>
          </w:tcPr>
          <w:p w14:paraId="6615CEFC" w14:textId="77777777" w:rsidR="008A2C56" w:rsidRPr="00DF6A2D" w:rsidRDefault="008A2C56" w:rsidP="00DF6A2D">
            <w:pPr>
              <w:pStyle w:val="NoSpacing"/>
              <w:rPr>
                <w:sz w:val="20"/>
                <w:szCs w:val="20"/>
              </w:rPr>
            </w:pPr>
          </w:p>
        </w:tc>
        <w:tc>
          <w:tcPr>
            <w:tcW w:w="0" w:type="auto"/>
          </w:tcPr>
          <w:p w14:paraId="6DB27D46" w14:textId="77777777" w:rsidR="008A2C56" w:rsidRPr="00DF6A2D" w:rsidRDefault="008A2C56" w:rsidP="00DF6A2D">
            <w:pPr>
              <w:pStyle w:val="NoSpacing"/>
              <w:rPr>
                <w:sz w:val="20"/>
                <w:szCs w:val="20"/>
              </w:rPr>
            </w:pPr>
          </w:p>
        </w:tc>
      </w:tr>
      <w:tr w:rsidR="00DF6A2D" w:rsidRPr="00DF6A2D" w14:paraId="0D2C7284" w14:textId="77777777" w:rsidTr="00DF6A2D">
        <w:tc>
          <w:tcPr>
            <w:tcW w:w="0" w:type="auto"/>
          </w:tcPr>
          <w:p w14:paraId="28E16C81" w14:textId="216A28D3" w:rsidR="008A2C56" w:rsidRPr="00DF6A2D" w:rsidRDefault="00180861" w:rsidP="00DF6A2D">
            <w:pPr>
              <w:pStyle w:val="NoSpacing"/>
              <w:rPr>
                <w:sz w:val="20"/>
                <w:szCs w:val="20"/>
              </w:rPr>
            </w:pPr>
            <w:r w:rsidRPr="00DF6A2D">
              <w:rPr>
                <w:sz w:val="20"/>
                <w:szCs w:val="20"/>
              </w:rPr>
              <w:t>19. Coach</w:t>
            </w:r>
            <w:r w:rsidR="00DF6A2D" w:rsidRPr="00DF6A2D">
              <w:rPr>
                <w:sz w:val="20"/>
                <w:szCs w:val="20"/>
              </w:rPr>
              <w:t xml:space="preserve"> </w:t>
            </w:r>
            <w:r w:rsidRPr="00DF6A2D">
              <w:rPr>
                <w:sz w:val="20"/>
                <w:szCs w:val="20"/>
              </w:rPr>
              <w:t>reputational</w:t>
            </w:r>
            <w:r w:rsidR="00DF6A2D" w:rsidRPr="00DF6A2D">
              <w:rPr>
                <w:sz w:val="20"/>
                <w:szCs w:val="20"/>
              </w:rPr>
              <w:t xml:space="preserve"> </w:t>
            </w:r>
            <w:r w:rsidRPr="00DF6A2D">
              <w:rPr>
                <w:sz w:val="20"/>
                <w:szCs w:val="20"/>
              </w:rPr>
              <w:t>capital</w:t>
            </w:r>
          </w:p>
        </w:tc>
        <w:tc>
          <w:tcPr>
            <w:tcW w:w="0" w:type="auto"/>
          </w:tcPr>
          <w:p w14:paraId="6B0C6408" w14:textId="7F90EF8D" w:rsidR="008A2C56" w:rsidRPr="00DF6A2D" w:rsidRDefault="00DF6A2D" w:rsidP="00DF6A2D">
            <w:pPr>
              <w:pStyle w:val="NoSpacing"/>
              <w:rPr>
                <w:sz w:val="20"/>
                <w:szCs w:val="20"/>
              </w:rPr>
            </w:pPr>
            <w:r w:rsidRPr="00DF6A2D">
              <w:rPr>
                <w:sz w:val="20"/>
                <w:szCs w:val="20"/>
              </w:rPr>
              <w:t>2.64</w:t>
            </w:r>
          </w:p>
        </w:tc>
        <w:tc>
          <w:tcPr>
            <w:tcW w:w="0" w:type="auto"/>
          </w:tcPr>
          <w:p w14:paraId="55667892" w14:textId="24405CF1" w:rsidR="008A2C56" w:rsidRPr="00DF6A2D" w:rsidRDefault="00DF6A2D" w:rsidP="00DF6A2D">
            <w:pPr>
              <w:pStyle w:val="NoSpacing"/>
              <w:rPr>
                <w:sz w:val="20"/>
                <w:szCs w:val="20"/>
              </w:rPr>
            </w:pPr>
            <w:r w:rsidRPr="00DF6A2D">
              <w:rPr>
                <w:sz w:val="20"/>
                <w:szCs w:val="20"/>
              </w:rPr>
              <w:t>3.79</w:t>
            </w:r>
          </w:p>
        </w:tc>
        <w:tc>
          <w:tcPr>
            <w:tcW w:w="0" w:type="auto"/>
          </w:tcPr>
          <w:p w14:paraId="572C6802" w14:textId="1373FA15" w:rsidR="008A2C56" w:rsidRPr="00DF6A2D" w:rsidRDefault="00DF6A2D" w:rsidP="00DF6A2D">
            <w:pPr>
              <w:pStyle w:val="NoSpacing"/>
              <w:rPr>
                <w:sz w:val="20"/>
                <w:szCs w:val="20"/>
              </w:rPr>
            </w:pPr>
            <w:r w:rsidRPr="00DF6A2D">
              <w:rPr>
                <w:sz w:val="20"/>
                <w:szCs w:val="20"/>
              </w:rPr>
              <w:t>0</w:t>
            </w:r>
          </w:p>
        </w:tc>
        <w:tc>
          <w:tcPr>
            <w:tcW w:w="0" w:type="auto"/>
          </w:tcPr>
          <w:p w14:paraId="5D9EEEF0" w14:textId="7472CF9E" w:rsidR="008A2C56" w:rsidRPr="00DF6A2D" w:rsidRDefault="00DF6A2D" w:rsidP="00DF6A2D">
            <w:pPr>
              <w:pStyle w:val="NoSpacing"/>
              <w:rPr>
                <w:sz w:val="20"/>
                <w:szCs w:val="20"/>
              </w:rPr>
            </w:pPr>
            <w:r w:rsidRPr="00DF6A2D">
              <w:rPr>
                <w:sz w:val="20"/>
                <w:szCs w:val="20"/>
              </w:rPr>
              <w:t>25</w:t>
            </w:r>
          </w:p>
        </w:tc>
        <w:tc>
          <w:tcPr>
            <w:tcW w:w="0" w:type="auto"/>
          </w:tcPr>
          <w:p w14:paraId="354161B4" w14:textId="0FFC7E80" w:rsidR="008A2C56" w:rsidRPr="00DF6A2D" w:rsidRDefault="00DF6A2D" w:rsidP="00DF6A2D">
            <w:pPr>
              <w:pStyle w:val="NoSpacing"/>
              <w:rPr>
                <w:sz w:val="20"/>
                <w:szCs w:val="20"/>
              </w:rPr>
            </w:pPr>
            <w:r w:rsidRPr="00DF6A2D">
              <w:rPr>
                <w:sz w:val="20"/>
                <w:szCs w:val="20"/>
              </w:rPr>
              <w:t>-0.09**</w:t>
            </w:r>
          </w:p>
        </w:tc>
        <w:tc>
          <w:tcPr>
            <w:tcW w:w="0" w:type="auto"/>
          </w:tcPr>
          <w:p w14:paraId="284DFB2D" w14:textId="18743A85" w:rsidR="008A2C56" w:rsidRPr="00DF6A2D" w:rsidRDefault="00DF6A2D" w:rsidP="00DF6A2D">
            <w:pPr>
              <w:pStyle w:val="NoSpacing"/>
              <w:rPr>
                <w:sz w:val="20"/>
                <w:szCs w:val="20"/>
              </w:rPr>
            </w:pPr>
            <w:r w:rsidRPr="00DF6A2D">
              <w:rPr>
                <w:sz w:val="20"/>
                <w:szCs w:val="20"/>
              </w:rPr>
              <w:t>0.60**</w:t>
            </w:r>
          </w:p>
        </w:tc>
        <w:tc>
          <w:tcPr>
            <w:tcW w:w="0" w:type="auto"/>
          </w:tcPr>
          <w:p w14:paraId="52A9BD72" w14:textId="609300A8" w:rsidR="008A2C56" w:rsidRPr="00DF6A2D" w:rsidRDefault="00DF6A2D" w:rsidP="00DF6A2D">
            <w:pPr>
              <w:pStyle w:val="NoSpacing"/>
              <w:rPr>
                <w:sz w:val="20"/>
                <w:szCs w:val="20"/>
              </w:rPr>
            </w:pPr>
            <w:r w:rsidRPr="00DF6A2D">
              <w:rPr>
                <w:sz w:val="20"/>
                <w:szCs w:val="20"/>
              </w:rPr>
              <w:t>-0.17**</w:t>
            </w:r>
          </w:p>
        </w:tc>
        <w:tc>
          <w:tcPr>
            <w:tcW w:w="0" w:type="auto"/>
          </w:tcPr>
          <w:p w14:paraId="54D59EEC" w14:textId="00F54ABE" w:rsidR="008A2C56" w:rsidRPr="00DF6A2D" w:rsidRDefault="00DF6A2D" w:rsidP="00DF6A2D">
            <w:pPr>
              <w:pStyle w:val="NoSpacing"/>
              <w:rPr>
                <w:sz w:val="20"/>
                <w:szCs w:val="20"/>
              </w:rPr>
            </w:pPr>
            <w:r w:rsidRPr="00DF6A2D">
              <w:rPr>
                <w:sz w:val="20"/>
                <w:szCs w:val="20"/>
              </w:rPr>
              <w:t>0.01</w:t>
            </w:r>
          </w:p>
        </w:tc>
        <w:tc>
          <w:tcPr>
            <w:tcW w:w="0" w:type="auto"/>
          </w:tcPr>
          <w:p w14:paraId="223E9BC7" w14:textId="67CFD2EE" w:rsidR="008A2C56" w:rsidRPr="00DF6A2D" w:rsidRDefault="00DF6A2D" w:rsidP="00DF6A2D">
            <w:pPr>
              <w:pStyle w:val="NoSpacing"/>
              <w:rPr>
                <w:sz w:val="20"/>
                <w:szCs w:val="20"/>
              </w:rPr>
            </w:pPr>
            <w:r w:rsidRPr="00DF6A2D">
              <w:rPr>
                <w:sz w:val="20"/>
                <w:szCs w:val="20"/>
              </w:rPr>
              <w:t>0.21**</w:t>
            </w:r>
          </w:p>
        </w:tc>
        <w:tc>
          <w:tcPr>
            <w:tcW w:w="0" w:type="auto"/>
          </w:tcPr>
          <w:p w14:paraId="56EAE52D" w14:textId="49122E20" w:rsidR="008A2C56" w:rsidRPr="00DF6A2D" w:rsidRDefault="00DF6A2D" w:rsidP="00DF6A2D">
            <w:pPr>
              <w:pStyle w:val="NoSpacing"/>
              <w:rPr>
                <w:sz w:val="20"/>
                <w:szCs w:val="20"/>
              </w:rPr>
            </w:pPr>
            <w:r w:rsidRPr="00DF6A2D">
              <w:rPr>
                <w:sz w:val="20"/>
                <w:szCs w:val="20"/>
              </w:rPr>
              <w:t>0.06*</w:t>
            </w:r>
          </w:p>
        </w:tc>
        <w:tc>
          <w:tcPr>
            <w:tcW w:w="0" w:type="auto"/>
          </w:tcPr>
          <w:p w14:paraId="0C66DEEB" w14:textId="3D1F7098" w:rsidR="008A2C56" w:rsidRPr="00DF6A2D" w:rsidRDefault="00DF6A2D" w:rsidP="00DF6A2D">
            <w:pPr>
              <w:pStyle w:val="NoSpacing"/>
              <w:rPr>
                <w:sz w:val="20"/>
                <w:szCs w:val="20"/>
              </w:rPr>
            </w:pPr>
            <w:r w:rsidRPr="00DF6A2D">
              <w:rPr>
                <w:sz w:val="20"/>
                <w:szCs w:val="20"/>
              </w:rPr>
              <w:t>-0.01</w:t>
            </w:r>
          </w:p>
        </w:tc>
        <w:tc>
          <w:tcPr>
            <w:tcW w:w="0" w:type="auto"/>
          </w:tcPr>
          <w:p w14:paraId="6182A29A" w14:textId="4FF140CF" w:rsidR="008A2C56" w:rsidRPr="00DF6A2D" w:rsidRDefault="00DF6A2D" w:rsidP="00DF6A2D">
            <w:pPr>
              <w:pStyle w:val="NoSpacing"/>
              <w:rPr>
                <w:sz w:val="20"/>
                <w:szCs w:val="20"/>
              </w:rPr>
            </w:pPr>
            <w:r w:rsidRPr="00DF6A2D">
              <w:rPr>
                <w:sz w:val="20"/>
                <w:szCs w:val="20"/>
              </w:rPr>
              <w:t>0.56**</w:t>
            </w:r>
          </w:p>
        </w:tc>
        <w:tc>
          <w:tcPr>
            <w:tcW w:w="0" w:type="auto"/>
          </w:tcPr>
          <w:p w14:paraId="6BA4E7DA" w14:textId="5D4E3C7D" w:rsidR="008A2C56" w:rsidRPr="00DF6A2D" w:rsidRDefault="00DF6A2D" w:rsidP="00DF6A2D">
            <w:pPr>
              <w:pStyle w:val="NoSpacing"/>
              <w:rPr>
                <w:sz w:val="20"/>
                <w:szCs w:val="20"/>
              </w:rPr>
            </w:pPr>
            <w:r w:rsidRPr="00DF6A2D">
              <w:rPr>
                <w:sz w:val="20"/>
                <w:szCs w:val="20"/>
              </w:rPr>
              <w:t>0.49**</w:t>
            </w:r>
          </w:p>
        </w:tc>
        <w:tc>
          <w:tcPr>
            <w:tcW w:w="0" w:type="auto"/>
          </w:tcPr>
          <w:p w14:paraId="305F8457" w14:textId="77C5C30D" w:rsidR="008A2C56" w:rsidRPr="00DF6A2D" w:rsidRDefault="00DF6A2D" w:rsidP="00DF6A2D">
            <w:pPr>
              <w:pStyle w:val="NoSpacing"/>
              <w:rPr>
                <w:sz w:val="20"/>
                <w:szCs w:val="20"/>
              </w:rPr>
            </w:pPr>
            <w:r w:rsidRPr="00DF6A2D">
              <w:rPr>
                <w:sz w:val="20"/>
                <w:szCs w:val="20"/>
              </w:rPr>
              <w:t>0.58**</w:t>
            </w:r>
          </w:p>
        </w:tc>
        <w:tc>
          <w:tcPr>
            <w:tcW w:w="0" w:type="auto"/>
          </w:tcPr>
          <w:p w14:paraId="5B64D80B" w14:textId="70CC00EA" w:rsidR="008A2C56" w:rsidRPr="00DF6A2D" w:rsidRDefault="00DF6A2D" w:rsidP="00DF6A2D">
            <w:pPr>
              <w:pStyle w:val="NoSpacing"/>
              <w:rPr>
                <w:sz w:val="20"/>
                <w:szCs w:val="20"/>
              </w:rPr>
            </w:pPr>
            <w:r w:rsidRPr="00DF6A2D">
              <w:rPr>
                <w:sz w:val="20"/>
                <w:szCs w:val="20"/>
              </w:rPr>
              <w:t>0.24**</w:t>
            </w:r>
          </w:p>
        </w:tc>
        <w:tc>
          <w:tcPr>
            <w:tcW w:w="0" w:type="auto"/>
          </w:tcPr>
          <w:p w14:paraId="46C1010D" w14:textId="7C572EB1" w:rsidR="008A2C56" w:rsidRPr="00DF6A2D" w:rsidRDefault="00DF6A2D" w:rsidP="00DF6A2D">
            <w:pPr>
              <w:pStyle w:val="NoSpacing"/>
              <w:rPr>
                <w:sz w:val="20"/>
                <w:szCs w:val="20"/>
              </w:rPr>
            </w:pPr>
            <w:r w:rsidRPr="00DF6A2D">
              <w:rPr>
                <w:sz w:val="20"/>
                <w:szCs w:val="20"/>
              </w:rPr>
              <w:t>0.54**</w:t>
            </w:r>
          </w:p>
        </w:tc>
        <w:tc>
          <w:tcPr>
            <w:tcW w:w="0" w:type="auto"/>
          </w:tcPr>
          <w:p w14:paraId="75522E81" w14:textId="7C164DCE" w:rsidR="008A2C56" w:rsidRPr="00DF6A2D" w:rsidRDefault="00DF6A2D" w:rsidP="00DF6A2D">
            <w:pPr>
              <w:pStyle w:val="NoSpacing"/>
              <w:rPr>
                <w:sz w:val="20"/>
                <w:szCs w:val="20"/>
              </w:rPr>
            </w:pPr>
            <w:r w:rsidRPr="00DF6A2D">
              <w:rPr>
                <w:sz w:val="20"/>
                <w:szCs w:val="20"/>
              </w:rPr>
              <w:t>0.37**</w:t>
            </w:r>
          </w:p>
        </w:tc>
        <w:tc>
          <w:tcPr>
            <w:tcW w:w="0" w:type="auto"/>
          </w:tcPr>
          <w:p w14:paraId="6CCF0272" w14:textId="642E1B3F" w:rsidR="008A2C56" w:rsidRPr="00DF6A2D" w:rsidRDefault="00DF6A2D" w:rsidP="00DF6A2D">
            <w:pPr>
              <w:pStyle w:val="NoSpacing"/>
              <w:rPr>
                <w:sz w:val="20"/>
                <w:szCs w:val="20"/>
              </w:rPr>
            </w:pPr>
            <w:r w:rsidRPr="00DF6A2D">
              <w:rPr>
                <w:sz w:val="20"/>
                <w:szCs w:val="20"/>
              </w:rPr>
              <w:t>0.38**</w:t>
            </w:r>
          </w:p>
        </w:tc>
        <w:tc>
          <w:tcPr>
            <w:tcW w:w="0" w:type="auto"/>
          </w:tcPr>
          <w:p w14:paraId="5C9DCBB8" w14:textId="37B4AACF" w:rsidR="008A2C56" w:rsidRPr="00DF6A2D" w:rsidRDefault="00DF6A2D" w:rsidP="00DF6A2D">
            <w:pPr>
              <w:pStyle w:val="NoSpacing"/>
              <w:rPr>
                <w:sz w:val="20"/>
                <w:szCs w:val="20"/>
              </w:rPr>
            </w:pPr>
            <w:r w:rsidRPr="00DF6A2D">
              <w:rPr>
                <w:sz w:val="20"/>
                <w:szCs w:val="20"/>
              </w:rPr>
              <w:t>0.34**</w:t>
            </w:r>
          </w:p>
        </w:tc>
        <w:tc>
          <w:tcPr>
            <w:tcW w:w="0" w:type="auto"/>
          </w:tcPr>
          <w:p w14:paraId="2C9D38DF" w14:textId="37986190" w:rsidR="008A2C56" w:rsidRPr="00DF6A2D" w:rsidRDefault="00DF6A2D" w:rsidP="00DF6A2D">
            <w:pPr>
              <w:pStyle w:val="NoSpacing"/>
              <w:rPr>
                <w:sz w:val="20"/>
                <w:szCs w:val="20"/>
              </w:rPr>
            </w:pPr>
            <w:r w:rsidRPr="00DF6A2D">
              <w:rPr>
                <w:sz w:val="20"/>
                <w:szCs w:val="20"/>
              </w:rPr>
              <w:t>0.34**</w:t>
            </w:r>
          </w:p>
        </w:tc>
        <w:tc>
          <w:tcPr>
            <w:tcW w:w="0" w:type="auto"/>
          </w:tcPr>
          <w:p w14:paraId="269B937D" w14:textId="7303017E" w:rsidR="008A2C56" w:rsidRPr="00DF6A2D" w:rsidRDefault="00DF6A2D" w:rsidP="00DF6A2D">
            <w:pPr>
              <w:pStyle w:val="NoSpacing"/>
              <w:rPr>
                <w:sz w:val="20"/>
                <w:szCs w:val="20"/>
              </w:rPr>
            </w:pPr>
            <w:r w:rsidRPr="00DF6A2D">
              <w:rPr>
                <w:sz w:val="20"/>
                <w:szCs w:val="20"/>
              </w:rPr>
              <w:t>0.45**</w:t>
            </w:r>
          </w:p>
        </w:tc>
        <w:tc>
          <w:tcPr>
            <w:tcW w:w="0" w:type="auto"/>
          </w:tcPr>
          <w:p w14:paraId="3975D909" w14:textId="279F1533" w:rsidR="008A2C56" w:rsidRPr="00DF6A2D" w:rsidRDefault="00DF6A2D" w:rsidP="00DF6A2D">
            <w:pPr>
              <w:pStyle w:val="NoSpacing"/>
              <w:rPr>
                <w:sz w:val="20"/>
                <w:szCs w:val="20"/>
              </w:rPr>
            </w:pPr>
            <w:r w:rsidRPr="00DF6A2D">
              <w:rPr>
                <w:sz w:val="20"/>
                <w:szCs w:val="20"/>
              </w:rPr>
              <w:t>0.20**</w:t>
            </w:r>
          </w:p>
        </w:tc>
        <w:tc>
          <w:tcPr>
            <w:tcW w:w="0" w:type="auto"/>
          </w:tcPr>
          <w:p w14:paraId="7913F1B4" w14:textId="77777777" w:rsidR="008A2C56" w:rsidRPr="00DF6A2D" w:rsidRDefault="008A2C56" w:rsidP="00DF6A2D">
            <w:pPr>
              <w:pStyle w:val="NoSpacing"/>
              <w:rPr>
                <w:sz w:val="20"/>
                <w:szCs w:val="20"/>
              </w:rPr>
            </w:pPr>
          </w:p>
        </w:tc>
      </w:tr>
      <w:tr w:rsidR="00DF6A2D" w:rsidRPr="00DF6A2D" w14:paraId="0539FCD1" w14:textId="77777777" w:rsidTr="00DF6A2D">
        <w:tc>
          <w:tcPr>
            <w:tcW w:w="0" w:type="auto"/>
          </w:tcPr>
          <w:p w14:paraId="093F6691" w14:textId="77777777" w:rsidR="00180861" w:rsidRPr="00DF6A2D" w:rsidRDefault="00180861" w:rsidP="00DF6A2D">
            <w:pPr>
              <w:pStyle w:val="NoSpacing"/>
              <w:rPr>
                <w:sz w:val="20"/>
                <w:szCs w:val="20"/>
              </w:rPr>
            </w:pPr>
            <w:r w:rsidRPr="00DF6A2D">
              <w:rPr>
                <w:sz w:val="20"/>
                <w:szCs w:val="20"/>
              </w:rPr>
              <w:t>20. Private</w:t>
            </w:r>
          </w:p>
          <w:p w14:paraId="373570D0" w14:textId="1CEA098D" w:rsidR="00726832" w:rsidRPr="00DF6A2D" w:rsidRDefault="00180861" w:rsidP="00DF6A2D">
            <w:pPr>
              <w:pStyle w:val="NoSpacing"/>
              <w:rPr>
                <w:sz w:val="20"/>
                <w:szCs w:val="20"/>
              </w:rPr>
            </w:pPr>
            <w:r w:rsidRPr="00DF6A2D">
              <w:rPr>
                <w:sz w:val="20"/>
                <w:szCs w:val="20"/>
              </w:rPr>
              <w:t>university</w:t>
            </w:r>
          </w:p>
        </w:tc>
        <w:tc>
          <w:tcPr>
            <w:tcW w:w="0" w:type="auto"/>
          </w:tcPr>
          <w:p w14:paraId="1835B03C" w14:textId="45FACCE3" w:rsidR="00726832" w:rsidRPr="00DF6A2D" w:rsidRDefault="00DF6A2D" w:rsidP="00DF6A2D">
            <w:pPr>
              <w:pStyle w:val="NoSpacing"/>
              <w:rPr>
                <w:sz w:val="20"/>
                <w:szCs w:val="20"/>
              </w:rPr>
            </w:pPr>
            <w:r w:rsidRPr="00DF6A2D">
              <w:rPr>
                <w:sz w:val="20"/>
                <w:szCs w:val="20"/>
              </w:rPr>
              <w:t>0.33</w:t>
            </w:r>
          </w:p>
        </w:tc>
        <w:tc>
          <w:tcPr>
            <w:tcW w:w="0" w:type="auto"/>
          </w:tcPr>
          <w:p w14:paraId="5EB6AB03" w14:textId="7E60D2C8" w:rsidR="00726832" w:rsidRPr="00DF6A2D" w:rsidRDefault="00DF6A2D" w:rsidP="00DF6A2D">
            <w:pPr>
              <w:pStyle w:val="NoSpacing"/>
              <w:rPr>
                <w:sz w:val="20"/>
                <w:szCs w:val="20"/>
              </w:rPr>
            </w:pPr>
            <w:r w:rsidRPr="00DF6A2D">
              <w:rPr>
                <w:sz w:val="20"/>
                <w:szCs w:val="20"/>
              </w:rPr>
              <w:t>0.47</w:t>
            </w:r>
          </w:p>
        </w:tc>
        <w:tc>
          <w:tcPr>
            <w:tcW w:w="0" w:type="auto"/>
          </w:tcPr>
          <w:p w14:paraId="20CB7B4B" w14:textId="6E83D818" w:rsidR="00726832" w:rsidRPr="00DF6A2D" w:rsidRDefault="00DF6A2D" w:rsidP="00DF6A2D">
            <w:pPr>
              <w:pStyle w:val="NoSpacing"/>
              <w:rPr>
                <w:sz w:val="20"/>
                <w:szCs w:val="20"/>
              </w:rPr>
            </w:pPr>
            <w:r w:rsidRPr="00DF6A2D">
              <w:rPr>
                <w:sz w:val="20"/>
                <w:szCs w:val="20"/>
              </w:rPr>
              <w:t>0</w:t>
            </w:r>
          </w:p>
        </w:tc>
        <w:tc>
          <w:tcPr>
            <w:tcW w:w="0" w:type="auto"/>
          </w:tcPr>
          <w:p w14:paraId="3945A09F" w14:textId="0DDFCFD0" w:rsidR="00726832" w:rsidRPr="00DF6A2D" w:rsidRDefault="00DF6A2D" w:rsidP="00DF6A2D">
            <w:pPr>
              <w:pStyle w:val="NoSpacing"/>
              <w:rPr>
                <w:sz w:val="20"/>
                <w:szCs w:val="20"/>
              </w:rPr>
            </w:pPr>
            <w:r w:rsidRPr="00DF6A2D">
              <w:rPr>
                <w:sz w:val="20"/>
                <w:szCs w:val="20"/>
              </w:rPr>
              <w:t>1</w:t>
            </w:r>
          </w:p>
        </w:tc>
        <w:tc>
          <w:tcPr>
            <w:tcW w:w="0" w:type="auto"/>
          </w:tcPr>
          <w:p w14:paraId="3F2FCC54" w14:textId="36886D1E" w:rsidR="00726832" w:rsidRPr="00DF6A2D" w:rsidRDefault="00DF6A2D" w:rsidP="00DF6A2D">
            <w:pPr>
              <w:pStyle w:val="NoSpacing"/>
              <w:rPr>
                <w:sz w:val="20"/>
                <w:szCs w:val="20"/>
              </w:rPr>
            </w:pPr>
            <w:r w:rsidRPr="00DF6A2D">
              <w:rPr>
                <w:sz w:val="20"/>
                <w:szCs w:val="20"/>
              </w:rPr>
              <w:t>-0.01</w:t>
            </w:r>
          </w:p>
        </w:tc>
        <w:tc>
          <w:tcPr>
            <w:tcW w:w="0" w:type="auto"/>
          </w:tcPr>
          <w:p w14:paraId="27BE80D1" w14:textId="571BF208" w:rsidR="00726832" w:rsidRPr="00DF6A2D" w:rsidRDefault="00DF6A2D" w:rsidP="00DF6A2D">
            <w:pPr>
              <w:pStyle w:val="NoSpacing"/>
              <w:rPr>
                <w:sz w:val="20"/>
                <w:szCs w:val="20"/>
              </w:rPr>
            </w:pPr>
            <w:r w:rsidRPr="00DF6A2D">
              <w:rPr>
                <w:sz w:val="20"/>
                <w:szCs w:val="20"/>
              </w:rPr>
              <w:t>0.14**</w:t>
            </w:r>
          </w:p>
        </w:tc>
        <w:tc>
          <w:tcPr>
            <w:tcW w:w="0" w:type="auto"/>
          </w:tcPr>
          <w:p w14:paraId="5260A4A5" w14:textId="6AB2860D" w:rsidR="00726832" w:rsidRPr="00DF6A2D" w:rsidRDefault="00DF6A2D" w:rsidP="00DF6A2D">
            <w:pPr>
              <w:pStyle w:val="NoSpacing"/>
              <w:rPr>
                <w:sz w:val="20"/>
                <w:szCs w:val="20"/>
              </w:rPr>
            </w:pPr>
            <w:r w:rsidRPr="00DF6A2D">
              <w:rPr>
                <w:sz w:val="20"/>
                <w:szCs w:val="20"/>
              </w:rPr>
              <w:t>-0.01</w:t>
            </w:r>
          </w:p>
        </w:tc>
        <w:tc>
          <w:tcPr>
            <w:tcW w:w="0" w:type="auto"/>
          </w:tcPr>
          <w:p w14:paraId="60993C29" w14:textId="7678A09C" w:rsidR="00726832" w:rsidRPr="00DF6A2D" w:rsidRDefault="00DF6A2D" w:rsidP="00DF6A2D">
            <w:pPr>
              <w:pStyle w:val="NoSpacing"/>
              <w:rPr>
                <w:sz w:val="20"/>
                <w:szCs w:val="20"/>
              </w:rPr>
            </w:pPr>
            <w:r w:rsidRPr="00DF6A2D">
              <w:rPr>
                <w:sz w:val="20"/>
                <w:szCs w:val="20"/>
              </w:rPr>
              <w:t>0.04</w:t>
            </w:r>
          </w:p>
        </w:tc>
        <w:tc>
          <w:tcPr>
            <w:tcW w:w="0" w:type="auto"/>
          </w:tcPr>
          <w:p w14:paraId="71A5D226" w14:textId="107C44CA" w:rsidR="00726832" w:rsidRPr="00DF6A2D" w:rsidRDefault="00DF6A2D" w:rsidP="00DF6A2D">
            <w:pPr>
              <w:pStyle w:val="NoSpacing"/>
              <w:rPr>
                <w:sz w:val="20"/>
                <w:szCs w:val="20"/>
              </w:rPr>
            </w:pPr>
            <w:r w:rsidRPr="00DF6A2D">
              <w:rPr>
                <w:sz w:val="20"/>
                <w:szCs w:val="20"/>
              </w:rPr>
              <w:t>-0.47**</w:t>
            </w:r>
          </w:p>
        </w:tc>
        <w:tc>
          <w:tcPr>
            <w:tcW w:w="0" w:type="auto"/>
          </w:tcPr>
          <w:p w14:paraId="017BF32B" w14:textId="69602BAF" w:rsidR="00726832" w:rsidRPr="00DF6A2D" w:rsidRDefault="00DF6A2D" w:rsidP="00DF6A2D">
            <w:pPr>
              <w:pStyle w:val="NoSpacing"/>
              <w:rPr>
                <w:sz w:val="20"/>
                <w:szCs w:val="20"/>
              </w:rPr>
            </w:pPr>
            <w:r w:rsidRPr="00DF6A2D">
              <w:rPr>
                <w:sz w:val="20"/>
                <w:szCs w:val="20"/>
              </w:rPr>
              <w:t>-0.07**</w:t>
            </w:r>
          </w:p>
        </w:tc>
        <w:tc>
          <w:tcPr>
            <w:tcW w:w="0" w:type="auto"/>
          </w:tcPr>
          <w:p w14:paraId="0B2C79BD" w14:textId="4D6A04D3" w:rsidR="00726832" w:rsidRPr="00DF6A2D" w:rsidRDefault="00DF6A2D" w:rsidP="00DF6A2D">
            <w:pPr>
              <w:pStyle w:val="NoSpacing"/>
              <w:rPr>
                <w:sz w:val="20"/>
                <w:szCs w:val="20"/>
              </w:rPr>
            </w:pPr>
            <w:r w:rsidRPr="00DF6A2D">
              <w:rPr>
                <w:sz w:val="20"/>
                <w:szCs w:val="20"/>
              </w:rPr>
              <w:t>0.12**</w:t>
            </w:r>
          </w:p>
        </w:tc>
        <w:tc>
          <w:tcPr>
            <w:tcW w:w="0" w:type="auto"/>
          </w:tcPr>
          <w:p w14:paraId="4446F538" w14:textId="074565DE" w:rsidR="00726832" w:rsidRPr="00DF6A2D" w:rsidRDefault="00DF6A2D" w:rsidP="00DF6A2D">
            <w:pPr>
              <w:pStyle w:val="NoSpacing"/>
              <w:rPr>
                <w:sz w:val="20"/>
                <w:szCs w:val="20"/>
              </w:rPr>
            </w:pPr>
            <w:r w:rsidRPr="00DF6A2D">
              <w:rPr>
                <w:sz w:val="20"/>
                <w:szCs w:val="20"/>
              </w:rPr>
              <w:t>0.03</w:t>
            </w:r>
          </w:p>
        </w:tc>
        <w:tc>
          <w:tcPr>
            <w:tcW w:w="0" w:type="auto"/>
          </w:tcPr>
          <w:p w14:paraId="713A351A" w14:textId="3C65F555" w:rsidR="00726832" w:rsidRPr="00DF6A2D" w:rsidRDefault="00DF6A2D" w:rsidP="00DF6A2D">
            <w:pPr>
              <w:pStyle w:val="NoSpacing"/>
              <w:rPr>
                <w:sz w:val="20"/>
                <w:szCs w:val="20"/>
              </w:rPr>
            </w:pPr>
            <w:r w:rsidRPr="00DF6A2D">
              <w:rPr>
                <w:sz w:val="20"/>
                <w:szCs w:val="20"/>
              </w:rPr>
              <w:t>-0.05*</w:t>
            </w:r>
          </w:p>
        </w:tc>
        <w:tc>
          <w:tcPr>
            <w:tcW w:w="0" w:type="auto"/>
          </w:tcPr>
          <w:p w14:paraId="6114212D" w14:textId="53C9BAB8" w:rsidR="00726832" w:rsidRPr="00DF6A2D" w:rsidRDefault="00DF6A2D" w:rsidP="00DF6A2D">
            <w:pPr>
              <w:pStyle w:val="NoSpacing"/>
              <w:rPr>
                <w:sz w:val="20"/>
                <w:szCs w:val="20"/>
              </w:rPr>
            </w:pPr>
            <w:r w:rsidRPr="00DF6A2D">
              <w:rPr>
                <w:sz w:val="20"/>
                <w:szCs w:val="20"/>
              </w:rPr>
              <w:t>-0.10**</w:t>
            </w:r>
          </w:p>
        </w:tc>
        <w:tc>
          <w:tcPr>
            <w:tcW w:w="0" w:type="auto"/>
          </w:tcPr>
          <w:p w14:paraId="5C49A991" w14:textId="38CCD816" w:rsidR="00726832" w:rsidRPr="00DF6A2D" w:rsidRDefault="00DF6A2D" w:rsidP="00DF6A2D">
            <w:pPr>
              <w:pStyle w:val="NoSpacing"/>
              <w:rPr>
                <w:sz w:val="20"/>
                <w:szCs w:val="20"/>
              </w:rPr>
            </w:pPr>
            <w:r w:rsidRPr="00DF6A2D">
              <w:rPr>
                <w:sz w:val="20"/>
                <w:szCs w:val="20"/>
              </w:rPr>
              <w:t>-0.22**</w:t>
            </w:r>
          </w:p>
        </w:tc>
        <w:tc>
          <w:tcPr>
            <w:tcW w:w="0" w:type="auto"/>
          </w:tcPr>
          <w:p w14:paraId="10FB00F0" w14:textId="5EBD2AFB" w:rsidR="00726832" w:rsidRPr="00DF6A2D" w:rsidRDefault="00DF6A2D" w:rsidP="00DF6A2D">
            <w:pPr>
              <w:pStyle w:val="NoSpacing"/>
              <w:rPr>
                <w:sz w:val="20"/>
                <w:szCs w:val="20"/>
              </w:rPr>
            </w:pPr>
            <w:r w:rsidRPr="00DF6A2D">
              <w:rPr>
                <w:sz w:val="20"/>
                <w:szCs w:val="20"/>
              </w:rPr>
              <w:t>-0.09**</w:t>
            </w:r>
          </w:p>
        </w:tc>
        <w:tc>
          <w:tcPr>
            <w:tcW w:w="0" w:type="auto"/>
          </w:tcPr>
          <w:p w14:paraId="085FA1D3" w14:textId="08A40A35" w:rsidR="00726832" w:rsidRPr="00DF6A2D" w:rsidRDefault="00DF6A2D" w:rsidP="00DF6A2D">
            <w:pPr>
              <w:pStyle w:val="NoSpacing"/>
              <w:rPr>
                <w:sz w:val="20"/>
                <w:szCs w:val="20"/>
              </w:rPr>
            </w:pPr>
            <w:r w:rsidRPr="00DF6A2D">
              <w:rPr>
                <w:sz w:val="20"/>
                <w:szCs w:val="20"/>
              </w:rPr>
              <w:t>-0.11**</w:t>
            </w:r>
          </w:p>
        </w:tc>
        <w:tc>
          <w:tcPr>
            <w:tcW w:w="0" w:type="auto"/>
          </w:tcPr>
          <w:p w14:paraId="57CFDCB0" w14:textId="1EC2B66C" w:rsidR="00726832" w:rsidRPr="00DF6A2D" w:rsidRDefault="00DF6A2D" w:rsidP="00DF6A2D">
            <w:pPr>
              <w:pStyle w:val="NoSpacing"/>
              <w:rPr>
                <w:sz w:val="20"/>
                <w:szCs w:val="20"/>
              </w:rPr>
            </w:pPr>
            <w:r w:rsidRPr="00DF6A2D">
              <w:rPr>
                <w:sz w:val="20"/>
                <w:szCs w:val="20"/>
              </w:rPr>
              <w:t>-0.11**</w:t>
            </w:r>
          </w:p>
        </w:tc>
        <w:tc>
          <w:tcPr>
            <w:tcW w:w="0" w:type="auto"/>
          </w:tcPr>
          <w:p w14:paraId="5C523F40" w14:textId="0B8770F9" w:rsidR="00726832" w:rsidRPr="00DF6A2D" w:rsidRDefault="00DF6A2D" w:rsidP="00DF6A2D">
            <w:pPr>
              <w:pStyle w:val="NoSpacing"/>
              <w:rPr>
                <w:sz w:val="20"/>
                <w:szCs w:val="20"/>
              </w:rPr>
            </w:pPr>
            <w:r w:rsidRPr="00DF6A2D">
              <w:rPr>
                <w:sz w:val="20"/>
                <w:szCs w:val="20"/>
              </w:rPr>
              <w:t>-0.08**</w:t>
            </w:r>
          </w:p>
        </w:tc>
        <w:tc>
          <w:tcPr>
            <w:tcW w:w="0" w:type="auto"/>
          </w:tcPr>
          <w:p w14:paraId="5A5168FE" w14:textId="71EB7755" w:rsidR="00726832" w:rsidRPr="00DF6A2D" w:rsidRDefault="00DF6A2D" w:rsidP="00DF6A2D">
            <w:pPr>
              <w:pStyle w:val="NoSpacing"/>
              <w:rPr>
                <w:sz w:val="20"/>
                <w:szCs w:val="20"/>
              </w:rPr>
            </w:pPr>
            <w:r w:rsidRPr="00DF6A2D">
              <w:rPr>
                <w:sz w:val="20"/>
                <w:szCs w:val="20"/>
              </w:rPr>
              <w:t>-0.07**</w:t>
            </w:r>
          </w:p>
        </w:tc>
        <w:tc>
          <w:tcPr>
            <w:tcW w:w="0" w:type="auto"/>
          </w:tcPr>
          <w:p w14:paraId="0035C3F3" w14:textId="0CB56D13" w:rsidR="00726832" w:rsidRPr="00DF6A2D" w:rsidRDefault="00DF6A2D" w:rsidP="00DF6A2D">
            <w:pPr>
              <w:pStyle w:val="NoSpacing"/>
              <w:rPr>
                <w:sz w:val="20"/>
                <w:szCs w:val="20"/>
              </w:rPr>
            </w:pPr>
            <w:r w:rsidRPr="00DF6A2D">
              <w:rPr>
                <w:sz w:val="20"/>
                <w:szCs w:val="20"/>
              </w:rPr>
              <w:t>-0.10**</w:t>
            </w:r>
          </w:p>
        </w:tc>
        <w:tc>
          <w:tcPr>
            <w:tcW w:w="0" w:type="auto"/>
          </w:tcPr>
          <w:p w14:paraId="29AAF56E" w14:textId="65B068B6" w:rsidR="00726832" w:rsidRPr="00DF6A2D" w:rsidRDefault="00DF6A2D" w:rsidP="00DF6A2D">
            <w:pPr>
              <w:pStyle w:val="NoSpacing"/>
              <w:rPr>
                <w:sz w:val="20"/>
                <w:szCs w:val="20"/>
              </w:rPr>
            </w:pPr>
            <w:r w:rsidRPr="00DF6A2D">
              <w:rPr>
                <w:sz w:val="20"/>
                <w:szCs w:val="20"/>
              </w:rPr>
              <w:t>-0.06*</w:t>
            </w:r>
          </w:p>
        </w:tc>
        <w:tc>
          <w:tcPr>
            <w:tcW w:w="0" w:type="auto"/>
          </w:tcPr>
          <w:p w14:paraId="1E9640A0" w14:textId="6274F9AE" w:rsidR="00726832" w:rsidRPr="00DF6A2D" w:rsidRDefault="00DF6A2D" w:rsidP="00DF6A2D">
            <w:pPr>
              <w:pStyle w:val="NoSpacing"/>
              <w:rPr>
                <w:sz w:val="20"/>
                <w:szCs w:val="20"/>
              </w:rPr>
            </w:pPr>
            <w:r w:rsidRPr="00DF6A2D">
              <w:rPr>
                <w:sz w:val="20"/>
                <w:szCs w:val="20"/>
              </w:rPr>
              <w:t>-0.06*</w:t>
            </w:r>
          </w:p>
        </w:tc>
      </w:tr>
    </w:tbl>
    <w:p w14:paraId="1D53E0CE" w14:textId="09BAE4FB" w:rsidR="00180861" w:rsidRPr="00180861" w:rsidRDefault="00180861" w:rsidP="00180861">
      <w:pPr>
        <w:pStyle w:val="NoSpacing"/>
      </w:pPr>
      <w:r w:rsidRPr="00180861">
        <w:rPr>
          <w:rFonts w:ascii="AdvGillSans-Italic" w:hAnsi="AdvGillSans-Italic" w:cs="AdvGillSans-Italic"/>
          <w:i/>
          <w:iCs/>
        </w:rPr>
        <w:t xml:space="preserve">Note: N </w:t>
      </w:r>
      <w:r w:rsidR="008D2F65">
        <w:rPr>
          <w:rFonts w:ascii="AdvP4C4E74" w:hAnsi="AdvP4C4E74" w:cs="AdvP4C4E74"/>
        </w:rPr>
        <w:t>=</w:t>
      </w:r>
      <w:r w:rsidRPr="00180861">
        <w:rPr>
          <w:rFonts w:ascii="AdvP4C4E74" w:hAnsi="AdvP4C4E74" w:cs="AdvP4C4E74"/>
        </w:rPr>
        <w:t xml:space="preserve"> </w:t>
      </w:r>
      <w:r w:rsidRPr="00180861">
        <w:t>1768. NCAA: National Collegiate Athletic Association; AD: athletic director; SD: standard deviation.</w:t>
      </w:r>
    </w:p>
    <w:p w14:paraId="2AD87B46" w14:textId="35E3F430" w:rsidR="006144A0" w:rsidRPr="006144A0" w:rsidRDefault="00180861" w:rsidP="00180861">
      <w:pPr>
        <w:pStyle w:val="NoSpacing"/>
      </w:pPr>
      <w:r w:rsidRPr="00180861">
        <w:t>*</w:t>
      </w:r>
      <w:r w:rsidRPr="00180861">
        <w:rPr>
          <w:rFonts w:ascii="AdvGillSans-Italic" w:hAnsi="AdvGillSans-Italic" w:cs="AdvGillSans-Italic"/>
          <w:i/>
          <w:iCs/>
        </w:rPr>
        <w:t xml:space="preserve">p </w:t>
      </w:r>
      <w:r w:rsidRPr="00180861">
        <w:t>&lt; 0.01; **</w:t>
      </w:r>
      <w:r w:rsidRPr="00180861">
        <w:rPr>
          <w:rFonts w:ascii="AdvGillSans-Italic" w:hAnsi="AdvGillSans-Italic" w:cs="AdvGillSans-Italic"/>
          <w:i/>
          <w:iCs/>
        </w:rPr>
        <w:t xml:space="preserve">p </w:t>
      </w:r>
      <w:r w:rsidRPr="00180861">
        <w:t>&lt; 0.05.</w:t>
      </w:r>
    </w:p>
    <w:p w14:paraId="4DFDECCB" w14:textId="61EF2375" w:rsidR="006144A0" w:rsidRPr="006144A0" w:rsidRDefault="006144A0" w:rsidP="006144A0"/>
    <w:p w14:paraId="75038077" w14:textId="77777777" w:rsidR="006144A0" w:rsidRPr="006144A0" w:rsidRDefault="006144A0" w:rsidP="006144A0">
      <w:r w:rsidRPr="006144A0">
        <w:rPr>
          <w:b/>
          <w:bCs/>
        </w:rPr>
        <w:t>Table 3.</w:t>
      </w:r>
      <w:r w:rsidRPr="006144A0">
        <w:t> Event history analysis (dependent variable: coach dismissed during or after season).</w:t>
      </w:r>
    </w:p>
    <w:tbl>
      <w:tblPr>
        <w:tblStyle w:val="TableGrid"/>
        <w:tblW w:w="0" w:type="auto"/>
        <w:tblLook w:val="04A0" w:firstRow="1" w:lastRow="0" w:firstColumn="1" w:lastColumn="0" w:noHBand="0" w:noVBand="1"/>
      </w:tblPr>
      <w:tblGrid>
        <w:gridCol w:w="3966"/>
        <w:gridCol w:w="1719"/>
        <w:gridCol w:w="1719"/>
        <w:gridCol w:w="1718"/>
        <w:gridCol w:w="1718"/>
        <w:gridCol w:w="1718"/>
        <w:gridCol w:w="1718"/>
        <w:gridCol w:w="1718"/>
        <w:gridCol w:w="1718"/>
        <w:gridCol w:w="1718"/>
      </w:tblGrid>
      <w:tr w:rsidR="00DF6A2D" w:rsidRPr="00DF6A2D" w14:paraId="00A7477E" w14:textId="77777777" w:rsidTr="00DF6A2D">
        <w:tc>
          <w:tcPr>
            <w:tcW w:w="0" w:type="auto"/>
          </w:tcPr>
          <w:p w14:paraId="053A1472" w14:textId="77777777" w:rsidR="00DF6A2D" w:rsidRPr="00DF6A2D" w:rsidRDefault="00DF6A2D" w:rsidP="00DF6A2D">
            <w:pPr>
              <w:pStyle w:val="NoSpacing"/>
              <w:rPr>
                <w:rFonts w:cstheme="minorHAnsi"/>
              </w:rPr>
            </w:pPr>
          </w:p>
        </w:tc>
        <w:tc>
          <w:tcPr>
            <w:tcW w:w="0" w:type="auto"/>
          </w:tcPr>
          <w:p w14:paraId="202EFC68" w14:textId="48B63794" w:rsidR="00DF6A2D" w:rsidRPr="00DF6A2D" w:rsidRDefault="00DF6A2D" w:rsidP="00DF6A2D">
            <w:pPr>
              <w:pStyle w:val="NoSpacing"/>
              <w:rPr>
                <w:rFonts w:cstheme="minorHAnsi"/>
              </w:rPr>
            </w:pPr>
            <w:r w:rsidRPr="00DF6A2D">
              <w:rPr>
                <w:rFonts w:cstheme="minorHAnsi"/>
              </w:rPr>
              <w:t>Model 1</w:t>
            </w:r>
          </w:p>
        </w:tc>
        <w:tc>
          <w:tcPr>
            <w:tcW w:w="0" w:type="auto"/>
          </w:tcPr>
          <w:p w14:paraId="4595F4F4" w14:textId="1B5CB55C" w:rsidR="00DF6A2D" w:rsidRPr="00DF6A2D" w:rsidRDefault="00DF6A2D" w:rsidP="00DF6A2D">
            <w:pPr>
              <w:pStyle w:val="NoSpacing"/>
              <w:rPr>
                <w:rFonts w:cstheme="minorHAnsi"/>
              </w:rPr>
            </w:pPr>
            <w:r w:rsidRPr="00DF6A2D">
              <w:rPr>
                <w:rFonts w:cstheme="minorHAnsi"/>
              </w:rPr>
              <w:t>Model 2</w:t>
            </w:r>
          </w:p>
        </w:tc>
        <w:tc>
          <w:tcPr>
            <w:tcW w:w="0" w:type="auto"/>
          </w:tcPr>
          <w:p w14:paraId="24E2FFF2" w14:textId="6C7C6D4D" w:rsidR="00DF6A2D" w:rsidRPr="00DF6A2D" w:rsidRDefault="00DF6A2D" w:rsidP="00DF6A2D">
            <w:pPr>
              <w:pStyle w:val="NoSpacing"/>
              <w:rPr>
                <w:rFonts w:cstheme="minorHAnsi"/>
              </w:rPr>
            </w:pPr>
            <w:r w:rsidRPr="00DF6A2D">
              <w:rPr>
                <w:rFonts w:cstheme="minorHAnsi"/>
              </w:rPr>
              <w:t>Model 3</w:t>
            </w:r>
          </w:p>
        </w:tc>
        <w:tc>
          <w:tcPr>
            <w:tcW w:w="0" w:type="auto"/>
          </w:tcPr>
          <w:p w14:paraId="3381AF72" w14:textId="3AEB8373" w:rsidR="00DF6A2D" w:rsidRPr="00DF6A2D" w:rsidRDefault="00DF6A2D" w:rsidP="00DF6A2D">
            <w:pPr>
              <w:pStyle w:val="NoSpacing"/>
              <w:rPr>
                <w:rFonts w:cstheme="minorHAnsi"/>
              </w:rPr>
            </w:pPr>
            <w:r w:rsidRPr="00DF6A2D">
              <w:rPr>
                <w:rFonts w:cstheme="minorHAnsi"/>
              </w:rPr>
              <w:t>Model 4</w:t>
            </w:r>
          </w:p>
        </w:tc>
        <w:tc>
          <w:tcPr>
            <w:tcW w:w="0" w:type="auto"/>
          </w:tcPr>
          <w:p w14:paraId="11347BAA" w14:textId="2F467D77" w:rsidR="00DF6A2D" w:rsidRPr="00DF6A2D" w:rsidRDefault="00DF6A2D" w:rsidP="00DF6A2D">
            <w:pPr>
              <w:pStyle w:val="NoSpacing"/>
              <w:rPr>
                <w:rFonts w:cstheme="minorHAnsi"/>
              </w:rPr>
            </w:pPr>
            <w:r w:rsidRPr="00DF6A2D">
              <w:rPr>
                <w:rFonts w:cstheme="minorHAnsi"/>
              </w:rPr>
              <w:t>Model 5</w:t>
            </w:r>
          </w:p>
        </w:tc>
        <w:tc>
          <w:tcPr>
            <w:tcW w:w="0" w:type="auto"/>
          </w:tcPr>
          <w:p w14:paraId="2578D4AB" w14:textId="5B7CB555" w:rsidR="00DF6A2D" w:rsidRPr="00DF6A2D" w:rsidRDefault="00DF6A2D" w:rsidP="00DF6A2D">
            <w:pPr>
              <w:pStyle w:val="NoSpacing"/>
              <w:rPr>
                <w:rFonts w:cstheme="minorHAnsi"/>
              </w:rPr>
            </w:pPr>
            <w:r w:rsidRPr="00DF6A2D">
              <w:rPr>
                <w:rFonts w:cstheme="minorHAnsi"/>
              </w:rPr>
              <w:t>Model 6</w:t>
            </w:r>
          </w:p>
        </w:tc>
        <w:tc>
          <w:tcPr>
            <w:tcW w:w="0" w:type="auto"/>
          </w:tcPr>
          <w:p w14:paraId="27836888" w14:textId="7E053FB9" w:rsidR="00DF6A2D" w:rsidRPr="00DF6A2D" w:rsidRDefault="00DF6A2D" w:rsidP="00DF6A2D">
            <w:pPr>
              <w:pStyle w:val="NoSpacing"/>
              <w:rPr>
                <w:rFonts w:cstheme="minorHAnsi"/>
              </w:rPr>
            </w:pPr>
            <w:r w:rsidRPr="00DF6A2D">
              <w:rPr>
                <w:rFonts w:cstheme="minorHAnsi"/>
              </w:rPr>
              <w:t>Model 7</w:t>
            </w:r>
          </w:p>
        </w:tc>
        <w:tc>
          <w:tcPr>
            <w:tcW w:w="0" w:type="auto"/>
          </w:tcPr>
          <w:p w14:paraId="774DFD06" w14:textId="518007B4" w:rsidR="00DF6A2D" w:rsidRPr="00DF6A2D" w:rsidRDefault="00DF6A2D" w:rsidP="00DF6A2D">
            <w:pPr>
              <w:pStyle w:val="NoSpacing"/>
              <w:rPr>
                <w:rFonts w:cstheme="minorHAnsi"/>
              </w:rPr>
            </w:pPr>
            <w:r w:rsidRPr="00DF6A2D">
              <w:rPr>
                <w:rFonts w:cstheme="minorHAnsi"/>
              </w:rPr>
              <w:t>Model 8</w:t>
            </w:r>
          </w:p>
        </w:tc>
        <w:tc>
          <w:tcPr>
            <w:tcW w:w="0" w:type="auto"/>
          </w:tcPr>
          <w:p w14:paraId="05F0C44C" w14:textId="2795A7D8" w:rsidR="00DF6A2D" w:rsidRPr="00DF6A2D" w:rsidRDefault="00DF6A2D" w:rsidP="00DF6A2D">
            <w:pPr>
              <w:pStyle w:val="NoSpacing"/>
              <w:rPr>
                <w:rFonts w:cstheme="minorHAnsi"/>
              </w:rPr>
            </w:pPr>
            <w:r w:rsidRPr="00DF6A2D">
              <w:rPr>
                <w:rFonts w:cstheme="minorHAnsi"/>
              </w:rPr>
              <w:t>Model 9</w:t>
            </w:r>
          </w:p>
        </w:tc>
      </w:tr>
      <w:tr w:rsidR="00DF6A2D" w:rsidRPr="00DF6A2D" w14:paraId="7D29B1B6" w14:textId="77777777" w:rsidTr="00DF6A2D">
        <w:tc>
          <w:tcPr>
            <w:tcW w:w="0" w:type="auto"/>
          </w:tcPr>
          <w:p w14:paraId="2C6E62E0" w14:textId="77944C90" w:rsidR="00DF6A2D" w:rsidRPr="00DF6A2D" w:rsidRDefault="00DF6A2D" w:rsidP="00DF6A2D">
            <w:pPr>
              <w:pStyle w:val="NoSpacing"/>
              <w:rPr>
                <w:rFonts w:cstheme="minorHAnsi"/>
              </w:rPr>
            </w:pPr>
            <w:r w:rsidRPr="00DF6A2D">
              <w:rPr>
                <w:rFonts w:cstheme="minorHAnsi"/>
                <w:i/>
                <w:iCs/>
              </w:rPr>
              <w:t>Independent variables</w:t>
            </w:r>
          </w:p>
        </w:tc>
        <w:tc>
          <w:tcPr>
            <w:tcW w:w="0" w:type="auto"/>
          </w:tcPr>
          <w:p w14:paraId="21D3E466" w14:textId="77777777" w:rsidR="00DF6A2D" w:rsidRPr="00DF6A2D" w:rsidRDefault="00DF6A2D" w:rsidP="00DF6A2D">
            <w:pPr>
              <w:pStyle w:val="NoSpacing"/>
              <w:rPr>
                <w:rFonts w:cstheme="minorHAnsi"/>
              </w:rPr>
            </w:pPr>
          </w:p>
        </w:tc>
        <w:tc>
          <w:tcPr>
            <w:tcW w:w="0" w:type="auto"/>
          </w:tcPr>
          <w:p w14:paraId="58EDE4CC" w14:textId="77777777" w:rsidR="00DF6A2D" w:rsidRPr="00DF6A2D" w:rsidRDefault="00DF6A2D" w:rsidP="00DF6A2D">
            <w:pPr>
              <w:pStyle w:val="NoSpacing"/>
              <w:rPr>
                <w:rFonts w:cstheme="minorHAnsi"/>
              </w:rPr>
            </w:pPr>
          </w:p>
        </w:tc>
        <w:tc>
          <w:tcPr>
            <w:tcW w:w="0" w:type="auto"/>
          </w:tcPr>
          <w:p w14:paraId="396F5019" w14:textId="77777777" w:rsidR="00DF6A2D" w:rsidRPr="00DF6A2D" w:rsidRDefault="00DF6A2D" w:rsidP="00DF6A2D">
            <w:pPr>
              <w:pStyle w:val="NoSpacing"/>
              <w:rPr>
                <w:rFonts w:cstheme="minorHAnsi"/>
              </w:rPr>
            </w:pPr>
          </w:p>
        </w:tc>
        <w:tc>
          <w:tcPr>
            <w:tcW w:w="0" w:type="auto"/>
          </w:tcPr>
          <w:p w14:paraId="7E60931D" w14:textId="77777777" w:rsidR="00DF6A2D" w:rsidRPr="00DF6A2D" w:rsidRDefault="00DF6A2D" w:rsidP="00DF6A2D">
            <w:pPr>
              <w:pStyle w:val="NoSpacing"/>
              <w:rPr>
                <w:rFonts w:cstheme="minorHAnsi"/>
              </w:rPr>
            </w:pPr>
          </w:p>
        </w:tc>
        <w:tc>
          <w:tcPr>
            <w:tcW w:w="0" w:type="auto"/>
          </w:tcPr>
          <w:p w14:paraId="59F8BD0A" w14:textId="77777777" w:rsidR="00DF6A2D" w:rsidRPr="00DF6A2D" w:rsidRDefault="00DF6A2D" w:rsidP="00DF6A2D">
            <w:pPr>
              <w:pStyle w:val="NoSpacing"/>
              <w:rPr>
                <w:rFonts w:cstheme="minorHAnsi"/>
              </w:rPr>
            </w:pPr>
          </w:p>
        </w:tc>
        <w:tc>
          <w:tcPr>
            <w:tcW w:w="0" w:type="auto"/>
          </w:tcPr>
          <w:p w14:paraId="36790C10" w14:textId="77777777" w:rsidR="00DF6A2D" w:rsidRPr="00DF6A2D" w:rsidRDefault="00DF6A2D" w:rsidP="00DF6A2D">
            <w:pPr>
              <w:pStyle w:val="NoSpacing"/>
              <w:rPr>
                <w:rFonts w:cstheme="minorHAnsi"/>
              </w:rPr>
            </w:pPr>
          </w:p>
        </w:tc>
        <w:tc>
          <w:tcPr>
            <w:tcW w:w="0" w:type="auto"/>
          </w:tcPr>
          <w:p w14:paraId="5CD09D13" w14:textId="77777777" w:rsidR="00DF6A2D" w:rsidRPr="00DF6A2D" w:rsidRDefault="00DF6A2D" w:rsidP="00DF6A2D">
            <w:pPr>
              <w:pStyle w:val="NoSpacing"/>
              <w:rPr>
                <w:rFonts w:cstheme="minorHAnsi"/>
              </w:rPr>
            </w:pPr>
          </w:p>
        </w:tc>
        <w:tc>
          <w:tcPr>
            <w:tcW w:w="0" w:type="auto"/>
          </w:tcPr>
          <w:p w14:paraId="4A26C4E2" w14:textId="77777777" w:rsidR="00DF6A2D" w:rsidRPr="00DF6A2D" w:rsidRDefault="00DF6A2D" w:rsidP="00DF6A2D">
            <w:pPr>
              <w:pStyle w:val="NoSpacing"/>
              <w:rPr>
                <w:rFonts w:cstheme="minorHAnsi"/>
              </w:rPr>
            </w:pPr>
          </w:p>
        </w:tc>
        <w:tc>
          <w:tcPr>
            <w:tcW w:w="0" w:type="auto"/>
          </w:tcPr>
          <w:p w14:paraId="4C5BE9EB" w14:textId="77777777" w:rsidR="00DF6A2D" w:rsidRPr="00DF6A2D" w:rsidRDefault="00DF6A2D" w:rsidP="00DF6A2D">
            <w:pPr>
              <w:pStyle w:val="NoSpacing"/>
              <w:rPr>
                <w:rFonts w:cstheme="minorHAnsi"/>
              </w:rPr>
            </w:pPr>
          </w:p>
        </w:tc>
      </w:tr>
      <w:tr w:rsidR="00DF6A2D" w:rsidRPr="00DF6A2D" w14:paraId="539E0C4F" w14:textId="77777777" w:rsidTr="00DF6A2D">
        <w:tc>
          <w:tcPr>
            <w:tcW w:w="0" w:type="auto"/>
          </w:tcPr>
          <w:p w14:paraId="43938F0C" w14:textId="19855174" w:rsidR="00DF6A2D" w:rsidRPr="00DF6A2D" w:rsidRDefault="00DF6A2D" w:rsidP="00DF6A2D">
            <w:pPr>
              <w:pStyle w:val="NoSpacing"/>
              <w:rPr>
                <w:rFonts w:cstheme="minorHAnsi"/>
              </w:rPr>
            </w:pPr>
            <w:r w:rsidRPr="00DF6A2D">
              <w:rPr>
                <w:rFonts w:cstheme="minorHAnsi"/>
              </w:rPr>
              <w:t>Winning percentage</w:t>
            </w:r>
            <w:r w:rsidRPr="00DF6A2D">
              <w:rPr>
                <w:rFonts w:cstheme="minorHAnsi"/>
              </w:rPr>
              <w:t xml:space="preserve"> </w:t>
            </w:r>
            <w:r w:rsidRPr="00DF6A2D">
              <w:rPr>
                <w:rFonts w:cstheme="minorHAnsi"/>
              </w:rPr>
              <w:t xml:space="preserve">(H1) </w:t>
            </w:r>
          </w:p>
        </w:tc>
        <w:tc>
          <w:tcPr>
            <w:tcW w:w="0" w:type="auto"/>
          </w:tcPr>
          <w:p w14:paraId="0EE3A9FC" w14:textId="77777777" w:rsidR="00DF6A2D" w:rsidRPr="00DF6A2D" w:rsidRDefault="00DF6A2D" w:rsidP="00DF6A2D">
            <w:pPr>
              <w:pStyle w:val="NoSpacing"/>
              <w:rPr>
                <w:rFonts w:cstheme="minorHAnsi"/>
              </w:rPr>
            </w:pPr>
          </w:p>
        </w:tc>
        <w:tc>
          <w:tcPr>
            <w:tcW w:w="0" w:type="auto"/>
          </w:tcPr>
          <w:p w14:paraId="4EFCEE3B" w14:textId="53AFE2A8" w:rsidR="00DF6A2D" w:rsidRPr="00DF6A2D" w:rsidRDefault="00DF6A2D" w:rsidP="00DF6A2D">
            <w:pPr>
              <w:pStyle w:val="NoSpacing"/>
              <w:rPr>
                <w:rFonts w:cstheme="minorHAnsi"/>
              </w:rPr>
            </w:pPr>
            <w:r w:rsidRPr="00DF6A2D">
              <w:rPr>
                <w:rFonts w:cstheme="minorHAnsi"/>
              </w:rPr>
              <w:t>-0.064*** (0.006)</w:t>
            </w:r>
          </w:p>
        </w:tc>
        <w:tc>
          <w:tcPr>
            <w:tcW w:w="0" w:type="auto"/>
          </w:tcPr>
          <w:p w14:paraId="584C246D" w14:textId="17D8DD70" w:rsidR="00DF6A2D" w:rsidRPr="00DF6A2D" w:rsidRDefault="00DF6A2D" w:rsidP="00DF6A2D">
            <w:pPr>
              <w:pStyle w:val="NoSpacing"/>
              <w:rPr>
                <w:rFonts w:cstheme="minorHAnsi"/>
              </w:rPr>
            </w:pPr>
            <w:r w:rsidRPr="00DF6A2D">
              <w:rPr>
                <w:rFonts w:cstheme="minorHAnsi"/>
              </w:rPr>
              <w:t>-0.042† (0.025)</w:t>
            </w:r>
          </w:p>
        </w:tc>
        <w:tc>
          <w:tcPr>
            <w:tcW w:w="0" w:type="auto"/>
          </w:tcPr>
          <w:p w14:paraId="7C1E3F03" w14:textId="169916F2" w:rsidR="00DF6A2D" w:rsidRPr="00DF6A2D" w:rsidRDefault="00DF6A2D" w:rsidP="00DF6A2D">
            <w:pPr>
              <w:pStyle w:val="NoSpacing"/>
              <w:rPr>
                <w:rFonts w:cstheme="minorHAnsi"/>
              </w:rPr>
            </w:pPr>
            <w:r w:rsidRPr="00DF6A2D">
              <w:rPr>
                <w:rFonts w:cstheme="minorHAnsi"/>
              </w:rPr>
              <w:t>0.042† (0.025)</w:t>
            </w:r>
          </w:p>
        </w:tc>
        <w:tc>
          <w:tcPr>
            <w:tcW w:w="0" w:type="auto"/>
          </w:tcPr>
          <w:p w14:paraId="2F6458FE" w14:textId="782B89D0" w:rsidR="00DF6A2D" w:rsidRPr="00DF6A2D" w:rsidRDefault="00DF6A2D" w:rsidP="00DF6A2D">
            <w:pPr>
              <w:pStyle w:val="NoSpacing"/>
              <w:rPr>
                <w:rFonts w:cstheme="minorHAnsi"/>
              </w:rPr>
            </w:pPr>
            <w:r w:rsidRPr="00DF6A2D">
              <w:rPr>
                <w:rFonts w:cstheme="minorHAnsi"/>
              </w:rPr>
              <w:t>0.037 (0.025)</w:t>
            </w:r>
          </w:p>
        </w:tc>
        <w:tc>
          <w:tcPr>
            <w:tcW w:w="0" w:type="auto"/>
          </w:tcPr>
          <w:p w14:paraId="37B6C857" w14:textId="0E0265BF" w:rsidR="00DF6A2D" w:rsidRPr="00DF6A2D" w:rsidRDefault="00DF6A2D" w:rsidP="00DF6A2D">
            <w:pPr>
              <w:pStyle w:val="NoSpacing"/>
              <w:rPr>
                <w:rFonts w:cstheme="minorHAnsi"/>
              </w:rPr>
            </w:pPr>
            <w:r w:rsidRPr="00DF6A2D">
              <w:rPr>
                <w:rFonts w:cstheme="minorHAnsi"/>
              </w:rPr>
              <w:t>0.043</w:t>
            </w:r>
            <w:r w:rsidRPr="00DF6A2D">
              <w:rPr>
                <w:rFonts w:cstheme="minorHAnsi"/>
              </w:rPr>
              <w:t>†</w:t>
            </w:r>
            <w:r w:rsidRPr="00DF6A2D">
              <w:rPr>
                <w:rFonts w:cstheme="minorHAnsi"/>
              </w:rPr>
              <w:t xml:space="preserve"> (0.025)</w:t>
            </w:r>
          </w:p>
        </w:tc>
        <w:tc>
          <w:tcPr>
            <w:tcW w:w="0" w:type="auto"/>
          </w:tcPr>
          <w:p w14:paraId="7A3070B1" w14:textId="79890CE7" w:rsidR="00DF6A2D" w:rsidRPr="00DF6A2D" w:rsidRDefault="00DF6A2D" w:rsidP="00DF6A2D">
            <w:pPr>
              <w:pStyle w:val="NoSpacing"/>
              <w:rPr>
                <w:rFonts w:cstheme="minorHAnsi"/>
              </w:rPr>
            </w:pPr>
            <w:r w:rsidRPr="00DF6A2D">
              <w:rPr>
                <w:rFonts w:cstheme="minorHAnsi"/>
              </w:rPr>
              <w:t>0.037 (0.025)</w:t>
            </w:r>
          </w:p>
        </w:tc>
        <w:tc>
          <w:tcPr>
            <w:tcW w:w="0" w:type="auto"/>
          </w:tcPr>
          <w:p w14:paraId="2F603442" w14:textId="77777777" w:rsidR="00DF6A2D" w:rsidRPr="00DF6A2D" w:rsidRDefault="00DF6A2D" w:rsidP="00DF6A2D">
            <w:pPr>
              <w:pStyle w:val="NoSpacing"/>
              <w:rPr>
                <w:rFonts w:cstheme="minorHAnsi"/>
              </w:rPr>
            </w:pPr>
          </w:p>
        </w:tc>
        <w:tc>
          <w:tcPr>
            <w:tcW w:w="0" w:type="auto"/>
          </w:tcPr>
          <w:p w14:paraId="18C1887E" w14:textId="77777777" w:rsidR="00DF6A2D" w:rsidRPr="00DF6A2D" w:rsidRDefault="00DF6A2D" w:rsidP="00DF6A2D">
            <w:pPr>
              <w:pStyle w:val="NoSpacing"/>
              <w:rPr>
                <w:rFonts w:cstheme="minorHAnsi"/>
              </w:rPr>
            </w:pPr>
          </w:p>
        </w:tc>
      </w:tr>
      <w:tr w:rsidR="00DF6A2D" w:rsidRPr="00DF6A2D" w14:paraId="68DF54DF" w14:textId="77777777" w:rsidTr="00DF6A2D">
        <w:tc>
          <w:tcPr>
            <w:tcW w:w="0" w:type="auto"/>
          </w:tcPr>
          <w:p w14:paraId="714B17ED" w14:textId="13FE1612" w:rsidR="00DF6A2D" w:rsidRPr="00DF6A2D" w:rsidRDefault="00DF6A2D" w:rsidP="00DF6A2D">
            <w:pPr>
              <w:pStyle w:val="NoSpacing"/>
              <w:rPr>
                <w:rFonts w:cstheme="minorHAnsi"/>
              </w:rPr>
            </w:pPr>
            <w:r w:rsidRPr="00DF6A2D">
              <w:rPr>
                <w:rFonts w:cstheme="minorHAnsi"/>
              </w:rPr>
              <w:t xml:space="preserve">Winning percentage–squared (H1)  </w:t>
            </w:r>
          </w:p>
        </w:tc>
        <w:tc>
          <w:tcPr>
            <w:tcW w:w="0" w:type="auto"/>
          </w:tcPr>
          <w:p w14:paraId="68E1C825" w14:textId="77777777" w:rsidR="00DF6A2D" w:rsidRPr="00DF6A2D" w:rsidRDefault="00DF6A2D" w:rsidP="00DF6A2D">
            <w:pPr>
              <w:pStyle w:val="NoSpacing"/>
              <w:rPr>
                <w:rFonts w:cstheme="minorHAnsi"/>
              </w:rPr>
            </w:pPr>
          </w:p>
        </w:tc>
        <w:tc>
          <w:tcPr>
            <w:tcW w:w="0" w:type="auto"/>
          </w:tcPr>
          <w:p w14:paraId="38C826C2" w14:textId="77777777" w:rsidR="00DF6A2D" w:rsidRPr="00DF6A2D" w:rsidRDefault="00DF6A2D" w:rsidP="00DF6A2D">
            <w:pPr>
              <w:pStyle w:val="NoSpacing"/>
              <w:rPr>
                <w:rFonts w:cstheme="minorHAnsi"/>
              </w:rPr>
            </w:pPr>
          </w:p>
        </w:tc>
        <w:tc>
          <w:tcPr>
            <w:tcW w:w="0" w:type="auto"/>
          </w:tcPr>
          <w:p w14:paraId="7183A8DB" w14:textId="41FA8590" w:rsidR="00DF6A2D" w:rsidRPr="00DF6A2D" w:rsidRDefault="00DF6A2D" w:rsidP="00DF6A2D">
            <w:pPr>
              <w:pStyle w:val="NoSpacing"/>
              <w:rPr>
                <w:rFonts w:cstheme="minorHAnsi"/>
              </w:rPr>
            </w:pPr>
            <w:r w:rsidRPr="00DF6A2D">
              <w:rPr>
                <w:rFonts w:cstheme="minorHAnsi"/>
              </w:rPr>
              <w:t>-</w:t>
            </w:r>
            <w:r w:rsidRPr="00DF6A2D">
              <w:rPr>
                <w:rFonts w:cstheme="minorHAnsi"/>
              </w:rPr>
              <w:t>0.001*** (0.000)</w:t>
            </w:r>
          </w:p>
        </w:tc>
        <w:tc>
          <w:tcPr>
            <w:tcW w:w="0" w:type="auto"/>
          </w:tcPr>
          <w:p w14:paraId="62F1C53B" w14:textId="55A3E2F2" w:rsidR="00DF6A2D" w:rsidRPr="00DF6A2D" w:rsidRDefault="00DF6A2D" w:rsidP="00DF6A2D">
            <w:pPr>
              <w:pStyle w:val="NoSpacing"/>
              <w:rPr>
                <w:rFonts w:cstheme="minorHAnsi"/>
              </w:rPr>
            </w:pPr>
            <w:r w:rsidRPr="00DF6A2D">
              <w:rPr>
                <w:rFonts w:cstheme="minorHAnsi"/>
              </w:rPr>
              <w:t>-0.001*** (0.000)</w:t>
            </w:r>
          </w:p>
        </w:tc>
        <w:tc>
          <w:tcPr>
            <w:tcW w:w="0" w:type="auto"/>
          </w:tcPr>
          <w:p w14:paraId="70284305" w14:textId="0541EEEA" w:rsidR="00DF6A2D" w:rsidRPr="00DF6A2D" w:rsidRDefault="00DF6A2D" w:rsidP="00DF6A2D">
            <w:pPr>
              <w:pStyle w:val="NoSpacing"/>
              <w:rPr>
                <w:rFonts w:cstheme="minorHAnsi"/>
              </w:rPr>
            </w:pPr>
            <w:r w:rsidRPr="00DF6A2D">
              <w:rPr>
                <w:rFonts w:cstheme="minorHAnsi"/>
              </w:rPr>
              <w:t>-0.001*** (0.000)</w:t>
            </w:r>
          </w:p>
        </w:tc>
        <w:tc>
          <w:tcPr>
            <w:tcW w:w="0" w:type="auto"/>
          </w:tcPr>
          <w:p w14:paraId="53A007CF" w14:textId="5D278BFA" w:rsidR="00DF6A2D" w:rsidRPr="00DF6A2D" w:rsidRDefault="00DF6A2D" w:rsidP="00DF6A2D">
            <w:pPr>
              <w:pStyle w:val="NoSpacing"/>
              <w:rPr>
                <w:rFonts w:cstheme="minorHAnsi"/>
              </w:rPr>
            </w:pPr>
            <w:r w:rsidRPr="00DF6A2D">
              <w:rPr>
                <w:rFonts w:cstheme="minorHAnsi"/>
              </w:rPr>
              <w:t>-0.001*** (0.000)</w:t>
            </w:r>
          </w:p>
        </w:tc>
        <w:tc>
          <w:tcPr>
            <w:tcW w:w="0" w:type="auto"/>
          </w:tcPr>
          <w:p w14:paraId="3D5866BE" w14:textId="57F5931C" w:rsidR="00DF6A2D" w:rsidRPr="00DF6A2D" w:rsidRDefault="00DF6A2D" w:rsidP="00DF6A2D">
            <w:pPr>
              <w:pStyle w:val="NoSpacing"/>
              <w:rPr>
                <w:rFonts w:cstheme="minorHAnsi"/>
              </w:rPr>
            </w:pPr>
            <w:r w:rsidRPr="00DF6A2D">
              <w:rPr>
                <w:rFonts w:cstheme="minorHAnsi"/>
              </w:rPr>
              <w:t>-0.001*** (0.000)</w:t>
            </w:r>
          </w:p>
        </w:tc>
        <w:tc>
          <w:tcPr>
            <w:tcW w:w="0" w:type="auto"/>
          </w:tcPr>
          <w:p w14:paraId="036A5900" w14:textId="77777777" w:rsidR="00DF6A2D" w:rsidRPr="00DF6A2D" w:rsidRDefault="00DF6A2D" w:rsidP="00DF6A2D">
            <w:pPr>
              <w:pStyle w:val="NoSpacing"/>
              <w:rPr>
                <w:rFonts w:cstheme="minorHAnsi"/>
              </w:rPr>
            </w:pPr>
          </w:p>
        </w:tc>
        <w:tc>
          <w:tcPr>
            <w:tcW w:w="0" w:type="auto"/>
          </w:tcPr>
          <w:p w14:paraId="21E4FD8A" w14:textId="77777777" w:rsidR="00DF6A2D" w:rsidRPr="00DF6A2D" w:rsidRDefault="00DF6A2D" w:rsidP="00DF6A2D">
            <w:pPr>
              <w:pStyle w:val="NoSpacing"/>
              <w:rPr>
                <w:rFonts w:cstheme="minorHAnsi"/>
              </w:rPr>
            </w:pPr>
          </w:p>
        </w:tc>
      </w:tr>
      <w:tr w:rsidR="00DF6A2D" w:rsidRPr="00DF6A2D" w14:paraId="0DECE31B" w14:textId="77777777" w:rsidTr="00DF6A2D">
        <w:tc>
          <w:tcPr>
            <w:tcW w:w="0" w:type="auto"/>
          </w:tcPr>
          <w:p w14:paraId="5AC7E2A0" w14:textId="4DB9B544" w:rsidR="00DF6A2D" w:rsidRPr="00DF6A2D" w:rsidRDefault="00DF6A2D" w:rsidP="00DF6A2D">
            <w:pPr>
              <w:pStyle w:val="NoSpacing"/>
              <w:rPr>
                <w:rFonts w:cstheme="minorHAnsi"/>
              </w:rPr>
            </w:pPr>
            <w:r w:rsidRPr="00DF6A2D">
              <w:rPr>
                <w:rFonts w:cstheme="minorHAnsi"/>
              </w:rPr>
              <w:t xml:space="preserve">AD change (H2) </w:t>
            </w:r>
          </w:p>
        </w:tc>
        <w:tc>
          <w:tcPr>
            <w:tcW w:w="0" w:type="auto"/>
          </w:tcPr>
          <w:p w14:paraId="414DF861" w14:textId="77777777" w:rsidR="00DF6A2D" w:rsidRPr="00DF6A2D" w:rsidRDefault="00DF6A2D" w:rsidP="00DF6A2D">
            <w:pPr>
              <w:pStyle w:val="NoSpacing"/>
              <w:rPr>
                <w:rFonts w:cstheme="minorHAnsi"/>
              </w:rPr>
            </w:pPr>
          </w:p>
        </w:tc>
        <w:tc>
          <w:tcPr>
            <w:tcW w:w="0" w:type="auto"/>
          </w:tcPr>
          <w:p w14:paraId="673E7C6D" w14:textId="77777777" w:rsidR="00DF6A2D" w:rsidRPr="00DF6A2D" w:rsidRDefault="00DF6A2D" w:rsidP="00DF6A2D">
            <w:pPr>
              <w:pStyle w:val="NoSpacing"/>
              <w:rPr>
                <w:rFonts w:cstheme="minorHAnsi"/>
              </w:rPr>
            </w:pPr>
          </w:p>
        </w:tc>
        <w:tc>
          <w:tcPr>
            <w:tcW w:w="0" w:type="auto"/>
          </w:tcPr>
          <w:p w14:paraId="63383D9C" w14:textId="77777777" w:rsidR="00DF6A2D" w:rsidRPr="00DF6A2D" w:rsidRDefault="00DF6A2D" w:rsidP="00DF6A2D">
            <w:pPr>
              <w:pStyle w:val="NoSpacing"/>
              <w:rPr>
                <w:rFonts w:cstheme="minorHAnsi"/>
              </w:rPr>
            </w:pPr>
          </w:p>
        </w:tc>
        <w:tc>
          <w:tcPr>
            <w:tcW w:w="0" w:type="auto"/>
          </w:tcPr>
          <w:p w14:paraId="7FA0659B" w14:textId="686BE2EB" w:rsidR="00DF6A2D" w:rsidRPr="00DF6A2D" w:rsidRDefault="00DF6A2D" w:rsidP="00DF6A2D">
            <w:pPr>
              <w:pStyle w:val="NoSpacing"/>
              <w:rPr>
                <w:rFonts w:cstheme="minorHAnsi"/>
              </w:rPr>
            </w:pPr>
            <w:r w:rsidRPr="00DF6A2D">
              <w:rPr>
                <w:rFonts w:cstheme="minorHAnsi"/>
              </w:rPr>
              <w:t>-0.043 (0.170)</w:t>
            </w:r>
          </w:p>
        </w:tc>
        <w:tc>
          <w:tcPr>
            <w:tcW w:w="0" w:type="auto"/>
          </w:tcPr>
          <w:p w14:paraId="4766E6A4" w14:textId="77777777" w:rsidR="00DF6A2D" w:rsidRPr="00DF6A2D" w:rsidRDefault="00DF6A2D" w:rsidP="00DF6A2D">
            <w:pPr>
              <w:pStyle w:val="NoSpacing"/>
              <w:rPr>
                <w:rFonts w:cstheme="minorHAnsi"/>
              </w:rPr>
            </w:pPr>
          </w:p>
        </w:tc>
        <w:tc>
          <w:tcPr>
            <w:tcW w:w="0" w:type="auto"/>
          </w:tcPr>
          <w:p w14:paraId="51AAFAD1" w14:textId="77777777" w:rsidR="00DF6A2D" w:rsidRPr="00DF6A2D" w:rsidRDefault="00DF6A2D" w:rsidP="00DF6A2D">
            <w:pPr>
              <w:pStyle w:val="NoSpacing"/>
              <w:rPr>
                <w:rFonts w:cstheme="minorHAnsi"/>
              </w:rPr>
            </w:pPr>
          </w:p>
        </w:tc>
        <w:tc>
          <w:tcPr>
            <w:tcW w:w="0" w:type="auto"/>
          </w:tcPr>
          <w:p w14:paraId="27650A94" w14:textId="7A3E0E71" w:rsidR="00DF6A2D" w:rsidRPr="00DF6A2D" w:rsidRDefault="00DF6A2D" w:rsidP="00DF6A2D">
            <w:pPr>
              <w:pStyle w:val="NoSpacing"/>
              <w:rPr>
                <w:rFonts w:cstheme="minorHAnsi"/>
              </w:rPr>
            </w:pPr>
            <w:r w:rsidRPr="00DF6A2D">
              <w:rPr>
                <w:rFonts w:cstheme="minorHAnsi"/>
              </w:rPr>
              <w:t>-0.082 (0.168</w:t>
            </w:r>
            <w:r w:rsidRPr="00DF6A2D">
              <w:rPr>
                <w:rFonts w:cstheme="minorHAnsi"/>
              </w:rPr>
              <w:t>)</w:t>
            </w:r>
          </w:p>
        </w:tc>
        <w:tc>
          <w:tcPr>
            <w:tcW w:w="0" w:type="auto"/>
          </w:tcPr>
          <w:p w14:paraId="6A53A3C2" w14:textId="23D2BC89" w:rsidR="00DF6A2D" w:rsidRPr="00DF6A2D" w:rsidRDefault="00DF6A2D" w:rsidP="00DF6A2D">
            <w:pPr>
              <w:pStyle w:val="NoSpacing"/>
              <w:rPr>
                <w:rFonts w:cstheme="minorHAnsi"/>
              </w:rPr>
            </w:pPr>
            <w:r w:rsidRPr="00DF6A2D">
              <w:rPr>
                <w:rFonts w:cstheme="minorHAnsi"/>
              </w:rPr>
              <w:t>-0.104 (0.168)</w:t>
            </w:r>
          </w:p>
        </w:tc>
        <w:tc>
          <w:tcPr>
            <w:tcW w:w="0" w:type="auto"/>
          </w:tcPr>
          <w:p w14:paraId="25BE3B12" w14:textId="5EC11E70" w:rsidR="00DF6A2D" w:rsidRPr="00DF6A2D" w:rsidRDefault="00DF6A2D" w:rsidP="00DF6A2D">
            <w:pPr>
              <w:pStyle w:val="NoSpacing"/>
              <w:rPr>
                <w:rFonts w:cstheme="minorHAnsi"/>
              </w:rPr>
            </w:pPr>
            <w:r w:rsidRPr="00DF6A2D">
              <w:rPr>
                <w:rFonts w:cstheme="minorHAnsi"/>
              </w:rPr>
              <w:t>-0.029 (0.174)</w:t>
            </w:r>
          </w:p>
        </w:tc>
      </w:tr>
      <w:tr w:rsidR="00DF6A2D" w:rsidRPr="00DF6A2D" w14:paraId="30B92051" w14:textId="77777777" w:rsidTr="00DF6A2D">
        <w:tc>
          <w:tcPr>
            <w:tcW w:w="0" w:type="auto"/>
          </w:tcPr>
          <w:p w14:paraId="53D133D0" w14:textId="0E234B2B" w:rsidR="00DF6A2D" w:rsidRPr="00DF6A2D" w:rsidRDefault="00DF6A2D" w:rsidP="00DF6A2D">
            <w:pPr>
              <w:pStyle w:val="NoSpacing"/>
              <w:rPr>
                <w:rFonts w:cstheme="minorHAnsi"/>
              </w:rPr>
            </w:pPr>
            <w:r w:rsidRPr="00DF6A2D">
              <w:rPr>
                <w:rFonts w:cstheme="minorHAnsi"/>
              </w:rPr>
              <w:t>Coach reputational</w:t>
            </w:r>
            <w:r w:rsidRPr="00DF6A2D">
              <w:rPr>
                <w:rFonts w:cstheme="minorHAnsi"/>
              </w:rPr>
              <w:t xml:space="preserve"> </w:t>
            </w:r>
            <w:r w:rsidRPr="00DF6A2D">
              <w:rPr>
                <w:rFonts w:cstheme="minorHAnsi"/>
              </w:rPr>
              <w:t xml:space="preserve">capital (H3) </w:t>
            </w:r>
          </w:p>
        </w:tc>
        <w:tc>
          <w:tcPr>
            <w:tcW w:w="0" w:type="auto"/>
          </w:tcPr>
          <w:p w14:paraId="1BBD8476" w14:textId="77777777" w:rsidR="00DF6A2D" w:rsidRPr="00DF6A2D" w:rsidRDefault="00DF6A2D" w:rsidP="00DF6A2D">
            <w:pPr>
              <w:pStyle w:val="NoSpacing"/>
              <w:rPr>
                <w:rFonts w:cstheme="minorHAnsi"/>
              </w:rPr>
            </w:pPr>
          </w:p>
        </w:tc>
        <w:tc>
          <w:tcPr>
            <w:tcW w:w="0" w:type="auto"/>
          </w:tcPr>
          <w:p w14:paraId="508F6ACC" w14:textId="77777777" w:rsidR="00DF6A2D" w:rsidRPr="00DF6A2D" w:rsidRDefault="00DF6A2D" w:rsidP="00DF6A2D">
            <w:pPr>
              <w:pStyle w:val="NoSpacing"/>
              <w:rPr>
                <w:rFonts w:cstheme="minorHAnsi"/>
              </w:rPr>
            </w:pPr>
          </w:p>
        </w:tc>
        <w:tc>
          <w:tcPr>
            <w:tcW w:w="0" w:type="auto"/>
          </w:tcPr>
          <w:p w14:paraId="2900FC56" w14:textId="77777777" w:rsidR="00DF6A2D" w:rsidRPr="00DF6A2D" w:rsidRDefault="00DF6A2D" w:rsidP="00DF6A2D">
            <w:pPr>
              <w:pStyle w:val="NoSpacing"/>
              <w:rPr>
                <w:rFonts w:cstheme="minorHAnsi"/>
              </w:rPr>
            </w:pPr>
          </w:p>
        </w:tc>
        <w:tc>
          <w:tcPr>
            <w:tcW w:w="0" w:type="auto"/>
          </w:tcPr>
          <w:p w14:paraId="25DD3C1F" w14:textId="77777777" w:rsidR="00DF6A2D" w:rsidRPr="00DF6A2D" w:rsidRDefault="00DF6A2D" w:rsidP="00DF6A2D">
            <w:pPr>
              <w:pStyle w:val="NoSpacing"/>
              <w:rPr>
                <w:rFonts w:cstheme="minorHAnsi"/>
              </w:rPr>
            </w:pPr>
          </w:p>
        </w:tc>
        <w:tc>
          <w:tcPr>
            <w:tcW w:w="0" w:type="auto"/>
          </w:tcPr>
          <w:p w14:paraId="335832AD" w14:textId="0DE92AAB" w:rsidR="00DF6A2D" w:rsidRPr="00DF6A2D" w:rsidRDefault="00DF6A2D" w:rsidP="00DF6A2D">
            <w:pPr>
              <w:pStyle w:val="NoSpacing"/>
              <w:rPr>
                <w:rFonts w:cstheme="minorHAnsi"/>
              </w:rPr>
            </w:pPr>
            <w:r w:rsidRPr="00DF6A2D">
              <w:rPr>
                <w:rFonts w:cstheme="minorHAnsi"/>
              </w:rPr>
              <w:t>-0.108* (0.051)</w:t>
            </w:r>
          </w:p>
        </w:tc>
        <w:tc>
          <w:tcPr>
            <w:tcW w:w="0" w:type="auto"/>
          </w:tcPr>
          <w:p w14:paraId="599CE047" w14:textId="77777777" w:rsidR="00DF6A2D" w:rsidRPr="00DF6A2D" w:rsidRDefault="00DF6A2D" w:rsidP="00DF6A2D">
            <w:pPr>
              <w:pStyle w:val="NoSpacing"/>
              <w:rPr>
                <w:rFonts w:cstheme="minorHAnsi"/>
              </w:rPr>
            </w:pPr>
          </w:p>
        </w:tc>
        <w:tc>
          <w:tcPr>
            <w:tcW w:w="0" w:type="auto"/>
          </w:tcPr>
          <w:p w14:paraId="7254DDEE" w14:textId="36565D91" w:rsidR="00DF6A2D" w:rsidRPr="00DF6A2D" w:rsidRDefault="00DF6A2D" w:rsidP="00DF6A2D">
            <w:pPr>
              <w:pStyle w:val="NoSpacing"/>
              <w:rPr>
                <w:rFonts w:cstheme="minorHAnsi"/>
              </w:rPr>
            </w:pPr>
            <w:r w:rsidRPr="00DF6A2D">
              <w:rPr>
                <w:rFonts w:cstheme="minorHAnsi"/>
              </w:rPr>
              <w:t>-0.124* (0.051)</w:t>
            </w:r>
          </w:p>
        </w:tc>
        <w:tc>
          <w:tcPr>
            <w:tcW w:w="0" w:type="auto"/>
          </w:tcPr>
          <w:p w14:paraId="3CD2E102" w14:textId="0658082B" w:rsidR="00DF6A2D" w:rsidRPr="00DF6A2D" w:rsidRDefault="00DF6A2D" w:rsidP="00DF6A2D">
            <w:pPr>
              <w:pStyle w:val="NoSpacing"/>
              <w:rPr>
                <w:rFonts w:cstheme="minorHAnsi"/>
              </w:rPr>
            </w:pPr>
            <w:r w:rsidRPr="00DF6A2D">
              <w:rPr>
                <w:rFonts w:cstheme="minorHAnsi"/>
              </w:rPr>
              <w:t>-0.123* (0.048)</w:t>
            </w:r>
          </w:p>
        </w:tc>
        <w:tc>
          <w:tcPr>
            <w:tcW w:w="0" w:type="auto"/>
          </w:tcPr>
          <w:p w14:paraId="010ED2C9" w14:textId="193419B8" w:rsidR="00DF6A2D" w:rsidRPr="00DF6A2D" w:rsidRDefault="00DF6A2D" w:rsidP="00DF6A2D">
            <w:pPr>
              <w:pStyle w:val="NoSpacing"/>
              <w:rPr>
                <w:rFonts w:cstheme="minorHAnsi"/>
              </w:rPr>
            </w:pPr>
            <w:r w:rsidRPr="00DF6A2D">
              <w:rPr>
                <w:rFonts w:cstheme="minorHAnsi"/>
              </w:rPr>
              <w:t>-0.120* (0.047)</w:t>
            </w:r>
          </w:p>
        </w:tc>
      </w:tr>
      <w:tr w:rsidR="00DF6A2D" w:rsidRPr="00DF6A2D" w14:paraId="702CEFCA" w14:textId="77777777" w:rsidTr="00DF6A2D">
        <w:tc>
          <w:tcPr>
            <w:tcW w:w="0" w:type="auto"/>
          </w:tcPr>
          <w:p w14:paraId="49199F37" w14:textId="200ACC6E" w:rsidR="00DF6A2D" w:rsidRPr="00DF6A2D" w:rsidRDefault="00DF6A2D" w:rsidP="00DF6A2D">
            <w:pPr>
              <w:pStyle w:val="NoSpacing"/>
              <w:rPr>
                <w:rFonts w:cstheme="minorHAnsi"/>
              </w:rPr>
            </w:pPr>
            <w:r w:rsidRPr="00DF6A2D">
              <w:rPr>
                <w:rFonts w:cstheme="minorHAnsi"/>
              </w:rPr>
              <w:t xml:space="preserve">Private university (H5) </w:t>
            </w:r>
          </w:p>
        </w:tc>
        <w:tc>
          <w:tcPr>
            <w:tcW w:w="0" w:type="auto"/>
          </w:tcPr>
          <w:p w14:paraId="76FDD383" w14:textId="77777777" w:rsidR="00DF6A2D" w:rsidRPr="00DF6A2D" w:rsidRDefault="00DF6A2D" w:rsidP="00DF6A2D">
            <w:pPr>
              <w:pStyle w:val="NoSpacing"/>
              <w:rPr>
                <w:rFonts w:cstheme="minorHAnsi"/>
              </w:rPr>
            </w:pPr>
          </w:p>
        </w:tc>
        <w:tc>
          <w:tcPr>
            <w:tcW w:w="0" w:type="auto"/>
          </w:tcPr>
          <w:p w14:paraId="02A83889" w14:textId="77777777" w:rsidR="00DF6A2D" w:rsidRPr="00DF6A2D" w:rsidRDefault="00DF6A2D" w:rsidP="00DF6A2D">
            <w:pPr>
              <w:pStyle w:val="NoSpacing"/>
              <w:rPr>
                <w:rFonts w:cstheme="minorHAnsi"/>
              </w:rPr>
            </w:pPr>
          </w:p>
        </w:tc>
        <w:tc>
          <w:tcPr>
            <w:tcW w:w="0" w:type="auto"/>
          </w:tcPr>
          <w:p w14:paraId="0A8DA1A3" w14:textId="77777777" w:rsidR="00DF6A2D" w:rsidRPr="00DF6A2D" w:rsidRDefault="00DF6A2D" w:rsidP="00DF6A2D">
            <w:pPr>
              <w:pStyle w:val="NoSpacing"/>
              <w:rPr>
                <w:rFonts w:cstheme="minorHAnsi"/>
              </w:rPr>
            </w:pPr>
          </w:p>
        </w:tc>
        <w:tc>
          <w:tcPr>
            <w:tcW w:w="0" w:type="auto"/>
          </w:tcPr>
          <w:p w14:paraId="767E90BA" w14:textId="77777777" w:rsidR="00DF6A2D" w:rsidRPr="00DF6A2D" w:rsidRDefault="00DF6A2D" w:rsidP="00DF6A2D">
            <w:pPr>
              <w:pStyle w:val="NoSpacing"/>
              <w:rPr>
                <w:rFonts w:cstheme="minorHAnsi"/>
              </w:rPr>
            </w:pPr>
          </w:p>
        </w:tc>
        <w:tc>
          <w:tcPr>
            <w:tcW w:w="0" w:type="auto"/>
          </w:tcPr>
          <w:p w14:paraId="70832E56" w14:textId="77777777" w:rsidR="00DF6A2D" w:rsidRPr="00DF6A2D" w:rsidRDefault="00DF6A2D" w:rsidP="00DF6A2D">
            <w:pPr>
              <w:pStyle w:val="NoSpacing"/>
              <w:rPr>
                <w:rFonts w:cstheme="minorHAnsi"/>
              </w:rPr>
            </w:pPr>
          </w:p>
        </w:tc>
        <w:tc>
          <w:tcPr>
            <w:tcW w:w="0" w:type="auto"/>
          </w:tcPr>
          <w:p w14:paraId="73959732" w14:textId="595163F0" w:rsidR="00DF6A2D" w:rsidRPr="00DF6A2D" w:rsidRDefault="00DF6A2D" w:rsidP="00DF6A2D">
            <w:pPr>
              <w:pStyle w:val="NoSpacing"/>
              <w:rPr>
                <w:rFonts w:cstheme="minorHAnsi"/>
              </w:rPr>
            </w:pPr>
            <w:r w:rsidRPr="00DF6A2D">
              <w:rPr>
                <w:rFonts w:cstheme="minorHAnsi"/>
              </w:rPr>
              <w:t>-0.469* (0.183)</w:t>
            </w:r>
          </w:p>
        </w:tc>
        <w:tc>
          <w:tcPr>
            <w:tcW w:w="0" w:type="auto"/>
          </w:tcPr>
          <w:p w14:paraId="4CD6400A" w14:textId="77F47C60" w:rsidR="00DF6A2D" w:rsidRPr="00DF6A2D" w:rsidRDefault="00DF6A2D" w:rsidP="00DF6A2D">
            <w:pPr>
              <w:pStyle w:val="NoSpacing"/>
              <w:rPr>
                <w:rFonts w:cstheme="minorHAnsi"/>
              </w:rPr>
            </w:pPr>
            <w:r w:rsidRPr="00DF6A2D">
              <w:rPr>
                <w:rFonts w:cstheme="minorHAnsi"/>
              </w:rPr>
              <w:t>-0.533** (0.180)</w:t>
            </w:r>
          </w:p>
        </w:tc>
        <w:tc>
          <w:tcPr>
            <w:tcW w:w="0" w:type="auto"/>
          </w:tcPr>
          <w:p w14:paraId="5263A89B" w14:textId="2CC3598B" w:rsidR="00DF6A2D" w:rsidRPr="00DF6A2D" w:rsidRDefault="00DF6A2D" w:rsidP="00DF6A2D">
            <w:pPr>
              <w:pStyle w:val="NoSpacing"/>
              <w:rPr>
                <w:rFonts w:cstheme="minorHAnsi"/>
              </w:rPr>
            </w:pPr>
            <w:r w:rsidRPr="00DF6A2D">
              <w:rPr>
                <w:rFonts w:cstheme="minorHAnsi"/>
              </w:rPr>
              <w:t>-0.589** (0.183)</w:t>
            </w:r>
          </w:p>
        </w:tc>
        <w:tc>
          <w:tcPr>
            <w:tcW w:w="0" w:type="auto"/>
          </w:tcPr>
          <w:p w14:paraId="54482E81" w14:textId="46995307" w:rsidR="00DF6A2D" w:rsidRPr="00DF6A2D" w:rsidRDefault="00DF6A2D" w:rsidP="00DF6A2D">
            <w:pPr>
              <w:pStyle w:val="NoSpacing"/>
              <w:rPr>
                <w:rFonts w:cstheme="minorHAnsi"/>
              </w:rPr>
            </w:pPr>
            <w:r w:rsidRPr="00DF6A2D">
              <w:rPr>
                <w:rFonts w:cstheme="minorHAnsi"/>
              </w:rPr>
              <w:t>-0.508** (0.194)</w:t>
            </w:r>
          </w:p>
        </w:tc>
      </w:tr>
      <w:tr w:rsidR="00DF6A2D" w:rsidRPr="00DF6A2D" w14:paraId="07D5CFB1" w14:textId="77777777" w:rsidTr="00DF6A2D">
        <w:tc>
          <w:tcPr>
            <w:tcW w:w="0" w:type="auto"/>
          </w:tcPr>
          <w:p w14:paraId="06F80BED" w14:textId="2D01097D" w:rsidR="00DF6A2D" w:rsidRPr="00DF6A2D" w:rsidRDefault="00DF6A2D" w:rsidP="00DF6A2D">
            <w:pPr>
              <w:pStyle w:val="NoSpacing"/>
              <w:rPr>
                <w:rFonts w:cstheme="minorHAnsi"/>
              </w:rPr>
            </w:pPr>
            <w:r w:rsidRPr="00DF6A2D">
              <w:rPr>
                <w:rFonts w:cstheme="minorHAnsi"/>
                <w:i/>
                <w:iCs/>
              </w:rPr>
              <w:t>Control variables</w:t>
            </w:r>
          </w:p>
        </w:tc>
        <w:tc>
          <w:tcPr>
            <w:tcW w:w="0" w:type="auto"/>
          </w:tcPr>
          <w:p w14:paraId="74EE3A2B" w14:textId="77777777" w:rsidR="00DF6A2D" w:rsidRPr="00DF6A2D" w:rsidRDefault="00DF6A2D" w:rsidP="00DF6A2D">
            <w:pPr>
              <w:pStyle w:val="NoSpacing"/>
              <w:rPr>
                <w:rFonts w:cstheme="minorHAnsi"/>
              </w:rPr>
            </w:pPr>
          </w:p>
        </w:tc>
        <w:tc>
          <w:tcPr>
            <w:tcW w:w="0" w:type="auto"/>
          </w:tcPr>
          <w:p w14:paraId="723A70DD" w14:textId="77777777" w:rsidR="00DF6A2D" w:rsidRPr="00DF6A2D" w:rsidRDefault="00DF6A2D" w:rsidP="00DF6A2D">
            <w:pPr>
              <w:pStyle w:val="NoSpacing"/>
              <w:rPr>
                <w:rFonts w:cstheme="minorHAnsi"/>
              </w:rPr>
            </w:pPr>
          </w:p>
        </w:tc>
        <w:tc>
          <w:tcPr>
            <w:tcW w:w="0" w:type="auto"/>
          </w:tcPr>
          <w:p w14:paraId="4708C832" w14:textId="77777777" w:rsidR="00DF6A2D" w:rsidRPr="00DF6A2D" w:rsidRDefault="00DF6A2D" w:rsidP="00DF6A2D">
            <w:pPr>
              <w:pStyle w:val="NoSpacing"/>
              <w:rPr>
                <w:rFonts w:cstheme="minorHAnsi"/>
              </w:rPr>
            </w:pPr>
          </w:p>
        </w:tc>
        <w:tc>
          <w:tcPr>
            <w:tcW w:w="0" w:type="auto"/>
          </w:tcPr>
          <w:p w14:paraId="36F4EE05" w14:textId="77777777" w:rsidR="00DF6A2D" w:rsidRPr="00DF6A2D" w:rsidRDefault="00DF6A2D" w:rsidP="00DF6A2D">
            <w:pPr>
              <w:pStyle w:val="NoSpacing"/>
              <w:rPr>
                <w:rFonts w:cstheme="minorHAnsi"/>
              </w:rPr>
            </w:pPr>
          </w:p>
        </w:tc>
        <w:tc>
          <w:tcPr>
            <w:tcW w:w="0" w:type="auto"/>
          </w:tcPr>
          <w:p w14:paraId="6D5C1712" w14:textId="77777777" w:rsidR="00DF6A2D" w:rsidRPr="00DF6A2D" w:rsidRDefault="00DF6A2D" w:rsidP="00DF6A2D">
            <w:pPr>
              <w:pStyle w:val="NoSpacing"/>
              <w:rPr>
                <w:rFonts w:cstheme="minorHAnsi"/>
              </w:rPr>
            </w:pPr>
          </w:p>
        </w:tc>
        <w:tc>
          <w:tcPr>
            <w:tcW w:w="0" w:type="auto"/>
          </w:tcPr>
          <w:p w14:paraId="00EE04E7" w14:textId="77777777" w:rsidR="00DF6A2D" w:rsidRPr="00DF6A2D" w:rsidRDefault="00DF6A2D" w:rsidP="00DF6A2D">
            <w:pPr>
              <w:pStyle w:val="NoSpacing"/>
              <w:rPr>
                <w:rFonts w:cstheme="minorHAnsi"/>
              </w:rPr>
            </w:pPr>
          </w:p>
        </w:tc>
        <w:tc>
          <w:tcPr>
            <w:tcW w:w="0" w:type="auto"/>
          </w:tcPr>
          <w:p w14:paraId="463ED308" w14:textId="77777777" w:rsidR="00DF6A2D" w:rsidRPr="00DF6A2D" w:rsidRDefault="00DF6A2D" w:rsidP="00DF6A2D">
            <w:pPr>
              <w:pStyle w:val="NoSpacing"/>
              <w:rPr>
                <w:rFonts w:cstheme="minorHAnsi"/>
              </w:rPr>
            </w:pPr>
          </w:p>
        </w:tc>
        <w:tc>
          <w:tcPr>
            <w:tcW w:w="0" w:type="auto"/>
          </w:tcPr>
          <w:p w14:paraId="7332ADD3" w14:textId="77777777" w:rsidR="00DF6A2D" w:rsidRPr="00DF6A2D" w:rsidRDefault="00DF6A2D" w:rsidP="00DF6A2D">
            <w:pPr>
              <w:pStyle w:val="NoSpacing"/>
              <w:rPr>
                <w:rFonts w:cstheme="minorHAnsi"/>
              </w:rPr>
            </w:pPr>
          </w:p>
        </w:tc>
        <w:tc>
          <w:tcPr>
            <w:tcW w:w="0" w:type="auto"/>
          </w:tcPr>
          <w:p w14:paraId="7A436DBC" w14:textId="77777777" w:rsidR="00DF6A2D" w:rsidRPr="00DF6A2D" w:rsidRDefault="00DF6A2D" w:rsidP="00DF6A2D">
            <w:pPr>
              <w:pStyle w:val="NoSpacing"/>
              <w:rPr>
                <w:rFonts w:cstheme="minorHAnsi"/>
              </w:rPr>
            </w:pPr>
          </w:p>
        </w:tc>
      </w:tr>
      <w:tr w:rsidR="00DF6A2D" w:rsidRPr="00DF6A2D" w14:paraId="68BA2276" w14:textId="77777777" w:rsidTr="00DF6A2D">
        <w:tc>
          <w:tcPr>
            <w:tcW w:w="0" w:type="auto"/>
          </w:tcPr>
          <w:p w14:paraId="308D7FA9" w14:textId="20C66C02" w:rsidR="00DF6A2D" w:rsidRPr="00DF6A2D" w:rsidRDefault="00DF6A2D" w:rsidP="00DF6A2D">
            <w:pPr>
              <w:pStyle w:val="NoSpacing"/>
              <w:rPr>
                <w:rFonts w:cstheme="minorHAnsi"/>
              </w:rPr>
            </w:pPr>
            <w:r w:rsidRPr="00DF6A2D">
              <w:rPr>
                <w:rFonts w:cstheme="minorHAnsi"/>
              </w:rPr>
              <w:t xml:space="preserve">Alumni </w:t>
            </w:r>
          </w:p>
        </w:tc>
        <w:tc>
          <w:tcPr>
            <w:tcW w:w="0" w:type="auto"/>
          </w:tcPr>
          <w:p w14:paraId="3F673F60" w14:textId="772A5DB1" w:rsidR="00DF6A2D" w:rsidRPr="00DF6A2D" w:rsidRDefault="00DF6A2D" w:rsidP="00DF6A2D">
            <w:pPr>
              <w:pStyle w:val="NoSpacing"/>
              <w:rPr>
                <w:rFonts w:cstheme="minorHAnsi"/>
              </w:rPr>
            </w:pPr>
            <w:r w:rsidRPr="00DF6A2D">
              <w:rPr>
                <w:rFonts w:cstheme="minorHAnsi"/>
              </w:rPr>
              <w:t>0.096 (0.232)</w:t>
            </w:r>
          </w:p>
        </w:tc>
        <w:tc>
          <w:tcPr>
            <w:tcW w:w="0" w:type="auto"/>
          </w:tcPr>
          <w:p w14:paraId="76F71C90" w14:textId="5C152EC9" w:rsidR="00DF6A2D" w:rsidRPr="00DF6A2D" w:rsidRDefault="00DF6A2D" w:rsidP="00DF6A2D">
            <w:pPr>
              <w:pStyle w:val="NoSpacing"/>
              <w:rPr>
                <w:rFonts w:cstheme="minorHAnsi"/>
              </w:rPr>
            </w:pPr>
            <w:r w:rsidRPr="00DF6A2D">
              <w:rPr>
                <w:rFonts w:cstheme="minorHAnsi"/>
              </w:rPr>
              <w:t>0.139 (0.222)</w:t>
            </w:r>
          </w:p>
        </w:tc>
        <w:tc>
          <w:tcPr>
            <w:tcW w:w="0" w:type="auto"/>
          </w:tcPr>
          <w:p w14:paraId="010FC697" w14:textId="62FAE73E" w:rsidR="00DF6A2D" w:rsidRPr="00DF6A2D" w:rsidRDefault="00DF6A2D" w:rsidP="00DF6A2D">
            <w:pPr>
              <w:pStyle w:val="NoSpacing"/>
              <w:rPr>
                <w:rFonts w:cstheme="minorHAnsi"/>
              </w:rPr>
            </w:pPr>
            <w:r w:rsidRPr="00DF6A2D">
              <w:rPr>
                <w:rFonts w:cstheme="minorHAnsi"/>
              </w:rPr>
              <w:t>0.072 (0.221)</w:t>
            </w:r>
          </w:p>
        </w:tc>
        <w:tc>
          <w:tcPr>
            <w:tcW w:w="0" w:type="auto"/>
          </w:tcPr>
          <w:p w14:paraId="55422F26" w14:textId="5A93D83A" w:rsidR="00DF6A2D" w:rsidRPr="00DF6A2D" w:rsidRDefault="00DF6A2D" w:rsidP="00DF6A2D">
            <w:pPr>
              <w:pStyle w:val="NoSpacing"/>
              <w:rPr>
                <w:rFonts w:cstheme="minorHAnsi"/>
              </w:rPr>
            </w:pPr>
            <w:r w:rsidRPr="00DF6A2D">
              <w:rPr>
                <w:rFonts w:cstheme="minorHAnsi"/>
              </w:rPr>
              <w:t>0.079 (0.225)</w:t>
            </w:r>
          </w:p>
        </w:tc>
        <w:tc>
          <w:tcPr>
            <w:tcW w:w="0" w:type="auto"/>
          </w:tcPr>
          <w:p w14:paraId="6717A9A8" w14:textId="5359732E" w:rsidR="00DF6A2D" w:rsidRPr="00DF6A2D" w:rsidRDefault="00DF6A2D" w:rsidP="00DF6A2D">
            <w:pPr>
              <w:pStyle w:val="NoSpacing"/>
              <w:rPr>
                <w:rFonts w:cstheme="minorHAnsi"/>
              </w:rPr>
            </w:pPr>
            <w:r w:rsidRPr="00DF6A2D">
              <w:rPr>
                <w:rFonts w:cstheme="minorHAnsi"/>
              </w:rPr>
              <w:t>0.088 (0.217)</w:t>
            </w:r>
          </w:p>
        </w:tc>
        <w:tc>
          <w:tcPr>
            <w:tcW w:w="0" w:type="auto"/>
          </w:tcPr>
          <w:p w14:paraId="11D48A12" w14:textId="6A729613" w:rsidR="00DF6A2D" w:rsidRPr="00DF6A2D" w:rsidRDefault="00DF6A2D" w:rsidP="00DF6A2D">
            <w:pPr>
              <w:pStyle w:val="NoSpacing"/>
              <w:rPr>
                <w:rFonts w:cstheme="minorHAnsi"/>
              </w:rPr>
            </w:pPr>
            <w:r w:rsidRPr="00DF6A2D">
              <w:rPr>
                <w:rFonts w:cstheme="minorHAnsi"/>
              </w:rPr>
              <w:t>0.009 (0.228)</w:t>
            </w:r>
          </w:p>
        </w:tc>
        <w:tc>
          <w:tcPr>
            <w:tcW w:w="0" w:type="auto"/>
          </w:tcPr>
          <w:p w14:paraId="21C18791" w14:textId="06346456" w:rsidR="00DF6A2D" w:rsidRPr="00DF6A2D" w:rsidRDefault="00DF6A2D" w:rsidP="00DF6A2D">
            <w:pPr>
              <w:pStyle w:val="NoSpacing"/>
              <w:rPr>
                <w:rFonts w:cstheme="minorHAnsi"/>
              </w:rPr>
            </w:pPr>
            <w:r w:rsidRPr="00DF6A2D">
              <w:rPr>
                <w:rFonts w:cstheme="minorHAnsi"/>
              </w:rPr>
              <w:t>0.036 (0.228)</w:t>
            </w:r>
          </w:p>
        </w:tc>
        <w:tc>
          <w:tcPr>
            <w:tcW w:w="0" w:type="auto"/>
          </w:tcPr>
          <w:p w14:paraId="187A93E7" w14:textId="0C6AE2B7" w:rsidR="00DF6A2D" w:rsidRPr="00DF6A2D" w:rsidRDefault="00DF6A2D" w:rsidP="00DF6A2D">
            <w:pPr>
              <w:pStyle w:val="NoSpacing"/>
              <w:rPr>
                <w:rFonts w:cstheme="minorHAnsi"/>
              </w:rPr>
            </w:pPr>
            <w:r w:rsidRPr="00DF6A2D">
              <w:rPr>
                <w:rFonts w:cstheme="minorHAnsi"/>
              </w:rPr>
              <w:t>-0.020 (0.217)</w:t>
            </w:r>
          </w:p>
        </w:tc>
        <w:tc>
          <w:tcPr>
            <w:tcW w:w="0" w:type="auto"/>
          </w:tcPr>
          <w:p w14:paraId="3188D0AC" w14:textId="4DC82D2F" w:rsidR="00DF6A2D" w:rsidRPr="00DF6A2D" w:rsidRDefault="00DF6A2D" w:rsidP="00DF6A2D">
            <w:pPr>
              <w:pStyle w:val="NoSpacing"/>
              <w:rPr>
                <w:rFonts w:cstheme="minorHAnsi"/>
              </w:rPr>
            </w:pPr>
            <w:r w:rsidRPr="00DF6A2D">
              <w:rPr>
                <w:rFonts w:cstheme="minorHAnsi"/>
              </w:rPr>
              <w:t>0.027 (0.216)</w:t>
            </w:r>
          </w:p>
        </w:tc>
      </w:tr>
      <w:tr w:rsidR="00DF6A2D" w:rsidRPr="00DF6A2D" w14:paraId="0107D47B" w14:textId="77777777" w:rsidTr="00DF6A2D">
        <w:tc>
          <w:tcPr>
            <w:tcW w:w="0" w:type="auto"/>
          </w:tcPr>
          <w:p w14:paraId="47C8E9C0" w14:textId="7A5A2CB6" w:rsidR="00DF6A2D" w:rsidRPr="00DF6A2D" w:rsidRDefault="00DF6A2D" w:rsidP="00DF6A2D">
            <w:pPr>
              <w:pStyle w:val="NoSpacing"/>
              <w:rPr>
                <w:rFonts w:cstheme="minorHAnsi"/>
              </w:rPr>
            </w:pPr>
            <w:r w:rsidRPr="00DF6A2D">
              <w:rPr>
                <w:rFonts w:cstheme="minorHAnsi"/>
              </w:rPr>
              <w:t>Former division 1</w:t>
            </w:r>
            <w:r w:rsidRPr="00DF6A2D">
              <w:rPr>
                <w:rFonts w:cstheme="minorHAnsi"/>
              </w:rPr>
              <w:t xml:space="preserve"> </w:t>
            </w:r>
            <w:r w:rsidRPr="00DF6A2D">
              <w:rPr>
                <w:rFonts w:cstheme="minorHAnsi"/>
              </w:rPr>
              <w:t xml:space="preserve">player </w:t>
            </w:r>
          </w:p>
        </w:tc>
        <w:tc>
          <w:tcPr>
            <w:tcW w:w="0" w:type="auto"/>
          </w:tcPr>
          <w:p w14:paraId="01BC3F46" w14:textId="3B15CFBF" w:rsidR="00DF6A2D" w:rsidRPr="00DF6A2D" w:rsidRDefault="00DF6A2D" w:rsidP="00DF6A2D">
            <w:pPr>
              <w:pStyle w:val="NoSpacing"/>
              <w:rPr>
                <w:rFonts w:cstheme="minorHAnsi"/>
              </w:rPr>
            </w:pPr>
            <w:r w:rsidRPr="00DF6A2D">
              <w:rPr>
                <w:rFonts w:cstheme="minorHAnsi"/>
              </w:rPr>
              <w:t>-0.098 (0.164)</w:t>
            </w:r>
          </w:p>
        </w:tc>
        <w:tc>
          <w:tcPr>
            <w:tcW w:w="0" w:type="auto"/>
          </w:tcPr>
          <w:p w14:paraId="2DD40FB6" w14:textId="6BE1694A" w:rsidR="00DF6A2D" w:rsidRPr="00DF6A2D" w:rsidRDefault="00DF6A2D" w:rsidP="00DF6A2D">
            <w:pPr>
              <w:pStyle w:val="NoSpacing"/>
              <w:rPr>
                <w:rFonts w:cstheme="minorHAnsi"/>
              </w:rPr>
            </w:pPr>
            <w:r w:rsidRPr="00DF6A2D">
              <w:rPr>
                <w:rFonts w:cstheme="minorHAnsi"/>
              </w:rPr>
              <w:t>-0.155 (0.158)</w:t>
            </w:r>
          </w:p>
        </w:tc>
        <w:tc>
          <w:tcPr>
            <w:tcW w:w="0" w:type="auto"/>
          </w:tcPr>
          <w:p w14:paraId="3B6B8433" w14:textId="5133D65D" w:rsidR="00DF6A2D" w:rsidRPr="00DF6A2D" w:rsidRDefault="00DF6A2D" w:rsidP="00DF6A2D">
            <w:pPr>
              <w:pStyle w:val="NoSpacing"/>
              <w:rPr>
                <w:rFonts w:cstheme="minorHAnsi"/>
              </w:rPr>
            </w:pPr>
            <w:r w:rsidRPr="00DF6A2D">
              <w:rPr>
                <w:rFonts w:cstheme="minorHAnsi"/>
              </w:rPr>
              <w:t>-0.075 (0.160)</w:t>
            </w:r>
          </w:p>
        </w:tc>
        <w:tc>
          <w:tcPr>
            <w:tcW w:w="0" w:type="auto"/>
          </w:tcPr>
          <w:p w14:paraId="26BB6328" w14:textId="0D13174C" w:rsidR="00DF6A2D" w:rsidRPr="00DF6A2D" w:rsidRDefault="00DF6A2D" w:rsidP="00DF6A2D">
            <w:pPr>
              <w:pStyle w:val="NoSpacing"/>
              <w:rPr>
                <w:rFonts w:cstheme="minorHAnsi"/>
              </w:rPr>
            </w:pPr>
            <w:r w:rsidRPr="00DF6A2D">
              <w:rPr>
                <w:rFonts w:cstheme="minorHAnsi"/>
              </w:rPr>
              <w:t>-0.082 (0.162)</w:t>
            </w:r>
          </w:p>
        </w:tc>
        <w:tc>
          <w:tcPr>
            <w:tcW w:w="0" w:type="auto"/>
          </w:tcPr>
          <w:p w14:paraId="7DD7CC12" w14:textId="1D1F7A76" w:rsidR="00DF6A2D" w:rsidRPr="00DF6A2D" w:rsidRDefault="00DF6A2D" w:rsidP="00DF6A2D">
            <w:pPr>
              <w:pStyle w:val="NoSpacing"/>
              <w:rPr>
                <w:rFonts w:cstheme="minorHAnsi"/>
              </w:rPr>
            </w:pPr>
            <w:r w:rsidRPr="00DF6A2D">
              <w:rPr>
                <w:rFonts w:cstheme="minorHAnsi"/>
              </w:rPr>
              <w:t>-0.088 (0.164)</w:t>
            </w:r>
          </w:p>
        </w:tc>
        <w:tc>
          <w:tcPr>
            <w:tcW w:w="0" w:type="auto"/>
          </w:tcPr>
          <w:p w14:paraId="5ABCC6DF" w14:textId="129B9673" w:rsidR="00DF6A2D" w:rsidRPr="00DF6A2D" w:rsidRDefault="00DF6A2D" w:rsidP="00DF6A2D">
            <w:pPr>
              <w:pStyle w:val="NoSpacing"/>
              <w:rPr>
                <w:rFonts w:cstheme="minorHAnsi"/>
              </w:rPr>
            </w:pPr>
            <w:r w:rsidRPr="00DF6A2D">
              <w:rPr>
                <w:rFonts w:cstheme="minorHAnsi"/>
              </w:rPr>
              <w:t>-0.040 (0.158)</w:t>
            </w:r>
          </w:p>
        </w:tc>
        <w:tc>
          <w:tcPr>
            <w:tcW w:w="0" w:type="auto"/>
          </w:tcPr>
          <w:p w14:paraId="17264E6D" w14:textId="2BC93A7C" w:rsidR="00DF6A2D" w:rsidRPr="00DF6A2D" w:rsidRDefault="00DF6A2D" w:rsidP="00DF6A2D">
            <w:pPr>
              <w:pStyle w:val="NoSpacing"/>
              <w:rPr>
                <w:rFonts w:cstheme="minorHAnsi"/>
              </w:rPr>
            </w:pPr>
            <w:r w:rsidRPr="00DF6A2D">
              <w:rPr>
                <w:rFonts w:cstheme="minorHAnsi"/>
              </w:rPr>
              <w:t>-0.064 (0.165)</w:t>
            </w:r>
          </w:p>
        </w:tc>
        <w:tc>
          <w:tcPr>
            <w:tcW w:w="0" w:type="auto"/>
          </w:tcPr>
          <w:p w14:paraId="339B7747" w14:textId="659EACBA" w:rsidR="00DF6A2D" w:rsidRPr="00DF6A2D" w:rsidRDefault="00DF6A2D" w:rsidP="00DF6A2D">
            <w:pPr>
              <w:pStyle w:val="NoSpacing"/>
              <w:rPr>
                <w:rFonts w:cstheme="minorHAnsi"/>
              </w:rPr>
            </w:pPr>
            <w:r w:rsidRPr="00DF6A2D">
              <w:rPr>
                <w:rFonts w:cstheme="minorHAnsi"/>
              </w:rPr>
              <w:t>-0.093 (0.162)</w:t>
            </w:r>
          </w:p>
        </w:tc>
        <w:tc>
          <w:tcPr>
            <w:tcW w:w="0" w:type="auto"/>
          </w:tcPr>
          <w:p w14:paraId="6E3BA3CD" w14:textId="629F2CC0" w:rsidR="00DF6A2D" w:rsidRPr="00DF6A2D" w:rsidRDefault="00DF6A2D" w:rsidP="00DF6A2D">
            <w:pPr>
              <w:pStyle w:val="NoSpacing"/>
              <w:rPr>
                <w:rFonts w:cstheme="minorHAnsi"/>
              </w:rPr>
            </w:pPr>
            <w:r w:rsidRPr="00DF6A2D">
              <w:rPr>
                <w:rFonts w:cstheme="minorHAnsi"/>
              </w:rPr>
              <w:t>-0.066 (0.166)</w:t>
            </w:r>
          </w:p>
        </w:tc>
      </w:tr>
      <w:tr w:rsidR="00DF6A2D" w:rsidRPr="00DF6A2D" w14:paraId="320C9F4D" w14:textId="77777777" w:rsidTr="00DF6A2D">
        <w:tc>
          <w:tcPr>
            <w:tcW w:w="0" w:type="auto"/>
          </w:tcPr>
          <w:p w14:paraId="246F2077" w14:textId="7A1E4089" w:rsidR="00DF6A2D" w:rsidRPr="00DF6A2D" w:rsidRDefault="00DF6A2D" w:rsidP="00DF6A2D">
            <w:pPr>
              <w:pStyle w:val="NoSpacing"/>
              <w:rPr>
                <w:rFonts w:cstheme="minorHAnsi"/>
              </w:rPr>
            </w:pPr>
            <w:r w:rsidRPr="00DF6A2D">
              <w:rPr>
                <w:rFonts w:cstheme="minorHAnsi"/>
              </w:rPr>
              <w:t xml:space="preserve">Coach age </w:t>
            </w:r>
          </w:p>
        </w:tc>
        <w:tc>
          <w:tcPr>
            <w:tcW w:w="0" w:type="auto"/>
          </w:tcPr>
          <w:p w14:paraId="563D4E65" w14:textId="759ECDAA" w:rsidR="00DF6A2D" w:rsidRPr="00DF6A2D" w:rsidRDefault="00DF6A2D" w:rsidP="00DF6A2D">
            <w:pPr>
              <w:pStyle w:val="NoSpacing"/>
              <w:rPr>
                <w:rFonts w:cstheme="minorHAnsi"/>
              </w:rPr>
            </w:pPr>
            <w:r w:rsidRPr="00DF6A2D">
              <w:rPr>
                <w:rFonts w:cstheme="minorHAnsi"/>
              </w:rPr>
              <w:t>0.002 (0.011)</w:t>
            </w:r>
          </w:p>
        </w:tc>
        <w:tc>
          <w:tcPr>
            <w:tcW w:w="0" w:type="auto"/>
          </w:tcPr>
          <w:p w14:paraId="08F563E1" w14:textId="52DB74CF" w:rsidR="00DF6A2D" w:rsidRPr="00DF6A2D" w:rsidRDefault="00DF6A2D" w:rsidP="00DF6A2D">
            <w:pPr>
              <w:pStyle w:val="NoSpacing"/>
              <w:rPr>
                <w:rFonts w:cstheme="minorHAnsi"/>
              </w:rPr>
            </w:pPr>
            <w:r w:rsidRPr="00DF6A2D">
              <w:rPr>
                <w:rFonts w:cstheme="minorHAnsi"/>
              </w:rPr>
              <w:t>-0.004 (0.010)</w:t>
            </w:r>
          </w:p>
        </w:tc>
        <w:tc>
          <w:tcPr>
            <w:tcW w:w="0" w:type="auto"/>
          </w:tcPr>
          <w:p w14:paraId="49056F2D" w14:textId="752429F4" w:rsidR="00DF6A2D" w:rsidRPr="00DF6A2D" w:rsidRDefault="00DF6A2D" w:rsidP="00DF6A2D">
            <w:pPr>
              <w:pStyle w:val="NoSpacing"/>
              <w:rPr>
                <w:rFonts w:cstheme="minorHAnsi"/>
              </w:rPr>
            </w:pPr>
            <w:r w:rsidRPr="00DF6A2D">
              <w:rPr>
                <w:rFonts w:cstheme="minorHAnsi"/>
              </w:rPr>
              <w:t>-0.000 (0.010)</w:t>
            </w:r>
          </w:p>
        </w:tc>
        <w:tc>
          <w:tcPr>
            <w:tcW w:w="0" w:type="auto"/>
          </w:tcPr>
          <w:p w14:paraId="7086F347" w14:textId="6F913BE5" w:rsidR="00DF6A2D" w:rsidRPr="00DF6A2D" w:rsidRDefault="00DF6A2D" w:rsidP="00DF6A2D">
            <w:pPr>
              <w:pStyle w:val="NoSpacing"/>
              <w:rPr>
                <w:rFonts w:cstheme="minorHAnsi"/>
              </w:rPr>
            </w:pPr>
            <w:r w:rsidRPr="00DF6A2D">
              <w:rPr>
                <w:rFonts w:cstheme="minorHAnsi"/>
              </w:rPr>
              <w:t>-0.000 (0.010)</w:t>
            </w:r>
          </w:p>
        </w:tc>
        <w:tc>
          <w:tcPr>
            <w:tcW w:w="0" w:type="auto"/>
          </w:tcPr>
          <w:p w14:paraId="042FD425" w14:textId="40153F17" w:rsidR="00DF6A2D" w:rsidRPr="00DF6A2D" w:rsidRDefault="00DF6A2D" w:rsidP="00DF6A2D">
            <w:pPr>
              <w:pStyle w:val="NoSpacing"/>
              <w:rPr>
                <w:rFonts w:cstheme="minorHAnsi"/>
              </w:rPr>
            </w:pPr>
            <w:r w:rsidRPr="00DF6A2D">
              <w:rPr>
                <w:rFonts w:cstheme="minorHAnsi"/>
              </w:rPr>
              <w:t>0.014 (0.012)</w:t>
            </w:r>
          </w:p>
        </w:tc>
        <w:tc>
          <w:tcPr>
            <w:tcW w:w="0" w:type="auto"/>
          </w:tcPr>
          <w:p w14:paraId="39EA51E7" w14:textId="0DF92540" w:rsidR="00DF6A2D" w:rsidRPr="00DF6A2D" w:rsidRDefault="00DF6A2D" w:rsidP="00DF6A2D">
            <w:pPr>
              <w:pStyle w:val="NoSpacing"/>
              <w:rPr>
                <w:rFonts w:cstheme="minorHAnsi"/>
              </w:rPr>
            </w:pPr>
            <w:r w:rsidRPr="00DF6A2D">
              <w:rPr>
                <w:rFonts w:cstheme="minorHAnsi"/>
              </w:rPr>
              <w:t>0.001 (0.011)</w:t>
            </w:r>
          </w:p>
        </w:tc>
        <w:tc>
          <w:tcPr>
            <w:tcW w:w="0" w:type="auto"/>
          </w:tcPr>
          <w:p w14:paraId="6D54E92D" w14:textId="565F8E98" w:rsidR="00DF6A2D" w:rsidRPr="00DF6A2D" w:rsidRDefault="00DF6A2D" w:rsidP="00DF6A2D">
            <w:pPr>
              <w:pStyle w:val="NoSpacing"/>
              <w:rPr>
                <w:rFonts w:cstheme="minorHAnsi"/>
              </w:rPr>
            </w:pPr>
            <w:r w:rsidRPr="00DF6A2D">
              <w:rPr>
                <w:rFonts w:cstheme="minorHAnsi"/>
              </w:rPr>
              <w:t>0.016 (0.012)</w:t>
            </w:r>
          </w:p>
        </w:tc>
        <w:tc>
          <w:tcPr>
            <w:tcW w:w="0" w:type="auto"/>
          </w:tcPr>
          <w:p w14:paraId="6D825084" w14:textId="708F39FF" w:rsidR="00DF6A2D" w:rsidRPr="00DF6A2D" w:rsidRDefault="00DF6A2D" w:rsidP="00DF6A2D">
            <w:pPr>
              <w:pStyle w:val="NoSpacing"/>
              <w:rPr>
                <w:rFonts w:cstheme="minorHAnsi"/>
              </w:rPr>
            </w:pPr>
            <w:r w:rsidRPr="00DF6A2D">
              <w:rPr>
                <w:rFonts w:cstheme="minorHAnsi"/>
              </w:rPr>
              <w:t>0.017 (0.012)</w:t>
            </w:r>
          </w:p>
        </w:tc>
        <w:tc>
          <w:tcPr>
            <w:tcW w:w="0" w:type="auto"/>
          </w:tcPr>
          <w:p w14:paraId="3B57CAD2" w14:textId="757FDAF4" w:rsidR="00DF6A2D" w:rsidRPr="00DF6A2D" w:rsidRDefault="00DF6A2D" w:rsidP="00DF6A2D">
            <w:pPr>
              <w:pStyle w:val="NoSpacing"/>
              <w:rPr>
                <w:rFonts w:cstheme="minorHAnsi"/>
              </w:rPr>
            </w:pPr>
            <w:r w:rsidRPr="00DF6A2D">
              <w:rPr>
                <w:rFonts w:cstheme="minorHAnsi"/>
              </w:rPr>
              <w:t>0.021 (0.013)</w:t>
            </w:r>
          </w:p>
        </w:tc>
      </w:tr>
      <w:tr w:rsidR="00DF6A2D" w:rsidRPr="00DF6A2D" w14:paraId="6DC370EB" w14:textId="77777777" w:rsidTr="00DF6A2D">
        <w:tc>
          <w:tcPr>
            <w:tcW w:w="0" w:type="auto"/>
          </w:tcPr>
          <w:p w14:paraId="29480B9D" w14:textId="1717D72A" w:rsidR="00DF6A2D" w:rsidRPr="00DF6A2D" w:rsidRDefault="00DF6A2D" w:rsidP="00DF6A2D">
            <w:pPr>
              <w:pStyle w:val="NoSpacing"/>
              <w:rPr>
                <w:rFonts w:cstheme="minorHAnsi"/>
              </w:rPr>
            </w:pPr>
            <w:r w:rsidRPr="00DF6A2D">
              <w:rPr>
                <w:rFonts w:cstheme="minorHAnsi"/>
              </w:rPr>
              <w:t xml:space="preserve">Minority </w:t>
            </w:r>
          </w:p>
        </w:tc>
        <w:tc>
          <w:tcPr>
            <w:tcW w:w="0" w:type="auto"/>
          </w:tcPr>
          <w:p w14:paraId="4BF25A2E" w14:textId="08A622A7" w:rsidR="00DF6A2D" w:rsidRPr="00DF6A2D" w:rsidRDefault="00DF6A2D" w:rsidP="00DF6A2D">
            <w:pPr>
              <w:pStyle w:val="NoSpacing"/>
              <w:rPr>
                <w:rFonts w:cstheme="minorHAnsi"/>
              </w:rPr>
            </w:pPr>
            <w:r w:rsidRPr="00DF6A2D">
              <w:rPr>
                <w:rFonts w:cstheme="minorHAnsi"/>
              </w:rPr>
              <w:t>0.448** (0.172)</w:t>
            </w:r>
          </w:p>
        </w:tc>
        <w:tc>
          <w:tcPr>
            <w:tcW w:w="0" w:type="auto"/>
          </w:tcPr>
          <w:p w14:paraId="2B7A6FE1" w14:textId="68BF7975" w:rsidR="00DF6A2D" w:rsidRPr="00DF6A2D" w:rsidRDefault="00DF6A2D" w:rsidP="00DF6A2D">
            <w:pPr>
              <w:pStyle w:val="NoSpacing"/>
              <w:rPr>
                <w:rFonts w:cstheme="minorHAnsi"/>
              </w:rPr>
            </w:pPr>
            <w:r w:rsidRPr="00DF6A2D">
              <w:rPr>
                <w:rFonts w:cstheme="minorHAnsi"/>
              </w:rPr>
              <w:t>0.221 (0.169)</w:t>
            </w:r>
          </w:p>
        </w:tc>
        <w:tc>
          <w:tcPr>
            <w:tcW w:w="0" w:type="auto"/>
          </w:tcPr>
          <w:p w14:paraId="1322C410" w14:textId="72671FAF" w:rsidR="00DF6A2D" w:rsidRPr="00DF6A2D" w:rsidRDefault="00DF6A2D" w:rsidP="00DF6A2D">
            <w:pPr>
              <w:pStyle w:val="NoSpacing"/>
              <w:rPr>
                <w:rFonts w:cstheme="minorHAnsi"/>
              </w:rPr>
            </w:pPr>
            <w:r w:rsidRPr="00DF6A2D">
              <w:rPr>
                <w:rFonts w:cstheme="minorHAnsi"/>
              </w:rPr>
              <w:t>0.243 (0.166)</w:t>
            </w:r>
          </w:p>
        </w:tc>
        <w:tc>
          <w:tcPr>
            <w:tcW w:w="0" w:type="auto"/>
          </w:tcPr>
          <w:p w14:paraId="37C84B91" w14:textId="2640CF5C" w:rsidR="00DF6A2D" w:rsidRPr="00DF6A2D" w:rsidRDefault="00DF6A2D" w:rsidP="00DF6A2D">
            <w:pPr>
              <w:pStyle w:val="NoSpacing"/>
              <w:rPr>
                <w:rFonts w:cstheme="minorHAnsi"/>
              </w:rPr>
            </w:pPr>
            <w:r w:rsidRPr="00DF6A2D">
              <w:rPr>
                <w:rFonts w:cstheme="minorHAnsi"/>
              </w:rPr>
              <w:t>0.244 (0.166)</w:t>
            </w:r>
          </w:p>
        </w:tc>
        <w:tc>
          <w:tcPr>
            <w:tcW w:w="0" w:type="auto"/>
          </w:tcPr>
          <w:p w14:paraId="1A07C488" w14:textId="51093F1D" w:rsidR="00DF6A2D" w:rsidRPr="00DF6A2D" w:rsidRDefault="00DF6A2D" w:rsidP="00DF6A2D">
            <w:pPr>
              <w:pStyle w:val="NoSpacing"/>
              <w:rPr>
                <w:rFonts w:cstheme="minorHAnsi"/>
              </w:rPr>
            </w:pPr>
            <w:r w:rsidRPr="00DF6A2D">
              <w:rPr>
                <w:rFonts w:cstheme="minorHAnsi"/>
              </w:rPr>
              <w:t>0.193 (0.171)</w:t>
            </w:r>
          </w:p>
        </w:tc>
        <w:tc>
          <w:tcPr>
            <w:tcW w:w="0" w:type="auto"/>
          </w:tcPr>
          <w:p w14:paraId="370B5A7E" w14:textId="0E0120D2" w:rsidR="00DF6A2D" w:rsidRPr="00DF6A2D" w:rsidRDefault="00DF6A2D" w:rsidP="00DF6A2D">
            <w:pPr>
              <w:pStyle w:val="NoSpacing"/>
              <w:rPr>
                <w:rFonts w:cstheme="minorHAnsi"/>
              </w:rPr>
            </w:pPr>
            <w:r w:rsidRPr="00DF6A2D">
              <w:rPr>
                <w:rFonts w:cstheme="minorHAnsi"/>
              </w:rPr>
              <w:t>0.249 (0.165)</w:t>
            </w:r>
          </w:p>
        </w:tc>
        <w:tc>
          <w:tcPr>
            <w:tcW w:w="0" w:type="auto"/>
          </w:tcPr>
          <w:p w14:paraId="499B5962" w14:textId="0AA9F111" w:rsidR="00DF6A2D" w:rsidRPr="00DF6A2D" w:rsidRDefault="00DF6A2D" w:rsidP="00DF6A2D">
            <w:pPr>
              <w:pStyle w:val="NoSpacing"/>
              <w:rPr>
                <w:rFonts w:cstheme="minorHAnsi"/>
              </w:rPr>
            </w:pPr>
            <w:r w:rsidRPr="00DF6A2D">
              <w:rPr>
                <w:rFonts w:cstheme="minorHAnsi"/>
              </w:rPr>
              <w:t>0.192 (0.171)</w:t>
            </w:r>
          </w:p>
        </w:tc>
        <w:tc>
          <w:tcPr>
            <w:tcW w:w="0" w:type="auto"/>
          </w:tcPr>
          <w:p w14:paraId="67C0D49F" w14:textId="1211CF47" w:rsidR="00DF6A2D" w:rsidRPr="00DF6A2D" w:rsidRDefault="00DF6A2D" w:rsidP="00DF6A2D">
            <w:pPr>
              <w:pStyle w:val="NoSpacing"/>
              <w:rPr>
                <w:rFonts w:cstheme="minorHAnsi"/>
              </w:rPr>
            </w:pPr>
            <w:r w:rsidRPr="00DF6A2D">
              <w:rPr>
                <w:rFonts w:cstheme="minorHAnsi"/>
              </w:rPr>
              <w:t>0.232 (0.164)</w:t>
            </w:r>
          </w:p>
        </w:tc>
        <w:tc>
          <w:tcPr>
            <w:tcW w:w="0" w:type="auto"/>
          </w:tcPr>
          <w:p w14:paraId="6BA9D7A9" w14:textId="5D5A1427" w:rsidR="00DF6A2D" w:rsidRPr="00DF6A2D" w:rsidRDefault="00DF6A2D" w:rsidP="00DF6A2D">
            <w:pPr>
              <w:pStyle w:val="NoSpacing"/>
              <w:rPr>
                <w:rFonts w:cstheme="minorHAnsi"/>
              </w:rPr>
            </w:pPr>
            <w:r w:rsidRPr="00DF6A2D">
              <w:rPr>
                <w:rFonts w:cstheme="minorHAnsi"/>
              </w:rPr>
              <w:t>0.331† (0.173)</w:t>
            </w:r>
          </w:p>
        </w:tc>
      </w:tr>
      <w:tr w:rsidR="00DF6A2D" w:rsidRPr="00DF6A2D" w14:paraId="583AFF70" w14:textId="77777777" w:rsidTr="00DF6A2D">
        <w:tc>
          <w:tcPr>
            <w:tcW w:w="0" w:type="auto"/>
          </w:tcPr>
          <w:p w14:paraId="030862C3" w14:textId="43F43B0C" w:rsidR="00DF6A2D" w:rsidRPr="00DF6A2D" w:rsidRDefault="00DF6A2D" w:rsidP="00DF6A2D">
            <w:pPr>
              <w:pStyle w:val="NoSpacing"/>
              <w:rPr>
                <w:rFonts w:cstheme="minorHAnsi"/>
              </w:rPr>
            </w:pPr>
            <w:r w:rsidRPr="00DF6A2D">
              <w:rPr>
                <w:rFonts w:cstheme="minorHAnsi"/>
              </w:rPr>
              <w:t>Football bowl</w:t>
            </w:r>
            <w:r>
              <w:rPr>
                <w:rFonts w:cstheme="minorHAnsi"/>
              </w:rPr>
              <w:t xml:space="preserve"> </w:t>
            </w:r>
            <w:r w:rsidRPr="00DF6A2D">
              <w:rPr>
                <w:rFonts w:cstheme="minorHAnsi"/>
              </w:rPr>
              <w:t xml:space="preserve">subdivision </w:t>
            </w:r>
          </w:p>
        </w:tc>
        <w:tc>
          <w:tcPr>
            <w:tcW w:w="0" w:type="auto"/>
          </w:tcPr>
          <w:p w14:paraId="73C18557" w14:textId="09DBFD1E" w:rsidR="00DF6A2D" w:rsidRPr="00DF6A2D" w:rsidRDefault="00DF6A2D" w:rsidP="00DF6A2D">
            <w:pPr>
              <w:pStyle w:val="NoSpacing"/>
              <w:rPr>
                <w:rFonts w:cstheme="minorHAnsi"/>
              </w:rPr>
            </w:pPr>
            <w:r w:rsidRPr="00DF6A2D">
              <w:rPr>
                <w:rFonts w:cstheme="minorHAnsi"/>
              </w:rPr>
              <w:t>-0.011 (0.345)</w:t>
            </w:r>
          </w:p>
        </w:tc>
        <w:tc>
          <w:tcPr>
            <w:tcW w:w="0" w:type="auto"/>
          </w:tcPr>
          <w:p w14:paraId="622544C8" w14:textId="70ECCBC9" w:rsidR="00DF6A2D" w:rsidRPr="00DF6A2D" w:rsidRDefault="00DF6A2D" w:rsidP="00DF6A2D">
            <w:pPr>
              <w:pStyle w:val="NoSpacing"/>
              <w:rPr>
                <w:rFonts w:cstheme="minorHAnsi"/>
              </w:rPr>
            </w:pPr>
            <w:r w:rsidRPr="00DF6A2D">
              <w:rPr>
                <w:rFonts w:cstheme="minorHAnsi"/>
              </w:rPr>
              <w:t>0.144 (0.342)</w:t>
            </w:r>
          </w:p>
        </w:tc>
        <w:tc>
          <w:tcPr>
            <w:tcW w:w="0" w:type="auto"/>
          </w:tcPr>
          <w:p w14:paraId="4ACC85E5" w14:textId="554E7D47" w:rsidR="00DF6A2D" w:rsidRPr="00DF6A2D" w:rsidRDefault="00DF6A2D" w:rsidP="00DF6A2D">
            <w:pPr>
              <w:pStyle w:val="NoSpacing"/>
              <w:rPr>
                <w:rFonts w:cstheme="minorHAnsi"/>
              </w:rPr>
            </w:pPr>
            <w:r w:rsidRPr="00DF6A2D">
              <w:rPr>
                <w:rFonts w:cstheme="minorHAnsi"/>
              </w:rPr>
              <w:t>0.091 (0.342)</w:t>
            </w:r>
          </w:p>
        </w:tc>
        <w:tc>
          <w:tcPr>
            <w:tcW w:w="0" w:type="auto"/>
          </w:tcPr>
          <w:p w14:paraId="233988D8" w14:textId="1DCF1144" w:rsidR="00DF6A2D" w:rsidRPr="00DF6A2D" w:rsidRDefault="00DF6A2D" w:rsidP="00DF6A2D">
            <w:pPr>
              <w:pStyle w:val="NoSpacing"/>
              <w:rPr>
                <w:rFonts w:cstheme="minorHAnsi"/>
              </w:rPr>
            </w:pPr>
            <w:r w:rsidRPr="00DF6A2D">
              <w:rPr>
                <w:rFonts w:cstheme="minorHAnsi"/>
              </w:rPr>
              <w:t>0.098 (0.343)</w:t>
            </w:r>
          </w:p>
        </w:tc>
        <w:tc>
          <w:tcPr>
            <w:tcW w:w="0" w:type="auto"/>
          </w:tcPr>
          <w:p w14:paraId="71439A76" w14:textId="3CB0E0AC" w:rsidR="00DF6A2D" w:rsidRPr="00DF6A2D" w:rsidRDefault="00DF6A2D" w:rsidP="00DF6A2D">
            <w:pPr>
              <w:pStyle w:val="NoSpacing"/>
              <w:rPr>
                <w:rFonts w:cstheme="minorHAnsi"/>
              </w:rPr>
            </w:pPr>
            <w:r w:rsidRPr="00DF6A2D">
              <w:rPr>
                <w:rFonts w:cstheme="minorHAnsi"/>
              </w:rPr>
              <w:t>0.131 (0.346)</w:t>
            </w:r>
          </w:p>
        </w:tc>
        <w:tc>
          <w:tcPr>
            <w:tcW w:w="0" w:type="auto"/>
          </w:tcPr>
          <w:p w14:paraId="49899275" w14:textId="16A27045" w:rsidR="00DF6A2D" w:rsidRPr="00DF6A2D" w:rsidRDefault="00DF6A2D" w:rsidP="00DF6A2D">
            <w:pPr>
              <w:pStyle w:val="NoSpacing"/>
              <w:rPr>
                <w:rFonts w:cstheme="minorHAnsi"/>
              </w:rPr>
            </w:pPr>
            <w:r w:rsidRPr="00DF6A2D">
              <w:rPr>
                <w:rFonts w:cstheme="minorHAnsi"/>
              </w:rPr>
              <w:t>-0.193 (0.357)</w:t>
            </w:r>
          </w:p>
        </w:tc>
        <w:tc>
          <w:tcPr>
            <w:tcW w:w="0" w:type="auto"/>
          </w:tcPr>
          <w:p w14:paraId="3DC47A6E" w14:textId="617920E7" w:rsidR="00DF6A2D" w:rsidRPr="00DF6A2D" w:rsidRDefault="00DF6A2D" w:rsidP="00DF6A2D">
            <w:pPr>
              <w:pStyle w:val="NoSpacing"/>
              <w:rPr>
                <w:rFonts w:cstheme="minorHAnsi"/>
              </w:rPr>
            </w:pPr>
            <w:r w:rsidRPr="00DF6A2D">
              <w:rPr>
                <w:rFonts w:cstheme="minorHAnsi"/>
              </w:rPr>
              <w:t>-0.168 (0.364)</w:t>
            </w:r>
          </w:p>
        </w:tc>
        <w:tc>
          <w:tcPr>
            <w:tcW w:w="0" w:type="auto"/>
          </w:tcPr>
          <w:p w14:paraId="3599A554" w14:textId="74FCF191" w:rsidR="00DF6A2D" w:rsidRPr="00DF6A2D" w:rsidRDefault="00DF6A2D" w:rsidP="00DF6A2D">
            <w:pPr>
              <w:pStyle w:val="NoSpacing"/>
              <w:rPr>
                <w:rFonts w:cstheme="minorHAnsi"/>
              </w:rPr>
            </w:pPr>
            <w:r w:rsidRPr="00DF6A2D">
              <w:rPr>
                <w:rFonts w:cstheme="minorHAnsi"/>
              </w:rPr>
              <w:t>-0.261 (0.347)</w:t>
            </w:r>
          </w:p>
        </w:tc>
        <w:tc>
          <w:tcPr>
            <w:tcW w:w="0" w:type="auto"/>
          </w:tcPr>
          <w:p w14:paraId="62685969" w14:textId="39FB1B22" w:rsidR="00DF6A2D" w:rsidRPr="00DF6A2D" w:rsidRDefault="00DF6A2D" w:rsidP="00DF6A2D">
            <w:pPr>
              <w:pStyle w:val="NoSpacing"/>
              <w:rPr>
                <w:rFonts w:cstheme="minorHAnsi"/>
              </w:rPr>
            </w:pPr>
            <w:r w:rsidRPr="00DF6A2D">
              <w:rPr>
                <w:rFonts w:cstheme="minorHAnsi"/>
              </w:rPr>
              <w:t>-0.196 (0.353)</w:t>
            </w:r>
          </w:p>
        </w:tc>
      </w:tr>
      <w:tr w:rsidR="00DF6A2D" w:rsidRPr="00DF6A2D" w14:paraId="776B1AB4" w14:textId="77777777" w:rsidTr="00DF6A2D">
        <w:tc>
          <w:tcPr>
            <w:tcW w:w="0" w:type="auto"/>
          </w:tcPr>
          <w:p w14:paraId="7B9E272B" w14:textId="2D0770A5" w:rsidR="00DF6A2D" w:rsidRPr="00DF6A2D" w:rsidRDefault="00DF6A2D" w:rsidP="00DF6A2D">
            <w:pPr>
              <w:pStyle w:val="NoSpacing"/>
              <w:rPr>
                <w:rFonts w:cstheme="minorHAnsi"/>
              </w:rPr>
            </w:pPr>
            <w:r w:rsidRPr="00DF6A2D">
              <w:rPr>
                <w:rFonts w:cstheme="minorHAnsi"/>
              </w:rPr>
              <w:t xml:space="preserve">NCAA sanctions </w:t>
            </w:r>
          </w:p>
        </w:tc>
        <w:tc>
          <w:tcPr>
            <w:tcW w:w="0" w:type="auto"/>
          </w:tcPr>
          <w:p w14:paraId="7D519A0C" w14:textId="11792C42" w:rsidR="00DF6A2D" w:rsidRPr="00DF6A2D" w:rsidRDefault="00DF6A2D" w:rsidP="00DF6A2D">
            <w:pPr>
              <w:pStyle w:val="NoSpacing"/>
              <w:rPr>
                <w:rFonts w:cstheme="minorHAnsi"/>
              </w:rPr>
            </w:pPr>
            <w:r w:rsidRPr="00DF6A2D">
              <w:rPr>
                <w:rFonts w:cstheme="minorHAnsi"/>
              </w:rPr>
              <w:t>0.028 (0.491)</w:t>
            </w:r>
          </w:p>
        </w:tc>
        <w:tc>
          <w:tcPr>
            <w:tcW w:w="0" w:type="auto"/>
          </w:tcPr>
          <w:p w14:paraId="3E8FC142" w14:textId="2896BDFC" w:rsidR="00DF6A2D" w:rsidRPr="00DF6A2D" w:rsidRDefault="00DF6A2D" w:rsidP="00DF6A2D">
            <w:pPr>
              <w:pStyle w:val="NoSpacing"/>
              <w:rPr>
                <w:rFonts w:cstheme="minorHAnsi"/>
              </w:rPr>
            </w:pPr>
            <w:r w:rsidRPr="00DF6A2D">
              <w:rPr>
                <w:rFonts w:cstheme="minorHAnsi"/>
              </w:rPr>
              <w:t>-0.159 (0.439)</w:t>
            </w:r>
          </w:p>
        </w:tc>
        <w:tc>
          <w:tcPr>
            <w:tcW w:w="0" w:type="auto"/>
          </w:tcPr>
          <w:p w14:paraId="2BF5E768" w14:textId="5BB2C2B8" w:rsidR="00DF6A2D" w:rsidRPr="00DF6A2D" w:rsidRDefault="00DF6A2D" w:rsidP="00DF6A2D">
            <w:pPr>
              <w:pStyle w:val="NoSpacing"/>
              <w:rPr>
                <w:rFonts w:cstheme="minorHAnsi"/>
              </w:rPr>
            </w:pPr>
            <w:r w:rsidRPr="00DF6A2D">
              <w:rPr>
                <w:rFonts w:cstheme="minorHAnsi"/>
              </w:rPr>
              <w:t>-0.020 (0.461)</w:t>
            </w:r>
          </w:p>
        </w:tc>
        <w:tc>
          <w:tcPr>
            <w:tcW w:w="0" w:type="auto"/>
          </w:tcPr>
          <w:p w14:paraId="13BB3FE0" w14:textId="550A94E1" w:rsidR="00DF6A2D" w:rsidRPr="00DF6A2D" w:rsidRDefault="00DF6A2D" w:rsidP="00DF6A2D">
            <w:pPr>
              <w:pStyle w:val="NoSpacing"/>
              <w:rPr>
                <w:rFonts w:cstheme="minorHAnsi"/>
              </w:rPr>
            </w:pPr>
            <w:r w:rsidRPr="00DF6A2D">
              <w:rPr>
                <w:rFonts w:cstheme="minorHAnsi"/>
              </w:rPr>
              <w:t>-0.004 (0.473)</w:t>
            </w:r>
          </w:p>
        </w:tc>
        <w:tc>
          <w:tcPr>
            <w:tcW w:w="0" w:type="auto"/>
          </w:tcPr>
          <w:p w14:paraId="118E259B" w14:textId="596C20BE" w:rsidR="00DF6A2D" w:rsidRPr="00DF6A2D" w:rsidRDefault="00DF6A2D" w:rsidP="00DF6A2D">
            <w:pPr>
              <w:pStyle w:val="NoSpacing"/>
              <w:rPr>
                <w:rFonts w:cstheme="minorHAnsi"/>
              </w:rPr>
            </w:pPr>
            <w:r w:rsidRPr="00DF6A2D">
              <w:rPr>
                <w:rFonts w:cstheme="minorHAnsi"/>
              </w:rPr>
              <w:t>-0.173 (0.497)</w:t>
            </w:r>
          </w:p>
        </w:tc>
        <w:tc>
          <w:tcPr>
            <w:tcW w:w="0" w:type="auto"/>
          </w:tcPr>
          <w:p w14:paraId="15456BC0" w14:textId="68B9988D" w:rsidR="00DF6A2D" w:rsidRPr="00DF6A2D" w:rsidRDefault="00DF6A2D" w:rsidP="00DF6A2D">
            <w:pPr>
              <w:pStyle w:val="NoSpacing"/>
              <w:rPr>
                <w:rFonts w:cstheme="minorHAnsi"/>
              </w:rPr>
            </w:pPr>
            <w:r w:rsidRPr="00DF6A2D">
              <w:rPr>
                <w:rFonts w:cstheme="minorHAnsi"/>
              </w:rPr>
              <w:t>-0.035 (0.440)</w:t>
            </w:r>
          </w:p>
        </w:tc>
        <w:tc>
          <w:tcPr>
            <w:tcW w:w="0" w:type="auto"/>
          </w:tcPr>
          <w:p w14:paraId="23436052" w14:textId="47468951" w:rsidR="00DF6A2D" w:rsidRPr="00DF6A2D" w:rsidRDefault="00DF6A2D" w:rsidP="00DF6A2D">
            <w:pPr>
              <w:pStyle w:val="NoSpacing"/>
              <w:rPr>
                <w:rFonts w:cstheme="minorHAnsi"/>
              </w:rPr>
            </w:pPr>
            <w:r w:rsidRPr="00DF6A2D">
              <w:rPr>
                <w:rFonts w:cstheme="minorHAnsi"/>
              </w:rPr>
              <w:t>-0.177 (0.492)</w:t>
            </w:r>
          </w:p>
        </w:tc>
        <w:tc>
          <w:tcPr>
            <w:tcW w:w="0" w:type="auto"/>
          </w:tcPr>
          <w:p w14:paraId="6AD2ECC6" w14:textId="0CC00024" w:rsidR="00DF6A2D" w:rsidRPr="00DF6A2D" w:rsidRDefault="00DF6A2D" w:rsidP="00DF6A2D">
            <w:pPr>
              <w:pStyle w:val="NoSpacing"/>
              <w:rPr>
                <w:rFonts w:cstheme="minorHAnsi"/>
              </w:rPr>
            </w:pPr>
            <w:r w:rsidRPr="00DF6A2D">
              <w:rPr>
                <w:rFonts w:cstheme="minorHAnsi"/>
              </w:rPr>
              <w:t>-0.129 (0.499)</w:t>
            </w:r>
          </w:p>
        </w:tc>
        <w:tc>
          <w:tcPr>
            <w:tcW w:w="0" w:type="auto"/>
          </w:tcPr>
          <w:p w14:paraId="38D2509B" w14:textId="6E1B6FB1" w:rsidR="00DF6A2D" w:rsidRPr="00DF6A2D" w:rsidRDefault="00DF6A2D" w:rsidP="00DF6A2D">
            <w:pPr>
              <w:pStyle w:val="NoSpacing"/>
              <w:rPr>
                <w:rFonts w:cstheme="minorHAnsi"/>
              </w:rPr>
            </w:pPr>
            <w:r w:rsidRPr="00DF6A2D">
              <w:rPr>
                <w:rFonts w:cstheme="minorHAnsi"/>
              </w:rPr>
              <w:t>-0.116 (0.518)</w:t>
            </w:r>
          </w:p>
        </w:tc>
      </w:tr>
      <w:tr w:rsidR="00DF6A2D" w:rsidRPr="00DF6A2D" w14:paraId="328C5455" w14:textId="77777777" w:rsidTr="00DF6A2D">
        <w:tc>
          <w:tcPr>
            <w:tcW w:w="0" w:type="auto"/>
          </w:tcPr>
          <w:p w14:paraId="626E6AD5" w14:textId="03EEE0FB" w:rsidR="00DF6A2D" w:rsidRPr="00DF6A2D" w:rsidRDefault="00DF6A2D" w:rsidP="00DF6A2D">
            <w:pPr>
              <w:pStyle w:val="NoSpacing"/>
              <w:rPr>
                <w:rFonts w:cstheme="minorHAnsi"/>
              </w:rPr>
            </w:pPr>
            <w:r w:rsidRPr="00DF6A2D">
              <w:rPr>
                <w:rFonts w:cstheme="minorHAnsi"/>
              </w:rPr>
              <w:t xml:space="preserve">Basketball expenses </w:t>
            </w:r>
          </w:p>
        </w:tc>
        <w:tc>
          <w:tcPr>
            <w:tcW w:w="0" w:type="auto"/>
          </w:tcPr>
          <w:p w14:paraId="41056989" w14:textId="7E39A27F" w:rsidR="00DF6A2D" w:rsidRPr="00DF6A2D" w:rsidRDefault="00DF6A2D" w:rsidP="00DF6A2D">
            <w:pPr>
              <w:pStyle w:val="NoSpacing"/>
              <w:rPr>
                <w:rFonts w:cstheme="minorHAnsi"/>
              </w:rPr>
            </w:pPr>
            <w:r w:rsidRPr="00DF6A2D">
              <w:rPr>
                <w:rFonts w:cstheme="minorHAnsi"/>
              </w:rPr>
              <w:t>0.199*** (0.037)</w:t>
            </w:r>
          </w:p>
        </w:tc>
        <w:tc>
          <w:tcPr>
            <w:tcW w:w="0" w:type="auto"/>
          </w:tcPr>
          <w:p w14:paraId="07AE85CA" w14:textId="4EA9B470" w:rsidR="00DF6A2D" w:rsidRPr="00DF6A2D" w:rsidRDefault="00DF6A2D" w:rsidP="00DF6A2D">
            <w:pPr>
              <w:pStyle w:val="NoSpacing"/>
              <w:rPr>
                <w:rFonts w:cstheme="minorHAnsi"/>
              </w:rPr>
            </w:pPr>
            <w:r w:rsidRPr="00DF6A2D">
              <w:rPr>
                <w:rFonts w:cstheme="minorHAnsi"/>
              </w:rPr>
              <w:t>0.217*** (0.034)</w:t>
            </w:r>
          </w:p>
        </w:tc>
        <w:tc>
          <w:tcPr>
            <w:tcW w:w="0" w:type="auto"/>
          </w:tcPr>
          <w:p w14:paraId="4D4F41C4" w14:textId="72ECBF8D" w:rsidR="00DF6A2D" w:rsidRPr="00DF6A2D" w:rsidRDefault="00DF6A2D" w:rsidP="00DF6A2D">
            <w:pPr>
              <w:pStyle w:val="NoSpacing"/>
              <w:rPr>
                <w:rFonts w:cstheme="minorHAnsi"/>
              </w:rPr>
            </w:pPr>
            <w:r w:rsidRPr="00DF6A2D">
              <w:rPr>
                <w:rFonts w:cstheme="minorHAnsi"/>
              </w:rPr>
              <w:t>0.212*** (0.035)</w:t>
            </w:r>
          </w:p>
        </w:tc>
        <w:tc>
          <w:tcPr>
            <w:tcW w:w="0" w:type="auto"/>
          </w:tcPr>
          <w:p w14:paraId="749ADC8F" w14:textId="2B57C010" w:rsidR="00DF6A2D" w:rsidRPr="00DF6A2D" w:rsidRDefault="00DF6A2D" w:rsidP="00DF6A2D">
            <w:pPr>
              <w:pStyle w:val="NoSpacing"/>
              <w:rPr>
                <w:rFonts w:cstheme="minorHAnsi"/>
              </w:rPr>
            </w:pPr>
            <w:r w:rsidRPr="00DF6A2D">
              <w:rPr>
                <w:rFonts w:cstheme="minorHAnsi"/>
              </w:rPr>
              <w:t>0.212*** (0.035)</w:t>
            </w:r>
          </w:p>
        </w:tc>
        <w:tc>
          <w:tcPr>
            <w:tcW w:w="0" w:type="auto"/>
          </w:tcPr>
          <w:p w14:paraId="740C4A6A" w14:textId="64090F62" w:rsidR="00DF6A2D" w:rsidRPr="00DF6A2D" w:rsidRDefault="00DF6A2D" w:rsidP="00DF6A2D">
            <w:pPr>
              <w:pStyle w:val="NoSpacing"/>
              <w:rPr>
                <w:rFonts w:cstheme="minorHAnsi"/>
              </w:rPr>
            </w:pPr>
            <w:r w:rsidRPr="00DF6A2D">
              <w:rPr>
                <w:rFonts w:cstheme="minorHAnsi"/>
              </w:rPr>
              <w:t>0.226*** (0.035)</w:t>
            </w:r>
          </w:p>
        </w:tc>
        <w:tc>
          <w:tcPr>
            <w:tcW w:w="0" w:type="auto"/>
          </w:tcPr>
          <w:p w14:paraId="168FB713" w14:textId="06982D13" w:rsidR="00DF6A2D" w:rsidRPr="00DF6A2D" w:rsidRDefault="00DF6A2D" w:rsidP="00DF6A2D">
            <w:pPr>
              <w:pStyle w:val="NoSpacing"/>
              <w:rPr>
                <w:rFonts w:cstheme="minorHAnsi"/>
              </w:rPr>
            </w:pPr>
            <w:r w:rsidRPr="00DF6A2D">
              <w:rPr>
                <w:rFonts w:cstheme="minorHAnsi"/>
              </w:rPr>
              <w:t>0.214*** (0.033)</w:t>
            </w:r>
          </w:p>
        </w:tc>
        <w:tc>
          <w:tcPr>
            <w:tcW w:w="0" w:type="auto"/>
          </w:tcPr>
          <w:p w14:paraId="226F2367" w14:textId="79CA8854" w:rsidR="00DF6A2D" w:rsidRPr="00DF6A2D" w:rsidRDefault="00DF6A2D" w:rsidP="00DF6A2D">
            <w:pPr>
              <w:pStyle w:val="NoSpacing"/>
              <w:rPr>
                <w:rFonts w:cstheme="minorHAnsi"/>
              </w:rPr>
            </w:pPr>
            <w:r w:rsidRPr="00DF6A2D">
              <w:rPr>
                <w:rFonts w:cstheme="minorHAnsi"/>
              </w:rPr>
              <w:t>0.230*** (0.034)</w:t>
            </w:r>
          </w:p>
        </w:tc>
        <w:tc>
          <w:tcPr>
            <w:tcW w:w="0" w:type="auto"/>
          </w:tcPr>
          <w:p w14:paraId="1CADF58B" w14:textId="3EE57D29" w:rsidR="00DF6A2D" w:rsidRPr="00DF6A2D" w:rsidRDefault="00DF6A2D" w:rsidP="00DF6A2D">
            <w:pPr>
              <w:pStyle w:val="NoSpacing"/>
              <w:rPr>
                <w:rFonts w:cstheme="minorHAnsi"/>
              </w:rPr>
            </w:pPr>
            <w:r w:rsidRPr="00DF6A2D">
              <w:rPr>
                <w:rFonts w:cstheme="minorHAnsi"/>
              </w:rPr>
              <w:t>0.240*** (0.036)</w:t>
            </w:r>
          </w:p>
        </w:tc>
        <w:tc>
          <w:tcPr>
            <w:tcW w:w="0" w:type="auto"/>
          </w:tcPr>
          <w:p w14:paraId="58B1A824" w14:textId="70BB7E0F" w:rsidR="00DF6A2D" w:rsidRPr="00DF6A2D" w:rsidRDefault="00DF6A2D" w:rsidP="00DF6A2D">
            <w:pPr>
              <w:pStyle w:val="NoSpacing"/>
              <w:rPr>
                <w:rFonts w:cstheme="minorHAnsi"/>
              </w:rPr>
            </w:pPr>
            <w:r w:rsidRPr="00DF6A2D">
              <w:rPr>
                <w:rFonts w:cstheme="minorHAnsi"/>
              </w:rPr>
              <w:t>0.222*** (0.035)</w:t>
            </w:r>
          </w:p>
        </w:tc>
      </w:tr>
      <w:tr w:rsidR="00DF6A2D" w:rsidRPr="00DF6A2D" w14:paraId="3005EDC7" w14:textId="77777777" w:rsidTr="00DF6A2D">
        <w:tc>
          <w:tcPr>
            <w:tcW w:w="0" w:type="auto"/>
          </w:tcPr>
          <w:p w14:paraId="0B9E92AE" w14:textId="265A8E6F" w:rsidR="00DF6A2D" w:rsidRPr="00DF6A2D" w:rsidRDefault="00DF6A2D" w:rsidP="00DF6A2D">
            <w:pPr>
              <w:pStyle w:val="NoSpacing"/>
              <w:rPr>
                <w:rFonts w:cstheme="minorHAnsi"/>
              </w:rPr>
            </w:pPr>
            <w:r w:rsidRPr="00DF6A2D">
              <w:rPr>
                <w:rFonts w:cstheme="minorHAnsi"/>
              </w:rPr>
              <w:t xml:space="preserve">Preseason ranking </w:t>
            </w:r>
          </w:p>
        </w:tc>
        <w:tc>
          <w:tcPr>
            <w:tcW w:w="0" w:type="auto"/>
          </w:tcPr>
          <w:p w14:paraId="5D6DC885" w14:textId="7B16F563" w:rsidR="00DF6A2D" w:rsidRPr="00DF6A2D" w:rsidRDefault="00DF6A2D" w:rsidP="00DF6A2D">
            <w:pPr>
              <w:pStyle w:val="NoSpacing"/>
              <w:rPr>
                <w:rFonts w:cstheme="minorHAnsi"/>
              </w:rPr>
            </w:pPr>
            <w:r w:rsidRPr="00DF6A2D">
              <w:rPr>
                <w:rFonts w:cstheme="minorHAnsi"/>
              </w:rPr>
              <w:t>-0.073* (0.033)</w:t>
            </w:r>
          </w:p>
        </w:tc>
        <w:tc>
          <w:tcPr>
            <w:tcW w:w="0" w:type="auto"/>
          </w:tcPr>
          <w:p w14:paraId="57B26FB4" w14:textId="4512BE09" w:rsidR="00DF6A2D" w:rsidRPr="00DF6A2D" w:rsidRDefault="00DF6A2D" w:rsidP="00DF6A2D">
            <w:pPr>
              <w:pStyle w:val="NoSpacing"/>
              <w:rPr>
                <w:rFonts w:cstheme="minorHAnsi"/>
              </w:rPr>
            </w:pPr>
            <w:r w:rsidRPr="00DF6A2D">
              <w:rPr>
                <w:rFonts w:cstheme="minorHAnsi"/>
              </w:rPr>
              <w:t>-0.069* (0.032)</w:t>
            </w:r>
          </w:p>
        </w:tc>
        <w:tc>
          <w:tcPr>
            <w:tcW w:w="0" w:type="auto"/>
          </w:tcPr>
          <w:p w14:paraId="737440FA" w14:textId="38401062" w:rsidR="00DF6A2D" w:rsidRPr="00DF6A2D" w:rsidRDefault="00DF6A2D" w:rsidP="00DF6A2D">
            <w:pPr>
              <w:pStyle w:val="NoSpacing"/>
              <w:rPr>
                <w:rFonts w:cstheme="minorHAnsi"/>
              </w:rPr>
            </w:pPr>
            <w:r w:rsidRPr="00DF6A2D">
              <w:rPr>
                <w:rFonts w:cstheme="minorHAnsi"/>
              </w:rPr>
              <w:t>-0.041 (0.032)</w:t>
            </w:r>
          </w:p>
        </w:tc>
        <w:tc>
          <w:tcPr>
            <w:tcW w:w="0" w:type="auto"/>
          </w:tcPr>
          <w:p w14:paraId="4DEDA8F0" w14:textId="3F1BABB7" w:rsidR="00DF6A2D" w:rsidRPr="00DF6A2D" w:rsidRDefault="00DF6A2D" w:rsidP="00DF6A2D">
            <w:pPr>
              <w:pStyle w:val="NoSpacing"/>
              <w:rPr>
                <w:rFonts w:cstheme="minorHAnsi"/>
              </w:rPr>
            </w:pPr>
            <w:r w:rsidRPr="00DF6A2D">
              <w:rPr>
                <w:rFonts w:cstheme="minorHAnsi"/>
              </w:rPr>
              <w:t>-0.042 (0.032)</w:t>
            </w:r>
          </w:p>
        </w:tc>
        <w:tc>
          <w:tcPr>
            <w:tcW w:w="0" w:type="auto"/>
          </w:tcPr>
          <w:p w14:paraId="3176CB3E" w14:textId="6AFF358D" w:rsidR="00DF6A2D" w:rsidRPr="00DF6A2D" w:rsidRDefault="00DF6A2D" w:rsidP="00DF6A2D">
            <w:pPr>
              <w:pStyle w:val="NoSpacing"/>
              <w:rPr>
                <w:rFonts w:cstheme="minorHAnsi"/>
              </w:rPr>
            </w:pPr>
            <w:r w:rsidRPr="00DF6A2D">
              <w:rPr>
                <w:rFonts w:cstheme="minorHAnsi"/>
              </w:rPr>
              <w:t>-0.024 (0.031)</w:t>
            </w:r>
          </w:p>
        </w:tc>
        <w:tc>
          <w:tcPr>
            <w:tcW w:w="0" w:type="auto"/>
          </w:tcPr>
          <w:p w14:paraId="355FCB03" w14:textId="6C0BD2FA" w:rsidR="00DF6A2D" w:rsidRPr="00DF6A2D" w:rsidRDefault="00DF6A2D" w:rsidP="00DF6A2D">
            <w:pPr>
              <w:pStyle w:val="NoSpacing"/>
              <w:rPr>
                <w:rFonts w:cstheme="minorHAnsi"/>
              </w:rPr>
            </w:pPr>
            <w:r w:rsidRPr="00DF6A2D">
              <w:rPr>
                <w:rFonts w:cstheme="minorHAnsi"/>
              </w:rPr>
              <w:t>-0.043 (0.032)</w:t>
            </w:r>
          </w:p>
        </w:tc>
        <w:tc>
          <w:tcPr>
            <w:tcW w:w="0" w:type="auto"/>
          </w:tcPr>
          <w:p w14:paraId="36FC027D" w14:textId="26C74E48" w:rsidR="00DF6A2D" w:rsidRPr="00DF6A2D" w:rsidRDefault="00DF6A2D" w:rsidP="00DF6A2D">
            <w:pPr>
              <w:pStyle w:val="NoSpacing"/>
              <w:rPr>
                <w:rFonts w:cstheme="minorHAnsi"/>
              </w:rPr>
            </w:pPr>
            <w:r w:rsidRPr="00DF6A2D">
              <w:rPr>
                <w:rFonts w:cstheme="minorHAnsi"/>
              </w:rPr>
              <w:t>-0.023 (0.031)</w:t>
            </w:r>
          </w:p>
        </w:tc>
        <w:tc>
          <w:tcPr>
            <w:tcW w:w="0" w:type="auto"/>
          </w:tcPr>
          <w:p w14:paraId="7CF84B6D" w14:textId="7513861A" w:rsidR="00DF6A2D" w:rsidRPr="00DF6A2D" w:rsidRDefault="00DF6A2D" w:rsidP="00DF6A2D">
            <w:pPr>
              <w:pStyle w:val="NoSpacing"/>
              <w:rPr>
                <w:rFonts w:cstheme="minorHAnsi"/>
              </w:rPr>
            </w:pPr>
            <w:r w:rsidRPr="00DF6A2D">
              <w:rPr>
                <w:rFonts w:cstheme="minorHAnsi"/>
              </w:rPr>
              <w:t>-0.033 (0.030)</w:t>
            </w:r>
          </w:p>
        </w:tc>
        <w:tc>
          <w:tcPr>
            <w:tcW w:w="0" w:type="auto"/>
          </w:tcPr>
          <w:p w14:paraId="5C728284" w14:textId="15EF9E2D" w:rsidR="00DF6A2D" w:rsidRPr="00DF6A2D" w:rsidRDefault="00DF6A2D" w:rsidP="00DF6A2D">
            <w:pPr>
              <w:pStyle w:val="NoSpacing"/>
              <w:rPr>
                <w:rFonts w:cstheme="minorHAnsi"/>
              </w:rPr>
            </w:pPr>
            <w:r w:rsidRPr="00DF6A2D">
              <w:rPr>
                <w:rFonts w:cstheme="minorHAnsi"/>
              </w:rPr>
              <w:t>-0.003 (0.031)</w:t>
            </w:r>
          </w:p>
        </w:tc>
      </w:tr>
      <w:tr w:rsidR="00DF6A2D" w:rsidRPr="00DF6A2D" w14:paraId="05725D6A" w14:textId="77777777" w:rsidTr="00DF6A2D">
        <w:tc>
          <w:tcPr>
            <w:tcW w:w="0" w:type="auto"/>
          </w:tcPr>
          <w:p w14:paraId="4BB4FDEC" w14:textId="5B80C6E8" w:rsidR="00DF6A2D" w:rsidRPr="00DF6A2D" w:rsidRDefault="00DF6A2D" w:rsidP="00DF6A2D">
            <w:pPr>
              <w:pStyle w:val="NoSpacing"/>
              <w:rPr>
                <w:rFonts w:cstheme="minorHAnsi"/>
              </w:rPr>
            </w:pPr>
            <w:r w:rsidRPr="00DF6A2D">
              <w:rPr>
                <w:rFonts w:cstheme="minorHAnsi"/>
              </w:rPr>
              <w:t xml:space="preserve">Recruiting rank </w:t>
            </w:r>
          </w:p>
        </w:tc>
        <w:tc>
          <w:tcPr>
            <w:tcW w:w="0" w:type="auto"/>
          </w:tcPr>
          <w:p w14:paraId="797E2A76" w14:textId="765B86CC" w:rsidR="00DF6A2D" w:rsidRPr="00DF6A2D" w:rsidRDefault="00DF6A2D" w:rsidP="00DF6A2D">
            <w:pPr>
              <w:pStyle w:val="NoSpacing"/>
              <w:rPr>
                <w:rFonts w:cstheme="minorHAnsi"/>
              </w:rPr>
            </w:pPr>
            <w:r w:rsidRPr="00DF6A2D">
              <w:rPr>
                <w:rFonts w:cstheme="minorHAnsi"/>
              </w:rPr>
              <w:t>0.001 (0.001)</w:t>
            </w:r>
          </w:p>
        </w:tc>
        <w:tc>
          <w:tcPr>
            <w:tcW w:w="0" w:type="auto"/>
          </w:tcPr>
          <w:p w14:paraId="782FE800" w14:textId="19D0510F" w:rsidR="00DF6A2D" w:rsidRPr="00DF6A2D" w:rsidRDefault="00DF6A2D" w:rsidP="00DF6A2D">
            <w:pPr>
              <w:pStyle w:val="NoSpacing"/>
              <w:rPr>
                <w:rFonts w:cstheme="minorHAnsi"/>
              </w:rPr>
            </w:pPr>
            <w:r w:rsidRPr="00DF6A2D">
              <w:rPr>
                <w:rFonts w:cstheme="minorHAnsi"/>
              </w:rPr>
              <w:t>0.001 (0.001)</w:t>
            </w:r>
          </w:p>
        </w:tc>
        <w:tc>
          <w:tcPr>
            <w:tcW w:w="0" w:type="auto"/>
          </w:tcPr>
          <w:p w14:paraId="60E44102" w14:textId="59107195" w:rsidR="00DF6A2D" w:rsidRPr="00DF6A2D" w:rsidRDefault="00DF6A2D" w:rsidP="00DF6A2D">
            <w:pPr>
              <w:pStyle w:val="NoSpacing"/>
              <w:rPr>
                <w:rFonts w:cstheme="minorHAnsi"/>
              </w:rPr>
            </w:pPr>
            <w:r w:rsidRPr="00DF6A2D">
              <w:rPr>
                <w:rFonts w:cstheme="minorHAnsi"/>
              </w:rPr>
              <w:t>0.001 (0.001)</w:t>
            </w:r>
          </w:p>
        </w:tc>
        <w:tc>
          <w:tcPr>
            <w:tcW w:w="0" w:type="auto"/>
          </w:tcPr>
          <w:p w14:paraId="2F9ED10E" w14:textId="21C5AF6C" w:rsidR="00DF6A2D" w:rsidRPr="00DF6A2D" w:rsidRDefault="00DF6A2D" w:rsidP="00DF6A2D">
            <w:pPr>
              <w:pStyle w:val="NoSpacing"/>
              <w:rPr>
                <w:rFonts w:cstheme="minorHAnsi"/>
              </w:rPr>
            </w:pPr>
            <w:r w:rsidRPr="00DF6A2D">
              <w:rPr>
                <w:rFonts w:cstheme="minorHAnsi"/>
              </w:rPr>
              <w:t>0.001 (0.001)</w:t>
            </w:r>
          </w:p>
        </w:tc>
        <w:tc>
          <w:tcPr>
            <w:tcW w:w="0" w:type="auto"/>
          </w:tcPr>
          <w:p w14:paraId="7AC6CC11" w14:textId="4471875A" w:rsidR="00DF6A2D" w:rsidRPr="00DF6A2D" w:rsidRDefault="00DF6A2D" w:rsidP="00DF6A2D">
            <w:pPr>
              <w:pStyle w:val="NoSpacing"/>
              <w:rPr>
                <w:rFonts w:cstheme="minorHAnsi"/>
              </w:rPr>
            </w:pPr>
            <w:r w:rsidRPr="00DF6A2D">
              <w:rPr>
                <w:rFonts w:cstheme="minorHAnsi"/>
              </w:rPr>
              <w:t>0.001 (0.001)</w:t>
            </w:r>
          </w:p>
        </w:tc>
        <w:tc>
          <w:tcPr>
            <w:tcW w:w="0" w:type="auto"/>
          </w:tcPr>
          <w:p w14:paraId="378F9B0B" w14:textId="3675B81F" w:rsidR="00DF6A2D" w:rsidRPr="00DF6A2D" w:rsidRDefault="00DF6A2D" w:rsidP="00DF6A2D">
            <w:pPr>
              <w:pStyle w:val="NoSpacing"/>
              <w:rPr>
                <w:rFonts w:cstheme="minorHAnsi"/>
              </w:rPr>
            </w:pPr>
            <w:r w:rsidRPr="00DF6A2D">
              <w:rPr>
                <w:rFonts w:cstheme="minorHAnsi"/>
              </w:rPr>
              <w:t>0.000 (0.001)</w:t>
            </w:r>
          </w:p>
        </w:tc>
        <w:tc>
          <w:tcPr>
            <w:tcW w:w="0" w:type="auto"/>
          </w:tcPr>
          <w:p w14:paraId="1B3BBA02" w14:textId="000EBD5E" w:rsidR="00DF6A2D" w:rsidRPr="00DF6A2D" w:rsidRDefault="00DF6A2D" w:rsidP="00DF6A2D">
            <w:pPr>
              <w:pStyle w:val="NoSpacing"/>
              <w:rPr>
                <w:rFonts w:cstheme="minorHAnsi"/>
              </w:rPr>
            </w:pPr>
            <w:r w:rsidRPr="00DF6A2D">
              <w:rPr>
                <w:rFonts w:cstheme="minorHAnsi"/>
              </w:rPr>
              <w:t>0.001 (0.001)</w:t>
            </w:r>
          </w:p>
        </w:tc>
        <w:tc>
          <w:tcPr>
            <w:tcW w:w="0" w:type="auto"/>
          </w:tcPr>
          <w:p w14:paraId="5D5B9D5D" w14:textId="31DD1E20" w:rsidR="00DF6A2D" w:rsidRPr="00DF6A2D" w:rsidRDefault="00DF6A2D" w:rsidP="00DF6A2D">
            <w:pPr>
              <w:pStyle w:val="NoSpacing"/>
              <w:rPr>
                <w:rFonts w:cstheme="minorHAnsi"/>
              </w:rPr>
            </w:pPr>
            <w:r w:rsidRPr="00DF6A2D">
              <w:rPr>
                <w:rFonts w:cstheme="minorHAnsi"/>
              </w:rPr>
              <w:t>0.001 (0.001)</w:t>
            </w:r>
          </w:p>
        </w:tc>
        <w:tc>
          <w:tcPr>
            <w:tcW w:w="0" w:type="auto"/>
          </w:tcPr>
          <w:p w14:paraId="1EB0F34C" w14:textId="13A7B434" w:rsidR="00DF6A2D" w:rsidRPr="00DF6A2D" w:rsidRDefault="00DF6A2D" w:rsidP="00DF6A2D">
            <w:pPr>
              <w:pStyle w:val="NoSpacing"/>
              <w:rPr>
                <w:rFonts w:cstheme="minorHAnsi"/>
              </w:rPr>
            </w:pPr>
            <w:r w:rsidRPr="00DF6A2D">
              <w:rPr>
                <w:rFonts w:cstheme="minorHAnsi"/>
              </w:rPr>
              <w:t>0.001 (0.001)</w:t>
            </w:r>
          </w:p>
        </w:tc>
      </w:tr>
      <w:tr w:rsidR="00DF6A2D" w:rsidRPr="00DF6A2D" w14:paraId="41C4C762" w14:textId="77777777" w:rsidTr="00DF6A2D">
        <w:tc>
          <w:tcPr>
            <w:tcW w:w="0" w:type="auto"/>
          </w:tcPr>
          <w:p w14:paraId="002E624C" w14:textId="36EC2B18" w:rsidR="00DF6A2D" w:rsidRPr="00DF6A2D" w:rsidRDefault="00DF6A2D" w:rsidP="00DF6A2D">
            <w:pPr>
              <w:pStyle w:val="NoSpacing"/>
              <w:rPr>
                <w:rFonts w:cstheme="minorHAnsi"/>
              </w:rPr>
            </w:pPr>
            <w:r w:rsidRPr="00DF6A2D">
              <w:rPr>
                <w:rFonts w:cstheme="minorHAnsi"/>
              </w:rPr>
              <w:t xml:space="preserve">Draft value </w:t>
            </w:r>
          </w:p>
        </w:tc>
        <w:tc>
          <w:tcPr>
            <w:tcW w:w="0" w:type="auto"/>
          </w:tcPr>
          <w:p w14:paraId="0E7DB25D" w14:textId="7C26A4FD" w:rsidR="00DF6A2D" w:rsidRPr="00DF6A2D" w:rsidRDefault="00DF6A2D" w:rsidP="00DF6A2D">
            <w:pPr>
              <w:pStyle w:val="NoSpacing"/>
              <w:rPr>
                <w:rFonts w:cstheme="minorHAnsi"/>
              </w:rPr>
            </w:pPr>
            <w:r w:rsidRPr="00DF6A2D">
              <w:rPr>
                <w:rFonts w:cstheme="minorHAnsi"/>
              </w:rPr>
              <w:t>-0.063</w:t>
            </w:r>
            <w:r w:rsidR="00211BDC">
              <w:rPr>
                <w:rFonts w:ascii="Cambria Math" w:hAnsi="Cambria Math" w:cstheme="minorHAnsi"/>
              </w:rPr>
              <w:t>†</w:t>
            </w:r>
            <w:r w:rsidRPr="00DF6A2D">
              <w:rPr>
                <w:rFonts w:cstheme="minorHAnsi"/>
              </w:rPr>
              <w:t xml:space="preserve"> (0.036)</w:t>
            </w:r>
          </w:p>
        </w:tc>
        <w:tc>
          <w:tcPr>
            <w:tcW w:w="0" w:type="auto"/>
          </w:tcPr>
          <w:p w14:paraId="07304879" w14:textId="765D5816" w:rsidR="00DF6A2D" w:rsidRPr="00DF6A2D" w:rsidRDefault="00DF6A2D" w:rsidP="00DF6A2D">
            <w:pPr>
              <w:pStyle w:val="NoSpacing"/>
              <w:rPr>
                <w:rFonts w:cstheme="minorHAnsi"/>
              </w:rPr>
            </w:pPr>
            <w:r w:rsidRPr="00DF6A2D">
              <w:rPr>
                <w:rFonts w:cstheme="minorHAnsi"/>
              </w:rPr>
              <w:t>0.022 (0.029)</w:t>
            </w:r>
          </w:p>
        </w:tc>
        <w:tc>
          <w:tcPr>
            <w:tcW w:w="0" w:type="auto"/>
          </w:tcPr>
          <w:p w14:paraId="6258EBA7" w14:textId="28FAD962" w:rsidR="00DF6A2D" w:rsidRPr="00DF6A2D" w:rsidRDefault="00DF6A2D" w:rsidP="00DF6A2D">
            <w:pPr>
              <w:pStyle w:val="NoSpacing"/>
              <w:rPr>
                <w:rFonts w:cstheme="minorHAnsi"/>
              </w:rPr>
            </w:pPr>
            <w:r w:rsidRPr="00DF6A2D">
              <w:rPr>
                <w:rFonts w:cstheme="minorHAnsi"/>
              </w:rPr>
              <w:t>0.049 (0.030)</w:t>
            </w:r>
          </w:p>
        </w:tc>
        <w:tc>
          <w:tcPr>
            <w:tcW w:w="0" w:type="auto"/>
          </w:tcPr>
          <w:p w14:paraId="085563AF" w14:textId="7BD03495" w:rsidR="00DF6A2D" w:rsidRPr="00DF6A2D" w:rsidRDefault="00DF6A2D" w:rsidP="00DF6A2D">
            <w:pPr>
              <w:pStyle w:val="NoSpacing"/>
              <w:rPr>
                <w:rFonts w:cstheme="minorHAnsi"/>
              </w:rPr>
            </w:pPr>
            <w:r w:rsidRPr="00DF6A2D">
              <w:rPr>
                <w:rFonts w:cstheme="minorHAnsi"/>
              </w:rPr>
              <w:t>0.050 (0.030)</w:t>
            </w:r>
          </w:p>
        </w:tc>
        <w:tc>
          <w:tcPr>
            <w:tcW w:w="0" w:type="auto"/>
          </w:tcPr>
          <w:p w14:paraId="4EDDD97C" w14:textId="7CD3B9C9" w:rsidR="00DF6A2D" w:rsidRPr="00DF6A2D" w:rsidRDefault="00DF6A2D" w:rsidP="00DF6A2D">
            <w:pPr>
              <w:pStyle w:val="NoSpacing"/>
              <w:rPr>
                <w:rFonts w:cstheme="minorHAnsi"/>
              </w:rPr>
            </w:pPr>
            <w:r w:rsidRPr="00DF6A2D">
              <w:rPr>
                <w:rFonts w:cstheme="minorHAnsi"/>
              </w:rPr>
              <w:t>0.058† (0.031)</w:t>
            </w:r>
          </w:p>
        </w:tc>
        <w:tc>
          <w:tcPr>
            <w:tcW w:w="0" w:type="auto"/>
          </w:tcPr>
          <w:p w14:paraId="2FED4AA1" w14:textId="6A0E2FAE" w:rsidR="00DF6A2D" w:rsidRPr="00DF6A2D" w:rsidRDefault="00DF6A2D" w:rsidP="00DF6A2D">
            <w:pPr>
              <w:pStyle w:val="NoSpacing"/>
              <w:rPr>
                <w:rFonts w:cstheme="minorHAnsi"/>
              </w:rPr>
            </w:pPr>
            <w:r w:rsidRPr="00DF6A2D">
              <w:rPr>
                <w:rFonts w:cstheme="minorHAnsi"/>
              </w:rPr>
              <w:t>0.053† (0.031)</w:t>
            </w:r>
          </w:p>
        </w:tc>
        <w:tc>
          <w:tcPr>
            <w:tcW w:w="0" w:type="auto"/>
          </w:tcPr>
          <w:p w14:paraId="3D54E17F" w14:textId="123AC1AC" w:rsidR="00DF6A2D" w:rsidRPr="00DF6A2D" w:rsidRDefault="00DF6A2D" w:rsidP="00DF6A2D">
            <w:pPr>
              <w:pStyle w:val="NoSpacing"/>
              <w:rPr>
                <w:rFonts w:cstheme="minorHAnsi"/>
              </w:rPr>
            </w:pPr>
            <w:r w:rsidRPr="00DF6A2D">
              <w:rPr>
                <w:rFonts w:cstheme="minorHAnsi"/>
              </w:rPr>
              <w:t>0.063† (0.032)</w:t>
            </w:r>
          </w:p>
        </w:tc>
        <w:tc>
          <w:tcPr>
            <w:tcW w:w="0" w:type="auto"/>
          </w:tcPr>
          <w:p w14:paraId="7C5BAB43" w14:textId="1DB097C6" w:rsidR="00DF6A2D" w:rsidRPr="00DF6A2D" w:rsidRDefault="00DF6A2D" w:rsidP="00DF6A2D">
            <w:pPr>
              <w:pStyle w:val="NoSpacing"/>
              <w:rPr>
                <w:rFonts w:cstheme="minorHAnsi"/>
              </w:rPr>
            </w:pPr>
            <w:r w:rsidRPr="00DF6A2D">
              <w:rPr>
                <w:rFonts w:cstheme="minorHAnsi"/>
              </w:rPr>
              <w:t>0.039 (0.034)</w:t>
            </w:r>
          </w:p>
        </w:tc>
        <w:tc>
          <w:tcPr>
            <w:tcW w:w="0" w:type="auto"/>
          </w:tcPr>
          <w:p w14:paraId="63C61948" w14:textId="4FA78D2D" w:rsidR="00DF6A2D" w:rsidRPr="00DF6A2D" w:rsidRDefault="00DF6A2D" w:rsidP="00DF6A2D">
            <w:pPr>
              <w:pStyle w:val="NoSpacing"/>
              <w:rPr>
                <w:rFonts w:cstheme="minorHAnsi"/>
              </w:rPr>
            </w:pPr>
            <w:r w:rsidRPr="00DF6A2D">
              <w:rPr>
                <w:rFonts w:cstheme="minorHAnsi"/>
              </w:rPr>
              <w:t>0.034 (0.039)</w:t>
            </w:r>
          </w:p>
        </w:tc>
      </w:tr>
      <w:tr w:rsidR="00DF6A2D" w:rsidRPr="00DF6A2D" w14:paraId="36B068D7" w14:textId="77777777" w:rsidTr="00DF6A2D">
        <w:tc>
          <w:tcPr>
            <w:tcW w:w="0" w:type="auto"/>
          </w:tcPr>
          <w:p w14:paraId="33BA54DA" w14:textId="30D8896A" w:rsidR="00DF6A2D" w:rsidRPr="00DF6A2D" w:rsidRDefault="00DF6A2D" w:rsidP="00DF6A2D">
            <w:pPr>
              <w:pStyle w:val="NoSpacing"/>
              <w:rPr>
                <w:rFonts w:cstheme="minorHAnsi"/>
              </w:rPr>
            </w:pPr>
            <w:r w:rsidRPr="00DF6A2D">
              <w:rPr>
                <w:rFonts w:cstheme="minorHAnsi"/>
              </w:rPr>
              <w:t>Winning percentage</w:t>
            </w:r>
            <w:r w:rsidRPr="00DF6A2D">
              <w:rPr>
                <w:rFonts w:cstheme="minorHAnsi"/>
              </w:rPr>
              <w:t xml:space="preserve"> </w:t>
            </w:r>
            <m:oMath>
              <m:r>
                <w:rPr>
                  <w:rFonts w:ascii="Cambria Math" w:hAnsi="Cambria Math" w:cstheme="minorHAnsi"/>
                </w:rPr>
                <m:t>(</m:t>
              </m:r>
              <m:r>
                <w:rPr>
                  <w:rFonts w:ascii="Cambria Math" w:hAnsi="Cambria Math" w:cstheme="minorHAnsi"/>
                </w:rPr>
                <m:t>t</m:t>
              </m:r>
              <m:r>
                <w:rPr>
                  <w:rFonts w:ascii="Cambria Math" w:hAnsi="Cambria Math" w:cstheme="minorHAnsi"/>
                </w:rPr>
                <m:t>-1)</m:t>
              </m:r>
            </m:oMath>
            <w:r w:rsidRPr="00DF6A2D">
              <w:rPr>
                <w:rFonts w:cstheme="minorHAnsi"/>
              </w:rPr>
              <w:t xml:space="preserve"> </w:t>
            </w:r>
          </w:p>
        </w:tc>
        <w:tc>
          <w:tcPr>
            <w:tcW w:w="0" w:type="auto"/>
          </w:tcPr>
          <w:p w14:paraId="0E55F5EE" w14:textId="0D3D778F" w:rsidR="00DF6A2D" w:rsidRPr="00DF6A2D" w:rsidRDefault="00DF6A2D" w:rsidP="00DF6A2D">
            <w:pPr>
              <w:pStyle w:val="NoSpacing"/>
              <w:rPr>
                <w:rFonts w:cstheme="minorHAnsi"/>
              </w:rPr>
            </w:pPr>
            <w:r w:rsidRPr="00DF6A2D">
              <w:rPr>
                <w:rFonts w:cstheme="minorHAnsi"/>
              </w:rPr>
              <w:t>-0.048*** (0.005)</w:t>
            </w:r>
          </w:p>
        </w:tc>
        <w:tc>
          <w:tcPr>
            <w:tcW w:w="0" w:type="auto"/>
          </w:tcPr>
          <w:p w14:paraId="12C870EC" w14:textId="34BD377F" w:rsidR="00DF6A2D" w:rsidRPr="00DF6A2D" w:rsidRDefault="00DF6A2D" w:rsidP="00DF6A2D">
            <w:pPr>
              <w:pStyle w:val="NoSpacing"/>
              <w:rPr>
                <w:rFonts w:cstheme="minorHAnsi"/>
              </w:rPr>
            </w:pPr>
            <w:r w:rsidRPr="00DF6A2D">
              <w:rPr>
                <w:rFonts w:cstheme="minorHAnsi"/>
              </w:rPr>
              <w:t>-0.025*** (0.005)</w:t>
            </w:r>
          </w:p>
        </w:tc>
        <w:tc>
          <w:tcPr>
            <w:tcW w:w="0" w:type="auto"/>
          </w:tcPr>
          <w:p w14:paraId="2EA0CFD3" w14:textId="6076B98B" w:rsidR="00DF6A2D" w:rsidRPr="00DF6A2D" w:rsidRDefault="00DF6A2D" w:rsidP="00DF6A2D">
            <w:pPr>
              <w:pStyle w:val="NoSpacing"/>
              <w:rPr>
                <w:rFonts w:cstheme="minorHAnsi"/>
              </w:rPr>
            </w:pPr>
            <w:r w:rsidRPr="00DF6A2D">
              <w:rPr>
                <w:rFonts w:cstheme="minorHAnsi"/>
              </w:rPr>
              <w:t>-0.026*** (0.006)</w:t>
            </w:r>
          </w:p>
        </w:tc>
        <w:tc>
          <w:tcPr>
            <w:tcW w:w="0" w:type="auto"/>
          </w:tcPr>
          <w:p w14:paraId="6A518D11" w14:textId="6C621715" w:rsidR="00DF6A2D" w:rsidRPr="00DF6A2D" w:rsidRDefault="00DF6A2D" w:rsidP="00DF6A2D">
            <w:pPr>
              <w:pStyle w:val="NoSpacing"/>
              <w:rPr>
                <w:rFonts w:cstheme="minorHAnsi"/>
              </w:rPr>
            </w:pPr>
            <w:r w:rsidRPr="00DF6A2D">
              <w:rPr>
                <w:rFonts w:cstheme="minorHAnsi"/>
              </w:rPr>
              <w:t>-0.026*** (0.005)</w:t>
            </w:r>
          </w:p>
        </w:tc>
        <w:tc>
          <w:tcPr>
            <w:tcW w:w="0" w:type="auto"/>
          </w:tcPr>
          <w:p w14:paraId="559DC6F3" w14:textId="4C8E1771" w:rsidR="00DF6A2D" w:rsidRPr="00DF6A2D" w:rsidRDefault="00DF6A2D" w:rsidP="00DF6A2D">
            <w:pPr>
              <w:pStyle w:val="NoSpacing"/>
              <w:rPr>
                <w:rFonts w:cstheme="minorHAnsi"/>
              </w:rPr>
            </w:pPr>
            <w:r w:rsidRPr="00DF6A2D">
              <w:rPr>
                <w:rFonts w:cstheme="minorHAnsi"/>
              </w:rPr>
              <w:t>-0.025*** (0.006)</w:t>
            </w:r>
          </w:p>
        </w:tc>
        <w:tc>
          <w:tcPr>
            <w:tcW w:w="0" w:type="auto"/>
          </w:tcPr>
          <w:p w14:paraId="20E64932" w14:textId="44D74EDD" w:rsidR="00DF6A2D" w:rsidRPr="00DF6A2D" w:rsidRDefault="00DF6A2D" w:rsidP="00DF6A2D">
            <w:pPr>
              <w:pStyle w:val="NoSpacing"/>
              <w:rPr>
                <w:rFonts w:cstheme="minorHAnsi"/>
              </w:rPr>
            </w:pPr>
            <w:r w:rsidRPr="00DF6A2D">
              <w:rPr>
                <w:rFonts w:cstheme="minorHAnsi"/>
              </w:rPr>
              <w:t>-0.028*** (0.006)</w:t>
            </w:r>
          </w:p>
        </w:tc>
        <w:tc>
          <w:tcPr>
            <w:tcW w:w="0" w:type="auto"/>
          </w:tcPr>
          <w:p w14:paraId="3D92D2BD" w14:textId="669AFFEB" w:rsidR="00DF6A2D" w:rsidRPr="00DF6A2D" w:rsidRDefault="00DF6A2D" w:rsidP="00DF6A2D">
            <w:pPr>
              <w:pStyle w:val="NoSpacing"/>
              <w:rPr>
                <w:rFonts w:cstheme="minorHAnsi"/>
              </w:rPr>
            </w:pPr>
            <w:r w:rsidRPr="00DF6A2D">
              <w:rPr>
                <w:rFonts w:cstheme="minorHAnsi"/>
              </w:rPr>
              <w:t>-0.027*** (0.006)</w:t>
            </w:r>
          </w:p>
        </w:tc>
        <w:tc>
          <w:tcPr>
            <w:tcW w:w="0" w:type="auto"/>
          </w:tcPr>
          <w:p w14:paraId="44AB72C1" w14:textId="68D2F7D5" w:rsidR="00DF6A2D" w:rsidRPr="00DF6A2D" w:rsidRDefault="00DF6A2D" w:rsidP="00DF6A2D">
            <w:pPr>
              <w:pStyle w:val="NoSpacing"/>
              <w:rPr>
                <w:rFonts w:cstheme="minorHAnsi"/>
              </w:rPr>
            </w:pPr>
            <w:r w:rsidRPr="00DF6A2D">
              <w:rPr>
                <w:rFonts w:cstheme="minorHAnsi"/>
              </w:rPr>
              <w:t>-0.027*** (0.006)</w:t>
            </w:r>
          </w:p>
        </w:tc>
        <w:tc>
          <w:tcPr>
            <w:tcW w:w="0" w:type="auto"/>
          </w:tcPr>
          <w:p w14:paraId="005E24A4" w14:textId="093C4D33" w:rsidR="00DF6A2D" w:rsidRPr="00DF6A2D" w:rsidRDefault="00DF6A2D" w:rsidP="00DF6A2D">
            <w:pPr>
              <w:pStyle w:val="NoSpacing"/>
              <w:rPr>
                <w:rFonts w:cstheme="minorHAnsi"/>
              </w:rPr>
            </w:pPr>
            <w:r w:rsidRPr="00DF6A2D">
              <w:rPr>
                <w:rFonts w:cstheme="minorHAnsi"/>
              </w:rPr>
              <w:t>-0.042*** (0.006)</w:t>
            </w:r>
          </w:p>
        </w:tc>
      </w:tr>
      <w:tr w:rsidR="00DF6A2D" w:rsidRPr="00DF6A2D" w14:paraId="1FCC4B7A" w14:textId="77777777" w:rsidTr="00DF6A2D">
        <w:tc>
          <w:tcPr>
            <w:tcW w:w="0" w:type="auto"/>
          </w:tcPr>
          <w:p w14:paraId="0EFDFBC8" w14:textId="6FDBF374" w:rsidR="00DF6A2D" w:rsidRPr="00DF6A2D" w:rsidRDefault="00DF6A2D" w:rsidP="00DF6A2D">
            <w:pPr>
              <w:pStyle w:val="NoSpacing"/>
              <w:rPr>
                <w:rFonts w:cstheme="minorHAnsi"/>
              </w:rPr>
            </w:pPr>
            <w:r w:rsidRPr="00DF6A2D">
              <w:rPr>
                <w:rFonts w:cstheme="minorHAnsi"/>
              </w:rPr>
              <w:t>Conference dummies</w:t>
            </w:r>
            <w:r w:rsidRPr="00DF6A2D">
              <w:rPr>
                <w:rFonts w:cstheme="minorHAnsi"/>
              </w:rPr>
              <w:t xml:space="preserve"> </w:t>
            </w:r>
            <w:r w:rsidRPr="00DF6A2D">
              <w:rPr>
                <w:rFonts w:cstheme="minorHAnsi"/>
              </w:rPr>
              <w:t xml:space="preserve">significant at </w:t>
            </w:r>
            <m:oMath>
              <m:r>
                <w:rPr>
                  <w:rFonts w:ascii="Cambria Math" w:hAnsi="Cambria Math" w:cstheme="minorHAnsi"/>
                </w:rPr>
                <m:t xml:space="preserve">p </m:t>
              </m:r>
              <m:r>
                <w:rPr>
                  <w:rFonts w:ascii="Cambria Math" w:hAnsi="Cambria Math" w:cstheme="minorHAnsi"/>
                </w:rPr>
                <m:t>&lt; 0.05</m:t>
              </m:r>
            </m:oMath>
          </w:p>
        </w:tc>
        <w:tc>
          <w:tcPr>
            <w:tcW w:w="0" w:type="auto"/>
          </w:tcPr>
          <w:p w14:paraId="40B0E83F" w14:textId="0448F2F3" w:rsidR="00DF6A2D" w:rsidRPr="00DF6A2D" w:rsidRDefault="00DF6A2D" w:rsidP="00DF6A2D">
            <w:pPr>
              <w:pStyle w:val="NoSpacing"/>
              <w:rPr>
                <w:rFonts w:cstheme="minorHAnsi"/>
              </w:rPr>
            </w:pPr>
            <w:r w:rsidRPr="00DF6A2D">
              <w:rPr>
                <w:rFonts w:cstheme="minorHAnsi"/>
              </w:rPr>
              <w:t>0 of 9</w:t>
            </w:r>
          </w:p>
        </w:tc>
        <w:tc>
          <w:tcPr>
            <w:tcW w:w="0" w:type="auto"/>
          </w:tcPr>
          <w:p w14:paraId="5DCA8264" w14:textId="38BECE63" w:rsidR="00DF6A2D" w:rsidRPr="00DF6A2D" w:rsidRDefault="00DF6A2D" w:rsidP="00DF6A2D">
            <w:pPr>
              <w:pStyle w:val="NoSpacing"/>
              <w:rPr>
                <w:rFonts w:cstheme="minorHAnsi"/>
              </w:rPr>
            </w:pPr>
            <w:r w:rsidRPr="00DF6A2D">
              <w:rPr>
                <w:rFonts w:cstheme="minorHAnsi"/>
              </w:rPr>
              <w:t>0 of 9</w:t>
            </w:r>
          </w:p>
        </w:tc>
        <w:tc>
          <w:tcPr>
            <w:tcW w:w="0" w:type="auto"/>
          </w:tcPr>
          <w:p w14:paraId="3CF91770" w14:textId="0B5F6164" w:rsidR="00DF6A2D" w:rsidRPr="00DF6A2D" w:rsidRDefault="00DF6A2D" w:rsidP="00DF6A2D">
            <w:pPr>
              <w:pStyle w:val="NoSpacing"/>
              <w:rPr>
                <w:rFonts w:cstheme="minorHAnsi"/>
              </w:rPr>
            </w:pPr>
            <w:r w:rsidRPr="00DF6A2D">
              <w:rPr>
                <w:rFonts w:cstheme="minorHAnsi"/>
              </w:rPr>
              <w:t>1 of 9</w:t>
            </w:r>
          </w:p>
        </w:tc>
        <w:tc>
          <w:tcPr>
            <w:tcW w:w="0" w:type="auto"/>
          </w:tcPr>
          <w:p w14:paraId="3B04E6C0" w14:textId="4426D6E5" w:rsidR="00DF6A2D" w:rsidRPr="00DF6A2D" w:rsidRDefault="00DF6A2D" w:rsidP="00DF6A2D">
            <w:pPr>
              <w:pStyle w:val="NoSpacing"/>
              <w:rPr>
                <w:rFonts w:cstheme="minorHAnsi"/>
              </w:rPr>
            </w:pPr>
            <w:r w:rsidRPr="00DF6A2D">
              <w:rPr>
                <w:rFonts w:cstheme="minorHAnsi"/>
              </w:rPr>
              <w:t>1 of 9</w:t>
            </w:r>
          </w:p>
        </w:tc>
        <w:tc>
          <w:tcPr>
            <w:tcW w:w="0" w:type="auto"/>
          </w:tcPr>
          <w:p w14:paraId="46151D08" w14:textId="5BFC7F8E" w:rsidR="00DF6A2D" w:rsidRPr="00DF6A2D" w:rsidRDefault="00DF6A2D" w:rsidP="00DF6A2D">
            <w:pPr>
              <w:pStyle w:val="NoSpacing"/>
              <w:rPr>
                <w:rFonts w:cstheme="minorHAnsi"/>
              </w:rPr>
            </w:pPr>
            <w:r w:rsidRPr="00DF6A2D">
              <w:rPr>
                <w:rFonts w:cstheme="minorHAnsi"/>
              </w:rPr>
              <w:t>1 of 9</w:t>
            </w:r>
          </w:p>
        </w:tc>
        <w:tc>
          <w:tcPr>
            <w:tcW w:w="0" w:type="auto"/>
          </w:tcPr>
          <w:p w14:paraId="3307881C" w14:textId="0B845731" w:rsidR="00DF6A2D" w:rsidRPr="00DF6A2D" w:rsidRDefault="00DF6A2D" w:rsidP="00DF6A2D">
            <w:pPr>
              <w:pStyle w:val="NoSpacing"/>
              <w:rPr>
                <w:rFonts w:cstheme="minorHAnsi"/>
              </w:rPr>
            </w:pPr>
            <w:r w:rsidRPr="00DF6A2D">
              <w:rPr>
                <w:rFonts w:cstheme="minorHAnsi"/>
              </w:rPr>
              <w:t>0 of 9</w:t>
            </w:r>
          </w:p>
        </w:tc>
        <w:tc>
          <w:tcPr>
            <w:tcW w:w="0" w:type="auto"/>
          </w:tcPr>
          <w:p w14:paraId="42FD6999" w14:textId="1EE176F7" w:rsidR="00DF6A2D" w:rsidRPr="00DF6A2D" w:rsidRDefault="00DF6A2D" w:rsidP="00DF6A2D">
            <w:pPr>
              <w:pStyle w:val="NoSpacing"/>
              <w:rPr>
                <w:rFonts w:cstheme="minorHAnsi"/>
              </w:rPr>
            </w:pPr>
            <w:r w:rsidRPr="00DF6A2D">
              <w:rPr>
                <w:rFonts w:cstheme="minorHAnsi"/>
              </w:rPr>
              <w:t>1 of 9</w:t>
            </w:r>
          </w:p>
        </w:tc>
        <w:tc>
          <w:tcPr>
            <w:tcW w:w="0" w:type="auto"/>
          </w:tcPr>
          <w:p w14:paraId="0EC8DABE" w14:textId="2ED0CC53" w:rsidR="00DF6A2D" w:rsidRPr="00DF6A2D" w:rsidRDefault="00DF6A2D" w:rsidP="00DF6A2D">
            <w:pPr>
              <w:pStyle w:val="NoSpacing"/>
              <w:rPr>
                <w:rFonts w:cstheme="minorHAnsi"/>
              </w:rPr>
            </w:pPr>
            <w:r w:rsidRPr="00DF6A2D">
              <w:rPr>
                <w:rFonts w:cstheme="minorHAnsi"/>
              </w:rPr>
              <w:t>1 of 9</w:t>
            </w:r>
          </w:p>
        </w:tc>
        <w:tc>
          <w:tcPr>
            <w:tcW w:w="0" w:type="auto"/>
          </w:tcPr>
          <w:p w14:paraId="4A7C5B6D" w14:textId="18991438" w:rsidR="00DF6A2D" w:rsidRPr="00DF6A2D" w:rsidRDefault="00DF6A2D" w:rsidP="00DF6A2D">
            <w:pPr>
              <w:pStyle w:val="NoSpacing"/>
              <w:rPr>
                <w:rFonts w:cstheme="minorHAnsi"/>
              </w:rPr>
            </w:pPr>
            <w:r w:rsidRPr="00DF6A2D">
              <w:rPr>
                <w:rFonts w:cstheme="minorHAnsi"/>
              </w:rPr>
              <w:t>1 of 9</w:t>
            </w:r>
          </w:p>
        </w:tc>
      </w:tr>
      <w:tr w:rsidR="00DF6A2D" w:rsidRPr="00DF6A2D" w14:paraId="35F57177" w14:textId="77777777" w:rsidTr="00DF6A2D">
        <w:tc>
          <w:tcPr>
            <w:tcW w:w="0" w:type="auto"/>
          </w:tcPr>
          <w:p w14:paraId="63695723" w14:textId="59DE4DD6" w:rsidR="00DF6A2D" w:rsidRPr="00DF6A2D" w:rsidRDefault="00DF6A2D" w:rsidP="00DF6A2D">
            <w:pPr>
              <w:pStyle w:val="NoSpacing"/>
              <w:rPr>
                <w:rFonts w:cstheme="minorHAnsi"/>
              </w:rPr>
            </w:pPr>
            <w:r w:rsidRPr="00DF6A2D">
              <w:rPr>
                <w:rFonts w:cstheme="minorHAnsi"/>
              </w:rPr>
              <w:t>Year dummies</w:t>
            </w:r>
            <w:r>
              <w:rPr>
                <w:rFonts w:cstheme="minorHAnsi"/>
              </w:rPr>
              <w:t xml:space="preserve"> </w:t>
            </w:r>
            <w:r w:rsidRPr="00DF6A2D">
              <w:rPr>
                <w:rFonts w:cstheme="minorHAnsi"/>
              </w:rPr>
              <w:t xml:space="preserve">significant at </w:t>
            </w:r>
            <m:oMath>
              <m:r>
                <w:rPr>
                  <w:rFonts w:ascii="Cambria Math" w:hAnsi="Cambria Math" w:cstheme="minorHAnsi"/>
                </w:rPr>
                <m:t xml:space="preserve">p </m:t>
              </m:r>
              <m:r>
                <w:rPr>
                  <w:rFonts w:ascii="Cambria Math" w:hAnsi="Cambria Math" w:cstheme="minorHAnsi"/>
                </w:rPr>
                <m:t>&lt; 0.05</m:t>
              </m:r>
            </m:oMath>
          </w:p>
        </w:tc>
        <w:tc>
          <w:tcPr>
            <w:tcW w:w="0" w:type="auto"/>
          </w:tcPr>
          <w:p w14:paraId="5B40C54F" w14:textId="4CA32F52" w:rsidR="00DF6A2D" w:rsidRPr="00DF6A2D" w:rsidRDefault="00DF6A2D" w:rsidP="00DF6A2D">
            <w:pPr>
              <w:pStyle w:val="NoSpacing"/>
              <w:rPr>
                <w:rFonts w:cstheme="minorHAnsi"/>
              </w:rPr>
            </w:pPr>
            <w:r w:rsidRPr="00DF6A2D">
              <w:rPr>
                <w:rFonts w:cstheme="minorHAnsi"/>
              </w:rPr>
              <w:t>0 of 15</w:t>
            </w:r>
          </w:p>
        </w:tc>
        <w:tc>
          <w:tcPr>
            <w:tcW w:w="0" w:type="auto"/>
          </w:tcPr>
          <w:p w14:paraId="5EDE619B" w14:textId="41A0CA1F" w:rsidR="00DF6A2D" w:rsidRPr="00DF6A2D" w:rsidRDefault="00DF6A2D" w:rsidP="00DF6A2D">
            <w:pPr>
              <w:pStyle w:val="NoSpacing"/>
              <w:rPr>
                <w:rFonts w:cstheme="minorHAnsi"/>
              </w:rPr>
            </w:pPr>
            <w:r w:rsidRPr="00DF6A2D">
              <w:rPr>
                <w:rFonts w:cstheme="minorHAnsi"/>
              </w:rPr>
              <w:t>1 of 15</w:t>
            </w:r>
          </w:p>
        </w:tc>
        <w:tc>
          <w:tcPr>
            <w:tcW w:w="0" w:type="auto"/>
          </w:tcPr>
          <w:p w14:paraId="14536575" w14:textId="31B4D7F2" w:rsidR="00DF6A2D" w:rsidRPr="00DF6A2D" w:rsidRDefault="00DF6A2D" w:rsidP="00DF6A2D">
            <w:pPr>
              <w:pStyle w:val="NoSpacing"/>
              <w:rPr>
                <w:rFonts w:cstheme="minorHAnsi"/>
              </w:rPr>
            </w:pPr>
            <w:r w:rsidRPr="00DF6A2D">
              <w:rPr>
                <w:rFonts w:cstheme="minorHAnsi"/>
              </w:rPr>
              <w:t>1 of 15</w:t>
            </w:r>
          </w:p>
        </w:tc>
        <w:tc>
          <w:tcPr>
            <w:tcW w:w="0" w:type="auto"/>
          </w:tcPr>
          <w:p w14:paraId="5E67ED6D" w14:textId="67F1C451" w:rsidR="00DF6A2D" w:rsidRPr="00DF6A2D" w:rsidRDefault="00DF6A2D" w:rsidP="00DF6A2D">
            <w:pPr>
              <w:pStyle w:val="NoSpacing"/>
              <w:rPr>
                <w:rFonts w:cstheme="minorHAnsi"/>
              </w:rPr>
            </w:pPr>
            <w:r w:rsidRPr="00DF6A2D">
              <w:rPr>
                <w:rFonts w:cstheme="minorHAnsi"/>
              </w:rPr>
              <w:t>1 of 15</w:t>
            </w:r>
          </w:p>
        </w:tc>
        <w:tc>
          <w:tcPr>
            <w:tcW w:w="0" w:type="auto"/>
          </w:tcPr>
          <w:p w14:paraId="540C6A14" w14:textId="1683588E" w:rsidR="00DF6A2D" w:rsidRPr="00DF6A2D" w:rsidRDefault="00DF6A2D" w:rsidP="00DF6A2D">
            <w:pPr>
              <w:pStyle w:val="NoSpacing"/>
              <w:rPr>
                <w:rFonts w:cstheme="minorHAnsi"/>
              </w:rPr>
            </w:pPr>
            <w:r w:rsidRPr="00DF6A2D">
              <w:rPr>
                <w:rFonts w:cstheme="minorHAnsi"/>
              </w:rPr>
              <w:t>2 of 15</w:t>
            </w:r>
          </w:p>
        </w:tc>
        <w:tc>
          <w:tcPr>
            <w:tcW w:w="0" w:type="auto"/>
          </w:tcPr>
          <w:p w14:paraId="7B4E684A" w14:textId="350193AF" w:rsidR="00DF6A2D" w:rsidRPr="00DF6A2D" w:rsidRDefault="00DF6A2D" w:rsidP="00DF6A2D">
            <w:pPr>
              <w:pStyle w:val="NoSpacing"/>
              <w:rPr>
                <w:rFonts w:cstheme="minorHAnsi"/>
              </w:rPr>
            </w:pPr>
            <w:r w:rsidRPr="00DF6A2D">
              <w:rPr>
                <w:rFonts w:cstheme="minorHAnsi"/>
              </w:rPr>
              <w:t>1 of 15</w:t>
            </w:r>
          </w:p>
        </w:tc>
        <w:tc>
          <w:tcPr>
            <w:tcW w:w="0" w:type="auto"/>
          </w:tcPr>
          <w:p w14:paraId="0A03D5B9" w14:textId="51AE9F92" w:rsidR="00DF6A2D" w:rsidRPr="00DF6A2D" w:rsidRDefault="00DF6A2D" w:rsidP="00DF6A2D">
            <w:pPr>
              <w:pStyle w:val="NoSpacing"/>
              <w:rPr>
                <w:rFonts w:cstheme="minorHAnsi"/>
              </w:rPr>
            </w:pPr>
            <w:r w:rsidRPr="00DF6A2D">
              <w:rPr>
                <w:rFonts w:cstheme="minorHAnsi"/>
              </w:rPr>
              <w:t>1 of 15</w:t>
            </w:r>
          </w:p>
        </w:tc>
        <w:tc>
          <w:tcPr>
            <w:tcW w:w="0" w:type="auto"/>
          </w:tcPr>
          <w:p w14:paraId="502AD0FB" w14:textId="306C8902" w:rsidR="00DF6A2D" w:rsidRPr="00DF6A2D" w:rsidRDefault="00DF6A2D" w:rsidP="00DF6A2D">
            <w:pPr>
              <w:pStyle w:val="NoSpacing"/>
              <w:rPr>
                <w:rFonts w:cstheme="minorHAnsi"/>
              </w:rPr>
            </w:pPr>
            <w:r w:rsidRPr="00DF6A2D">
              <w:rPr>
                <w:rFonts w:cstheme="minorHAnsi"/>
              </w:rPr>
              <w:t>0 of 15</w:t>
            </w:r>
          </w:p>
        </w:tc>
        <w:tc>
          <w:tcPr>
            <w:tcW w:w="0" w:type="auto"/>
          </w:tcPr>
          <w:p w14:paraId="159FFE8F" w14:textId="2E40E5B2" w:rsidR="00DF6A2D" w:rsidRPr="00DF6A2D" w:rsidRDefault="00DF6A2D" w:rsidP="00DF6A2D">
            <w:pPr>
              <w:pStyle w:val="NoSpacing"/>
              <w:rPr>
                <w:rFonts w:cstheme="minorHAnsi"/>
              </w:rPr>
            </w:pPr>
            <w:r w:rsidRPr="00DF6A2D">
              <w:rPr>
                <w:rFonts w:cstheme="minorHAnsi"/>
              </w:rPr>
              <w:t>0 of 15</w:t>
            </w:r>
          </w:p>
        </w:tc>
      </w:tr>
      <w:tr w:rsidR="00DF6A2D" w:rsidRPr="00DF6A2D" w14:paraId="74EB25D6" w14:textId="77777777" w:rsidTr="00DF6A2D">
        <w:tc>
          <w:tcPr>
            <w:tcW w:w="0" w:type="auto"/>
          </w:tcPr>
          <w:p w14:paraId="068CEBC3" w14:textId="4C0B0E5D" w:rsidR="00DF6A2D" w:rsidRPr="00DF6A2D" w:rsidRDefault="00DF6A2D" w:rsidP="00DF6A2D">
            <w:pPr>
              <w:pStyle w:val="NoSpacing"/>
              <w:rPr>
                <w:rFonts w:cstheme="minorHAnsi"/>
              </w:rPr>
            </w:pPr>
            <w:r w:rsidRPr="00DF6A2D">
              <w:rPr>
                <w:rFonts w:cstheme="minorHAnsi"/>
                <w:i/>
                <w:iCs/>
              </w:rPr>
              <w:t>Alternative performance</w:t>
            </w:r>
            <w:r>
              <w:rPr>
                <w:rFonts w:cstheme="minorHAnsi"/>
                <w:i/>
                <w:iCs/>
              </w:rPr>
              <w:t xml:space="preserve"> </w:t>
            </w:r>
            <w:r w:rsidRPr="00DF6A2D">
              <w:rPr>
                <w:rFonts w:cstheme="minorHAnsi"/>
                <w:i/>
                <w:iCs/>
              </w:rPr>
              <w:t>measures</w:t>
            </w:r>
          </w:p>
        </w:tc>
        <w:tc>
          <w:tcPr>
            <w:tcW w:w="0" w:type="auto"/>
          </w:tcPr>
          <w:p w14:paraId="673D4F36" w14:textId="77777777" w:rsidR="00DF6A2D" w:rsidRPr="00DF6A2D" w:rsidRDefault="00DF6A2D" w:rsidP="00DF6A2D">
            <w:pPr>
              <w:pStyle w:val="NoSpacing"/>
              <w:rPr>
                <w:rFonts w:cstheme="minorHAnsi"/>
              </w:rPr>
            </w:pPr>
          </w:p>
        </w:tc>
        <w:tc>
          <w:tcPr>
            <w:tcW w:w="0" w:type="auto"/>
          </w:tcPr>
          <w:p w14:paraId="3614AD60" w14:textId="77777777" w:rsidR="00DF6A2D" w:rsidRPr="00DF6A2D" w:rsidRDefault="00DF6A2D" w:rsidP="00DF6A2D">
            <w:pPr>
              <w:pStyle w:val="NoSpacing"/>
              <w:rPr>
                <w:rFonts w:cstheme="minorHAnsi"/>
              </w:rPr>
            </w:pPr>
          </w:p>
        </w:tc>
        <w:tc>
          <w:tcPr>
            <w:tcW w:w="0" w:type="auto"/>
          </w:tcPr>
          <w:p w14:paraId="524BFEC9" w14:textId="77777777" w:rsidR="00DF6A2D" w:rsidRPr="00DF6A2D" w:rsidRDefault="00DF6A2D" w:rsidP="00DF6A2D">
            <w:pPr>
              <w:pStyle w:val="NoSpacing"/>
              <w:rPr>
                <w:rFonts w:cstheme="minorHAnsi"/>
              </w:rPr>
            </w:pPr>
          </w:p>
        </w:tc>
        <w:tc>
          <w:tcPr>
            <w:tcW w:w="0" w:type="auto"/>
          </w:tcPr>
          <w:p w14:paraId="487A46BA" w14:textId="77777777" w:rsidR="00DF6A2D" w:rsidRPr="00DF6A2D" w:rsidRDefault="00DF6A2D" w:rsidP="00DF6A2D">
            <w:pPr>
              <w:pStyle w:val="NoSpacing"/>
              <w:rPr>
                <w:rFonts w:cstheme="minorHAnsi"/>
              </w:rPr>
            </w:pPr>
          </w:p>
        </w:tc>
        <w:tc>
          <w:tcPr>
            <w:tcW w:w="0" w:type="auto"/>
          </w:tcPr>
          <w:p w14:paraId="15F82204" w14:textId="77777777" w:rsidR="00DF6A2D" w:rsidRPr="00DF6A2D" w:rsidRDefault="00DF6A2D" w:rsidP="00DF6A2D">
            <w:pPr>
              <w:pStyle w:val="NoSpacing"/>
              <w:rPr>
                <w:rFonts w:cstheme="minorHAnsi"/>
              </w:rPr>
            </w:pPr>
          </w:p>
        </w:tc>
        <w:tc>
          <w:tcPr>
            <w:tcW w:w="0" w:type="auto"/>
          </w:tcPr>
          <w:p w14:paraId="6B3DC220" w14:textId="77777777" w:rsidR="00DF6A2D" w:rsidRPr="00DF6A2D" w:rsidRDefault="00DF6A2D" w:rsidP="00DF6A2D">
            <w:pPr>
              <w:pStyle w:val="NoSpacing"/>
              <w:rPr>
                <w:rFonts w:cstheme="minorHAnsi"/>
              </w:rPr>
            </w:pPr>
          </w:p>
        </w:tc>
        <w:tc>
          <w:tcPr>
            <w:tcW w:w="0" w:type="auto"/>
          </w:tcPr>
          <w:p w14:paraId="3B4D3B30" w14:textId="77777777" w:rsidR="00DF6A2D" w:rsidRPr="00DF6A2D" w:rsidRDefault="00DF6A2D" w:rsidP="00DF6A2D">
            <w:pPr>
              <w:pStyle w:val="NoSpacing"/>
              <w:rPr>
                <w:rFonts w:cstheme="minorHAnsi"/>
              </w:rPr>
            </w:pPr>
          </w:p>
        </w:tc>
        <w:tc>
          <w:tcPr>
            <w:tcW w:w="0" w:type="auto"/>
          </w:tcPr>
          <w:p w14:paraId="1CE47A21" w14:textId="77777777" w:rsidR="00DF6A2D" w:rsidRPr="00DF6A2D" w:rsidRDefault="00DF6A2D" w:rsidP="00DF6A2D">
            <w:pPr>
              <w:pStyle w:val="NoSpacing"/>
              <w:rPr>
                <w:rFonts w:cstheme="minorHAnsi"/>
              </w:rPr>
            </w:pPr>
          </w:p>
        </w:tc>
        <w:tc>
          <w:tcPr>
            <w:tcW w:w="0" w:type="auto"/>
          </w:tcPr>
          <w:p w14:paraId="042E07BA" w14:textId="77777777" w:rsidR="00DF6A2D" w:rsidRPr="00DF6A2D" w:rsidRDefault="00DF6A2D" w:rsidP="00DF6A2D">
            <w:pPr>
              <w:pStyle w:val="NoSpacing"/>
              <w:rPr>
                <w:rFonts w:cstheme="minorHAnsi"/>
              </w:rPr>
            </w:pPr>
          </w:p>
        </w:tc>
      </w:tr>
      <w:tr w:rsidR="00DF6A2D" w:rsidRPr="00DF6A2D" w14:paraId="1A86B171" w14:textId="77777777" w:rsidTr="00DF6A2D">
        <w:tc>
          <w:tcPr>
            <w:tcW w:w="0" w:type="auto"/>
          </w:tcPr>
          <w:p w14:paraId="67B781BC" w14:textId="2C4231DF" w:rsidR="00DF6A2D" w:rsidRPr="00DF6A2D" w:rsidRDefault="00DF6A2D" w:rsidP="00DF6A2D">
            <w:pPr>
              <w:pStyle w:val="NoSpacing"/>
              <w:rPr>
                <w:rFonts w:cstheme="minorHAnsi"/>
                <w:i/>
                <w:iCs/>
              </w:rPr>
            </w:pPr>
            <w:r w:rsidRPr="00DF6A2D">
              <w:rPr>
                <w:rFonts w:cstheme="minorHAnsi"/>
              </w:rPr>
              <w:t>Conference winning</w:t>
            </w:r>
            <w:r w:rsidRPr="00DF6A2D">
              <w:rPr>
                <w:rFonts w:cstheme="minorHAnsi"/>
              </w:rPr>
              <w:t xml:space="preserve"> </w:t>
            </w:r>
            <w:r w:rsidRPr="00DF6A2D">
              <w:rPr>
                <w:rFonts w:cstheme="minorHAnsi"/>
              </w:rPr>
              <w:t xml:space="preserve">percentage </w:t>
            </w:r>
          </w:p>
        </w:tc>
        <w:tc>
          <w:tcPr>
            <w:tcW w:w="0" w:type="auto"/>
          </w:tcPr>
          <w:p w14:paraId="05F900E3" w14:textId="77777777" w:rsidR="00DF6A2D" w:rsidRPr="00DF6A2D" w:rsidRDefault="00DF6A2D" w:rsidP="00DF6A2D">
            <w:pPr>
              <w:pStyle w:val="NoSpacing"/>
              <w:rPr>
                <w:rFonts w:cstheme="minorHAnsi"/>
              </w:rPr>
            </w:pPr>
          </w:p>
        </w:tc>
        <w:tc>
          <w:tcPr>
            <w:tcW w:w="0" w:type="auto"/>
          </w:tcPr>
          <w:p w14:paraId="3CA3CB0C" w14:textId="77777777" w:rsidR="00DF6A2D" w:rsidRPr="00DF6A2D" w:rsidRDefault="00DF6A2D" w:rsidP="00DF6A2D">
            <w:pPr>
              <w:pStyle w:val="NoSpacing"/>
              <w:rPr>
                <w:rFonts w:cstheme="minorHAnsi"/>
              </w:rPr>
            </w:pPr>
          </w:p>
        </w:tc>
        <w:tc>
          <w:tcPr>
            <w:tcW w:w="0" w:type="auto"/>
          </w:tcPr>
          <w:p w14:paraId="72B1693E" w14:textId="77777777" w:rsidR="00DF6A2D" w:rsidRPr="00DF6A2D" w:rsidRDefault="00DF6A2D" w:rsidP="00DF6A2D">
            <w:pPr>
              <w:pStyle w:val="NoSpacing"/>
              <w:rPr>
                <w:rFonts w:cstheme="minorHAnsi"/>
              </w:rPr>
            </w:pPr>
          </w:p>
        </w:tc>
        <w:tc>
          <w:tcPr>
            <w:tcW w:w="0" w:type="auto"/>
          </w:tcPr>
          <w:p w14:paraId="1B1F6038" w14:textId="77777777" w:rsidR="00DF6A2D" w:rsidRPr="00DF6A2D" w:rsidRDefault="00DF6A2D" w:rsidP="00DF6A2D">
            <w:pPr>
              <w:pStyle w:val="NoSpacing"/>
              <w:rPr>
                <w:rFonts w:cstheme="minorHAnsi"/>
              </w:rPr>
            </w:pPr>
          </w:p>
        </w:tc>
        <w:tc>
          <w:tcPr>
            <w:tcW w:w="0" w:type="auto"/>
          </w:tcPr>
          <w:p w14:paraId="1DBAFF04" w14:textId="77777777" w:rsidR="00DF6A2D" w:rsidRPr="00DF6A2D" w:rsidRDefault="00DF6A2D" w:rsidP="00DF6A2D">
            <w:pPr>
              <w:pStyle w:val="NoSpacing"/>
              <w:rPr>
                <w:rFonts w:cstheme="minorHAnsi"/>
              </w:rPr>
            </w:pPr>
          </w:p>
        </w:tc>
        <w:tc>
          <w:tcPr>
            <w:tcW w:w="0" w:type="auto"/>
          </w:tcPr>
          <w:p w14:paraId="29D5F88C" w14:textId="77777777" w:rsidR="00DF6A2D" w:rsidRPr="00DF6A2D" w:rsidRDefault="00DF6A2D" w:rsidP="00DF6A2D">
            <w:pPr>
              <w:pStyle w:val="NoSpacing"/>
              <w:rPr>
                <w:rFonts w:cstheme="minorHAnsi"/>
              </w:rPr>
            </w:pPr>
          </w:p>
        </w:tc>
        <w:tc>
          <w:tcPr>
            <w:tcW w:w="0" w:type="auto"/>
          </w:tcPr>
          <w:p w14:paraId="10ACE043" w14:textId="77777777" w:rsidR="00DF6A2D" w:rsidRPr="00DF6A2D" w:rsidRDefault="00DF6A2D" w:rsidP="00DF6A2D">
            <w:pPr>
              <w:pStyle w:val="NoSpacing"/>
              <w:rPr>
                <w:rFonts w:cstheme="minorHAnsi"/>
              </w:rPr>
            </w:pPr>
          </w:p>
        </w:tc>
        <w:tc>
          <w:tcPr>
            <w:tcW w:w="0" w:type="auto"/>
          </w:tcPr>
          <w:p w14:paraId="5324362B" w14:textId="0EBE278B" w:rsidR="00DF6A2D" w:rsidRPr="00DF6A2D" w:rsidRDefault="00DF6A2D" w:rsidP="00DF6A2D">
            <w:pPr>
              <w:pStyle w:val="NoSpacing"/>
              <w:rPr>
                <w:rFonts w:cstheme="minorHAnsi"/>
              </w:rPr>
            </w:pPr>
            <w:r w:rsidRPr="00DF6A2D">
              <w:rPr>
                <w:rFonts w:cstheme="minorHAnsi"/>
              </w:rPr>
              <w:t>-0.005 (0.015)</w:t>
            </w:r>
          </w:p>
        </w:tc>
        <w:tc>
          <w:tcPr>
            <w:tcW w:w="0" w:type="auto"/>
          </w:tcPr>
          <w:p w14:paraId="2F3EE291" w14:textId="77777777" w:rsidR="00DF6A2D" w:rsidRPr="00DF6A2D" w:rsidRDefault="00DF6A2D" w:rsidP="00DF6A2D">
            <w:pPr>
              <w:pStyle w:val="NoSpacing"/>
              <w:rPr>
                <w:rFonts w:cstheme="minorHAnsi"/>
              </w:rPr>
            </w:pPr>
          </w:p>
        </w:tc>
      </w:tr>
      <w:tr w:rsidR="00DF6A2D" w:rsidRPr="00DF6A2D" w14:paraId="28388B7F" w14:textId="77777777" w:rsidTr="00DF6A2D">
        <w:tc>
          <w:tcPr>
            <w:tcW w:w="0" w:type="auto"/>
          </w:tcPr>
          <w:p w14:paraId="430A050E" w14:textId="33CDB14F" w:rsidR="00DF6A2D" w:rsidRPr="00DF6A2D" w:rsidRDefault="00DF6A2D" w:rsidP="00DF6A2D">
            <w:pPr>
              <w:pStyle w:val="NoSpacing"/>
              <w:rPr>
                <w:rFonts w:cstheme="minorHAnsi"/>
                <w:i/>
                <w:iCs/>
              </w:rPr>
            </w:pPr>
            <w:r w:rsidRPr="00DF6A2D">
              <w:rPr>
                <w:rFonts w:cstheme="minorHAnsi"/>
              </w:rPr>
              <w:t>Conference winning</w:t>
            </w:r>
            <w:r w:rsidRPr="00DF6A2D">
              <w:rPr>
                <w:rFonts w:cstheme="minorHAnsi"/>
              </w:rPr>
              <w:t xml:space="preserve"> </w:t>
            </w:r>
            <w:r w:rsidRPr="00DF6A2D">
              <w:rPr>
                <w:rFonts w:cstheme="minorHAnsi"/>
              </w:rPr>
              <w:t xml:space="preserve">percentage–squared </w:t>
            </w:r>
          </w:p>
        </w:tc>
        <w:tc>
          <w:tcPr>
            <w:tcW w:w="0" w:type="auto"/>
          </w:tcPr>
          <w:p w14:paraId="7270C3EC" w14:textId="77777777" w:rsidR="00DF6A2D" w:rsidRPr="00DF6A2D" w:rsidRDefault="00DF6A2D" w:rsidP="00DF6A2D">
            <w:pPr>
              <w:pStyle w:val="NoSpacing"/>
              <w:rPr>
                <w:rFonts w:cstheme="minorHAnsi"/>
              </w:rPr>
            </w:pPr>
          </w:p>
        </w:tc>
        <w:tc>
          <w:tcPr>
            <w:tcW w:w="0" w:type="auto"/>
          </w:tcPr>
          <w:p w14:paraId="6B192CC4" w14:textId="77777777" w:rsidR="00DF6A2D" w:rsidRPr="00DF6A2D" w:rsidRDefault="00DF6A2D" w:rsidP="00DF6A2D">
            <w:pPr>
              <w:pStyle w:val="NoSpacing"/>
              <w:rPr>
                <w:rFonts w:cstheme="minorHAnsi"/>
              </w:rPr>
            </w:pPr>
          </w:p>
        </w:tc>
        <w:tc>
          <w:tcPr>
            <w:tcW w:w="0" w:type="auto"/>
          </w:tcPr>
          <w:p w14:paraId="3FD75B1B" w14:textId="77777777" w:rsidR="00DF6A2D" w:rsidRPr="00DF6A2D" w:rsidRDefault="00DF6A2D" w:rsidP="00DF6A2D">
            <w:pPr>
              <w:pStyle w:val="NoSpacing"/>
              <w:rPr>
                <w:rFonts w:cstheme="minorHAnsi"/>
              </w:rPr>
            </w:pPr>
          </w:p>
        </w:tc>
        <w:tc>
          <w:tcPr>
            <w:tcW w:w="0" w:type="auto"/>
          </w:tcPr>
          <w:p w14:paraId="43CEF70C" w14:textId="77777777" w:rsidR="00DF6A2D" w:rsidRPr="00DF6A2D" w:rsidRDefault="00DF6A2D" w:rsidP="00DF6A2D">
            <w:pPr>
              <w:pStyle w:val="NoSpacing"/>
              <w:rPr>
                <w:rFonts w:cstheme="minorHAnsi"/>
              </w:rPr>
            </w:pPr>
          </w:p>
        </w:tc>
        <w:tc>
          <w:tcPr>
            <w:tcW w:w="0" w:type="auto"/>
          </w:tcPr>
          <w:p w14:paraId="75E851D6" w14:textId="77777777" w:rsidR="00DF6A2D" w:rsidRPr="00DF6A2D" w:rsidRDefault="00DF6A2D" w:rsidP="00DF6A2D">
            <w:pPr>
              <w:pStyle w:val="NoSpacing"/>
              <w:rPr>
                <w:rFonts w:cstheme="minorHAnsi"/>
              </w:rPr>
            </w:pPr>
          </w:p>
        </w:tc>
        <w:tc>
          <w:tcPr>
            <w:tcW w:w="0" w:type="auto"/>
          </w:tcPr>
          <w:p w14:paraId="6C986DB5" w14:textId="77777777" w:rsidR="00DF6A2D" w:rsidRPr="00DF6A2D" w:rsidRDefault="00DF6A2D" w:rsidP="00DF6A2D">
            <w:pPr>
              <w:pStyle w:val="NoSpacing"/>
              <w:rPr>
                <w:rFonts w:cstheme="minorHAnsi"/>
              </w:rPr>
            </w:pPr>
          </w:p>
        </w:tc>
        <w:tc>
          <w:tcPr>
            <w:tcW w:w="0" w:type="auto"/>
          </w:tcPr>
          <w:p w14:paraId="2EB5B968" w14:textId="77777777" w:rsidR="00DF6A2D" w:rsidRPr="00DF6A2D" w:rsidRDefault="00DF6A2D" w:rsidP="00DF6A2D">
            <w:pPr>
              <w:pStyle w:val="NoSpacing"/>
              <w:rPr>
                <w:rFonts w:cstheme="minorHAnsi"/>
              </w:rPr>
            </w:pPr>
          </w:p>
        </w:tc>
        <w:tc>
          <w:tcPr>
            <w:tcW w:w="0" w:type="auto"/>
          </w:tcPr>
          <w:p w14:paraId="0C969FFA" w14:textId="41B0C403" w:rsidR="00DF6A2D" w:rsidRPr="00DF6A2D" w:rsidRDefault="00DF6A2D" w:rsidP="00DF6A2D">
            <w:pPr>
              <w:pStyle w:val="NoSpacing"/>
              <w:rPr>
                <w:rFonts w:cstheme="minorHAnsi"/>
              </w:rPr>
            </w:pPr>
            <w:r w:rsidRPr="00DF6A2D">
              <w:rPr>
                <w:rFonts w:cstheme="minorHAnsi"/>
              </w:rPr>
              <w:t>-0.001** (0.000)</w:t>
            </w:r>
          </w:p>
        </w:tc>
        <w:tc>
          <w:tcPr>
            <w:tcW w:w="0" w:type="auto"/>
          </w:tcPr>
          <w:p w14:paraId="09840175" w14:textId="77777777" w:rsidR="00DF6A2D" w:rsidRPr="00DF6A2D" w:rsidRDefault="00DF6A2D" w:rsidP="00DF6A2D">
            <w:pPr>
              <w:pStyle w:val="NoSpacing"/>
              <w:rPr>
                <w:rFonts w:cstheme="minorHAnsi"/>
              </w:rPr>
            </w:pPr>
          </w:p>
        </w:tc>
      </w:tr>
      <w:tr w:rsidR="00DF6A2D" w:rsidRPr="00DF6A2D" w14:paraId="54F99E55" w14:textId="77777777" w:rsidTr="00DF6A2D">
        <w:tc>
          <w:tcPr>
            <w:tcW w:w="0" w:type="auto"/>
          </w:tcPr>
          <w:p w14:paraId="6187B054" w14:textId="05C2BE2C" w:rsidR="00DF6A2D" w:rsidRPr="00DF6A2D" w:rsidRDefault="00DF6A2D" w:rsidP="00DF6A2D">
            <w:pPr>
              <w:pStyle w:val="NoSpacing"/>
              <w:rPr>
                <w:rFonts w:cstheme="minorHAnsi"/>
                <w:i/>
                <w:iCs/>
              </w:rPr>
            </w:pPr>
            <w:r w:rsidRPr="00DF6A2D">
              <w:rPr>
                <w:rFonts w:cstheme="minorHAnsi"/>
              </w:rPr>
              <w:t>Made NCAA</w:t>
            </w:r>
            <w:r>
              <w:rPr>
                <w:rFonts w:cstheme="minorHAnsi"/>
              </w:rPr>
              <w:t xml:space="preserve"> </w:t>
            </w:r>
            <w:r w:rsidRPr="00DF6A2D">
              <w:rPr>
                <w:rFonts w:cstheme="minorHAnsi"/>
              </w:rPr>
              <w:t xml:space="preserve">tournament </w:t>
            </w:r>
          </w:p>
        </w:tc>
        <w:tc>
          <w:tcPr>
            <w:tcW w:w="0" w:type="auto"/>
          </w:tcPr>
          <w:p w14:paraId="2D845FE8" w14:textId="77777777" w:rsidR="00DF6A2D" w:rsidRPr="00DF6A2D" w:rsidRDefault="00DF6A2D" w:rsidP="00DF6A2D">
            <w:pPr>
              <w:pStyle w:val="NoSpacing"/>
              <w:rPr>
                <w:rFonts w:cstheme="minorHAnsi"/>
              </w:rPr>
            </w:pPr>
          </w:p>
        </w:tc>
        <w:tc>
          <w:tcPr>
            <w:tcW w:w="0" w:type="auto"/>
          </w:tcPr>
          <w:p w14:paraId="4A601582" w14:textId="77777777" w:rsidR="00DF6A2D" w:rsidRPr="00DF6A2D" w:rsidRDefault="00DF6A2D" w:rsidP="00DF6A2D">
            <w:pPr>
              <w:pStyle w:val="NoSpacing"/>
              <w:rPr>
                <w:rFonts w:cstheme="minorHAnsi"/>
              </w:rPr>
            </w:pPr>
          </w:p>
        </w:tc>
        <w:tc>
          <w:tcPr>
            <w:tcW w:w="0" w:type="auto"/>
          </w:tcPr>
          <w:p w14:paraId="6325E7FA" w14:textId="77777777" w:rsidR="00DF6A2D" w:rsidRPr="00DF6A2D" w:rsidRDefault="00DF6A2D" w:rsidP="00DF6A2D">
            <w:pPr>
              <w:pStyle w:val="NoSpacing"/>
              <w:rPr>
                <w:rFonts w:cstheme="minorHAnsi"/>
              </w:rPr>
            </w:pPr>
          </w:p>
        </w:tc>
        <w:tc>
          <w:tcPr>
            <w:tcW w:w="0" w:type="auto"/>
          </w:tcPr>
          <w:p w14:paraId="40415429" w14:textId="77777777" w:rsidR="00DF6A2D" w:rsidRPr="00DF6A2D" w:rsidRDefault="00DF6A2D" w:rsidP="00DF6A2D">
            <w:pPr>
              <w:pStyle w:val="NoSpacing"/>
              <w:rPr>
                <w:rFonts w:cstheme="minorHAnsi"/>
              </w:rPr>
            </w:pPr>
          </w:p>
        </w:tc>
        <w:tc>
          <w:tcPr>
            <w:tcW w:w="0" w:type="auto"/>
          </w:tcPr>
          <w:p w14:paraId="254689C7" w14:textId="77777777" w:rsidR="00DF6A2D" w:rsidRPr="00DF6A2D" w:rsidRDefault="00DF6A2D" w:rsidP="00DF6A2D">
            <w:pPr>
              <w:pStyle w:val="NoSpacing"/>
              <w:rPr>
                <w:rFonts w:cstheme="minorHAnsi"/>
              </w:rPr>
            </w:pPr>
          </w:p>
        </w:tc>
        <w:tc>
          <w:tcPr>
            <w:tcW w:w="0" w:type="auto"/>
          </w:tcPr>
          <w:p w14:paraId="1E206BD1" w14:textId="77777777" w:rsidR="00DF6A2D" w:rsidRPr="00DF6A2D" w:rsidRDefault="00DF6A2D" w:rsidP="00DF6A2D">
            <w:pPr>
              <w:pStyle w:val="NoSpacing"/>
              <w:rPr>
                <w:rFonts w:cstheme="minorHAnsi"/>
              </w:rPr>
            </w:pPr>
          </w:p>
        </w:tc>
        <w:tc>
          <w:tcPr>
            <w:tcW w:w="0" w:type="auto"/>
          </w:tcPr>
          <w:p w14:paraId="5CD4E034" w14:textId="77777777" w:rsidR="00DF6A2D" w:rsidRPr="00DF6A2D" w:rsidRDefault="00DF6A2D" w:rsidP="00DF6A2D">
            <w:pPr>
              <w:pStyle w:val="NoSpacing"/>
              <w:rPr>
                <w:rFonts w:cstheme="minorHAnsi"/>
              </w:rPr>
            </w:pPr>
          </w:p>
        </w:tc>
        <w:tc>
          <w:tcPr>
            <w:tcW w:w="0" w:type="auto"/>
          </w:tcPr>
          <w:p w14:paraId="6DAA1C54" w14:textId="77777777" w:rsidR="00DF6A2D" w:rsidRPr="00DF6A2D" w:rsidRDefault="00DF6A2D" w:rsidP="00DF6A2D">
            <w:pPr>
              <w:pStyle w:val="NoSpacing"/>
              <w:rPr>
                <w:rFonts w:cstheme="minorHAnsi"/>
              </w:rPr>
            </w:pPr>
          </w:p>
        </w:tc>
        <w:tc>
          <w:tcPr>
            <w:tcW w:w="0" w:type="auto"/>
          </w:tcPr>
          <w:p w14:paraId="320DC2DE" w14:textId="00552DE0" w:rsidR="00DF6A2D" w:rsidRPr="00DF6A2D" w:rsidRDefault="00DF6A2D" w:rsidP="00DF6A2D">
            <w:pPr>
              <w:pStyle w:val="NoSpacing"/>
              <w:rPr>
                <w:rFonts w:cstheme="minorHAnsi"/>
              </w:rPr>
            </w:pPr>
            <w:r w:rsidRPr="00DF6A2D">
              <w:rPr>
                <w:rFonts w:cstheme="minorHAnsi"/>
              </w:rPr>
              <w:t>-1.414*** (0.333)</w:t>
            </w:r>
          </w:p>
        </w:tc>
      </w:tr>
      <w:tr w:rsidR="00DF6A2D" w:rsidRPr="00DF6A2D" w14:paraId="464236B6" w14:textId="77777777" w:rsidTr="00DF6A2D">
        <w:tc>
          <w:tcPr>
            <w:tcW w:w="0" w:type="auto"/>
          </w:tcPr>
          <w:p w14:paraId="4D8DD614" w14:textId="100E6AC4" w:rsidR="00DF6A2D" w:rsidRPr="00DF6A2D" w:rsidRDefault="00DF6A2D" w:rsidP="00DF6A2D">
            <w:pPr>
              <w:pStyle w:val="NoSpacing"/>
              <w:rPr>
                <w:rFonts w:cstheme="minorHAnsi"/>
                <w:i/>
                <w:iCs/>
              </w:rPr>
            </w:pPr>
            <w:r w:rsidRPr="00DF6A2D">
              <w:rPr>
                <w:rFonts w:cstheme="minorHAnsi"/>
              </w:rPr>
              <w:t xml:space="preserve">Tournament wins </w:t>
            </w:r>
          </w:p>
        </w:tc>
        <w:tc>
          <w:tcPr>
            <w:tcW w:w="0" w:type="auto"/>
          </w:tcPr>
          <w:p w14:paraId="555A92FC" w14:textId="77777777" w:rsidR="00DF6A2D" w:rsidRPr="00DF6A2D" w:rsidRDefault="00DF6A2D" w:rsidP="00DF6A2D">
            <w:pPr>
              <w:pStyle w:val="NoSpacing"/>
              <w:rPr>
                <w:rFonts w:cstheme="minorHAnsi"/>
              </w:rPr>
            </w:pPr>
          </w:p>
        </w:tc>
        <w:tc>
          <w:tcPr>
            <w:tcW w:w="0" w:type="auto"/>
          </w:tcPr>
          <w:p w14:paraId="0EC59F99" w14:textId="77777777" w:rsidR="00DF6A2D" w:rsidRPr="00DF6A2D" w:rsidRDefault="00DF6A2D" w:rsidP="00DF6A2D">
            <w:pPr>
              <w:pStyle w:val="NoSpacing"/>
              <w:rPr>
                <w:rFonts w:cstheme="minorHAnsi"/>
              </w:rPr>
            </w:pPr>
          </w:p>
        </w:tc>
        <w:tc>
          <w:tcPr>
            <w:tcW w:w="0" w:type="auto"/>
          </w:tcPr>
          <w:p w14:paraId="4E886016" w14:textId="77777777" w:rsidR="00DF6A2D" w:rsidRPr="00DF6A2D" w:rsidRDefault="00DF6A2D" w:rsidP="00DF6A2D">
            <w:pPr>
              <w:pStyle w:val="NoSpacing"/>
              <w:rPr>
                <w:rFonts w:cstheme="minorHAnsi"/>
              </w:rPr>
            </w:pPr>
          </w:p>
        </w:tc>
        <w:tc>
          <w:tcPr>
            <w:tcW w:w="0" w:type="auto"/>
          </w:tcPr>
          <w:p w14:paraId="60DB0BF9" w14:textId="77777777" w:rsidR="00DF6A2D" w:rsidRPr="00DF6A2D" w:rsidRDefault="00DF6A2D" w:rsidP="00DF6A2D">
            <w:pPr>
              <w:pStyle w:val="NoSpacing"/>
              <w:rPr>
                <w:rFonts w:cstheme="minorHAnsi"/>
              </w:rPr>
            </w:pPr>
          </w:p>
        </w:tc>
        <w:tc>
          <w:tcPr>
            <w:tcW w:w="0" w:type="auto"/>
          </w:tcPr>
          <w:p w14:paraId="4E674372" w14:textId="77777777" w:rsidR="00DF6A2D" w:rsidRPr="00DF6A2D" w:rsidRDefault="00DF6A2D" w:rsidP="00DF6A2D">
            <w:pPr>
              <w:pStyle w:val="NoSpacing"/>
              <w:rPr>
                <w:rFonts w:cstheme="minorHAnsi"/>
              </w:rPr>
            </w:pPr>
          </w:p>
        </w:tc>
        <w:tc>
          <w:tcPr>
            <w:tcW w:w="0" w:type="auto"/>
          </w:tcPr>
          <w:p w14:paraId="6A934D25" w14:textId="77777777" w:rsidR="00DF6A2D" w:rsidRPr="00DF6A2D" w:rsidRDefault="00DF6A2D" w:rsidP="00DF6A2D">
            <w:pPr>
              <w:pStyle w:val="NoSpacing"/>
              <w:rPr>
                <w:rFonts w:cstheme="minorHAnsi"/>
              </w:rPr>
            </w:pPr>
          </w:p>
        </w:tc>
        <w:tc>
          <w:tcPr>
            <w:tcW w:w="0" w:type="auto"/>
          </w:tcPr>
          <w:p w14:paraId="30037163" w14:textId="77777777" w:rsidR="00DF6A2D" w:rsidRPr="00DF6A2D" w:rsidRDefault="00DF6A2D" w:rsidP="00DF6A2D">
            <w:pPr>
              <w:pStyle w:val="NoSpacing"/>
              <w:rPr>
                <w:rFonts w:cstheme="minorHAnsi"/>
              </w:rPr>
            </w:pPr>
          </w:p>
        </w:tc>
        <w:tc>
          <w:tcPr>
            <w:tcW w:w="0" w:type="auto"/>
          </w:tcPr>
          <w:p w14:paraId="0F21C0DA" w14:textId="77777777" w:rsidR="00DF6A2D" w:rsidRPr="00DF6A2D" w:rsidRDefault="00DF6A2D" w:rsidP="00DF6A2D">
            <w:pPr>
              <w:pStyle w:val="NoSpacing"/>
              <w:rPr>
                <w:rFonts w:cstheme="minorHAnsi"/>
              </w:rPr>
            </w:pPr>
          </w:p>
        </w:tc>
        <w:tc>
          <w:tcPr>
            <w:tcW w:w="0" w:type="auto"/>
          </w:tcPr>
          <w:p w14:paraId="1CF03587" w14:textId="1422AD8F" w:rsidR="00DF6A2D" w:rsidRPr="00DF6A2D" w:rsidRDefault="00DF6A2D" w:rsidP="00DF6A2D">
            <w:pPr>
              <w:pStyle w:val="NoSpacing"/>
              <w:rPr>
                <w:rFonts w:cstheme="minorHAnsi"/>
              </w:rPr>
            </w:pPr>
            <w:r w:rsidRPr="00DF6A2D">
              <w:rPr>
                <w:rFonts w:cstheme="minorHAnsi"/>
              </w:rPr>
              <w:t>-1.138* (0.457)</w:t>
            </w:r>
          </w:p>
        </w:tc>
      </w:tr>
      <w:tr w:rsidR="00DF6A2D" w:rsidRPr="00DF6A2D" w14:paraId="0EF0F3D5" w14:textId="77777777" w:rsidTr="00DF6A2D">
        <w:tc>
          <w:tcPr>
            <w:tcW w:w="0" w:type="auto"/>
          </w:tcPr>
          <w:p w14:paraId="1EEEF50F" w14:textId="01441220" w:rsidR="00DF6A2D" w:rsidRPr="00DF6A2D" w:rsidRDefault="00DF6A2D" w:rsidP="00DF6A2D">
            <w:pPr>
              <w:pStyle w:val="NoSpacing"/>
              <w:rPr>
                <w:rFonts w:cstheme="minorHAnsi"/>
                <w:i/>
                <w:iCs/>
              </w:rPr>
            </w:pPr>
            <w:r w:rsidRPr="00DF6A2D">
              <w:rPr>
                <w:rFonts w:cstheme="minorHAnsi"/>
              </w:rPr>
              <w:t xml:space="preserve">Log pseudolikelihood </w:t>
            </w:r>
          </w:p>
        </w:tc>
        <w:tc>
          <w:tcPr>
            <w:tcW w:w="0" w:type="auto"/>
          </w:tcPr>
          <w:p w14:paraId="503C0F46" w14:textId="2B77F5EC" w:rsidR="00DF6A2D" w:rsidRPr="00DF6A2D" w:rsidRDefault="00DF6A2D" w:rsidP="00DF6A2D">
            <w:pPr>
              <w:pStyle w:val="NoSpacing"/>
              <w:rPr>
                <w:rFonts w:cstheme="minorHAnsi"/>
              </w:rPr>
            </w:pPr>
            <w:r w:rsidRPr="00DF6A2D">
              <w:rPr>
                <w:rFonts w:cstheme="minorHAnsi"/>
              </w:rPr>
              <w:t>-639.18</w:t>
            </w:r>
          </w:p>
        </w:tc>
        <w:tc>
          <w:tcPr>
            <w:tcW w:w="0" w:type="auto"/>
          </w:tcPr>
          <w:p w14:paraId="2B22CD91" w14:textId="2B430C1B" w:rsidR="00DF6A2D" w:rsidRPr="00DF6A2D" w:rsidRDefault="00DF6A2D" w:rsidP="00DF6A2D">
            <w:pPr>
              <w:pStyle w:val="NoSpacing"/>
              <w:rPr>
                <w:rFonts w:cstheme="minorHAnsi"/>
              </w:rPr>
            </w:pPr>
            <w:r w:rsidRPr="00DF6A2D">
              <w:rPr>
                <w:rFonts w:cstheme="minorHAnsi"/>
              </w:rPr>
              <w:t>-598.75</w:t>
            </w:r>
          </w:p>
        </w:tc>
        <w:tc>
          <w:tcPr>
            <w:tcW w:w="0" w:type="auto"/>
          </w:tcPr>
          <w:p w14:paraId="7135050C" w14:textId="237FD999" w:rsidR="00DF6A2D" w:rsidRPr="00DF6A2D" w:rsidRDefault="00DF6A2D" w:rsidP="00DF6A2D">
            <w:pPr>
              <w:pStyle w:val="NoSpacing"/>
              <w:rPr>
                <w:rFonts w:cstheme="minorHAnsi"/>
              </w:rPr>
            </w:pPr>
            <w:r w:rsidRPr="00DF6A2D">
              <w:rPr>
                <w:rFonts w:cstheme="minorHAnsi"/>
              </w:rPr>
              <w:t>-592.78</w:t>
            </w:r>
          </w:p>
        </w:tc>
        <w:tc>
          <w:tcPr>
            <w:tcW w:w="0" w:type="auto"/>
          </w:tcPr>
          <w:p w14:paraId="1A0F813E" w14:textId="0789B272" w:rsidR="00DF6A2D" w:rsidRPr="00DF6A2D" w:rsidRDefault="00DF6A2D" w:rsidP="00DF6A2D">
            <w:pPr>
              <w:pStyle w:val="NoSpacing"/>
              <w:rPr>
                <w:rFonts w:cstheme="minorHAnsi"/>
              </w:rPr>
            </w:pPr>
            <w:r w:rsidRPr="00DF6A2D">
              <w:rPr>
                <w:rFonts w:cstheme="minorHAnsi"/>
              </w:rPr>
              <w:t>-592.75</w:t>
            </w:r>
          </w:p>
        </w:tc>
        <w:tc>
          <w:tcPr>
            <w:tcW w:w="0" w:type="auto"/>
          </w:tcPr>
          <w:p w14:paraId="5FDDDFF1" w14:textId="46099329" w:rsidR="00DF6A2D" w:rsidRPr="00DF6A2D" w:rsidRDefault="00DF6A2D" w:rsidP="00DF6A2D">
            <w:pPr>
              <w:pStyle w:val="NoSpacing"/>
              <w:rPr>
                <w:rFonts w:cstheme="minorHAnsi"/>
              </w:rPr>
            </w:pPr>
            <w:r w:rsidRPr="00DF6A2D">
              <w:rPr>
                <w:rFonts w:cstheme="minorHAnsi"/>
              </w:rPr>
              <w:t>-590.91</w:t>
            </w:r>
          </w:p>
        </w:tc>
        <w:tc>
          <w:tcPr>
            <w:tcW w:w="0" w:type="auto"/>
          </w:tcPr>
          <w:p w14:paraId="5DE51823" w14:textId="5584972E" w:rsidR="00DF6A2D" w:rsidRPr="00DF6A2D" w:rsidRDefault="00DF6A2D" w:rsidP="00DF6A2D">
            <w:pPr>
              <w:pStyle w:val="NoSpacing"/>
              <w:rPr>
                <w:rFonts w:cstheme="minorHAnsi"/>
              </w:rPr>
            </w:pPr>
            <w:r w:rsidRPr="00DF6A2D">
              <w:rPr>
                <w:rFonts w:cstheme="minorHAnsi"/>
              </w:rPr>
              <w:t>-590.72</w:t>
            </w:r>
          </w:p>
        </w:tc>
        <w:tc>
          <w:tcPr>
            <w:tcW w:w="0" w:type="auto"/>
          </w:tcPr>
          <w:p w14:paraId="38DBCCA9" w14:textId="5AB4D643" w:rsidR="00DF6A2D" w:rsidRPr="00DF6A2D" w:rsidRDefault="00DF6A2D" w:rsidP="00DF6A2D">
            <w:pPr>
              <w:pStyle w:val="NoSpacing"/>
              <w:rPr>
                <w:rFonts w:cstheme="minorHAnsi"/>
              </w:rPr>
            </w:pPr>
            <w:r w:rsidRPr="00DF6A2D">
              <w:rPr>
                <w:rFonts w:cstheme="minorHAnsi"/>
              </w:rPr>
              <w:t>-588.19</w:t>
            </w:r>
          </w:p>
        </w:tc>
        <w:tc>
          <w:tcPr>
            <w:tcW w:w="0" w:type="auto"/>
          </w:tcPr>
          <w:p w14:paraId="63472FFB" w14:textId="05279C76" w:rsidR="00DF6A2D" w:rsidRPr="00DF6A2D" w:rsidRDefault="00DF6A2D" w:rsidP="00DF6A2D">
            <w:pPr>
              <w:pStyle w:val="NoSpacing"/>
              <w:rPr>
                <w:rFonts w:cstheme="minorHAnsi"/>
              </w:rPr>
            </w:pPr>
            <w:r w:rsidRPr="00DF6A2D">
              <w:rPr>
                <w:rFonts w:cstheme="minorHAnsi"/>
              </w:rPr>
              <w:t>-591.82</w:t>
            </w:r>
          </w:p>
        </w:tc>
        <w:tc>
          <w:tcPr>
            <w:tcW w:w="0" w:type="auto"/>
          </w:tcPr>
          <w:p w14:paraId="3D08A00D" w14:textId="590DFA04" w:rsidR="00DF6A2D" w:rsidRPr="00DF6A2D" w:rsidRDefault="00DF6A2D" w:rsidP="00DF6A2D">
            <w:pPr>
              <w:pStyle w:val="NoSpacing"/>
              <w:rPr>
                <w:rFonts w:cstheme="minorHAnsi"/>
              </w:rPr>
            </w:pPr>
            <w:r w:rsidRPr="00DF6A2D">
              <w:rPr>
                <w:rFonts w:cstheme="minorHAnsi"/>
              </w:rPr>
              <w:t>-606.77</w:t>
            </w:r>
          </w:p>
        </w:tc>
      </w:tr>
      <w:tr w:rsidR="00DF6A2D" w:rsidRPr="00DF6A2D" w14:paraId="2E5F3D1A" w14:textId="77777777" w:rsidTr="00DF6A2D">
        <w:tc>
          <w:tcPr>
            <w:tcW w:w="0" w:type="auto"/>
          </w:tcPr>
          <w:p w14:paraId="5FFCACDF" w14:textId="36A00BD8" w:rsidR="00DF6A2D" w:rsidRPr="00DF6A2D" w:rsidRDefault="00DF6A2D" w:rsidP="00DF6A2D">
            <w:pPr>
              <w:pStyle w:val="NoSpacing"/>
              <w:rPr>
                <w:rFonts w:cstheme="minorHAnsi"/>
                <w:i/>
                <w:iCs/>
              </w:rPr>
            </w:pPr>
            <w:r w:rsidRPr="00DF6A2D">
              <w:rPr>
                <w:rFonts w:cstheme="minorHAnsi"/>
              </w:rPr>
              <w:t xml:space="preserve">Likelihood ratio </w:t>
            </w:r>
            <m:oMath>
              <m:sSup>
                <m:sSupPr>
                  <m:ctrlPr>
                    <w:rPr>
                      <w:rFonts w:ascii="Cambria Math" w:hAnsi="Cambria Math" w:cstheme="minorHAnsi"/>
                      <w:i/>
                    </w:rPr>
                  </m:ctrlPr>
                </m:sSupPr>
                <m:e>
                  <m:r>
                    <w:rPr>
                      <w:rFonts w:ascii="Cambria Math" w:hAnsi="Cambria Math" w:cstheme="minorHAnsi"/>
                    </w:rPr>
                    <m:t>χ</m:t>
                  </m:r>
                </m:e>
                <m:sup>
                  <m:r>
                    <w:rPr>
                      <w:rFonts w:ascii="Cambria Math" w:hAnsi="Cambria Math" w:cstheme="minorHAnsi"/>
                    </w:rPr>
                    <m:t>2</m:t>
                  </m:r>
                </m:sup>
              </m:sSup>
            </m:oMath>
            <w:r w:rsidRPr="00DF6A2D">
              <w:rPr>
                <w:rFonts w:cstheme="minorHAnsi"/>
              </w:rPr>
              <w:t xml:space="preserve"> </w:t>
            </w:r>
          </w:p>
        </w:tc>
        <w:tc>
          <w:tcPr>
            <w:tcW w:w="0" w:type="auto"/>
          </w:tcPr>
          <w:p w14:paraId="7B80D4C7" w14:textId="0BD9CC57" w:rsidR="00DF6A2D" w:rsidRPr="00DF6A2D" w:rsidRDefault="00DF6A2D" w:rsidP="00DF6A2D">
            <w:pPr>
              <w:pStyle w:val="NoSpacing"/>
              <w:rPr>
                <w:rFonts w:cstheme="minorHAnsi"/>
              </w:rPr>
            </w:pPr>
            <w:r w:rsidRPr="00DF6A2D">
              <w:rPr>
                <w:rFonts w:cstheme="minorHAnsi"/>
              </w:rPr>
              <w:t>232.66***</w:t>
            </w:r>
          </w:p>
        </w:tc>
        <w:tc>
          <w:tcPr>
            <w:tcW w:w="0" w:type="auto"/>
          </w:tcPr>
          <w:p w14:paraId="186FDA78" w14:textId="1140EF6A" w:rsidR="00DF6A2D" w:rsidRPr="00DF6A2D" w:rsidRDefault="00DF6A2D" w:rsidP="00DF6A2D">
            <w:pPr>
              <w:pStyle w:val="NoSpacing"/>
              <w:rPr>
                <w:rFonts w:cstheme="minorHAnsi"/>
              </w:rPr>
            </w:pPr>
            <w:r w:rsidRPr="00DF6A2D">
              <w:rPr>
                <w:rFonts w:cstheme="minorHAnsi"/>
              </w:rPr>
              <w:t>335.97***</w:t>
            </w:r>
          </w:p>
        </w:tc>
        <w:tc>
          <w:tcPr>
            <w:tcW w:w="0" w:type="auto"/>
          </w:tcPr>
          <w:p w14:paraId="161CF0F5" w14:textId="45DC023F" w:rsidR="00DF6A2D" w:rsidRPr="00DF6A2D" w:rsidRDefault="00DF6A2D" w:rsidP="00DF6A2D">
            <w:pPr>
              <w:pStyle w:val="NoSpacing"/>
              <w:rPr>
                <w:rFonts w:cstheme="minorHAnsi"/>
              </w:rPr>
            </w:pPr>
            <w:r w:rsidRPr="00DF6A2D">
              <w:rPr>
                <w:rFonts w:cstheme="minorHAnsi"/>
              </w:rPr>
              <w:t>330.03***</w:t>
            </w:r>
          </w:p>
        </w:tc>
        <w:tc>
          <w:tcPr>
            <w:tcW w:w="0" w:type="auto"/>
          </w:tcPr>
          <w:p w14:paraId="6F54A5CB" w14:textId="2B42962D" w:rsidR="00DF6A2D" w:rsidRPr="00DF6A2D" w:rsidRDefault="00DF6A2D" w:rsidP="00DF6A2D">
            <w:pPr>
              <w:pStyle w:val="NoSpacing"/>
              <w:rPr>
                <w:rFonts w:cstheme="minorHAnsi"/>
              </w:rPr>
            </w:pPr>
            <w:r w:rsidRPr="00DF6A2D">
              <w:rPr>
                <w:rFonts w:cstheme="minorHAnsi"/>
              </w:rPr>
              <w:t>335.31***</w:t>
            </w:r>
          </w:p>
        </w:tc>
        <w:tc>
          <w:tcPr>
            <w:tcW w:w="0" w:type="auto"/>
          </w:tcPr>
          <w:p w14:paraId="1D693ED4" w14:textId="6612B691" w:rsidR="00DF6A2D" w:rsidRPr="00DF6A2D" w:rsidRDefault="00DF6A2D" w:rsidP="00DF6A2D">
            <w:pPr>
              <w:pStyle w:val="NoSpacing"/>
              <w:rPr>
                <w:rFonts w:cstheme="minorHAnsi"/>
              </w:rPr>
            </w:pPr>
            <w:r w:rsidRPr="00DF6A2D">
              <w:rPr>
                <w:rFonts w:cstheme="minorHAnsi"/>
              </w:rPr>
              <w:t>356.70***</w:t>
            </w:r>
          </w:p>
        </w:tc>
        <w:tc>
          <w:tcPr>
            <w:tcW w:w="0" w:type="auto"/>
          </w:tcPr>
          <w:p w14:paraId="699C1C03" w14:textId="5CB630CB" w:rsidR="00DF6A2D" w:rsidRPr="00DF6A2D" w:rsidRDefault="00DF6A2D" w:rsidP="00DF6A2D">
            <w:pPr>
              <w:pStyle w:val="NoSpacing"/>
              <w:rPr>
                <w:rFonts w:cstheme="minorHAnsi"/>
              </w:rPr>
            </w:pPr>
            <w:r w:rsidRPr="00DF6A2D">
              <w:rPr>
                <w:rFonts w:cstheme="minorHAnsi"/>
              </w:rPr>
              <w:t>342.35***</w:t>
            </w:r>
          </w:p>
        </w:tc>
        <w:tc>
          <w:tcPr>
            <w:tcW w:w="0" w:type="auto"/>
          </w:tcPr>
          <w:p w14:paraId="24EB867E" w14:textId="522A4162" w:rsidR="00DF6A2D" w:rsidRPr="00DF6A2D" w:rsidRDefault="00DF6A2D" w:rsidP="00DF6A2D">
            <w:pPr>
              <w:pStyle w:val="NoSpacing"/>
              <w:rPr>
                <w:rFonts w:cstheme="minorHAnsi"/>
              </w:rPr>
            </w:pPr>
            <w:r w:rsidRPr="00DF6A2D">
              <w:rPr>
                <w:rFonts w:cstheme="minorHAnsi"/>
              </w:rPr>
              <w:t>399.25***</w:t>
            </w:r>
          </w:p>
        </w:tc>
        <w:tc>
          <w:tcPr>
            <w:tcW w:w="0" w:type="auto"/>
          </w:tcPr>
          <w:p w14:paraId="7A935CB9" w14:textId="738ACD89" w:rsidR="00DF6A2D" w:rsidRPr="00DF6A2D" w:rsidRDefault="00DF6A2D" w:rsidP="00DF6A2D">
            <w:pPr>
              <w:pStyle w:val="NoSpacing"/>
              <w:rPr>
                <w:rFonts w:cstheme="minorHAnsi"/>
              </w:rPr>
            </w:pPr>
            <w:r w:rsidRPr="00DF6A2D">
              <w:rPr>
                <w:rFonts w:cstheme="minorHAnsi"/>
              </w:rPr>
              <w:t>356.35***</w:t>
            </w:r>
          </w:p>
        </w:tc>
        <w:tc>
          <w:tcPr>
            <w:tcW w:w="0" w:type="auto"/>
          </w:tcPr>
          <w:p w14:paraId="025913F5" w14:textId="56363DB2" w:rsidR="00DF6A2D" w:rsidRPr="00DF6A2D" w:rsidRDefault="00DF6A2D" w:rsidP="00DF6A2D">
            <w:pPr>
              <w:pStyle w:val="NoSpacing"/>
              <w:rPr>
                <w:rFonts w:cstheme="minorHAnsi"/>
              </w:rPr>
            </w:pPr>
            <w:r w:rsidRPr="00DF6A2D">
              <w:rPr>
                <w:rFonts w:cstheme="minorHAnsi"/>
              </w:rPr>
              <w:t>281.92***</w:t>
            </w:r>
          </w:p>
        </w:tc>
      </w:tr>
      <w:tr w:rsidR="00DF6A2D" w:rsidRPr="00DF6A2D" w14:paraId="66A699EC" w14:textId="77777777" w:rsidTr="00DF6A2D">
        <w:tc>
          <w:tcPr>
            <w:tcW w:w="0" w:type="auto"/>
          </w:tcPr>
          <w:p w14:paraId="201C4CF2" w14:textId="7F153612" w:rsidR="00DF6A2D" w:rsidRPr="00DF6A2D" w:rsidRDefault="00DF6A2D" w:rsidP="00DF6A2D">
            <w:pPr>
              <w:pStyle w:val="NoSpacing"/>
              <w:rPr>
                <w:rFonts w:cstheme="minorHAnsi"/>
                <w:i/>
                <w:iCs/>
              </w:rPr>
            </w:pPr>
            <w:r w:rsidRPr="00DF6A2D">
              <w:rPr>
                <w:rFonts w:cstheme="minorHAnsi"/>
              </w:rPr>
              <w:t>Subjects</w:t>
            </w:r>
            <w:r w:rsidRPr="00DF6A2D">
              <w:rPr>
                <w:rFonts w:cstheme="minorHAnsi"/>
              </w:rPr>
              <w:t xml:space="preserve"> </w:t>
            </w:r>
            <w:r w:rsidRPr="00DF6A2D">
              <w:rPr>
                <w:rFonts w:cstheme="minorHAnsi"/>
              </w:rPr>
              <w:t xml:space="preserve">(coaches) </w:t>
            </w:r>
          </w:p>
        </w:tc>
        <w:tc>
          <w:tcPr>
            <w:tcW w:w="0" w:type="auto"/>
          </w:tcPr>
          <w:p w14:paraId="78C0B494" w14:textId="64C44916" w:rsidR="00DF6A2D" w:rsidRPr="00DF6A2D" w:rsidRDefault="00DF6A2D" w:rsidP="00DF6A2D">
            <w:pPr>
              <w:pStyle w:val="NoSpacing"/>
              <w:rPr>
                <w:rFonts w:cstheme="minorHAnsi"/>
              </w:rPr>
            </w:pPr>
            <w:r w:rsidRPr="00DF6A2D">
              <w:rPr>
                <w:rFonts w:cstheme="minorHAnsi"/>
              </w:rPr>
              <w:t>347</w:t>
            </w:r>
          </w:p>
        </w:tc>
        <w:tc>
          <w:tcPr>
            <w:tcW w:w="0" w:type="auto"/>
          </w:tcPr>
          <w:p w14:paraId="13DC9BB6" w14:textId="5934C368" w:rsidR="00DF6A2D" w:rsidRPr="00DF6A2D" w:rsidRDefault="00DF6A2D" w:rsidP="00DF6A2D">
            <w:pPr>
              <w:pStyle w:val="NoSpacing"/>
              <w:rPr>
                <w:rFonts w:cstheme="minorHAnsi"/>
              </w:rPr>
            </w:pPr>
            <w:r w:rsidRPr="00DF6A2D">
              <w:rPr>
                <w:rFonts w:cstheme="minorHAnsi"/>
              </w:rPr>
              <w:t>347</w:t>
            </w:r>
          </w:p>
        </w:tc>
        <w:tc>
          <w:tcPr>
            <w:tcW w:w="0" w:type="auto"/>
          </w:tcPr>
          <w:p w14:paraId="114E5808" w14:textId="583954A1" w:rsidR="00DF6A2D" w:rsidRPr="00DF6A2D" w:rsidRDefault="00DF6A2D" w:rsidP="00DF6A2D">
            <w:pPr>
              <w:pStyle w:val="NoSpacing"/>
              <w:rPr>
                <w:rFonts w:cstheme="minorHAnsi"/>
              </w:rPr>
            </w:pPr>
            <w:r w:rsidRPr="00DF6A2D">
              <w:rPr>
                <w:rFonts w:cstheme="minorHAnsi"/>
              </w:rPr>
              <w:t>347</w:t>
            </w:r>
          </w:p>
        </w:tc>
        <w:tc>
          <w:tcPr>
            <w:tcW w:w="0" w:type="auto"/>
          </w:tcPr>
          <w:p w14:paraId="0593E641" w14:textId="2A709B40" w:rsidR="00DF6A2D" w:rsidRPr="00DF6A2D" w:rsidRDefault="00DF6A2D" w:rsidP="00DF6A2D">
            <w:pPr>
              <w:pStyle w:val="NoSpacing"/>
              <w:rPr>
                <w:rFonts w:cstheme="minorHAnsi"/>
              </w:rPr>
            </w:pPr>
            <w:r w:rsidRPr="00DF6A2D">
              <w:rPr>
                <w:rFonts w:cstheme="minorHAnsi"/>
              </w:rPr>
              <w:t>347</w:t>
            </w:r>
          </w:p>
        </w:tc>
        <w:tc>
          <w:tcPr>
            <w:tcW w:w="0" w:type="auto"/>
          </w:tcPr>
          <w:p w14:paraId="15F4F9B2" w14:textId="3D00BC45" w:rsidR="00DF6A2D" w:rsidRPr="00DF6A2D" w:rsidRDefault="00DF6A2D" w:rsidP="00DF6A2D">
            <w:pPr>
              <w:pStyle w:val="NoSpacing"/>
              <w:rPr>
                <w:rFonts w:cstheme="minorHAnsi"/>
              </w:rPr>
            </w:pPr>
            <w:r w:rsidRPr="00DF6A2D">
              <w:rPr>
                <w:rFonts w:cstheme="minorHAnsi"/>
              </w:rPr>
              <w:t>347</w:t>
            </w:r>
          </w:p>
        </w:tc>
        <w:tc>
          <w:tcPr>
            <w:tcW w:w="0" w:type="auto"/>
          </w:tcPr>
          <w:p w14:paraId="721BF056" w14:textId="60436A9F" w:rsidR="00DF6A2D" w:rsidRPr="00DF6A2D" w:rsidRDefault="00DF6A2D" w:rsidP="00DF6A2D">
            <w:pPr>
              <w:pStyle w:val="NoSpacing"/>
              <w:rPr>
                <w:rFonts w:cstheme="minorHAnsi"/>
              </w:rPr>
            </w:pPr>
            <w:r w:rsidRPr="00DF6A2D">
              <w:rPr>
                <w:rFonts w:cstheme="minorHAnsi"/>
              </w:rPr>
              <w:t>347</w:t>
            </w:r>
          </w:p>
        </w:tc>
        <w:tc>
          <w:tcPr>
            <w:tcW w:w="0" w:type="auto"/>
          </w:tcPr>
          <w:p w14:paraId="34E008CE" w14:textId="155E4183" w:rsidR="00DF6A2D" w:rsidRPr="00DF6A2D" w:rsidRDefault="00DF6A2D" w:rsidP="00DF6A2D">
            <w:pPr>
              <w:pStyle w:val="NoSpacing"/>
              <w:rPr>
                <w:rFonts w:cstheme="minorHAnsi"/>
              </w:rPr>
            </w:pPr>
            <w:r w:rsidRPr="00DF6A2D">
              <w:rPr>
                <w:rFonts w:cstheme="minorHAnsi"/>
              </w:rPr>
              <w:t>347</w:t>
            </w:r>
          </w:p>
        </w:tc>
        <w:tc>
          <w:tcPr>
            <w:tcW w:w="0" w:type="auto"/>
          </w:tcPr>
          <w:p w14:paraId="11BEA087" w14:textId="5C03F9B5" w:rsidR="00DF6A2D" w:rsidRPr="00DF6A2D" w:rsidRDefault="00DF6A2D" w:rsidP="00DF6A2D">
            <w:pPr>
              <w:pStyle w:val="NoSpacing"/>
              <w:rPr>
                <w:rFonts w:cstheme="minorHAnsi"/>
              </w:rPr>
            </w:pPr>
            <w:r w:rsidRPr="00DF6A2D">
              <w:rPr>
                <w:rFonts w:cstheme="minorHAnsi"/>
              </w:rPr>
              <w:t>347</w:t>
            </w:r>
          </w:p>
        </w:tc>
        <w:tc>
          <w:tcPr>
            <w:tcW w:w="0" w:type="auto"/>
          </w:tcPr>
          <w:p w14:paraId="59211EC7" w14:textId="30166FD0" w:rsidR="00DF6A2D" w:rsidRPr="00DF6A2D" w:rsidRDefault="00DF6A2D" w:rsidP="00DF6A2D">
            <w:pPr>
              <w:pStyle w:val="NoSpacing"/>
              <w:rPr>
                <w:rFonts w:cstheme="minorHAnsi"/>
              </w:rPr>
            </w:pPr>
            <w:r w:rsidRPr="00DF6A2D">
              <w:rPr>
                <w:rFonts w:cstheme="minorHAnsi"/>
              </w:rPr>
              <w:t>347</w:t>
            </w:r>
          </w:p>
        </w:tc>
      </w:tr>
      <w:tr w:rsidR="00DF6A2D" w:rsidRPr="00DF6A2D" w14:paraId="404ACA92" w14:textId="77777777" w:rsidTr="00DF6A2D">
        <w:tc>
          <w:tcPr>
            <w:tcW w:w="0" w:type="auto"/>
          </w:tcPr>
          <w:p w14:paraId="2B8BBA44" w14:textId="7F3660B0" w:rsidR="00DF6A2D" w:rsidRPr="00DF6A2D" w:rsidRDefault="00DF6A2D" w:rsidP="00DF6A2D">
            <w:pPr>
              <w:pStyle w:val="NoSpacing"/>
              <w:rPr>
                <w:rFonts w:cstheme="minorHAnsi"/>
                <w:i/>
                <w:iCs/>
              </w:rPr>
            </w:pPr>
            <w:r w:rsidRPr="00DF6A2D">
              <w:rPr>
                <w:rFonts w:cstheme="minorHAnsi"/>
              </w:rPr>
              <w:t xml:space="preserve">dismissals  </w:t>
            </w:r>
          </w:p>
        </w:tc>
        <w:tc>
          <w:tcPr>
            <w:tcW w:w="0" w:type="auto"/>
          </w:tcPr>
          <w:p w14:paraId="2A759FFE" w14:textId="7B13C8E5" w:rsidR="00DF6A2D" w:rsidRPr="00DF6A2D" w:rsidRDefault="00DF6A2D" w:rsidP="00DF6A2D">
            <w:pPr>
              <w:pStyle w:val="NoSpacing"/>
              <w:rPr>
                <w:rFonts w:cstheme="minorHAnsi"/>
              </w:rPr>
            </w:pPr>
            <w:r w:rsidRPr="00DF6A2D">
              <w:rPr>
                <w:rFonts w:cstheme="minorHAnsi"/>
              </w:rPr>
              <w:t>145</w:t>
            </w:r>
          </w:p>
        </w:tc>
        <w:tc>
          <w:tcPr>
            <w:tcW w:w="0" w:type="auto"/>
          </w:tcPr>
          <w:p w14:paraId="7D878C37" w14:textId="311CA04E" w:rsidR="00DF6A2D" w:rsidRPr="00DF6A2D" w:rsidRDefault="00DF6A2D" w:rsidP="00DF6A2D">
            <w:pPr>
              <w:pStyle w:val="NoSpacing"/>
              <w:rPr>
                <w:rFonts w:cstheme="minorHAnsi"/>
              </w:rPr>
            </w:pPr>
            <w:r w:rsidRPr="00DF6A2D">
              <w:rPr>
                <w:rFonts w:cstheme="minorHAnsi"/>
              </w:rPr>
              <w:t>145</w:t>
            </w:r>
          </w:p>
        </w:tc>
        <w:tc>
          <w:tcPr>
            <w:tcW w:w="0" w:type="auto"/>
          </w:tcPr>
          <w:p w14:paraId="541B1BFB" w14:textId="323EAA1A" w:rsidR="00DF6A2D" w:rsidRPr="00DF6A2D" w:rsidRDefault="00DF6A2D" w:rsidP="00DF6A2D">
            <w:pPr>
              <w:pStyle w:val="NoSpacing"/>
              <w:rPr>
                <w:rFonts w:cstheme="minorHAnsi"/>
              </w:rPr>
            </w:pPr>
            <w:r w:rsidRPr="00DF6A2D">
              <w:rPr>
                <w:rFonts w:cstheme="minorHAnsi"/>
              </w:rPr>
              <w:t>145</w:t>
            </w:r>
          </w:p>
        </w:tc>
        <w:tc>
          <w:tcPr>
            <w:tcW w:w="0" w:type="auto"/>
          </w:tcPr>
          <w:p w14:paraId="2F0D4BB8" w14:textId="29107227" w:rsidR="00DF6A2D" w:rsidRPr="00DF6A2D" w:rsidRDefault="00DF6A2D" w:rsidP="00DF6A2D">
            <w:pPr>
              <w:pStyle w:val="NoSpacing"/>
              <w:rPr>
                <w:rFonts w:cstheme="minorHAnsi"/>
              </w:rPr>
            </w:pPr>
            <w:r w:rsidRPr="00DF6A2D">
              <w:rPr>
                <w:rFonts w:cstheme="minorHAnsi"/>
              </w:rPr>
              <w:t>145</w:t>
            </w:r>
          </w:p>
        </w:tc>
        <w:tc>
          <w:tcPr>
            <w:tcW w:w="0" w:type="auto"/>
          </w:tcPr>
          <w:p w14:paraId="2C1E9C06" w14:textId="76F7F950" w:rsidR="00DF6A2D" w:rsidRPr="00DF6A2D" w:rsidRDefault="00DF6A2D" w:rsidP="00DF6A2D">
            <w:pPr>
              <w:pStyle w:val="NoSpacing"/>
              <w:rPr>
                <w:rFonts w:cstheme="minorHAnsi"/>
              </w:rPr>
            </w:pPr>
            <w:r w:rsidRPr="00DF6A2D">
              <w:rPr>
                <w:rFonts w:cstheme="minorHAnsi"/>
              </w:rPr>
              <w:t>145</w:t>
            </w:r>
          </w:p>
        </w:tc>
        <w:tc>
          <w:tcPr>
            <w:tcW w:w="0" w:type="auto"/>
          </w:tcPr>
          <w:p w14:paraId="2D546547" w14:textId="22246647" w:rsidR="00DF6A2D" w:rsidRPr="00DF6A2D" w:rsidRDefault="00DF6A2D" w:rsidP="00DF6A2D">
            <w:pPr>
              <w:pStyle w:val="NoSpacing"/>
              <w:rPr>
                <w:rFonts w:cstheme="minorHAnsi"/>
              </w:rPr>
            </w:pPr>
            <w:r w:rsidRPr="00DF6A2D">
              <w:rPr>
                <w:rFonts w:cstheme="minorHAnsi"/>
              </w:rPr>
              <w:t>145</w:t>
            </w:r>
          </w:p>
        </w:tc>
        <w:tc>
          <w:tcPr>
            <w:tcW w:w="0" w:type="auto"/>
          </w:tcPr>
          <w:p w14:paraId="19BE1921" w14:textId="69748124" w:rsidR="00DF6A2D" w:rsidRPr="00DF6A2D" w:rsidRDefault="00DF6A2D" w:rsidP="00DF6A2D">
            <w:pPr>
              <w:pStyle w:val="NoSpacing"/>
              <w:rPr>
                <w:rFonts w:cstheme="minorHAnsi"/>
              </w:rPr>
            </w:pPr>
            <w:r w:rsidRPr="00DF6A2D">
              <w:rPr>
                <w:rFonts w:cstheme="minorHAnsi"/>
              </w:rPr>
              <w:t>145</w:t>
            </w:r>
          </w:p>
        </w:tc>
        <w:tc>
          <w:tcPr>
            <w:tcW w:w="0" w:type="auto"/>
          </w:tcPr>
          <w:p w14:paraId="2CD6D3A4" w14:textId="358B29A1" w:rsidR="00DF6A2D" w:rsidRPr="00DF6A2D" w:rsidRDefault="00DF6A2D" w:rsidP="00DF6A2D">
            <w:pPr>
              <w:pStyle w:val="NoSpacing"/>
              <w:rPr>
                <w:rFonts w:cstheme="minorHAnsi"/>
              </w:rPr>
            </w:pPr>
            <w:r w:rsidRPr="00DF6A2D">
              <w:rPr>
                <w:rFonts w:cstheme="minorHAnsi"/>
              </w:rPr>
              <w:t>145</w:t>
            </w:r>
          </w:p>
        </w:tc>
        <w:tc>
          <w:tcPr>
            <w:tcW w:w="0" w:type="auto"/>
          </w:tcPr>
          <w:p w14:paraId="48820D73" w14:textId="36C8E061" w:rsidR="00DF6A2D" w:rsidRPr="00DF6A2D" w:rsidRDefault="00DF6A2D" w:rsidP="00DF6A2D">
            <w:pPr>
              <w:pStyle w:val="NoSpacing"/>
              <w:rPr>
                <w:rFonts w:cstheme="minorHAnsi"/>
              </w:rPr>
            </w:pPr>
            <w:r w:rsidRPr="00DF6A2D">
              <w:rPr>
                <w:rFonts w:cstheme="minorHAnsi"/>
              </w:rPr>
              <w:t>145</w:t>
            </w:r>
          </w:p>
        </w:tc>
      </w:tr>
      <w:tr w:rsidR="00DF6A2D" w:rsidRPr="00DF6A2D" w14:paraId="0DED9FD8" w14:textId="77777777" w:rsidTr="00DF6A2D">
        <w:tc>
          <w:tcPr>
            <w:tcW w:w="0" w:type="auto"/>
          </w:tcPr>
          <w:p w14:paraId="0A58998A" w14:textId="781E62C8" w:rsidR="00DF6A2D" w:rsidRPr="00DF6A2D" w:rsidRDefault="00DF6A2D" w:rsidP="00DF6A2D">
            <w:pPr>
              <w:pStyle w:val="NoSpacing"/>
              <w:rPr>
                <w:rFonts w:cstheme="minorHAnsi"/>
                <w:i/>
                <w:iCs/>
              </w:rPr>
            </w:pPr>
            <w:r w:rsidRPr="00DF6A2D">
              <w:rPr>
                <w:rFonts w:cstheme="minorHAnsi"/>
              </w:rPr>
              <w:t xml:space="preserve">Observations </w:t>
            </w:r>
          </w:p>
        </w:tc>
        <w:tc>
          <w:tcPr>
            <w:tcW w:w="0" w:type="auto"/>
          </w:tcPr>
          <w:p w14:paraId="0406E7A0" w14:textId="17D6B693" w:rsidR="00DF6A2D" w:rsidRPr="00DF6A2D" w:rsidRDefault="00DF6A2D" w:rsidP="00DF6A2D">
            <w:pPr>
              <w:pStyle w:val="NoSpacing"/>
              <w:rPr>
                <w:rFonts w:cstheme="minorHAnsi"/>
              </w:rPr>
            </w:pPr>
            <w:r w:rsidRPr="00DF6A2D">
              <w:rPr>
                <w:rFonts w:cstheme="minorHAnsi"/>
              </w:rPr>
              <w:t>1768</w:t>
            </w:r>
          </w:p>
        </w:tc>
        <w:tc>
          <w:tcPr>
            <w:tcW w:w="0" w:type="auto"/>
          </w:tcPr>
          <w:p w14:paraId="17F0AA36" w14:textId="2326DDAD" w:rsidR="00DF6A2D" w:rsidRPr="00DF6A2D" w:rsidRDefault="00DF6A2D" w:rsidP="00DF6A2D">
            <w:pPr>
              <w:pStyle w:val="NoSpacing"/>
              <w:rPr>
                <w:rFonts w:cstheme="minorHAnsi"/>
              </w:rPr>
            </w:pPr>
            <w:r w:rsidRPr="00DF6A2D">
              <w:rPr>
                <w:rFonts w:cstheme="minorHAnsi"/>
              </w:rPr>
              <w:t>1768</w:t>
            </w:r>
          </w:p>
        </w:tc>
        <w:tc>
          <w:tcPr>
            <w:tcW w:w="0" w:type="auto"/>
          </w:tcPr>
          <w:p w14:paraId="06BE9F3B" w14:textId="2512F923" w:rsidR="00DF6A2D" w:rsidRPr="00DF6A2D" w:rsidRDefault="00DF6A2D" w:rsidP="00DF6A2D">
            <w:pPr>
              <w:pStyle w:val="NoSpacing"/>
              <w:rPr>
                <w:rFonts w:cstheme="minorHAnsi"/>
              </w:rPr>
            </w:pPr>
            <w:r w:rsidRPr="00DF6A2D">
              <w:rPr>
                <w:rFonts w:cstheme="minorHAnsi"/>
              </w:rPr>
              <w:t>1768</w:t>
            </w:r>
          </w:p>
        </w:tc>
        <w:tc>
          <w:tcPr>
            <w:tcW w:w="0" w:type="auto"/>
          </w:tcPr>
          <w:p w14:paraId="59EF4418" w14:textId="63EC6B89" w:rsidR="00DF6A2D" w:rsidRPr="00DF6A2D" w:rsidRDefault="00DF6A2D" w:rsidP="00DF6A2D">
            <w:pPr>
              <w:pStyle w:val="NoSpacing"/>
              <w:rPr>
                <w:rFonts w:cstheme="minorHAnsi"/>
              </w:rPr>
            </w:pPr>
            <w:r w:rsidRPr="00DF6A2D">
              <w:rPr>
                <w:rFonts w:cstheme="minorHAnsi"/>
              </w:rPr>
              <w:t>1768</w:t>
            </w:r>
          </w:p>
        </w:tc>
        <w:tc>
          <w:tcPr>
            <w:tcW w:w="0" w:type="auto"/>
          </w:tcPr>
          <w:p w14:paraId="4B142642" w14:textId="7FE64CF8" w:rsidR="00DF6A2D" w:rsidRPr="00DF6A2D" w:rsidRDefault="00DF6A2D" w:rsidP="00DF6A2D">
            <w:pPr>
              <w:pStyle w:val="NoSpacing"/>
              <w:rPr>
                <w:rFonts w:cstheme="minorHAnsi"/>
              </w:rPr>
            </w:pPr>
            <w:r w:rsidRPr="00DF6A2D">
              <w:rPr>
                <w:rFonts w:cstheme="minorHAnsi"/>
              </w:rPr>
              <w:t>1768</w:t>
            </w:r>
          </w:p>
        </w:tc>
        <w:tc>
          <w:tcPr>
            <w:tcW w:w="0" w:type="auto"/>
          </w:tcPr>
          <w:p w14:paraId="5F0C8E23" w14:textId="4123BD01" w:rsidR="00DF6A2D" w:rsidRPr="00DF6A2D" w:rsidRDefault="00DF6A2D" w:rsidP="00DF6A2D">
            <w:pPr>
              <w:pStyle w:val="NoSpacing"/>
              <w:rPr>
                <w:rFonts w:cstheme="minorHAnsi"/>
              </w:rPr>
            </w:pPr>
            <w:r w:rsidRPr="00DF6A2D">
              <w:rPr>
                <w:rFonts w:cstheme="minorHAnsi"/>
              </w:rPr>
              <w:t>1768</w:t>
            </w:r>
          </w:p>
        </w:tc>
        <w:tc>
          <w:tcPr>
            <w:tcW w:w="0" w:type="auto"/>
          </w:tcPr>
          <w:p w14:paraId="7FB5BE96" w14:textId="1316B365" w:rsidR="00DF6A2D" w:rsidRPr="00DF6A2D" w:rsidRDefault="00DF6A2D" w:rsidP="00DF6A2D">
            <w:pPr>
              <w:pStyle w:val="NoSpacing"/>
              <w:rPr>
                <w:rFonts w:cstheme="minorHAnsi"/>
              </w:rPr>
            </w:pPr>
            <w:r w:rsidRPr="00DF6A2D">
              <w:rPr>
                <w:rFonts w:cstheme="minorHAnsi"/>
              </w:rPr>
              <w:t>1768</w:t>
            </w:r>
          </w:p>
        </w:tc>
        <w:tc>
          <w:tcPr>
            <w:tcW w:w="0" w:type="auto"/>
          </w:tcPr>
          <w:p w14:paraId="7A5D7394" w14:textId="68ECEFF9" w:rsidR="00DF6A2D" w:rsidRPr="00DF6A2D" w:rsidRDefault="00DF6A2D" w:rsidP="00DF6A2D">
            <w:pPr>
              <w:pStyle w:val="NoSpacing"/>
              <w:rPr>
                <w:rFonts w:cstheme="minorHAnsi"/>
              </w:rPr>
            </w:pPr>
            <w:r w:rsidRPr="00DF6A2D">
              <w:rPr>
                <w:rFonts w:cstheme="minorHAnsi"/>
              </w:rPr>
              <w:t>1768</w:t>
            </w:r>
          </w:p>
        </w:tc>
        <w:tc>
          <w:tcPr>
            <w:tcW w:w="0" w:type="auto"/>
          </w:tcPr>
          <w:p w14:paraId="6E27F4F7" w14:textId="64BF0BD5" w:rsidR="00DF6A2D" w:rsidRPr="00DF6A2D" w:rsidRDefault="00DF6A2D" w:rsidP="00DF6A2D">
            <w:pPr>
              <w:pStyle w:val="NoSpacing"/>
              <w:rPr>
                <w:rFonts w:cstheme="minorHAnsi"/>
              </w:rPr>
            </w:pPr>
            <w:r w:rsidRPr="00DF6A2D">
              <w:rPr>
                <w:rFonts w:cstheme="minorHAnsi"/>
              </w:rPr>
              <w:t>1768</w:t>
            </w:r>
          </w:p>
        </w:tc>
      </w:tr>
    </w:tbl>
    <w:p w14:paraId="2619DAA7" w14:textId="77777777" w:rsidR="00DF6A2D" w:rsidRPr="00DF6A2D" w:rsidRDefault="00DF6A2D" w:rsidP="00DF6A2D">
      <w:pPr>
        <w:pStyle w:val="NoSpacing"/>
        <w:rPr>
          <w:rFonts w:cstheme="minorHAnsi"/>
        </w:rPr>
      </w:pPr>
      <w:r w:rsidRPr="00DF6A2D">
        <w:rPr>
          <w:rFonts w:cstheme="minorHAnsi"/>
          <w:i/>
          <w:iCs/>
        </w:rPr>
        <w:t>Note: Robust standard errors in parentheses</w:t>
      </w:r>
      <w:r w:rsidRPr="00DF6A2D">
        <w:rPr>
          <w:rFonts w:cstheme="minorHAnsi"/>
        </w:rPr>
        <w:t>. NCAA: National Collegiate Athletic Association; AD: athletic director.</w:t>
      </w:r>
    </w:p>
    <w:p w14:paraId="22645237" w14:textId="5EEEDD10" w:rsidR="006144A0" w:rsidRPr="006144A0" w:rsidRDefault="00DF6A2D" w:rsidP="00DF6A2D">
      <w:pPr>
        <w:pStyle w:val="NoSpacing"/>
      </w:pPr>
      <w:r w:rsidRPr="00DF6A2D">
        <w:rPr>
          <w:rFonts w:cstheme="minorHAnsi"/>
        </w:rPr>
        <w:t>***</w:t>
      </w:r>
      <w:r w:rsidRPr="00DF6A2D">
        <w:rPr>
          <w:rFonts w:cstheme="minorHAnsi"/>
          <w:i/>
          <w:iCs/>
        </w:rPr>
        <w:t xml:space="preserve">p </w:t>
      </w:r>
      <w:r w:rsidRPr="00DF6A2D">
        <w:rPr>
          <w:rFonts w:cstheme="minorHAnsi"/>
        </w:rPr>
        <w:t>&lt; 0.001; **</w:t>
      </w:r>
      <w:r w:rsidRPr="00DF6A2D">
        <w:rPr>
          <w:rFonts w:cstheme="minorHAnsi"/>
          <w:i/>
          <w:iCs/>
        </w:rPr>
        <w:t xml:space="preserve">p </w:t>
      </w:r>
      <w:r w:rsidRPr="00DF6A2D">
        <w:rPr>
          <w:rFonts w:cstheme="minorHAnsi"/>
        </w:rPr>
        <w:t>&lt; 0.01; *</w:t>
      </w:r>
      <w:r w:rsidRPr="00DF6A2D">
        <w:rPr>
          <w:rFonts w:cstheme="minorHAnsi"/>
          <w:i/>
          <w:iCs/>
        </w:rPr>
        <w:t xml:space="preserve">p </w:t>
      </w:r>
      <w:r w:rsidRPr="00DF6A2D">
        <w:rPr>
          <w:rFonts w:cstheme="minorHAnsi"/>
        </w:rPr>
        <w:t xml:space="preserve">&lt; 0.05; </w:t>
      </w:r>
      <w:r w:rsidR="00493EBA">
        <w:rPr>
          <w:rFonts w:ascii="Cambria Math" w:hAnsi="Cambria Math" w:cstheme="minorHAnsi"/>
        </w:rPr>
        <w:t>†</w:t>
      </w:r>
      <w:r w:rsidRPr="00DF6A2D">
        <w:rPr>
          <w:rFonts w:cstheme="minorHAnsi"/>
          <w:i/>
          <w:iCs/>
        </w:rPr>
        <w:t xml:space="preserve">p </w:t>
      </w:r>
      <w:r w:rsidRPr="00DF6A2D">
        <w:rPr>
          <w:rFonts w:cstheme="minorHAnsi"/>
        </w:rPr>
        <w:t>&lt; 0.1.</w:t>
      </w:r>
    </w:p>
    <w:p w14:paraId="1680E5D5" w14:textId="77777777" w:rsidR="00490CEF" w:rsidRDefault="00490CEF" w:rsidP="006144A0">
      <w:pPr>
        <w:sectPr w:rsidR="00490CEF" w:rsidSect="00DF6A2D">
          <w:pgSz w:w="20160" w:h="12240" w:orient="landscape" w:code="5"/>
          <w:pgMar w:top="1080" w:right="360" w:bottom="1080" w:left="360" w:header="720" w:footer="720" w:gutter="0"/>
          <w:cols w:space="720"/>
          <w:docGrid w:linePitch="360"/>
        </w:sectPr>
      </w:pPr>
    </w:p>
    <w:p w14:paraId="4CABCABA" w14:textId="3D36B9BA" w:rsidR="006144A0" w:rsidRPr="006144A0" w:rsidRDefault="006144A0" w:rsidP="006144A0">
      <w:r w:rsidRPr="006144A0">
        <w:t>To test hypothesis 1, which argues for a curvilinear relationship between team performance and coach dismissal, the primary measure of team performance, </w:t>
      </w:r>
      <w:r w:rsidRPr="006144A0">
        <w:rPr>
          <w:i/>
          <w:iCs/>
        </w:rPr>
        <w:t>Winning Percentage</w:t>
      </w:r>
      <w:r w:rsidRPr="006144A0">
        <w:t>, is considered. As shown in model 2 of </w:t>
      </w:r>
      <w:r w:rsidRPr="00672F48">
        <w:t>Table 3</w:t>
      </w:r>
      <w:r w:rsidRPr="006144A0">
        <w:t>, the coefficient for </w:t>
      </w:r>
      <w:r w:rsidRPr="006144A0">
        <w:rPr>
          <w:i/>
          <w:iCs/>
        </w:rPr>
        <w:t>Winning Percentage</w:t>
      </w:r>
      <w:r w:rsidRPr="006144A0">
        <w:t> is negative and significant (</w:t>
      </w:r>
      <w:r w:rsidRPr="006144A0">
        <w:rPr>
          <w:i/>
          <w:iCs/>
        </w:rPr>
        <w:t>p</w:t>
      </w:r>
      <w:r w:rsidRPr="006144A0">
        <w:t> &lt; 0.001). Model 3 indicates support for hypothesis 1, as the coefficient for </w:t>
      </w:r>
      <w:r w:rsidRPr="006144A0">
        <w:rPr>
          <w:i/>
          <w:iCs/>
        </w:rPr>
        <w:t>Winning Percentage–squared</w:t>
      </w:r>
      <w:r w:rsidRPr="006144A0">
        <w:t> is negative and significant (</w:t>
      </w:r>
      <w:r w:rsidRPr="006144A0">
        <w:rPr>
          <w:i/>
          <w:iCs/>
        </w:rPr>
        <w:t>p</w:t>
      </w:r>
      <w:r w:rsidRPr="006144A0">
        <w:t> &lt; 0.001).</w:t>
      </w:r>
    </w:p>
    <w:p w14:paraId="758D2632" w14:textId="34C6BB4D" w:rsidR="006144A0" w:rsidRPr="006144A0" w:rsidRDefault="006144A0" w:rsidP="006144A0">
      <w:r w:rsidRPr="006144A0">
        <w:t>To further illustrate the nonlinear relationship between team performance and dismissal, </w:t>
      </w:r>
      <w:r w:rsidRPr="00672F48">
        <w:t>Figure 2</w:t>
      </w:r>
      <w:r w:rsidRPr="006144A0">
        <w:t> shows the marginal effects of team performance on the likelihood of dismissal. A hazard score of 1.0 indicates that winning has no effect on the likelihood of being dismissed, which is associated with winning 61% of a season’s games. A coach whose team wins about 39% of its games in a season is four times more likely to be dismissed (hazard score of 4.0). Referring to the base rate of dismissal shown in </w:t>
      </w:r>
      <w:r w:rsidRPr="00672F48">
        <w:t>Figure 1</w:t>
      </w:r>
      <w:r w:rsidRPr="006144A0">
        <w:t>, </w:t>
      </w:r>
      <w:r w:rsidRPr="00672F48">
        <w:t>a</w:t>
      </w:r>
      <w:r w:rsidRPr="006144A0">
        <w:t> coach whose team wins 39% of its games after the first year of tenure has a 6.4% probability of being dismissed (0.016 × 4.0 = 0.064). However, a coach with that same level of performance after the fifth year of tenure has a 16% probability of being dismissed (0.04 × 4.0 = 0.16). Conversely, a coach whose team wins 67% of its games in a season is half as likely to be dismissed (hazard score of 0.5). Referring again to </w:t>
      </w:r>
      <w:r w:rsidRPr="00672F48">
        <w:t>Figure 1</w:t>
      </w:r>
      <w:r w:rsidRPr="006144A0">
        <w:t>, the probability of a coach being dismissed whose team wins 67% of its games after the fifth year of tenure is about 2% (0.04 × 0.5 = 0.02). The nonlinear marginal effects shown in </w:t>
      </w:r>
      <w:r w:rsidRPr="00672F48">
        <w:t>Figure 2</w:t>
      </w:r>
      <w:r w:rsidRPr="006144A0">
        <w:t> provide further support for hypothesis 1.</w:t>
      </w:r>
    </w:p>
    <w:p w14:paraId="42FF4A32" w14:textId="37A72614" w:rsidR="006144A0" w:rsidRPr="006144A0" w:rsidRDefault="00E91F59" w:rsidP="00E91F59">
      <w:pPr>
        <w:pStyle w:val="NoSpacing"/>
      </w:pPr>
      <w:r w:rsidRPr="00E91F59">
        <w:rPr>
          <w:noProof/>
        </w:rPr>
        <w:drawing>
          <wp:inline distT="0" distB="0" distL="0" distR="0" wp14:anchorId="6692177A" wp14:editId="5CB6C0F7">
            <wp:extent cx="3657600" cy="2313432"/>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313432"/>
                    </a:xfrm>
                    <a:prstGeom prst="rect">
                      <a:avLst/>
                    </a:prstGeom>
                    <a:noFill/>
                    <a:ln>
                      <a:noFill/>
                    </a:ln>
                  </pic:spPr>
                </pic:pic>
              </a:graphicData>
            </a:graphic>
          </wp:inline>
        </w:drawing>
      </w:r>
    </w:p>
    <w:p w14:paraId="56CE27B8" w14:textId="77777777" w:rsidR="006144A0" w:rsidRPr="006144A0" w:rsidRDefault="006144A0" w:rsidP="00E91F59">
      <w:pPr>
        <w:pStyle w:val="NoSpacing"/>
      </w:pPr>
      <w:r w:rsidRPr="006144A0">
        <w:rPr>
          <w:b/>
          <w:bCs/>
        </w:rPr>
        <w:t>Figure 2.</w:t>
      </w:r>
      <w:r w:rsidRPr="006144A0">
        <w:t> Hazard ratios at various winning percentages.</w:t>
      </w:r>
    </w:p>
    <w:p w14:paraId="2C2674ED" w14:textId="77777777" w:rsidR="00E91F59" w:rsidRDefault="00E91F59" w:rsidP="006144A0"/>
    <w:p w14:paraId="3DD6A997" w14:textId="13367B57" w:rsidR="006144A0" w:rsidRPr="006144A0" w:rsidRDefault="006144A0" w:rsidP="006144A0">
      <w:r w:rsidRPr="006144A0">
        <w:t>Hypothesis 2 argues for a positive relationship between </w:t>
      </w:r>
      <w:r w:rsidRPr="006144A0">
        <w:rPr>
          <w:i/>
          <w:iCs/>
        </w:rPr>
        <w:t>AD Change</w:t>
      </w:r>
      <w:r w:rsidRPr="006144A0">
        <w:t> and the likelihood of coach dismissal, but the results shown in model 4 indicate that this relationship is not significant. Hypothesis 2 is not supported. The results in model 5 provide support for hypothesis 3, as a significant and negative relationship is shown for </w:t>
      </w:r>
      <w:r w:rsidRPr="006144A0">
        <w:rPr>
          <w:i/>
          <w:iCs/>
        </w:rPr>
        <w:t>Coach Reputational Capital</w:t>
      </w:r>
      <w:r w:rsidRPr="006144A0">
        <w:t> with the likelihood of coach dismissal (</w:t>
      </w:r>
      <w:r w:rsidRPr="006144A0">
        <w:rPr>
          <w:i/>
          <w:iCs/>
        </w:rPr>
        <w:t>p</w:t>
      </w:r>
      <w:r w:rsidRPr="006144A0">
        <w:t> &lt; 0.05).</w:t>
      </w:r>
    </w:p>
    <w:p w14:paraId="6F34E756" w14:textId="11322E81" w:rsidR="006144A0" w:rsidRPr="006144A0" w:rsidRDefault="006144A0" w:rsidP="006144A0">
      <w:r w:rsidRPr="006144A0">
        <w:t>Hypothesis 4 argues that there is an inverted u-shaped relationship between a coach’s tenure and the likelihood of dismissal. </w:t>
      </w:r>
      <w:r w:rsidRPr="00672F48">
        <w:t>Figure 1</w:t>
      </w:r>
      <w:r w:rsidRPr="006144A0">
        <w:t> shows that the hazard rate has an inverted u-shaped relationship, in which the likelihood of dismissal increases each year until year 9, after which the likelihood of dismissal decreases. </w:t>
      </w:r>
      <w:r w:rsidRPr="006144A0">
        <w:rPr>
          <w:i/>
          <w:iCs/>
        </w:rPr>
        <w:t>t</w:t>
      </w:r>
      <w:r w:rsidRPr="006144A0">
        <w:t>-Tests that the hazard rates in years 1 and 18 are equal to the hazard rate in year 9 both reject the null hypotheses, indicating a significant curvilinear relationship between tenure and the likelihood of dismissal. Hypothesis 4 is supported.</w:t>
      </w:r>
    </w:p>
    <w:p w14:paraId="5B9BB425" w14:textId="7DE4257E" w:rsidR="006144A0" w:rsidRPr="006144A0" w:rsidRDefault="006144A0" w:rsidP="006144A0">
      <w:r w:rsidRPr="006144A0">
        <w:t>Model 6 in </w:t>
      </w:r>
      <w:r w:rsidRPr="00672F48">
        <w:t>Table 3</w:t>
      </w:r>
      <w:r w:rsidRPr="006144A0">
        <w:t> provides results from testing hypothesis 5. The relationship of </w:t>
      </w:r>
      <w:r w:rsidRPr="006144A0">
        <w:rPr>
          <w:i/>
          <w:iCs/>
        </w:rPr>
        <w:t>Private University</w:t>
      </w:r>
      <w:r w:rsidRPr="006144A0">
        <w:t> to the likelihood of dismissal is significant (</w:t>
      </w:r>
      <w:r w:rsidRPr="006144A0">
        <w:rPr>
          <w:i/>
          <w:iCs/>
        </w:rPr>
        <w:t>p</w:t>
      </w:r>
      <w:r w:rsidRPr="006144A0">
        <w:t> &lt; .05), but the coefficient’s sign is opposite to the predicted direction. This suggests that, for the sample, concentrated governance decreases the likelihood of dismissal. Hypothesis 5 is not supported.</w:t>
      </w:r>
    </w:p>
    <w:p w14:paraId="7F5ACA7A" w14:textId="77777777" w:rsidR="006144A0" w:rsidRPr="006144A0" w:rsidRDefault="006144A0" w:rsidP="00E91F59">
      <w:pPr>
        <w:pStyle w:val="Heading2"/>
      </w:pPr>
      <w:r w:rsidRPr="006144A0">
        <w:t>Robustness</w:t>
      </w:r>
    </w:p>
    <w:p w14:paraId="59169EC2" w14:textId="77777777" w:rsidR="006144A0" w:rsidRPr="006144A0" w:rsidRDefault="006144A0" w:rsidP="006144A0">
      <w:r w:rsidRPr="006144A0">
        <w:t>As shown in model 7, the full model reported no meaningful differences to the previously reported results. Since decision-makers and other stakeholders may emphasize other performance criteria, full models with alternative performance measures to </w:t>
      </w:r>
      <w:r w:rsidRPr="006144A0">
        <w:rPr>
          <w:i/>
          <w:iCs/>
        </w:rPr>
        <w:t>Winning Percentage</w:t>
      </w:r>
      <w:r w:rsidRPr="006144A0">
        <w:t> were also assessed. Model 8 uses </w:t>
      </w:r>
      <w:r w:rsidRPr="006144A0">
        <w:rPr>
          <w:i/>
          <w:iCs/>
        </w:rPr>
        <w:t>Conference Winning Percentage</w:t>
      </w:r>
      <w:r w:rsidRPr="006144A0">
        <w:t> and Model 9 uses two measures (</w:t>
      </w:r>
      <w:r w:rsidRPr="006144A0">
        <w:rPr>
          <w:i/>
          <w:iCs/>
        </w:rPr>
        <w:t>Made NCAA Tournament</w:t>
      </w:r>
      <w:r w:rsidRPr="006144A0">
        <w:t> and </w:t>
      </w:r>
      <w:r w:rsidRPr="006144A0">
        <w:rPr>
          <w:i/>
          <w:iCs/>
        </w:rPr>
        <w:t>Tournament Wins</w:t>
      </w:r>
      <w:r w:rsidRPr="006144A0">
        <w:t>) associated with selection and advancement in the annual national college basketball tournament. While these performance measures were also significantly related to the likelihood of dismissal, their inclusion had no meaningful effects on the results from testing hypotheses 2 through 5.</w:t>
      </w:r>
    </w:p>
    <w:p w14:paraId="53D55CCE" w14:textId="77777777" w:rsidR="006144A0" w:rsidRPr="006144A0" w:rsidRDefault="006144A0" w:rsidP="00E91F59">
      <w:pPr>
        <w:pStyle w:val="Heading1"/>
      </w:pPr>
      <w:bookmarkStart w:id="8" w:name="_i23"/>
      <w:bookmarkEnd w:id="8"/>
      <w:r w:rsidRPr="006144A0">
        <w:t>Discussion</w:t>
      </w:r>
    </w:p>
    <w:p w14:paraId="3B562CFE" w14:textId="68B7E70D" w:rsidR="006144A0" w:rsidRPr="006144A0" w:rsidRDefault="006144A0" w:rsidP="006144A0">
      <w:r w:rsidRPr="006144A0">
        <w:t>Consistent with prior research, performance was found to explain substantial variance in executive dismissal. In the context of college basketball, these findings are supported using multiple measures of team performance (overall winning percentage, conference winning percentage, and performance postseason advancement). Additionally, these findings add to those from recent studies (</w:t>
      </w:r>
      <w:proofErr w:type="gramStart"/>
      <w:r w:rsidRPr="006144A0">
        <w:t>e.g.</w:t>
      </w:r>
      <w:proofErr w:type="gramEnd"/>
      <w:r w:rsidRPr="006144A0">
        <w:t> </w:t>
      </w:r>
      <w:r w:rsidRPr="00672F48">
        <w:t>Holmes, 2011</w:t>
      </w:r>
      <w:r w:rsidRPr="006144A0">
        <w:t>; </w:t>
      </w:r>
      <w:r w:rsidRPr="00672F48">
        <w:t>Wangrow et al., 2018</w:t>
      </w:r>
      <w:r w:rsidRPr="006144A0">
        <w:t>) that the relationship between performance and dismissal is curvilinear. As shown in </w:t>
      </w:r>
      <w:r w:rsidRPr="00672F48">
        <w:t>Figure 2</w:t>
      </w:r>
      <w:r w:rsidRPr="006144A0">
        <w:t>, performance improvements have the greatest impact on the likelihood of college basketball coach dismissal when the current winning percentage is about 30%.</w:t>
      </w:r>
      <w:r w:rsidRPr="00672F48">
        <w:rPr>
          <w:vertAlign w:val="superscript"/>
        </w:rPr>
        <w:t>4</w:t>
      </w:r>
      <w:r w:rsidRPr="006144A0">
        <w:t> However, performance improvements have far less impact on the likelihood of dismissal when performance is very poor (</w:t>
      </w:r>
      <w:r w:rsidRPr="006144A0">
        <w:rPr>
          <w:i/>
          <w:iCs/>
        </w:rPr>
        <w:t>Winning Percentage</w:t>
      </w:r>
      <w:r w:rsidRPr="006144A0">
        <w:t> around 15%) or very good (</w:t>
      </w:r>
      <w:r w:rsidRPr="006144A0">
        <w:rPr>
          <w:i/>
          <w:iCs/>
        </w:rPr>
        <w:t>Winning Percentage</w:t>
      </w:r>
      <w:r w:rsidRPr="006144A0">
        <w:t> above 70%).</w:t>
      </w:r>
    </w:p>
    <w:p w14:paraId="7408E429" w14:textId="77777777" w:rsidR="006144A0" w:rsidRPr="006144A0" w:rsidRDefault="006144A0" w:rsidP="006144A0">
      <w:r w:rsidRPr="006144A0">
        <w:t>Three dimensions of power are significantly related to the likelihood of dismissal. The results provide evidence that prestige power decreases the likelihood of dismissal, as an executive’s performance legacy and cumulative recognition from individuals and groups external to the organization create a degree of prestige that may override the effects of poor performance on the likelihood of dismissal. Moreover, the governance representative (the AD in this study) may not wish to risk his or her reputation by firing an executive (the coach in this study) with a distinguished career, nor may the governance representative be willing to risk losing human capital by dismissing a prestigious executive.</w:t>
      </w:r>
    </w:p>
    <w:p w14:paraId="1425FB93" w14:textId="5E3F3039" w:rsidR="006144A0" w:rsidRPr="006144A0" w:rsidRDefault="006144A0" w:rsidP="006144A0">
      <w:r w:rsidRPr="006144A0">
        <w:t>There is also evidence that the likelihood of dismissal is altered as expert power is gained through tenure. As shown in </w:t>
      </w:r>
      <w:r w:rsidRPr="00672F48">
        <w:t>Figure 1</w:t>
      </w:r>
      <w:r w:rsidRPr="006144A0">
        <w:t>, which illustrates the relationship between tenure and the hazard rate for the full model, the hazard rate reaches an apex after 9 years and then declines in subsequent years (substantially after 12 years). While these findings are consistent with </w:t>
      </w:r>
      <w:r w:rsidRPr="00672F48">
        <w:t xml:space="preserve">Hambrick and </w:t>
      </w:r>
      <w:proofErr w:type="spellStart"/>
      <w:r w:rsidRPr="00672F48">
        <w:t>Fukutomi’s</w:t>
      </w:r>
      <w:proofErr w:type="spellEnd"/>
      <w:r w:rsidRPr="00672F48">
        <w:t xml:space="preserve"> (1991)</w:t>
      </w:r>
      <w:r w:rsidRPr="006144A0">
        <w:t> seasons of executive tenure, they suggest a longer honeymoon period for college basketball coaches than executives and coaches in other environments. Indeed, findings from studies examining the survival of coaches (</w:t>
      </w:r>
      <w:proofErr w:type="gramStart"/>
      <w:r w:rsidRPr="006144A0">
        <w:t>e.g.</w:t>
      </w:r>
      <w:proofErr w:type="gramEnd"/>
      <w:r w:rsidRPr="006144A0">
        <w:t> </w:t>
      </w:r>
      <w:r w:rsidRPr="00672F48">
        <w:t>Holmes, 2011</w:t>
      </w:r>
      <w:r w:rsidRPr="006144A0">
        <w:t>; </w:t>
      </w:r>
      <w:r w:rsidRPr="00672F48">
        <w:t>Humphreys et al., 2016</w:t>
      </w:r>
      <w:r w:rsidRPr="006144A0">
        <w:t>; </w:t>
      </w:r>
      <w:r w:rsidRPr="00672F48">
        <w:t>Wangrow et al., 2018</w:t>
      </w:r>
      <w:r w:rsidRPr="006144A0">
        <w:t>) and CEOs (e.g. </w:t>
      </w:r>
      <w:r w:rsidRPr="00672F48">
        <w:t>Brookman and Thistle, 2009</w:t>
      </w:r>
      <w:r w:rsidRPr="006144A0">
        <w:t>; </w:t>
      </w:r>
      <w:r w:rsidRPr="00672F48">
        <w:t>Kim, 1996</w:t>
      </w:r>
      <w:r w:rsidRPr="006144A0">
        <w:t xml:space="preserve">) all showed honeymoon periods of 5 years or less. This suggests that executives in some contexts (in this case, college basketball coaches) are given greater time to develop expertise, acquire human capital, and implement their strategies. However, like </w:t>
      </w:r>
      <w:proofErr w:type="gramStart"/>
      <w:r w:rsidRPr="006144A0">
        <w:t>all of</w:t>
      </w:r>
      <w:proofErr w:type="gramEnd"/>
      <w:r w:rsidRPr="006144A0">
        <w:t xml:space="preserve"> the aforementioned studies examining survival (with the exception of </w:t>
      </w:r>
      <w:r w:rsidRPr="00672F48">
        <w:t>Holmes, 2011</w:t>
      </w:r>
      <w:r w:rsidRPr="006144A0">
        <w:t>), the effect of expert power is shown by an eventual and significant decline in the likelihood of dismissal.</w:t>
      </w:r>
    </w:p>
    <w:p w14:paraId="1030E17D" w14:textId="0CAAB136" w:rsidR="006144A0" w:rsidRPr="006144A0" w:rsidRDefault="006144A0" w:rsidP="006144A0">
      <w:r w:rsidRPr="006144A0">
        <w:t>Surprisingly, the results suggest that concentrated governance is associated with a reduced likelihood of executive dismissal. The analysis found a significant and negative relationship between </w:t>
      </w:r>
      <w:r w:rsidRPr="006144A0">
        <w:rPr>
          <w:i/>
          <w:iCs/>
        </w:rPr>
        <w:t>Private University</w:t>
      </w:r>
      <w:r w:rsidRPr="006144A0">
        <w:t> and the likelihood of dismissal, in which the likelihood of dismissal declined by 42.5% over the entire sample. This finding suggests that for some instances of concentrated governance, factions may develop that make it difficult to gain consensus or allow an executive to gain power with a sufficiently large subset of the governance structure. Alternatively, some forms of dispersed governance may yield substantial power to a few individuals within the governance structure, thus reducing an executive’s power. This finding is also contrary to agency theory predictions (</w:t>
      </w:r>
      <w:proofErr w:type="spellStart"/>
      <w:r w:rsidRPr="00672F48">
        <w:t>Boeker</w:t>
      </w:r>
      <w:proofErr w:type="spellEnd"/>
      <w:r w:rsidRPr="00672F48">
        <w:t xml:space="preserve"> and Goodstein, 1993</w:t>
      </w:r>
      <w:r w:rsidRPr="006144A0">
        <w:t>) in which dispersed governance makes “free riding” (</w:t>
      </w:r>
      <w:proofErr w:type="gramStart"/>
      <w:r w:rsidRPr="006144A0">
        <w:t>i.e.</w:t>
      </w:r>
      <w:proofErr w:type="gramEnd"/>
      <w:r w:rsidRPr="006144A0">
        <w:t xml:space="preserve"> lack of monitoring leading to the executive acting in his or her own interests) more likely. Notably, the analysis does not show how power within the governance structures of privately owned universities (concentrated) and publicly owned universities (dispersed) causes this surprising result. Yet, as this finding runs contrary to prior findings that executives are constrained by concentrated governance (</w:t>
      </w:r>
      <w:proofErr w:type="spellStart"/>
      <w:r w:rsidRPr="00672F48">
        <w:t>Grabke-Rundell</w:t>
      </w:r>
      <w:proofErr w:type="spellEnd"/>
      <w:r w:rsidRPr="00672F48">
        <w:t xml:space="preserve"> and Gomez-Mejia, 2002</w:t>
      </w:r>
      <w:r w:rsidRPr="006144A0">
        <w:t>), future research that examines power bases within governance structures and the impacts of concentrated versus dispersed governance structures on executive dismissal, performance, and managerial discretion across various contexts is encouraged.</w:t>
      </w:r>
    </w:p>
    <w:p w14:paraId="3E473CE5" w14:textId="77777777" w:rsidR="006144A0" w:rsidRPr="006144A0" w:rsidRDefault="006144A0" w:rsidP="006144A0">
      <w:r w:rsidRPr="006144A0">
        <w:t>No support was found for the hypothesized relationship of a coach being more likely to be dismissed when the AD who hired the coach is no longer in the position. While it is surprising that losing a strong internal advocate and source of structural power would not influence the likelihood of dismissal, it is possible that a new AD may wish to establish his or her power base before taking more extreme, visible steps. Future researchers are encouraged to examine the range of actions taken by ADs, as well as senior executives and board members in similar positions, early in their tenures. Such studies could include the influence of other powerful stakeholders (</w:t>
      </w:r>
      <w:proofErr w:type="gramStart"/>
      <w:r w:rsidRPr="006144A0">
        <w:t>e.g.</w:t>
      </w:r>
      <w:proofErr w:type="gramEnd"/>
      <w:r w:rsidRPr="006144A0">
        <w:t xml:space="preserve"> major donors, institutional shareholders) who may discretely mandate their preferred course of action.</w:t>
      </w:r>
    </w:p>
    <w:p w14:paraId="4DF7F7C7" w14:textId="77777777" w:rsidR="006144A0" w:rsidRPr="006144A0" w:rsidRDefault="006144A0" w:rsidP="006144A0">
      <w:r w:rsidRPr="006144A0">
        <w:t>This study’s findings are likely generalizable to a variety of contexts associated with human capital. At any given time, a college basketball team is comprised of 12 to 15 players, with a team likely replacing some players prior to each season. Given the smaller number of players, a coach is highly involved in processes and decisions associated with each player. Thus, this study’s findings may be more generalizable to intercollegiate athletics in which there are fewer players on a team (</w:t>
      </w:r>
      <w:proofErr w:type="gramStart"/>
      <w:r w:rsidRPr="006144A0">
        <w:t>e.g.</w:t>
      </w:r>
      <w:proofErr w:type="gramEnd"/>
      <w:r w:rsidRPr="006144A0">
        <w:t xml:space="preserve"> soccer) than other intercollegiate athletics with many players on a team (e.g. football). The findings may also be generalizable to organizations in which the senior executive is directly responsible for and personally involved in human capital acquisition, development, and retention. This includes firms that are new or have fewer employees, but also includes firms in which human capital associated with a specific function (</w:t>
      </w:r>
      <w:proofErr w:type="gramStart"/>
      <w:r w:rsidRPr="006144A0">
        <w:t>e.g.</w:t>
      </w:r>
      <w:proofErr w:type="gramEnd"/>
      <w:r w:rsidRPr="006144A0">
        <w:t xml:space="preserve"> research and development) is critical for success. Furthermore, the findings in this study may also be generalizable to leaders responsible for team development within organizations (</w:t>
      </w:r>
      <w:proofErr w:type="gramStart"/>
      <w:r w:rsidRPr="006144A0">
        <w:t>e.g.</w:t>
      </w:r>
      <w:proofErr w:type="gramEnd"/>
      <w:r w:rsidRPr="006144A0">
        <w:t xml:space="preserve"> middle-level managers), as many of the same dynamics apply.</w:t>
      </w:r>
    </w:p>
    <w:p w14:paraId="3CE97E49" w14:textId="77777777" w:rsidR="006144A0" w:rsidRPr="006144A0" w:rsidRDefault="006144A0" w:rsidP="00E91F59">
      <w:pPr>
        <w:pStyle w:val="Heading2"/>
      </w:pPr>
      <w:r w:rsidRPr="006144A0">
        <w:t>Practical implications</w:t>
      </w:r>
    </w:p>
    <w:p w14:paraId="649E8D0F" w14:textId="77777777" w:rsidR="006144A0" w:rsidRPr="006144A0" w:rsidRDefault="006144A0" w:rsidP="006144A0">
      <w:r w:rsidRPr="006144A0">
        <w:t>The results from this study suggest several implications for executives and the governance structure of their organizations. First, the nonlinear relationship between performance and the likelihood of dismissal suggests agency considerations in which executives may take steps to preserve their position – but are not in the organization’s best interests. The results suggest that a coach whose team wins 39% of total games is four times more likely to be dismissed than the average of all coaches in the sample, but this is substantially reduced with minimal performance improvements. On the other hand, the results show that coaches who win more than 75% of their games have almost no chance of being dismissed. This highlights the importance of consistent monitoring and involvement by members of an organization’s governance structure. Executives whose organizations are performing at either end of the performance spectrum may apply strategies and use resources in a manner that maximizes their likelihood of not being dismissed in lieu of applying strategies and using resources in a manner that is best for the organization.</w:t>
      </w:r>
    </w:p>
    <w:p w14:paraId="319670C9" w14:textId="77777777" w:rsidR="006144A0" w:rsidRPr="006144A0" w:rsidRDefault="006144A0" w:rsidP="006144A0">
      <w:r w:rsidRPr="006144A0">
        <w:t>The significant relationship between concentrated governance and the likelihood of executive dismissal suggests other forces within a concentrated governance structure that may influence the likelihood of dismissal. As summarized earlier in this article, even concentrated governance structures like those found in privately owned universities have layers. In the case of college basketball coaches, members from other governance layers rely on the AD for information and recommendations regarding the coach. If ADs in privately owned universities are more likely to develop close personal ties, this may bias information and recommendations made to others within the governance structure. This reinforces the importance of involvement by multiple individuals from various layers of the governance structure when assessing senior executives.</w:t>
      </w:r>
    </w:p>
    <w:p w14:paraId="73719DEB" w14:textId="77777777" w:rsidR="006144A0" w:rsidRPr="006144A0" w:rsidRDefault="006144A0" w:rsidP="00E91F59">
      <w:pPr>
        <w:pStyle w:val="Heading2"/>
      </w:pPr>
      <w:r w:rsidRPr="006144A0">
        <w:t>Limitations</w:t>
      </w:r>
    </w:p>
    <w:p w14:paraId="68C42479" w14:textId="23A2F946" w:rsidR="006144A0" w:rsidRPr="006144A0" w:rsidRDefault="006144A0" w:rsidP="006144A0">
      <w:r w:rsidRPr="006144A0">
        <w:t>This study utilizes data from a variety of archival sources to proxy for performance and power. Reputational capital, for instance, is used to measure prestige power and is the cumulative career recognition from national tournament performance and coach of the year awards. As stated in prior studies, “future research could examine truer values of reputation…and examine how reputational capital from major accomplishments may decline over time” (</w:t>
      </w:r>
      <w:r w:rsidRPr="00672F48">
        <w:t>Wangrow et al., 2018</w:t>
      </w:r>
      <w:r w:rsidRPr="006144A0">
        <w:t>: 345). Survey and interview methodologies that capture these constructs, as well as associated latent behavior and conflict (see </w:t>
      </w:r>
      <w:proofErr w:type="spellStart"/>
      <w:r w:rsidRPr="00672F48">
        <w:t>Lukes</w:t>
      </w:r>
      <w:proofErr w:type="spellEnd"/>
      <w:r w:rsidRPr="00672F48">
        <w:t>, 1974</w:t>
      </w:r>
      <w:r w:rsidRPr="006144A0">
        <w:t>), may further clarify how power influences dismissal. In addition, the models do not capture streaks, trends, or margins of victory and defeat, which may elicit positive or negative perceptions that also affect the likelihood of dismissal. Further, the models do not include the contractual terms of coaches and ADs, including buyout clauses that the university must pay to a coach or AD when he or she is dismissed prior to contract expiration. Future studies that examine the relationship of the contractual terms for coaches and executives with dismissal, as well as other forms of executive turnover, would provide valuable new insights into factors that influence decision-making associated with executive retention and dismissal.</w:t>
      </w:r>
    </w:p>
    <w:p w14:paraId="47B82992" w14:textId="77777777" w:rsidR="006144A0" w:rsidRPr="006144A0" w:rsidRDefault="006144A0" w:rsidP="00E91F59">
      <w:pPr>
        <w:pStyle w:val="Heading1"/>
      </w:pPr>
      <w:bookmarkStart w:id="9" w:name="_i26"/>
      <w:bookmarkEnd w:id="9"/>
      <w:r w:rsidRPr="006144A0">
        <w:t>Conclusion</w:t>
      </w:r>
    </w:p>
    <w:p w14:paraId="7F1FAA4A" w14:textId="77777777" w:rsidR="006144A0" w:rsidRPr="006144A0" w:rsidRDefault="006144A0" w:rsidP="006144A0">
      <w:r w:rsidRPr="006144A0">
        <w:t xml:space="preserve">The motivation for this study was to advance knowledge regarding the influence of performance and multiple forms of power on the likelihood of executive dismissal. The context of college basketball offers a rich environment to study performance, </w:t>
      </w:r>
      <w:proofErr w:type="gramStart"/>
      <w:r w:rsidRPr="006144A0">
        <w:t>power</w:t>
      </w:r>
      <w:proofErr w:type="gramEnd"/>
      <w:r w:rsidRPr="006144A0">
        <w:t xml:space="preserve"> and executive dismissal, since coaches are responsible for all aspects of their teams’ strategies, as well as acquisition and retention of human capital. The results show that performance’s relationship with the likelihood of dismissal is curvilinear, with performance improvements having the greatest impact at performance levels below the sample’s performance average. Expert power from tenure is significantly related to the likelihood of dismissal, but the honeymoon period for college basketball coaches is several years longer than honeymoon periods found in prior studies of executive and coach dismissal. Prestige power from reputational capital was negatively related to the likelihood of dismissal, though no relationship for structural power with the likelihood of dismissal was found. Lastly, a surprisingly negative relationship between concentrated governance associated with privately owned universities and the likelihood of dismissal was found. These findings advance scholarly knowledge but also raise several new questions regarding the contextual nature of performance and power that are worthy of further inquiry.</w:t>
      </w:r>
    </w:p>
    <w:p w14:paraId="7CD4DA6E" w14:textId="77777777" w:rsidR="006144A0" w:rsidRPr="006144A0" w:rsidRDefault="006144A0" w:rsidP="006144A0">
      <w:r w:rsidRPr="00E91F59">
        <w:rPr>
          <w:rStyle w:val="Heading1Char"/>
        </w:rPr>
        <w:t xml:space="preserve">Authors’ </w:t>
      </w:r>
      <w:proofErr w:type="gramStart"/>
      <w:r w:rsidRPr="00E91F59">
        <w:rPr>
          <w:rStyle w:val="Heading1Char"/>
        </w:rPr>
        <w:t>note</w:t>
      </w:r>
      <w:proofErr w:type="gramEnd"/>
      <w:r w:rsidRPr="00E91F59">
        <w:rPr>
          <w:rStyle w:val="Heading1Char"/>
        </w:rPr>
        <w:br/>
      </w:r>
      <w:r w:rsidRPr="006144A0">
        <w:t>This project’s origin was research work by one of the authors as part of the science research program at John Jay High School in Lewisboro, NY. We commend this continuing program that fosters the development of future researchers in the STEM, medical, and social science fields.</w:t>
      </w:r>
    </w:p>
    <w:p w14:paraId="0CCCB06A" w14:textId="77777777" w:rsidR="006144A0" w:rsidRPr="006144A0" w:rsidRDefault="006144A0" w:rsidP="00E91F59">
      <w:pPr>
        <w:pStyle w:val="Heading1"/>
      </w:pPr>
      <w:bookmarkStart w:id="10" w:name="_backmatter_ack"/>
      <w:bookmarkEnd w:id="10"/>
      <w:r w:rsidRPr="006144A0">
        <w:t>Acknowledgment</w:t>
      </w:r>
    </w:p>
    <w:p w14:paraId="23988F20" w14:textId="77777777" w:rsidR="006144A0" w:rsidRPr="006144A0" w:rsidRDefault="006144A0" w:rsidP="006144A0">
      <w:r w:rsidRPr="006144A0">
        <w:t xml:space="preserve">We gratefully acknowledge Vince Barker, John Cotton, Donald J. </w:t>
      </w:r>
      <w:proofErr w:type="spellStart"/>
      <w:r w:rsidRPr="006144A0">
        <w:t>Schepker</w:t>
      </w:r>
      <w:proofErr w:type="spellEnd"/>
      <w:r w:rsidRPr="006144A0">
        <w:t>, and two anonymous reviewers for their help and suggestions. However, any errors or omissions belong solely to the authors.</w:t>
      </w:r>
    </w:p>
    <w:p w14:paraId="2EB79671" w14:textId="77777777" w:rsidR="006144A0" w:rsidRPr="006144A0" w:rsidRDefault="006144A0" w:rsidP="006144A0">
      <w:r w:rsidRPr="00E91F59">
        <w:rPr>
          <w:rStyle w:val="Heading1Char"/>
        </w:rPr>
        <w:t>Declaration of conflicting interests</w:t>
      </w:r>
      <w:r w:rsidRPr="00E91F59">
        <w:rPr>
          <w:rStyle w:val="Heading1Char"/>
        </w:rPr>
        <w:br/>
      </w:r>
      <w:r w:rsidRPr="006144A0">
        <w:t>The author(s) declared no potential conflicts of interest with respect to the research, authorship, and/or publication of this article.</w:t>
      </w:r>
    </w:p>
    <w:p w14:paraId="54134265" w14:textId="77777777" w:rsidR="006144A0" w:rsidRPr="006144A0" w:rsidRDefault="006144A0" w:rsidP="006144A0">
      <w:r w:rsidRPr="00E91F59">
        <w:rPr>
          <w:rStyle w:val="Heading1Char"/>
        </w:rPr>
        <w:t>Funding</w:t>
      </w:r>
      <w:r w:rsidRPr="00E91F59">
        <w:rPr>
          <w:rStyle w:val="Heading1Char"/>
        </w:rPr>
        <w:br/>
      </w:r>
      <w:r w:rsidRPr="006144A0">
        <w:t>The author(s) received no financial support for the research, authorship, and/or publication of this article.</w:t>
      </w:r>
    </w:p>
    <w:p w14:paraId="01E6F243" w14:textId="77777777" w:rsidR="006144A0" w:rsidRPr="006144A0" w:rsidRDefault="006144A0" w:rsidP="00E91F59">
      <w:pPr>
        <w:pStyle w:val="Heading1"/>
      </w:pPr>
      <w:bookmarkStart w:id="11" w:name="_backmatter_notes"/>
      <w:bookmarkEnd w:id="11"/>
      <w:r w:rsidRPr="006144A0">
        <w:t>Notes</w:t>
      </w:r>
    </w:p>
    <w:p w14:paraId="13E8B874" w14:textId="41AF3FAE" w:rsidR="006144A0" w:rsidRPr="006144A0" w:rsidRDefault="006144A0" w:rsidP="00E91F59">
      <w:pPr>
        <w:spacing w:after="0"/>
        <w:ind w:left="720" w:hanging="720"/>
      </w:pPr>
      <w:r w:rsidRPr="006144A0">
        <w:t>1.</w:t>
      </w:r>
      <w:r w:rsidRPr="00672F48">
        <w:t>Boeker (1992)</w:t>
      </w:r>
      <w:r w:rsidRPr="006144A0">
        <w:t> defined interdependent board members as those who were appointed during the chief executive officer’s tenure.</w:t>
      </w:r>
    </w:p>
    <w:p w14:paraId="61F8F1E3" w14:textId="77777777" w:rsidR="006144A0" w:rsidRPr="006144A0" w:rsidRDefault="006144A0" w:rsidP="00E91F59">
      <w:pPr>
        <w:spacing w:after="0"/>
        <w:ind w:left="720" w:hanging="720"/>
      </w:pPr>
      <w:r w:rsidRPr="006144A0">
        <w:t>2.Conference realignment leads to teams changing their conference membership between seasons. Only seasons in which a team was a member of 1 of the 10 major conferences were included in the model.</w:t>
      </w:r>
    </w:p>
    <w:p w14:paraId="266487B4" w14:textId="77777777" w:rsidR="006144A0" w:rsidRPr="006144A0" w:rsidRDefault="006144A0" w:rsidP="00E91F59">
      <w:pPr>
        <w:spacing w:after="0"/>
        <w:ind w:left="720" w:hanging="720"/>
      </w:pPr>
      <w:r w:rsidRPr="006144A0">
        <w:t>3.Many coaches are associated with multiple teams. The model uniquely identified each coach–team combination.</w:t>
      </w:r>
    </w:p>
    <w:p w14:paraId="79B6CFFD" w14:textId="20836FF7" w:rsidR="006144A0" w:rsidRDefault="006144A0" w:rsidP="00E91F59">
      <w:pPr>
        <w:spacing w:after="0"/>
        <w:ind w:left="720" w:hanging="720"/>
      </w:pPr>
      <w:r w:rsidRPr="006144A0">
        <w:t>4.This is the estimated point on the curve shown in </w:t>
      </w:r>
      <w:r w:rsidRPr="00672F48">
        <w:t>Figure 2</w:t>
      </w:r>
      <w:r w:rsidRPr="006144A0">
        <w:t> with the most negative slope.</w:t>
      </w:r>
    </w:p>
    <w:p w14:paraId="346AD61E" w14:textId="77777777" w:rsidR="00E91F59" w:rsidRPr="006144A0" w:rsidRDefault="00E91F59" w:rsidP="006144A0"/>
    <w:p w14:paraId="755627AD" w14:textId="77777777" w:rsidR="006144A0" w:rsidRPr="006144A0" w:rsidRDefault="006144A0" w:rsidP="00E91F59">
      <w:pPr>
        <w:pStyle w:val="Heading1"/>
      </w:pPr>
      <w:bookmarkStart w:id="12" w:name="_i29"/>
      <w:bookmarkEnd w:id="12"/>
      <w:r w:rsidRPr="006144A0">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E91F59" w:rsidRPr="006144A0" w14:paraId="1055C74C" w14:textId="77777777" w:rsidTr="00E91F59">
        <w:tc>
          <w:tcPr>
            <w:tcW w:w="0" w:type="auto"/>
            <w:hideMark/>
          </w:tcPr>
          <w:p w14:paraId="138C81A1" w14:textId="3F9ADD60" w:rsidR="00E91F59" w:rsidRPr="006144A0" w:rsidRDefault="00E91F59" w:rsidP="00E91F59">
            <w:pPr>
              <w:ind w:left="694" w:hanging="694"/>
            </w:pPr>
            <w:r w:rsidRPr="006144A0">
              <w:t>Allen, WD, Chadwick, C (2012) Performance, expectations, and managerial dismissal evidence from the National Football League. Journal of Sports Economics 13(4): 337–363.</w:t>
            </w:r>
          </w:p>
        </w:tc>
      </w:tr>
      <w:tr w:rsidR="00E91F59" w:rsidRPr="006144A0" w14:paraId="6A17DD4F" w14:textId="77777777" w:rsidTr="00E91F59">
        <w:tc>
          <w:tcPr>
            <w:tcW w:w="0" w:type="auto"/>
            <w:hideMark/>
          </w:tcPr>
          <w:p w14:paraId="608504D9" w14:textId="6759D193" w:rsidR="00E91F59" w:rsidRPr="006144A0" w:rsidRDefault="00E91F59" w:rsidP="00E91F59">
            <w:pPr>
              <w:ind w:left="694" w:hanging="694"/>
            </w:pPr>
            <w:r w:rsidRPr="006144A0">
              <w:t>Allison, PD (1984) Event History Analysis: Regression for Longitudinal Event Data. Thousand Oaks, CA: Sage.</w:t>
            </w:r>
          </w:p>
        </w:tc>
      </w:tr>
      <w:tr w:rsidR="00E91F59" w:rsidRPr="006144A0" w14:paraId="4C41F7AB" w14:textId="77777777" w:rsidTr="00E91F59">
        <w:tc>
          <w:tcPr>
            <w:tcW w:w="0" w:type="auto"/>
            <w:hideMark/>
          </w:tcPr>
          <w:p w14:paraId="0D5335C1" w14:textId="121734B8" w:rsidR="00E91F59" w:rsidRPr="006144A0" w:rsidRDefault="00E91F59" w:rsidP="00E91F59">
            <w:pPr>
              <w:ind w:left="694" w:hanging="694"/>
            </w:pPr>
            <w:proofErr w:type="spellStart"/>
            <w:r w:rsidRPr="006144A0">
              <w:t>Amedu</w:t>
            </w:r>
            <w:proofErr w:type="spellEnd"/>
            <w:r w:rsidRPr="006144A0">
              <w:t xml:space="preserve">, S, </w:t>
            </w:r>
            <w:proofErr w:type="spellStart"/>
            <w:r w:rsidRPr="006144A0">
              <w:t>Dulewicz</w:t>
            </w:r>
            <w:proofErr w:type="spellEnd"/>
            <w:r w:rsidRPr="006144A0">
              <w:t>, V (2018) The relationship between CEO personal power, CEO competencies, and company performance. Journal of General Management 43(4): 188–198.</w:t>
            </w:r>
          </w:p>
        </w:tc>
      </w:tr>
      <w:tr w:rsidR="00E91F59" w:rsidRPr="006144A0" w14:paraId="635C88A0" w14:textId="77777777" w:rsidTr="00E91F59">
        <w:tc>
          <w:tcPr>
            <w:tcW w:w="0" w:type="auto"/>
            <w:hideMark/>
          </w:tcPr>
          <w:p w14:paraId="73321500" w14:textId="324C2C2F" w:rsidR="00E91F59" w:rsidRPr="006144A0" w:rsidRDefault="00E91F59" w:rsidP="00E91F59">
            <w:pPr>
              <w:ind w:left="694" w:hanging="694"/>
            </w:pPr>
            <w:r w:rsidRPr="006144A0">
              <w:t xml:space="preserve">Bailey, EE, </w:t>
            </w:r>
            <w:proofErr w:type="spellStart"/>
            <w:r w:rsidRPr="006144A0">
              <w:t>Helfat</w:t>
            </w:r>
            <w:proofErr w:type="spellEnd"/>
            <w:r w:rsidRPr="006144A0">
              <w:t>, CE (2003) External management succession, human capital, and firm performance: an integrative analysis. Managerial and Decision Economics 24(4): 347–369.</w:t>
            </w:r>
          </w:p>
        </w:tc>
      </w:tr>
      <w:tr w:rsidR="00E91F59" w:rsidRPr="006144A0" w14:paraId="298DF511" w14:textId="77777777" w:rsidTr="00E91F59">
        <w:tc>
          <w:tcPr>
            <w:tcW w:w="0" w:type="auto"/>
            <w:hideMark/>
          </w:tcPr>
          <w:p w14:paraId="2748A927" w14:textId="15E12FF0" w:rsidR="00E91F59" w:rsidRPr="006144A0" w:rsidRDefault="00E91F59" w:rsidP="00E91F59">
            <w:pPr>
              <w:ind w:left="694" w:hanging="694"/>
            </w:pPr>
            <w:r w:rsidRPr="006144A0">
              <w:t xml:space="preserve">Benner, MJ, </w:t>
            </w:r>
            <w:proofErr w:type="spellStart"/>
            <w:r w:rsidRPr="006144A0">
              <w:t>Tripsas</w:t>
            </w:r>
            <w:proofErr w:type="spellEnd"/>
            <w:r w:rsidRPr="006144A0">
              <w:t>, M (2012) The influence of prior industry affiliation on framing in nascent industries: the evolution of digital cameras. Strategic Management Journal 33(3): 277–302.</w:t>
            </w:r>
          </w:p>
        </w:tc>
      </w:tr>
      <w:tr w:rsidR="00E91F59" w:rsidRPr="006144A0" w14:paraId="0F39CB41" w14:textId="77777777" w:rsidTr="00E91F59">
        <w:tc>
          <w:tcPr>
            <w:tcW w:w="0" w:type="auto"/>
            <w:hideMark/>
          </w:tcPr>
          <w:p w14:paraId="608952C9" w14:textId="099A9E0F" w:rsidR="00E91F59" w:rsidRPr="006144A0" w:rsidRDefault="00E91F59" w:rsidP="00E91F59">
            <w:pPr>
              <w:ind w:left="694" w:hanging="694"/>
            </w:pPr>
            <w:proofErr w:type="spellStart"/>
            <w:r w:rsidRPr="006144A0">
              <w:t>Berns</w:t>
            </w:r>
            <w:proofErr w:type="spellEnd"/>
            <w:r w:rsidRPr="006144A0">
              <w:t xml:space="preserve">, JP, Gupta, VK, </w:t>
            </w:r>
            <w:proofErr w:type="spellStart"/>
            <w:r w:rsidRPr="006144A0">
              <w:t>Schnatterly</w:t>
            </w:r>
            <w:proofErr w:type="spellEnd"/>
            <w:r w:rsidRPr="006144A0">
              <w:t>, KA, et al. (2021) Chief executive officer dismissal: a multidisciplinary integration and critical analysis. Group &amp; Organization Management 46: 1–37.</w:t>
            </w:r>
          </w:p>
        </w:tc>
      </w:tr>
      <w:tr w:rsidR="00E91F59" w:rsidRPr="006144A0" w14:paraId="1BC121A3" w14:textId="77777777" w:rsidTr="00E91F59">
        <w:tc>
          <w:tcPr>
            <w:tcW w:w="0" w:type="auto"/>
            <w:hideMark/>
          </w:tcPr>
          <w:p w14:paraId="1F41009C" w14:textId="3D3BBD83" w:rsidR="00E91F59" w:rsidRPr="006144A0" w:rsidRDefault="00E91F59" w:rsidP="00E91F59">
            <w:pPr>
              <w:ind w:left="694" w:hanging="694"/>
            </w:pPr>
            <w:proofErr w:type="spellStart"/>
            <w:r w:rsidRPr="006144A0">
              <w:t>Berns</w:t>
            </w:r>
            <w:proofErr w:type="spellEnd"/>
            <w:r w:rsidRPr="006144A0">
              <w:t xml:space="preserve">, KV, </w:t>
            </w:r>
            <w:proofErr w:type="spellStart"/>
            <w:r w:rsidRPr="006144A0">
              <w:t>Klarner</w:t>
            </w:r>
            <w:proofErr w:type="spellEnd"/>
            <w:r w:rsidRPr="006144A0">
              <w:t>, P (2017) A review of the CEO succession literature and a future research program. Academy of Management Perspectives 31(2): 83–108.</w:t>
            </w:r>
          </w:p>
        </w:tc>
      </w:tr>
      <w:tr w:rsidR="00E91F59" w:rsidRPr="006144A0" w14:paraId="48E87A24" w14:textId="77777777" w:rsidTr="00E91F59">
        <w:tc>
          <w:tcPr>
            <w:tcW w:w="0" w:type="auto"/>
            <w:hideMark/>
          </w:tcPr>
          <w:p w14:paraId="6DAAB4D6" w14:textId="3369EBE4" w:rsidR="00E91F59" w:rsidRPr="006144A0" w:rsidRDefault="00E91F59" w:rsidP="00E91F59">
            <w:pPr>
              <w:ind w:left="694" w:hanging="694"/>
            </w:pPr>
            <w:proofErr w:type="spellStart"/>
            <w:r w:rsidRPr="006144A0">
              <w:t>Blossfeld</w:t>
            </w:r>
            <w:proofErr w:type="spellEnd"/>
            <w:r w:rsidRPr="006144A0">
              <w:t xml:space="preserve">, H, </w:t>
            </w:r>
            <w:proofErr w:type="spellStart"/>
            <w:r w:rsidRPr="006144A0">
              <w:t>Golsch</w:t>
            </w:r>
            <w:proofErr w:type="spellEnd"/>
            <w:r w:rsidRPr="006144A0">
              <w:t xml:space="preserve">, K, </w:t>
            </w:r>
            <w:proofErr w:type="spellStart"/>
            <w:r w:rsidRPr="006144A0">
              <w:t>Rohwer</w:t>
            </w:r>
            <w:proofErr w:type="spellEnd"/>
            <w:r w:rsidRPr="006144A0">
              <w:t>, G (2007) Event History Analysis with STATA. New York, NY: Taylor and Francis.</w:t>
            </w:r>
          </w:p>
        </w:tc>
      </w:tr>
      <w:tr w:rsidR="00E91F59" w:rsidRPr="006144A0" w14:paraId="0B4C6423" w14:textId="77777777" w:rsidTr="00E91F59">
        <w:tc>
          <w:tcPr>
            <w:tcW w:w="0" w:type="auto"/>
            <w:hideMark/>
          </w:tcPr>
          <w:p w14:paraId="144A8E93" w14:textId="76B60055" w:rsidR="00E91F59" w:rsidRPr="006144A0" w:rsidRDefault="00E91F59" w:rsidP="00E91F59">
            <w:pPr>
              <w:ind w:left="694" w:hanging="694"/>
            </w:pPr>
            <w:proofErr w:type="spellStart"/>
            <w:r w:rsidRPr="006144A0">
              <w:t>Boeker</w:t>
            </w:r>
            <w:proofErr w:type="spellEnd"/>
            <w:r w:rsidRPr="006144A0">
              <w:t>, W (1992) Power and managerial dismissal: scapegoating at the top. Administrative Science Quarterly 37(3): 400–421.</w:t>
            </w:r>
          </w:p>
        </w:tc>
      </w:tr>
      <w:tr w:rsidR="00E91F59" w:rsidRPr="006144A0" w14:paraId="5A45134B" w14:textId="77777777" w:rsidTr="00E91F59">
        <w:tc>
          <w:tcPr>
            <w:tcW w:w="0" w:type="auto"/>
            <w:hideMark/>
          </w:tcPr>
          <w:p w14:paraId="32EA1C1B" w14:textId="7F8BB754" w:rsidR="00E91F59" w:rsidRPr="006144A0" w:rsidRDefault="00E91F59" w:rsidP="00E91F59">
            <w:pPr>
              <w:ind w:left="694" w:hanging="694"/>
            </w:pPr>
            <w:proofErr w:type="spellStart"/>
            <w:r w:rsidRPr="006144A0">
              <w:t>Boeker</w:t>
            </w:r>
            <w:proofErr w:type="spellEnd"/>
            <w:r w:rsidRPr="006144A0">
              <w:t>, W, Goodstein, J (1993) Performance and successor choice: the moderating effects of governance and ownership. Academy of Management Journal 36(1): 172–186.</w:t>
            </w:r>
          </w:p>
        </w:tc>
      </w:tr>
      <w:tr w:rsidR="00E91F59" w:rsidRPr="006144A0" w14:paraId="46640357" w14:textId="77777777" w:rsidTr="00E91F59">
        <w:tc>
          <w:tcPr>
            <w:tcW w:w="0" w:type="auto"/>
            <w:hideMark/>
          </w:tcPr>
          <w:p w14:paraId="2BB1284E" w14:textId="141A9656" w:rsidR="00E91F59" w:rsidRPr="006144A0" w:rsidRDefault="00E91F59" w:rsidP="00E91F59">
            <w:pPr>
              <w:ind w:left="694" w:hanging="694"/>
            </w:pPr>
            <w:r w:rsidRPr="006144A0">
              <w:t>Box-Steffensmeier, JM, Jones, BS (2004) Event History Modeling: A guide for Social Scientists. Cambridge: Cambridge University Press.</w:t>
            </w:r>
          </w:p>
        </w:tc>
      </w:tr>
      <w:tr w:rsidR="00E91F59" w:rsidRPr="006144A0" w14:paraId="4F10AD60" w14:textId="77777777" w:rsidTr="00E91F59">
        <w:tc>
          <w:tcPr>
            <w:tcW w:w="0" w:type="auto"/>
            <w:hideMark/>
          </w:tcPr>
          <w:p w14:paraId="6E65B654" w14:textId="78FCAEBE" w:rsidR="00E91F59" w:rsidRPr="006144A0" w:rsidRDefault="00E91F59" w:rsidP="00E91F59">
            <w:pPr>
              <w:ind w:left="694" w:hanging="694"/>
            </w:pPr>
            <w:r w:rsidRPr="006144A0">
              <w:t>Brookman, J, Thistle, PD (2009) CEO tenure, the risk of termination and firm value. Journal of Corporate Finance 15(3): 331–344.</w:t>
            </w:r>
          </w:p>
        </w:tc>
      </w:tr>
      <w:tr w:rsidR="00E91F59" w:rsidRPr="006144A0" w14:paraId="1267BF09" w14:textId="77777777" w:rsidTr="00E91F59">
        <w:tc>
          <w:tcPr>
            <w:tcW w:w="0" w:type="auto"/>
            <w:hideMark/>
          </w:tcPr>
          <w:p w14:paraId="2D683937" w14:textId="24BC6E6A" w:rsidR="00E91F59" w:rsidRPr="006144A0" w:rsidRDefault="00E91F59" w:rsidP="00E91F59">
            <w:pPr>
              <w:ind w:left="694" w:hanging="694"/>
            </w:pPr>
            <w:r w:rsidRPr="006144A0">
              <w:t>Cox, DR (1972) Regression models and life tables. Journal of the Royal Statistical Society, Series B (Methodological 34(2): 187–202.</w:t>
            </w:r>
          </w:p>
        </w:tc>
      </w:tr>
      <w:tr w:rsidR="00E91F59" w:rsidRPr="006144A0" w14:paraId="5A20383F" w14:textId="77777777" w:rsidTr="00E91F59">
        <w:tc>
          <w:tcPr>
            <w:tcW w:w="0" w:type="auto"/>
            <w:hideMark/>
          </w:tcPr>
          <w:p w14:paraId="1474A665" w14:textId="1547588E" w:rsidR="00E91F59" w:rsidRPr="006144A0" w:rsidRDefault="00E91F59" w:rsidP="00E91F59">
            <w:pPr>
              <w:ind w:left="694" w:hanging="694"/>
            </w:pPr>
            <w:r w:rsidRPr="006144A0">
              <w:t>Daily, CM, Johnson, JL (1997) Sources of CEO power and firm financial performance: a longitudinal assessment. Journal of Management 23(2): 97–117.</w:t>
            </w:r>
          </w:p>
        </w:tc>
      </w:tr>
      <w:tr w:rsidR="00E91F59" w:rsidRPr="006144A0" w14:paraId="366099B2" w14:textId="77777777" w:rsidTr="00E91F59">
        <w:tc>
          <w:tcPr>
            <w:tcW w:w="0" w:type="auto"/>
            <w:hideMark/>
          </w:tcPr>
          <w:p w14:paraId="7C647EC7" w14:textId="2BEF43F9" w:rsidR="00E91F59" w:rsidRPr="006144A0" w:rsidRDefault="00E91F59" w:rsidP="00E91F59">
            <w:pPr>
              <w:ind w:left="694" w:hanging="694"/>
            </w:pPr>
            <w:r w:rsidRPr="006144A0">
              <w:t>Evans, B, Pitts, JD (2017) The determinants of NCAA basketball recruiting outcomes. Applied Economics Letters 24(5): 351–354.</w:t>
            </w:r>
          </w:p>
        </w:tc>
      </w:tr>
      <w:tr w:rsidR="00E91F59" w:rsidRPr="006144A0" w14:paraId="0745AD91" w14:textId="77777777" w:rsidTr="00E91F59">
        <w:tc>
          <w:tcPr>
            <w:tcW w:w="0" w:type="auto"/>
            <w:hideMark/>
          </w:tcPr>
          <w:p w14:paraId="24EBDB38" w14:textId="5D6E3313" w:rsidR="00E91F59" w:rsidRPr="006144A0" w:rsidRDefault="00E91F59" w:rsidP="00E91F59">
            <w:pPr>
              <w:ind w:left="694" w:hanging="694"/>
            </w:pPr>
            <w:r w:rsidRPr="006144A0">
              <w:t>Finkelstein, S (1992) Power in top management teams: dimensions, measurement, and validation. Academy of Management Journal 35(3): 505–538.</w:t>
            </w:r>
          </w:p>
        </w:tc>
      </w:tr>
      <w:tr w:rsidR="00E91F59" w:rsidRPr="006144A0" w14:paraId="5E1BB55A" w14:textId="77777777" w:rsidTr="00E91F59">
        <w:tc>
          <w:tcPr>
            <w:tcW w:w="0" w:type="auto"/>
            <w:hideMark/>
          </w:tcPr>
          <w:p w14:paraId="64C7BFF3" w14:textId="5AFADFE1" w:rsidR="00E91F59" w:rsidRPr="006144A0" w:rsidRDefault="00E91F59" w:rsidP="00E91F59">
            <w:pPr>
              <w:ind w:left="694" w:hanging="694"/>
            </w:pPr>
            <w:r w:rsidRPr="006144A0">
              <w:t xml:space="preserve">Finkelstein, S, </w:t>
            </w:r>
            <w:proofErr w:type="spellStart"/>
            <w:r w:rsidRPr="006144A0">
              <w:t>D’Aveni</w:t>
            </w:r>
            <w:proofErr w:type="spellEnd"/>
            <w:r w:rsidRPr="006144A0">
              <w:t xml:space="preserve">, RA (1994) CEO duality as a double-edged sword: how boards of </w:t>
            </w:r>
            <w:proofErr w:type="gramStart"/>
            <w:r w:rsidRPr="006144A0">
              <w:t>directors</w:t>
            </w:r>
            <w:proofErr w:type="gramEnd"/>
            <w:r w:rsidRPr="006144A0">
              <w:t xml:space="preserve"> balance entrenchment avoidance and unity of command. Academy of Management Journal 37(5): 1079–1108.</w:t>
            </w:r>
          </w:p>
        </w:tc>
      </w:tr>
      <w:tr w:rsidR="00E91F59" w:rsidRPr="006144A0" w14:paraId="4344A84D" w14:textId="77777777" w:rsidTr="00E91F59">
        <w:tc>
          <w:tcPr>
            <w:tcW w:w="0" w:type="auto"/>
            <w:hideMark/>
          </w:tcPr>
          <w:p w14:paraId="5FA475B6" w14:textId="635C4999" w:rsidR="00E91F59" w:rsidRPr="006144A0" w:rsidRDefault="00E91F59" w:rsidP="00E91F59">
            <w:pPr>
              <w:ind w:left="694" w:hanging="694"/>
            </w:pPr>
            <w:r w:rsidRPr="006144A0">
              <w:t>Finkelstein, S, Hambrick, D, Cannella, A (2009) Strategic Leadership: Theory and Research on Executives, Top Management Teams, and Boards. New York, NY: Oxford University Press.</w:t>
            </w:r>
          </w:p>
        </w:tc>
      </w:tr>
      <w:tr w:rsidR="00E91F59" w:rsidRPr="006144A0" w14:paraId="42D0BBE1" w14:textId="77777777" w:rsidTr="00E91F59">
        <w:tc>
          <w:tcPr>
            <w:tcW w:w="0" w:type="auto"/>
            <w:hideMark/>
          </w:tcPr>
          <w:p w14:paraId="2D697C42" w14:textId="5275D955" w:rsidR="00E91F59" w:rsidRPr="006144A0" w:rsidRDefault="00E91F59" w:rsidP="00E91F59">
            <w:pPr>
              <w:ind w:left="694" w:hanging="694"/>
            </w:pPr>
            <w:proofErr w:type="spellStart"/>
            <w:r w:rsidRPr="006144A0">
              <w:t>Fizel</w:t>
            </w:r>
            <w:proofErr w:type="spellEnd"/>
            <w:r w:rsidRPr="006144A0">
              <w:t xml:space="preserve">, JL, </w:t>
            </w:r>
            <w:proofErr w:type="spellStart"/>
            <w:r w:rsidRPr="006144A0">
              <w:t>D’Itri</w:t>
            </w:r>
            <w:proofErr w:type="spellEnd"/>
            <w:r w:rsidRPr="006144A0">
              <w:t>, MP (1999) Firing and hiring of managers: does efficiency matter? Journal of Management 25(4): 567–585.</w:t>
            </w:r>
          </w:p>
        </w:tc>
      </w:tr>
      <w:tr w:rsidR="00E91F59" w:rsidRPr="006144A0" w14:paraId="17BFAED9" w14:textId="77777777" w:rsidTr="00E91F59">
        <w:tc>
          <w:tcPr>
            <w:tcW w:w="0" w:type="auto"/>
            <w:hideMark/>
          </w:tcPr>
          <w:p w14:paraId="7FBD2EF7" w14:textId="4E785F16" w:rsidR="00E91F59" w:rsidRPr="006144A0" w:rsidRDefault="00E91F59" w:rsidP="00E91F59">
            <w:pPr>
              <w:ind w:left="694" w:hanging="694"/>
            </w:pPr>
            <w:r w:rsidRPr="006144A0">
              <w:t xml:space="preserve">Flickinger, M, </w:t>
            </w:r>
            <w:proofErr w:type="spellStart"/>
            <w:r w:rsidRPr="006144A0">
              <w:t>Wrage</w:t>
            </w:r>
            <w:proofErr w:type="spellEnd"/>
            <w:r w:rsidRPr="006144A0">
              <w:t xml:space="preserve">, M, </w:t>
            </w:r>
            <w:proofErr w:type="spellStart"/>
            <w:r w:rsidRPr="006144A0">
              <w:t>Tuschke</w:t>
            </w:r>
            <w:proofErr w:type="spellEnd"/>
            <w:r w:rsidRPr="006144A0">
              <w:t>, A, et al. (2016) How CEOs protect themselves against dismissal: a social status perspective. Strategic Management Journal 37(6): 1107–1117.</w:t>
            </w:r>
          </w:p>
        </w:tc>
      </w:tr>
      <w:tr w:rsidR="00E91F59" w:rsidRPr="006144A0" w14:paraId="735A1168" w14:textId="77777777" w:rsidTr="00E91F59">
        <w:tc>
          <w:tcPr>
            <w:tcW w:w="0" w:type="auto"/>
            <w:hideMark/>
          </w:tcPr>
          <w:p w14:paraId="1053A127" w14:textId="16807117" w:rsidR="00E91F59" w:rsidRPr="006144A0" w:rsidRDefault="00E91F59" w:rsidP="00E91F59">
            <w:pPr>
              <w:ind w:left="694" w:hanging="694"/>
            </w:pPr>
            <w:r w:rsidRPr="006144A0">
              <w:t xml:space="preserve">Foreman, JJ, </w:t>
            </w:r>
            <w:proofErr w:type="spellStart"/>
            <w:r w:rsidRPr="006144A0">
              <w:t>Soebbing</w:t>
            </w:r>
            <w:proofErr w:type="spellEnd"/>
            <w:r w:rsidRPr="006144A0">
              <w:t>, BP (2015) The role of candidate availability in CEO dismissals: an examination of the National Football League. Journal of Management 16(2): 11–25.</w:t>
            </w:r>
          </w:p>
        </w:tc>
      </w:tr>
      <w:tr w:rsidR="00E91F59" w:rsidRPr="006144A0" w14:paraId="5B38989E" w14:textId="77777777" w:rsidTr="00E91F59">
        <w:tc>
          <w:tcPr>
            <w:tcW w:w="0" w:type="auto"/>
            <w:hideMark/>
          </w:tcPr>
          <w:p w14:paraId="4B92D66B" w14:textId="281ED564" w:rsidR="00E91F59" w:rsidRPr="006144A0" w:rsidRDefault="00E91F59" w:rsidP="00E91F59">
            <w:pPr>
              <w:ind w:left="694" w:hanging="694"/>
            </w:pPr>
            <w:r w:rsidRPr="006144A0">
              <w:t xml:space="preserve">Fredrickson, JW, Hambrick, DC, </w:t>
            </w:r>
            <w:proofErr w:type="spellStart"/>
            <w:r w:rsidRPr="006144A0">
              <w:t>Baumrin</w:t>
            </w:r>
            <w:proofErr w:type="spellEnd"/>
            <w:r w:rsidRPr="006144A0">
              <w:t>, S (1988) A model of CEO dismissal. Academy of Management Review 13(2): 255–270.</w:t>
            </w:r>
          </w:p>
        </w:tc>
      </w:tr>
      <w:tr w:rsidR="00E91F59" w:rsidRPr="006144A0" w14:paraId="181DE16F" w14:textId="77777777" w:rsidTr="00E91F59">
        <w:tc>
          <w:tcPr>
            <w:tcW w:w="0" w:type="auto"/>
            <w:hideMark/>
          </w:tcPr>
          <w:p w14:paraId="75A6B941" w14:textId="28450EA5" w:rsidR="00E91F59" w:rsidRPr="006144A0" w:rsidRDefault="00E91F59" w:rsidP="00E91F59">
            <w:pPr>
              <w:ind w:left="694" w:hanging="694"/>
            </w:pPr>
            <w:r w:rsidRPr="006144A0">
              <w:t>Frick, B, Simmons, R (2008) The impact of managerial quality on organizational performance: evidence from German soccer. Managerial and Decision Economics 29(7): 593–600.</w:t>
            </w:r>
          </w:p>
        </w:tc>
      </w:tr>
      <w:tr w:rsidR="00E91F59" w:rsidRPr="006144A0" w14:paraId="39A2C4EC" w14:textId="77777777" w:rsidTr="00E91F59">
        <w:tc>
          <w:tcPr>
            <w:tcW w:w="0" w:type="auto"/>
            <w:hideMark/>
          </w:tcPr>
          <w:p w14:paraId="13D6FC89" w14:textId="55AD5D4E" w:rsidR="00E91F59" w:rsidRPr="006144A0" w:rsidRDefault="00E91F59" w:rsidP="00E91F59">
            <w:pPr>
              <w:ind w:left="694" w:hanging="694"/>
            </w:pPr>
            <w:proofErr w:type="spellStart"/>
            <w:r w:rsidRPr="006144A0">
              <w:t>Giambatista</w:t>
            </w:r>
            <w:proofErr w:type="spellEnd"/>
            <w:r w:rsidRPr="006144A0">
              <w:t>, RC (2004) Jumping through hoops: a longitudinal study of leader life cycles in the NBA. Leadership Quarterly 15(5): 607–624.</w:t>
            </w:r>
          </w:p>
        </w:tc>
      </w:tr>
      <w:tr w:rsidR="00E91F59" w:rsidRPr="006144A0" w14:paraId="4E493DB1" w14:textId="77777777" w:rsidTr="00E91F59">
        <w:tc>
          <w:tcPr>
            <w:tcW w:w="0" w:type="auto"/>
            <w:hideMark/>
          </w:tcPr>
          <w:p w14:paraId="68B3A18B" w14:textId="4C3C9583" w:rsidR="00E91F59" w:rsidRPr="006144A0" w:rsidRDefault="00E91F59" w:rsidP="00E91F59">
            <w:pPr>
              <w:ind w:left="694" w:hanging="694"/>
            </w:pPr>
            <w:proofErr w:type="spellStart"/>
            <w:r w:rsidRPr="006144A0">
              <w:t>Grabke-Rundell</w:t>
            </w:r>
            <w:proofErr w:type="spellEnd"/>
            <w:r w:rsidRPr="006144A0">
              <w:t>, A, Gomez-Mejia, LR (2002) Power as a determinant of executive compensation. Human Resource Management Review 12(1): 3–23.</w:t>
            </w:r>
          </w:p>
        </w:tc>
      </w:tr>
      <w:tr w:rsidR="00E91F59" w:rsidRPr="006144A0" w14:paraId="7834270D" w14:textId="77777777" w:rsidTr="00E91F59">
        <w:tc>
          <w:tcPr>
            <w:tcW w:w="0" w:type="auto"/>
            <w:hideMark/>
          </w:tcPr>
          <w:p w14:paraId="6F61061B" w14:textId="1A388338" w:rsidR="00E91F59" w:rsidRPr="006144A0" w:rsidRDefault="00E91F59" w:rsidP="00E91F59">
            <w:pPr>
              <w:ind w:left="694" w:hanging="694"/>
            </w:pPr>
            <w:proofErr w:type="spellStart"/>
            <w:r w:rsidRPr="006144A0">
              <w:t>Graffin</w:t>
            </w:r>
            <w:proofErr w:type="spellEnd"/>
            <w:r w:rsidRPr="006144A0">
              <w:t>, SD, Ward, AJ (2010) Certifications and reputation: determining the standard of desirability amidst uncertainty. Organization Science 21(2): 331–346.</w:t>
            </w:r>
          </w:p>
        </w:tc>
      </w:tr>
      <w:tr w:rsidR="00E91F59" w:rsidRPr="006144A0" w14:paraId="38191217" w14:textId="77777777" w:rsidTr="00E91F59">
        <w:tc>
          <w:tcPr>
            <w:tcW w:w="0" w:type="auto"/>
            <w:hideMark/>
          </w:tcPr>
          <w:p w14:paraId="0B222604" w14:textId="46AC73FB" w:rsidR="00E91F59" w:rsidRPr="006144A0" w:rsidRDefault="00E91F59" w:rsidP="00E91F59">
            <w:pPr>
              <w:ind w:left="694" w:hanging="694"/>
            </w:pPr>
            <w:proofErr w:type="spellStart"/>
            <w:r w:rsidRPr="006144A0">
              <w:t>Haleblian</w:t>
            </w:r>
            <w:proofErr w:type="spellEnd"/>
            <w:r w:rsidRPr="006144A0">
              <w:t xml:space="preserve">, J, Rajagopalan, N (2006) A cognitive model of CEO dismissal: understanding the influence of board perceptions, </w:t>
            </w:r>
            <w:proofErr w:type="gramStart"/>
            <w:r w:rsidRPr="006144A0">
              <w:t>attributions</w:t>
            </w:r>
            <w:proofErr w:type="gramEnd"/>
            <w:r w:rsidRPr="006144A0">
              <w:t xml:space="preserve"> and efficacy beliefs. Journal of Management Studies 43(5): 1009–1026.</w:t>
            </w:r>
          </w:p>
        </w:tc>
      </w:tr>
      <w:tr w:rsidR="00E91F59" w:rsidRPr="006144A0" w14:paraId="1D45C777" w14:textId="77777777" w:rsidTr="00E91F59">
        <w:tc>
          <w:tcPr>
            <w:tcW w:w="0" w:type="auto"/>
            <w:hideMark/>
          </w:tcPr>
          <w:p w14:paraId="60B1BA52" w14:textId="737925CC" w:rsidR="00E91F59" w:rsidRPr="006144A0" w:rsidRDefault="00E91F59" w:rsidP="00E91F59">
            <w:pPr>
              <w:ind w:left="694" w:hanging="694"/>
            </w:pPr>
            <w:r w:rsidRPr="006144A0">
              <w:t xml:space="preserve">Hambrick, DC, </w:t>
            </w:r>
            <w:proofErr w:type="spellStart"/>
            <w:r w:rsidRPr="006144A0">
              <w:t>Fukutomi</w:t>
            </w:r>
            <w:proofErr w:type="spellEnd"/>
            <w:r w:rsidRPr="006144A0">
              <w:t>, GDS (1991) The seasons of a CEO’s tenure. Academy of Management Review 16(4): 719–742.</w:t>
            </w:r>
          </w:p>
        </w:tc>
      </w:tr>
      <w:tr w:rsidR="00E91F59" w:rsidRPr="006144A0" w14:paraId="5879981C" w14:textId="77777777" w:rsidTr="00E91F59">
        <w:tc>
          <w:tcPr>
            <w:tcW w:w="0" w:type="auto"/>
            <w:hideMark/>
          </w:tcPr>
          <w:p w14:paraId="2F152001" w14:textId="7A67C9B0" w:rsidR="00E91F59" w:rsidRPr="006144A0" w:rsidRDefault="00E91F59" w:rsidP="00E91F59">
            <w:pPr>
              <w:ind w:left="694" w:hanging="694"/>
            </w:pPr>
            <w:r w:rsidRPr="006144A0">
              <w:t>Hambrick, DC, Finkelstein, S, Mooney, AC (2005) Executive job demands: new insights for explaining strategic decisions and leader behaviors. Academy of Management Review 30(3): 472–491.</w:t>
            </w:r>
          </w:p>
        </w:tc>
      </w:tr>
      <w:tr w:rsidR="00E91F59" w:rsidRPr="006144A0" w14:paraId="7FBA294C" w14:textId="77777777" w:rsidTr="00E91F59">
        <w:tc>
          <w:tcPr>
            <w:tcW w:w="0" w:type="auto"/>
            <w:hideMark/>
          </w:tcPr>
          <w:p w14:paraId="2C6026B8" w14:textId="351B72F1" w:rsidR="00E91F59" w:rsidRPr="006144A0" w:rsidRDefault="00E91F59" w:rsidP="00E91F59">
            <w:pPr>
              <w:ind w:left="694" w:hanging="694"/>
            </w:pPr>
            <w:r w:rsidRPr="006144A0">
              <w:t>Haynes, KT, Hillman, A (2010) The effect of board capital and CEO power on strategic change. Strategic Management Journal 31(11): 1145–1163.</w:t>
            </w:r>
          </w:p>
        </w:tc>
      </w:tr>
      <w:tr w:rsidR="00E91F59" w:rsidRPr="006144A0" w14:paraId="452446BE" w14:textId="77777777" w:rsidTr="00E91F59">
        <w:tc>
          <w:tcPr>
            <w:tcW w:w="0" w:type="auto"/>
            <w:hideMark/>
          </w:tcPr>
          <w:p w14:paraId="67C329B7" w14:textId="7A1271A2" w:rsidR="00E91F59" w:rsidRPr="006144A0" w:rsidRDefault="00E91F59" w:rsidP="00E91F59">
            <w:pPr>
              <w:ind w:left="694" w:hanging="694"/>
            </w:pPr>
            <w:proofErr w:type="spellStart"/>
            <w:r w:rsidRPr="006144A0">
              <w:t>Hilger</w:t>
            </w:r>
            <w:proofErr w:type="spellEnd"/>
            <w:r w:rsidRPr="006144A0">
              <w:t xml:space="preserve">, S, </w:t>
            </w:r>
            <w:proofErr w:type="spellStart"/>
            <w:r w:rsidRPr="006144A0">
              <w:t>Mankel</w:t>
            </w:r>
            <w:proofErr w:type="spellEnd"/>
            <w:r w:rsidRPr="006144A0">
              <w:t>, S, Richter, A (2013) The use and effectiveness of top executive dismissal. Leadership Quarterly 24(1): 9–28.</w:t>
            </w:r>
          </w:p>
        </w:tc>
      </w:tr>
      <w:tr w:rsidR="00E91F59" w:rsidRPr="006144A0" w14:paraId="5D7D93B2" w14:textId="77777777" w:rsidTr="00E91F59">
        <w:tc>
          <w:tcPr>
            <w:tcW w:w="0" w:type="auto"/>
            <w:hideMark/>
          </w:tcPr>
          <w:p w14:paraId="356ACE6A" w14:textId="3F2522E9" w:rsidR="00E91F59" w:rsidRPr="006144A0" w:rsidRDefault="00E91F59" w:rsidP="00E91F59">
            <w:pPr>
              <w:ind w:left="694" w:hanging="694"/>
            </w:pPr>
            <w:r w:rsidRPr="006144A0">
              <w:t>Holmes, P (2011) Win or go home: why college football coaches get fired. Journal of Sports Economics 12(2): 157–178.</w:t>
            </w:r>
          </w:p>
        </w:tc>
      </w:tr>
      <w:tr w:rsidR="00E91F59" w:rsidRPr="006144A0" w14:paraId="40A9BD00" w14:textId="77777777" w:rsidTr="00E91F59">
        <w:tc>
          <w:tcPr>
            <w:tcW w:w="0" w:type="auto"/>
            <w:hideMark/>
          </w:tcPr>
          <w:p w14:paraId="4AAF42FD" w14:textId="1ED2E197" w:rsidR="00E91F59" w:rsidRPr="006144A0" w:rsidRDefault="00E91F59" w:rsidP="00E91F59">
            <w:pPr>
              <w:ind w:left="694" w:hanging="694"/>
            </w:pPr>
            <w:r w:rsidRPr="006144A0">
              <w:t xml:space="preserve">Humphreys, B, Paul, R, </w:t>
            </w:r>
            <w:proofErr w:type="spellStart"/>
            <w:r w:rsidRPr="006144A0">
              <w:t>Weinbach</w:t>
            </w:r>
            <w:proofErr w:type="spellEnd"/>
            <w:r w:rsidRPr="006144A0">
              <w:t>, A (2016) Performance expectations and the tenure of head coaches: evidence from NCAA football. Research in Economics 70(3): 482–492.</w:t>
            </w:r>
          </w:p>
        </w:tc>
      </w:tr>
      <w:tr w:rsidR="00E91F59" w:rsidRPr="006144A0" w14:paraId="0BF80EE9" w14:textId="77777777" w:rsidTr="00E91F59">
        <w:tc>
          <w:tcPr>
            <w:tcW w:w="0" w:type="auto"/>
            <w:hideMark/>
          </w:tcPr>
          <w:p w14:paraId="7A00CE52" w14:textId="2BA5E356" w:rsidR="00E91F59" w:rsidRPr="006144A0" w:rsidRDefault="00E91F59" w:rsidP="00E91F59">
            <w:pPr>
              <w:ind w:left="694" w:hanging="694"/>
            </w:pPr>
            <w:r w:rsidRPr="006144A0">
              <w:t>Kim, Y (1996) Long-term firm performance and chief executive turnover: an empirical study of the dynamics. Journal of Law, Economics, and Organization 12(2): 480–496.</w:t>
            </w:r>
          </w:p>
        </w:tc>
      </w:tr>
      <w:tr w:rsidR="00E91F59" w:rsidRPr="006144A0" w14:paraId="25921F24" w14:textId="77777777" w:rsidTr="00E91F59">
        <w:tc>
          <w:tcPr>
            <w:tcW w:w="0" w:type="auto"/>
            <w:hideMark/>
          </w:tcPr>
          <w:p w14:paraId="2FAD4739" w14:textId="78FEFE76" w:rsidR="00E91F59" w:rsidRPr="006144A0" w:rsidRDefault="00E91F59" w:rsidP="00E91F59">
            <w:pPr>
              <w:ind w:left="694" w:hanging="694"/>
            </w:pPr>
            <w:proofErr w:type="spellStart"/>
            <w:r w:rsidRPr="006144A0">
              <w:t>Lajili</w:t>
            </w:r>
            <w:proofErr w:type="spellEnd"/>
            <w:r w:rsidRPr="006144A0">
              <w:t xml:space="preserve">, K, Lin, LYH, </w:t>
            </w:r>
            <w:proofErr w:type="spellStart"/>
            <w:r w:rsidRPr="006144A0">
              <w:t>Rostamkalaei</w:t>
            </w:r>
            <w:proofErr w:type="spellEnd"/>
            <w:r w:rsidRPr="006144A0">
              <w:t>, A (2020) Corporate governance, human capital resources, and firm performance: exploring the missing links. Journal of General Management 45(4): 192–205.</w:t>
            </w:r>
          </w:p>
        </w:tc>
      </w:tr>
      <w:tr w:rsidR="00E91F59" w:rsidRPr="006144A0" w14:paraId="49BBF5ED" w14:textId="77777777" w:rsidTr="00E91F59">
        <w:tc>
          <w:tcPr>
            <w:tcW w:w="0" w:type="auto"/>
            <w:hideMark/>
          </w:tcPr>
          <w:p w14:paraId="3548ED14" w14:textId="4A3BB554" w:rsidR="00E91F59" w:rsidRPr="006144A0" w:rsidRDefault="00E91F59" w:rsidP="00E91F59">
            <w:pPr>
              <w:ind w:left="694" w:hanging="694"/>
            </w:pPr>
            <w:proofErr w:type="spellStart"/>
            <w:r w:rsidRPr="006144A0">
              <w:t>Lukes</w:t>
            </w:r>
            <w:proofErr w:type="spellEnd"/>
            <w:r w:rsidRPr="006144A0">
              <w:t>, S (1974) Power: A Radical View (Vol. 1). London: Macmillan.</w:t>
            </w:r>
          </w:p>
        </w:tc>
      </w:tr>
      <w:tr w:rsidR="00E91F59" w:rsidRPr="006144A0" w14:paraId="1C18BB90" w14:textId="77777777" w:rsidTr="00E91F59">
        <w:tc>
          <w:tcPr>
            <w:tcW w:w="0" w:type="auto"/>
            <w:hideMark/>
          </w:tcPr>
          <w:p w14:paraId="14730879" w14:textId="206C6470" w:rsidR="00E91F59" w:rsidRPr="006144A0" w:rsidRDefault="00E91F59" w:rsidP="00E91F59">
            <w:pPr>
              <w:ind w:left="694" w:hanging="694"/>
            </w:pPr>
            <w:proofErr w:type="spellStart"/>
            <w:r w:rsidRPr="006144A0">
              <w:t>Lusthaus</w:t>
            </w:r>
            <w:proofErr w:type="spellEnd"/>
            <w:r w:rsidRPr="006144A0">
              <w:t>, C, Adrien, MH, Anderson, G, et al. (1999) Enhancing Organizational Performance: A Toolbox for Self-Assessment. Montreal, QC: </w:t>
            </w:r>
            <w:proofErr w:type="spellStart"/>
            <w:r w:rsidRPr="006144A0">
              <w:t>Universalia</w:t>
            </w:r>
            <w:proofErr w:type="spellEnd"/>
            <w:r w:rsidRPr="006144A0">
              <w:t>.</w:t>
            </w:r>
          </w:p>
        </w:tc>
      </w:tr>
      <w:tr w:rsidR="00E91F59" w:rsidRPr="006144A0" w14:paraId="2C699718" w14:textId="77777777" w:rsidTr="00E91F59">
        <w:tc>
          <w:tcPr>
            <w:tcW w:w="0" w:type="auto"/>
            <w:hideMark/>
          </w:tcPr>
          <w:p w14:paraId="3AB0D1B3" w14:textId="75AFCFA9" w:rsidR="00E91F59" w:rsidRPr="006144A0" w:rsidRDefault="00E91F59" w:rsidP="00E91F59">
            <w:pPr>
              <w:ind w:left="694" w:hanging="694"/>
            </w:pPr>
            <w:r w:rsidRPr="006144A0">
              <w:t>McDonald, ML, Westphal, JD (2003) Getting by with the advice of their friends: CEOs’ advice networks and firms’ strategic responses to poor performance. Administrative Science Quarterly 48(1): 1–32.</w:t>
            </w:r>
          </w:p>
        </w:tc>
      </w:tr>
      <w:tr w:rsidR="00E91F59" w:rsidRPr="006144A0" w14:paraId="64F41E49" w14:textId="77777777" w:rsidTr="00E91F59">
        <w:tc>
          <w:tcPr>
            <w:tcW w:w="0" w:type="auto"/>
            <w:hideMark/>
          </w:tcPr>
          <w:p w14:paraId="7465156E" w14:textId="2544B9E4" w:rsidR="00E91F59" w:rsidRPr="006144A0" w:rsidRDefault="00E91F59" w:rsidP="00E91F59">
            <w:pPr>
              <w:ind w:left="694" w:hanging="694"/>
            </w:pPr>
            <w:r w:rsidRPr="006144A0">
              <w:t xml:space="preserve">McHugh, ML (2012) Interrater reliability: the kappa statistic. </w:t>
            </w:r>
            <w:proofErr w:type="spellStart"/>
            <w:r w:rsidRPr="006144A0">
              <w:t>Biochemia</w:t>
            </w:r>
            <w:proofErr w:type="spellEnd"/>
            <w:r w:rsidRPr="006144A0">
              <w:t xml:space="preserve"> Medica 22(3): 276–282.</w:t>
            </w:r>
          </w:p>
        </w:tc>
      </w:tr>
      <w:tr w:rsidR="00E91F59" w:rsidRPr="006144A0" w14:paraId="57A142ED" w14:textId="77777777" w:rsidTr="00E91F59">
        <w:tc>
          <w:tcPr>
            <w:tcW w:w="0" w:type="auto"/>
            <w:hideMark/>
          </w:tcPr>
          <w:p w14:paraId="155E243F" w14:textId="5749347E" w:rsidR="00E91F59" w:rsidRPr="006144A0" w:rsidRDefault="00E91F59" w:rsidP="00E91F59">
            <w:pPr>
              <w:ind w:left="694" w:hanging="694"/>
            </w:pPr>
            <w:proofErr w:type="spellStart"/>
            <w:r w:rsidRPr="006144A0">
              <w:t>Meindl</w:t>
            </w:r>
            <w:proofErr w:type="spellEnd"/>
            <w:r w:rsidRPr="006144A0">
              <w:t xml:space="preserve">, JR, Ehrlich, SB, </w:t>
            </w:r>
            <w:proofErr w:type="spellStart"/>
            <w:r w:rsidRPr="006144A0">
              <w:t>Dukerich</w:t>
            </w:r>
            <w:proofErr w:type="spellEnd"/>
            <w:r w:rsidRPr="006144A0">
              <w:t>, JM (1985) The romance of leadership. Administrative Science Quarterly 30(1): 78–102.</w:t>
            </w:r>
          </w:p>
        </w:tc>
      </w:tr>
      <w:tr w:rsidR="00E91F59" w:rsidRPr="006144A0" w14:paraId="21575CA7" w14:textId="77777777" w:rsidTr="00E91F59">
        <w:tc>
          <w:tcPr>
            <w:tcW w:w="0" w:type="auto"/>
            <w:hideMark/>
          </w:tcPr>
          <w:p w14:paraId="220B2A02" w14:textId="7ECD5C53" w:rsidR="00E91F59" w:rsidRPr="006144A0" w:rsidRDefault="00E91F59" w:rsidP="00E91F59">
            <w:pPr>
              <w:ind w:left="694" w:hanging="694"/>
            </w:pPr>
            <w:proofErr w:type="spellStart"/>
            <w:r w:rsidRPr="006144A0">
              <w:t>Rindova</w:t>
            </w:r>
            <w:proofErr w:type="spellEnd"/>
            <w:r w:rsidRPr="006144A0">
              <w:t xml:space="preserve">, VP, Williamson, IO, </w:t>
            </w:r>
            <w:proofErr w:type="spellStart"/>
            <w:r w:rsidRPr="006144A0">
              <w:t>Petkova</w:t>
            </w:r>
            <w:proofErr w:type="spellEnd"/>
            <w:r w:rsidRPr="006144A0">
              <w:t>, AP, et al. (2005) Being good or being known: an empirical examination of the dimensions, antecedents, and consequences of organizational reputation. Academy of Management Journal 48(6): 1033–1049.</w:t>
            </w:r>
          </w:p>
        </w:tc>
      </w:tr>
      <w:tr w:rsidR="00E91F59" w:rsidRPr="006144A0" w14:paraId="587D4068" w14:textId="77777777" w:rsidTr="00E91F59">
        <w:tc>
          <w:tcPr>
            <w:tcW w:w="0" w:type="auto"/>
            <w:hideMark/>
          </w:tcPr>
          <w:p w14:paraId="35B0BE31" w14:textId="39DD0353" w:rsidR="00E91F59" w:rsidRPr="006144A0" w:rsidRDefault="00E91F59" w:rsidP="00E91F59">
            <w:pPr>
              <w:ind w:left="694" w:hanging="694"/>
            </w:pPr>
            <w:proofErr w:type="spellStart"/>
            <w:r w:rsidRPr="006144A0">
              <w:t>Salancik</w:t>
            </w:r>
            <w:proofErr w:type="spellEnd"/>
            <w:r w:rsidRPr="006144A0">
              <w:t>, GR, Pfeffer, J (1980) Effects of ownership and performance on executive tenure in US corporations. Academy of Management Journal 23(4): 653–664.</w:t>
            </w:r>
          </w:p>
        </w:tc>
      </w:tr>
      <w:tr w:rsidR="00E91F59" w:rsidRPr="006144A0" w14:paraId="6DF425C2" w14:textId="77777777" w:rsidTr="00E91F59">
        <w:tc>
          <w:tcPr>
            <w:tcW w:w="0" w:type="auto"/>
            <w:hideMark/>
          </w:tcPr>
          <w:p w14:paraId="72241986" w14:textId="257314B7" w:rsidR="00E91F59" w:rsidRPr="006144A0" w:rsidRDefault="00E91F59" w:rsidP="00E91F59">
            <w:pPr>
              <w:ind w:left="694" w:hanging="694"/>
            </w:pPr>
            <w:proofErr w:type="spellStart"/>
            <w:r w:rsidRPr="006144A0">
              <w:t>Schepker</w:t>
            </w:r>
            <w:proofErr w:type="spellEnd"/>
            <w:r w:rsidRPr="006144A0">
              <w:t>, DJ, Kim, Y, Patel, PC, et al. (2017) CEO succession, strategic change, and post-succession performance: a meta-analysis. Leadership Quarterly 28(6): 701–720.</w:t>
            </w:r>
          </w:p>
        </w:tc>
      </w:tr>
      <w:tr w:rsidR="00E91F59" w:rsidRPr="006144A0" w14:paraId="007C92CE" w14:textId="77777777" w:rsidTr="00E91F59">
        <w:tc>
          <w:tcPr>
            <w:tcW w:w="0" w:type="auto"/>
            <w:hideMark/>
          </w:tcPr>
          <w:p w14:paraId="248E41BC" w14:textId="6147A48F" w:rsidR="00E91F59" w:rsidRPr="006144A0" w:rsidRDefault="00E91F59" w:rsidP="00E91F59">
            <w:pPr>
              <w:ind w:left="694" w:hanging="694"/>
            </w:pPr>
            <w:r w:rsidRPr="006144A0">
              <w:t>Shen, W, Cannella, AA (2002) Power dynamics within top management and their impacts on CEO dismissal followed by inside succession. Academy of Management Journal 45(6): 1195–1206.</w:t>
            </w:r>
          </w:p>
        </w:tc>
      </w:tr>
      <w:tr w:rsidR="00E91F59" w:rsidRPr="006144A0" w14:paraId="4658F90B" w14:textId="77777777" w:rsidTr="00E91F59">
        <w:tc>
          <w:tcPr>
            <w:tcW w:w="0" w:type="auto"/>
            <w:hideMark/>
          </w:tcPr>
          <w:p w14:paraId="02EC828C" w14:textId="522D2719" w:rsidR="00E91F59" w:rsidRPr="006144A0" w:rsidRDefault="00E91F59" w:rsidP="00E91F59">
            <w:pPr>
              <w:ind w:left="694" w:hanging="694"/>
            </w:pPr>
            <w:r w:rsidRPr="006144A0">
              <w:t xml:space="preserve">Vestal, A, </w:t>
            </w:r>
            <w:proofErr w:type="spellStart"/>
            <w:r w:rsidRPr="006144A0">
              <w:t>Guidice</w:t>
            </w:r>
            <w:proofErr w:type="spellEnd"/>
            <w:r w:rsidRPr="006144A0">
              <w:t>, R (2019) The determinants and performance consequences of CEO strategic advice seeking. Journal of General Management 44(4): 232–242.</w:t>
            </w:r>
          </w:p>
        </w:tc>
      </w:tr>
      <w:tr w:rsidR="00E91F59" w:rsidRPr="006144A0" w14:paraId="1EB12EA1" w14:textId="77777777" w:rsidTr="00E91F59">
        <w:tc>
          <w:tcPr>
            <w:tcW w:w="0" w:type="auto"/>
            <w:hideMark/>
          </w:tcPr>
          <w:p w14:paraId="153B4ACC" w14:textId="4E923A13" w:rsidR="00E91F59" w:rsidRPr="006144A0" w:rsidRDefault="00E91F59" w:rsidP="00E91F59">
            <w:pPr>
              <w:ind w:left="694" w:hanging="694"/>
            </w:pPr>
            <w:r w:rsidRPr="006144A0">
              <w:t xml:space="preserve">Wangrow, DB, </w:t>
            </w:r>
            <w:proofErr w:type="spellStart"/>
            <w:r w:rsidRPr="006144A0">
              <w:t>Schepker</w:t>
            </w:r>
            <w:proofErr w:type="spellEnd"/>
            <w:r w:rsidRPr="006144A0">
              <w:t>, DJ, Barker, VL (2018) Power, performance, and expectations in the dismissal of NBA coaches: a survival analysis study. Sport Management Review 21(4): 333–346.</w:t>
            </w:r>
          </w:p>
        </w:tc>
      </w:tr>
      <w:tr w:rsidR="00E91F59" w:rsidRPr="006144A0" w14:paraId="3537A497" w14:textId="77777777" w:rsidTr="00E91F59">
        <w:tc>
          <w:tcPr>
            <w:tcW w:w="0" w:type="auto"/>
            <w:hideMark/>
          </w:tcPr>
          <w:p w14:paraId="2DEB415F" w14:textId="32BEDE1B" w:rsidR="00E91F59" w:rsidRPr="006144A0" w:rsidRDefault="00E91F59" w:rsidP="00E91F59">
            <w:pPr>
              <w:ind w:left="694" w:hanging="694"/>
            </w:pPr>
            <w:r w:rsidRPr="006144A0">
              <w:t xml:space="preserve">Zhao, EY, Thatcher, SM, </w:t>
            </w:r>
            <w:proofErr w:type="spellStart"/>
            <w:r w:rsidRPr="006144A0">
              <w:t>Jehn</w:t>
            </w:r>
            <w:proofErr w:type="spellEnd"/>
            <w:r w:rsidRPr="006144A0">
              <w:t>, KA (2019) Instigating, engaging in, and managing group conflict: a review of the literature addressing the critical role of the leader in group conflict. Academy of Management Annals 13(1): 112–147.</w:t>
            </w:r>
          </w:p>
        </w:tc>
      </w:tr>
    </w:tbl>
    <w:p w14:paraId="49281574" w14:textId="77777777" w:rsidR="00196595" w:rsidRPr="00196595" w:rsidRDefault="00196595" w:rsidP="00196595"/>
    <w:sectPr w:rsidR="00196595" w:rsidRPr="00196595" w:rsidSect="00490CEF">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dvGillSans-Italic">
    <w:altName w:val="Calibri"/>
    <w:panose1 w:val="00000000000000000000"/>
    <w:charset w:val="00"/>
    <w:family w:val="swiss"/>
    <w:notTrueType/>
    <w:pitch w:val="default"/>
    <w:sig w:usb0="00000003" w:usb1="00000000" w:usb2="00000000" w:usb3="00000000" w:csb0="00000001" w:csb1="00000000"/>
  </w:font>
  <w:font w:name="AdvP4C4E74">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3809AA"/>
    <w:multiLevelType w:val="multilevel"/>
    <w:tmpl w:val="FE00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40131"/>
    <w:multiLevelType w:val="multilevel"/>
    <w:tmpl w:val="C280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032CD5"/>
    <w:multiLevelType w:val="multilevel"/>
    <w:tmpl w:val="3AE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315BB2"/>
    <w:multiLevelType w:val="multilevel"/>
    <w:tmpl w:val="EDF8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E73E1"/>
    <w:multiLevelType w:val="multilevel"/>
    <w:tmpl w:val="BA82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0072091">
    <w:abstractNumId w:val="0"/>
  </w:num>
  <w:num w:numId="2" w16cid:durableId="1626614761">
    <w:abstractNumId w:val="2"/>
  </w:num>
  <w:num w:numId="3" w16cid:durableId="996883382">
    <w:abstractNumId w:val="20"/>
  </w:num>
  <w:num w:numId="4" w16cid:durableId="1468356462">
    <w:abstractNumId w:val="4"/>
  </w:num>
  <w:num w:numId="5" w16cid:durableId="17893530">
    <w:abstractNumId w:val="14"/>
  </w:num>
  <w:num w:numId="6" w16cid:durableId="1397163381">
    <w:abstractNumId w:val="21"/>
  </w:num>
  <w:num w:numId="7" w16cid:durableId="1481966119">
    <w:abstractNumId w:val="1"/>
  </w:num>
  <w:num w:numId="8" w16cid:durableId="1263298215">
    <w:abstractNumId w:val="13"/>
  </w:num>
  <w:num w:numId="9" w16cid:durableId="1976449755">
    <w:abstractNumId w:val="10"/>
  </w:num>
  <w:num w:numId="10" w16cid:durableId="846409230">
    <w:abstractNumId w:val="3"/>
  </w:num>
  <w:num w:numId="11" w16cid:durableId="1756247094">
    <w:abstractNumId w:val="18"/>
  </w:num>
  <w:num w:numId="12" w16cid:durableId="444929029">
    <w:abstractNumId w:val="22"/>
  </w:num>
  <w:num w:numId="13" w16cid:durableId="996417246">
    <w:abstractNumId w:val="11"/>
  </w:num>
  <w:num w:numId="14" w16cid:durableId="1934313386">
    <w:abstractNumId w:val="8"/>
  </w:num>
  <w:num w:numId="15" w16cid:durableId="1728214234">
    <w:abstractNumId w:val="19"/>
  </w:num>
  <w:num w:numId="16" w16cid:durableId="1715539500">
    <w:abstractNumId w:val="9"/>
  </w:num>
  <w:num w:numId="17" w16cid:durableId="1166900846">
    <w:abstractNumId w:val="5"/>
  </w:num>
  <w:num w:numId="18" w16cid:durableId="234248353">
    <w:abstractNumId w:val="12"/>
  </w:num>
  <w:num w:numId="19" w16cid:durableId="1395201376">
    <w:abstractNumId w:val="15"/>
  </w:num>
  <w:num w:numId="20" w16cid:durableId="488251821">
    <w:abstractNumId w:val="7"/>
  </w:num>
  <w:num w:numId="21" w16cid:durableId="1427116143">
    <w:abstractNumId w:val="6"/>
  </w:num>
  <w:num w:numId="22" w16cid:durableId="147720111">
    <w:abstractNumId w:val="17"/>
  </w:num>
  <w:num w:numId="23" w16cid:durableId="5642200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jv+wh9G2Zns3sVexAZhYeR0B2/8eiZUkEHdxdt1TLHc3IUFk6EeZWKg9Kv5Dj5JJ3i1YDyoWSQ5brnPRIsb1g==" w:salt="3guiWd+BBfSU9AcK4FUj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2AA8"/>
    <w:rsid w:val="000233C1"/>
    <w:rsid w:val="00024048"/>
    <w:rsid w:val="00026BC7"/>
    <w:rsid w:val="0003036D"/>
    <w:rsid w:val="00034205"/>
    <w:rsid w:val="00035704"/>
    <w:rsid w:val="00041C27"/>
    <w:rsid w:val="000437DE"/>
    <w:rsid w:val="00043C8E"/>
    <w:rsid w:val="00044EBA"/>
    <w:rsid w:val="0004637E"/>
    <w:rsid w:val="0004717F"/>
    <w:rsid w:val="000525F1"/>
    <w:rsid w:val="00053928"/>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244F"/>
    <w:rsid w:val="00104CE6"/>
    <w:rsid w:val="00106D91"/>
    <w:rsid w:val="00107EA8"/>
    <w:rsid w:val="00114114"/>
    <w:rsid w:val="00117F89"/>
    <w:rsid w:val="00120313"/>
    <w:rsid w:val="00121209"/>
    <w:rsid w:val="001233A5"/>
    <w:rsid w:val="00123BC0"/>
    <w:rsid w:val="00123E80"/>
    <w:rsid w:val="00126F90"/>
    <w:rsid w:val="001273BB"/>
    <w:rsid w:val="0013073E"/>
    <w:rsid w:val="00131A15"/>
    <w:rsid w:val="00131C28"/>
    <w:rsid w:val="00134119"/>
    <w:rsid w:val="00134CF7"/>
    <w:rsid w:val="0014182B"/>
    <w:rsid w:val="0014490B"/>
    <w:rsid w:val="00146A5C"/>
    <w:rsid w:val="00146E50"/>
    <w:rsid w:val="00150DB6"/>
    <w:rsid w:val="00154D34"/>
    <w:rsid w:val="00160E1F"/>
    <w:rsid w:val="00161372"/>
    <w:rsid w:val="001622DB"/>
    <w:rsid w:val="00163F71"/>
    <w:rsid w:val="00173556"/>
    <w:rsid w:val="00180861"/>
    <w:rsid w:val="0018114F"/>
    <w:rsid w:val="00181ADF"/>
    <w:rsid w:val="00183A38"/>
    <w:rsid w:val="001854EA"/>
    <w:rsid w:val="00185C26"/>
    <w:rsid w:val="00196595"/>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BDC"/>
    <w:rsid w:val="00212109"/>
    <w:rsid w:val="00224240"/>
    <w:rsid w:val="00225FA7"/>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2DB3"/>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17EE"/>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7ED"/>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0CEF"/>
    <w:rsid w:val="004932A8"/>
    <w:rsid w:val="00493EBA"/>
    <w:rsid w:val="00497E47"/>
    <w:rsid w:val="004A0368"/>
    <w:rsid w:val="004A2715"/>
    <w:rsid w:val="004A2894"/>
    <w:rsid w:val="004A2B41"/>
    <w:rsid w:val="004A3B3E"/>
    <w:rsid w:val="004A7F3B"/>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4024"/>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1F63"/>
    <w:rsid w:val="005D767A"/>
    <w:rsid w:val="005E2628"/>
    <w:rsid w:val="005E5F66"/>
    <w:rsid w:val="005F0B60"/>
    <w:rsid w:val="005F46EC"/>
    <w:rsid w:val="005F49C9"/>
    <w:rsid w:val="005F71CE"/>
    <w:rsid w:val="005F7A68"/>
    <w:rsid w:val="00601980"/>
    <w:rsid w:val="0060332C"/>
    <w:rsid w:val="00604C5A"/>
    <w:rsid w:val="00607F1D"/>
    <w:rsid w:val="00612DE8"/>
    <w:rsid w:val="006144A0"/>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2F48"/>
    <w:rsid w:val="00675D17"/>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6F1"/>
    <w:rsid w:val="007258CB"/>
    <w:rsid w:val="00726832"/>
    <w:rsid w:val="00730E29"/>
    <w:rsid w:val="00732FF6"/>
    <w:rsid w:val="00733863"/>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882"/>
    <w:rsid w:val="007A3B3A"/>
    <w:rsid w:val="007B0BBA"/>
    <w:rsid w:val="007C16F7"/>
    <w:rsid w:val="007C679F"/>
    <w:rsid w:val="007D25DB"/>
    <w:rsid w:val="007D51E8"/>
    <w:rsid w:val="007D655B"/>
    <w:rsid w:val="007D762B"/>
    <w:rsid w:val="007D7C64"/>
    <w:rsid w:val="007E1ADD"/>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D83"/>
    <w:rsid w:val="00850E3E"/>
    <w:rsid w:val="0085180E"/>
    <w:rsid w:val="008525DE"/>
    <w:rsid w:val="00864432"/>
    <w:rsid w:val="008649A3"/>
    <w:rsid w:val="0086670A"/>
    <w:rsid w:val="00870BA1"/>
    <w:rsid w:val="00873CDE"/>
    <w:rsid w:val="00874421"/>
    <w:rsid w:val="00875997"/>
    <w:rsid w:val="0087796C"/>
    <w:rsid w:val="00880932"/>
    <w:rsid w:val="008825B5"/>
    <w:rsid w:val="00885E74"/>
    <w:rsid w:val="00886B14"/>
    <w:rsid w:val="00890B2D"/>
    <w:rsid w:val="008927F4"/>
    <w:rsid w:val="00893B58"/>
    <w:rsid w:val="00894E4C"/>
    <w:rsid w:val="0089642A"/>
    <w:rsid w:val="008A1743"/>
    <w:rsid w:val="008A23DD"/>
    <w:rsid w:val="008A2574"/>
    <w:rsid w:val="008A28AF"/>
    <w:rsid w:val="008A2C56"/>
    <w:rsid w:val="008A6C51"/>
    <w:rsid w:val="008B15CF"/>
    <w:rsid w:val="008B2242"/>
    <w:rsid w:val="008B4AD1"/>
    <w:rsid w:val="008B6B90"/>
    <w:rsid w:val="008B6D93"/>
    <w:rsid w:val="008B7AF1"/>
    <w:rsid w:val="008C3543"/>
    <w:rsid w:val="008C7B71"/>
    <w:rsid w:val="008D0690"/>
    <w:rsid w:val="008D0F0D"/>
    <w:rsid w:val="008D0FF2"/>
    <w:rsid w:val="008D14D6"/>
    <w:rsid w:val="008D1D7F"/>
    <w:rsid w:val="008D2F65"/>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4CAE"/>
    <w:rsid w:val="009C5450"/>
    <w:rsid w:val="009C5716"/>
    <w:rsid w:val="009D316A"/>
    <w:rsid w:val="009D3527"/>
    <w:rsid w:val="009D5368"/>
    <w:rsid w:val="009D54DF"/>
    <w:rsid w:val="009E56AC"/>
    <w:rsid w:val="009E56AF"/>
    <w:rsid w:val="009E678D"/>
    <w:rsid w:val="009F0718"/>
    <w:rsid w:val="009F2228"/>
    <w:rsid w:val="009F28E2"/>
    <w:rsid w:val="009F4BDF"/>
    <w:rsid w:val="009F60BA"/>
    <w:rsid w:val="009F7F44"/>
    <w:rsid w:val="00A01B8D"/>
    <w:rsid w:val="00A034AE"/>
    <w:rsid w:val="00A035F5"/>
    <w:rsid w:val="00A03A20"/>
    <w:rsid w:val="00A11F34"/>
    <w:rsid w:val="00A1350A"/>
    <w:rsid w:val="00A167B8"/>
    <w:rsid w:val="00A231A4"/>
    <w:rsid w:val="00A310DA"/>
    <w:rsid w:val="00A32FCB"/>
    <w:rsid w:val="00A3561C"/>
    <w:rsid w:val="00A400BC"/>
    <w:rsid w:val="00A40701"/>
    <w:rsid w:val="00A42169"/>
    <w:rsid w:val="00A424F1"/>
    <w:rsid w:val="00A426B2"/>
    <w:rsid w:val="00A459F1"/>
    <w:rsid w:val="00A45EE8"/>
    <w:rsid w:val="00A465FC"/>
    <w:rsid w:val="00A46CB1"/>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1F56"/>
    <w:rsid w:val="00AB466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8ED"/>
    <w:rsid w:val="00BD302E"/>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3C3"/>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6305"/>
    <w:rsid w:val="00DC4F7C"/>
    <w:rsid w:val="00DC7134"/>
    <w:rsid w:val="00DC7C2C"/>
    <w:rsid w:val="00DD2256"/>
    <w:rsid w:val="00DD4B55"/>
    <w:rsid w:val="00DD5871"/>
    <w:rsid w:val="00DE2F66"/>
    <w:rsid w:val="00DE3037"/>
    <w:rsid w:val="00DE4173"/>
    <w:rsid w:val="00DE4592"/>
    <w:rsid w:val="00DE670C"/>
    <w:rsid w:val="00DF32C8"/>
    <w:rsid w:val="00DF6125"/>
    <w:rsid w:val="00DF6A2D"/>
    <w:rsid w:val="00E13E05"/>
    <w:rsid w:val="00E15784"/>
    <w:rsid w:val="00E16734"/>
    <w:rsid w:val="00E179BE"/>
    <w:rsid w:val="00E20401"/>
    <w:rsid w:val="00E241D7"/>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1F59"/>
    <w:rsid w:val="00E95F4D"/>
    <w:rsid w:val="00E97067"/>
    <w:rsid w:val="00EA6E8E"/>
    <w:rsid w:val="00EA7978"/>
    <w:rsid w:val="00EA7D19"/>
    <w:rsid w:val="00EB7F70"/>
    <w:rsid w:val="00EC4C2A"/>
    <w:rsid w:val="00EC6764"/>
    <w:rsid w:val="00EC726F"/>
    <w:rsid w:val="00EC7743"/>
    <w:rsid w:val="00EC7B8C"/>
    <w:rsid w:val="00ED1F05"/>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5DE"/>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DA1"/>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6144A0"/>
  </w:style>
  <w:style w:type="character" w:customStyle="1" w:styleId="captionlabel">
    <w:name w:val="captionlabel"/>
    <w:basedOn w:val="DefaultParagraphFont"/>
    <w:rsid w:val="006144A0"/>
  </w:style>
  <w:style w:type="character" w:customStyle="1" w:styleId="figure">
    <w:name w:val="figure"/>
    <w:basedOn w:val="DefaultParagraphFont"/>
    <w:rsid w:val="006144A0"/>
  </w:style>
  <w:style w:type="character" w:customStyle="1" w:styleId="overlay">
    <w:name w:val="overlay"/>
    <w:basedOn w:val="DefaultParagraphFont"/>
    <w:rsid w:val="006144A0"/>
  </w:style>
  <w:style w:type="character" w:customStyle="1" w:styleId="nlmfn">
    <w:name w:val="nlm_fn"/>
    <w:basedOn w:val="DefaultParagraphFont"/>
    <w:rsid w:val="006144A0"/>
  </w:style>
  <w:style w:type="character" w:customStyle="1" w:styleId="fn-label">
    <w:name w:val="fn-label"/>
    <w:basedOn w:val="DefaultParagraphFont"/>
    <w:rsid w:val="006144A0"/>
  </w:style>
  <w:style w:type="character" w:customStyle="1" w:styleId="nlmyear">
    <w:name w:val="nlm_year"/>
    <w:basedOn w:val="DefaultParagraphFont"/>
    <w:rsid w:val="006144A0"/>
  </w:style>
  <w:style w:type="character" w:customStyle="1" w:styleId="nlmarticle-title">
    <w:name w:val="nlm_article-title"/>
    <w:basedOn w:val="DefaultParagraphFont"/>
    <w:rsid w:val="006144A0"/>
  </w:style>
  <w:style w:type="character" w:customStyle="1" w:styleId="nlmfpage">
    <w:name w:val="nlm_fpage"/>
    <w:basedOn w:val="DefaultParagraphFont"/>
    <w:rsid w:val="006144A0"/>
  </w:style>
  <w:style w:type="character" w:customStyle="1" w:styleId="nlmlpage">
    <w:name w:val="nlm_lpage"/>
    <w:basedOn w:val="DefaultParagraphFont"/>
    <w:rsid w:val="006144A0"/>
  </w:style>
  <w:style w:type="character" w:customStyle="1" w:styleId="ref-google">
    <w:name w:val="ref-google"/>
    <w:basedOn w:val="DefaultParagraphFont"/>
    <w:rsid w:val="006144A0"/>
  </w:style>
  <w:style w:type="character" w:customStyle="1" w:styleId="ref-xlink">
    <w:name w:val="ref-xlink"/>
    <w:basedOn w:val="DefaultParagraphFont"/>
    <w:rsid w:val="006144A0"/>
  </w:style>
  <w:style w:type="character" w:customStyle="1" w:styleId="ref-sfxlink">
    <w:name w:val="ref-sfxlink"/>
    <w:basedOn w:val="DefaultParagraphFont"/>
    <w:rsid w:val="006144A0"/>
  </w:style>
  <w:style w:type="character" w:customStyle="1" w:styleId="nlmpublisher-loc">
    <w:name w:val="nlm_publisher-loc"/>
    <w:basedOn w:val="DefaultParagraphFont"/>
    <w:rsid w:val="006144A0"/>
  </w:style>
  <w:style w:type="character" w:customStyle="1" w:styleId="nlmpublisher-name">
    <w:name w:val="nlm_publisher-name"/>
    <w:basedOn w:val="DefaultParagraphFont"/>
    <w:rsid w:val="006144A0"/>
  </w:style>
  <w:style w:type="character" w:customStyle="1" w:styleId="nlmetal">
    <w:name w:val="nlm_etal"/>
    <w:basedOn w:val="DefaultParagraphFont"/>
    <w:rsid w:val="00614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97160970">
      <w:bodyDiv w:val="1"/>
      <w:marLeft w:val="0"/>
      <w:marRight w:val="0"/>
      <w:marTop w:val="0"/>
      <w:marBottom w:val="0"/>
      <w:divBdr>
        <w:top w:val="none" w:sz="0" w:space="0" w:color="auto"/>
        <w:left w:val="none" w:sz="0" w:space="0" w:color="auto"/>
        <w:bottom w:val="none" w:sz="0" w:space="0" w:color="auto"/>
        <w:right w:val="none" w:sz="0" w:space="0" w:color="auto"/>
      </w:divBdr>
      <w:divsChild>
        <w:div w:id="1054355929">
          <w:marLeft w:val="0"/>
          <w:marRight w:val="0"/>
          <w:marTop w:val="75"/>
          <w:marBottom w:val="0"/>
          <w:divBdr>
            <w:top w:val="none" w:sz="0" w:space="0" w:color="auto"/>
            <w:left w:val="none" w:sz="0" w:space="0" w:color="auto"/>
            <w:bottom w:val="none" w:sz="0" w:space="0" w:color="auto"/>
            <w:right w:val="none" w:sz="0" w:space="0" w:color="auto"/>
          </w:divBdr>
          <w:divsChild>
            <w:div w:id="1114135784">
              <w:marLeft w:val="0"/>
              <w:marRight w:val="0"/>
              <w:marTop w:val="0"/>
              <w:marBottom w:val="0"/>
              <w:divBdr>
                <w:top w:val="none" w:sz="0" w:space="0" w:color="auto"/>
                <w:left w:val="none" w:sz="0" w:space="0" w:color="auto"/>
                <w:bottom w:val="none" w:sz="0" w:space="0" w:color="auto"/>
                <w:right w:val="none" w:sz="0" w:space="0" w:color="auto"/>
              </w:divBdr>
            </w:div>
            <w:div w:id="1161501346">
              <w:marLeft w:val="0"/>
              <w:marRight w:val="0"/>
              <w:marTop w:val="0"/>
              <w:marBottom w:val="0"/>
              <w:divBdr>
                <w:top w:val="none" w:sz="0" w:space="0" w:color="auto"/>
                <w:left w:val="none" w:sz="0" w:space="0" w:color="auto"/>
                <w:bottom w:val="none" w:sz="0" w:space="0" w:color="auto"/>
                <w:right w:val="none" w:sz="0" w:space="0" w:color="auto"/>
              </w:divBdr>
            </w:div>
          </w:divsChild>
        </w:div>
        <w:div w:id="262954552">
          <w:marLeft w:val="0"/>
          <w:marRight w:val="0"/>
          <w:marTop w:val="0"/>
          <w:marBottom w:val="150"/>
          <w:divBdr>
            <w:top w:val="none" w:sz="0" w:space="0" w:color="auto"/>
            <w:left w:val="none" w:sz="0" w:space="0" w:color="auto"/>
            <w:bottom w:val="single" w:sz="6" w:space="0" w:color="CCCCCC"/>
            <w:right w:val="none" w:sz="0" w:space="0" w:color="auto"/>
          </w:divBdr>
          <w:divsChild>
            <w:div w:id="1352879500">
              <w:marLeft w:val="300"/>
              <w:marRight w:val="0"/>
              <w:marTop w:val="0"/>
              <w:marBottom w:val="450"/>
              <w:divBdr>
                <w:top w:val="none" w:sz="0" w:space="0" w:color="auto"/>
                <w:left w:val="none" w:sz="0" w:space="0" w:color="auto"/>
                <w:bottom w:val="none" w:sz="0" w:space="0" w:color="auto"/>
                <w:right w:val="none" w:sz="0" w:space="0" w:color="auto"/>
              </w:divBdr>
              <w:divsChild>
                <w:div w:id="170721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62817">
          <w:marLeft w:val="0"/>
          <w:marRight w:val="0"/>
          <w:marTop w:val="0"/>
          <w:marBottom w:val="0"/>
          <w:divBdr>
            <w:top w:val="none" w:sz="0" w:space="0" w:color="auto"/>
            <w:left w:val="none" w:sz="0" w:space="0" w:color="auto"/>
            <w:bottom w:val="none" w:sz="0" w:space="0" w:color="auto"/>
            <w:right w:val="none" w:sz="0" w:space="0" w:color="auto"/>
          </w:divBdr>
          <w:divsChild>
            <w:div w:id="1510216722">
              <w:marLeft w:val="0"/>
              <w:marRight w:val="0"/>
              <w:marTop w:val="0"/>
              <w:marBottom w:val="0"/>
              <w:divBdr>
                <w:top w:val="none" w:sz="0" w:space="0" w:color="auto"/>
                <w:left w:val="none" w:sz="0" w:space="0" w:color="auto"/>
                <w:bottom w:val="none" w:sz="0" w:space="0" w:color="auto"/>
                <w:right w:val="none" w:sz="0" w:space="0" w:color="auto"/>
              </w:divBdr>
              <w:divsChild>
                <w:div w:id="938220431">
                  <w:marLeft w:val="0"/>
                  <w:marRight w:val="0"/>
                  <w:marTop w:val="0"/>
                  <w:marBottom w:val="0"/>
                  <w:divBdr>
                    <w:top w:val="none" w:sz="0" w:space="0" w:color="auto"/>
                    <w:left w:val="none" w:sz="0" w:space="0" w:color="auto"/>
                    <w:bottom w:val="none" w:sz="0" w:space="0" w:color="auto"/>
                    <w:right w:val="none" w:sz="0" w:space="0" w:color="auto"/>
                  </w:divBdr>
                </w:div>
              </w:divsChild>
            </w:div>
            <w:div w:id="30689742">
              <w:marLeft w:val="0"/>
              <w:marRight w:val="0"/>
              <w:marTop w:val="0"/>
              <w:marBottom w:val="0"/>
              <w:divBdr>
                <w:top w:val="none" w:sz="0" w:space="0" w:color="auto"/>
                <w:left w:val="none" w:sz="0" w:space="0" w:color="auto"/>
                <w:bottom w:val="none" w:sz="0" w:space="0" w:color="auto"/>
                <w:right w:val="none" w:sz="0" w:space="0" w:color="auto"/>
              </w:divBdr>
              <w:divsChild>
                <w:div w:id="2007632648">
                  <w:marLeft w:val="0"/>
                  <w:marRight w:val="0"/>
                  <w:marTop w:val="0"/>
                  <w:marBottom w:val="0"/>
                  <w:divBdr>
                    <w:top w:val="none" w:sz="0" w:space="0" w:color="auto"/>
                    <w:left w:val="none" w:sz="0" w:space="0" w:color="auto"/>
                    <w:bottom w:val="none" w:sz="0" w:space="0" w:color="auto"/>
                    <w:right w:val="none" w:sz="0" w:space="0" w:color="auto"/>
                  </w:divBdr>
                </w:div>
                <w:div w:id="432478501">
                  <w:marLeft w:val="0"/>
                  <w:marRight w:val="0"/>
                  <w:marTop w:val="0"/>
                  <w:marBottom w:val="0"/>
                  <w:divBdr>
                    <w:top w:val="none" w:sz="0" w:space="0" w:color="auto"/>
                    <w:left w:val="none" w:sz="0" w:space="0" w:color="auto"/>
                    <w:bottom w:val="none" w:sz="0" w:space="0" w:color="auto"/>
                    <w:right w:val="none" w:sz="0" w:space="0" w:color="auto"/>
                  </w:divBdr>
                  <w:divsChild>
                    <w:div w:id="972099652">
                      <w:marLeft w:val="300"/>
                      <w:marRight w:val="0"/>
                      <w:marTop w:val="0"/>
                      <w:marBottom w:val="0"/>
                      <w:divBdr>
                        <w:top w:val="none" w:sz="0" w:space="0" w:color="auto"/>
                        <w:left w:val="none" w:sz="0" w:space="0" w:color="auto"/>
                        <w:bottom w:val="none" w:sz="0" w:space="0" w:color="auto"/>
                        <w:right w:val="none" w:sz="0" w:space="0" w:color="auto"/>
                      </w:divBdr>
                    </w:div>
                  </w:divsChild>
                </w:div>
                <w:div w:id="1297487086">
                  <w:marLeft w:val="0"/>
                  <w:marRight w:val="0"/>
                  <w:marTop w:val="0"/>
                  <w:marBottom w:val="0"/>
                  <w:divBdr>
                    <w:top w:val="none" w:sz="0" w:space="0" w:color="auto"/>
                    <w:left w:val="none" w:sz="0" w:space="0" w:color="auto"/>
                    <w:bottom w:val="none" w:sz="0" w:space="0" w:color="auto"/>
                    <w:right w:val="none" w:sz="0" w:space="0" w:color="auto"/>
                  </w:divBdr>
                  <w:divsChild>
                    <w:div w:id="63815150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69262555">
              <w:marLeft w:val="0"/>
              <w:marRight w:val="0"/>
              <w:marTop w:val="0"/>
              <w:marBottom w:val="0"/>
              <w:divBdr>
                <w:top w:val="none" w:sz="0" w:space="0" w:color="auto"/>
                <w:left w:val="none" w:sz="0" w:space="0" w:color="auto"/>
                <w:bottom w:val="none" w:sz="0" w:space="0" w:color="auto"/>
                <w:right w:val="none" w:sz="0" w:space="0" w:color="auto"/>
              </w:divBdr>
              <w:divsChild>
                <w:div w:id="108470335">
                  <w:marLeft w:val="0"/>
                  <w:marRight w:val="0"/>
                  <w:marTop w:val="0"/>
                  <w:marBottom w:val="0"/>
                  <w:divBdr>
                    <w:top w:val="none" w:sz="0" w:space="0" w:color="auto"/>
                    <w:left w:val="none" w:sz="0" w:space="0" w:color="auto"/>
                    <w:bottom w:val="none" w:sz="0" w:space="0" w:color="auto"/>
                    <w:right w:val="none" w:sz="0" w:space="0" w:color="auto"/>
                  </w:divBdr>
                </w:div>
                <w:div w:id="1070691572">
                  <w:marLeft w:val="0"/>
                  <w:marRight w:val="0"/>
                  <w:marTop w:val="0"/>
                  <w:marBottom w:val="0"/>
                  <w:divBdr>
                    <w:top w:val="none" w:sz="0" w:space="0" w:color="auto"/>
                    <w:left w:val="none" w:sz="0" w:space="0" w:color="auto"/>
                    <w:bottom w:val="none" w:sz="0" w:space="0" w:color="auto"/>
                    <w:right w:val="none" w:sz="0" w:space="0" w:color="auto"/>
                  </w:divBdr>
                  <w:divsChild>
                    <w:div w:id="774714440">
                      <w:marLeft w:val="300"/>
                      <w:marRight w:val="0"/>
                      <w:marTop w:val="0"/>
                      <w:marBottom w:val="0"/>
                      <w:divBdr>
                        <w:top w:val="none" w:sz="0" w:space="0" w:color="auto"/>
                        <w:left w:val="none" w:sz="0" w:space="0" w:color="auto"/>
                        <w:bottom w:val="none" w:sz="0" w:space="0" w:color="auto"/>
                        <w:right w:val="none" w:sz="0" w:space="0" w:color="auto"/>
                      </w:divBdr>
                    </w:div>
                  </w:divsChild>
                </w:div>
                <w:div w:id="142309909">
                  <w:marLeft w:val="0"/>
                  <w:marRight w:val="0"/>
                  <w:marTop w:val="0"/>
                  <w:marBottom w:val="0"/>
                  <w:divBdr>
                    <w:top w:val="none" w:sz="0" w:space="0" w:color="auto"/>
                    <w:left w:val="none" w:sz="0" w:space="0" w:color="auto"/>
                    <w:bottom w:val="none" w:sz="0" w:space="0" w:color="auto"/>
                    <w:right w:val="none" w:sz="0" w:space="0" w:color="auto"/>
                  </w:divBdr>
                  <w:divsChild>
                    <w:div w:id="1451978020">
                      <w:marLeft w:val="300"/>
                      <w:marRight w:val="0"/>
                      <w:marTop w:val="0"/>
                      <w:marBottom w:val="0"/>
                      <w:divBdr>
                        <w:top w:val="none" w:sz="0" w:space="0" w:color="auto"/>
                        <w:left w:val="none" w:sz="0" w:space="0" w:color="auto"/>
                        <w:bottom w:val="none" w:sz="0" w:space="0" w:color="auto"/>
                        <w:right w:val="none" w:sz="0" w:space="0" w:color="auto"/>
                      </w:divBdr>
                    </w:div>
                  </w:divsChild>
                </w:div>
                <w:div w:id="919294982">
                  <w:marLeft w:val="0"/>
                  <w:marRight w:val="0"/>
                  <w:marTop w:val="0"/>
                  <w:marBottom w:val="0"/>
                  <w:divBdr>
                    <w:top w:val="none" w:sz="0" w:space="0" w:color="auto"/>
                    <w:left w:val="none" w:sz="0" w:space="0" w:color="auto"/>
                    <w:bottom w:val="none" w:sz="0" w:space="0" w:color="auto"/>
                    <w:right w:val="none" w:sz="0" w:space="0" w:color="auto"/>
                  </w:divBdr>
                  <w:divsChild>
                    <w:div w:id="566720518">
                      <w:marLeft w:val="300"/>
                      <w:marRight w:val="0"/>
                      <w:marTop w:val="0"/>
                      <w:marBottom w:val="0"/>
                      <w:divBdr>
                        <w:top w:val="none" w:sz="0" w:space="0" w:color="auto"/>
                        <w:left w:val="none" w:sz="0" w:space="0" w:color="auto"/>
                        <w:bottom w:val="none" w:sz="0" w:space="0" w:color="auto"/>
                        <w:right w:val="none" w:sz="0" w:space="0" w:color="auto"/>
                      </w:divBdr>
                    </w:div>
                  </w:divsChild>
                </w:div>
                <w:div w:id="569122028">
                  <w:marLeft w:val="0"/>
                  <w:marRight w:val="0"/>
                  <w:marTop w:val="0"/>
                  <w:marBottom w:val="0"/>
                  <w:divBdr>
                    <w:top w:val="none" w:sz="0" w:space="0" w:color="auto"/>
                    <w:left w:val="none" w:sz="0" w:space="0" w:color="auto"/>
                    <w:bottom w:val="none" w:sz="0" w:space="0" w:color="auto"/>
                    <w:right w:val="none" w:sz="0" w:space="0" w:color="auto"/>
                  </w:divBdr>
                  <w:divsChild>
                    <w:div w:id="43020548">
                      <w:marLeft w:val="300"/>
                      <w:marRight w:val="0"/>
                      <w:marTop w:val="0"/>
                      <w:marBottom w:val="0"/>
                      <w:divBdr>
                        <w:top w:val="none" w:sz="0" w:space="0" w:color="auto"/>
                        <w:left w:val="none" w:sz="0" w:space="0" w:color="auto"/>
                        <w:bottom w:val="none" w:sz="0" w:space="0" w:color="auto"/>
                        <w:right w:val="none" w:sz="0" w:space="0" w:color="auto"/>
                      </w:divBdr>
                    </w:div>
                  </w:divsChild>
                </w:div>
                <w:div w:id="515654428">
                  <w:marLeft w:val="0"/>
                  <w:marRight w:val="0"/>
                  <w:marTop w:val="0"/>
                  <w:marBottom w:val="0"/>
                  <w:divBdr>
                    <w:top w:val="none" w:sz="0" w:space="0" w:color="auto"/>
                    <w:left w:val="none" w:sz="0" w:space="0" w:color="auto"/>
                    <w:bottom w:val="none" w:sz="0" w:space="0" w:color="auto"/>
                    <w:right w:val="none" w:sz="0" w:space="0" w:color="auto"/>
                  </w:divBdr>
                  <w:divsChild>
                    <w:div w:id="43964381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33190986">
              <w:marLeft w:val="0"/>
              <w:marRight w:val="0"/>
              <w:marTop w:val="0"/>
              <w:marBottom w:val="0"/>
              <w:divBdr>
                <w:top w:val="none" w:sz="0" w:space="0" w:color="auto"/>
                <w:left w:val="none" w:sz="0" w:space="0" w:color="auto"/>
                <w:bottom w:val="none" w:sz="0" w:space="0" w:color="auto"/>
                <w:right w:val="none" w:sz="0" w:space="0" w:color="auto"/>
              </w:divBdr>
              <w:divsChild>
                <w:div w:id="1284191548">
                  <w:marLeft w:val="0"/>
                  <w:marRight w:val="0"/>
                  <w:marTop w:val="0"/>
                  <w:marBottom w:val="0"/>
                  <w:divBdr>
                    <w:top w:val="none" w:sz="0" w:space="0" w:color="auto"/>
                    <w:left w:val="none" w:sz="0" w:space="0" w:color="auto"/>
                    <w:bottom w:val="none" w:sz="0" w:space="0" w:color="auto"/>
                    <w:right w:val="none" w:sz="0" w:space="0" w:color="auto"/>
                  </w:divBdr>
                </w:div>
                <w:div w:id="2069379307">
                  <w:marLeft w:val="0"/>
                  <w:marRight w:val="0"/>
                  <w:marTop w:val="0"/>
                  <w:marBottom w:val="0"/>
                  <w:divBdr>
                    <w:top w:val="none" w:sz="0" w:space="0" w:color="auto"/>
                    <w:left w:val="none" w:sz="0" w:space="0" w:color="auto"/>
                    <w:bottom w:val="none" w:sz="0" w:space="0" w:color="auto"/>
                    <w:right w:val="none" w:sz="0" w:space="0" w:color="auto"/>
                  </w:divBdr>
                  <w:divsChild>
                    <w:div w:id="1636330520">
                      <w:marLeft w:val="300"/>
                      <w:marRight w:val="0"/>
                      <w:marTop w:val="0"/>
                      <w:marBottom w:val="0"/>
                      <w:divBdr>
                        <w:top w:val="none" w:sz="0" w:space="0" w:color="auto"/>
                        <w:left w:val="none" w:sz="0" w:space="0" w:color="auto"/>
                        <w:bottom w:val="none" w:sz="0" w:space="0" w:color="auto"/>
                        <w:right w:val="none" w:sz="0" w:space="0" w:color="auto"/>
                      </w:divBdr>
                    </w:div>
                  </w:divsChild>
                </w:div>
                <w:div w:id="807817424">
                  <w:marLeft w:val="0"/>
                  <w:marRight w:val="0"/>
                  <w:marTop w:val="0"/>
                  <w:marBottom w:val="0"/>
                  <w:divBdr>
                    <w:top w:val="none" w:sz="0" w:space="0" w:color="auto"/>
                    <w:left w:val="none" w:sz="0" w:space="0" w:color="auto"/>
                    <w:bottom w:val="none" w:sz="0" w:space="0" w:color="auto"/>
                    <w:right w:val="none" w:sz="0" w:space="0" w:color="auto"/>
                  </w:divBdr>
                  <w:divsChild>
                    <w:div w:id="974992095">
                      <w:marLeft w:val="300"/>
                      <w:marRight w:val="0"/>
                      <w:marTop w:val="0"/>
                      <w:marBottom w:val="0"/>
                      <w:divBdr>
                        <w:top w:val="none" w:sz="0" w:space="0" w:color="auto"/>
                        <w:left w:val="none" w:sz="0" w:space="0" w:color="auto"/>
                        <w:bottom w:val="none" w:sz="0" w:space="0" w:color="auto"/>
                        <w:right w:val="none" w:sz="0" w:space="0" w:color="auto"/>
                      </w:divBdr>
                    </w:div>
                  </w:divsChild>
                </w:div>
                <w:div w:id="1573810481">
                  <w:marLeft w:val="0"/>
                  <w:marRight w:val="0"/>
                  <w:marTop w:val="0"/>
                  <w:marBottom w:val="0"/>
                  <w:divBdr>
                    <w:top w:val="none" w:sz="0" w:space="0" w:color="auto"/>
                    <w:left w:val="none" w:sz="0" w:space="0" w:color="auto"/>
                    <w:bottom w:val="none" w:sz="0" w:space="0" w:color="auto"/>
                    <w:right w:val="none" w:sz="0" w:space="0" w:color="auto"/>
                  </w:divBdr>
                  <w:divsChild>
                    <w:div w:id="1609506107">
                      <w:marLeft w:val="300"/>
                      <w:marRight w:val="0"/>
                      <w:marTop w:val="0"/>
                      <w:marBottom w:val="0"/>
                      <w:divBdr>
                        <w:top w:val="none" w:sz="0" w:space="0" w:color="auto"/>
                        <w:left w:val="none" w:sz="0" w:space="0" w:color="auto"/>
                        <w:bottom w:val="none" w:sz="0" w:space="0" w:color="auto"/>
                        <w:right w:val="none" w:sz="0" w:space="0" w:color="auto"/>
                      </w:divBdr>
                    </w:div>
                    <w:div w:id="1783718399">
                      <w:marLeft w:val="0"/>
                      <w:marRight w:val="0"/>
                      <w:marTop w:val="0"/>
                      <w:marBottom w:val="0"/>
                      <w:divBdr>
                        <w:top w:val="none" w:sz="0" w:space="0" w:color="auto"/>
                        <w:left w:val="none" w:sz="0" w:space="0" w:color="auto"/>
                        <w:bottom w:val="none" w:sz="0" w:space="0" w:color="auto"/>
                        <w:right w:val="none" w:sz="0" w:space="0" w:color="auto"/>
                      </w:divBdr>
                    </w:div>
                    <w:div w:id="152573064">
                      <w:marLeft w:val="0"/>
                      <w:marRight w:val="0"/>
                      <w:marTop w:val="0"/>
                      <w:marBottom w:val="0"/>
                      <w:divBdr>
                        <w:top w:val="none" w:sz="0" w:space="0" w:color="auto"/>
                        <w:left w:val="none" w:sz="0" w:space="0" w:color="auto"/>
                        <w:bottom w:val="none" w:sz="0" w:space="0" w:color="auto"/>
                        <w:right w:val="none" w:sz="0" w:space="0" w:color="auto"/>
                      </w:divBdr>
                    </w:div>
                    <w:div w:id="968894693">
                      <w:marLeft w:val="375"/>
                      <w:marRight w:val="375"/>
                      <w:marTop w:val="0"/>
                      <w:marBottom w:val="0"/>
                      <w:divBdr>
                        <w:top w:val="none" w:sz="0" w:space="0" w:color="auto"/>
                        <w:left w:val="none" w:sz="0" w:space="0" w:color="auto"/>
                        <w:bottom w:val="none" w:sz="0" w:space="0" w:color="auto"/>
                        <w:right w:val="none" w:sz="0" w:space="0" w:color="auto"/>
                      </w:divBdr>
                      <w:divsChild>
                        <w:div w:id="715550058">
                          <w:marLeft w:val="0"/>
                          <w:marRight w:val="0"/>
                          <w:marTop w:val="0"/>
                          <w:marBottom w:val="0"/>
                          <w:divBdr>
                            <w:top w:val="none" w:sz="0" w:space="0" w:color="auto"/>
                            <w:left w:val="none" w:sz="0" w:space="0" w:color="auto"/>
                            <w:bottom w:val="none" w:sz="0" w:space="0" w:color="auto"/>
                            <w:right w:val="none" w:sz="0" w:space="0" w:color="auto"/>
                          </w:divBdr>
                        </w:div>
                        <w:div w:id="4525962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77859571">
              <w:marLeft w:val="0"/>
              <w:marRight w:val="0"/>
              <w:marTop w:val="0"/>
              <w:marBottom w:val="0"/>
              <w:divBdr>
                <w:top w:val="none" w:sz="0" w:space="0" w:color="auto"/>
                <w:left w:val="none" w:sz="0" w:space="0" w:color="auto"/>
                <w:bottom w:val="none" w:sz="0" w:space="0" w:color="auto"/>
                <w:right w:val="none" w:sz="0" w:space="0" w:color="auto"/>
              </w:divBdr>
              <w:divsChild>
                <w:div w:id="1959949522">
                  <w:marLeft w:val="0"/>
                  <w:marRight w:val="0"/>
                  <w:marTop w:val="0"/>
                  <w:marBottom w:val="0"/>
                  <w:divBdr>
                    <w:top w:val="none" w:sz="0" w:space="0" w:color="auto"/>
                    <w:left w:val="none" w:sz="0" w:space="0" w:color="auto"/>
                    <w:bottom w:val="none" w:sz="0" w:space="0" w:color="auto"/>
                    <w:right w:val="none" w:sz="0" w:space="0" w:color="auto"/>
                  </w:divBdr>
                </w:div>
                <w:div w:id="1496454218">
                  <w:marLeft w:val="300"/>
                  <w:marRight w:val="0"/>
                  <w:marTop w:val="0"/>
                  <w:marBottom w:val="0"/>
                  <w:divBdr>
                    <w:top w:val="none" w:sz="0" w:space="0" w:color="auto"/>
                    <w:left w:val="none" w:sz="0" w:space="0" w:color="auto"/>
                    <w:bottom w:val="none" w:sz="0" w:space="0" w:color="auto"/>
                    <w:right w:val="none" w:sz="0" w:space="0" w:color="auto"/>
                  </w:divBdr>
                  <w:divsChild>
                    <w:div w:id="721901259">
                      <w:marLeft w:val="0"/>
                      <w:marRight w:val="0"/>
                      <w:marTop w:val="0"/>
                      <w:marBottom w:val="375"/>
                      <w:divBdr>
                        <w:top w:val="none" w:sz="0" w:space="0" w:color="auto"/>
                        <w:left w:val="none" w:sz="0" w:space="0" w:color="auto"/>
                        <w:bottom w:val="none" w:sz="0" w:space="0" w:color="auto"/>
                        <w:right w:val="none" w:sz="0" w:space="0" w:color="auto"/>
                      </w:divBdr>
                      <w:divsChild>
                        <w:div w:id="127645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9795">
              <w:marLeft w:val="0"/>
              <w:marRight w:val="0"/>
              <w:marTop w:val="0"/>
              <w:marBottom w:val="0"/>
              <w:divBdr>
                <w:top w:val="none" w:sz="0" w:space="0" w:color="auto"/>
                <w:left w:val="none" w:sz="0" w:space="0" w:color="auto"/>
                <w:bottom w:val="none" w:sz="0" w:space="0" w:color="auto"/>
                <w:right w:val="none" w:sz="0" w:space="0" w:color="auto"/>
              </w:divBdr>
              <w:divsChild>
                <w:div w:id="1265117985">
                  <w:marLeft w:val="0"/>
                  <w:marRight w:val="0"/>
                  <w:marTop w:val="0"/>
                  <w:marBottom w:val="0"/>
                  <w:divBdr>
                    <w:top w:val="none" w:sz="0" w:space="0" w:color="auto"/>
                    <w:left w:val="none" w:sz="0" w:space="0" w:color="auto"/>
                    <w:bottom w:val="none" w:sz="0" w:space="0" w:color="auto"/>
                    <w:right w:val="none" w:sz="0" w:space="0" w:color="auto"/>
                  </w:divBdr>
                </w:div>
                <w:div w:id="750740817">
                  <w:marLeft w:val="0"/>
                  <w:marRight w:val="0"/>
                  <w:marTop w:val="0"/>
                  <w:marBottom w:val="0"/>
                  <w:divBdr>
                    <w:top w:val="none" w:sz="0" w:space="0" w:color="auto"/>
                    <w:left w:val="none" w:sz="0" w:space="0" w:color="auto"/>
                    <w:bottom w:val="none" w:sz="0" w:space="0" w:color="auto"/>
                    <w:right w:val="none" w:sz="0" w:space="0" w:color="auto"/>
                  </w:divBdr>
                </w:div>
                <w:div w:id="1853253080">
                  <w:marLeft w:val="0"/>
                  <w:marRight w:val="0"/>
                  <w:marTop w:val="0"/>
                  <w:marBottom w:val="0"/>
                  <w:divBdr>
                    <w:top w:val="none" w:sz="0" w:space="0" w:color="auto"/>
                    <w:left w:val="none" w:sz="0" w:space="0" w:color="auto"/>
                    <w:bottom w:val="none" w:sz="0" w:space="0" w:color="auto"/>
                    <w:right w:val="none" w:sz="0" w:space="0" w:color="auto"/>
                  </w:divBdr>
                </w:div>
                <w:div w:id="251469753">
                  <w:marLeft w:val="375"/>
                  <w:marRight w:val="375"/>
                  <w:marTop w:val="0"/>
                  <w:marBottom w:val="0"/>
                  <w:divBdr>
                    <w:top w:val="none" w:sz="0" w:space="0" w:color="auto"/>
                    <w:left w:val="none" w:sz="0" w:space="0" w:color="auto"/>
                    <w:bottom w:val="none" w:sz="0" w:space="0" w:color="auto"/>
                    <w:right w:val="none" w:sz="0" w:space="0" w:color="auto"/>
                  </w:divBdr>
                  <w:divsChild>
                    <w:div w:id="2105606905">
                      <w:marLeft w:val="0"/>
                      <w:marRight w:val="0"/>
                      <w:marTop w:val="0"/>
                      <w:marBottom w:val="0"/>
                      <w:divBdr>
                        <w:top w:val="none" w:sz="0" w:space="0" w:color="auto"/>
                        <w:left w:val="none" w:sz="0" w:space="0" w:color="auto"/>
                        <w:bottom w:val="none" w:sz="0" w:space="0" w:color="auto"/>
                        <w:right w:val="none" w:sz="0" w:space="0" w:color="auto"/>
                      </w:divBdr>
                    </w:div>
                    <w:div w:id="249045355">
                      <w:marLeft w:val="0"/>
                      <w:marRight w:val="0"/>
                      <w:marTop w:val="150"/>
                      <w:marBottom w:val="0"/>
                      <w:divBdr>
                        <w:top w:val="none" w:sz="0" w:space="0" w:color="auto"/>
                        <w:left w:val="none" w:sz="0" w:space="0" w:color="auto"/>
                        <w:bottom w:val="none" w:sz="0" w:space="0" w:color="auto"/>
                        <w:right w:val="none" w:sz="0" w:space="0" w:color="auto"/>
                      </w:divBdr>
                    </w:div>
                  </w:divsChild>
                </w:div>
                <w:div w:id="2098792509">
                  <w:marLeft w:val="0"/>
                  <w:marRight w:val="0"/>
                  <w:marTop w:val="0"/>
                  <w:marBottom w:val="0"/>
                  <w:divBdr>
                    <w:top w:val="none" w:sz="0" w:space="0" w:color="auto"/>
                    <w:left w:val="none" w:sz="0" w:space="0" w:color="auto"/>
                    <w:bottom w:val="none" w:sz="0" w:space="0" w:color="auto"/>
                    <w:right w:val="none" w:sz="0" w:space="0" w:color="auto"/>
                  </w:divBdr>
                </w:div>
                <w:div w:id="91167199">
                  <w:marLeft w:val="0"/>
                  <w:marRight w:val="0"/>
                  <w:marTop w:val="0"/>
                  <w:marBottom w:val="0"/>
                  <w:divBdr>
                    <w:top w:val="none" w:sz="0" w:space="0" w:color="auto"/>
                    <w:left w:val="none" w:sz="0" w:space="0" w:color="auto"/>
                    <w:bottom w:val="none" w:sz="0" w:space="0" w:color="auto"/>
                    <w:right w:val="none" w:sz="0" w:space="0" w:color="auto"/>
                  </w:divBdr>
                </w:div>
                <w:div w:id="1828743207">
                  <w:marLeft w:val="375"/>
                  <w:marRight w:val="375"/>
                  <w:marTop w:val="0"/>
                  <w:marBottom w:val="0"/>
                  <w:divBdr>
                    <w:top w:val="none" w:sz="0" w:space="0" w:color="auto"/>
                    <w:left w:val="none" w:sz="0" w:space="0" w:color="auto"/>
                    <w:bottom w:val="none" w:sz="0" w:space="0" w:color="auto"/>
                    <w:right w:val="none" w:sz="0" w:space="0" w:color="auto"/>
                  </w:divBdr>
                  <w:divsChild>
                    <w:div w:id="649214166">
                      <w:marLeft w:val="0"/>
                      <w:marRight w:val="0"/>
                      <w:marTop w:val="0"/>
                      <w:marBottom w:val="0"/>
                      <w:divBdr>
                        <w:top w:val="none" w:sz="0" w:space="0" w:color="auto"/>
                        <w:left w:val="none" w:sz="0" w:space="0" w:color="auto"/>
                        <w:bottom w:val="none" w:sz="0" w:space="0" w:color="auto"/>
                        <w:right w:val="none" w:sz="0" w:space="0" w:color="auto"/>
                      </w:divBdr>
                    </w:div>
                    <w:div w:id="1878544823">
                      <w:marLeft w:val="0"/>
                      <w:marRight w:val="0"/>
                      <w:marTop w:val="150"/>
                      <w:marBottom w:val="0"/>
                      <w:divBdr>
                        <w:top w:val="none" w:sz="0" w:space="0" w:color="auto"/>
                        <w:left w:val="none" w:sz="0" w:space="0" w:color="auto"/>
                        <w:bottom w:val="none" w:sz="0" w:space="0" w:color="auto"/>
                        <w:right w:val="none" w:sz="0" w:space="0" w:color="auto"/>
                      </w:divBdr>
                    </w:div>
                  </w:divsChild>
                </w:div>
                <w:div w:id="839588901">
                  <w:marLeft w:val="300"/>
                  <w:marRight w:val="0"/>
                  <w:marTop w:val="0"/>
                  <w:marBottom w:val="0"/>
                  <w:divBdr>
                    <w:top w:val="none" w:sz="0" w:space="0" w:color="auto"/>
                    <w:left w:val="none" w:sz="0" w:space="0" w:color="auto"/>
                    <w:bottom w:val="none" w:sz="0" w:space="0" w:color="auto"/>
                    <w:right w:val="none" w:sz="0" w:space="0" w:color="auto"/>
                  </w:divBdr>
                  <w:divsChild>
                    <w:div w:id="795174707">
                      <w:marLeft w:val="0"/>
                      <w:marRight w:val="0"/>
                      <w:marTop w:val="0"/>
                      <w:marBottom w:val="375"/>
                      <w:divBdr>
                        <w:top w:val="none" w:sz="0" w:space="0" w:color="auto"/>
                        <w:left w:val="none" w:sz="0" w:space="0" w:color="auto"/>
                        <w:bottom w:val="none" w:sz="0" w:space="0" w:color="auto"/>
                        <w:right w:val="none" w:sz="0" w:space="0" w:color="auto"/>
                      </w:divBdr>
                      <w:divsChild>
                        <w:div w:id="98562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34458">
                  <w:marLeft w:val="0"/>
                  <w:marRight w:val="0"/>
                  <w:marTop w:val="0"/>
                  <w:marBottom w:val="0"/>
                  <w:divBdr>
                    <w:top w:val="none" w:sz="0" w:space="0" w:color="auto"/>
                    <w:left w:val="none" w:sz="0" w:space="0" w:color="auto"/>
                    <w:bottom w:val="none" w:sz="0" w:space="0" w:color="auto"/>
                    <w:right w:val="none" w:sz="0" w:space="0" w:color="auto"/>
                  </w:divBdr>
                  <w:divsChild>
                    <w:div w:id="9990429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1804882">
              <w:marLeft w:val="0"/>
              <w:marRight w:val="0"/>
              <w:marTop w:val="0"/>
              <w:marBottom w:val="0"/>
              <w:divBdr>
                <w:top w:val="none" w:sz="0" w:space="0" w:color="auto"/>
                <w:left w:val="none" w:sz="0" w:space="0" w:color="auto"/>
                <w:bottom w:val="none" w:sz="0" w:space="0" w:color="auto"/>
                <w:right w:val="none" w:sz="0" w:space="0" w:color="auto"/>
              </w:divBdr>
              <w:divsChild>
                <w:div w:id="486241845">
                  <w:marLeft w:val="0"/>
                  <w:marRight w:val="0"/>
                  <w:marTop w:val="0"/>
                  <w:marBottom w:val="0"/>
                  <w:divBdr>
                    <w:top w:val="none" w:sz="0" w:space="0" w:color="auto"/>
                    <w:left w:val="none" w:sz="0" w:space="0" w:color="auto"/>
                    <w:bottom w:val="none" w:sz="0" w:space="0" w:color="auto"/>
                    <w:right w:val="none" w:sz="0" w:space="0" w:color="auto"/>
                  </w:divBdr>
                </w:div>
                <w:div w:id="1662274115">
                  <w:marLeft w:val="0"/>
                  <w:marRight w:val="0"/>
                  <w:marTop w:val="0"/>
                  <w:marBottom w:val="0"/>
                  <w:divBdr>
                    <w:top w:val="none" w:sz="0" w:space="0" w:color="auto"/>
                    <w:left w:val="none" w:sz="0" w:space="0" w:color="auto"/>
                    <w:bottom w:val="none" w:sz="0" w:space="0" w:color="auto"/>
                    <w:right w:val="none" w:sz="0" w:space="0" w:color="auto"/>
                  </w:divBdr>
                  <w:divsChild>
                    <w:div w:id="2063089601">
                      <w:marLeft w:val="300"/>
                      <w:marRight w:val="0"/>
                      <w:marTop w:val="0"/>
                      <w:marBottom w:val="0"/>
                      <w:divBdr>
                        <w:top w:val="none" w:sz="0" w:space="0" w:color="auto"/>
                        <w:left w:val="none" w:sz="0" w:space="0" w:color="auto"/>
                        <w:bottom w:val="none" w:sz="0" w:space="0" w:color="auto"/>
                        <w:right w:val="none" w:sz="0" w:space="0" w:color="auto"/>
                      </w:divBdr>
                    </w:div>
                  </w:divsChild>
                </w:div>
                <w:div w:id="1509903872">
                  <w:marLeft w:val="0"/>
                  <w:marRight w:val="0"/>
                  <w:marTop w:val="0"/>
                  <w:marBottom w:val="0"/>
                  <w:divBdr>
                    <w:top w:val="none" w:sz="0" w:space="0" w:color="auto"/>
                    <w:left w:val="none" w:sz="0" w:space="0" w:color="auto"/>
                    <w:bottom w:val="none" w:sz="0" w:space="0" w:color="auto"/>
                    <w:right w:val="none" w:sz="0" w:space="0" w:color="auto"/>
                  </w:divBdr>
                  <w:divsChild>
                    <w:div w:id="44985658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43114470">
              <w:marLeft w:val="0"/>
              <w:marRight w:val="0"/>
              <w:marTop w:val="0"/>
              <w:marBottom w:val="0"/>
              <w:divBdr>
                <w:top w:val="none" w:sz="0" w:space="0" w:color="auto"/>
                <w:left w:val="none" w:sz="0" w:space="0" w:color="auto"/>
                <w:bottom w:val="none" w:sz="0" w:space="0" w:color="auto"/>
                <w:right w:val="none" w:sz="0" w:space="0" w:color="auto"/>
              </w:divBdr>
              <w:divsChild>
                <w:div w:id="86466360">
                  <w:marLeft w:val="0"/>
                  <w:marRight w:val="0"/>
                  <w:marTop w:val="0"/>
                  <w:marBottom w:val="0"/>
                  <w:divBdr>
                    <w:top w:val="none" w:sz="0" w:space="0" w:color="auto"/>
                    <w:left w:val="none" w:sz="0" w:space="0" w:color="auto"/>
                    <w:bottom w:val="none" w:sz="0" w:space="0" w:color="auto"/>
                    <w:right w:val="none" w:sz="0" w:space="0" w:color="auto"/>
                  </w:divBdr>
                </w:div>
              </w:divsChild>
            </w:div>
            <w:div w:id="682899269">
              <w:marLeft w:val="0"/>
              <w:marRight w:val="0"/>
              <w:marTop w:val="0"/>
              <w:marBottom w:val="0"/>
              <w:divBdr>
                <w:top w:val="none" w:sz="0" w:space="0" w:color="auto"/>
                <w:left w:val="none" w:sz="0" w:space="0" w:color="auto"/>
                <w:bottom w:val="none" w:sz="0" w:space="0" w:color="auto"/>
                <w:right w:val="none" w:sz="0" w:space="0" w:color="auto"/>
              </w:divBdr>
            </w:div>
            <w:div w:id="2047176342">
              <w:marLeft w:val="0"/>
              <w:marRight w:val="0"/>
              <w:marTop w:val="0"/>
              <w:marBottom w:val="0"/>
              <w:divBdr>
                <w:top w:val="none" w:sz="0" w:space="0" w:color="auto"/>
                <w:left w:val="none" w:sz="0" w:space="0" w:color="auto"/>
                <w:bottom w:val="none" w:sz="0" w:space="0" w:color="auto"/>
                <w:right w:val="none" w:sz="0" w:space="0" w:color="auto"/>
              </w:divBdr>
              <w:divsChild>
                <w:div w:id="1746683939">
                  <w:marLeft w:val="0"/>
                  <w:marRight w:val="0"/>
                  <w:marTop w:val="0"/>
                  <w:marBottom w:val="0"/>
                  <w:divBdr>
                    <w:top w:val="none" w:sz="0" w:space="0" w:color="auto"/>
                    <w:left w:val="none" w:sz="0" w:space="0" w:color="auto"/>
                    <w:bottom w:val="none" w:sz="0" w:space="0" w:color="auto"/>
                    <w:right w:val="none" w:sz="0" w:space="0" w:color="auto"/>
                  </w:divBdr>
                </w:div>
              </w:divsChild>
            </w:div>
            <w:div w:id="711542630">
              <w:marLeft w:val="0"/>
              <w:marRight w:val="0"/>
              <w:marTop w:val="0"/>
              <w:marBottom w:val="0"/>
              <w:divBdr>
                <w:top w:val="none" w:sz="0" w:space="0" w:color="auto"/>
                <w:left w:val="none" w:sz="0" w:space="0" w:color="auto"/>
                <w:bottom w:val="none" w:sz="0" w:space="0" w:color="auto"/>
                <w:right w:val="none" w:sz="0" w:space="0" w:color="auto"/>
              </w:divBdr>
            </w:div>
            <w:div w:id="517431894">
              <w:marLeft w:val="0"/>
              <w:marRight w:val="0"/>
              <w:marTop w:val="0"/>
              <w:marBottom w:val="0"/>
              <w:divBdr>
                <w:top w:val="none" w:sz="0" w:space="0" w:color="auto"/>
                <w:left w:val="none" w:sz="0" w:space="0" w:color="auto"/>
                <w:bottom w:val="none" w:sz="0" w:space="0" w:color="auto"/>
                <w:right w:val="none" w:sz="0" w:space="0" w:color="auto"/>
              </w:divBdr>
              <w:divsChild>
                <w:div w:id="609776419">
                  <w:marLeft w:val="0"/>
                  <w:marRight w:val="0"/>
                  <w:marTop w:val="0"/>
                  <w:marBottom w:val="0"/>
                  <w:divBdr>
                    <w:top w:val="none" w:sz="0" w:space="0" w:color="auto"/>
                    <w:left w:val="none" w:sz="0" w:space="0" w:color="auto"/>
                    <w:bottom w:val="none" w:sz="0" w:space="0" w:color="auto"/>
                    <w:right w:val="none" w:sz="0" w:space="0" w:color="auto"/>
                  </w:divBdr>
                </w:div>
              </w:divsChild>
            </w:div>
            <w:div w:id="76199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306307021101845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21</Pages>
  <Words>9828</Words>
  <Characters>56025</Characters>
  <Application>Microsoft Office Word</Application>
  <DocSecurity>8</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56</cp:revision>
  <dcterms:created xsi:type="dcterms:W3CDTF">2022-04-13T16:36:00Z</dcterms:created>
  <dcterms:modified xsi:type="dcterms:W3CDTF">2022-04-18T17:59:00Z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