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D66F9FA" w:rsidR="000A7622" w:rsidRPr="00C04F25" w:rsidRDefault="00156EB6"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CBDB080" w:rsidR="000A7622" w:rsidRDefault="006C2F33" w:rsidP="00D14423">
      <w:pPr>
        <w:rPr>
          <w:rFonts w:cstheme="minorHAnsi"/>
          <w:sz w:val="24"/>
          <w:szCs w:val="24"/>
        </w:rPr>
      </w:pPr>
      <w:r>
        <w:rPr>
          <w:rFonts w:cstheme="minorHAnsi"/>
          <w:i/>
          <w:sz w:val="24"/>
          <w:szCs w:val="24"/>
          <w:lang w:val="fr-FR"/>
        </w:rPr>
        <w:t xml:space="preserve">Water </w:t>
      </w:r>
      <w:proofErr w:type="spellStart"/>
      <w:r>
        <w:rPr>
          <w:rFonts w:cstheme="minorHAnsi"/>
          <w:i/>
          <w:sz w:val="24"/>
          <w:szCs w:val="24"/>
          <w:lang w:val="fr-FR"/>
        </w:rPr>
        <w:t>Environment</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94</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Pr>
          <w:rFonts w:cstheme="minorHAnsi"/>
          <w:sz w:val="24"/>
          <w:szCs w:val="24"/>
          <w:lang w:val="fr-FR"/>
        </w:rPr>
        <w:t>July 2022</w:t>
      </w:r>
      <w:proofErr w:type="gramStart"/>
      <w:r>
        <w:rPr>
          <w:rFonts w:cstheme="minorHAnsi"/>
          <w:sz w:val="24"/>
          <w:szCs w:val="24"/>
          <w:lang w:val="fr-FR"/>
        </w:rPr>
        <w:t>)</w:t>
      </w:r>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421B3">
        <w:rPr>
          <w:rFonts w:cstheme="minorHAnsi"/>
          <w:sz w:val="24"/>
          <w:szCs w:val="24"/>
          <w:lang w:val="fr-FR"/>
        </w:rPr>
        <w:t>e10762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421B3">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421B3">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1421B3">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790F2B93" w14:textId="43D92F0F" w:rsidR="00ED58D6" w:rsidRDefault="00ED58D6" w:rsidP="00E14CE2">
      <w:pPr>
        <w:pStyle w:val="Title"/>
      </w:pPr>
      <w:r w:rsidRPr="00ED58D6">
        <w:t>Lab</w:t>
      </w:r>
      <w:r w:rsidR="00E14CE2" w:rsidRPr="00ED58D6">
        <w:t>-Scale Data and Microbial Community Structure Suggest Shortcut Nitrogen Removal as The Predominant Nitrogen Removal Mechanism in Post-Aerobic Digestion (</w:t>
      </w:r>
      <w:r w:rsidRPr="00ED58D6">
        <w:t>PAD</w:t>
      </w:r>
      <w:r w:rsidR="00E14CE2" w:rsidRPr="00ED58D6">
        <w:t>)</w:t>
      </w:r>
    </w:p>
    <w:p w14:paraId="5C4C1B80" w14:textId="77777777" w:rsidR="00E14CE2" w:rsidRPr="00E14CE2" w:rsidRDefault="00E14CE2" w:rsidP="00E14CE2"/>
    <w:p w14:paraId="116DABA1" w14:textId="77777777" w:rsidR="00E14CE2" w:rsidRPr="004B76B0" w:rsidRDefault="00ED58D6" w:rsidP="00FF0ADC">
      <w:pPr>
        <w:pStyle w:val="NoSpacing"/>
        <w:rPr>
          <w:sz w:val="28"/>
          <w:szCs w:val="28"/>
        </w:rPr>
      </w:pPr>
      <w:r w:rsidRPr="004B76B0">
        <w:rPr>
          <w:sz w:val="28"/>
          <w:szCs w:val="28"/>
        </w:rPr>
        <w:t xml:space="preserve">Fabrizio </w:t>
      </w:r>
      <w:proofErr w:type="spellStart"/>
      <w:r w:rsidRPr="004B76B0">
        <w:rPr>
          <w:sz w:val="28"/>
          <w:szCs w:val="28"/>
        </w:rPr>
        <w:t>Sabba</w:t>
      </w:r>
      <w:proofErr w:type="spellEnd"/>
    </w:p>
    <w:p w14:paraId="29EB6328" w14:textId="21730F14" w:rsidR="00E14CE2" w:rsidRPr="00FF0ADC" w:rsidRDefault="00FF0ADC" w:rsidP="00FF0ADC">
      <w:pPr>
        <w:pStyle w:val="NoSpacing"/>
      </w:pPr>
      <w:r w:rsidRPr="00FF0ADC">
        <w:t>Black &amp; Veatch, Overland Park, Kansas</w:t>
      </w:r>
    </w:p>
    <w:p w14:paraId="450FB363" w14:textId="77777777" w:rsidR="00E14CE2" w:rsidRPr="004B76B0" w:rsidRDefault="00ED58D6" w:rsidP="00FF0ADC">
      <w:pPr>
        <w:pStyle w:val="NoSpacing"/>
        <w:rPr>
          <w:sz w:val="28"/>
          <w:szCs w:val="28"/>
        </w:rPr>
      </w:pPr>
      <w:r w:rsidRPr="004B76B0">
        <w:rPr>
          <w:sz w:val="28"/>
          <w:szCs w:val="28"/>
        </w:rPr>
        <w:t>Patrick McNamara</w:t>
      </w:r>
    </w:p>
    <w:p w14:paraId="52BB1EA5" w14:textId="2FA75AD5" w:rsidR="006C599E" w:rsidRPr="006C599E" w:rsidRDefault="006C599E" w:rsidP="006C599E">
      <w:pPr>
        <w:pStyle w:val="NoSpacing"/>
      </w:pPr>
      <w:r w:rsidRPr="006C599E">
        <w:t>Black &amp; Veatch, Overland Park, Kansas</w:t>
      </w:r>
    </w:p>
    <w:p w14:paraId="6C58BDE5" w14:textId="37CC2C27" w:rsidR="00E14CE2" w:rsidRPr="006C599E" w:rsidRDefault="006C599E" w:rsidP="00FF0ADC">
      <w:pPr>
        <w:pStyle w:val="NoSpacing"/>
      </w:pPr>
      <w:r w:rsidRPr="006C599E">
        <w:t>Department of Civil, Construction and Environmental Engineering, Marquette University, Milwaukee, Wisconsin</w:t>
      </w:r>
    </w:p>
    <w:p w14:paraId="4B1933A1" w14:textId="77777777" w:rsidR="00E14CE2" w:rsidRPr="004B76B0" w:rsidRDefault="00ED58D6" w:rsidP="00FF0ADC">
      <w:pPr>
        <w:pStyle w:val="NoSpacing"/>
        <w:rPr>
          <w:sz w:val="28"/>
          <w:szCs w:val="28"/>
        </w:rPr>
      </w:pPr>
      <w:r w:rsidRPr="004B76B0">
        <w:rPr>
          <w:sz w:val="28"/>
          <w:szCs w:val="28"/>
        </w:rPr>
        <w:t>Eric Redmond</w:t>
      </w:r>
    </w:p>
    <w:p w14:paraId="15560B32" w14:textId="683B7B7A" w:rsidR="00E14CE2" w:rsidRPr="006C599E" w:rsidRDefault="006C599E" w:rsidP="00FF0ADC">
      <w:pPr>
        <w:pStyle w:val="NoSpacing"/>
      </w:pPr>
      <w:r w:rsidRPr="006C599E">
        <w:t>Black &amp; Veatch, Overland Park, Kansas</w:t>
      </w:r>
    </w:p>
    <w:p w14:paraId="45B5E7F7" w14:textId="77777777" w:rsidR="00E14CE2" w:rsidRPr="004B76B0" w:rsidRDefault="00ED58D6" w:rsidP="00FF0ADC">
      <w:pPr>
        <w:pStyle w:val="NoSpacing"/>
        <w:rPr>
          <w:sz w:val="28"/>
          <w:szCs w:val="28"/>
        </w:rPr>
      </w:pPr>
      <w:r w:rsidRPr="004B76B0">
        <w:rPr>
          <w:sz w:val="28"/>
          <w:szCs w:val="28"/>
        </w:rPr>
        <w:t>Caitlin Ruff</w:t>
      </w:r>
    </w:p>
    <w:p w14:paraId="43687AD7" w14:textId="01808FDD" w:rsidR="00E14CE2" w:rsidRPr="006C599E" w:rsidRDefault="006C599E" w:rsidP="00FF0ADC">
      <w:pPr>
        <w:pStyle w:val="NoSpacing"/>
      </w:pPr>
      <w:r w:rsidRPr="006C599E">
        <w:t>Black &amp; Veatch, Overland Park, Kansas</w:t>
      </w:r>
    </w:p>
    <w:p w14:paraId="2CD2E977" w14:textId="77777777" w:rsidR="00E14CE2" w:rsidRPr="004B76B0" w:rsidRDefault="00ED58D6" w:rsidP="00FF0ADC">
      <w:pPr>
        <w:pStyle w:val="NoSpacing"/>
        <w:rPr>
          <w:sz w:val="28"/>
          <w:szCs w:val="28"/>
        </w:rPr>
      </w:pPr>
      <w:r w:rsidRPr="004B76B0">
        <w:rPr>
          <w:sz w:val="28"/>
          <w:szCs w:val="28"/>
        </w:rPr>
        <w:t>Mike Young</w:t>
      </w:r>
    </w:p>
    <w:p w14:paraId="420C455E" w14:textId="50027628" w:rsidR="00E14CE2" w:rsidRPr="006C599E" w:rsidRDefault="004B76B0" w:rsidP="00FF0ADC">
      <w:pPr>
        <w:pStyle w:val="NoSpacing"/>
      </w:pPr>
      <w:r w:rsidRPr="004B76B0">
        <w:t>Trinity River Authority of Texas, Arlington, Texas,</w:t>
      </w:r>
    </w:p>
    <w:p w14:paraId="56079D03" w14:textId="325355B8" w:rsidR="00ED58D6" w:rsidRPr="004B76B0" w:rsidRDefault="00ED58D6" w:rsidP="00FF0ADC">
      <w:pPr>
        <w:pStyle w:val="NoSpacing"/>
        <w:rPr>
          <w:sz w:val="28"/>
          <w:szCs w:val="28"/>
        </w:rPr>
      </w:pPr>
      <w:r w:rsidRPr="004B76B0">
        <w:rPr>
          <w:sz w:val="28"/>
          <w:szCs w:val="28"/>
        </w:rPr>
        <w:t>Leon Downing</w:t>
      </w:r>
    </w:p>
    <w:p w14:paraId="514BA0B3" w14:textId="098B52CB" w:rsidR="00E14CE2" w:rsidRPr="00FF0ADC" w:rsidRDefault="004B76B0" w:rsidP="00FF0ADC">
      <w:pPr>
        <w:pStyle w:val="NoSpacing"/>
      </w:pPr>
      <w:r w:rsidRPr="004B76B0">
        <w:t>Black &amp; Veatch, Overland Park, Kansas</w:t>
      </w:r>
    </w:p>
    <w:p w14:paraId="087434C0" w14:textId="5D60DA47" w:rsidR="00ED58D6" w:rsidRPr="00ED58D6" w:rsidRDefault="00ED58D6" w:rsidP="004B76B0">
      <w:pPr>
        <w:pStyle w:val="Heading1"/>
      </w:pPr>
      <w:r w:rsidRPr="00ED58D6">
        <w:t>Abstract</w:t>
      </w:r>
    </w:p>
    <w:p w14:paraId="6D184D43" w14:textId="77777777" w:rsidR="00ED58D6" w:rsidRPr="00ED58D6" w:rsidRDefault="00ED58D6" w:rsidP="00ED58D6">
      <w:pPr>
        <w:rPr>
          <w:rFonts w:cstheme="minorHAnsi"/>
          <w:sz w:val="24"/>
          <w:szCs w:val="24"/>
        </w:rPr>
      </w:pPr>
      <w:r w:rsidRPr="00ED58D6">
        <w:rPr>
          <w:rFonts w:cstheme="minorHAnsi"/>
          <w:sz w:val="24"/>
          <w:szCs w:val="24"/>
        </w:rPr>
        <w:t>Implementing an aerobic digestion step after anaerobic digestion, referred to as “post aerobic digestion” (PAD), can remove ammonia without the need for an external carbon source and destroy volatile solids. While this process has been documented at the lab-scale and full-scale, the mechanism for N removal and the corresponding microbial community that carries out this process have not been established. This research gap is important to fill because the nitrogen removal pathway has implications on aeration requirements and carbon demand, that is, short-cut N-removal requires less oxygen and carbon than simultaneous nitrification–denitrification. The aims of this research were to (</w:t>
      </w:r>
      <w:proofErr w:type="spellStart"/>
      <w:r w:rsidRPr="00ED58D6">
        <w:rPr>
          <w:rFonts w:cstheme="minorHAnsi"/>
          <w:sz w:val="24"/>
          <w:szCs w:val="24"/>
        </w:rPr>
        <w:t>i</w:t>
      </w:r>
      <w:proofErr w:type="spellEnd"/>
      <w:r w:rsidRPr="00ED58D6">
        <w:rPr>
          <w:rFonts w:cstheme="minorHAnsi"/>
          <w:sz w:val="24"/>
          <w:szCs w:val="24"/>
        </w:rPr>
        <w:t>) determine if nitrite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or nitrate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dominates following ammonia removal and (ii) characterize the microbial community from PAD reactors. Here, lab-scale PAD reactors were seeded with biomass from two different full-scale PAD reactors. The lab-scale reactors were fed with biomass from full-scale reactors and operated in batch mode to quantify nitrogen species concentrations (ammonia,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and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over time. Experimental results revealed that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production rates were several orders of magnitude greater than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production rates. Indeed, nitrite accumulation rate (NAR) was greater than 90% at most temperatures, confirming that shortcut nitrogen removal was the dominant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removal mechanism in PAD. Microbial community analysis via 16S rRNA sequencing indicated that ammonia oxidizing bacteria (AOB) were much more abundant than nitrite oxidizing bacteria (NOB). Overall, this study suggests that aeration requirements for post-aerobic digestion should be based on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shunt and not complete simultaneous nitrification denitrification.</w:t>
      </w:r>
    </w:p>
    <w:p w14:paraId="5859074A" w14:textId="77777777" w:rsidR="00ED58D6" w:rsidRPr="00ED58D6" w:rsidRDefault="00ED58D6" w:rsidP="004B76B0">
      <w:pPr>
        <w:pStyle w:val="Heading1"/>
      </w:pPr>
      <w:r w:rsidRPr="00ED58D6">
        <w:t>Practitioner Points</w:t>
      </w:r>
    </w:p>
    <w:p w14:paraId="6A7976C6" w14:textId="77777777" w:rsidR="00ED58D6" w:rsidRPr="00ED58D6" w:rsidRDefault="00ED58D6" w:rsidP="004B76B0">
      <w:pPr>
        <w:numPr>
          <w:ilvl w:val="0"/>
          <w:numId w:val="4"/>
        </w:numPr>
        <w:spacing w:after="0"/>
        <w:rPr>
          <w:rFonts w:cstheme="minorHAnsi"/>
          <w:sz w:val="24"/>
          <w:szCs w:val="24"/>
        </w:rPr>
      </w:pPr>
      <w:r w:rsidRPr="00ED58D6">
        <w:rPr>
          <w:rFonts w:cstheme="minorHAnsi"/>
          <w:sz w:val="24"/>
          <w:szCs w:val="24"/>
        </w:rPr>
        <w:t xml:space="preserve">AOB are a key feature of PAD microbial </w:t>
      </w:r>
      <w:proofErr w:type="gramStart"/>
      <w:r w:rsidRPr="00ED58D6">
        <w:rPr>
          <w:rFonts w:cstheme="minorHAnsi"/>
          <w:sz w:val="24"/>
          <w:szCs w:val="24"/>
        </w:rPr>
        <w:t>communities</w:t>
      </w:r>
      <w:proofErr w:type="gramEnd"/>
    </w:p>
    <w:p w14:paraId="50CE826A" w14:textId="77777777" w:rsidR="00ED58D6" w:rsidRPr="00ED58D6" w:rsidRDefault="00ED58D6" w:rsidP="004B76B0">
      <w:pPr>
        <w:numPr>
          <w:ilvl w:val="0"/>
          <w:numId w:val="4"/>
        </w:numPr>
        <w:spacing w:after="0"/>
        <w:rPr>
          <w:rFonts w:cstheme="minorHAnsi"/>
          <w:sz w:val="24"/>
          <w:szCs w:val="24"/>
        </w:rPr>
      </w:pPr>
      <w:r w:rsidRPr="00ED58D6">
        <w:rPr>
          <w:rFonts w:cstheme="minorHAnsi"/>
          <w:sz w:val="24"/>
          <w:szCs w:val="24"/>
        </w:rPr>
        <w:t xml:space="preserve">NOB are present, but in much lower abundance than </w:t>
      </w:r>
      <w:proofErr w:type="gramStart"/>
      <w:r w:rsidRPr="00ED58D6">
        <w:rPr>
          <w:rFonts w:cstheme="minorHAnsi"/>
          <w:sz w:val="24"/>
          <w:szCs w:val="24"/>
        </w:rPr>
        <w:t>AOB</w:t>
      </w:r>
      <w:proofErr w:type="gramEnd"/>
    </w:p>
    <w:p w14:paraId="1D6DF959" w14:textId="77777777" w:rsidR="00ED58D6" w:rsidRPr="00ED58D6" w:rsidRDefault="00ED58D6" w:rsidP="004B76B0">
      <w:pPr>
        <w:numPr>
          <w:ilvl w:val="0"/>
          <w:numId w:val="4"/>
        </w:numPr>
        <w:spacing w:after="0"/>
        <w:rPr>
          <w:rFonts w:cstheme="minorHAnsi"/>
          <w:sz w:val="24"/>
          <w:szCs w:val="24"/>
        </w:rPr>
      </w:pPr>
      <w:r w:rsidRPr="00ED58D6">
        <w:rPr>
          <w:rFonts w:cstheme="minorHAnsi"/>
          <w:sz w:val="24"/>
          <w:szCs w:val="24"/>
        </w:rPr>
        <w:t xml:space="preserve">High nitrite accumulation ratio suggests shortcut nitrite as the main mechanism for nitrogen </w:t>
      </w:r>
      <w:proofErr w:type="gramStart"/>
      <w:r w:rsidRPr="00ED58D6">
        <w:rPr>
          <w:rFonts w:cstheme="minorHAnsi"/>
          <w:sz w:val="24"/>
          <w:szCs w:val="24"/>
        </w:rPr>
        <w:t>removal</w:t>
      </w:r>
      <w:proofErr w:type="gramEnd"/>
    </w:p>
    <w:p w14:paraId="1F0380D5" w14:textId="77777777" w:rsidR="00ED58D6" w:rsidRPr="00ED58D6" w:rsidRDefault="00ED58D6" w:rsidP="004B76B0">
      <w:pPr>
        <w:numPr>
          <w:ilvl w:val="0"/>
          <w:numId w:val="4"/>
        </w:numPr>
        <w:spacing w:after="0"/>
        <w:rPr>
          <w:rFonts w:cstheme="minorHAnsi"/>
          <w:sz w:val="24"/>
          <w:szCs w:val="24"/>
        </w:rPr>
      </w:pPr>
      <w:proofErr w:type="spellStart"/>
      <w:r w:rsidRPr="00ED58D6">
        <w:rPr>
          <w:rFonts w:cstheme="minorHAnsi"/>
          <w:sz w:val="24"/>
          <w:szCs w:val="24"/>
        </w:rPr>
        <w:t>Nitritation</w:t>
      </w:r>
      <w:proofErr w:type="spellEnd"/>
      <w:r w:rsidRPr="00ED58D6">
        <w:rPr>
          <w:rFonts w:cstheme="minorHAnsi"/>
          <w:sz w:val="24"/>
          <w:szCs w:val="24"/>
        </w:rPr>
        <w:t xml:space="preserve"> in PAD reactors is sustained at temperatures as high as 40°</w:t>
      </w:r>
      <w:proofErr w:type="gramStart"/>
      <w:r w:rsidRPr="00ED58D6">
        <w:rPr>
          <w:rFonts w:cstheme="minorHAnsi"/>
          <w:sz w:val="24"/>
          <w:szCs w:val="24"/>
        </w:rPr>
        <w:t>C</w:t>
      </w:r>
      <w:proofErr w:type="gramEnd"/>
    </w:p>
    <w:p w14:paraId="64723961" w14:textId="77777777" w:rsidR="00ED58D6" w:rsidRPr="00ED58D6" w:rsidRDefault="00ED58D6" w:rsidP="004B76B0">
      <w:pPr>
        <w:numPr>
          <w:ilvl w:val="0"/>
          <w:numId w:val="4"/>
        </w:numPr>
        <w:spacing w:after="0"/>
        <w:rPr>
          <w:rFonts w:cstheme="minorHAnsi"/>
          <w:sz w:val="24"/>
          <w:szCs w:val="24"/>
        </w:rPr>
      </w:pPr>
      <w:r w:rsidRPr="00ED58D6">
        <w:rPr>
          <w:rFonts w:cstheme="minorHAnsi"/>
          <w:sz w:val="24"/>
          <w:szCs w:val="24"/>
        </w:rPr>
        <w:t xml:space="preserve">No ammonia oxidation occurred at 50°C implying different mechanisms of nitrogen removal including ammonia </w:t>
      </w:r>
      <w:proofErr w:type="gramStart"/>
      <w:r w:rsidRPr="00ED58D6">
        <w:rPr>
          <w:rFonts w:cstheme="minorHAnsi"/>
          <w:sz w:val="24"/>
          <w:szCs w:val="24"/>
        </w:rPr>
        <w:t>stripping</w:t>
      </w:r>
      <w:proofErr w:type="gramEnd"/>
    </w:p>
    <w:p w14:paraId="0D101B74" w14:textId="77777777" w:rsidR="00ED58D6" w:rsidRPr="00ED58D6" w:rsidRDefault="00ED58D6" w:rsidP="004B76B0">
      <w:pPr>
        <w:pStyle w:val="Heading1"/>
      </w:pPr>
      <w:r w:rsidRPr="00ED58D6">
        <w:t>INTRODUCTION</w:t>
      </w:r>
    </w:p>
    <w:p w14:paraId="3DF9E31E" w14:textId="53F2018D" w:rsidR="00ED58D6" w:rsidRPr="00ED58D6" w:rsidRDefault="00ED58D6" w:rsidP="00ED58D6">
      <w:pPr>
        <w:rPr>
          <w:rFonts w:cstheme="minorHAnsi"/>
          <w:sz w:val="24"/>
          <w:szCs w:val="24"/>
        </w:rPr>
      </w:pPr>
      <w:r w:rsidRPr="00ED58D6">
        <w:rPr>
          <w:rFonts w:cstheme="minorHAnsi"/>
          <w:sz w:val="24"/>
          <w:szCs w:val="24"/>
        </w:rPr>
        <w:t>Eutrophication is detrimental to water quality and occurs when excess nutrients (N, P) enter receiving water bodies (Zheng et al., </w:t>
      </w:r>
      <w:r w:rsidRPr="00ED58D6">
        <w:rPr>
          <w:rFonts w:cstheme="minorHAnsi"/>
          <w:b/>
          <w:bCs/>
          <w:sz w:val="24"/>
          <w:szCs w:val="24"/>
        </w:rPr>
        <w:t>2018</w:t>
      </w:r>
      <w:r w:rsidRPr="00ED58D6">
        <w:rPr>
          <w:rFonts w:cstheme="minorHAnsi"/>
          <w:sz w:val="24"/>
          <w:szCs w:val="24"/>
        </w:rPr>
        <w:t>). Wastewater treatment plants (WWTPs), a.k.a. Water Resource Recovery Facilities (WRRFs), have been targeted by regulators as a discharge source of nutrients that can be managed to reduce nutrient loads into watersheds. These pressures from regulators, along with the recent push to use WRRFs for resource recovery, including water, energy, carbon, and nutrients (</w:t>
      </w:r>
      <w:proofErr w:type="spellStart"/>
      <w:r w:rsidRPr="00ED58D6">
        <w:rPr>
          <w:rFonts w:cstheme="minorHAnsi"/>
          <w:sz w:val="24"/>
          <w:szCs w:val="24"/>
        </w:rPr>
        <w:t>Mannina</w:t>
      </w:r>
      <w:proofErr w:type="spellEnd"/>
      <w:r w:rsidRPr="00ED58D6">
        <w:rPr>
          <w:rFonts w:cstheme="minorHAnsi"/>
          <w:sz w:val="24"/>
          <w:szCs w:val="24"/>
        </w:rPr>
        <w:t xml:space="preserve"> et al., </w:t>
      </w:r>
      <w:r w:rsidRPr="00ED58D6">
        <w:rPr>
          <w:rFonts w:cstheme="minorHAnsi"/>
          <w:b/>
          <w:bCs/>
          <w:sz w:val="24"/>
          <w:szCs w:val="24"/>
        </w:rPr>
        <w:t>2021</w:t>
      </w:r>
      <w:r w:rsidRPr="00ED58D6">
        <w:rPr>
          <w:rFonts w:cstheme="minorHAnsi"/>
          <w:sz w:val="24"/>
          <w:szCs w:val="24"/>
        </w:rPr>
        <w:t>), has led to progress in nutrient removal technologies (Liu et al., </w:t>
      </w:r>
      <w:r w:rsidRPr="00ED58D6">
        <w:rPr>
          <w:rFonts w:cstheme="minorHAnsi"/>
          <w:b/>
          <w:bCs/>
          <w:sz w:val="24"/>
          <w:szCs w:val="24"/>
        </w:rPr>
        <w:t>2020</w:t>
      </w:r>
      <w:r w:rsidRPr="00ED58D6">
        <w:rPr>
          <w:rFonts w:cstheme="minorHAnsi"/>
          <w:sz w:val="24"/>
          <w:szCs w:val="24"/>
        </w:rPr>
        <w:t xml:space="preserve">; </w:t>
      </w:r>
      <w:proofErr w:type="spellStart"/>
      <w:r w:rsidRPr="00ED58D6">
        <w:rPr>
          <w:rFonts w:cstheme="minorHAnsi"/>
          <w:sz w:val="24"/>
          <w:szCs w:val="24"/>
        </w:rPr>
        <w:t>Venkiteshwaran</w:t>
      </w:r>
      <w:proofErr w:type="spellEnd"/>
      <w:r w:rsidRPr="00ED58D6">
        <w:rPr>
          <w:rFonts w:cstheme="minorHAnsi"/>
          <w:sz w:val="24"/>
          <w:szCs w:val="24"/>
        </w:rPr>
        <w:t xml:space="preserve"> et al., </w:t>
      </w:r>
      <w:r w:rsidRPr="00ED58D6">
        <w:rPr>
          <w:rFonts w:cstheme="minorHAnsi"/>
          <w:b/>
          <w:bCs/>
          <w:sz w:val="24"/>
          <w:szCs w:val="24"/>
        </w:rPr>
        <w:t>2018</w:t>
      </w:r>
      <w:r w:rsidRPr="00ED58D6">
        <w:rPr>
          <w:rFonts w:cstheme="minorHAnsi"/>
          <w:sz w:val="24"/>
          <w:szCs w:val="24"/>
        </w:rPr>
        <w:t>).</w:t>
      </w:r>
    </w:p>
    <w:p w14:paraId="368AD5A8" w14:textId="5C9B2D09" w:rsidR="00ED58D6" w:rsidRPr="00ED58D6" w:rsidRDefault="00ED58D6" w:rsidP="00ED58D6">
      <w:pPr>
        <w:rPr>
          <w:rFonts w:cstheme="minorHAnsi"/>
          <w:sz w:val="24"/>
          <w:szCs w:val="24"/>
        </w:rPr>
      </w:pPr>
      <w:r w:rsidRPr="00ED58D6">
        <w:rPr>
          <w:rFonts w:cstheme="minorHAnsi"/>
          <w:sz w:val="24"/>
          <w:szCs w:val="24"/>
        </w:rPr>
        <w:t>Nitrification and denitrification are two essential processes used during biological nitrogen removal (BNR) in WRRFs (Delgado Vela et al., </w:t>
      </w:r>
      <w:r w:rsidRPr="00ED58D6">
        <w:rPr>
          <w:rFonts w:cstheme="minorHAnsi"/>
          <w:b/>
          <w:bCs/>
          <w:sz w:val="24"/>
          <w:szCs w:val="24"/>
        </w:rPr>
        <w:t>2015</w:t>
      </w:r>
      <w:r w:rsidRPr="00ED58D6">
        <w:rPr>
          <w:rFonts w:cstheme="minorHAnsi"/>
          <w:sz w:val="24"/>
          <w:szCs w:val="24"/>
        </w:rPr>
        <w:t>). Nitrification is a two-step process performed by ammonia oxidizing bacteria (AOB) and nitrite oxidizing bacteria (NOB) whereby ammonia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is first oxidized to nitrite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and then nitrate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Oxygen is required for both steps and serves as the electron acceptor. During denitrification, heterotrophic denitrifying bacteria reduce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to nitrogen gas (N</w:t>
      </w:r>
      <w:r w:rsidRPr="00ED58D6">
        <w:rPr>
          <w:rFonts w:cstheme="minorHAnsi"/>
          <w:sz w:val="24"/>
          <w:szCs w:val="24"/>
          <w:vertAlign w:val="subscript"/>
        </w:rPr>
        <w:t>2</w:t>
      </w:r>
      <w:r w:rsidRPr="00ED58D6">
        <w:rPr>
          <w:rFonts w:cstheme="minorHAnsi"/>
          <w:sz w:val="24"/>
          <w:szCs w:val="24"/>
        </w:rPr>
        <w:t>) via intermediates that include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nitric oxide (NO) and nitrous oxide (N</w:t>
      </w:r>
      <w:r w:rsidRPr="00ED58D6">
        <w:rPr>
          <w:rFonts w:cstheme="minorHAnsi"/>
          <w:sz w:val="24"/>
          <w:szCs w:val="24"/>
          <w:vertAlign w:val="subscript"/>
        </w:rPr>
        <w:t>2</w:t>
      </w:r>
      <w:r w:rsidRPr="00ED58D6">
        <w:rPr>
          <w:rFonts w:cstheme="minorHAnsi"/>
          <w:sz w:val="24"/>
          <w:szCs w:val="24"/>
        </w:rPr>
        <w:t>O) (</w:t>
      </w:r>
      <w:proofErr w:type="spellStart"/>
      <w:r w:rsidRPr="00ED58D6">
        <w:rPr>
          <w:rFonts w:cstheme="minorHAnsi"/>
          <w:sz w:val="24"/>
          <w:szCs w:val="24"/>
        </w:rPr>
        <w:t>Sabba</w:t>
      </w:r>
      <w:proofErr w:type="spellEnd"/>
      <w:r w:rsidRPr="00ED58D6">
        <w:rPr>
          <w:rFonts w:cstheme="minorHAnsi"/>
          <w:sz w:val="24"/>
          <w:szCs w:val="24"/>
        </w:rPr>
        <w:t xml:space="preserve"> et al., </w:t>
      </w:r>
      <w:r w:rsidRPr="00ED58D6">
        <w:rPr>
          <w:rFonts w:cstheme="minorHAnsi"/>
          <w:b/>
          <w:bCs/>
          <w:sz w:val="24"/>
          <w:szCs w:val="24"/>
        </w:rPr>
        <w:t>2018</w:t>
      </w:r>
      <w:r w:rsidRPr="00ED58D6">
        <w:rPr>
          <w:rFonts w:cstheme="minorHAnsi"/>
          <w:sz w:val="24"/>
          <w:szCs w:val="24"/>
        </w:rPr>
        <w:t>). No oxygen is required because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serves as the electron acceptor, but external carbon sources are often needed to serve as the electron donor to meet discharge limits. BNR processes including nitrification and denitrification are considered advantageous when compared to physicochemical processes for wastewater treatment because they are more cost-effective (Rahimi et al., </w:t>
      </w:r>
      <w:r w:rsidRPr="00ED58D6">
        <w:rPr>
          <w:rFonts w:cstheme="minorHAnsi"/>
          <w:b/>
          <w:bCs/>
          <w:sz w:val="24"/>
          <w:szCs w:val="24"/>
        </w:rPr>
        <w:t>2020</w:t>
      </w:r>
      <w:r w:rsidRPr="00ED58D6">
        <w:rPr>
          <w:rFonts w:cstheme="minorHAnsi"/>
          <w:sz w:val="24"/>
          <w:szCs w:val="24"/>
        </w:rPr>
        <w:t>).</w:t>
      </w:r>
    </w:p>
    <w:p w14:paraId="07336D1E" w14:textId="0AFD8EC9" w:rsidR="00ED58D6" w:rsidRPr="00ED58D6" w:rsidRDefault="00ED58D6" w:rsidP="00ED58D6">
      <w:pPr>
        <w:rPr>
          <w:rFonts w:cstheme="minorHAnsi"/>
          <w:sz w:val="24"/>
          <w:szCs w:val="24"/>
        </w:rPr>
      </w:pPr>
      <w:r w:rsidRPr="00ED58D6">
        <w:rPr>
          <w:rFonts w:cstheme="minorHAnsi"/>
          <w:sz w:val="24"/>
          <w:szCs w:val="24"/>
        </w:rPr>
        <w:t>To reduce energetic operating costs several novel BNR technologies have been developed in the last 20 years. Examples include simultaneous nitrification denitrification (SND) (Chen et al., </w:t>
      </w:r>
      <w:r w:rsidRPr="00ED58D6">
        <w:rPr>
          <w:rFonts w:cstheme="minorHAnsi"/>
          <w:b/>
          <w:bCs/>
          <w:sz w:val="24"/>
          <w:szCs w:val="24"/>
        </w:rPr>
        <w:t>2015</w:t>
      </w:r>
      <w:r w:rsidRPr="00ED58D6">
        <w:rPr>
          <w:rFonts w:cstheme="minorHAnsi"/>
          <w:sz w:val="24"/>
          <w:szCs w:val="24"/>
        </w:rPr>
        <w:t xml:space="preserve">; </w:t>
      </w:r>
      <w:proofErr w:type="spellStart"/>
      <w:r w:rsidRPr="00ED58D6">
        <w:rPr>
          <w:rFonts w:cstheme="minorHAnsi"/>
          <w:sz w:val="24"/>
          <w:szCs w:val="24"/>
        </w:rPr>
        <w:t>Iannacone</w:t>
      </w:r>
      <w:proofErr w:type="spellEnd"/>
      <w:r w:rsidRPr="00ED58D6">
        <w:rPr>
          <w:rFonts w:cstheme="minorHAnsi"/>
          <w:sz w:val="24"/>
          <w:szCs w:val="24"/>
        </w:rPr>
        <w:t xml:space="preserve"> et al., </w:t>
      </w:r>
      <w:r w:rsidRPr="00ED58D6">
        <w:rPr>
          <w:rFonts w:cstheme="minorHAnsi"/>
          <w:b/>
          <w:bCs/>
          <w:sz w:val="24"/>
          <w:szCs w:val="24"/>
        </w:rPr>
        <w:t>2020</w:t>
      </w:r>
      <w:r w:rsidRPr="00ED58D6">
        <w:rPr>
          <w:rFonts w:cstheme="minorHAnsi"/>
          <w:sz w:val="24"/>
          <w:szCs w:val="24"/>
        </w:rPr>
        <w:t>), shortcut nitrification and denitrification (Roots et al., </w:t>
      </w:r>
      <w:r w:rsidRPr="00ED58D6">
        <w:rPr>
          <w:rFonts w:cstheme="minorHAnsi"/>
          <w:b/>
          <w:bCs/>
          <w:sz w:val="24"/>
          <w:szCs w:val="24"/>
        </w:rPr>
        <w:t>2020</w:t>
      </w:r>
      <w:r w:rsidRPr="00ED58D6">
        <w:rPr>
          <w:rFonts w:cstheme="minorHAnsi"/>
          <w:sz w:val="24"/>
          <w:szCs w:val="24"/>
        </w:rPr>
        <w:t>), and complete autotrophic nitrogen removal over nitrite (CANON) (Vázquez-</w:t>
      </w:r>
      <w:proofErr w:type="spellStart"/>
      <w:r w:rsidRPr="00ED58D6">
        <w:rPr>
          <w:rFonts w:cstheme="minorHAnsi"/>
          <w:sz w:val="24"/>
          <w:szCs w:val="24"/>
        </w:rPr>
        <w:t>Padín</w:t>
      </w:r>
      <w:proofErr w:type="spellEnd"/>
      <w:r w:rsidRPr="00ED58D6">
        <w:rPr>
          <w:rFonts w:cstheme="minorHAnsi"/>
          <w:sz w:val="24"/>
          <w:szCs w:val="24"/>
        </w:rPr>
        <w:t xml:space="preserve"> et al., </w:t>
      </w:r>
      <w:r w:rsidRPr="00ED58D6">
        <w:rPr>
          <w:rFonts w:cstheme="minorHAnsi"/>
          <w:b/>
          <w:bCs/>
          <w:sz w:val="24"/>
          <w:szCs w:val="24"/>
        </w:rPr>
        <w:t>2011</w:t>
      </w:r>
      <w:r w:rsidRPr="00ED58D6">
        <w:rPr>
          <w:rFonts w:cstheme="minorHAnsi"/>
          <w:sz w:val="24"/>
          <w:szCs w:val="24"/>
        </w:rPr>
        <w:t xml:space="preserve">). Novel reactor configurations exploiting novel bacterial and metabolic discoveries have also furthered our understanding of nitrogen cycling. This is the case for, for example, complete ammonia oxidation, </w:t>
      </w:r>
      <w:proofErr w:type="spellStart"/>
      <w:r w:rsidRPr="00ED58D6">
        <w:rPr>
          <w:rFonts w:cstheme="minorHAnsi"/>
          <w:sz w:val="24"/>
          <w:szCs w:val="24"/>
        </w:rPr>
        <w:t>comammox</w:t>
      </w:r>
      <w:proofErr w:type="spellEnd"/>
      <w:r w:rsidRPr="00ED58D6">
        <w:rPr>
          <w:rFonts w:cstheme="minorHAnsi"/>
          <w:sz w:val="24"/>
          <w:szCs w:val="24"/>
        </w:rPr>
        <w:t>, and anaerobic ammonia oxidation, anammox (Kuenen, </w:t>
      </w:r>
      <w:r w:rsidRPr="00ED58D6">
        <w:rPr>
          <w:rFonts w:cstheme="minorHAnsi"/>
          <w:b/>
          <w:bCs/>
          <w:sz w:val="24"/>
          <w:szCs w:val="24"/>
        </w:rPr>
        <w:t>2008</w:t>
      </w:r>
      <w:r w:rsidRPr="00ED58D6">
        <w:rPr>
          <w:rFonts w:cstheme="minorHAnsi"/>
          <w:sz w:val="24"/>
          <w:szCs w:val="24"/>
        </w:rPr>
        <w:t>; Roots et al., </w:t>
      </w:r>
      <w:r w:rsidRPr="00ED58D6">
        <w:rPr>
          <w:rFonts w:cstheme="minorHAnsi"/>
          <w:b/>
          <w:bCs/>
          <w:sz w:val="24"/>
          <w:szCs w:val="24"/>
        </w:rPr>
        <w:t>2019</w:t>
      </w:r>
      <w:r w:rsidRPr="00ED58D6">
        <w:rPr>
          <w:rFonts w:cstheme="minorHAnsi"/>
          <w:sz w:val="24"/>
          <w:szCs w:val="24"/>
        </w:rPr>
        <w:t>; van Kessel et al., </w:t>
      </w:r>
      <w:r w:rsidRPr="00ED58D6">
        <w:rPr>
          <w:rFonts w:cstheme="minorHAnsi"/>
          <w:b/>
          <w:bCs/>
          <w:sz w:val="24"/>
          <w:szCs w:val="24"/>
        </w:rPr>
        <w:t>2015</w:t>
      </w:r>
      <w:r w:rsidRPr="00ED58D6">
        <w:rPr>
          <w:rFonts w:cstheme="minorHAnsi"/>
          <w:sz w:val="24"/>
          <w:szCs w:val="24"/>
        </w:rPr>
        <w:t>) processes: the former able to carry out nitrification in a single step from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to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and the latter able to remove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in presence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and in absence of oxygen (Kuenen, </w:t>
      </w:r>
      <w:r w:rsidRPr="00ED58D6">
        <w:rPr>
          <w:rFonts w:cstheme="minorHAnsi"/>
          <w:b/>
          <w:bCs/>
          <w:sz w:val="24"/>
          <w:szCs w:val="24"/>
        </w:rPr>
        <w:t>2008</w:t>
      </w:r>
      <w:r w:rsidRPr="00ED58D6">
        <w:rPr>
          <w:rFonts w:cstheme="minorHAnsi"/>
          <w:sz w:val="24"/>
          <w:szCs w:val="24"/>
        </w:rPr>
        <w:t>; Roots et al., </w:t>
      </w:r>
      <w:r w:rsidRPr="00ED58D6">
        <w:rPr>
          <w:rFonts w:cstheme="minorHAnsi"/>
          <w:b/>
          <w:bCs/>
          <w:sz w:val="24"/>
          <w:szCs w:val="24"/>
        </w:rPr>
        <w:t>2019</w:t>
      </w:r>
      <w:r w:rsidRPr="00ED58D6">
        <w:rPr>
          <w:rFonts w:cstheme="minorHAnsi"/>
          <w:sz w:val="24"/>
          <w:szCs w:val="24"/>
        </w:rPr>
        <w:t>; van Kessel et al., </w:t>
      </w:r>
      <w:r w:rsidRPr="00ED58D6">
        <w:rPr>
          <w:rFonts w:cstheme="minorHAnsi"/>
          <w:b/>
          <w:bCs/>
          <w:sz w:val="24"/>
          <w:szCs w:val="24"/>
        </w:rPr>
        <w:t>2015</w:t>
      </w:r>
      <w:r w:rsidRPr="00ED58D6">
        <w:rPr>
          <w:rFonts w:cstheme="minorHAnsi"/>
          <w:sz w:val="24"/>
          <w:szCs w:val="24"/>
        </w:rPr>
        <w:t>). All these processes are nutrient removal processes typically applicable to liquid streams. However, solids streams also carry high nutrient loads (Carey et al., </w:t>
      </w:r>
      <w:r w:rsidRPr="00ED58D6">
        <w:rPr>
          <w:rFonts w:cstheme="minorHAnsi"/>
          <w:b/>
          <w:bCs/>
          <w:sz w:val="24"/>
          <w:szCs w:val="24"/>
        </w:rPr>
        <w:t>2016</w:t>
      </w:r>
      <w:r w:rsidRPr="00ED58D6">
        <w:rPr>
          <w:rFonts w:cstheme="minorHAnsi"/>
          <w:sz w:val="24"/>
          <w:szCs w:val="24"/>
        </w:rPr>
        <w:t>).</w:t>
      </w:r>
    </w:p>
    <w:p w14:paraId="5AEDDEA1" w14:textId="405EB528" w:rsidR="00ED58D6" w:rsidRPr="00ED58D6" w:rsidRDefault="00ED58D6" w:rsidP="00ED58D6">
      <w:pPr>
        <w:rPr>
          <w:rFonts w:cstheme="minorHAnsi"/>
          <w:sz w:val="24"/>
          <w:szCs w:val="24"/>
        </w:rPr>
      </w:pPr>
      <w:r w:rsidRPr="00ED58D6">
        <w:rPr>
          <w:rFonts w:cstheme="minorHAnsi"/>
          <w:sz w:val="24"/>
          <w:szCs w:val="24"/>
        </w:rPr>
        <w:t>Nutrients from solids streams are often returned to the head of a WRRF in filtrate streams following thickening and dewatering (Carey et al., </w:t>
      </w:r>
      <w:r w:rsidRPr="00ED58D6">
        <w:rPr>
          <w:rFonts w:cstheme="minorHAnsi"/>
          <w:b/>
          <w:bCs/>
          <w:sz w:val="24"/>
          <w:szCs w:val="24"/>
        </w:rPr>
        <w:t>2015</w:t>
      </w:r>
      <w:r w:rsidRPr="00ED58D6">
        <w:rPr>
          <w:rFonts w:cstheme="minorHAnsi"/>
          <w:sz w:val="24"/>
          <w:szCs w:val="24"/>
        </w:rPr>
        <w:t xml:space="preserve">). Nutrient removal processes for solids streams have not been a major focus in research or practice. Anaerobic processes such as anaerobic digestion </w:t>
      </w:r>
      <w:proofErr w:type="gramStart"/>
      <w:r w:rsidRPr="00ED58D6">
        <w:rPr>
          <w:rFonts w:cstheme="minorHAnsi"/>
          <w:sz w:val="24"/>
          <w:szCs w:val="24"/>
        </w:rPr>
        <w:t>do</w:t>
      </w:r>
      <w:proofErr w:type="gramEnd"/>
      <w:r w:rsidRPr="00ED58D6">
        <w:rPr>
          <w:rFonts w:cstheme="minorHAnsi"/>
          <w:sz w:val="24"/>
          <w:szCs w:val="24"/>
        </w:rPr>
        <w:t xml:space="preserve"> not remove nutrients. Physical processes such as adsorption do not work well with thick streams such as biosolids (Tong et al., </w:t>
      </w:r>
      <w:r w:rsidRPr="00ED58D6">
        <w:rPr>
          <w:rFonts w:cstheme="minorHAnsi"/>
          <w:b/>
          <w:bCs/>
          <w:sz w:val="24"/>
          <w:szCs w:val="24"/>
        </w:rPr>
        <w:t>2016</w:t>
      </w:r>
      <w:r w:rsidRPr="00ED58D6">
        <w:rPr>
          <w:rFonts w:cstheme="minorHAnsi"/>
          <w:sz w:val="24"/>
          <w:szCs w:val="24"/>
        </w:rPr>
        <w:t>, </w:t>
      </w:r>
      <w:r w:rsidRPr="00ED58D6">
        <w:rPr>
          <w:rFonts w:cstheme="minorHAnsi"/>
          <w:b/>
          <w:bCs/>
          <w:sz w:val="24"/>
          <w:szCs w:val="24"/>
        </w:rPr>
        <w:t>2017</w:t>
      </w:r>
      <w:r w:rsidRPr="00ED58D6">
        <w:rPr>
          <w:rFonts w:cstheme="minorHAnsi"/>
          <w:sz w:val="24"/>
          <w:szCs w:val="24"/>
        </w:rPr>
        <w:t>). An aerobic digestion phase after anaerobic digestion, referred to as post-aerobic digestion (PAD), has received more attention as a nutrient removal process that can be applied to solids streams (Kim &amp; Novak, </w:t>
      </w:r>
      <w:r w:rsidRPr="00ED58D6">
        <w:rPr>
          <w:rFonts w:cstheme="minorHAnsi"/>
          <w:b/>
          <w:bCs/>
          <w:sz w:val="24"/>
          <w:szCs w:val="24"/>
        </w:rPr>
        <w:t>2011</w:t>
      </w:r>
      <w:r w:rsidRPr="00ED58D6">
        <w:rPr>
          <w:rFonts w:cstheme="minorHAnsi"/>
          <w:sz w:val="24"/>
          <w:szCs w:val="24"/>
        </w:rPr>
        <w:t xml:space="preserve">; </w:t>
      </w:r>
      <w:proofErr w:type="spellStart"/>
      <w:r w:rsidRPr="00ED58D6">
        <w:rPr>
          <w:rFonts w:cstheme="minorHAnsi"/>
          <w:sz w:val="24"/>
          <w:szCs w:val="24"/>
        </w:rPr>
        <w:t>Parravicini</w:t>
      </w:r>
      <w:proofErr w:type="spellEnd"/>
      <w:r w:rsidRPr="00ED58D6">
        <w:rPr>
          <w:rFonts w:cstheme="minorHAnsi"/>
          <w:sz w:val="24"/>
          <w:szCs w:val="24"/>
        </w:rPr>
        <w:t xml:space="preserve"> et al., </w:t>
      </w:r>
      <w:r w:rsidRPr="00ED58D6">
        <w:rPr>
          <w:rFonts w:cstheme="minorHAnsi"/>
          <w:b/>
          <w:bCs/>
          <w:sz w:val="24"/>
          <w:szCs w:val="24"/>
        </w:rPr>
        <w:t>2008</w:t>
      </w:r>
      <w:r w:rsidRPr="00ED58D6">
        <w:rPr>
          <w:rFonts w:cstheme="minorHAnsi"/>
          <w:sz w:val="24"/>
          <w:szCs w:val="24"/>
        </w:rPr>
        <w:t xml:space="preserve">; </w:t>
      </w:r>
      <w:proofErr w:type="spellStart"/>
      <w:r w:rsidRPr="00ED58D6">
        <w:rPr>
          <w:rFonts w:cstheme="minorHAnsi"/>
          <w:sz w:val="24"/>
          <w:szCs w:val="24"/>
        </w:rPr>
        <w:t>Zupančič</w:t>
      </w:r>
      <w:proofErr w:type="spellEnd"/>
      <w:r w:rsidRPr="00ED58D6">
        <w:rPr>
          <w:rFonts w:cstheme="minorHAnsi"/>
          <w:sz w:val="24"/>
          <w:szCs w:val="24"/>
        </w:rPr>
        <w:t xml:space="preserve"> &amp; </w:t>
      </w:r>
      <w:proofErr w:type="spellStart"/>
      <w:r w:rsidRPr="00ED58D6">
        <w:rPr>
          <w:rFonts w:cstheme="minorHAnsi"/>
          <w:sz w:val="24"/>
          <w:szCs w:val="24"/>
        </w:rPr>
        <w:t>Roš</w:t>
      </w:r>
      <w:proofErr w:type="spellEnd"/>
      <w:r w:rsidRPr="00ED58D6">
        <w:rPr>
          <w:rFonts w:cstheme="minorHAnsi"/>
          <w:sz w:val="24"/>
          <w:szCs w:val="24"/>
        </w:rPr>
        <w:t>, </w:t>
      </w:r>
      <w:r w:rsidRPr="00ED58D6">
        <w:rPr>
          <w:rFonts w:cstheme="minorHAnsi"/>
          <w:b/>
          <w:bCs/>
          <w:sz w:val="24"/>
          <w:szCs w:val="24"/>
        </w:rPr>
        <w:t>2008</w:t>
      </w:r>
      <w:r w:rsidRPr="00ED58D6">
        <w:rPr>
          <w:rFonts w:cstheme="minorHAnsi"/>
          <w:sz w:val="24"/>
          <w:szCs w:val="24"/>
        </w:rPr>
        <w:t>).</w:t>
      </w:r>
    </w:p>
    <w:p w14:paraId="7282B24F" w14:textId="7A552FD6" w:rsidR="00ED58D6" w:rsidRPr="00ED58D6" w:rsidRDefault="00ED58D6" w:rsidP="00ED58D6">
      <w:pPr>
        <w:rPr>
          <w:rFonts w:cstheme="minorHAnsi"/>
          <w:sz w:val="24"/>
          <w:szCs w:val="24"/>
        </w:rPr>
      </w:pPr>
      <w:r w:rsidRPr="00ED58D6">
        <w:rPr>
          <w:rFonts w:cstheme="minorHAnsi"/>
          <w:sz w:val="24"/>
          <w:szCs w:val="24"/>
        </w:rPr>
        <w:t>PAD is primarily of interest as an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removal process. Anaerobic digestion often yields elevated levels of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and PAD has been shown to remove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A unique feature of PAD, compared to nutrient removal processes typically used in liquid streams described above, is that no external carbon source is required because of the available carbon content leaving the anaerobic digester (Bauer et al., </w:t>
      </w:r>
      <w:r w:rsidRPr="00ED58D6">
        <w:rPr>
          <w:rFonts w:cstheme="minorHAnsi"/>
          <w:b/>
          <w:bCs/>
          <w:sz w:val="24"/>
          <w:szCs w:val="24"/>
        </w:rPr>
        <w:t>2016</w:t>
      </w:r>
      <w:r w:rsidRPr="00ED58D6">
        <w:rPr>
          <w:rFonts w:cstheme="minorHAnsi"/>
          <w:sz w:val="24"/>
          <w:szCs w:val="24"/>
        </w:rPr>
        <w:t>). For PAD reactors to operate, no external inputs are needed other than the effluent biosolids from the anaerobic digester (McNamara et al., </w:t>
      </w:r>
      <w:r w:rsidRPr="00ED58D6">
        <w:rPr>
          <w:rFonts w:cstheme="minorHAnsi"/>
          <w:b/>
          <w:bCs/>
          <w:sz w:val="24"/>
          <w:szCs w:val="24"/>
        </w:rPr>
        <w:t>2022</w:t>
      </w:r>
      <w:r w:rsidRPr="00ED58D6">
        <w:rPr>
          <w:rFonts w:cstheme="minorHAnsi"/>
          <w:sz w:val="24"/>
          <w:szCs w:val="24"/>
        </w:rPr>
        <w:t>). The process uses aeration, but the aerobic microbes do not have sufficient carbon to increase their biomass similarly to activated sludge; therefore, they undergo endogenous decay, and there is typically some volatile solids removal (VSR, ~10%) (Ahmad et al., </w:t>
      </w:r>
      <w:r w:rsidRPr="00ED58D6">
        <w:rPr>
          <w:rFonts w:cstheme="minorHAnsi"/>
          <w:b/>
          <w:bCs/>
          <w:sz w:val="24"/>
          <w:szCs w:val="24"/>
        </w:rPr>
        <w:t>2016</w:t>
      </w:r>
      <w:r w:rsidRPr="00ED58D6">
        <w:rPr>
          <w:rFonts w:cstheme="minorHAnsi"/>
          <w:sz w:val="24"/>
          <w:szCs w:val="24"/>
        </w:rPr>
        <w:t>; Kim &amp; Novak, </w:t>
      </w:r>
      <w:r w:rsidRPr="00ED58D6">
        <w:rPr>
          <w:rFonts w:cstheme="minorHAnsi"/>
          <w:b/>
          <w:bCs/>
          <w:sz w:val="24"/>
          <w:szCs w:val="24"/>
        </w:rPr>
        <w:t>2011</w:t>
      </w:r>
      <w:r w:rsidRPr="00ED58D6">
        <w:rPr>
          <w:rFonts w:cstheme="minorHAnsi"/>
          <w:sz w:val="24"/>
          <w:szCs w:val="24"/>
        </w:rPr>
        <w:t>). There is increased attention towards achieving increased VSR; this can happen by using free ammonia (FA) (Wei et al., </w:t>
      </w:r>
      <w:r w:rsidRPr="00ED58D6">
        <w:rPr>
          <w:rFonts w:cstheme="minorHAnsi"/>
          <w:b/>
          <w:bCs/>
          <w:sz w:val="24"/>
          <w:szCs w:val="24"/>
        </w:rPr>
        <w:t>2018</w:t>
      </w:r>
      <w:r w:rsidRPr="00ED58D6">
        <w:rPr>
          <w:rFonts w:cstheme="minorHAnsi"/>
          <w:sz w:val="24"/>
          <w:szCs w:val="24"/>
        </w:rPr>
        <w:t>) or free nitrous acid (FNA) (Wang et al., </w:t>
      </w:r>
      <w:r w:rsidRPr="00ED58D6">
        <w:rPr>
          <w:rFonts w:cstheme="minorHAnsi"/>
          <w:b/>
          <w:bCs/>
          <w:sz w:val="24"/>
          <w:szCs w:val="24"/>
        </w:rPr>
        <w:t>2016</w:t>
      </w:r>
      <w:r w:rsidRPr="00ED58D6">
        <w:rPr>
          <w:rFonts w:cstheme="minorHAnsi"/>
          <w:sz w:val="24"/>
          <w:szCs w:val="24"/>
        </w:rPr>
        <w:t>) to pretreat sludge from the anaerobic digester prior to PAD processing. In addition to chemical pretreatment, physical treatment of anaerobically digested sludge, for example, ultrasounds, has also shown promising results for solids removal (Song et al., </w:t>
      </w:r>
      <w:r w:rsidRPr="00ED58D6">
        <w:rPr>
          <w:rFonts w:cstheme="minorHAnsi"/>
          <w:b/>
          <w:bCs/>
          <w:sz w:val="24"/>
          <w:szCs w:val="24"/>
        </w:rPr>
        <w:t>2017</w:t>
      </w:r>
      <w:r w:rsidRPr="00ED58D6">
        <w:rPr>
          <w:rFonts w:cstheme="minorHAnsi"/>
          <w:sz w:val="24"/>
          <w:szCs w:val="24"/>
        </w:rPr>
        <w:t>).</w:t>
      </w:r>
    </w:p>
    <w:p w14:paraId="1AFF6927" w14:textId="46A89617" w:rsidR="00ED58D6" w:rsidRPr="00ED58D6" w:rsidRDefault="00ED58D6" w:rsidP="00ED58D6">
      <w:pPr>
        <w:rPr>
          <w:rFonts w:cstheme="minorHAnsi"/>
          <w:sz w:val="24"/>
          <w:szCs w:val="24"/>
        </w:rPr>
      </w:pPr>
      <w:r w:rsidRPr="00ED58D6">
        <w:rPr>
          <w:rFonts w:cstheme="minorHAnsi"/>
          <w:sz w:val="24"/>
          <w:szCs w:val="24"/>
        </w:rPr>
        <w:t>Different lab-scale studies postulated that PAD reactors, given their propensity to remove nitrogen and the dissolved oxygen variation across the reactors, are based on a biological process that involves simultaneous nitrification denitrification (SND) (Ahmad et al., </w:t>
      </w:r>
      <w:r w:rsidRPr="00ED58D6">
        <w:rPr>
          <w:rFonts w:cstheme="minorHAnsi"/>
          <w:b/>
          <w:bCs/>
          <w:sz w:val="24"/>
          <w:szCs w:val="24"/>
        </w:rPr>
        <w:t>2016</w:t>
      </w:r>
      <w:r w:rsidRPr="00ED58D6">
        <w:rPr>
          <w:rFonts w:cstheme="minorHAnsi"/>
          <w:sz w:val="24"/>
          <w:szCs w:val="24"/>
        </w:rPr>
        <w:t>; Kumar et al., </w:t>
      </w:r>
      <w:r w:rsidRPr="00ED58D6">
        <w:rPr>
          <w:rFonts w:cstheme="minorHAnsi"/>
          <w:b/>
          <w:bCs/>
          <w:sz w:val="24"/>
          <w:szCs w:val="24"/>
        </w:rPr>
        <w:t>2006</w:t>
      </w:r>
      <w:r w:rsidRPr="00ED58D6">
        <w:rPr>
          <w:rFonts w:cstheme="minorHAnsi"/>
          <w:sz w:val="24"/>
          <w:szCs w:val="24"/>
        </w:rPr>
        <w:t>; Tomei et al., </w:t>
      </w:r>
      <w:r w:rsidRPr="00ED58D6">
        <w:rPr>
          <w:rFonts w:cstheme="minorHAnsi"/>
          <w:b/>
          <w:bCs/>
          <w:sz w:val="24"/>
          <w:szCs w:val="24"/>
        </w:rPr>
        <w:t>2011</w:t>
      </w:r>
      <w:r w:rsidRPr="00ED58D6">
        <w:rPr>
          <w:rFonts w:cstheme="minorHAnsi"/>
          <w:sz w:val="24"/>
          <w:szCs w:val="24"/>
        </w:rPr>
        <w:t>). Constant aeration and intermittent aeration have been shown to be successful. Shortcut nitrogen removal could be the nitrogen removal mechanism based on the presence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Some research previously used the term SND but was not able to verify if shortcut nitrogen removal was occurring (Tomei et al., </w:t>
      </w:r>
      <w:r w:rsidRPr="00ED58D6">
        <w:rPr>
          <w:rFonts w:cstheme="minorHAnsi"/>
          <w:b/>
          <w:bCs/>
          <w:sz w:val="24"/>
          <w:szCs w:val="24"/>
        </w:rPr>
        <w:t>2016</w:t>
      </w:r>
      <w:r w:rsidRPr="00ED58D6">
        <w:rPr>
          <w:rFonts w:cstheme="minorHAnsi"/>
          <w:sz w:val="24"/>
          <w:szCs w:val="24"/>
        </w:rPr>
        <w:t xml:space="preserve">). Due to the lower oxygen demand of shortcut N removal compared to SND, it is important to understand the nitrogen removal mechanism. For example, understanding whether nitrogen is removed via full nitrification or </w:t>
      </w:r>
      <w:proofErr w:type="spellStart"/>
      <w:r w:rsidRPr="00ED58D6">
        <w:rPr>
          <w:rFonts w:cstheme="minorHAnsi"/>
          <w:sz w:val="24"/>
          <w:szCs w:val="24"/>
        </w:rPr>
        <w:t>nitritation</w:t>
      </w:r>
      <w:proofErr w:type="spellEnd"/>
      <w:r w:rsidRPr="00ED58D6">
        <w:rPr>
          <w:rFonts w:cstheme="minorHAnsi"/>
          <w:sz w:val="24"/>
          <w:szCs w:val="24"/>
        </w:rPr>
        <w:t xml:space="preserve"> would be a key finding that can translate into conspicuous economical savings for aeration strategies (</w:t>
      </w:r>
      <w:proofErr w:type="spellStart"/>
      <w:r w:rsidRPr="00ED58D6">
        <w:rPr>
          <w:rFonts w:cstheme="minorHAnsi"/>
          <w:sz w:val="24"/>
          <w:szCs w:val="24"/>
        </w:rPr>
        <w:t>Daigger</w:t>
      </w:r>
      <w:proofErr w:type="spellEnd"/>
      <w:r w:rsidRPr="00ED58D6">
        <w:rPr>
          <w:rFonts w:cstheme="minorHAnsi"/>
          <w:sz w:val="24"/>
          <w:szCs w:val="24"/>
        </w:rPr>
        <w:t>, </w:t>
      </w:r>
      <w:r w:rsidRPr="00ED58D6">
        <w:rPr>
          <w:rFonts w:cstheme="minorHAnsi"/>
          <w:b/>
          <w:bCs/>
          <w:sz w:val="24"/>
          <w:szCs w:val="24"/>
        </w:rPr>
        <w:t>2014</w:t>
      </w:r>
      <w:r w:rsidRPr="00ED58D6">
        <w:rPr>
          <w:rFonts w:cstheme="minorHAnsi"/>
          <w:sz w:val="24"/>
          <w:szCs w:val="24"/>
        </w:rPr>
        <w:t>).</w:t>
      </w:r>
    </w:p>
    <w:p w14:paraId="5371B8BC" w14:textId="06A5457E" w:rsidR="00ED58D6" w:rsidRPr="00ED58D6" w:rsidRDefault="00ED58D6" w:rsidP="00ED58D6">
      <w:pPr>
        <w:rPr>
          <w:rFonts w:cstheme="minorHAnsi"/>
          <w:sz w:val="24"/>
          <w:szCs w:val="24"/>
        </w:rPr>
      </w:pPr>
      <w:r w:rsidRPr="00ED58D6">
        <w:rPr>
          <w:rFonts w:cstheme="minorHAnsi"/>
          <w:sz w:val="24"/>
          <w:szCs w:val="24"/>
        </w:rPr>
        <w:t>McNamara et al. (</w:t>
      </w:r>
      <w:r w:rsidRPr="00ED58D6">
        <w:rPr>
          <w:rFonts w:cstheme="minorHAnsi"/>
          <w:b/>
          <w:bCs/>
          <w:sz w:val="24"/>
          <w:szCs w:val="24"/>
        </w:rPr>
        <w:t>2022</w:t>
      </w:r>
      <w:r w:rsidRPr="00ED58D6">
        <w:rPr>
          <w:rFonts w:cstheme="minorHAnsi"/>
          <w:sz w:val="24"/>
          <w:szCs w:val="24"/>
        </w:rPr>
        <w:t>) described two full-scale operated PAD reactors at MWR Denver and Boulder WTF and found that nitrogen loading rate, SRT, and pH can be important operational parameters for a healthy operation of PAD systems. While this study furthered our knowledge and provided extensive information about operational strategies that complements previous lab-scale studies, no research has been conducted on the microbial community that drives the biological processes in PAD nor has there been specific rate studies investigating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and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production concomitant with microbial community sequencing.</w:t>
      </w:r>
      <w:r w:rsidR="00D864D5">
        <w:rPr>
          <w:rFonts w:cstheme="minorHAnsi"/>
          <w:sz w:val="24"/>
          <w:szCs w:val="24"/>
        </w:rPr>
        <w:t xml:space="preserve"> </w:t>
      </w:r>
      <w:r w:rsidRPr="00ED58D6">
        <w:rPr>
          <w:rFonts w:cstheme="minorHAnsi"/>
          <w:sz w:val="24"/>
          <w:szCs w:val="24"/>
        </w:rPr>
        <w:t>The main goal of this research was to determine the nitrogen removal pathway in PAD and characterize the microbial community that drives this N removal process. We hypothesized that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would form to a greater extent than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and that AOB would be more prevalent than NOB. We operated two different lab-scale reactors seeded with biomass from two different full-scale PAD reactors.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removal,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production, and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production were assessed across different temperatures and alkalinity. Biomass composition evaluated via 16S Illumina sequencing to identify the important microbes for nitrogen removal during PAD operation.</w:t>
      </w:r>
    </w:p>
    <w:p w14:paraId="4CC8EDA5" w14:textId="77777777" w:rsidR="00ED58D6" w:rsidRPr="00ED58D6" w:rsidRDefault="00ED58D6" w:rsidP="00D73DD5">
      <w:pPr>
        <w:pStyle w:val="Heading1"/>
      </w:pPr>
      <w:r w:rsidRPr="00ED58D6">
        <w:t>MATERIAL AND METHODS</w:t>
      </w:r>
    </w:p>
    <w:p w14:paraId="5351BB9E" w14:textId="77777777" w:rsidR="00ED58D6" w:rsidRPr="00ED58D6" w:rsidRDefault="00ED58D6" w:rsidP="00D73DD5">
      <w:pPr>
        <w:pStyle w:val="Heading2"/>
      </w:pPr>
      <w:r w:rsidRPr="00ED58D6">
        <w:t>Lab-scale PAD reactors for batch experiments</w:t>
      </w:r>
    </w:p>
    <w:p w14:paraId="01976CBA" w14:textId="7D34FD70" w:rsidR="00ED58D6" w:rsidRPr="00ED58D6" w:rsidRDefault="00ED58D6" w:rsidP="00ED58D6">
      <w:pPr>
        <w:rPr>
          <w:rFonts w:cstheme="minorHAnsi"/>
          <w:sz w:val="24"/>
          <w:szCs w:val="24"/>
        </w:rPr>
      </w:pPr>
      <w:r w:rsidRPr="00ED58D6">
        <w:rPr>
          <w:rFonts w:cstheme="minorHAnsi"/>
          <w:sz w:val="24"/>
          <w:szCs w:val="24"/>
        </w:rPr>
        <w:t xml:space="preserve">Biomass samples were obtained from full-scale PAD reactors operating at Boulder Wastewater Treatment Facility (WTF) and the Denver Metro Water Recovery Northern Treatment Plant (MWR NTP). Denver's PAD installation occurred in 2016, and Denver's installation occurred in 2017. The two PADs reactors are characterized by different process operations where Denver's PAD reactor is supplemented with calcium hydroxide (lime) for added alkalinity and phosphorus precipitation, while alkalinity addition is not necessary at Boulder. Specifically, Boulder is operated with an average 11.9-day solids retention time (SRT) and an average ammonia loading rate of 0.18 </w:t>
      </w:r>
      <w:proofErr w:type="spellStart"/>
      <w:r w:rsidRPr="00ED58D6">
        <w:rPr>
          <w:rFonts w:cstheme="minorHAnsi"/>
          <w:sz w:val="24"/>
          <w:szCs w:val="24"/>
        </w:rPr>
        <w:t>KgN</w:t>
      </w:r>
      <w:proofErr w:type="spellEnd"/>
      <w:r w:rsidRPr="00ED58D6">
        <w:rPr>
          <w:rFonts w:cstheme="minorHAnsi"/>
          <w:sz w:val="24"/>
          <w:szCs w:val="24"/>
        </w:rPr>
        <w:t xml:space="preserve"> m</w:t>
      </w:r>
      <w:r w:rsidRPr="00ED58D6">
        <w:rPr>
          <w:rFonts w:cstheme="minorHAnsi"/>
          <w:sz w:val="24"/>
          <w:szCs w:val="24"/>
          <w:vertAlign w:val="superscript"/>
        </w:rPr>
        <w:t>−3</w:t>
      </w:r>
      <w:r w:rsidRPr="00ED58D6">
        <w:rPr>
          <w:rFonts w:cstheme="minorHAnsi"/>
          <w:sz w:val="24"/>
          <w:szCs w:val="24"/>
        </w:rPr>
        <w:t> day</w:t>
      </w:r>
      <w:r w:rsidRPr="00ED58D6">
        <w:rPr>
          <w:rFonts w:cstheme="minorHAnsi"/>
          <w:sz w:val="24"/>
          <w:szCs w:val="24"/>
          <w:vertAlign w:val="superscript"/>
        </w:rPr>
        <w:t>−1</w:t>
      </w:r>
      <w:r w:rsidRPr="00ED58D6">
        <w:rPr>
          <w:rFonts w:cstheme="minorHAnsi"/>
          <w:sz w:val="24"/>
          <w:szCs w:val="24"/>
        </w:rPr>
        <w:t xml:space="preserve">, while Denver uses an average 17.1-day SRT and an average ammonia loading rate of 0.098 </w:t>
      </w:r>
      <w:proofErr w:type="spellStart"/>
      <w:r w:rsidRPr="00ED58D6">
        <w:rPr>
          <w:rFonts w:cstheme="minorHAnsi"/>
          <w:sz w:val="24"/>
          <w:szCs w:val="24"/>
        </w:rPr>
        <w:t>KgN</w:t>
      </w:r>
      <w:proofErr w:type="spellEnd"/>
      <w:r w:rsidRPr="00ED58D6">
        <w:rPr>
          <w:rFonts w:cstheme="minorHAnsi"/>
          <w:sz w:val="24"/>
          <w:szCs w:val="24"/>
        </w:rPr>
        <w:t xml:space="preserve"> m</w:t>
      </w:r>
      <w:r w:rsidRPr="00ED58D6">
        <w:rPr>
          <w:rFonts w:cstheme="minorHAnsi"/>
          <w:sz w:val="24"/>
          <w:szCs w:val="24"/>
          <w:vertAlign w:val="superscript"/>
        </w:rPr>
        <w:t>−3</w:t>
      </w:r>
      <w:r w:rsidRPr="00ED58D6">
        <w:rPr>
          <w:rFonts w:cstheme="minorHAnsi"/>
          <w:sz w:val="24"/>
          <w:szCs w:val="24"/>
        </w:rPr>
        <w:t> day</w:t>
      </w:r>
      <w:r w:rsidRPr="00ED58D6">
        <w:rPr>
          <w:rFonts w:cstheme="minorHAnsi"/>
          <w:sz w:val="24"/>
          <w:szCs w:val="24"/>
          <w:vertAlign w:val="superscript"/>
        </w:rPr>
        <w:t>−1</w:t>
      </w:r>
      <w:r w:rsidRPr="00ED58D6">
        <w:rPr>
          <w:rFonts w:cstheme="minorHAnsi"/>
          <w:sz w:val="24"/>
          <w:szCs w:val="24"/>
        </w:rPr>
        <w:t>. Further details about sizing, process, and operation can be found in McNamara et al. (</w:t>
      </w:r>
      <w:r w:rsidRPr="00ED58D6">
        <w:rPr>
          <w:rFonts w:cstheme="minorHAnsi"/>
          <w:b/>
          <w:bCs/>
          <w:sz w:val="24"/>
          <w:szCs w:val="24"/>
        </w:rPr>
        <w:t>2022</w:t>
      </w:r>
      <w:r w:rsidRPr="00ED58D6">
        <w:rPr>
          <w:rFonts w:cstheme="minorHAnsi"/>
          <w:sz w:val="24"/>
          <w:szCs w:val="24"/>
        </w:rPr>
        <w:t>).</w:t>
      </w:r>
    </w:p>
    <w:p w14:paraId="2932C442" w14:textId="77777777" w:rsidR="00ED58D6" w:rsidRPr="00ED58D6" w:rsidRDefault="00ED58D6" w:rsidP="00ED58D6">
      <w:pPr>
        <w:rPr>
          <w:rFonts w:cstheme="minorHAnsi"/>
          <w:sz w:val="24"/>
          <w:szCs w:val="24"/>
        </w:rPr>
      </w:pPr>
      <w:r w:rsidRPr="00ED58D6">
        <w:rPr>
          <w:rFonts w:cstheme="minorHAnsi"/>
          <w:sz w:val="24"/>
          <w:szCs w:val="24"/>
        </w:rPr>
        <w:t>The biomass from each full-scale PAD reactor was used to seed the lab-scale experiments. Biomass was collected from full-scale PAD reactors, stored in plastic bottles at 4°C, and shipped in coolers to the Trinity River Authority of Texas (TRA) Central Regional Wastewater System (CRWS) treatment plant for testing.</w:t>
      </w:r>
    </w:p>
    <w:p w14:paraId="1B9FE3A8" w14:textId="3B952BD0" w:rsidR="00ED58D6" w:rsidRPr="00ED58D6" w:rsidRDefault="00ED58D6" w:rsidP="00ED58D6">
      <w:pPr>
        <w:rPr>
          <w:rFonts w:cstheme="minorHAnsi"/>
          <w:sz w:val="24"/>
          <w:szCs w:val="24"/>
        </w:rPr>
      </w:pPr>
      <w:r w:rsidRPr="00ED58D6">
        <w:rPr>
          <w:rFonts w:cstheme="minorHAnsi"/>
          <w:sz w:val="24"/>
          <w:szCs w:val="24"/>
        </w:rPr>
        <w:t xml:space="preserve">Lab-scale batch tests were performed in two 2-L glass cylindrical </w:t>
      </w:r>
      <w:proofErr w:type="gramStart"/>
      <w:r w:rsidRPr="00ED58D6">
        <w:rPr>
          <w:rFonts w:cstheme="minorHAnsi"/>
          <w:sz w:val="24"/>
          <w:szCs w:val="24"/>
        </w:rPr>
        <w:t>beaker</w:t>
      </w:r>
      <w:proofErr w:type="gramEnd"/>
      <w:r w:rsidRPr="00ED58D6">
        <w:rPr>
          <w:rFonts w:cstheme="minorHAnsi"/>
          <w:sz w:val="24"/>
          <w:szCs w:val="24"/>
        </w:rPr>
        <w:t xml:space="preserve"> with an active volume of 1 L. For each batch test, 1 L of biomass (i.e., effluent) from a full-scale PAD reactor (Denver or Boulder wastewater treatment plant) was fed ammonium chloride (NH</w:t>
      </w:r>
      <w:r w:rsidRPr="00ED58D6">
        <w:rPr>
          <w:rFonts w:cstheme="minorHAnsi"/>
          <w:sz w:val="24"/>
          <w:szCs w:val="24"/>
          <w:vertAlign w:val="subscript"/>
        </w:rPr>
        <w:t>4</w:t>
      </w:r>
      <w:r w:rsidRPr="00ED58D6">
        <w:rPr>
          <w:rFonts w:cstheme="minorHAnsi"/>
          <w:sz w:val="24"/>
          <w:szCs w:val="24"/>
        </w:rPr>
        <w:t>Cl) with an initial concentration of 1,000 mg L</w:t>
      </w:r>
      <w:r w:rsidRPr="00ED58D6">
        <w:rPr>
          <w:rFonts w:cstheme="minorHAnsi"/>
          <w:sz w:val="24"/>
          <w:szCs w:val="24"/>
          <w:vertAlign w:val="superscript"/>
        </w:rPr>
        <w:t>−1</w:t>
      </w:r>
      <w:r w:rsidRPr="00ED58D6">
        <w:rPr>
          <w:rFonts w:cstheme="minorHAnsi"/>
          <w:sz w:val="24"/>
          <w:szCs w:val="24"/>
        </w:rPr>
        <w:t xml:space="preserve"> to test for maximum nitrification rates. The batch reactors were operated with two varying parameters: temperature and alkalinity, to understand their impacts on nitrification and the main nitrogen removal mechanisms. Reactors filled with biomass from Boulder are referred </w:t>
      </w:r>
      <w:proofErr w:type="gramStart"/>
      <w:r w:rsidRPr="00ED58D6">
        <w:rPr>
          <w:rFonts w:cstheme="minorHAnsi"/>
          <w:sz w:val="24"/>
          <w:szCs w:val="24"/>
        </w:rPr>
        <w:t>to</w:t>
      </w:r>
      <w:proofErr w:type="gramEnd"/>
      <w:r w:rsidRPr="00ED58D6">
        <w:rPr>
          <w:rFonts w:cstheme="minorHAnsi"/>
          <w:sz w:val="24"/>
          <w:szCs w:val="24"/>
        </w:rPr>
        <w:t xml:space="preserve"> PAD test B and Reactors filled with biomass from Denver are referred to as PAD test D. A schematic of the reactors' setup can be found in Figure </w:t>
      </w:r>
      <w:r w:rsidRPr="00ED58D6">
        <w:rPr>
          <w:rFonts w:cstheme="minorHAnsi"/>
          <w:b/>
          <w:bCs/>
          <w:sz w:val="24"/>
          <w:szCs w:val="24"/>
        </w:rPr>
        <w:t>1</w:t>
      </w:r>
      <w:r w:rsidRPr="00ED58D6">
        <w:rPr>
          <w:rFonts w:cstheme="minorHAnsi"/>
          <w:sz w:val="24"/>
          <w:szCs w:val="24"/>
        </w:rPr>
        <w:t>. Biomass from both plants was preserved at 4°C for up to a week and warmed up/acclimated to testing temperature in a water bath before beginning batch tests. Excess biomass was disposed of at the end of the week, and a new shipment of biomass from both treatment facilities was received for a fresh batch each week of testing.</w:t>
      </w:r>
    </w:p>
    <w:p w14:paraId="5FED748A" w14:textId="2DF6B272" w:rsidR="00ED58D6" w:rsidRPr="00ED58D6" w:rsidRDefault="00ED58D6" w:rsidP="00D73DD5">
      <w:pPr>
        <w:pStyle w:val="NoSpacing"/>
      </w:pPr>
      <w:r w:rsidRPr="00ED58D6">
        <w:drawing>
          <wp:inline distT="0" distB="0" distL="0" distR="0" wp14:anchorId="360C9553" wp14:editId="2E786A5B">
            <wp:extent cx="2743200" cy="1362456"/>
            <wp:effectExtent l="0" t="0" r="0" b="9525"/>
            <wp:docPr id="1349468164" name="Picture 7"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362456"/>
                    </a:xfrm>
                    <a:prstGeom prst="rect">
                      <a:avLst/>
                    </a:prstGeom>
                    <a:noFill/>
                    <a:ln>
                      <a:noFill/>
                    </a:ln>
                  </pic:spPr>
                </pic:pic>
              </a:graphicData>
            </a:graphic>
          </wp:inline>
        </w:drawing>
      </w:r>
    </w:p>
    <w:p w14:paraId="185577C7" w14:textId="713B43A5" w:rsidR="00ED58D6" w:rsidRPr="00ED58D6" w:rsidRDefault="00ED58D6" w:rsidP="00D73DD5">
      <w:pPr>
        <w:pStyle w:val="NoSpacing"/>
      </w:pPr>
      <w:r w:rsidRPr="00ED58D6">
        <w:rPr>
          <w:b/>
          <w:bCs/>
        </w:rPr>
        <w:t>FIGURE 1</w:t>
      </w:r>
      <w:r w:rsidR="00D73DD5">
        <w:t xml:space="preserve"> </w:t>
      </w:r>
      <w:r w:rsidRPr="00ED58D6">
        <w:t>Batch tests experimental setup for nitrification rate testing</w:t>
      </w:r>
    </w:p>
    <w:p w14:paraId="350B7981" w14:textId="77777777" w:rsidR="00D73DD5" w:rsidRDefault="00D73DD5" w:rsidP="00ED58D6">
      <w:pPr>
        <w:rPr>
          <w:rFonts w:cstheme="minorHAnsi"/>
          <w:sz w:val="24"/>
          <w:szCs w:val="24"/>
        </w:rPr>
      </w:pPr>
    </w:p>
    <w:p w14:paraId="21E0D860" w14:textId="391B8300" w:rsidR="00ED58D6" w:rsidRPr="00ED58D6" w:rsidRDefault="00ED58D6" w:rsidP="00ED58D6">
      <w:pPr>
        <w:rPr>
          <w:rFonts w:cstheme="minorHAnsi"/>
          <w:sz w:val="24"/>
          <w:szCs w:val="24"/>
        </w:rPr>
      </w:pPr>
      <w:r w:rsidRPr="00ED58D6">
        <w:rPr>
          <w:rFonts w:cstheme="minorHAnsi"/>
          <w:sz w:val="24"/>
          <w:szCs w:val="24"/>
        </w:rPr>
        <w:t>The first set of experiments focused on the impact of temperature on nitrification rates. At beginning of the temperature tests, NH</w:t>
      </w:r>
      <w:r w:rsidRPr="00ED58D6">
        <w:rPr>
          <w:rFonts w:cstheme="minorHAnsi"/>
          <w:sz w:val="24"/>
          <w:szCs w:val="24"/>
          <w:vertAlign w:val="subscript"/>
        </w:rPr>
        <w:t>4</w:t>
      </w:r>
      <w:r w:rsidRPr="00ED58D6">
        <w:rPr>
          <w:rFonts w:cstheme="minorHAnsi"/>
          <w:sz w:val="24"/>
          <w:szCs w:val="24"/>
        </w:rPr>
        <w:t xml:space="preserve">Cl was spiked to achieve 600 </w:t>
      </w:r>
      <w:proofErr w:type="spellStart"/>
      <w:r w:rsidRPr="00ED58D6">
        <w:rPr>
          <w:rFonts w:cstheme="minorHAnsi"/>
          <w:sz w:val="24"/>
          <w:szCs w:val="24"/>
        </w:rPr>
        <w:t>mgN</w:t>
      </w:r>
      <w:proofErr w:type="spellEnd"/>
      <w:r w:rsidRPr="00ED58D6">
        <w:rPr>
          <w:rFonts w:cstheme="minorHAnsi"/>
          <w:sz w:val="24"/>
          <w:szCs w:val="24"/>
        </w:rPr>
        <w:t xml:space="preserve"> L</w:t>
      </w:r>
      <w:r w:rsidRPr="00ED58D6">
        <w:rPr>
          <w:rFonts w:cstheme="minorHAnsi"/>
          <w:sz w:val="24"/>
          <w:szCs w:val="24"/>
          <w:vertAlign w:val="superscript"/>
        </w:rPr>
        <w:t>−1</w:t>
      </w:r>
      <w:r w:rsidRPr="00ED58D6">
        <w:rPr>
          <w:rFonts w:cstheme="minorHAnsi"/>
          <w:sz w:val="24"/>
          <w:szCs w:val="24"/>
        </w:rPr>
        <w:t>; each batch test ran for approximately 5 h from the time they were spiked. Samples were collected at 30-min intervals for a total of 11 samples, including an initial time point, </w:t>
      </w:r>
      <w:r w:rsidRPr="00ED58D6">
        <w:rPr>
          <w:rFonts w:cstheme="minorHAnsi"/>
          <w:i/>
          <w:iCs/>
          <w:sz w:val="24"/>
          <w:szCs w:val="24"/>
        </w:rPr>
        <w:t>t</w:t>
      </w:r>
      <w:r w:rsidRPr="00ED58D6">
        <w:rPr>
          <w:rFonts w:cstheme="minorHAnsi"/>
          <w:sz w:val="24"/>
          <w:szCs w:val="24"/>
          <w:vertAlign w:val="subscript"/>
        </w:rPr>
        <w:t>0</w:t>
      </w:r>
      <w:r w:rsidRPr="00ED58D6">
        <w:rPr>
          <w:rFonts w:cstheme="minorHAnsi"/>
          <w:sz w:val="24"/>
          <w:szCs w:val="24"/>
        </w:rPr>
        <w:t>. All the parameters were tracked following procedure and standard methods reported in Table </w:t>
      </w:r>
      <w:r w:rsidRPr="00ED58D6">
        <w:rPr>
          <w:rFonts w:cstheme="minorHAnsi"/>
          <w:b/>
          <w:bCs/>
          <w:sz w:val="24"/>
          <w:szCs w:val="24"/>
        </w:rPr>
        <w:t>1</w:t>
      </w:r>
      <w:r w:rsidRPr="00ED58D6">
        <w:rPr>
          <w:rFonts w:cstheme="minorHAnsi"/>
          <w:sz w:val="24"/>
          <w:szCs w:val="24"/>
        </w:rPr>
        <w:t>.</w:t>
      </w:r>
    </w:p>
    <w:p w14:paraId="49D98E80" w14:textId="77777777" w:rsidR="00ED58D6" w:rsidRPr="00ED58D6" w:rsidRDefault="00ED58D6" w:rsidP="00D73DD5">
      <w:pPr>
        <w:spacing w:after="0"/>
        <w:rPr>
          <w:rFonts w:cstheme="minorHAnsi"/>
          <w:sz w:val="24"/>
          <w:szCs w:val="24"/>
        </w:rPr>
      </w:pPr>
      <w:r w:rsidRPr="00ED58D6">
        <w:rPr>
          <w:rFonts w:cstheme="minorHAnsi"/>
          <w:b/>
          <w:bCs/>
          <w:sz w:val="24"/>
          <w:szCs w:val="24"/>
        </w:rPr>
        <w:t>TABLE 1. </w:t>
      </w:r>
      <w:r w:rsidRPr="00ED58D6">
        <w:rPr>
          <w:rFonts w:cstheme="minorHAnsi"/>
          <w:sz w:val="24"/>
          <w:szCs w:val="24"/>
        </w:rPr>
        <w:t xml:space="preserve">Analytical method, kit, or probe used to collect data for both </w:t>
      </w:r>
      <w:proofErr w:type="gramStart"/>
      <w:r w:rsidRPr="00ED58D6">
        <w:rPr>
          <w:rFonts w:cstheme="minorHAnsi"/>
          <w:sz w:val="24"/>
          <w:szCs w:val="24"/>
        </w:rPr>
        <w:t>reactors</w:t>
      </w:r>
      <w:proofErr w:type="gramEnd"/>
    </w:p>
    <w:tbl>
      <w:tblPr>
        <w:tblStyle w:val="TableGrid"/>
        <w:tblW w:w="0" w:type="auto"/>
        <w:tblLook w:val="04A0" w:firstRow="1" w:lastRow="0" w:firstColumn="1" w:lastColumn="0" w:noHBand="0" w:noVBand="1"/>
      </w:tblPr>
      <w:tblGrid>
        <w:gridCol w:w="1894"/>
        <w:gridCol w:w="2405"/>
      </w:tblGrid>
      <w:tr w:rsidR="00ED58D6" w:rsidRPr="00ED58D6" w14:paraId="5169F3C3" w14:textId="77777777" w:rsidTr="00D73DD5">
        <w:tc>
          <w:tcPr>
            <w:tcW w:w="0" w:type="auto"/>
            <w:hideMark/>
          </w:tcPr>
          <w:p w14:paraId="3A3CA41C" w14:textId="77777777" w:rsidR="00ED58D6" w:rsidRPr="00ED58D6" w:rsidRDefault="00ED58D6" w:rsidP="00D73DD5">
            <w:pPr>
              <w:spacing w:line="259" w:lineRule="auto"/>
              <w:rPr>
                <w:rFonts w:cstheme="minorHAnsi"/>
                <w:b/>
                <w:bCs/>
                <w:sz w:val="24"/>
                <w:szCs w:val="24"/>
              </w:rPr>
            </w:pPr>
            <w:r w:rsidRPr="00ED58D6">
              <w:rPr>
                <w:rFonts w:cstheme="minorHAnsi"/>
                <w:b/>
                <w:bCs/>
                <w:sz w:val="24"/>
                <w:szCs w:val="24"/>
              </w:rPr>
              <w:t>Parameter</w:t>
            </w:r>
          </w:p>
        </w:tc>
        <w:tc>
          <w:tcPr>
            <w:tcW w:w="0" w:type="auto"/>
            <w:hideMark/>
          </w:tcPr>
          <w:p w14:paraId="43709752" w14:textId="77777777" w:rsidR="00ED58D6" w:rsidRPr="00ED58D6" w:rsidRDefault="00ED58D6" w:rsidP="00D73DD5">
            <w:pPr>
              <w:spacing w:line="259" w:lineRule="auto"/>
              <w:rPr>
                <w:rFonts w:cstheme="minorHAnsi"/>
                <w:b/>
                <w:bCs/>
                <w:sz w:val="24"/>
                <w:szCs w:val="24"/>
              </w:rPr>
            </w:pPr>
            <w:r w:rsidRPr="00ED58D6">
              <w:rPr>
                <w:rFonts w:cstheme="minorHAnsi"/>
                <w:b/>
                <w:bCs/>
                <w:sz w:val="24"/>
                <w:szCs w:val="24"/>
              </w:rPr>
              <w:t>Method/probe used</w:t>
            </w:r>
          </w:p>
        </w:tc>
      </w:tr>
      <w:tr w:rsidR="00ED58D6" w:rsidRPr="00ED58D6" w14:paraId="48A68F58" w14:textId="77777777" w:rsidTr="00D73DD5">
        <w:tc>
          <w:tcPr>
            <w:tcW w:w="0" w:type="auto"/>
            <w:hideMark/>
          </w:tcPr>
          <w:p w14:paraId="68B96AE9" w14:textId="77777777" w:rsidR="00ED58D6" w:rsidRPr="00ED58D6" w:rsidRDefault="00ED58D6" w:rsidP="00D73DD5">
            <w:pPr>
              <w:spacing w:line="259" w:lineRule="auto"/>
              <w:rPr>
                <w:rFonts w:cstheme="minorHAnsi"/>
                <w:sz w:val="24"/>
                <w:szCs w:val="24"/>
              </w:rPr>
            </w:pPr>
            <w:r w:rsidRPr="00ED58D6">
              <w:rPr>
                <w:rFonts w:cstheme="minorHAnsi"/>
                <w:sz w:val="24"/>
                <w:szCs w:val="24"/>
              </w:rPr>
              <w:t>Total solids</w:t>
            </w:r>
          </w:p>
        </w:tc>
        <w:tc>
          <w:tcPr>
            <w:tcW w:w="0" w:type="auto"/>
            <w:hideMark/>
          </w:tcPr>
          <w:p w14:paraId="2C475C24" w14:textId="77777777" w:rsidR="00ED58D6" w:rsidRPr="00ED58D6" w:rsidRDefault="00ED58D6" w:rsidP="00D73DD5">
            <w:pPr>
              <w:spacing w:line="259" w:lineRule="auto"/>
              <w:rPr>
                <w:rFonts w:cstheme="minorHAnsi"/>
                <w:sz w:val="24"/>
                <w:szCs w:val="24"/>
              </w:rPr>
            </w:pPr>
            <w:r w:rsidRPr="00ED58D6">
              <w:rPr>
                <w:rFonts w:cstheme="minorHAnsi"/>
                <w:sz w:val="24"/>
                <w:szCs w:val="24"/>
              </w:rPr>
              <w:t>Standard method</w:t>
            </w:r>
          </w:p>
        </w:tc>
      </w:tr>
      <w:tr w:rsidR="00ED58D6" w:rsidRPr="00ED58D6" w14:paraId="1CF3DF93" w14:textId="77777777" w:rsidTr="00D73DD5">
        <w:tc>
          <w:tcPr>
            <w:tcW w:w="0" w:type="auto"/>
            <w:hideMark/>
          </w:tcPr>
          <w:p w14:paraId="38D5FAA3" w14:textId="77777777" w:rsidR="00ED58D6" w:rsidRPr="00ED58D6" w:rsidRDefault="00ED58D6" w:rsidP="00D73DD5">
            <w:pPr>
              <w:spacing w:line="259" w:lineRule="auto"/>
              <w:rPr>
                <w:rFonts w:cstheme="minorHAnsi"/>
                <w:sz w:val="24"/>
                <w:szCs w:val="24"/>
              </w:rPr>
            </w:pPr>
            <w:r w:rsidRPr="00ED58D6">
              <w:rPr>
                <w:rFonts w:cstheme="minorHAnsi"/>
                <w:sz w:val="24"/>
                <w:szCs w:val="24"/>
              </w:rPr>
              <w:t>Volatile solids</w:t>
            </w:r>
          </w:p>
        </w:tc>
        <w:tc>
          <w:tcPr>
            <w:tcW w:w="0" w:type="auto"/>
            <w:hideMark/>
          </w:tcPr>
          <w:p w14:paraId="03FD06A0" w14:textId="77777777" w:rsidR="00ED58D6" w:rsidRPr="00ED58D6" w:rsidRDefault="00ED58D6" w:rsidP="00D73DD5">
            <w:pPr>
              <w:spacing w:line="259" w:lineRule="auto"/>
              <w:rPr>
                <w:rFonts w:cstheme="minorHAnsi"/>
                <w:sz w:val="24"/>
                <w:szCs w:val="24"/>
              </w:rPr>
            </w:pPr>
            <w:r w:rsidRPr="00ED58D6">
              <w:rPr>
                <w:rFonts w:cstheme="minorHAnsi"/>
                <w:sz w:val="24"/>
                <w:szCs w:val="24"/>
              </w:rPr>
              <w:t>Standard method</w:t>
            </w:r>
          </w:p>
        </w:tc>
      </w:tr>
      <w:tr w:rsidR="00ED58D6" w:rsidRPr="00ED58D6" w14:paraId="513B705B" w14:textId="77777777" w:rsidTr="00D73DD5">
        <w:tc>
          <w:tcPr>
            <w:tcW w:w="0" w:type="auto"/>
            <w:hideMark/>
          </w:tcPr>
          <w:p w14:paraId="52D4CDC3" w14:textId="77777777" w:rsidR="00ED58D6" w:rsidRPr="00ED58D6" w:rsidRDefault="00ED58D6" w:rsidP="00D73DD5">
            <w:pPr>
              <w:spacing w:line="259" w:lineRule="auto"/>
              <w:rPr>
                <w:rFonts w:cstheme="minorHAnsi"/>
                <w:sz w:val="24"/>
                <w:szCs w:val="24"/>
              </w:rPr>
            </w:pPr>
            <w:r w:rsidRPr="00ED58D6">
              <w:rPr>
                <w:rFonts w:cstheme="minorHAnsi"/>
                <w:sz w:val="24"/>
                <w:szCs w:val="24"/>
              </w:rPr>
              <w:t>Ammonia</w:t>
            </w:r>
          </w:p>
        </w:tc>
        <w:tc>
          <w:tcPr>
            <w:tcW w:w="0" w:type="auto"/>
            <w:hideMark/>
          </w:tcPr>
          <w:p w14:paraId="48E696FE" w14:textId="77777777" w:rsidR="00ED58D6" w:rsidRPr="00ED58D6" w:rsidRDefault="00ED58D6" w:rsidP="00D73DD5">
            <w:pPr>
              <w:spacing w:line="259" w:lineRule="auto"/>
              <w:rPr>
                <w:rFonts w:cstheme="minorHAnsi"/>
                <w:sz w:val="24"/>
                <w:szCs w:val="24"/>
              </w:rPr>
            </w:pPr>
            <w:r w:rsidRPr="00ED58D6">
              <w:rPr>
                <w:rFonts w:cstheme="minorHAnsi"/>
                <w:sz w:val="24"/>
                <w:szCs w:val="24"/>
              </w:rPr>
              <w:t>Hach DR6000</w:t>
            </w:r>
          </w:p>
        </w:tc>
      </w:tr>
      <w:tr w:rsidR="00ED58D6" w:rsidRPr="00ED58D6" w14:paraId="6C5E628B" w14:textId="77777777" w:rsidTr="00D73DD5">
        <w:tc>
          <w:tcPr>
            <w:tcW w:w="0" w:type="auto"/>
            <w:hideMark/>
          </w:tcPr>
          <w:p w14:paraId="705223FB" w14:textId="77777777" w:rsidR="00ED58D6" w:rsidRPr="00ED58D6" w:rsidRDefault="00ED58D6" w:rsidP="00D73DD5">
            <w:pPr>
              <w:spacing w:line="259" w:lineRule="auto"/>
              <w:rPr>
                <w:rFonts w:cstheme="minorHAnsi"/>
                <w:sz w:val="24"/>
                <w:szCs w:val="24"/>
              </w:rPr>
            </w:pPr>
            <w:r w:rsidRPr="00ED58D6">
              <w:rPr>
                <w:rFonts w:cstheme="minorHAnsi"/>
                <w:sz w:val="24"/>
                <w:szCs w:val="24"/>
              </w:rPr>
              <w:t>Nitrite</w:t>
            </w:r>
          </w:p>
        </w:tc>
        <w:tc>
          <w:tcPr>
            <w:tcW w:w="0" w:type="auto"/>
            <w:hideMark/>
          </w:tcPr>
          <w:p w14:paraId="1A3B349E" w14:textId="77777777" w:rsidR="00ED58D6" w:rsidRPr="00ED58D6" w:rsidRDefault="00ED58D6" w:rsidP="00D73DD5">
            <w:pPr>
              <w:spacing w:line="259" w:lineRule="auto"/>
              <w:rPr>
                <w:rFonts w:cstheme="minorHAnsi"/>
                <w:sz w:val="24"/>
                <w:szCs w:val="24"/>
              </w:rPr>
            </w:pPr>
            <w:r w:rsidRPr="00ED58D6">
              <w:rPr>
                <w:rFonts w:cstheme="minorHAnsi"/>
                <w:sz w:val="24"/>
                <w:szCs w:val="24"/>
              </w:rPr>
              <w:t>Hach DR6000</w:t>
            </w:r>
          </w:p>
        </w:tc>
      </w:tr>
      <w:tr w:rsidR="00ED58D6" w:rsidRPr="00ED58D6" w14:paraId="78856415" w14:textId="77777777" w:rsidTr="00D73DD5">
        <w:tc>
          <w:tcPr>
            <w:tcW w:w="0" w:type="auto"/>
            <w:hideMark/>
          </w:tcPr>
          <w:p w14:paraId="7BF763D5" w14:textId="77777777" w:rsidR="00ED58D6" w:rsidRPr="00ED58D6" w:rsidRDefault="00ED58D6" w:rsidP="00D73DD5">
            <w:pPr>
              <w:spacing w:line="259" w:lineRule="auto"/>
              <w:rPr>
                <w:rFonts w:cstheme="minorHAnsi"/>
                <w:sz w:val="24"/>
                <w:szCs w:val="24"/>
              </w:rPr>
            </w:pPr>
            <w:r w:rsidRPr="00ED58D6">
              <w:rPr>
                <w:rFonts w:cstheme="minorHAnsi"/>
                <w:sz w:val="24"/>
                <w:szCs w:val="24"/>
              </w:rPr>
              <w:t>Nitrate</w:t>
            </w:r>
          </w:p>
        </w:tc>
        <w:tc>
          <w:tcPr>
            <w:tcW w:w="0" w:type="auto"/>
            <w:hideMark/>
          </w:tcPr>
          <w:p w14:paraId="5CBDCD9A" w14:textId="77777777" w:rsidR="00ED58D6" w:rsidRPr="00ED58D6" w:rsidRDefault="00ED58D6" w:rsidP="00D73DD5">
            <w:pPr>
              <w:spacing w:line="259" w:lineRule="auto"/>
              <w:rPr>
                <w:rFonts w:cstheme="minorHAnsi"/>
                <w:sz w:val="24"/>
                <w:szCs w:val="24"/>
              </w:rPr>
            </w:pPr>
            <w:r w:rsidRPr="00ED58D6">
              <w:rPr>
                <w:rFonts w:cstheme="minorHAnsi"/>
                <w:sz w:val="24"/>
                <w:szCs w:val="24"/>
              </w:rPr>
              <w:t>Hach DR6000</w:t>
            </w:r>
          </w:p>
        </w:tc>
      </w:tr>
      <w:tr w:rsidR="00ED58D6" w:rsidRPr="00ED58D6" w14:paraId="160ABDF8" w14:textId="77777777" w:rsidTr="00D73DD5">
        <w:tc>
          <w:tcPr>
            <w:tcW w:w="0" w:type="auto"/>
            <w:hideMark/>
          </w:tcPr>
          <w:p w14:paraId="305D8359" w14:textId="77777777" w:rsidR="00ED58D6" w:rsidRPr="00ED58D6" w:rsidRDefault="00ED58D6" w:rsidP="00D73DD5">
            <w:pPr>
              <w:spacing w:line="259" w:lineRule="auto"/>
              <w:rPr>
                <w:rFonts w:cstheme="minorHAnsi"/>
                <w:sz w:val="24"/>
                <w:szCs w:val="24"/>
              </w:rPr>
            </w:pPr>
            <w:r w:rsidRPr="00ED58D6">
              <w:rPr>
                <w:rFonts w:cstheme="minorHAnsi"/>
                <w:sz w:val="24"/>
                <w:szCs w:val="24"/>
              </w:rPr>
              <w:t>Orthophosphate</w:t>
            </w:r>
          </w:p>
        </w:tc>
        <w:tc>
          <w:tcPr>
            <w:tcW w:w="0" w:type="auto"/>
            <w:hideMark/>
          </w:tcPr>
          <w:p w14:paraId="0E84C1C8" w14:textId="77777777" w:rsidR="00ED58D6" w:rsidRPr="00ED58D6" w:rsidRDefault="00ED58D6" w:rsidP="00D73DD5">
            <w:pPr>
              <w:spacing w:line="259" w:lineRule="auto"/>
              <w:rPr>
                <w:rFonts w:cstheme="minorHAnsi"/>
                <w:sz w:val="24"/>
                <w:szCs w:val="24"/>
              </w:rPr>
            </w:pPr>
            <w:r w:rsidRPr="00ED58D6">
              <w:rPr>
                <w:rFonts w:cstheme="minorHAnsi"/>
                <w:sz w:val="24"/>
                <w:szCs w:val="24"/>
              </w:rPr>
              <w:t>Hach DR6000</w:t>
            </w:r>
          </w:p>
        </w:tc>
      </w:tr>
      <w:tr w:rsidR="00ED58D6" w:rsidRPr="00ED58D6" w14:paraId="25210B0E" w14:textId="77777777" w:rsidTr="00D73DD5">
        <w:tc>
          <w:tcPr>
            <w:tcW w:w="0" w:type="auto"/>
            <w:hideMark/>
          </w:tcPr>
          <w:p w14:paraId="3526A24B" w14:textId="77777777" w:rsidR="00ED58D6" w:rsidRPr="00ED58D6" w:rsidRDefault="00ED58D6" w:rsidP="00D73DD5">
            <w:pPr>
              <w:spacing w:line="259" w:lineRule="auto"/>
              <w:rPr>
                <w:rFonts w:cstheme="minorHAnsi"/>
                <w:sz w:val="24"/>
                <w:szCs w:val="24"/>
              </w:rPr>
            </w:pPr>
            <w:r w:rsidRPr="00ED58D6">
              <w:rPr>
                <w:rFonts w:cstheme="minorHAnsi"/>
                <w:sz w:val="24"/>
                <w:szCs w:val="24"/>
              </w:rPr>
              <w:t>pH</w:t>
            </w:r>
          </w:p>
        </w:tc>
        <w:tc>
          <w:tcPr>
            <w:tcW w:w="0" w:type="auto"/>
            <w:hideMark/>
          </w:tcPr>
          <w:p w14:paraId="262CF0DD" w14:textId="77777777" w:rsidR="00ED58D6" w:rsidRPr="00ED58D6" w:rsidRDefault="00ED58D6" w:rsidP="00D73DD5">
            <w:pPr>
              <w:spacing w:line="259" w:lineRule="auto"/>
              <w:rPr>
                <w:rFonts w:cstheme="minorHAnsi"/>
                <w:sz w:val="24"/>
                <w:szCs w:val="24"/>
              </w:rPr>
            </w:pPr>
            <w:r w:rsidRPr="00ED58D6">
              <w:rPr>
                <w:rFonts w:cstheme="minorHAnsi"/>
                <w:sz w:val="24"/>
                <w:szCs w:val="24"/>
              </w:rPr>
              <w:t>Orion Star A211 probe</w:t>
            </w:r>
          </w:p>
        </w:tc>
      </w:tr>
      <w:tr w:rsidR="00ED58D6" w:rsidRPr="00ED58D6" w14:paraId="09E275A1" w14:textId="77777777" w:rsidTr="00D73DD5">
        <w:tc>
          <w:tcPr>
            <w:tcW w:w="0" w:type="auto"/>
            <w:hideMark/>
          </w:tcPr>
          <w:p w14:paraId="7FB1D779" w14:textId="77777777" w:rsidR="00ED58D6" w:rsidRPr="00ED58D6" w:rsidRDefault="00ED58D6" w:rsidP="00D73DD5">
            <w:pPr>
              <w:spacing w:line="259" w:lineRule="auto"/>
              <w:rPr>
                <w:rFonts w:cstheme="minorHAnsi"/>
                <w:sz w:val="24"/>
                <w:szCs w:val="24"/>
              </w:rPr>
            </w:pPr>
            <w:r w:rsidRPr="00ED58D6">
              <w:rPr>
                <w:rFonts w:cstheme="minorHAnsi"/>
                <w:sz w:val="24"/>
                <w:szCs w:val="24"/>
              </w:rPr>
              <w:t>TIC</w:t>
            </w:r>
          </w:p>
        </w:tc>
        <w:tc>
          <w:tcPr>
            <w:tcW w:w="0" w:type="auto"/>
            <w:hideMark/>
          </w:tcPr>
          <w:p w14:paraId="64A4306B" w14:textId="77777777" w:rsidR="00ED58D6" w:rsidRPr="00ED58D6" w:rsidRDefault="00ED58D6" w:rsidP="00D73DD5">
            <w:pPr>
              <w:spacing w:line="259" w:lineRule="auto"/>
              <w:rPr>
                <w:rFonts w:cstheme="minorHAnsi"/>
                <w:sz w:val="24"/>
                <w:szCs w:val="24"/>
              </w:rPr>
            </w:pPr>
            <w:r w:rsidRPr="00ED58D6">
              <w:rPr>
                <w:rFonts w:cstheme="minorHAnsi"/>
                <w:sz w:val="24"/>
                <w:szCs w:val="24"/>
              </w:rPr>
              <w:t>Standard method</w:t>
            </w:r>
          </w:p>
        </w:tc>
      </w:tr>
      <w:tr w:rsidR="00ED58D6" w:rsidRPr="00ED58D6" w14:paraId="0D2307A6" w14:textId="77777777" w:rsidTr="00D73DD5">
        <w:tc>
          <w:tcPr>
            <w:tcW w:w="0" w:type="auto"/>
            <w:hideMark/>
          </w:tcPr>
          <w:p w14:paraId="4FC76586" w14:textId="77777777" w:rsidR="00ED58D6" w:rsidRPr="00ED58D6" w:rsidRDefault="00ED58D6" w:rsidP="00D73DD5">
            <w:pPr>
              <w:spacing w:line="259" w:lineRule="auto"/>
              <w:rPr>
                <w:rFonts w:cstheme="minorHAnsi"/>
                <w:sz w:val="24"/>
                <w:szCs w:val="24"/>
              </w:rPr>
            </w:pPr>
            <w:r w:rsidRPr="00ED58D6">
              <w:rPr>
                <w:rFonts w:cstheme="minorHAnsi"/>
                <w:sz w:val="24"/>
                <w:szCs w:val="24"/>
              </w:rPr>
              <w:t>Dissolved oxygen</w:t>
            </w:r>
          </w:p>
        </w:tc>
        <w:tc>
          <w:tcPr>
            <w:tcW w:w="0" w:type="auto"/>
            <w:hideMark/>
          </w:tcPr>
          <w:p w14:paraId="2F8E9CD3" w14:textId="77777777" w:rsidR="00ED58D6" w:rsidRPr="00ED58D6" w:rsidRDefault="00ED58D6" w:rsidP="00D73DD5">
            <w:pPr>
              <w:spacing w:line="259" w:lineRule="auto"/>
              <w:rPr>
                <w:rFonts w:cstheme="minorHAnsi"/>
                <w:sz w:val="24"/>
                <w:szCs w:val="24"/>
              </w:rPr>
            </w:pPr>
            <w:r w:rsidRPr="00ED58D6">
              <w:rPr>
                <w:rFonts w:cstheme="minorHAnsi"/>
                <w:sz w:val="24"/>
                <w:szCs w:val="24"/>
              </w:rPr>
              <w:t>Hach HQ40d</w:t>
            </w:r>
          </w:p>
        </w:tc>
      </w:tr>
    </w:tbl>
    <w:p w14:paraId="774083EF" w14:textId="77777777" w:rsidR="00D73DD5" w:rsidRDefault="00D73DD5" w:rsidP="00ED58D6">
      <w:pPr>
        <w:rPr>
          <w:rFonts w:cstheme="minorHAnsi"/>
          <w:sz w:val="24"/>
          <w:szCs w:val="24"/>
        </w:rPr>
      </w:pPr>
    </w:p>
    <w:p w14:paraId="13E9193D" w14:textId="44F62998" w:rsidR="00ED58D6" w:rsidRPr="00ED58D6" w:rsidRDefault="00ED58D6" w:rsidP="00ED58D6">
      <w:pPr>
        <w:rPr>
          <w:rFonts w:cstheme="minorHAnsi"/>
          <w:sz w:val="24"/>
          <w:szCs w:val="24"/>
        </w:rPr>
      </w:pPr>
      <w:r w:rsidRPr="00ED58D6">
        <w:rPr>
          <w:rFonts w:cstheme="minorHAnsi"/>
          <w:sz w:val="24"/>
          <w:szCs w:val="24"/>
        </w:rPr>
        <w:t>The biomass from each plant was kinetically characterized for nitrification with batch kinetic tests performed at different set temperatures (24.5°C, 30°C, 40°C, and 50°C). Normal operating temperature is between 30°C and 40°C (McNamara et al., </w:t>
      </w:r>
      <w:r w:rsidRPr="00ED58D6">
        <w:rPr>
          <w:rFonts w:cstheme="minorHAnsi"/>
          <w:b/>
          <w:bCs/>
          <w:sz w:val="24"/>
          <w:szCs w:val="24"/>
        </w:rPr>
        <w:t>2022</w:t>
      </w:r>
      <w:r w:rsidRPr="00ED58D6">
        <w:rPr>
          <w:rFonts w:cstheme="minorHAnsi"/>
          <w:sz w:val="24"/>
          <w:szCs w:val="24"/>
        </w:rPr>
        <w:t>), while 50°C was selected as an extreme boundary condition. The temperature was controlled via a thermostatic bath. Dissolved oxygen was kept at saturation by constant sparging via compressed air at a flow rate suitable to support the DO at a set-point of 4 mg L</w:t>
      </w:r>
      <w:r w:rsidRPr="00ED58D6">
        <w:rPr>
          <w:rFonts w:cstheme="minorHAnsi"/>
          <w:sz w:val="24"/>
          <w:szCs w:val="24"/>
          <w:vertAlign w:val="superscript"/>
        </w:rPr>
        <w:t>−1</w:t>
      </w:r>
      <w:r w:rsidRPr="00ED58D6">
        <w:rPr>
          <w:rFonts w:cstheme="minorHAnsi"/>
          <w:sz w:val="24"/>
          <w:szCs w:val="24"/>
        </w:rPr>
        <w:t>. In McNamara et al. (</w:t>
      </w:r>
      <w:r w:rsidRPr="00ED58D6">
        <w:rPr>
          <w:rFonts w:cstheme="minorHAnsi"/>
          <w:b/>
          <w:bCs/>
          <w:sz w:val="24"/>
          <w:szCs w:val="24"/>
        </w:rPr>
        <w:t>2022</w:t>
      </w:r>
      <w:r w:rsidRPr="00ED58D6">
        <w:rPr>
          <w:rFonts w:cstheme="minorHAnsi"/>
          <w:sz w:val="24"/>
          <w:szCs w:val="24"/>
        </w:rPr>
        <w:t xml:space="preserve">), full-scale PAD reactors were operated at low DO to achieve full nitrogen removal via SND or </w:t>
      </w:r>
      <w:proofErr w:type="spellStart"/>
      <w:r w:rsidRPr="00ED58D6">
        <w:rPr>
          <w:rFonts w:cstheme="minorHAnsi"/>
          <w:sz w:val="24"/>
          <w:szCs w:val="24"/>
        </w:rPr>
        <w:t>nitritation</w:t>
      </w:r>
      <w:proofErr w:type="spellEnd"/>
      <w:r w:rsidRPr="00ED58D6">
        <w:rPr>
          <w:rFonts w:cstheme="minorHAnsi"/>
          <w:sz w:val="24"/>
          <w:szCs w:val="24"/>
        </w:rPr>
        <w:t>/</w:t>
      </w:r>
      <w:proofErr w:type="spellStart"/>
      <w:r w:rsidRPr="00ED58D6">
        <w:rPr>
          <w:rFonts w:cstheme="minorHAnsi"/>
          <w:sz w:val="24"/>
          <w:szCs w:val="24"/>
        </w:rPr>
        <w:t>denitritation</w:t>
      </w:r>
      <w:proofErr w:type="spellEnd"/>
      <w:r w:rsidRPr="00ED58D6">
        <w:rPr>
          <w:rFonts w:cstheme="minorHAnsi"/>
          <w:sz w:val="24"/>
          <w:szCs w:val="24"/>
        </w:rPr>
        <w:t>, while here, full-saturation and constant DO was supplied to establish maximum accumulation rates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or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w:t>
      </w:r>
    </w:p>
    <w:p w14:paraId="7079F9E5" w14:textId="77777777" w:rsidR="00ED58D6" w:rsidRPr="00ED58D6" w:rsidRDefault="00ED58D6" w:rsidP="00ED58D6">
      <w:pPr>
        <w:rPr>
          <w:rFonts w:cstheme="minorHAnsi"/>
          <w:sz w:val="24"/>
          <w:szCs w:val="24"/>
        </w:rPr>
      </w:pPr>
      <w:r w:rsidRPr="00ED58D6">
        <w:rPr>
          <w:rFonts w:cstheme="minorHAnsi"/>
          <w:sz w:val="24"/>
          <w:szCs w:val="24"/>
        </w:rPr>
        <w:t>The second set of experiments focused on the impact of alkalinity on nitrification. These tests were conducted in a water bath at a constant temperature of 30°C. The general setup of the test was identical to the temperature test; however, to track the consumption of alkalinity, pH was constantly monitored with a pH-meter (Orion Star A211 probe). Alkalinity adjustment, in the form of sodium hydroxide (NaOH), was initially based on the alkalinity required for 200 mg N L</w:t>
      </w:r>
      <w:r w:rsidRPr="00ED58D6">
        <w:rPr>
          <w:rFonts w:cstheme="minorHAnsi"/>
          <w:sz w:val="24"/>
          <w:szCs w:val="24"/>
          <w:vertAlign w:val="superscript"/>
        </w:rPr>
        <w:t>−1</w:t>
      </w:r>
      <w:r w:rsidRPr="00ED58D6">
        <w:rPr>
          <w:rFonts w:cstheme="minorHAnsi"/>
          <w:sz w:val="24"/>
          <w:szCs w:val="24"/>
        </w:rPr>
        <w:t> of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within a 3-h timeframe. The pH value was recorded over a 2- to 4-min interval. After alkalinity dropped throughout the test, NaOH was added to maintain a pH of approximately 7.5 (within the range of 7.3–7.8) throughout the test.</w:t>
      </w:r>
    </w:p>
    <w:p w14:paraId="1274C400" w14:textId="60BADBE9" w:rsidR="00ED58D6" w:rsidRPr="00ED58D6" w:rsidRDefault="00ED58D6" w:rsidP="00ED58D6">
      <w:pPr>
        <w:rPr>
          <w:rFonts w:cstheme="minorHAnsi"/>
          <w:sz w:val="24"/>
          <w:szCs w:val="24"/>
        </w:rPr>
      </w:pPr>
      <w:r w:rsidRPr="00ED58D6">
        <w:rPr>
          <w:rFonts w:cstheme="minorHAnsi"/>
          <w:sz w:val="24"/>
          <w:szCs w:val="24"/>
        </w:rPr>
        <w:t>Specific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xml:space="preserve"> oxidation rates (SAOR, </w:t>
      </w:r>
      <w:proofErr w:type="spellStart"/>
      <w:r w:rsidRPr="00ED58D6">
        <w:rPr>
          <w:rFonts w:cstheme="minorHAnsi"/>
          <w:sz w:val="24"/>
          <w:szCs w:val="24"/>
        </w:rPr>
        <w:t>mgN</w:t>
      </w:r>
      <w:proofErr w:type="spellEnd"/>
      <w:r w:rsidRPr="00ED58D6">
        <w:rPr>
          <w:rFonts w:cstheme="minorHAnsi"/>
          <w:sz w:val="24"/>
          <w:szCs w:val="24"/>
        </w:rPr>
        <w:t xml:space="preserve"> gVSS</w:t>
      </w:r>
      <w:r w:rsidRPr="00ED58D6">
        <w:rPr>
          <w:rFonts w:cstheme="minorHAnsi"/>
          <w:sz w:val="24"/>
          <w:szCs w:val="24"/>
          <w:vertAlign w:val="superscript"/>
        </w:rPr>
        <w:t>−1</w:t>
      </w:r>
      <w:r w:rsidRPr="00ED58D6">
        <w:rPr>
          <w:rFonts w:cstheme="minorHAnsi"/>
          <w:sz w:val="24"/>
          <w:szCs w:val="24"/>
        </w:rPr>
        <w:t> h</w:t>
      </w:r>
      <w:r w:rsidRPr="00ED58D6">
        <w:rPr>
          <w:rFonts w:cstheme="minorHAnsi"/>
          <w:sz w:val="24"/>
          <w:szCs w:val="24"/>
          <w:vertAlign w:val="superscript"/>
        </w:rPr>
        <w:t>−1</w:t>
      </w:r>
      <w:r w:rsidRPr="00ED58D6">
        <w:rPr>
          <w:rFonts w:cstheme="minorHAnsi"/>
          <w:sz w:val="24"/>
          <w:szCs w:val="24"/>
        </w:rPr>
        <w:t>) and specific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xml:space="preserve"> oxidation rates (SNOR, </w:t>
      </w:r>
      <w:proofErr w:type="spellStart"/>
      <w:r w:rsidRPr="00ED58D6">
        <w:rPr>
          <w:rFonts w:cstheme="minorHAnsi"/>
          <w:sz w:val="24"/>
          <w:szCs w:val="24"/>
        </w:rPr>
        <w:t>mgN</w:t>
      </w:r>
      <w:proofErr w:type="spellEnd"/>
      <w:r w:rsidRPr="00ED58D6">
        <w:rPr>
          <w:rFonts w:cstheme="minorHAnsi"/>
          <w:sz w:val="24"/>
          <w:szCs w:val="24"/>
        </w:rPr>
        <w:t xml:space="preserve"> gVSS</w:t>
      </w:r>
      <w:r w:rsidRPr="00ED58D6">
        <w:rPr>
          <w:rFonts w:cstheme="minorHAnsi"/>
          <w:sz w:val="24"/>
          <w:szCs w:val="24"/>
          <w:vertAlign w:val="superscript"/>
        </w:rPr>
        <w:t>−1</w:t>
      </w:r>
      <w:r w:rsidRPr="00ED58D6">
        <w:rPr>
          <w:rFonts w:cstheme="minorHAnsi"/>
          <w:sz w:val="24"/>
          <w:szCs w:val="24"/>
        </w:rPr>
        <w:t> h</w:t>
      </w:r>
      <w:r w:rsidRPr="00ED58D6">
        <w:rPr>
          <w:rFonts w:cstheme="minorHAnsi"/>
          <w:sz w:val="24"/>
          <w:szCs w:val="24"/>
          <w:vertAlign w:val="superscript"/>
        </w:rPr>
        <w:t>−1</w:t>
      </w:r>
      <w:r w:rsidRPr="00ED58D6">
        <w:rPr>
          <w:rFonts w:cstheme="minorHAnsi"/>
          <w:sz w:val="24"/>
          <w:szCs w:val="24"/>
        </w:rPr>
        <w:t>) were used to estimate the oxidation of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and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based on the following equations (Zhou et al., 2020):</w:t>
      </w:r>
    </w:p>
    <w:p w14:paraId="661FFBC9" w14:textId="10E8EB13" w:rsidR="003B7608" w:rsidRPr="003B7608" w:rsidRDefault="003B7608" w:rsidP="00ED58D6">
      <w:pPr>
        <w:rPr>
          <w:rFonts w:cstheme="minorHAnsi"/>
          <w:sz w:val="24"/>
          <w:szCs w:val="24"/>
        </w:rPr>
      </w:pPr>
      <m:oMathPara>
        <m:oMath>
          <m:r>
            <m:rPr>
              <m:nor/>
            </m:rPr>
            <w:rPr>
              <w:rFonts w:cstheme="minorHAnsi"/>
              <w:sz w:val="28"/>
              <w:szCs w:val="28"/>
            </w:rPr>
            <m:t>SAOR</m:t>
          </m:r>
          <m:d>
            <m:dPr>
              <m:ctrlPr>
                <w:rPr>
                  <w:rFonts w:ascii="Cambria Math" w:hAnsi="Cambria Math" w:cstheme="minorHAnsi"/>
                  <w:i/>
                  <w:sz w:val="28"/>
                  <w:szCs w:val="28"/>
                </w:rPr>
              </m:ctrlPr>
            </m:dPr>
            <m:e>
              <m:r>
                <m:rPr>
                  <m:sty m:val="p"/>
                </m:rPr>
                <w:rPr>
                  <w:rFonts w:ascii="Cambria Math" w:hAnsi="Cambria Math" w:cstheme="minorHAnsi"/>
                  <w:sz w:val="28"/>
                  <w:szCs w:val="28"/>
                </w:rPr>
                <m:t>mgN</m:t>
              </m:r>
              <m:sSup>
                <m:sSupPr>
                  <m:ctrlPr>
                    <w:rPr>
                      <w:rFonts w:ascii="Cambria Math" w:hAnsi="Cambria Math" w:cstheme="minorHAnsi"/>
                      <w:sz w:val="28"/>
                      <w:szCs w:val="28"/>
                    </w:rPr>
                  </m:ctrlPr>
                </m:sSupPr>
                <m:e>
                  <m:r>
                    <m:rPr>
                      <m:sty m:val="p"/>
                    </m:rPr>
                    <w:rPr>
                      <w:rFonts w:ascii="Cambria Math" w:hAnsi="Cambria Math" w:cstheme="minorHAnsi"/>
                      <w:sz w:val="28"/>
                      <w:szCs w:val="28"/>
                    </w:rPr>
                    <m:t>gVS</m:t>
                  </m:r>
                </m:e>
                <m:sup>
                  <m:r>
                    <w:rPr>
                      <w:rFonts w:ascii="Cambria Math" w:hAnsi="Cambria Math" w:cstheme="minorHAnsi"/>
                      <w:sz w:val="28"/>
                      <w:szCs w:val="28"/>
                    </w:rPr>
                    <m:t>-1</m:t>
                  </m:r>
                </m:sup>
              </m:sSup>
              <m:sSup>
                <m:sSupPr>
                  <m:ctrlPr>
                    <w:rPr>
                      <w:rFonts w:ascii="Cambria Math" w:hAnsi="Cambria Math" w:cstheme="minorHAnsi"/>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-1</m:t>
                  </m:r>
                </m:sup>
              </m:sSup>
            </m:e>
          </m:d>
          <m:r>
            <w:rPr>
              <w:rFonts w:ascii="Cambria Math" w:hAnsi="Cambria Math" w:cstheme="minorHAnsi"/>
              <w:sz w:val="28"/>
              <w:szCs w:val="28"/>
            </w:rPr>
            <m:t>=</m:t>
          </m:r>
          <m:f>
            <m:fPr>
              <m:ctrlPr>
                <w:rPr>
                  <w:rFonts w:ascii="Cambria Math" w:hAnsi="Cambria Math" w:cstheme="minorHAnsi"/>
                  <w:sz w:val="28"/>
                  <w:szCs w:val="28"/>
                </w:rPr>
              </m:ctrlPr>
            </m:fPr>
            <m:num>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CNH</m:t>
                      </m:r>
                    </m:e>
                    <m:sub>
                      <m:r>
                        <w:rPr>
                          <w:rFonts w:ascii="Cambria Math" w:hAnsi="Cambria Math" w:cstheme="minorHAnsi"/>
                          <w:sz w:val="28"/>
                          <w:szCs w:val="28"/>
                        </w:rPr>
                        <m:t>4</m:t>
                      </m:r>
                    </m:sub>
                  </m:sSub>
                  <m: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N</m:t>
                      </m:r>
                    </m:e>
                    <m:sub>
                      <m:r>
                        <m:rPr>
                          <m:sty m:val="p"/>
                        </m:rPr>
                        <w:rPr>
                          <w:rFonts w:ascii="Cambria Math" w:hAnsi="Cambria Math" w:cstheme="minorHAnsi"/>
                          <w:sz w:val="28"/>
                          <w:szCs w:val="28"/>
                        </w:rPr>
                        <m:t>t</m:t>
                      </m:r>
                      <m:r>
                        <w:rPr>
                          <w:rFonts w:ascii="Cambria Math" w:hAnsi="Cambria Math" w:cstheme="minorHAnsi"/>
                          <w:sz w:val="28"/>
                          <w:szCs w:val="28"/>
                        </w:rPr>
                        <m:t>1</m:t>
                      </m:r>
                    </m:sub>
                  </m:sSub>
                </m:e>
              </m:d>
              <m:r>
                <w:rPr>
                  <w:rFonts w:ascii="Cambria Math" w:hAnsi="Cambria Math" w:cstheme="minorHAnsi"/>
                  <w:sz w:val="28"/>
                  <w:szCs w:val="28"/>
                </w:rPr>
                <m:t>–</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CNH</m:t>
                      </m:r>
                    </m:e>
                    <m:sub>
                      <m:r>
                        <w:rPr>
                          <w:rFonts w:ascii="Cambria Math" w:hAnsi="Cambria Math" w:cstheme="minorHAnsi"/>
                          <w:sz w:val="28"/>
                          <w:szCs w:val="28"/>
                        </w:rPr>
                        <m:t>4</m:t>
                      </m:r>
                    </m:sub>
                  </m:sSub>
                  <m: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N</m:t>
                      </m:r>
                    </m:e>
                    <m:sub>
                      <m:r>
                        <m:rPr>
                          <m:sty m:val="p"/>
                        </m:rPr>
                        <w:rPr>
                          <w:rFonts w:ascii="Cambria Math" w:hAnsi="Cambria Math" w:cstheme="minorHAnsi"/>
                          <w:sz w:val="28"/>
                          <w:szCs w:val="28"/>
                        </w:rPr>
                        <m:t>t</m:t>
                      </m:r>
                      <m:r>
                        <w:rPr>
                          <w:rFonts w:ascii="Cambria Math" w:hAnsi="Cambria Math" w:cstheme="minorHAnsi"/>
                          <w:sz w:val="28"/>
                          <w:szCs w:val="28"/>
                        </w:rPr>
                        <m:t>2</m:t>
                      </m:r>
                    </m:sub>
                  </m:sSub>
                </m:e>
              </m:d>
            </m:num>
            <m:den>
              <m:r>
                <m:rPr>
                  <m:sty m:val="p"/>
                </m:rPr>
                <w:rPr>
                  <w:rFonts w:ascii="Cambria Math" w:hAnsi="Cambria Math" w:cstheme="minorHAnsi"/>
                  <w:sz w:val="28"/>
                  <w:szCs w:val="28"/>
                </w:rPr>
                <m:t>VSS</m:t>
              </m:r>
              <m:r>
                <w:rPr>
                  <w:rFonts w:ascii="Cambria Math" w:hAnsi="Cambria Math" w:cstheme="minorHAnsi"/>
                  <w:sz w:val="28"/>
                  <w:szCs w:val="28"/>
                </w:rPr>
                <m:t>×</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2</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e>
              </m:d>
            </m:den>
          </m:f>
          <m:r>
            <w:rPr>
              <w:rFonts w:ascii="Cambria Math" w:hAnsi="Cambria Math" w:cstheme="minorHAnsi"/>
              <w:sz w:val="28"/>
              <w:szCs w:val="28"/>
            </w:rPr>
            <m:t>,</m:t>
          </m:r>
        </m:oMath>
      </m:oMathPara>
    </w:p>
    <w:p w14:paraId="6F2F649C" w14:textId="37449A55" w:rsidR="003B7608" w:rsidRPr="00ED58D6" w:rsidRDefault="00C11F95" w:rsidP="00ED58D6">
      <w:pPr>
        <w:rPr>
          <w:rFonts w:cstheme="minorHAnsi"/>
          <w:sz w:val="24"/>
          <w:szCs w:val="24"/>
        </w:rPr>
      </w:pPr>
      <m:oMathPara>
        <m:oMath>
          <m:r>
            <m:rPr>
              <m:nor/>
            </m:rPr>
            <w:rPr>
              <w:rFonts w:cstheme="minorHAnsi"/>
              <w:sz w:val="28"/>
              <w:szCs w:val="28"/>
            </w:rPr>
            <m:t>SNOR</m:t>
          </m:r>
          <m:d>
            <m:dPr>
              <m:ctrlPr>
                <w:rPr>
                  <w:rFonts w:ascii="Cambria Math" w:hAnsi="Cambria Math" w:cstheme="minorHAnsi"/>
                  <w:i/>
                  <w:sz w:val="28"/>
                  <w:szCs w:val="28"/>
                </w:rPr>
              </m:ctrlPr>
            </m:dPr>
            <m:e>
              <m:r>
                <m:rPr>
                  <m:sty m:val="p"/>
                </m:rPr>
                <w:rPr>
                  <w:rFonts w:ascii="Cambria Math" w:hAnsi="Cambria Math" w:cstheme="minorHAnsi"/>
                  <w:sz w:val="28"/>
                  <w:szCs w:val="28"/>
                </w:rPr>
                <m:t>mgN</m:t>
              </m:r>
              <m:sSup>
                <m:sSupPr>
                  <m:ctrlPr>
                    <w:rPr>
                      <w:rFonts w:ascii="Cambria Math" w:hAnsi="Cambria Math" w:cstheme="minorHAnsi"/>
                      <w:sz w:val="28"/>
                      <w:szCs w:val="28"/>
                    </w:rPr>
                  </m:ctrlPr>
                </m:sSupPr>
                <m:e>
                  <m:r>
                    <m:rPr>
                      <m:sty m:val="p"/>
                    </m:rPr>
                    <w:rPr>
                      <w:rFonts w:ascii="Cambria Math" w:hAnsi="Cambria Math" w:cstheme="minorHAnsi"/>
                      <w:sz w:val="28"/>
                      <w:szCs w:val="28"/>
                    </w:rPr>
                    <m:t>gVS</m:t>
                  </m:r>
                </m:e>
                <m:sup>
                  <m:r>
                    <w:rPr>
                      <w:rFonts w:ascii="Cambria Math" w:hAnsi="Cambria Math" w:cstheme="minorHAnsi"/>
                      <w:sz w:val="28"/>
                      <w:szCs w:val="28"/>
                    </w:rPr>
                    <m:t>-1</m:t>
                  </m:r>
                </m:sup>
              </m:sSup>
              <m:sSup>
                <m:sSupPr>
                  <m:ctrlPr>
                    <w:rPr>
                      <w:rFonts w:ascii="Cambria Math" w:hAnsi="Cambria Math" w:cstheme="minorHAnsi"/>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-1</m:t>
                  </m:r>
                </m:sup>
              </m:sSup>
            </m:e>
          </m:d>
          <m:r>
            <w:rPr>
              <w:rFonts w:ascii="Cambria Math" w:hAnsi="Cambria Math" w:cstheme="minorHAnsi"/>
              <w:sz w:val="28"/>
              <w:szCs w:val="28"/>
            </w:rPr>
            <m:t>=</m:t>
          </m:r>
          <m:f>
            <m:fPr>
              <m:ctrlPr>
                <w:rPr>
                  <w:rFonts w:ascii="Cambria Math" w:hAnsi="Cambria Math" w:cstheme="minorHAnsi"/>
                  <w:sz w:val="28"/>
                  <w:szCs w:val="28"/>
                </w:rPr>
              </m:ctrlPr>
            </m:fPr>
            <m:num>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CNO</m:t>
                      </m:r>
                    </m:e>
                    <m:sub>
                      <m:r>
                        <w:rPr>
                          <w:rFonts w:ascii="Cambria Math" w:hAnsi="Cambria Math" w:cstheme="minorHAnsi"/>
                          <w:sz w:val="28"/>
                          <w:szCs w:val="28"/>
                        </w:rPr>
                        <m:t>2</m:t>
                      </m:r>
                    </m:sub>
                  </m:sSub>
                  <m: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N</m:t>
                      </m:r>
                    </m:e>
                    <m:sub>
                      <m:r>
                        <m:rPr>
                          <m:sty m:val="p"/>
                        </m:rPr>
                        <w:rPr>
                          <w:rFonts w:ascii="Cambria Math" w:hAnsi="Cambria Math" w:cstheme="minorHAnsi"/>
                          <w:sz w:val="28"/>
                          <w:szCs w:val="28"/>
                        </w:rPr>
                        <m:t>t</m:t>
                      </m:r>
                      <m:r>
                        <w:rPr>
                          <w:rFonts w:ascii="Cambria Math" w:hAnsi="Cambria Math" w:cstheme="minorHAnsi"/>
                          <w:sz w:val="28"/>
                          <w:szCs w:val="28"/>
                        </w:rPr>
                        <m:t>1</m:t>
                      </m:r>
                    </m:sub>
                  </m:sSub>
                </m:e>
              </m:d>
              <m:r>
                <w:rPr>
                  <w:rFonts w:ascii="Cambria Math" w:hAnsi="Cambria Math" w:cstheme="minorHAnsi"/>
                  <w:sz w:val="28"/>
                  <w:szCs w:val="28"/>
                </w:rPr>
                <m:t>–</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CNO</m:t>
                      </m:r>
                    </m:e>
                    <m:sub>
                      <m:r>
                        <w:rPr>
                          <w:rFonts w:ascii="Cambria Math" w:hAnsi="Cambria Math" w:cstheme="minorHAnsi"/>
                          <w:sz w:val="28"/>
                          <w:szCs w:val="28"/>
                        </w:rPr>
                        <m:t>2</m:t>
                      </m:r>
                    </m:sub>
                  </m:sSub>
                  <m: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N</m:t>
                      </m:r>
                    </m:e>
                    <m:sub>
                      <m:r>
                        <m:rPr>
                          <m:sty m:val="p"/>
                        </m:rPr>
                        <w:rPr>
                          <w:rFonts w:ascii="Cambria Math" w:hAnsi="Cambria Math" w:cstheme="minorHAnsi"/>
                          <w:sz w:val="28"/>
                          <w:szCs w:val="28"/>
                        </w:rPr>
                        <m:t>t</m:t>
                      </m:r>
                      <m:r>
                        <w:rPr>
                          <w:rFonts w:ascii="Cambria Math" w:hAnsi="Cambria Math" w:cstheme="minorHAnsi"/>
                          <w:sz w:val="28"/>
                          <w:szCs w:val="28"/>
                        </w:rPr>
                        <m:t>2</m:t>
                      </m:r>
                    </m:sub>
                  </m:sSub>
                </m:e>
              </m:d>
            </m:num>
            <m:den>
              <m:r>
                <m:rPr>
                  <m:sty m:val="p"/>
                </m:rPr>
                <w:rPr>
                  <w:rFonts w:ascii="Cambria Math" w:hAnsi="Cambria Math" w:cstheme="minorHAnsi"/>
                  <w:sz w:val="28"/>
                  <w:szCs w:val="28"/>
                </w:rPr>
                <m:t>VSS</m:t>
              </m:r>
              <m:r>
                <w:rPr>
                  <w:rFonts w:ascii="Cambria Math" w:hAnsi="Cambria Math" w:cstheme="minorHAnsi"/>
                  <w:sz w:val="28"/>
                  <w:szCs w:val="28"/>
                </w:rPr>
                <m:t>×</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2</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e>
              </m:d>
            </m:den>
          </m:f>
          <m:r>
            <w:rPr>
              <w:rFonts w:ascii="Cambria Math" w:hAnsi="Cambria Math" w:cstheme="minorHAnsi"/>
              <w:sz w:val="28"/>
              <w:szCs w:val="28"/>
            </w:rPr>
            <m:t>,</m:t>
          </m:r>
        </m:oMath>
      </m:oMathPara>
    </w:p>
    <w:p w14:paraId="336F66FA" w14:textId="77777777" w:rsidR="00ED58D6" w:rsidRPr="00ED58D6" w:rsidRDefault="00ED58D6" w:rsidP="00ED58D6">
      <w:pPr>
        <w:rPr>
          <w:rFonts w:cstheme="minorHAnsi"/>
          <w:sz w:val="24"/>
          <w:szCs w:val="24"/>
        </w:rPr>
      </w:pPr>
      <w:r w:rsidRPr="00ED58D6">
        <w:rPr>
          <w:rFonts w:cstheme="minorHAnsi"/>
          <w:sz w:val="24"/>
          <w:szCs w:val="24"/>
        </w:rPr>
        <w:t>where CNH</w:t>
      </w:r>
      <w:r w:rsidRPr="00ED58D6">
        <w:rPr>
          <w:rFonts w:cstheme="minorHAnsi"/>
          <w:sz w:val="24"/>
          <w:szCs w:val="24"/>
          <w:vertAlign w:val="subscript"/>
        </w:rPr>
        <w:t>4</w:t>
      </w:r>
      <w:r w:rsidRPr="00ED58D6">
        <w:rPr>
          <w:rFonts w:cstheme="minorHAnsi"/>
          <w:sz w:val="24"/>
          <w:szCs w:val="24"/>
        </w:rPr>
        <w:t>-N</w:t>
      </w:r>
      <w:r w:rsidRPr="00ED58D6">
        <w:rPr>
          <w:rFonts w:cstheme="minorHAnsi"/>
          <w:sz w:val="24"/>
          <w:szCs w:val="24"/>
          <w:vertAlign w:val="subscript"/>
        </w:rPr>
        <w:t>t1</w:t>
      </w:r>
      <w:r w:rsidRPr="00ED58D6">
        <w:rPr>
          <w:rFonts w:cstheme="minorHAnsi"/>
          <w:sz w:val="24"/>
          <w:szCs w:val="24"/>
        </w:rPr>
        <w:t> and CNO</w:t>
      </w:r>
      <w:r w:rsidRPr="00ED58D6">
        <w:rPr>
          <w:rFonts w:cstheme="minorHAnsi"/>
          <w:sz w:val="24"/>
          <w:szCs w:val="24"/>
          <w:vertAlign w:val="subscript"/>
        </w:rPr>
        <w:t>2</w:t>
      </w:r>
      <w:r w:rsidRPr="00ED58D6">
        <w:rPr>
          <w:rFonts w:cstheme="minorHAnsi"/>
          <w:sz w:val="24"/>
          <w:szCs w:val="24"/>
        </w:rPr>
        <w:t>-N</w:t>
      </w:r>
      <w:r w:rsidRPr="00ED58D6">
        <w:rPr>
          <w:rFonts w:cstheme="minorHAnsi"/>
          <w:sz w:val="24"/>
          <w:szCs w:val="24"/>
          <w:vertAlign w:val="subscript"/>
        </w:rPr>
        <w:t>t1</w:t>
      </w:r>
      <w:r w:rsidRPr="00ED58D6">
        <w:rPr>
          <w:rFonts w:cstheme="minorHAnsi"/>
          <w:sz w:val="24"/>
          <w:szCs w:val="24"/>
        </w:rPr>
        <w:t> are the concentration of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-N and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-N and VSS was the volatile suspended solids.</w:t>
      </w:r>
    </w:p>
    <w:p w14:paraId="53CE4E8D" w14:textId="2A04907A" w:rsidR="00ED58D6" w:rsidRPr="00ED58D6" w:rsidRDefault="00ED58D6" w:rsidP="00ED58D6">
      <w:pPr>
        <w:rPr>
          <w:rFonts w:cstheme="minorHAnsi"/>
          <w:sz w:val="24"/>
          <w:szCs w:val="24"/>
        </w:rPr>
      </w:pPr>
      <w:r w:rsidRPr="00ED58D6">
        <w:rPr>
          <w:rFonts w:cstheme="minorHAnsi"/>
          <w:sz w:val="24"/>
          <w:szCs w:val="24"/>
        </w:rPr>
        <w:t>FA and FNA were calculated using the following equations (</w:t>
      </w:r>
      <w:proofErr w:type="spellStart"/>
      <w:r w:rsidRPr="00ED58D6">
        <w:rPr>
          <w:rFonts w:cstheme="minorHAnsi"/>
          <w:sz w:val="24"/>
          <w:szCs w:val="24"/>
        </w:rPr>
        <w:t>Anthonisen</w:t>
      </w:r>
      <w:proofErr w:type="spellEnd"/>
      <w:r w:rsidRPr="00ED58D6">
        <w:rPr>
          <w:rFonts w:cstheme="minorHAnsi"/>
          <w:sz w:val="24"/>
          <w:szCs w:val="24"/>
        </w:rPr>
        <w:t xml:space="preserve"> et al., 1976):</w:t>
      </w:r>
    </w:p>
    <w:p w14:paraId="67252161" w14:textId="6F4BF2CB" w:rsidR="00C11F95" w:rsidRDefault="00C11F95" w:rsidP="00ED58D6">
      <w:pPr>
        <w:rPr>
          <w:rFonts w:cstheme="minorHAnsi"/>
          <w:sz w:val="24"/>
          <w:szCs w:val="24"/>
        </w:rPr>
      </w:pPr>
      <m:oMathPara>
        <m:oMath>
          <m:func>
            <m:funcPr>
              <m:ctrlPr>
                <w:rPr>
                  <w:rFonts w:ascii="Cambria Math" w:hAnsi="Cambria Math"/>
                  <w:i/>
                  <w:sz w:val="28"/>
                  <w:szCs w:val="28"/>
                </w:rPr>
              </m:ctrlPr>
            </m:funcPr>
            <m:fName>
              <m:r>
                <m:rPr>
                  <m:sty m:val="p"/>
                </m:rPr>
                <w:rPr>
                  <w:rFonts w:ascii="Cambria Math" w:hAnsi="Cambria Math"/>
                  <w:sz w:val="28"/>
                  <w:szCs w:val="28"/>
                </w:rPr>
                <m:t>FA</m:t>
              </m:r>
              <m:ctrlPr>
                <w:rPr>
                  <w:rFonts w:ascii="Cambria Math" w:hAnsi="Cambria Math"/>
                  <w:sz w:val="28"/>
                  <w:szCs w:val="28"/>
                </w:rPr>
              </m:ctrlPr>
            </m:fName>
            <m:e>
              <m:d>
                <m:dPr>
                  <m:ctrlPr>
                    <w:rPr>
                      <w:rFonts w:ascii="Cambria Math" w:hAnsi="Cambria Math"/>
                      <w:i/>
                      <w:sz w:val="28"/>
                      <w:szCs w:val="28"/>
                    </w:rPr>
                  </m:ctrlPr>
                </m:dPr>
                <m:e>
                  <m:r>
                    <m:rPr>
                      <m:sty m:val="p"/>
                    </m:rPr>
                    <w:rPr>
                      <w:rFonts w:ascii="Cambria Math" w:hAnsi="Cambria Math"/>
                      <w:sz w:val="28"/>
                      <w:szCs w:val="28"/>
                    </w:rPr>
                    <m:t>mg</m:t>
                  </m:r>
                  <m:sSup>
                    <m:sSupPr>
                      <m:ctrlPr>
                        <w:rPr>
                          <w:rFonts w:ascii="Cambria Math" w:hAnsi="Cambria Math"/>
                          <w:sz w:val="28"/>
                          <w:szCs w:val="28"/>
                        </w:rPr>
                      </m:ctrlPr>
                    </m:sSupPr>
                    <m:e>
                      <m:r>
                        <m:rPr>
                          <m:sty m:val="p"/>
                        </m:rPr>
                        <w:rPr>
                          <w:rFonts w:ascii="Cambria Math" w:hAnsi="Cambria Math"/>
                          <w:sz w:val="28"/>
                          <w:szCs w:val="28"/>
                        </w:rPr>
                        <m:t>L</m:t>
                      </m:r>
                    </m:e>
                    <m:sup>
                      <m:r>
                        <w:rPr>
                          <w:rFonts w:ascii="Cambria Math" w:hAnsi="Cambria Math"/>
                          <w:sz w:val="28"/>
                          <w:szCs w:val="28"/>
                        </w:rPr>
                        <m:t>-1</m:t>
                      </m:r>
                    </m:sup>
                  </m:sSup>
                </m:e>
              </m:d>
            </m:e>
          </m:func>
          <m:r>
            <w:rPr>
              <w:rFonts w:ascii="Cambria Math" w:hAnsi="Cambria Math"/>
              <w:sz w:val="28"/>
              <w:szCs w:val="28"/>
            </w:rPr>
            <m:t>=</m:t>
          </m:r>
          <m:f>
            <m:fPr>
              <m:ctrlPr>
                <w:rPr>
                  <w:rFonts w:ascii="Cambria Math" w:hAnsi="Cambria Math"/>
                  <w:sz w:val="28"/>
                  <w:szCs w:val="28"/>
                </w:rPr>
              </m:ctrlPr>
            </m:fPr>
            <m:num>
              <m:d>
                <m:dPr>
                  <m:begChr m:val="["/>
                  <m:endChr m:val="]"/>
                  <m:ctrlPr>
                    <w:rPr>
                      <w:rFonts w:ascii="Cambria Math" w:hAnsi="Cambria Math"/>
                      <w:i/>
                      <w:sz w:val="28"/>
                      <w:szCs w:val="28"/>
                    </w:rPr>
                  </m:ctrlPr>
                </m:dPr>
                <m:e>
                  <m:sSup>
                    <m:sSupPr>
                      <m:ctrlPr>
                        <w:rPr>
                          <w:rFonts w:ascii="Cambria Math" w:hAnsi="Cambria Math"/>
                          <w:sz w:val="28"/>
                          <w:szCs w:val="28"/>
                        </w:rPr>
                      </m:ctrlPr>
                    </m:sSupPr>
                    <m:e>
                      <m:sSub>
                        <m:sSubPr>
                          <m:ctrlPr>
                            <w:rPr>
                              <w:rFonts w:ascii="Cambria Math" w:hAnsi="Cambria Math"/>
                              <w:sz w:val="28"/>
                              <w:szCs w:val="28"/>
                            </w:rPr>
                          </m:ctrlPr>
                        </m:sSubPr>
                        <m:e>
                          <m:r>
                            <m:rPr>
                              <m:sty m:val="p"/>
                            </m:rPr>
                            <w:rPr>
                              <w:rFonts w:ascii="Cambria Math" w:hAnsi="Cambria Math"/>
                              <w:sz w:val="28"/>
                              <w:szCs w:val="28"/>
                            </w:rPr>
                            <m:t>NH</m:t>
                          </m:r>
                        </m:e>
                        <m:sub>
                          <m:r>
                            <w:rPr>
                              <w:rFonts w:ascii="Cambria Math" w:hAnsi="Cambria Math"/>
                              <w:sz w:val="28"/>
                              <w:szCs w:val="28"/>
                            </w:rPr>
                            <m:t>4</m:t>
                          </m:r>
                        </m:sub>
                      </m:sSub>
                    </m:e>
                    <m:sup>
                      <m:r>
                        <w:rPr>
                          <w:rFonts w:ascii="Cambria Math" w:hAnsi="Cambria Math"/>
                          <w:sz w:val="28"/>
                          <w:szCs w:val="28"/>
                        </w:rPr>
                        <m:t>+</m:t>
                      </m:r>
                    </m:sup>
                  </m:sSup>
                  <m:r>
                    <w:rPr>
                      <w:rFonts w:ascii="Cambria Math" w:hAnsi="Cambria Math"/>
                      <w:sz w:val="28"/>
                      <w:szCs w:val="28"/>
                    </w:rPr>
                    <m:t>-</m:t>
                  </m:r>
                  <m:r>
                    <m:rPr>
                      <m:sty m:val="p"/>
                    </m:rPr>
                    <w:rPr>
                      <w:rFonts w:ascii="Cambria Math" w:hAnsi="Cambria Math"/>
                      <w:sz w:val="28"/>
                      <w:szCs w:val="28"/>
                    </w:rPr>
                    <m:t>N</m:t>
                  </m:r>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NH</m:t>
                      </m:r>
                    </m:e>
                    <m:sub>
                      <m:r>
                        <w:rPr>
                          <w:rFonts w:ascii="Cambria Math" w:hAnsi="Cambria Math"/>
                          <w:sz w:val="28"/>
                          <w:szCs w:val="28"/>
                        </w:rPr>
                        <m:t>3</m:t>
                      </m:r>
                    </m:sub>
                  </m:sSub>
                  <m:r>
                    <w:rPr>
                      <w:rFonts w:ascii="Cambria Math" w:hAnsi="Cambria Math"/>
                      <w:sz w:val="28"/>
                      <w:szCs w:val="28"/>
                    </w:rPr>
                    <m:t>-</m:t>
                  </m:r>
                  <m:r>
                    <m:rPr>
                      <m:sty m:val="p"/>
                    </m:rPr>
                    <w:rPr>
                      <w:rFonts w:ascii="Cambria Math" w:hAnsi="Cambria Math"/>
                      <w:sz w:val="28"/>
                      <w:szCs w:val="28"/>
                    </w:rPr>
                    <m:t>N</m:t>
                  </m:r>
                </m:e>
              </m:d>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10</m:t>
                  </m:r>
                </m:e>
                <m:sup>
                  <m:r>
                    <m:rPr>
                      <m:sty m:val="p"/>
                    </m:rPr>
                    <w:rPr>
                      <w:rFonts w:ascii="Cambria Math" w:hAnsi="Cambria Math"/>
                      <w:sz w:val="28"/>
                      <w:szCs w:val="28"/>
                    </w:rPr>
                    <m:t>pH</m:t>
                  </m:r>
                </m:sup>
              </m:sSup>
            </m:num>
            <m:den>
              <m:sSup>
                <m:sSupPr>
                  <m:ctrlPr>
                    <w:rPr>
                      <w:rFonts w:ascii="Cambria Math" w:hAnsi="Cambria Math"/>
                      <w:sz w:val="28"/>
                      <w:szCs w:val="28"/>
                    </w:rPr>
                  </m:ctrlPr>
                </m:sSupPr>
                <m:e>
                  <m:r>
                    <w:rPr>
                      <w:rFonts w:ascii="Cambria Math" w:hAnsi="Cambria Math"/>
                      <w:sz w:val="28"/>
                      <w:szCs w:val="28"/>
                    </w:rPr>
                    <m:t>10</m:t>
                  </m:r>
                </m:e>
                <m:sup>
                  <m:r>
                    <m:rPr>
                      <m:sty m:val="p"/>
                    </m:rPr>
                    <w:rPr>
                      <w:rFonts w:ascii="Cambria Math" w:hAnsi="Cambria Math"/>
                      <w:sz w:val="28"/>
                      <w:szCs w:val="28"/>
                    </w:rPr>
                    <m:t>pH</m:t>
                  </m:r>
                </m:sup>
              </m:sSup>
              <m:r>
                <w:rPr>
                  <w:rFonts w:ascii="Cambria Math" w:hAnsi="Cambria Math"/>
                  <w:sz w:val="28"/>
                  <w:szCs w:val="28"/>
                </w:rPr>
                <m:t>+</m:t>
              </m:r>
              <m:func>
                <m:funcPr>
                  <m:ctrlPr>
                    <w:rPr>
                      <w:rFonts w:ascii="Cambria Math" w:hAnsi="Cambria Math"/>
                      <w:sz w:val="28"/>
                      <w:szCs w:val="28"/>
                    </w:rPr>
                  </m:ctrlPr>
                </m:funcPr>
                <m:fName>
                  <m:r>
                    <m:rPr>
                      <m:sty m:val="p"/>
                    </m:rPr>
                    <w:rPr>
                      <w:rFonts w:ascii="Cambria Math" w:hAnsi="Cambria Math"/>
                      <w:sz w:val="28"/>
                      <w:szCs w:val="28"/>
                    </w:rPr>
                    <m:t>exp</m:t>
                  </m:r>
                </m:fName>
                <m:e>
                  <m:d>
                    <m:dPr>
                      <m:ctrlPr>
                        <w:rPr>
                          <w:rFonts w:ascii="Cambria Math" w:hAnsi="Cambria Math"/>
                          <w:i/>
                          <w:sz w:val="28"/>
                          <w:szCs w:val="28"/>
                        </w:rPr>
                      </m:ctrlPr>
                    </m:dPr>
                    <m:e>
                      <m:f>
                        <m:fPr>
                          <m:ctrlPr>
                            <w:rPr>
                              <w:rFonts w:ascii="Cambria Math" w:hAnsi="Cambria Math"/>
                              <w:sz w:val="28"/>
                              <w:szCs w:val="28"/>
                            </w:rPr>
                          </m:ctrlPr>
                        </m:fPr>
                        <m:num>
                          <m:r>
                            <m:rPr>
                              <m:sty m:val="p"/>
                            </m:rPr>
                            <w:rPr>
                              <w:rFonts w:ascii="Cambria Math" w:hAnsi="Cambria Math"/>
                              <w:sz w:val="28"/>
                              <w:szCs w:val="28"/>
                            </w:rPr>
                            <m:t>6,344</m:t>
                          </m:r>
                        </m:num>
                        <m:den>
                          <m:r>
                            <w:rPr>
                              <w:rFonts w:ascii="Cambria Math" w:hAnsi="Cambria Math"/>
                              <w:sz w:val="28"/>
                              <w:szCs w:val="28"/>
                            </w:rPr>
                            <m:t>273+T</m:t>
                          </m:r>
                        </m:den>
                      </m:f>
                    </m:e>
                  </m:d>
                </m:e>
              </m:func>
            </m:den>
          </m:f>
          <m:r>
            <w:rPr>
              <w:rFonts w:ascii="Cambria Math" w:hAnsi="Cambria Math"/>
              <w:sz w:val="28"/>
              <w:szCs w:val="28"/>
            </w:rPr>
            <m:t>,</m:t>
          </m:r>
        </m:oMath>
      </m:oMathPara>
    </w:p>
    <w:p w14:paraId="4EB3B612" w14:textId="51904D9E" w:rsidR="00ED58D6" w:rsidRPr="00ED58D6" w:rsidRDefault="00ED58D6" w:rsidP="00ED58D6">
      <w:pPr>
        <w:rPr>
          <w:rFonts w:cstheme="minorHAnsi"/>
          <w:sz w:val="24"/>
          <w:szCs w:val="24"/>
        </w:rPr>
      </w:pPr>
      <w:r w:rsidRPr="00ED58D6">
        <w:rPr>
          <w:rFonts w:cstheme="minorHAnsi"/>
          <w:sz w:val="24"/>
          <w:szCs w:val="24"/>
        </w:rPr>
        <w:t>where </w:t>
      </w:r>
      <m:oMath>
        <m:sSup>
          <m:sSupPr>
            <m:ctrlPr>
              <w:rPr>
                <w:rFonts w:ascii="Cambria Math" w:hAnsi="Cambria Math"/>
                <w:sz w:val="24"/>
                <w:szCs w:val="24"/>
              </w:rPr>
            </m:ctrlPr>
          </m:sSupPr>
          <m:e>
            <m:sSub>
              <m:sSubPr>
                <m:ctrlPr>
                  <w:rPr>
                    <w:rFonts w:ascii="Cambria Math" w:hAnsi="Cambria Math"/>
                    <w:sz w:val="24"/>
                    <w:szCs w:val="24"/>
                  </w:rPr>
                </m:ctrlPr>
              </m:sSubPr>
              <m:e>
                <m:r>
                  <m:rPr>
                    <m:sty m:val="p"/>
                  </m:rPr>
                  <w:rPr>
                    <w:rFonts w:ascii="Cambria Math" w:hAnsi="Cambria Math"/>
                    <w:sz w:val="24"/>
                    <w:szCs w:val="24"/>
                  </w:rPr>
                  <m:t>NH</m:t>
                </m:r>
              </m:e>
              <m:sub>
                <m:r>
                  <w:rPr>
                    <w:rFonts w:ascii="Cambria Math" w:hAnsi="Cambria Math"/>
                    <w:sz w:val="24"/>
                    <w:szCs w:val="24"/>
                  </w:rPr>
                  <m:t>4</m:t>
                </m:r>
              </m:sub>
            </m:sSub>
          </m:e>
          <m:sup>
            <m:r>
              <w:rPr>
                <w:rFonts w:ascii="Cambria Math" w:hAnsi="Cambria Math"/>
                <w:sz w:val="24"/>
                <w:szCs w:val="24"/>
              </w:rPr>
              <m:t>+</m:t>
            </m:r>
          </m:sup>
        </m:sSup>
        <m:r>
          <w:rPr>
            <w:rFonts w:ascii="Cambria Math" w:hAnsi="Cambria Math"/>
            <w:sz w:val="24"/>
            <w:szCs w:val="24"/>
          </w:rPr>
          <m:t>-</m:t>
        </m:r>
        <m:r>
          <m:rPr>
            <m:sty m:val="p"/>
          </m:rPr>
          <w:rPr>
            <w:rFonts w:ascii="Cambria Math" w:hAnsi="Cambria Math"/>
            <w:sz w:val="24"/>
            <w:szCs w:val="24"/>
          </w:rPr>
          <m:t>N</m:t>
        </m:r>
        <m: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NH</m:t>
            </m:r>
          </m:e>
          <m:sub>
            <m:r>
              <w:rPr>
                <w:rFonts w:ascii="Cambria Math" w:hAnsi="Cambria Math"/>
                <w:sz w:val="24"/>
                <w:szCs w:val="24"/>
              </w:rPr>
              <m:t>3</m:t>
            </m:r>
          </m:sub>
        </m:sSub>
        <m:r>
          <w:rPr>
            <w:rFonts w:ascii="Cambria Math" w:hAnsi="Cambria Math"/>
            <w:sz w:val="24"/>
            <w:szCs w:val="24"/>
          </w:rPr>
          <m:t>-</m:t>
        </m:r>
        <m:r>
          <m:rPr>
            <m:sty m:val="p"/>
          </m:rPr>
          <w:rPr>
            <w:rFonts w:ascii="Cambria Math" w:hAnsi="Cambria Math"/>
            <w:sz w:val="24"/>
            <w:szCs w:val="24"/>
          </w:rPr>
          <m:t>N</m:t>
        </m:r>
      </m:oMath>
      <w:r w:rsidRPr="00ED58D6">
        <w:rPr>
          <w:rFonts w:ascii="Calibri" w:hAnsi="Calibri" w:cs="Calibri"/>
          <w:sz w:val="24"/>
          <w:szCs w:val="24"/>
        </w:rPr>
        <w:t> </w:t>
      </w:r>
      <w:r w:rsidRPr="00ED58D6">
        <w:rPr>
          <w:rFonts w:cstheme="minorHAnsi"/>
          <w:sz w:val="24"/>
          <w:szCs w:val="24"/>
        </w:rPr>
        <w:t>is the total ammonia and</w:t>
      </w:r>
      <w:r w:rsidRPr="00ED58D6">
        <w:rPr>
          <w:rFonts w:ascii="Calibri" w:hAnsi="Calibri" w:cs="Calibri"/>
          <w:sz w:val="24"/>
          <w:szCs w:val="24"/>
        </w:rPr>
        <w:t> </w:t>
      </w:r>
      <m:oMath>
        <m:r>
          <w:rPr>
            <w:rFonts w:ascii="Cambria Math" w:hAnsi="Cambria Math" w:cstheme="minorHAnsi"/>
            <w:sz w:val="24"/>
            <w:szCs w:val="24"/>
          </w:rPr>
          <m:t>T</m:t>
        </m:r>
      </m:oMath>
      <w:r w:rsidRPr="00ED58D6">
        <w:rPr>
          <w:rFonts w:cstheme="minorHAnsi"/>
          <w:sz w:val="24"/>
          <w:szCs w:val="24"/>
        </w:rPr>
        <w:t> is the temperature tested during the batch tests.</w:t>
      </w:r>
    </w:p>
    <w:p w14:paraId="00B20CD1" w14:textId="6C862F0A" w:rsidR="00C2387F" w:rsidRDefault="00C2387F" w:rsidP="00ED58D6">
      <w:pPr>
        <w:rPr>
          <w:rFonts w:cstheme="minorHAnsi"/>
          <w:sz w:val="24"/>
          <w:szCs w:val="24"/>
        </w:rPr>
      </w:pPr>
      <m:oMathPara>
        <m:oMath>
          <m:func>
            <m:funcPr>
              <m:ctrlPr>
                <w:rPr>
                  <w:rFonts w:ascii="Cambria Math" w:hAnsi="Cambria Math" w:cstheme="minorHAnsi"/>
                  <w:i/>
                  <w:sz w:val="28"/>
                  <w:szCs w:val="28"/>
                </w:rPr>
              </m:ctrlPr>
            </m:funcPr>
            <m:fName>
              <m:r>
                <m:rPr>
                  <m:sty m:val="p"/>
                </m:rPr>
                <w:rPr>
                  <w:rFonts w:ascii="Cambria Math" w:hAnsi="Cambria Math" w:cstheme="minorHAnsi"/>
                  <w:sz w:val="28"/>
                  <w:szCs w:val="28"/>
                </w:rPr>
                <m:t>FNA</m:t>
              </m:r>
              <m:ctrlPr>
                <w:rPr>
                  <w:rFonts w:ascii="Cambria Math" w:hAnsi="Cambria Math" w:cstheme="minorHAnsi"/>
                  <w:sz w:val="28"/>
                  <w:szCs w:val="28"/>
                </w:rPr>
              </m:ctrlPr>
            </m:fName>
            <m:e>
              <m:d>
                <m:dPr>
                  <m:ctrlPr>
                    <w:rPr>
                      <w:rFonts w:ascii="Cambria Math" w:hAnsi="Cambria Math" w:cstheme="minorHAnsi"/>
                      <w:i/>
                      <w:sz w:val="28"/>
                      <w:szCs w:val="28"/>
                    </w:rPr>
                  </m:ctrlPr>
                </m:dPr>
                <m:e>
                  <m:r>
                    <m:rPr>
                      <m:sty m:val="p"/>
                    </m:rPr>
                    <w:rPr>
                      <w:rFonts w:ascii="Cambria Math" w:hAnsi="Cambria Math" w:cstheme="minorHAnsi"/>
                      <w:sz w:val="28"/>
                      <w:szCs w:val="28"/>
                    </w:rPr>
                    <m:t>mg</m:t>
                  </m:r>
                  <m:sSup>
                    <m:sSupPr>
                      <m:ctrlPr>
                        <w:rPr>
                          <w:rFonts w:ascii="Cambria Math" w:hAnsi="Cambria Math" w:cstheme="minorHAnsi"/>
                          <w:sz w:val="28"/>
                          <w:szCs w:val="28"/>
                        </w:rPr>
                      </m:ctrlPr>
                    </m:sSupPr>
                    <m:e>
                      <m:r>
                        <m:rPr>
                          <m:sty m:val="p"/>
                        </m:rPr>
                        <w:rPr>
                          <w:rFonts w:ascii="Cambria Math" w:hAnsi="Cambria Math" w:cstheme="minorHAnsi"/>
                          <w:sz w:val="28"/>
                          <w:szCs w:val="28"/>
                        </w:rPr>
                        <m:t>L</m:t>
                      </m:r>
                    </m:e>
                    <m:sup>
                      <m:r>
                        <w:rPr>
                          <w:rFonts w:ascii="Cambria Math" w:hAnsi="Cambria Math" w:cstheme="minorHAnsi"/>
                          <w:sz w:val="28"/>
                          <w:szCs w:val="28"/>
                        </w:rPr>
                        <m:t>-1</m:t>
                      </m:r>
                    </m:sup>
                  </m:sSup>
                </m:e>
              </m:d>
            </m:e>
          </m:func>
          <m:r>
            <w:rPr>
              <w:rFonts w:ascii="Cambria Math" w:hAnsi="Cambria Math" w:cstheme="minorHAnsi"/>
              <w:sz w:val="28"/>
              <w:szCs w:val="28"/>
            </w:rPr>
            <m:t>=</m:t>
          </m:r>
          <m:f>
            <m:fPr>
              <m:ctrlPr>
                <w:rPr>
                  <w:rFonts w:ascii="Cambria Math" w:hAnsi="Cambria Math" w:cstheme="minorHAnsi"/>
                  <w:sz w:val="28"/>
                  <w:szCs w:val="28"/>
                </w:rPr>
              </m:ctrlPr>
            </m:fPr>
            <m:num>
              <m:d>
                <m:dPr>
                  <m:begChr m:val="["/>
                  <m:endChr m:val="]"/>
                  <m:ctrlPr>
                    <w:rPr>
                      <w:rFonts w:ascii="Cambria Math" w:hAnsi="Cambria Math" w:cstheme="minorHAnsi"/>
                      <w:i/>
                      <w:sz w:val="28"/>
                      <w:szCs w:val="28"/>
                    </w:rPr>
                  </m:ctrlPr>
                </m:dPr>
                <m:e>
                  <m:sSup>
                    <m:sSupPr>
                      <m:ctrlPr>
                        <w:rPr>
                          <w:rFonts w:ascii="Cambria Math" w:hAnsi="Cambria Math" w:cstheme="minorHAnsi"/>
                          <w:sz w:val="28"/>
                          <w:szCs w:val="28"/>
                        </w:rPr>
                      </m:ctrlPr>
                    </m:sSupPr>
                    <m:e>
                      <m:sSub>
                        <m:sSubPr>
                          <m:ctrlPr>
                            <w:rPr>
                              <w:rFonts w:ascii="Cambria Math" w:hAnsi="Cambria Math" w:cstheme="minorHAnsi"/>
                              <w:sz w:val="28"/>
                              <w:szCs w:val="28"/>
                            </w:rPr>
                          </m:ctrlPr>
                        </m:sSubPr>
                        <m:e>
                          <m:r>
                            <m:rPr>
                              <m:sty m:val="p"/>
                            </m:rPr>
                            <w:rPr>
                              <w:rFonts w:ascii="Cambria Math" w:hAnsi="Cambria Math" w:cstheme="minorHAnsi"/>
                              <w:sz w:val="28"/>
                              <w:szCs w:val="28"/>
                            </w:rPr>
                            <m:t>NO</m:t>
                          </m:r>
                        </m:e>
                        <m:sub>
                          <m:r>
                            <w:rPr>
                              <w:rFonts w:ascii="Cambria Math" w:hAnsi="Cambria Math" w:cstheme="minorHAnsi"/>
                              <w:sz w:val="28"/>
                              <w:szCs w:val="28"/>
                            </w:rPr>
                            <m:t>2</m:t>
                          </m:r>
                        </m:sub>
                      </m:sSub>
                    </m:e>
                    <m:sup>
                      <m:r>
                        <w:rPr>
                          <w:rFonts w:ascii="Cambria Math" w:hAnsi="Cambria Math" w:cstheme="minorHAnsi"/>
                          <w:sz w:val="28"/>
                          <w:szCs w:val="28"/>
                        </w:rPr>
                        <m:t>-</m:t>
                      </m:r>
                    </m:sup>
                  </m:sSup>
                  <m:r>
                    <w:rPr>
                      <w:rFonts w:ascii="Cambria Math" w:hAnsi="Cambria Math" w:cstheme="minorHAnsi"/>
                      <w:sz w:val="28"/>
                      <w:szCs w:val="28"/>
                    </w:rPr>
                    <m:t>-</m:t>
                  </m:r>
                  <m:r>
                    <m:rPr>
                      <m:sty m:val="p"/>
                    </m:rPr>
                    <w:rPr>
                      <w:rFonts w:ascii="Cambria Math" w:hAnsi="Cambria Math" w:cstheme="minorHAnsi"/>
                      <w:sz w:val="28"/>
                      <w:szCs w:val="28"/>
                    </w:rPr>
                    <m:t>N</m:t>
                  </m:r>
                </m:e>
              </m:d>
            </m:num>
            <m:den>
              <m:sSup>
                <m:sSupPr>
                  <m:ctrlPr>
                    <w:rPr>
                      <w:rFonts w:ascii="Cambria Math" w:hAnsi="Cambria Math" w:cstheme="minorHAnsi"/>
                      <w:sz w:val="28"/>
                      <w:szCs w:val="28"/>
                    </w:rPr>
                  </m:ctrlPr>
                </m:sSupPr>
                <m:e>
                  <m:r>
                    <w:rPr>
                      <w:rFonts w:ascii="Cambria Math" w:hAnsi="Cambria Math" w:cstheme="minorHAnsi"/>
                      <w:sz w:val="28"/>
                      <w:szCs w:val="28"/>
                    </w:rPr>
                    <m:t>e</m:t>
                  </m:r>
                </m:e>
                <m:sup>
                  <m:f>
                    <m:fPr>
                      <m:ctrlPr>
                        <w:rPr>
                          <w:rFonts w:ascii="Cambria Math" w:hAnsi="Cambria Math" w:cstheme="minorHAnsi"/>
                          <w:sz w:val="28"/>
                          <w:szCs w:val="28"/>
                        </w:rPr>
                      </m:ctrlPr>
                    </m:fPr>
                    <m:num>
                      <m:r>
                        <w:rPr>
                          <w:rFonts w:ascii="Cambria Math" w:hAnsi="Cambria Math" w:cstheme="minorHAnsi"/>
                          <w:sz w:val="28"/>
                          <w:szCs w:val="28"/>
                        </w:rPr>
                        <m:t>-</m:t>
                      </m:r>
                      <m:r>
                        <m:rPr>
                          <m:sty m:val="p"/>
                        </m:rPr>
                        <w:rPr>
                          <w:rFonts w:ascii="Cambria Math" w:hAnsi="Cambria Math" w:cstheme="minorHAnsi"/>
                          <w:sz w:val="28"/>
                          <w:szCs w:val="28"/>
                        </w:rPr>
                        <m:t>2,300</m:t>
                      </m:r>
                    </m:num>
                    <m:den>
                      <m:r>
                        <w:rPr>
                          <w:rFonts w:ascii="Cambria Math" w:hAnsi="Cambria Math" w:cstheme="minorHAnsi"/>
                          <w:sz w:val="28"/>
                          <w:szCs w:val="28"/>
                        </w:rPr>
                        <m:t>T</m:t>
                      </m:r>
                    </m:den>
                  </m:f>
                </m:sup>
              </m:sSup>
              <m:r>
                <w:rPr>
                  <w:rFonts w:ascii="Cambria Math" w:hAnsi="Cambria Math" w:cstheme="minorHAnsi"/>
                  <w:sz w:val="28"/>
                  <w:szCs w:val="28"/>
                </w:rPr>
                <m:t>×</m:t>
              </m:r>
              <m:sSup>
                <m:sSupPr>
                  <m:ctrlPr>
                    <w:rPr>
                      <w:rFonts w:ascii="Cambria Math" w:hAnsi="Cambria Math" w:cstheme="minorHAnsi"/>
                      <w:sz w:val="28"/>
                      <w:szCs w:val="28"/>
                    </w:rPr>
                  </m:ctrlPr>
                </m:sSupPr>
                <m:e>
                  <m:r>
                    <w:rPr>
                      <w:rFonts w:ascii="Cambria Math" w:hAnsi="Cambria Math" w:cstheme="minorHAnsi"/>
                      <w:sz w:val="28"/>
                      <w:szCs w:val="28"/>
                    </w:rPr>
                    <m:t>10</m:t>
                  </m:r>
                </m:e>
                <m:sup>
                  <m:r>
                    <m:rPr>
                      <m:sty m:val="p"/>
                    </m:rPr>
                    <w:rPr>
                      <w:rFonts w:ascii="Cambria Math" w:hAnsi="Cambria Math" w:cstheme="minorHAnsi"/>
                      <w:sz w:val="28"/>
                      <w:szCs w:val="28"/>
                    </w:rPr>
                    <m:t>pH</m:t>
                  </m:r>
                </m:sup>
              </m:sSup>
            </m:den>
          </m:f>
          <m:r>
            <w:rPr>
              <w:rFonts w:ascii="Cambria Math" w:hAnsi="Cambria Math" w:cstheme="minorHAnsi"/>
              <w:sz w:val="28"/>
              <w:szCs w:val="28"/>
            </w:rPr>
            <m:t>,</m:t>
          </m:r>
        </m:oMath>
      </m:oMathPara>
    </w:p>
    <w:p w14:paraId="0470B557" w14:textId="2A9A4E97" w:rsidR="00ED58D6" w:rsidRPr="00ED58D6" w:rsidRDefault="00ED58D6" w:rsidP="00ED58D6">
      <w:pPr>
        <w:rPr>
          <w:rFonts w:cstheme="minorHAnsi"/>
          <w:sz w:val="24"/>
          <w:szCs w:val="24"/>
        </w:rPr>
      </w:pPr>
      <w:r w:rsidRPr="00ED58D6">
        <w:rPr>
          <w:rFonts w:cstheme="minorHAnsi"/>
          <w:sz w:val="24"/>
          <w:szCs w:val="24"/>
        </w:rPr>
        <w:t>where </w:t>
      </w:r>
      <m:oMath>
        <m:sSup>
          <m:sSupPr>
            <m:ctrlPr>
              <w:rPr>
                <w:rFonts w:ascii="Cambria Math" w:hAnsi="Cambria Math"/>
                <w:sz w:val="24"/>
                <w:szCs w:val="24"/>
              </w:rPr>
            </m:ctrlPr>
          </m:sSupPr>
          <m:e>
            <m:sSub>
              <m:sSubPr>
                <m:ctrlPr>
                  <w:rPr>
                    <w:rFonts w:ascii="Cambria Math" w:hAnsi="Cambria Math"/>
                    <w:sz w:val="24"/>
                    <w:szCs w:val="24"/>
                  </w:rPr>
                </m:ctrlPr>
              </m:sSubPr>
              <m:e>
                <m:r>
                  <m:rPr>
                    <m:sty m:val="p"/>
                  </m:rPr>
                  <w:rPr>
                    <w:rFonts w:ascii="Cambria Math" w:hAnsi="Cambria Math"/>
                    <w:sz w:val="24"/>
                    <w:szCs w:val="24"/>
                  </w:rPr>
                  <m:t>NO</m:t>
                </m:r>
              </m:e>
              <m:sub>
                <m:r>
                  <w:rPr>
                    <w:rFonts w:ascii="Cambria Math" w:hAnsi="Cambria Math"/>
                    <w:sz w:val="24"/>
                    <w:szCs w:val="24"/>
                  </w:rPr>
                  <m:t>2</m:t>
                </m:r>
              </m:sub>
            </m:sSub>
          </m:e>
          <m:sup>
            <m:r>
              <w:rPr>
                <w:rFonts w:ascii="Cambria Math" w:hAnsi="Cambria Math"/>
                <w:sz w:val="24"/>
                <w:szCs w:val="24"/>
              </w:rPr>
              <m:t>-</m:t>
            </m:r>
          </m:sup>
        </m:sSup>
        <m:r>
          <w:rPr>
            <w:rFonts w:ascii="Cambria Math" w:hAnsi="Cambria Math"/>
            <w:sz w:val="24"/>
            <w:szCs w:val="24"/>
          </w:rPr>
          <m:t>-</m:t>
        </m:r>
        <m:r>
          <m:rPr>
            <m:sty m:val="p"/>
          </m:rPr>
          <w:rPr>
            <w:rFonts w:ascii="Cambria Math" w:hAnsi="Cambria Math"/>
            <w:sz w:val="24"/>
            <w:szCs w:val="24"/>
          </w:rPr>
          <m:t>N</m:t>
        </m:r>
      </m:oMath>
      <w:r w:rsidRPr="00ED58D6">
        <w:rPr>
          <w:rFonts w:ascii="Calibri" w:hAnsi="Calibri" w:cs="Calibri"/>
          <w:sz w:val="24"/>
          <w:szCs w:val="24"/>
        </w:rPr>
        <w:t> </w:t>
      </w:r>
      <w:r w:rsidRPr="00ED58D6">
        <w:rPr>
          <w:rFonts w:cstheme="minorHAnsi"/>
          <w:sz w:val="24"/>
          <w:szCs w:val="24"/>
        </w:rPr>
        <w:t>is the concentration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and </w:t>
      </w:r>
      <m:oMath>
        <m:r>
          <w:rPr>
            <w:rFonts w:ascii="Cambria Math" w:hAnsi="Cambria Math" w:cstheme="minorHAnsi"/>
            <w:sz w:val="24"/>
            <w:szCs w:val="24"/>
          </w:rPr>
          <m:t>T</m:t>
        </m:r>
      </m:oMath>
      <w:r w:rsidRPr="00ED58D6">
        <w:rPr>
          <w:rFonts w:cstheme="minorHAnsi"/>
          <w:sz w:val="24"/>
          <w:szCs w:val="24"/>
        </w:rPr>
        <w:t> is the temperature tested during the batch tests.</w:t>
      </w:r>
    </w:p>
    <w:p w14:paraId="72E98293" w14:textId="53EE3701" w:rsidR="00ED58D6" w:rsidRPr="00ED58D6" w:rsidRDefault="00ED58D6" w:rsidP="00ED58D6">
      <w:pPr>
        <w:rPr>
          <w:rFonts w:cstheme="minorHAnsi"/>
          <w:sz w:val="24"/>
          <w:szCs w:val="24"/>
        </w:rPr>
      </w:pPr>
      <w:r w:rsidRPr="00ED58D6">
        <w:rPr>
          <w:rFonts w:cstheme="minorHAnsi"/>
          <w:sz w:val="24"/>
          <w:szCs w:val="24"/>
        </w:rPr>
        <w:t>The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ratio (NAR) was calculated with the following equation (Roots et al., 2020):</w:t>
      </w:r>
    </w:p>
    <w:p w14:paraId="4701A698" w14:textId="10D69338" w:rsidR="00F97D95" w:rsidRDefault="00F97D95" w:rsidP="00ED58D6">
      <w:pPr>
        <w:rPr>
          <w:rFonts w:cstheme="minorHAnsi"/>
          <w:sz w:val="24"/>
          <w:szCs w:val="24"/>
        </w:rPr>
      </w:pPr>
      <m:oMathPara>
        <m:oMath>
          <m:func>
            <m:funcPr>
              <m:ctrlPr>
                <w:rPr>
                  <w:rFonts w:ascii="Cambria Math" w:hAnsi="Cambria Math"/>
                  <w:sz w:val="28"/>
                  <w:szCs w:val="28"/>
                </w:rPr>
              </m:ctrlPr>
            </m:funcPr>
            <m:fName>
              <m:r>
                <w:rPr>
                  <w:rFonts w:ascii="Cambria Math" w:hAnsi="Cambria Math"/>
                  <w:sz w:val="28"/>
                  <w:szCs w:val="28"/>
                </w:rPr>
                <m:t>NAR</m:t>
              </m:r>
            </m:fName>
            <m:e>
              <m:r>
                <w:rPr>
                  <w:rFonts w:ascii="Cambria Math" w:hAnsi="Cambria Math"/>
                  <w:sz w:val="28"/>
                  <w:szCs w:val="28"/>
                </w:rPr>
                <m:t>(%)</m:t>
              </m:r>
            </m:e>
          </m:func>
          <m:r>
            <m:rPr>
              <m:aln/>
            </m:rPr>
            <w:rPr>
              <w:rFonts w:ascii="Cambria Math" w:hAnsi="Cambria Math"/>
              <w:sz w:val="28"/>
              <w:szCs w:val="28"/>
            </w:rPr>
            <m:t>=</m:t>
          </m:r>
          <m:eqArr>
            <m:eqArrPr>
              <m:ctrlPr>
                <w:rPr>
                  <w:rFonts w:ascii="Cambria Math" w:hAnsi="Cambria Math"/>
                  <w:sz w:val="28"/>
                  <w:szCs w:val="28"/>
                </w:rPr>
              </m:ctrlPr>
            </m:eqArrPr>
            <m:e>
              <m:f>
                <m:fPr>
                  <m:ctrlPr>
                    <w:rPr>
                      <w:rFonts w:ascii="Cambria Math" w:hAnsi="Cambria Math"/>
                      <w:sz w:val="28"/>
                      <w:szCs w:val="28"/>
                    </w:rPr>
                  </m:ctrlPr>
                </m:fPr>
                <m:num>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CNO</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t</m:t>
                      </m:r>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CNO</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t</m:t>
                      </m:r>
                      <m:r>
                        <w:rPr>
                          <w:rFonts w:ascii="Cambria Math" w:hAnsi="Cambria Math"/>
                          <w:sz w:val="28"/>
                          <w:szCs w:val="28"/>
                        </w:rPr>
                        <m:t>1</m:t>
                      </m:r>
                    </m:sub>
                  </m:sSub>
                  <m:r>
                    <w:rPr>
                      <w:rFonts w:ascii="Cambria Math" w:hAnsi="Cambria Math"/>
                      <w:sz w:val="28"/>
                      <w:szCs w:val="28"/>
                    </w:rPr>
                    <m:t>)</m:t>
                  </m:r>
                </m:num>
                <m:den>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CNO</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t</m:t>
                      </m:r>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CNO</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t</m:t>
                      </m:r>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CNO</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t</m:t>
                      </m:r>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CNO</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t</m:t>
                      </m:r>
                      <m:r>
                        <w:rPr>
                          <w:rFonts w:ascii="Cambria Math" w:hAnsi="Cambria Math"/>
                          <w:sz w:val="28"/>
                          <w:szCs w:val="28"/>
                        </w:rPr>
                        <m:t>1</m:t>
                      </m:r>
                    </m:sub>
                  </m:sSub>
                  <m:r>
                    <w:rPr>
                      <w:rFonts w:ascii="Cambria Math" w:hAnsi="Cambria Math"/>
                      <w:sz w:val="28"/>
                      <w:szCs w:val="28"/>
                    </w:rPr>
                    <m:t>)</m:t>
                  </m:r>
                </m:den>
              </m:f>
            </m:e>
            <m:e>
              <m:r>
                <w:rPr>
                  <w:rFonts w:ascii="Cambria Math" w:hAnsi="Cambria Math"/>
                  <w:sz w:val="28"/>
                  <w:szCs w:val="28"/>
                </w:rPr>
                <m:t>×100,</m:t>
              </m:r>
            </m:e>
          </m:eqArr>
        </m:oMath>
      </m:oMathPara>
    </w:p>
    <w:p w14:paraId="4469DDF4" w14:textId="7CC5B019" w:rsidR="00ED58D6" w:rsidRPr="00ED58D6" w:rsidRDefault="00ED58D6" w:rsidP="00ED58D6">
      <w:pPr>
        <w:rPr>
          <w:rFonts w:cstheme="minorHAnsi"/>
          <w:sz w:val="24"/>
          <w:szCs w:val="24"/>
        </w:rPr>
      </w:pPr>
      <w:r w:rsidRPr="00ED58D6">
        <w:rPr>
          <w:rFonts w:cstheme="minorHAnsi"/>
          <w:sz w:val="24"/>
          <w:szCs w:val="24"/>
        </w:rPr>
        <w:t>where CNO</w:t>
      </w:r>
      <w:r w:rsidRPr="00ED58D6">
        <w:rPr>
          <w:rFonts w:cstheme="minorHAnsi"/>
          <w:sz w:val="24"/>
          <w:szCs w:val="24"/>
          <w:vertAlign w:val="subscript"/>
        </w:rPr>
        <w:t>2</w:t>
      </w:r>
      <w:r w:rsidRPr="00ED58D6">
        <w:rPr>
          <w:rFonts w:cstheme="minorHAnsi"/>
          <w:sz w:val="24"/>
          <w:szCs w:val="24"/>
        </w:rPr>
        <w:t>-N</w:t>
      </w:r>
      <w:r w:rsidRPr="00ED58D6">
        <w:rPr>
          <w:rFonts w:cstheme="minorHAnsi"/>
          <w:sz w:val="24"/>
          <w:szCs w:val="24"/>
          <w:vertAlign w:val="subscript"/>
        </w:rPr>
        <w:t>t1</w:t>
      </w:r>
      <w:r w:rsidRPr="00ED58D6">
        <w:rPr>
          <w:rFonts w:cstheme="minorHAnsi"/>
          <w:sz w:val="24"/>
          <w:szCs w:val="24"/>
        </w:rPr>
        <w:t> and CNO</w:t>
      </w:r>
      <w:r w:rsidRPr="00ED58D6">
        <w:rPr>
          <w:rFonts w:cstheme="minorHAnsi"/>
          <w:sz w:val="24"/>
          <w:szCs w:val="24"/>
          <w:vertAlign w:val="subscript"/>
        </w:rPr>
        <w:t>3</w:t>
      </w:r>
      <w:r w:rsidRPr="00ED58D6">
        <w:rPr>
          <w:rFonts w:cstheme="minorHAnsi"/>
          <w:sz w:val="24"/>
          <w:szCs w:val="24"/>
        </w:rPr>
        <w:t>-N</w:t>
      </w:r>
      <w:r w:rsidRPr="00ED58D6">
        <w:rPr>
          <w:rFonts w:cstheme="minorHAnsi"/>
          <w:sz w:val="24"/>
          <w:szCs w:val="24"/>
          <w:vertAlign w:val="subscript"/>
        </w:rPr>
        <w:t>t1</w:t>
      </w:r>
      <w:r w:rsidRPr="00ED58D6">
        <w:rPr>
          <w:rFonts w:cstheme="minorHAnsi"/>
          <w:sz w:val="24"/>
          <w:szCs w:val="24"/>
        </w:rPr>
        <w:t> were the concentration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and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at different timepoints during the experiments.</w:t>
      </w:r>
    </w:p>
    <w:p w14:paraId="2C74A5EC" w14:textId="77777777" w:rsidR="00ED58D6" w:rsidRPr="00ED58D6" w:rsidRDefault="00ED58D6" w:rsidP="00F97D95">
      <w:pPr>
        <w:pStyle w:val="Heading2"/>
      </w:pPr>
      <w:r w:rsidRPr="00ED58D6">
        <w:t>DNA extraction and 16S amplicon sequencing</w:t>
      </w:r>
    </w:p>
    <w:p w14:paraId="120E15C5" w14:textId="000AEA95" w:rsidR="00ED58D6" w:rsidRPr="00ED58D6" w:rsidRDefault="00ED58D6" w:rsidP="00ED58D6">
      <w:pPr>
        <w:rPr>
          <w:rFonts w:cstheme="minorHAnsi"/>
          <w:sz w:val="24"/>
          <w:szCs w:val="24"/>
        </w:rPr>
      </w:pPr>
      <w:r w:rsidRPr="00ED58D6">
        <w:rPr>
          <w:rFonts w:cstheme="minorHAnsi"/>
          <w:sz w:val="24"/>
          <w:szCs w:val="24"/>
        </w:rPr>
        <w:t xml:space="preserve">To shed light on key nitrogen-cycling taxa in both PAD reactors, biomass from each PAD reactor was investigated for DNA community analysis. Therefore, microbial community data reflect the full-scale PAD reactors from the single time point they were collected. The biomass of each sample was concentrated into a pellet by centrifuging a 2 ml aliquot at 13,000 RCF for 5 min and discarding the supernatant. DNA from each sample pellet was extracted using the Qiagen </w:t>
      </w:r>
      <w:proofErr w:type="spellStart"/>
      <w:r w:rsidRPr="00ED58D6">
        <w:rPr>
          <w:rFonts w:cstheme="minorHAnsi"/>
          <w:sz w:val="24"/>
          <w:szCs w:val="24"/>
        </w:rPr>
        <w:t>DNeasy</w:t>
      </w:r>
      <w:proofErr w:type="spellEnd"/>
      <w:r w:rsidRPr="00ED58D6">
        <w:rPr>
          <w:rFonts w:cstheme="minorHAnsi"/>
          <w:sz w:val="24"/>
          <w:szCs w:val="24"/>
        </w:rPr>
        <w:t xml:space="preserve"> </w:t>
      </w:r>
      <w:proofErr w:type="spellStart"/>
      <w:r w:rsidRPr="00ED58D6">
        <w:rPr>
          <w:rFonts w:cstheme="minorHAnsi"/>
          <w:sz w:val="24"/>
          <w:szCs w:val="24"/>
        </w:rPr>
        <w:t>PowerSoil</w:t>
      </w:r>
      <w:proofErr w:type="spellEnd"/>
      <w:r w:rsidRPr="00ED58D6">
        <w:rPr>
          <w:rFonts w:cstheme="minorHAnsi"/>
          <w:sz w:val="24"/>
          <w:szCs w:val="24"/>
        </w:rPr>
        <w:t xml:space="preserve"> Pro kit (Qiagen, Germany) on a </w:t>
      </w:r>
      <w:proofErr w:type="spellStart"/>
      <w:r w:rsidRPr="00ED58D6">
        <w:rPr>
          <w:rFonts w:cstheme="minorHAnsi"/>
          <w:sz w:val="24"/>
          <w:szCs w:val="24"/>
        </w:rPr>
        <w:t>QIAcube</w:t>
      </w:r>
      <w:proofErr w:type="spellEnd"/>
      <w:r w:rsidRPr="00ED58D6">
        <w:rPr>
          <w:rFonts w:cstheme="minorHAnsi"/>
          <w:sz w:val="24"/>
          <w:szCs w:val="24"/>
        </w:rPr>
        <w:t xml:space="preserve"> Connect (Qiagen, Germany) automated sample processor using manufacturer's SOP. DNA yield was quantified using Qubit HS dsDNA assay (</w:t>
      </w:r>
      <w:proofErr w:type="spellStart"/>
      <w:r w:rsidRPr="00ED58D6">
        <w:rPr>
          <w:rFonts w:cstheme="minorHAnsi"/>
          <w:sz w:val="24"/>
          <w:szCs w:val="24"/>
        </w:rPr>
        <w:t>Thermo</w:t>
      </w:r>
      <w:proofErr w:type="spellEnd"/>
      <w:r w:rsidRPr="00ED58D6">
        <w:rPr>
          <w:rFonts w:cstheme="minorHAnsi"/>
          <w:sz w:val="24"/>
          <w:szCs w:val="24"/>
        </w:rPr>
        <w:t xml:space="preserve"> Fisher Scientific, MA). rRNA Amplicon Generation PCR was performed on each DNA extract using primers Bakt_341F and Bakt_805R (</w:t>
      </w:r>
      <w:proofErr w:type="spellStart"/>
      <w:r w:rsidRPr="00ED58D6">
        <w:rPr>
          <w:rFonts w:cstheme="minorHAnsi"/>
          <w:sz w:val="24"/>
          <w:szCs w:val="24"/>
        </w:rPr>
        <w:t>Herlemann</w:t>
      </w:r>
      <w:proofErr w:type="spellEnd"/>
      <w:r w:rsidRPr="00ED58D6">
        <w:rPr>
          <w:rFonts w:cstheme="minorHAnsi"/>
          <w:sz w:val="24"/>
          <w:szCs w:val="24"/>
        </w:rPr>
        <w:t xml:space="preserve"> et al., </w:t>
      </w:r>
      <w:r w:rsidRPr="00ED58D6">
        <w:rPr>
          <w:rFonts w:cstheme="minorHAnsi"/>
          <w:b/>
          <w:bCs/>
          <w:sz w:val="24"/>
          <w:szCs w:val="24"/>
        </w:rPr>
        <w:t>2011</w:t>
      </w:r>
      <w:r w:rsidRPr="00ED58D6">
        <w:rPr>
          <w:rFonts w:cstheme="minorHAnsi"/>
          <w:sz w:val="24"/>
          <w:szCs w:val="24"/>
        </w:rPr>
        <w:t xml:space="preserve">) to target and amplify the V3-V4 hypervariable region of the 16S rRNA gene. Amplicon size was confirmed using gel electrophoresis. Illumina libraries were prepped from the generated amplicons and sequenced on a 2 × 300 Illumina </w:t>
      </w:r>
      <w:proofErr w:type="spellStart"/>
      <w:r w:rsidRPr="00ED58D6">
        <w:rPr>
          <w:rFonts w:cstheme="minorHAnsi"/>
          <w:sz w:val="24"/>
          <w:szCs w:val="24"/>
        </w:rPr>
        <w:t>MiSeq</w:t>
      </w:r>
      <w:proofErr w:type="spellEnd"/>
      <w:r w:rsidRPr="00ED58D6">
        <w:rPr>
          <w:rFonts w:cstheme="minorHAnsi"/>
          <w:sz w:val="24"/>
          <w:szCs w:val="24"/>
        </w:rPr>
        <w:t xml:space="preserve"> sequence run.</w:t>
      </w:r>
    </w:p>
    <w:p w14:paraId="4165E189" w14:textId="77777777" w:rsidR="00ED58D6" w:rsidRPr="00ED58D6" w:rsidRDefault="00ED58D6" w:rsidP="00F97D95">
      <w:pPr>
        <w:pStyle w:val="Heading2"/>
      </w:pPr>
      <w:r w:rsidRPr="00ED58D6">
        <w:t>Sequencing data analysis</w:t>
      </w:r>
    </w:p>
    <w:p w14:paraId="7C8A1CBB" w14:textId="2BEADD6B" w:rsidR="00ED58D6" w:rsidRPr="00ED58D6" w:rsidRDefault="00ED58D6" w:rsidP="00ED58D6">
      <w:pPr>
        <w:rPr>
          <w:rFonts w:cstheme="minorHAnsi"/>
          <w:sz w:val="24"/>
          <w:szCs w:val="24"/>
        </w:rPr>
      </w:pPr>
      <w:r w:rsidRPr="00ED58D6">
        <w:rPr>
          <w:rFonts w:cstheme="minorHAnsi"/>
          <w:sz w:val="24"/>
          <w:szCs w:val="24"/>
        </w:rPr>
        <w:t xml:space="preserve">The raw sequences resulting from the </w:t>
      </w:r>
      <w:proofErr w:type="spellStart"/>
      <w:r w:rsidRPr="00ED58D6">
        <w:rPr>
          <w:rFonts w:cstheme="minorHAnsi"/>
          <w:sz w:val="24"/>
          <w:szCs w:val="24"/>
        </w:rPr>
        <w:t>MiSeq</w:t>
      </w:r>
      <w:proofErr w:type="spellEnd"/>
      <w:r w:rsidRPr="00ED58D6">
        <w:rPr>
          <w:rFonts w:cstheme="minorHAnsi"/>
          <w:sz w:val="24"/>
          <w:szCs w:val="24"/>
        </w:rPr>
        <w:t xml:space="preserve"> run </w:t>
      </w:r>
      <w:proofErr w:type="gramStart"/>
      <w:r w:rsidRPr="00ED58D6">
        <w:rPr>
          <w:rFonts w:cstheme="minorHAnsi"/>
          <w:sz w:val="24"/>
          <w:szCs w:val="24"/>
        </w:rPr>
        <w:t>was</w:t>
      </w:r>
      <w:proofErr w:type="gramEnd"/>
      <w:r w:rsidRPr="00ED58D6">
        <w:rPr>
          <w:rFonts w:cstheme="minorHAnsi"/>
          <w:sz w:val="24"/>
          <w:szCs w:val="24"/>
        </w:rPr>
        <w:t xml:space="preserve"> processed using the Quantitative Insights </w:t>
      </w:r>
      <w:proofErr w:type="gramStart"/>
      <w:r w:rsidRPr="00ED58D6">
        <w:rPr>
          <w:rFonts w:cstheme="minorHAnsi"/>
          <w:sz w:val="24"/>
          <w:szCs w:val="24"/>
        </w:rPr>
        <w:t>Into</w:t>
      </w:r>
      <w:proofErr w:type="gramEnd"/>
      <w:r w:rsidRPr="00ED58D6">
        <w:rPr>
          <w:rFonts w:cstheme="minorHAnsi"/>
          <w:sz w:val="24"/>
          <w:szCs w:val="24"/>
        </w:rPr>
        <w:t xml:space="preserve"> Microbial Ecology2 (QIIME2, v. 2021.4) (</w:t>
      </w:r>
      <w:proofErr w:type="spellStart"/>
      <w:r w:rsidRPr="00ED58D6">
        <w:rPr>
          <w:rFonts w:cstheme="minorHAnsi"/>
          <w:sz w:val="24"/>
          <w:szCs w:val="24"/>
        </w:rPr>
        <w:t>Bolyen</w:t>
      </w:r>
      <w:proofErr w:type="spellEnd"/>
      <w:r w:rsidRPr="00ED58D6">
        <w:rPr>
          <w:rFonts w:cstheme="minorHAnsi"/>
          <w:sz w:val="24"/>
          <w:szCs w:val="24"/>
        </w:rPr>
        <w:t xml:space="preserve"> et al., </w:t>
      </w:r>
      <w:r w:rsidRPr="00ED58D6">
        <w:rPr>
          <w:rFonts w:cstheme="minorHAnsi"/>
          <w:b/>
          <w:bCs/>
          <w:sz w:val="24"/>
          <w:szCs w:val="24"/>
        </w:rPr>
        <w:t>2019</w:t>
      </w:r>
      <w:r w:rsidRPr="00ED58D6">
        <w:rPr>
          <w:rFonts w:cstheme="minorHAnsi"/>
          <w:sz w:val="24"/>
          <w:szCs w:val="24"/>
        </w:rPr>
        <w:t xml:space="preserve">) pipeline. First, primer sequences and adapter sequences were trimmed from the raw reads and filtered for quality using the Qiime2 </w:t>
      </w:r>
      <w:proofErr w:type="spellStart"/>
      <w:r w:rsidRPr="00ED58D6">
        <w:rPr>
          <w:rFonts w:cstheme="minorHAnsi"/>
          <w:sz w:val="24"/>
          <w:szCs w:val="24"/>
        </w:rPr>
        <w:t>cutadapt</w:t>
      </w:r>
      <w:proofErr w:type="spellEnd"/>
      <w:r w:rsidRPr="00ED58D6">
        <w:rPr>
          <w:rFonts w:cstheme="minorHAnsi"/>
          <w:sz w:val="24"/>
          <w:szCs w:val="24"/>
        </w:rPr>
        <w:t xml:space="preserve"> plugin (Martin, </w:t>
      </w:r>
      <w:r w:rsidRPr="00ED58D6">
        <w:rPr>
          <w:rFonts w:cstheme="minorHAnsi"/>
          <w:b/>
          <w:bCs/>
          <w:sz w:val="24"/>
          <w:szCs w:val="24"/>
        </w:rPr>
        <w:t>2011</w:t>
      </w:r>
      <w:r w:rsidRPr="00ED58D6">
        <w:rPr>
          <w:rFonts w:cstheme="minorHAnsi"/>
          <w:sz w:val="24"/>
          <w:szCs w:val="24"/>
        </w:rPr>
        <w:t>). The Qiime2 dada2 plugin (Callahan et al., </w:t>
      </w:r>
      <w:r w:rsidRPr="00ED58D6">
        <w:rPr>
          <w:rFonts w:cstheme="minorHAnsi"/>
          <w:b/>
          <w:bCs/>
          <w:sz w:val="24"/>
          <w:szCs w:val="24"/>
        </w:rPr>
        <w:t>2016</w:t>
      </w:r>
      <w:r w:rsidRPr="00ED58D6">
        <w:rPr>
          <w:rFonts w:cstheme="minorHAnsi"/>
          <w:sz w:val="24"/>
          <w:szCs w:val="24"/>
        </w:rPr>
        <w:t>) was used to merge, denoise, and dereplicate the trimmed reads. The resulting reads were then used by dada2 to generate an amplicon sequence variant table (ASV) and a representative sequences file. Taxonomy for the data was assigned using the Qiime2 naïve Bayesian classifier (</w:t>
      </w:r>
      <w:proofErr w:type="spellStart"/>
      <w:r w:rsidRPr="00ED58D6">
        <w:rPr>
          <w:rFonts w:cstheme="minorHAnsi"/>
          <w:sz w:val="24"/>
          <w:szCs w:val="24"/>
        </w:rPr>
        <w:t>Pedregosa</w:t>
      </w:r>
      <w:proofErr w:type="spellEnd"/>
      <w:r w:rsidRPr="00ED58D6">
        <w:rPr>
          <w:rFonts w:cstheme="minorHAnsi"/>
          <w:sz w:val="24"/>
          <w:szCs w:val="24"/>
        </w:rPr>
        <w:t xml:space="preserve"> et al., </w:t>
      </w:r>
      <w:r w:rsidRPr="00ED58D6">
        <w:rPr>
          <w:rFonts w:cstheme="minorHAnsi"/>
          <w:b/>
          <w:bCs/>
          <w:sz w:val="24"/>
          <w:szCs w:val="24"/>
        </w:rPr>
        <w:t>2011</w:t>
      </w:r>
      <w:r w:rsidRPr="00ED58D6">
        <w:rPr>
          <w:rFonts w:cstheme="minorHAnsi"/>
          <w:sz w:val="24"/>
          <w:szCs w:val="24"/>
        </w:rPr>
        <w:t>) that was trained using the SILVA 138.1 database (Quast et al., </w:t>
      </w:r>
      <w:r w:rsidRPr="00ED58D6">
        <w:rPr>
          <w:rFonts w:cstheme="minorHAnsi"/>
          <w:b/>
          <w:bCs/>
          <w:sz w:val="24"/>
          <w:szCs w:val="24"/>
        </w:rPr>
        <w:t>2013</w:t>
      </w:r>
      <w:r w:rsidRPr="00ED58D6">
        <w:rPr>
          <w:rFonts w:cstheme="minorHAnsi"/>
          <w:sz w:val="24"/>
          <w:szCs w:val="24"/>
        </w:rPr>
        <w:t>; Yilmaz et al., </w:t>
      </w:r>
      <w:r w:rsidRPr="00ED58D6">
        <w:rPr>
          <w:rFonts w:cstheme="minorHAnsi"/>
          <w:b/>
          <w:bCs/>
          <w:sz w:val="24"/>
          <w:szCs w:val="24"/>
        </w:rPr>
        <w:t>2014</w:t>
      </w:r>
      <w:r w:rsidRPr="00ED58D6">
        <w:rPr>
          <w:rFonts w:cstheme="minorHAnsi"/>
          <w:sz w:val="24"/>
          <w:szCs w:val="24"/>
        </w:rPr>
        <w:t>). The representative sequences were aligned using the Qiime2 MAFFT plugin (</w:t>
      </w:r>
      <w:proofErr w:type="spellStart"/>
      <w:r w:rsidRPr="00ED58D6">
        <w:rPr>
          <w:rFonts w:cstheme="minorHAnsi"/>
          <w:sz w:val="24"/>
          <w:szCs w:val="24"/>
        </w:rPr>
        <w:t>Katoh</w:t>
      </w:r>
      <w:proofErr w:type="spellEnd"/>
      <w:r w:rsidRPr="00ED58D6">
        <w:rPr>
          <w:rFonts w:cstheme="minorHAnsi"/>
          <w:sz w:val="24"/>
          <w:szCs w:val="24"/>
        </w:rPr>
        <w:t xml:space="preserve"> &amp; </w:t>
      </w:r>
      <w:proofErr w:type="spellStart"/>
      <w:r w:rsidRPr="00ED58D6">
        <w:rPr>
          <w:rFonts w:cstheme="minorHAnsi"/>
          <w:sz w:val="24"/>
          <w:szCs w:val="24"/>
        </w:rPr>
        <w:t>Standley</w:t>
      </w:r>
      <w:proofErr w:type="spellEnd"/>
      <w:r w:rsidRPr="00ED58D6">
        <w:rPr>
          <w:rFonts w:cstheme="minorHAnsi"/>
          <w:sz w:val="24"/>
          <w:szCs w:val="24"/>
        </w:rPr>
        <w:t>, </w:t>
      </w:r>
      <w:r w:rsidRPr="00ED58D6">
        <w:rPr>
          <w:rFonts w:cstheme="minorHAnsi"/>
          <w:b/>
          <w:bCs/>
          <w:sz w:val="24"/>
          <w:szCs w:val="24"/>
        </w:rPr>
        <w:t>2013</w:t>
      </w:r>
      <w:r w:rsidRPr="00ED58D6">
        <w:rPr>
          <w:rFonts w:cstheme="minorHAnsi"/>
          <w:sz w:val="24"/>
          <w:szCs w:val="24"/>
        </w:rPr>
        <w:t>), and the alignment was masked using the Qiime2 mask plugin (</w:t>
      </w:r>
      <w:proofErr w:type="spellStart"/>
      <w:r w:rsidRPr="00ED58D6">
        <w:rPr>
          <w:rFonts w:cstheme="minorHAnsi"/>
          <w:sz w:val="24"/>
          <w:szCs w:val="24"/>
        </w:rPr>
        <w:t>Stackebrandt</w:t>
      </w:r>
      <w:proofErr w:type="spellEnd"/>
      <w:r w:rsidRPr="00ED58D6">
        <w:rPr>
          <w:rFonts w:cstheme="minorHAnsi"/>
          <w:sz w:val="24"/>
          <w:szCs w:val="24"/>
        </w:rPr>
        <w:t xml:space="preserve"> &amp; Goodfellow, </w:t>
      </w:r>
      <w:r w:rsidRPr="00ED58D6">
        <w:rPr>
          <w:rFonts w:cstheme="minorHAnsi"/>
          <w:b/>
          <w:bCs/>
          <w:sz w:val="24"/>
          <w:szCs w:val="24"/>
        </w:rPr>
        <w:t>1991</w:t>
      </w:r>
      <w:r w:rsidRPr="00ED58D6">
        <w:rPr>
          <w:rFonts w:cstheme="minorHAnsi"/>
          <w:sz w:val="24"/>
          <w:szCs w:val="24"/>
        </w:rPr>
        <w:t xml:space="preserve">). The masked alignment was used as input for the Qiime2 phylogeny </w:t>
      </w:r>
      <w:proofErr w:type="spellStart"/>
      <w:r w:rsidRPr="00ED58D6">
        <w:rPr>
          <w:rFonts w:cstheme="minorHAnsi"/>
          <w:sz w:val="24"/>
          <w:szCs w:val="24"/>
        </w:rPr>
        <w:t>fasttree</w:t>
      </w:r>
      <w:proofErr w:type="spellEnd"/>
      <w:r w:rsidRPr="00ED58D6">
        <w:rPr>
          <w:rFonts w:cstheme="minorHAnsi"/>
          <w:sz w:val="24"/>
          <w:szCs w:val="24"/>
        </w:rPr>
        <w:t xml:space="preserve"> plugin (Price et al., </w:t>
      </w:r>
      <w:r w:rsidRPr="00ED58D6">
        <w:rPr>
          <w:rFonts w:cstheme="minorHAnsi"/>
          <w:b/>
          <w:bCs/>
          <w:sz w:val="24"/>
          <w:szCs w:val="24"/>
        </w:rPr>
        <w:t>2010</w:t>
      </w:r>
      <w:r w:rsidRPr="00ED58D6">
        <w:rPr>
          <w:rFonts w:cstheme="minorHAnsi"/>
          <w:sz w:val="24"/>
          <w:szCs w:val="24"/>
        </w:rPr>
        <w:t>) to generate a rooted phylogenetic tree.</w:t>
      </w:r>
    </w:p>
    <w:p w14:paraId="597D3B93" w14:textId="4E6FC527" w:rsidR="00ED58D6" w:rsidRPr="00ED58D6" w:rsidRDefault="00ED58D6" w:rsidP="00ED58D6">
      <w:pPr>
        <w:rPr>
          <w:rFonts w:cstheme="minorHAnsi"/>
          <w:sz w:val="24"/>
          <w:szCs w:val="24"/>
        </w:rPr>
      </w:pPr>
      <w:r w:rsidRPr="00ED58D6">
        <w:rPr>
          <w:rFonts w:cstheme="minorHAnsi"/>
          <w:sz w:val="24"/>
          <w:szCs w:val="24"/>
        </w:rPr>
        <w:t>The processed data were normalized and analyzed in R version 4.1.1 (R Core Team, </w:t>
      </w:r>
      <w:r w:rsidRPr="00ED58D6">
        <w:rPr>
          <w:rFonts w:cstheme="minorHAnsi"/>
          <w:b/>
          <w:bCs/>
          <w:sz w:val="24"/>
          <w:szCs w:val="24"/>
        </w:rPr>
        <w:t>2021</w:t>
      </w:r>
      <w:r w:rsidRPr="00ED58D6">
        <w:rPr>
          <w:rFonts w:cstheme="minorHAnsi"/>
          <w:sz w:val="24"/>
          <w:szCs w:val="24"/>
        </w:rPr>
        <w:t xml:space="preserve">). The ASV table was normalized to account for biases against sequencing depth and testing using the cumulative-sum scaling method (CSS) implemented in the R package </w:t>
      </w:r>
      <w:proofErr w:type="spellStart"/>
      <w:r w:rsidRPr="00ED58D6">
        <w:rPr>
          <w:rFonts w:cstheme="minorHAnsi"/>
          <w:sz w:val="24"/>
          <w:szCs w:val="24"/>
        </w:rPr>
        <w:t>metagenomeSeq</w:t>
      </w:r>
      <w:proofErr w:type="spellEnd"/>
      <w:r w:rsidRPr="00ED58D6">
        <w:rPr>
          <w:rFonts w:cstheme="minorHAnsi"/>
          <w:sz w:val="24"/>
          <w:szCs w:val="24"/>
        </w:rPr>
        <w:t xml:space="preserve"> (Paulson et al., </w:t>
      </w:r>
      <w:r w:rsidRPr="00ED58D6">
        <w:rPr>
          <w:rFonts w:cstheme="minorHAnsi"/>
          <w:b/>
          <w:bCs/>
          <w:sz w:val="24"/>
          <w:szCs w:val="24"/>
        </w:rPr>
        <w:t>2013</w:t>
      </w:r>
      <w:r w:rsidRPr="00ED58D6">
        <w:rPr>
          <w:rFonts w:cstheme="minorHAnsi"/>
          <w:sz w:val="24"/>
          <w:szCs w:val="24"/>
        </w:rPr>
        <w:t>). Analysis and visualization of the data in R was performed using packages, ampviz2 (Andersen et al., </w:t>
      </w:r>
      <w:r w:rsidRPr="00ED58D6">
        <w:rPr>
          <w:rFonts w:cstheme="minorHAnsi"/>
          <w:b/>
          <w:bCs/>
          <w:sz w:val="24"/>
          <w:szCs w:val="24"/>
        </w:rPr>
        <w:t>2018</w:t>
      </w:r>
      <w:r w:rsidRPr="00ED58D6">
        <w:rPr>
          <w:rFonts w:cstheme="minorHAnsi"/>
          <w:sz w:val="24"/>
          <w:szCs w:val="24"/>
        </w:rPr>
        <w:t xml:space="preserve">), </w:t>
      </w:r>
      <w:proofErr w:type="spellStart"/>
      <w:r w:rsidRPr="00ED58D6">
        <w:rPr>
          <w:rFonts w:cstheme="minorHAnsi"/>
          <w:sz w:val="24"/>
          <w:szCs w:val="24"/>
        </w:rPr>
        <w:t>dplyr</w:t>
      </w:r>
      <w:proofErr w:type="spellEnd"/>
      <w:r w:rsidRPr="00ED58D6">
        <w:rPr>
          <w:rFonts w:cstheme="minorHAnsi"/>
          <w:sz w:val="24"/>
          <w:szCs w:val="24"/>
        </w:rPr>
        <w:t xml:space="preserve"> (Wickham &amp; François, </w:t>
      </w:r>
      <w:r w:rsidRPr="00ED58D6">
        <w:rPr>
          <w:rFonts w:cstheme="minorHAnsi"/>
          <w:b/>
          <w:bCs/>
          <w:sz w:val="24"/>
          <w:szCs w:val="24"/>
        </w:rPr>
        <w:t>2014</w:t>
      </w:r>
      <w:r w:rsidRPr="00ED58D6">
        <w:rPr>
          <w:rFonts w:cstheme="minorHAnsi"/>
          <w:sz w:val="24"/>
          <w:szCs w:val="24"/>
        </w:rPr>
        <w:t xml:space="preserve">), </w:t>
      </w:r>
      <w:proofErr w:type="spellStart"/>
      <w:proofErr w:type="gramStart"/>
      <w:r w:rsidRPr="00ED58D6">
        <w:rPr>
          <w:rFonts w:cstheme="minorHAnsi"/>
          <w:sz w:val="24"/>
          <w:szCs w:val="24"/>
        </w:rPr>
        <w:t>data.table</w:t>
      </w:r>
      <w:proofErr w:type="spellEnd"/>
      <w:proofErr w:type="gramEnd"/>
      <w:r w:rsidRPr="00ED58D6">
        <w:rPr>
          <w:rFonts w:cstheme="minorHAnsi"/>
          <w:sz w:val="24"/>
          <w:szCs w:val="24"/>
        </w:rPr>
        <w:t xml:space="preserve"> (</w:t>
      </w:r>
      <w:proofErr w:type="spellStart"/>
      <w:r w:rsidRPr="00ED58D6">
        <w:rPr>
          <w:rFonts w:cstheme="minorHAnsi"/>
          <w:sz w:val="24"/>
          <w:szCs w:val="24"/>
        </w:rPr>
        <w:t>Dowle</w:t>
      </w:r>
      <w:proofErr w:type="spellEnd"/>
      <w:r w:rsidRPr="00ED58D6">
        <w:rPr>
          <w:rFonts w:cstheme="minorHAnsi"/>
          <w:sz w:val="24"/>
          <w:szCs w:val="24"/>
        </w:rPr>
        <w:t xml:space="preserve"> &amp; Srinivasan, </w:t>
      </w:r>
      <w:r w:rsidRPr="00ED58D6">
        <w:rPr>
          <w:rFonts w:cstheme="minorHAnsi"/>
          <w:b/>
          <w:bCs/>
          <w:sz w:val="24"/>
          <w:szCs w:val="24"/>
        </w:rPr>
        <w:t>2020</w:t>
      </w:r>
      <w:r w:rsidRPr="00ED58D6">
        <w:rPr>
          <w:rFonts w:cstheme="minorHAnsi"/>
          <w:sz w:val="24"/>
          <w:szCs w:val="24"/>
        </w:rPr>
        <w:t>), ggplot2 (Wickham, </w:t>
      </w:r>
      <w:r w:rsidRPr="00ED58D6">
        <w:rPr>
          <w:rFonts w:cstheme="minorHAnsi"/>
          <w:b/>
          <w:bCs/>
          <w:sz w:val="24"/>
          <w:szCs w:val="24"/>
        </w:rPr>
        <w:t>2011</w:t>
      </w:r>
      <w:r w:rsidRPr="00ED58D6">
        <w:rPr>
          <w:rFonts w:cstheme="minorHAnsi"/>
          <w:sz w:val="24"/>
          <w:szCs w:val="24"/>
        </w:rPr>
        <w:t xml:space="preserve">), and </w:t>
      </w:r>
      <w:proofErr w:type="spellStart"/>
      <w:r w:rsidRPr="00ED58D6">
        <w:rPr>
          <w:rFonts w:cstheme="minorHAnsi"/>
          <w:sz w:val="24"/>
          <w:szCs w:val="24"/>
        </w:rPr>
        <w:t>phyloseq</w:t>
      </w:r>
      <w:proofErr w:type="spellEnd"/>
      <w:r w:rsidRPr="00ED58D6">
        <w:rPr>
          <w:rFonts w:cstheme="minorHAnsi"/>
          <w:sz w:val="24"/>
          <w:szCs w:val="24"/>
        </w:rPr>
        <w:t xml:space="preserve"> (</w:t>
      </w:r>
      <w:proofErr w:type="spellStart"/>
      <w:r w:rsidRPr="00ED58D6">
        <w:rPr>
          <w:rFonts w:cstheme="minorHAnsi"/>
          <w:sz w:val="24"/>
          <w:szCs w:val="24"/>
        </w:rPr>
        <w:t>McMurdie</w:t>
      </w:r>
      <w:proofErr w:type="spellEnd"/>
      <w:r w:rsidRPr="00ED58D6">
        <w:rPr>
          <w:rFonts w:cstheme="minorHAnsi"/>
          <w:sz w:val="24"/>
          <w:szCs w:val="24"/>
        </w:rPr>
        <w:t xml:space="preserve"> &amp; Holmes, </w:t>
      </w:r>
      <w:r w:rsidRPr="00ED58D6">
        <w:rPr>
          <w:rFonts w:cstheme="minorHAnsi"/>
          <w:b/>
          <w:bCs/>
          <w:sz w:val="24"/>
          <w:szCs w:val="24"/>
        </w:rPr>
        <w:t>2013</w:t>
      </w:r>
      <w:r w:rsidRPr="00ED58D6">
        <w:rPr>
          <w:rFonts w:cstheme="minorHAnsi"/>
          <w:sz w:val="24"/>
          <w:szCs w:val="24"/>
        </w:rPr>
        <w:t>), together with the Midas field guide functional guild DB (</w:t>
      </w:r>
      <w:proofErr w:type="spellStart"/>
      <w:r w:rsidRPr="00ED58D6">
        <w:rPr>
          <w:rFonts w:cstheme="minorHAnsi"/>
          <w:sz w:val="24"/>
          <w:szCs w:val="24"/>
        </w:rPr>
        <w:t>Dueholm</w:t>
      </w:r>
      <w:proofErr w:type="spellEnd"/>
      <w:r w:rsidRPr="00ED58D6">
        <w:rPr>
          <w:rFonts w:cstheme="minorHAnsi"/>
          <w:sz w:val="24"/>
          <w:szCs w:val="24"/>
        </w:rPr>
        <w:t xml:space="preserve"> et al., </w:t>
      </w:r>
      <w:r w:rsidRPr="00ED58D6">
        <w:rPr>
          <w:rFonts w:cstheme="minorHAnsi"/>
          <w:b/>
          <w:bCs/>
          <w:sz w:val="24"/>
          <w:szCs w:val="24"/>
        </w:rPr>
        <w:t>2022</w:t>
      </w:r>
      <w:r w:rsidRPr="00ED58D6">
        <w:rPr>
          <w:rFonts w:cstheme="minorHAnsi"/>
          <w:sz w:val="24"/>
          <w:szCs w:val="24"/>
        </w:rPr>
        <w:t xml:space="preserve">; </w:t>
      </w:r>
      <w:proofErr w:type="spellStart"/>
      <w:r w:rsidRPr="00ED58D6">
        <w:rPr>
          <w:rFonts w:cstheme="minorHAnsi"/>
          <w:sz w:val="24"/>
          <w:szCs w:val="24"/>
        </w:rPr>
        <w:t>Nierychlo</w:t>
      </w:r>
      <w:proofErr w:type="spellEnd"/>
      <w:r w:rsidRPr="00ED58D6">
        <w:rPr>
          <w:rFonts w:cstheme="minorHAnsi"/>
          <w:sz w:val="24"/>
          <w:szCs w:val="24"/>
        </w:rPr>
        <w:t xml:space="preserve"> et al., </w:t>
      </w:r>
      <w:r w:rsidRPr="00ED58D6">
        <w:rPr>
          <w:rFonts w:cstheme="minorHAnsi"/>
          <w:b/>
          <w:bCs/>
          <w:sz w:val="24"/>
          <w:szCs w:val="24"/>
        </w:rPr>
        <w:t>2020</w:t>
      </w:r>
      <w:r w:rsidRPr="00ED58D6">
        <w:rPr>
          <w:rFonts w:cstheme="minorHAnsi"/>
          <w:sz w:val="24"/>
          <w:szCs w:val="24"/>
        </w:rPr>
        <w:t>).</w:t>
      </w:r>
    </w:p>
    <w:p w14:paraId="34636A2B" w14:textId="77777777" w:rsidR="00ED58D6" w:rsidRPr="00ED58D6" w:rsidRDefault="00ED58D6" w:rsidP="00F97D95">
      <w:pPr>
        <w:pStyle w:val="Heading1"/>
      </w:pPr>
      <w:r w:rsidRPr="00ED58D6">
        <w:t>RESULTS AND DISCUSSION</w:t>
      </w:r>
    </w:p>
    <w:p w14:paraId="64ECBF72" w14:textId="77777777" w:rsidR="00ED58D6" w:rsidRPr="00ED58D6" w:rsidRDefault="00ED58D6" w:rsidP="00ED58D6">
      <w:pPr>
        <w:rPr>
          <w:rFonts w:cstheme="minorHAnsi"/>
          <w:sz w:val="24"/>
          <w:szCs w:val="24"/>
        </w:rPr>
      </w:pPr>
      <w:r w:rsidRPr="00ED58D6">
        <w:rPr>
          <w:rFonts w:cstheme="minorHAnsi"/>
          <w:sz w:val="24"/>
          <w:szCs w:val="24"/>
        </w:rPr>
        <w:t>Lab-scale reactors demonstrate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xml:space="preserve"> production and </w:t>
      </w:r>
      <w:proofErr w:type="gramStart"/>
      <w:r w:rsidRPr="00ED58D6">
        <w:rPr>
          <w:rFonts w:cstheme="minorHAnsi"/>
          <w:sz w:val="24"/>
          <w:szCs w:val="24"/>
        </w:rPr>
        <w:t>accumulation</w:t>
      </w:r>
      <w:proofErr w:type="gramEnd"/>
    </w:p>
    <w:p w14:paraId="697971B9" w14:textId="77777777" w:rsidR="00ED58D6" w:rsidRPr="00ED58D6" w:rsidRDefault="00ED58D6" w:rsidP="00F97D95">
      <w:pPr>
        <w:pStyle w:val="Heading2"/>
      </w:pPr>
      <w:r w:rsidRPr="00ED58D6">
        <w:t>Temperature impacts Ammonia removal and nitrite production rates</w:t>
      </w:r>
    </w:p>
    <w:p w14:paraId="730CA2F7" w14:textId="4784977B" w:rsidR="00ED58D6" w:rsidRPr="00ED58D6" w:rsidRDefault="00ED58D6" w:rsidP="00ED58D6">
      <w:pPr>
        <w:rPr>
          <w:rFonts w:cstheme="minorHAnsi"/>
          <w:sz w:val="24"/>
          <w:szCs w:val="24"/>
        </w:rPr>
      </w:pPr>
      <w:r w:rsidRPr="00ED58D6">
        <w:rPr>
          <w:rFonts w:cstheme="minorHAnsi"/>
          <w:sz w:val="24"/>
          <w:szCs w:val="24"/>
        </w:rPr>
        <w:t>PAD test B and PAD test B were conducted in parallel reactors to determine how N removal mechanisms varied as a function of temperature. As shown in Figure </w:t>
      </w:r>
      <w:r w:rsidRPr="00ED58D6">
        <w:rPr>
          <w:rFonts w:cstheme="minorHAnsi"/>
          <w:b/>
          <w:bCs/>
          <w:sz w:val="24"/>
          <w:szCs w:val="24"/>
        </w:rPr>
        <w:t>2a–c</w:t>
      </w:r>
      <w:r w:rsidRPr="00ED58D6">
        <w:rPr>
          <w:rFonts w:cstheme="minorHAnsi"/>
          <w:sz w:val="24"/>
          <w:szCs w:val="24"/>
        </w:rPr>
        <w:t>, temperatures affected the nitrogen transformation rates in both reactors. For PAD test D seeded with biomass from the Denver MWR NTP, the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rates at 40°C and 50°C were similar, and they were both higher than the rates at 24.5°C and 30°C. The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rates of PAD test B showed a constant increase with increasing temperature through 40°C. Interestingly, the oxidation rate dropped to the lowest value at 50°C indicating this temperature was outside the operating range for the nitrifying community in the PAD's test B biomass (McNamara et al., </w:t>
      </w:r>
      <w:r w:rsidRPr="00ED58D6">
        <w:rPr>
          <w:rFonts w:cstheme="minorHAnsi"/>
          <w:b/>
          <w:bCs/>
          <w:sz w:val="24"/>
          <w:szCs w:val="24"/>
        </w:rPr>
        <w:t>2022</w:t>
      </w:r>
      <w:r w:rsidRPr="00ED58D6">
        <w:rPr>
          <w:rFonts w:cstheme="minorHAnsi"/>
          <w:sz w:val="24"/>
          <w:szCs w:val="24"/>
        </w:rPr>
        <w:t>) (Figure </w:t>
      </w:r>
      <w:r w:rsidRPr="00ED58D6">
        <w:rPr>
          <w:rFonts w:cstheme="minorHAnsi"/>
          <w:b/>
          <w:bCs/>
          <w:sz w:val="24"/>
          <w:szCs w:val="24"/>
        </w:rPr>
        <w:t>2a</w:t>
      </w:r>
      <w:r w:rsidRPr="00ED58D6">
        <w:rPr>
          <w:rFonts w:cstheme="minorHAnsi"/>
          <w:sz w:val="24"/>
          <w:szCs w:val="24"/>
        </w:rPr>
        <w:t>). This removal was likely due in part to air stripping as discussed later in Section </w:t>
      </w:r>
      <w:r w:rsidRPr="00ED58D6">
        <w:rPr>
          <w:rFonts w:cstheme="minorHAnsi"/>
          <w:b/>
          <w:bCs/>
          <w:sz w:val="24"/>
          <w:szCs w:val="24"/>
        </w:rPr>
        <w:t>3.3</w:t>
      </w:r>
      <w:r w:rsidRPr="00ED58D6">
        <w:rPr>
          <w:rFonts w:cstheme="minorHAnsi"/>
          <w:sz w:val="24"/>
          <w:szCs w:val="24"/>
        </w:rPr>
        <w:t>.</w:t>
      </w:r>
    </w:p>
    <w:p w14:paraId="46D4D8FD" w14:textId="7D32A8C4" w:rsidR="00ED58D6" w:rsidRPr="00ED58D6" w:rsidRDefault="00ED58D6" w:rsidP="00F97D95">
      <w:pPr>
        <w:pStyle w:val="NoSpacing"/>
      </w:pPr>
      <w:r w:rsidRPr="00ED58D6">
        <w:drawing>
          <wp:inline distT="0" distB="0" distL="0" distR="0" wp14:anchorId="1BC97303" wp14:editId="06C0765B">
            <wp:extent cx="2743200" cy="3831336"/>
            <wp:effectExtent l="0" t="0" r="0" b="0"/>
            <wp:docPr id="151089356" name="Picture 6"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831336"/>
                    </a:xfrm>
                    <a:prstGeom prst="rect">
                      <a:avLst/>
                    </a:prstGeom>
                    <a:noFill/>
                    <a:ln>
                      <a:noFill/>
                    </a:ln>
                  </pic:spPr>
                </pic:pic>
              </a:graphicData>
            </a:graphic>
          </wp:inline>
        </w:drawing>
      </w:r>
    </w:p>
    <w:p w14:paraId="3A4F05C7" w14:textId="4920AE42" w:rsidR="00ED58D6" w:rsidRPr="00ED58D6" w:rsidRDefault="00ED58D6" w:rsidP="00F97D95">
      <w:pPr>
        <w:pStyle w:val="NoSpacing"/>
      </w:pPr>
      <w:r w:rsidRPr="00ED58D6">
        <w:rPr>
          <w:b/>
          <w:bCs/>
        </w:rPr>
        <w:t>FIGURE 2</w:t>
      </w:r>
      <w:r w:rsidR="00F97D95">
        <w:t xml:space="preserve"> </w:t>
      </w:r>
      <w:r w:rsidRPr="00ED58D6">
        <w:t>Comparison of nitrifying performance for PAD test B and PAD test D under different temperatures. (a) NH</w:t>
      </w:r>
      <w:r w:rsidRPr="00ED58D6">
        <w:rPr>
          <w:vertAlign w:val="subscript"/>
        </w:rPr>
        <w:t>4</w:t>
      </w:r>
      <w:r w:rsidRPr="00ED58D6">
        <w:rPr>
          <w:vertAlign w:val="superscript"/>
        </w:rPr>
        <w:t>+</w:t>
      </w:r>
      <w:r w:rsidRPr="00ED58D6">
        <w:t> removal and (b) NO</w:t>
      </w:r>
      <w:r w:rsidRPr="00ED58D6">
        <w:rPr>
          <w:vertAlign w:val="subscript"/>
        </w:rPr>
        <w:t>2</w:t>
      </w:r>
      <w:r w:rsidRPr="00ED58D6">
        <w:rPr>
          <w:vertAlign w:val="superscript"/>
        </w:rPr>
        <w:t>−</w:t>
      </w:r>
      <w:r w:rsidRPr="00ED58D6">
        <w:t> and (c) NO</w:t>
      </w:r>
      <w:r w:rsidRPr="00ED58D6">
        <w:rPr>
          <w:vertAlign w:val="subscript"/>
        </w:rPr>
        <w:t>3</w:t>
      </w:r>
      <w:r w:rsidRPr="00ED58D6">
        <w:rPr>
          <w:vertAlign w:val="superscript"/>
        </w:rPr>
        <w:t>−</w:t>
      </w:r>
      <w:r w:rsidRPr="00ED58D6">
        <w:t> production as a function of biomass source</w:t>
      </w:r>
    </w:p>
    <w:p w14:paraId="2E64F891" w14:textId="77777777" w:rsidR="00F97D95" w:rsidRDefault="00F97D95" w:rsidP="00ED58D6">
      <w:pPr>
        <w:rPr>
          <w:rFonts w:cstheme="minorHAnsi"/>
          <w:sz w:val="24"/>
          <w:szCs w:val="24"/>
        </w:rPr>
      </w:pPr>
    </w:p>
    <w:p w14:paraId="049D71BF" w14:textId="252BC9C6" w:rsidR="00ED58D6" w:rsidRPr="00ED58D6" w:rsidRDefault="00ED58D6" w:rsidP="00ED58D6">
      <w:pPr>
        <w:rPr>
          <w:rFonts w:cstheme="minorHAnsi"/>
          <w:sz w:val="24"/>
          <w:szCs w:val="24"/>
        </w:rPr>
      </w:pPr>
      <w:r w:rsidRPr="00ED58D6">
        <w:rPr>
          <w:rFonts w:cstheme="minorHAnsi"/>
          <w:sz w:val="24"/>
          <w:szCs w:val="24"/>
        </w:rPr>
        <w:t>Figure </w:t>
      </w:r>
      <w:r w:rsidRPr="00ED58D6">
        <w:rPr>
          <w:rFonts w:cstheme="minorHAnsi"/>
          <w:b/>
          <w:bCs/>
          <w:sz w:val="24"/>
          <w:szCs w:val="24"/>
        </w:rPr>
        <w:t>2b</w:t>
      </w:r>
      <w:r w:rsidRPr="00ED58D6">
        <w:rPr>
          <w:rFonts w:cstheme="minorHAnsi"/>
          <w:sz w:val="24"/>
          <w:szCs w:val="24"/>
        </w:rPr>
        <w:t> shows the comparison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Both PAD test B and PAD test D showed high specific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rates at 24.5°C, 30°C, and 40°C. Of note is the specific rate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xml:space="preserve"> accumulation in PAD test B at 40°C which is almost three times the one of PAD test D. Finally, neither </w:t>
      </w:r>
      <w:proofErr w:type="gramStart"/>
      <w:r w:rsidRPr="00ED58D6">
        <w:rPr>
          <w:rFonts w:cstheme="minorHAnsi"/>
          <w:sz w:val="24"/>
          <w:szCs w:val="24"/>
        </w:rPr>
        <w:t>tests</w:t>
      </w:r>
      <w:proofErr w:type="gramEnd"/>
      <w:r w:rsidRPr="00ED58D6">
        <w:rPr>
          <w:rFonts w:cstheme="minorHAnsi"/>
          <w:sz w:val="24"/>
          <w:szCs w:val="24"/>
        </w:rPr>
        <w:t xml:space="preserve"> had any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at 50°C.</w:t>
      </w:r>
    </w:p>
    <w:p w14:paraId="272166AF" w14:textId="779291B3" w:rsidR="00ED58D6" w:rsidRPr="00ED58D6" w:rsidRDefault="00ED58D6" w:rsidP="00ED58D6">
      <w:pPr>
        <w:rPr>
          <w:rFonts w:cstheme="minorHAnsi"/>
          <w:sz w:val="24"/>
          <w:szCs w:val="24"/>
        </w:rPr>
      </w:pPr>
      <w:r w:rsidRPr="00ED58D6">
        <w:rPr>
          <w:rFonts w:cstheme="minorHAnsi"/>
          <w:sz w:val="24"/>
          <w:szCs w:val="24"/>
        </w:rPr>
        <w:t>PAD test B had low levels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oxidation, suggesting that an active NOB community was not present (Figure </w:t>
      </w:r>
      <w:r w:rsidRPr="00ED58D6">
        <w:rPr>
          <w:rFonts w:cstheme="minorHAnsi"/>
          <w:b/>
          <w:bCs/>
          <w:sz w:val="24"/>
          <w:szCs w:val="24"/>
        </w:rPr>
        <w:t>2c</w:t>
      </w:r>
      <w:r w:rsidRPr="00ED58D6">
        <w:rPr>
          <w:rFonts w:cstheme="minorHAnsi"/>
          <w:sz w:val="24"/>
          <w:szCs w:val="24"/>
        </w:rPr>
        <w:t>). Specifically,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oxidation rates were 0 to &lt;1 mg N L</w:t>
      </w:r>
      <w:r w:rsidRPr="00ED58D6">
        <w:rPr>
          <w:rFonts w:cstheme="minorHAnsi"/>
          <w:sz w:val="24"/>
          <w:szCs w:val="24"/>
          <w:vertAlign w:val="superscript"/>
        </w:rPr>
        <w:t>−1</w:t>
      </w:r>
      <w:r w:rsidRPr="00ED58D6">
        <w:rPr>
          <w:rFonts w:cstheme="minorHAnsi"/>
          <w:sz w:val="24"/>
          <w:szCs w:val="24"/>
        </w:rPr>
        <w:t>. The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rates were 20–40% of the observed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rates (Figure </w:t>
      </w:r>
      <w:r w:rsidRPr="00ED58D6">
        <w:rPr>
          <w:rFonts w:cstheme="minorHAnsi"/>
          <w:b/>
          <w:bCs/>
          <w:sz w:val="24"/>
          <w:szCs w:val="24"/>
        </w:rPr>
        <w:t>S1</w:t>
      </w:r>
      <w:r w:rsidRPr="00ED58D6">
        <w:rPr>
          <w:rFonts w:cstheme="minorHAnsi"/>
          <w:sz w:val="24"/>
          <w:szCs w:val="24"/>
        </w:rPr>
        <w:t> and Table </w:t>
      </w:r>
      <w:r w:rsidRPr="00ED58D6">
        <w:rPr>
          <w:rFonts w:cstheme="minorHAnsi"/>
          <w:b/>
          <w:bCs/>
          <w:sz w:val="24"/>
          <w:szCs w:val="24"/>
        </w:rPr>
        <w:t>S1</w:t>
      </w:r>
      <w:r w:rsidRPr="00ED58D6">
        <w:rPr>
          <w:rFonts w:cstheme="minorHAnsi"/>
          <w:sz w:val="24"/>
          <w:szCs w:val="24"/>
        </w:rPr>
        <w:t>), while the rate of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production was nearly zero (i.e.,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did not accumulate during the oxidation of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Figure </w:t>
      </w:r>
      <w:r w:rsidRPr="00ED58D6">
        <w:rPr>
          <w:rFonts w:cstheme="minorHAnsi"/>
          <w:b/>
          <w:bCs/>
          <w:sz w:val="24"/>
          <w:szCs w:val="24"/>
        </w:rPr>
        <w:t>2c</w:t>
      </w:r>
      <w:r w:rsidRPr="00ED58D6">
        <w:rPr>
          <w:rFonts w:cstheme="minorHAnsi"/>
          <w:sz w:val="24"/>
          <w:szCs w:val="24"/>
        </w:rPr>
        <w:t>). PAD test D also had low levels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oxidation, suggesting again that an active NOB community was not present or had limited activity.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xml:space="preserve"> oxidation rates were 0 or &lt;1 </w:t>
      </w:r>
      <w:proofErr w:type="spellStart"/>
      <w:r w:rsidRPr="00ED58D6">
        <w:rPr>
          <w:rFonts w:cstheme="minorHAnsi"/>
          <w:sz w:val="24"/>
          <w:szCs w:val="24"/>
        </w:rPr>
        <w:t>mgN</w:t>
      </w:r>
      <w:proofErr w:type="spellEnd"/>
      <w:r w:rsidRPr="00ED58D6">
        <w:rPr>
          <w:rFonts w:cstheme="minorHAnsi"/>
          <w:sz w:val="24"/>
          <w:szCs w:val="24"/>
        </w:rPr>
        <w:t xml:space="preserve"> L</w:t>
      </w:r>
      <w:r w:rsidRPr="00ED58D6">
        <w:rPr>
          <w:rFonts w:cstheme="minorHAnsi"/>
          <w:sz w:val="24"/>
          <w:szCs w:val="24"/>
          <w:vertAlign w:val="superscript"/>
        </w:rPr>
        <w:t>−1</w:t>
      </w:r>
      <w:r w:rsidRPr="00ED58D6">
        <w:rPr>
          <w:rFonts w:cstheme="minorHAnsi"/>
          <w:sz w:val="24"/>
          <w:szCs w:val="24"/>
        </w:rPr>
        <w: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rates were 20–40% that of the observed ammonium oxidation rates (Figure </w:t>
      </w:r>
      <w:r w:rsidRPr="00ED58D6">
        <w:rPr>
          <w:rFonts w:cstheme="minorHAnsi"/>
          <w:b/>
          <w:bCs/>
          <w:sz w:val="24"/>
          <w:szCs w:val="24"/>
        </w:rPr>
        <w:t>S2</w:t>
      </w:r>
      <w:r w:rsidRPr="00ED58D6">
        <w:rPr>
          <w:rFonts w:cstheme="minorHAnsi"/>
          <w:sz w:val="24"/>
          <w:szCs w:val="24"/>
        </w:rPr>
        <w:t> and Table </w:t>
      </w:r>
      <w:r w:rsidRPr="00ED58D6">
        <w:rPr>
          <w:rFonts w:cstheme="minorHAnsi"/>
          <w:b/>
          <w:bCs/>
          <w:sz w:val="24"/>
          <w:szCs w:val="24"/>
        </w:rPr>
        <w:t>S2</w:t>
      </w:r>
      <w:r w:rsidRPr="00ED58D6">
        <w:rPr>
          <w:rFonts w:cstheme="minorHAnsi"/>
          <w:sz w:val="24"/>
          <w:szCs w:val="24"/>
        </w:rPr>
        <w:t>).</w:t>
      </w:r>
    </w:p>
    <w:p w14:paraId="476D0730" w14:textId="49E119A9" w:rsidR="00ED58D6" w:rsidRPr="00ED58D6" w:rsidRDefault="00ED58D6" w:rsidP="00ED58D6">
      <w:pPr>
        <w:rPr>
          <w:rFonts w:cstheme="minorHAnsi"/>
          <w:sz w:val="24"/>
          <w:szCs w:val="24"/>
        </w:rPr>
      </w:pPr>
      <w:r w:rsidRPr="00ED58D6">
        <w:rPr>
          <w:rFonts w:cstheme="minorHAnsi"/>
          <w:sz w:val="24"/>
          <w:szCs w:val="24"/>
        </w:rPr>
        <w:t>PAD test D 50°C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-N high removal rate was not associated with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or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suggesting other potential mechanisms for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removal at elevated temperatures. This is in line with earlier studies where the nitrogen removal mechanism at higher temperatures has been linked to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stripping and biomass assimilation (</w:t>
      </w:r>
      <w:proofErr w:type="spellStart"/>
      <w:r w:rsidRPr="00ED58D6">
        <w:rPr>
          <w:rFonts w:cstheme="minorHAnsi"/>
          <w:sz w:val="24"/>
          <w:szCs w:val="24"/>
        </w:rPr>
        <w:t>Abeynayaka</w:t>
      </w:r>
      <w:proofErr w:type="spellEnd"/>
      <w:r w:rsidRPr="00ED58D6">
        <w:rPr>
          <w:rFonts w:cstheme="minorHAnsi"/>
          <w:sz w:val="24"/>
          <w:szCs w:val="24"/>
        </w:rPr>
        <w:t xml:space="preserve"> &amp; Visvanathan, </w:t>
      </w:r>
      <w:r w:rsidRPr="00ED58D6">
        <w:rPr>
          <w:rFonts w:cstheme="minorHAnsi"/>
          <w:b/>
          <w:bCs/>
          <w:sz w:val="24"/>
          <w:szCs w:val="24"/>
        </w:rPr>
        <w:t>2011</w:t>
      </w:r>
      <w:r w:rsidRPr="00ED58D6">
        <w:rPr>
          <w:rFonts w:cstheme="minorHAnsi"/>
          <w:sz w:val="24"/>
          <w:szCs w:val="24"/>
        </w:rPr>
        <w:t>). This aspect will be further discussed in Section </w:t>
      </w:r>
      <w:r w:rsidRPr="00ED58D6">
        <w:rPr>
          <w:rFonts w:cstheme="minorHAnsi"/>
          <w:b/>
          <w:bCs/>
          <w:sz w:val="24"/>
          <w:szCs w:val="24"/>
        </w:rPr>
        <w:t>3.3</w:t>
      </w:r>
      <w:r w:rsidRPr="00ED58D6">
        <w:rPr>
          <w:rFonts w:cstheme="minorHAnsi"/>
          <w:sz w:val="24"/>
          <w:szCs w:val="24"/>
        </w:rPr>
        <w:t>. Finally, the difference in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rates can also be explained by the different bacterial communities present in each biomass sample used (Section </w:t>
      </w:r>
      <w:r w:rsidRPr="00ED58D6">
        <w:rPr>
          <w:rFonts w:cstheme="minorHAnsi"/>
          <w:b/>
          <w:bCs/>
          <w:sz w:val="24"/>
          <w:szCs w:val="24"/>
        </w:rPr>
        <w:t>3.2</w:t>
      </w:r>
      <w:r w:rsidRPr="00ED58D6">
        <w:rPr>
          <w:rFonts w:cstheme="minorHAnsi"/>
          <w:sz w:val="24"/>
          <w:szCs w:val="24"/>
        </w:rPr>
        <w:t>). The full-scale PAD reactors operate with differences that may impact overall bacterial populations and therefore the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rates (Zhang et al., </w:t>
      </w:r>
      <w:r w:rsidRPr="00ED58D6">
        <w:rPr>
          <w:rFonts w:cstheme="minorHAnsi"/>
          <w:b/>
          <w:bCs/>
          <w:sz w:val="24"/>
          <w:szCs w:val="24"/>
        </w:rPr>
        <w:t>2021</w:t>
      </w:r>
      <w:r w:rsidRPr="00ED58D6">
        <w:rPr>
          <w:rFonts w:cstheme="minorHAnsi"/>
          <w:sz w:val="24"/>
          <w:szCs w:val="24"/>
        </w:rPr>
        <w:t>). Higher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rates from batch studies match full-scale data from Boulder where lower SRT operation showed higher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removal rates (McNamara et al., </w:t>
      </w:r>
      <w:r w:rsidRPr="00ED58D6">
        <w:rPr>
          <w:rFonts w:cstheme="minorHAnsi"/>
          <w:b/>
          <w:bCs/>
          <w:sz w:val="24"/>
          <w:szCs w:val="24"/>
        </w:rPr>
        <w:t>2022</w:t>
      </w:r>
      <w:r w:rsidRPr="00ED58D6">
        <w:rPr>
          <w:rFonts w:cstheme="minorHAnsi"/>
          <w:sz w:val="24"/>
          <w:szCs w:val="24"/>
        </w:rPr>
        <w:t>). Operating PAD reactors at low SRT values can still support good performance, for example,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removal, and a proper microbial community (McNamara et al., </w:t>
      </w:r>
      <w:r w:rsidRPr="00ED58D6">
        <w:rPr>
          <w:rFonts w:cstheme="minorHAnsi"/>
          <w:b/>
          <w:bCs/>
          <w:sz w:val="24"/>
          <w:szCs w:val="24"/>
        </w:rPr>
        <w:t>2022</w:t>
      </w:r>
      <w:r w:rsidRPr="00ED58D6">
        <w:rPr>
          <w:rFonts w:cstheme="minorHAnsi"/>
          <w:sz w:val="24"/>
          <w:szCs w:val="24"/>
        </w:rPr>
        <w:t>; Novak et al., </w:t>
      </w:r>
      <w:r w:rsidRPr="00ED58D6">
        <w:rPr>
          <w:rFonts w:cstheme="minorHAnsi"/>
          <w:b/>
          <w:bCs/>
          <w:sz w:val="24"/>
          <w:szCs w:val="24"/>
        </w:rPr>
        <w:t>2011</w:t>
      </w:r>
      <w:r w:rsidRPr="00ED58D6">
        <w:rPr>
          <w:rFonts w:cstheme="minorHAnsi"/>
          <w:sz w:val="24"/>
          <w:szCs w:val="24"/>
        </w:rPr>
        <w:t>).</w:t>
      </w:r>
    </w:p>
    <w:p w14:paraId="3CB99E72" w14:textId="5E9E087B" w:rsidR="00ED58D6" w:rsidRPr="00ED58D6" w:rsidRDefault="00ED58D6" w:rsidP="00ED58D6">
      <w:pPr>
        <w:rPr>
          <w:rFonts w:cstheme="minorHAnsi"/>
          <w:sz w:val="24"/>
          <w:szCs w:val="24"/>
        </w:rPr>
      </w:pPr>
      <w:r w:rsidRPr="00ED58D6">
        <w:rPr>
          <w:rFonts w:cstheme="minorHAnsi"/>
          <w:sz w:val="24"/>
          <w:szCs w:val="24"/>
        </w:rPr>
        <w:t>In addition to specific oxidation rates, the nitrite accumulation ratio (NAR) for PAD test B (Figure </w:t>
      </w:r>
      <w:r w:rsidRPr="00ED58D6">
        <w:rPr>
          <w:rFonts w:cstheme="minorHAnsi"/>
          <w:b/>
          <w:bCs/>
          <w:sz w:val="24"/>
          <w:szCs w:val="24"/>
        </w:rPr>
        <w:t>3a</w:t>
      </w:r>
      <w:r w:rsidRPr="00ED58D6">
        <w:rPr>
          <w:rFonts w:cstheme="minorHAnsi"/>
          <w:sz w:val="24"/>
          <w:szCs w:val="24"/>
        </w:rPr>
        <w:t>) and PAD test D (Figure </w:t>
      </w:r>
      <w:r w:rsidRPr="00ED58D6">
        <w:rPr>
          <w:rFonts w:cstheme="minorHAnsi"/>
          <w:b/>
          <w:bCs/>
          <w:sz w:val="24"/>
          <w:szCs w:val="24"/>
        </w:rPr>
        <w:t>3b</w:t>
      </w:r>
      <w:r w:rsidRPr="00ED58D6">
        <w:rPr>
          <w:rFonts w:cstheme="minorHAnsi"/>
          <w:sz w:val="24"/>
          <w:szCs w:val="24"/>
        </w:rPr>
        <w:t>) were calculated at different temperatures as reported in the methods section. NAR has been used in earlier studies to explore mechanisms of nitrogen removal in bioreactors (</w:t>
      </w:r>
      <w:proofErr w:type="spellStart"/>
      <w:r w:rsidRPr="00ED58D6">
        <w:rPr>
          <w:rFonts w:cstheme="minorHAnsi"/>
          <w:sz w:val="24"/>
          <w:szCs w:val="24"/>
        </w:rPr>
        <w:t>Regmi</w:t>
      </w:r>
      <w:proofErr w:type="spellEnd"/>
      <w:r w:rsidRPr="00ED58D6">
        <w:rPr>
          <w:rFonts w:cstheme="minorHAnsi"/>
          <w:sz w:val="24"/>
          <w:szCs w:val="24"/>
        </w:rPr>
        <w:t xml:space="preserve"> et al., </w:t>
      </w:r>
      <w:r w:rsidRPr="00ED58D6">
        <w:rPr>
          <w:rFonts w:cstheme="minorHAnsi"/>
          <w:b/>
          <w:bCs/>
          <w:sz w:val="24"/>
          <w:szCs w:val="24"/>
        </w:rPr>
        <w:t>2014</w:t>
      </w:r>
      <w:r w:rsidRPr="00ED58D6">
        <w:rPr>
          <w:rFonts w:cstheme="minorHAnsi"/>
          <w:sz w:val="24"/>
          <w:szCs w:val="24"/>
        </w:rPr>
        <w:t>). The variability of temperatures did not appear to exert any impact on the NAR ratio indicating that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was also sustained at higher temperatures (e.g., up to 40°C). The NAR ratio was calculated based on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and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concentrations (Table S3) during the tests performed at 24.5, 30 and 40°C while it was not calculated for 50°C batch test as no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occurred (Figure </w:t>
      </w:r>
      <w:r w:rsidRPr="00ED58D6">
        <w:rPr>
          <w:rFonts w:cstheme="minorHAnsi"/>
          <w:b/>
          <w:bCs/>
          <w:sz w:val="24"/>
          <w:szCs w:val="24"/>
        </w:rPr>
        <w:t>2b</w:t>
      </w:r>
      <w:r w:rsidRPr="00ED58D6">
        <w:rPr>
          <w:rFonts w:cstheme="minorHAnsi"/>
          <w:sz w:val="24"/>
          <w:szCs w:val="24"/>
        </w:rPr>
        <w:t>). Interestingly, the NAR ratio was high at the initial timepoints for both PAD biomass samples (Figure </w:t>
      </w:r>
      <w:r w:rsidRPr="00ED58D6">
        <w:rPr>
          <w:rFonts w:cstheme="minorHAnsi"/>
          <w:b/>
          <w:bCs/>
          <w:sz w:val="24"/>
          <w:szCs w:val="24"/>
        </w:rPr>
        <w:t>3a</w:t>
      </w:r>
      <w:r w:rsidRPr="00ED58D6">
        <w:rPr>
          <w:rFonts w:cstheme="minorHAnsi"/>
          <w:sz w:val="24"/>
          <w:szCs w:val="24"/>
        </w:rPr>
        <w:t> and </w:t>
      </w:r>
      <w:r w:rsidRPr="00ED58D6">
        <w:rPr>
          <w:rFonts w:cstheme="minorHAnsi"/>
          <w:b/>
          <w:bCs/>
          <w:sz w:val="24"/>
          <w:szCs w:val="24"/>
        </w:rPr>
        <w:t>3b</w:t>
      </w:r>
      <w:r w:rsidRPr="00ED58D6">
        <w:rPr>
          <w:rFonts w:cstheme="minorHAnsi"/>
          <w:sz w:val="24"/>
          <w:szCs w:val="24"/>
        </w:rPr>
        <w:t>). This can be the result of a highly enriched biomass used as inoculum for both batch tests since both biomasses have a high propensity to accumulate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The NAR ratio tends to decrease at the end of the tests; this decrease is due to an overall lower availability of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(Figures </w:t>
      </w:r>
      <w:r w:rsidRPr="00ED58D6">
        <w:rPr>
          <w:rFonts w:cstheme="minorHAnsi"/>
          <w:b/>
          <w:bCs/>
          <w:sz w:val="24"/>
          <w:szCs w:val="24"/>
        </w:rPr>
        <w:t>S1a</w:t>
      </w:r>
      <w:r w:rsidRPr="00ED58D6">
        <w:rPr>
          <w:rFonts w:cstheme="minorHAnsi"/>
          <w:sz w:val="24"/>
          <w:szCs w:val="24"/>
        </w:rPr>
        <w:t> and </w:t>
      </w:r>
      <w:r w:rsidRPr="00ED58D6">
        <w:rPr>
          <w:rFonts w:cstheme="minorHAnsi"/>
          <w:b/>
          <w:bCs/>
          <w:sz w:val="24"/>
          <w:szCs w:val="24"/>
        </w:rPr>
        <w:t>S2a</w:t>
      </w:r>
      <w:r w:rsidRPr="00ED58D6">
        <w:rPr>
          <w:rFonts w:cstheme="minorHAnsi"/>
          <w:sz w:val="24"/>
          <w:szCs w:val="24"/>
        </w:rPr>
        <w:t>). Ratios higher than 100% are possibly due to fluctuations of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(Figure </w:t>
      </w:r>
      <w:r w:rsidRPr="00ED58D6">
        <w:rPr>
          <w:rFonts w:cstheme="minorHAnsi"/>
          <w:b/>
          <w:bCs/>
          <w:sz w:val="24"/>
          <w:szCs w:val="24"/>
        </w:rPr>
        <w:t>S1b</w:t>
      </w:r>
      <w:r w:rsidRPr="00ED58D6">
        <w:rPr>
          <w:rFonts w:cstheme="minorHAnsi"/>
          <w:sz w:val="24"/>
          <w:szCs w:val="24"/>
        </w:rPr>
        <w:t> and S2b) that would overestimate NAR in the equation in the methods section (Section </w:t>
      </w:r>
      <w:r w:rsidRPr="00ED58D6">
        <w:rPr>
          <w:rFonts w:cstheme="minorHAnsi"/>
          <w:b/>
          <w:bCs/>
          <w:sz w:val="24"/>
          <w:szCs w:val="24"/>
        </w:rPr>
        <w:t>2</w:t>
      </w:r>
      <w:r w:rsidRPr="00ED58D6">
        <w:rPr>
          <w:rFonts w:cstheme="minorHAnsi"/>
          <w:sz w:val="24"/>
          <w:szCs w:val="24"/>
        </w:rPr>
        <w:t>). While dissolved oxygen was maintained at 4 mg L</w:t>
      </w:r>
      <w:r w:rsidRPr="00ED58D6">
        <w:rPr>
          <w:rFonts w:cstheme="minorHAnsi"/>
          <w:sz w:val="24"/>
          <w:szCs w:val="24"/>
          <w:vertAlign w:val="superscript"/>
        </w:rPr>
        <w:t>−1</w:t>
      </w:r>
      <w:r w:rsidRPr="00ED58D6">
        <w:rPr>
          <w:rFonts w:cstheme="minorHAnsi"/>
          <w:sz w:val="24"/>
          <w:szCs w:val="24"/>
        </w:rPr>
        <w:t> and this would traditionally not provide an environment for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reduction, high solids concentration and coarse bubble diffusion could provide anoxic pockets' that might have caused a loss of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(McNamara et al., </w:t>
      </w:r>
      <w:r w:rsidRPr="00ED58D6">
        <w:rPr>
          <w:rFonts w:cstheme="minorHAnsi"/>
          <w:b/>
          <w:bCs/>
          <w:sz w:val="24"/>
          <w:szCs w:val="24"/>
        </w:rPr>
        <w:t>2022</w:t>
      </w:r>
      <w:r w:rsidRPr="00ED58D6">
        <w:rPr>
          <w:rFonts w:cstheme="minorHAnsi"/>
          <w:sz w:val="24"/>
          <w:szCs w:val="24"/>
        </w:rPr>
        <w:t>).</w:t>
      </w:r>
    </w:p>
    <w:p w14:paraId="3800455E" w14:textId="7D43FEB4" w:rsidR="00ED58D6" w:rsidRPr="00ED58D6" w:rsidRDefault="00ED58D6" w:rsidP="005032FA">
      <w:pPr>
        <w:pStyle w:val="NoSpacing"/>
      </w:pPr>
      <w:r w:rsidRPr="00ED58D6">
        <w:drawing>
          <wp:inline distT="0" distB="0" distL="0" distR="0" wp14:anchorId="1A4DF61C" wp14:editId="5C6C4D40">
            <wp:extent cx="2743200" cy="2953512"/>
            <wp:effectExtent l="0" t="0" r="0" b="0"/>
            <wp:docPr id="522838802" name="Picture 5"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953512"/>
                    </a:xfrm>
                    <a:prstGeom prst="rect">
                      <a:avLst/>
                    </a:prstGeom>
                    <a:noFill/>
                    <a:ln>
                      <a:noFill/>
                    </a:ln>
                  </pic:spPr>
                </pic:pic>
              </a:graphicData>
            </a:graphic>
          </wp:inline>
        </w:drawing>
      </w:r>
    </w:p>
    <w:p w14:paraId="462A42F5" w14:textId="0933CF8B" w:rsidR="00ED58D6" w:rsidRDefault="00ED58D6" w:rsidP="005032FA">
      <w:pPr>
        <w:pStyle w:val="NoSpacing"/>
      </w:pPr>
      <w:r w:rsidRPr="00ED58D6">
        <w:rPr>
          <w:b/>
          <w:bCs/>
        </w:rPr>
        <w:t>FIGURE 3</w:t>
      </w:r>
      <w:r w:rsidR="005032FA">
        <w:t xml:space="preserve"> </w:t>
      </w:r>
      <w:r w:rsidRPr="00ED58D6">
        <w:t>Nitrite accumulation ratio (NAR) in (a) PAD test B and (b) PAD test D batch study. NAR was not calculated for 50°C batch test as no NO</w:t>
      </w:r>
      <w:r w:rsidRPr="00ED58D6">
        <w:rPr>
          <w:vertAlign w:val="subscript"/>
        </w:rPr>
        <w:t>2</w:t>
      </w:r>
      <w:r w:rsidRPr="00ED58D6">
        <w:rPr>
          <w:vertAlign w:val="superscript"/>
        </w:rPr>
        <w:t>−</w:t>
      </w:r>
      <w:r w:rsidRPr="00ED58D6">
        <w:t> accumulation occurred.</w:t>
      </w:r>
    </w:p>
    <w:p w14:paraId="17A8B0AF" w14:textId="77777777" w:rsidR="005032FA" w:rsidRPr="00ED58D6" w:rsidRDefault="005032FA" w:rsidP="005032FA">
      <w:pPr>
        <w:pStyle w:val="NoSpacing"/>
      </w:pPr>
    </w:p>
    <w:p w14:paraId="5E579568" w14:textId="77777777" w:rsidR="00ED58D6" w:rsidRPr="00ED58D6" w:rsidRDefault="00ED58D6" w:rsidP="005032FA">
      <w:pPr>
        <w:pStyle w:val="Heading2"/>
      </w:pPr>
      <w:r w:rsidRPr="00ED58D6">
        <w:t>Impact of alkalinity and pH on nitrogen removal mechanisms</w:t>
      </w:r>
    </w:p>
    <w:p w14:paraId="610B9FE7" w14:textId="510E285C" w:rsidR="00ED58D6" w:rsidRPr="00ED58D6" w:rsidRDefault="00ED58D6" w:rsidP="00ED58D6">
      <w:pPr>
        <w:rPr>
          <w:rFonts w:cstheme="minorHAnsi"/>
          <w:sz w:val="24"/>
          <w:szCs w:val="24"/>
        </w:rPr>
      </w:pPr>
      <w:r w:rsidRPr="00ED58D6">
        <w:rPr>
          <w:rFonts w:cstheme="minorHAnsi"/>
          <w:sz w:val="24"/>
          <w:szCs w:val="24"/>
        </w:rPr>
        <w:t>pH and alkalinity are significant controlling factors in nutrient removal systems, particularly those ones involving nitrification (</w:t>
      </w:r>
      <w:proofErr w:type="spellStart"/>
      <w:r w:rsidRPr="00ED58D6">
        <w:rPr>
          <w:rFonts w:cstheme="minorHAnsi"/>
          <w:sz w:val="24"/>
          <w:szCs w:val="24"/>
        </w:rPr>
        <w:t>Guisasola</w:t>
      </w:r>
      <w:proofErr w:type="spellEnd"/>
      <w:r w:rsidRPr="00ED58D6">
        <w:rPr>
          <w:rFonts w:cstheme="minorHAnsi"/>
          <w:sz w:val="24"/>
          <w:szCs w:val="24"/>
        </w:rPr>
        <w:t xml:space="preserve"> et al., </w:t>
      </w:r>
      <w:r w:rsidRPr="00ED58D6">
        <w:rPr>
          <w:rFonts w:cstheme="minorHAnsi"/>
          <w:b/>
          <w:bCs/>
          <w:sz w:val="24"/>
          <w:szCs w:val="24"/>
        </w:rPr>
        <w:t>2007</w:t>
      </w:r>
      <w:r w:rsidRPr="00ED58D6">
        <w:rPr>
          <w:rFonts w:cstheme="minorHAnsi"/>
          <w:sz w:val="24"/>
          <w:szCs w:val="24"/>
        </w:rPr>
        <w:t>). In our study, we carried out batch experiments to understand the impact of lime addition on N removal. Figure </w:t>
      </w:r>
      <w:r w:rsidRPr="00ED58D6">
        <w:rPr>
          <w:rFonts w:cstheme="minorHAnsi"/>
          <w:b/>
          <w:bCs/>
          <w:sz w:val="24"/>
          <w:szCs w:val="24"/>
        </w:rPr>
        <w:t>4</w:t>
      </w:r>
      <w:proofErr w:type="gramStart"/>
      <w:r w:rsidRPr="00ED58D6">
        <w:rPr>
          <w:rFonts w:cstheme="minorHAnsi"/>
          <w:b/>
          <w:bCs/>
          <w:sz w:val="24"/>
          <w:szCs w:val="24"/>
        </w:rPr>
        <w:t>a,b</w:t>
      </w:r>
      <w:proofErr w:type="gramEnd"/>
      <w:r w:rsidRPr="00ED58D6">
        <w:rPr>
          <w:rFonts w:cstheme="minorHAnsi"/>
          <w:sz w:val="24"/>
          <w:szCs w:val="24"/>
        </w:rPr>
        <w:t> </w:t>
      </w:r>
      <w:proofErr w:type="gramStart"/>
      <w:r w:rsidRPr="00ED58D6">
        <w:rPr>
          <w:rFonts w:cstheme="minorHAnsi"/>
          <w:sz w:val="24"/>
          <w:szCs w:val="24"/>
        </w:rPr>
        <w:t>shows</w:t>
      </w:r>
      <w:proofErr w:type="gramEnd"/>
      <w:r w:rsidRPr="00ED58D6">
        <w:rPr>
          <w:rFonts w:cstheme="minorHAnsi"/>
          <w:sz w:val="24"/>
          <w:szCs w:val="24"/>
        </w:rPr>
        <w:t xml:space="preserve"> trends of pH,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and TIC in batch experiments for PAD test B and PAD test D, respectively. PAD test B (Figure </w:t>
      </w:r>
      <w:r w:rsidRPr="00ED58D6">
        <w:rPr>
          <w:rFonts w:cstheme="minorHAnsi"/>
          <w:b/>
          <w:bCs/>
          <w:sz w:val="24"/>
          <w:szCs w:val="24"/>
        </w:rPr>
        <w:t>4a</w:t>
      </w:r>
      <w:r w:rsidRPr="00ED58D6">
        <w:rPr>
          <w:rFonts w:cstheme="minorHAnsi"/>
          <w:sz w:val="24"/>
          <w:szCs w:val="24"/>
        </w:rPr>
        <w:t>) shows a rather quick decrease in pH and TIC with subsequent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The pH decreases from approximately 8 to below 6.5 twice within the first 300 min of the experiment.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accumulates to a final concentration of 105 </w:t>
      </w:r>
      <w:proofErr w:type="spellStart"/>
      <w:r w:rsidRPr="00ED58D6">
        <w:rPr>
          <w:rFonts w:cstheme="minorHAnsi"/>
          <w:sz w:val="24"/>
          <w:szCs w:val="24"/>
        </w:rPr>
        <w:t>mgN</w:t>
      </w:r>
      <w:proofErr w:type="spellEnd"/>
      <w:r w:rsidRPr="00ED58D6">
        <w:rPr>
          <w:rFonts w:cstheme="minorHAnsi"/>
          <w:sz w:val="24"/>
          <w:szCs w:val="24"/>
        </w:rPr>
        <w:t xml:space="preserve"> L</w:t>
      </w:r>
      <w:r w:rsidRPr="00ED58D6">
        <w:rPr>
          <w:rFonts w:cstheme="minorHAnsi"/>
          <w:sz w:val="24"/>
          <w:szCs w:val="24"/>
          <w:vertAlign w:val="superscript"/>
        </w:rPr>
        <w:t>−1</w:t>
      </w:r>
      <w:r w:rsidRPr="00ED58D6">
        <w:rPr>
          <w:rFonts w:cstheme="minorHAnsi"/>
          <w:sz w:val="24"/>
          <w:szCs w:val="24"/>
        </w:rPr>
        <w:t>. PAD test D shows a rather slower decrease of pH (from 8 to 7.2) and TIC within the first 330 min of the experiment (Figure </w:t>
      </w:r>
      <w:r w:rsidRPr="00ED58D6">
        <w:rPr>
          <w:rFonts w:cstheme="minorHAnsi"/>
          <w:b/>
          <w:bCs/>
          <w:sz w:val="24"/>
          <w:szCs w:val="24"/>
        </w:rPr>
        <w:t>4b</w:t>
      </w:r>
      <w:r w:rsidRPr="00ED58D6">
        <w:rPr>
          <w:rFonts w:cstheme="minorHAnsi"/>
          <w:sz w:val="24"/>
          <w:szCs w:val="24"/>
        </w:rPr>
        <w: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xml:space="preserve"> accumulation does not go over the concentration of 70 </w:t>
      </w:r>
      <w:proofErr w:type="spellStart"/>
      <w:r w:rsidRPr="00ED58D6">
        <w:rPr>
          <w:rFonts w:cstheme="minorHAnsi"/>
          <w:sz w:val="24"/>
          <w:szCs w:val="24"/>
        </w:rPr>
        <w:t>mgN</w:t>
      </w:r>
      <w:proofErr w:type="spellEnd"/>
      <w:r w:rsidRPr="00ED58D6">
        <w:rPr>
          <w:rFonts w:cstheme="minorHAnsi"/>
          <w:sz w:val="24"/>
          <w:szCs w:val="24"/>
        </w:rPr>
        <w:t xml:space="preserve"> L</w:t>
      </w:r>
      <w:r w:rsidRPr="00ED58D6">
        <w:rPr>
          <w:rFonts w:cstheme="minorHAnsi"/>
          <w:sz w:val="24"/>
          <w:szCs w:val="24"/>
          <w:vertAlign w:val="superscript"/>
        </w:rPr>
        <w:t>−1</w:t>
      </w:r>
      <w:r w:rsidRPr="00ED58D6">
        <w:rPr>
          <w:rFonts w:cstheme="minorHAnsi"/>
          <w:sz w:val="24"/>
          <w:szCs w:val="24"/>
        </w:rPr>
        <w:t>. The profiles and the behavior of both PAD test D and PAD test B confirm that the addition of alkalinity further stimulates nitrification (with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accumulated as nitrification terminal product). While nitrification was augmented with alkalinity,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did not accumulate despite O</w:t>
      </w:r>
      <w:r w:rsidRPr="00ED58D6">
        <w:rPr>
          <w:rFonts w:cstheme="minorHAnsi"/>
          <w:sz w:val="24"/>
          <w:szCs w:val="24"/>
          <w:vertAlign w:val="subscript"/>
        </w:rPr>
        <w:t>2</w:t>
      </w:r>
      <w:r w:rsidRPr="00ED58D6">
        <w:rPr>
          <w:rFonts w:cstheme="minorHAnsi"/>
          <w:sz w:val="24"/>
          <w:szCs w:val="24"/>
        </w:rPr>
        <w:t> being provided in excess. This reinforces the concept of this process occurring via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shunt. This is well captured by the calculation of the overall specific rate of nitrite and nitrate production as shown in Figure </w:t>
      </w:r>
      <w:r w:rsidRPr="00ED58D6">
        <w:rPr>
          <w:rFonts w:cstheme="minorHAnsi"/>
          <w:b/>
          <w:bCs/>
          <w:sz w:val="24"/>
          <w:szCs w:val="24"/>
        </w:rPr>
        <w:t>4c</w:t>
      </w:r>
      <w:r w:rsidRPr="00ED58D6">
        <w:rPr>
          <w:rFonts w:cstheme="minorHAnsi"/>
          <w:sz w:val="24"/>
          <w:szCs w:val="24"/>
        </w:rPr>
        <w:t>. In all cases, the specific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rate for all batch tests is higher than the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accumulation (Figure </w:t>
      </w:r>
      <w:r w:rsidRPr="00ED58D6">
        <w:rPr>
          <w:rFonts w:cstheme="minorHAnsi"/>
          <w:b/>
          <w:bCs/>
          <w:sz w:val="24"/>
          <w:szCs w:val="24"/>
        </w:rPr>
        <w:t>4c</w:t>
      </w:r>
      <w:r w:rsidRPr="00ED58D6">
        <w:rPr>
          <w:rFonts w:cstheme="minorHAnsi"/>
          <w:sz w:val="24"/>
          <w:szCs w:val="24"/>
        </w:rPr>
        <w:t>) with a slightly higher production of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from PAD's test B biomass.</w:t>
      </w:r>
    </w:p>
    <w:p w14:paraId="16025B0E" w14:textId="0C1DB401" w:rsidR="00ED58D6" w:rsidRPr="00ED58D6" w:rsidRDefault="00ED58D6" w:rsidP="005032FA">
      <w:pPr>
        <w:pStyle w:val="NoSpacing"/>
      </w:pPr>
      <w:r w:rsidRPr="00ED58D6">
        <w:drawing>
          <wp:inline distT="0" distB="0" distL="0" distR="0" wp14:anchorId="3BE7569B" wp14:editId="3D8EDCC0">
            <wp:extent cx="2743200" cy="3575304"/>
            <wp:effectExtent l="0" t="0" r="0" b="6350"/>
            <wp:docPr id="353925612" name="Picture 4"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3575304"/>
                    </a:xfrm>
                    <a:prstGeom prst="rect">
                      <a:avLst/>
                    </a:prstGeom>
                    <a:noFill/>
                    <a:ln>
                      <a:noFill/>
                    </a:ln>
                  </pic:spPr>
                </pic:pic>
              </a:graphicData>
            </a:graphic>
          </wp:inline>
        </w:drawing>
      </w:r>
    </w:p>
    <w:p w14:paraId="1580F8C9" w14:textId="09CF2DE7" w:rsidR="00ED58D6" w:rsidRDefault="00ED58D6" w:rsidP="005032FA">
      <w:pPr>
        <w:pStyle w:val="NoSpacing"/>
      </w:pPr>
      <w:r w:rsidRPr="00ED58D6">
        <w:rPr>
          <w:b/>
          <w:bCs/>
        </w:rPr>
        <w:t>FIGURE 4</w:t>
      </w:r>
      <w:r w:rsidR="005032FA">
        <w:t xml:space="preserve"> </w:t>
      </w:r>
      <w:r w:rsidRPr="00ED58D6">
        <w:t>Batch profile trends of NO</w:t>
      </w:r>
      <w:r w:rsidRPr="00ED58D6">
        <w:rPr>
          <w:vertAlign w:val="subscript"/>
        </w:rPr>
        <w:t>2</w:t>
      </w:r>
      <w:r w:rsidRPr="00ED58D6">
        <w:rPr>
          <w:vertAlign w:val="superscript"/>
        </w:rPr>
        <w:t>−</w:t>
      </w:r>
      <w:r w:rsidRPr="00ED58D6">
        <w:t> and TIC in the (a) PAD test B and (b) PAD test D. The respective batch tests are fitted with linear trend lines to estimate the observed in situ removal and accumulation rates. (c) Specific rates for NO</w:t>
      </w:r>
      <w:r w:rsidRPr="00ED58D6">
        <w:rPr>
          <w:vertAlign w:val="subscript"/>
        </w:rPr>
        <w:t>2</w:t>
      </w:r>
      <w:r w:rsidRPr="00ED58D6">
        <w:rPr>
          <w:vertAlign w:val="superscript"/>
        </w:rPr>
        <w:t>−</w:t>
      </w:r>
      <w:r w:rsidRPr="00ED58D6">
        <w:t> and NO</w:t>
      </w:r>
      <w:r w:rsidRPr="00ED58D6">
        <w:rPr>
          <w:vertAlign w:val="subscript"/>
        </w:rPr>
        <w:t>3</w:t>
      </w:r>
      <w:r w:rsidRPr="00ED58D6">
        <w:rPr>
          <w:vertAlign w:val="superscript"/>
        </w:rPr>
        <w:t>−</w:t>
      </w:r>
      <w:r w:rsidRPr="00ED58D6">
        <w:t> production in PAD test B and PAD test D</w:t>
      </w:r>
    </w:p>
    <w:p w14:paraId="3A782A69" w14:textId="77777777" w:rsidR="005032FA" w:rsidRPr="00ED58D6" w:rsidRDefault="005032FA" w:rsidP="00ED58D6">
      <w:pPr>
        <w:rPr>
          <w:rFonts w:cstheme="minorHAnsi"/>
          <w:sz w:val="24"/>
          <w:szCs w:val="24"/>
        </w:rPr>
      </w:pPr>
    </w:p>
    <w:p w14:paraId="0FD4ED1F" w14:textId="4DB4C3AB" w:rsidR="00ED58D6" w:rsidRPr="00ED58D6" w:rsidRDefault="00ED58D6" w:rsidP="00ED58D6">
      <w:pPr>
        <w:rPr>
          <w:rFonts w:cstheme="minorHAnsi"/>
          <w:sz w:val="24"/>
          <w:szCs w:val="24"/>
        </w:rPr>
      </w:pPr>
      <w:r w:rsidRPr="00ED58D6">
        <w:rPr>
          <w:rFonts w:cstheme="minorHAnsi"/>
          <w:sz w:val="24"/>
          <w:szCs w:val="24"/>
        </w:rPr>
        <w:t>McNamara et al. (</w:t>
      </w:r>
      <w:r w:rsidRPr="00ED58D6">
        <w:rPr>
          <w:rFonts w:cstheme="minorHAnsi"/>
          <w:b/>
          <w:bCs/>
          <w:sz w:val="24"/>
          <w:szCs w:val="24"/>
        </w:rPr>
        <w:t>2022</w:t>
      </w:r>
      <w:r w:rsidRPr="00ED58D6">
        <w:rPr>
          <w:rFonts w:cstheme="minorHAnsi"/>
          <w:sz w:val="24"/>
          <w:szCs w:val="24"/>
        </w:rPr>
        <w:t>) showed that Boulder full-scale PAD reactor operates at pH values near neutral while Denver operates below neutral values. Excess lime addition during routine operation of the plant causes the biomass to be exposed to high pH levels (around 8.0) with decreased performance and potential accumulation of inhibitory compounds such as FA. The authors concluded that, for healthy operations of PAD reactors, pH should be in the range 6.0–7.5 and that different ammonia removal rates between the plants might have been due to differences in microbial community compositions. To explore this hypothesis, we carried out a community composition analysis and confirmed differences for both biomasses (Section </w:t>
      </w:r>
      <w:r w:rsidRPr="00ED58D6">
        <w:rPr>
          <w:rFonts w:cstheme="minorHAnsi"/>
          <w:b/>
          <w:bCs/>
          <w:sz w:val="24"/>
          <w:szCs w:val="24"/>
        </w:rPr>
        <w:t>3.2</w:t>
      </w:r>
      <w:r w:rsidRPr="00ED58D6">
        <w:rPr>
          <w:rFonts w:cstheme="minorHAnsi"/>
          <w:sz w:val="24"/>
          <w:szCs w:val="24"/>
        </w:rPr>
        <w:t>).</w:t>
      </w:r>
    </w:p>
    <w:p w14:paraId="76997747" w14:textId="77777777" w:rsidR="00ED58D6" w:rsidRPr="00ED58D6" w:rsidRDefault="00ED58D6" w:rsidP="00C8088E">
      <w:pPr>
        <w:pStyle w:val="Heading2"/>
      </w:pPr>
      <w:r w:rsidRPr="00ED58D6">
        <w:t xml:space="preserve">Microbial community and diversity drive biological nitrogen removal during </w:t>
      </w:r>
      <w:proofErr w:type="gramStart"/>
      <w:r w:rsidRPr="00ED58D6">
        <w:t>PAD</w:t>
      </w:r>
      <w:proofErr w:type="gramEnd"/>
    </w:p>
    <w:p w14:paraId="7881E7C2" w14:textId="26F5C317" w:rsidR="00ED58D6" w:rsidRPr="00ED58D6" w:rsidRDefault="00ED58D6" w:rsidP="00ED58D6">
      <w:pPr>
        <w:rPr>
          <w:rFonts w:cstheme="minorHAnsi"/>
          <w:sz w:val="24"/>
          <w:szCs w:val="24"/>
        </w:rPr>
      </w:pPr>
      <w:r w:rsidRPr="00ED58D6">
        <w:rPr>
          <w:rFonts w:cstheme="minorHAnsi"/>
          <w:sz w:val="24"/>
          <w:szCs w:val="24"/>
        </w:rPr>
        <w:t xml:space="preserve">The microbial communities of the two different biomasses were characterized by </w:t>
      </w:r>
      <w:proofErr w:type="spellStart"/>
      <w:r w:rsidRPr="00ED58D6">
        <w:rPr>
          <w:rFonts w:cstheme="minorHAnsi"/>
          <w:sz w:val="24"/>
          <w:szCs w:val="24"/>
        </w:rPr>
        <w:t>IIIumina</w:t>
      </w:r>
      <w:proofErr w:type="spellEnd"/>
      <w:r w:rsidRPr="00ED58D6">
        <w:rPr>
          <w:rFonts w:cstheme="minorHAnsi"/>
          <w:sz w:val="24"/>
          <w:szCs w:val="24"/>
        </w:rPr>
        <w:t xml:space="preserve"> </w:t>
      </w:r>
      <w:proofErr w:type="spellStart"/>
      <w:r w:rsidRPr="00ED58D6">
        <w:rPr>
          <w:rFonts w:cstheme="minorHAnsi"/>
          <w:sz w:val="24"/>
          <w:szCs w:val="24"/>
        </w:rPr>
        <w:t>Miseq</w:t>
      </w:r>
      <w:proofErr w:type="spellEnd"/>
      <w:r w:rsidRPr="00ED58D6">
        <w:rPr>
          <w:rFonts w:cstheme="minorHAnsi"/>
          <w:sz w:val="24"/>
          <w:szCs w:val="24"/>
        </w:rPr>
        <w:t xml:space="preserve"> paired-end sequencing of 16S rRNA gene (Figures </w:t>
      </w:r>
      <w:r w:rsidRPr="00ED58D6">
        <w:rPr>
          <w:rFonts w:cstheme="minorHAnsi"/>
          <w:b/>
          <w:bCs/>
          <w:sz w:val="24"/>
          <w:szCs w:val="24"/>
        </w:rPr>
        <w:t>5</w:t>
      </w:r>
      <w:r w:rsidRPr="00ED58D6">
        <w:rPr>
          <w:rFonts w:cstheme="minorHAnsi"/>
          <w:sz w:val="24"/>
          <w:szCs w:val="24"/>
        </w:rPr>
        <w:t> and </w:t>
      </w:r>
      <w:r w:rsidRPr="00ED58D6">
        <w:rPr>
          <w:rFonts w:cstheme="minorHAnsi"/>
          <w:b/>
          <w:bCs/>
          <w:sz w:val="24"/>
          <w:szCs w:val="24"/>
        </w:rPr>
        <w:t>6</w:t>
      </w:r>
      <w:r w:rsidRPr="00ED58D6">
        <w:rPr>
          <w:rFonts w:cstheme="minorHAnsi"/>
          <w:sz w:val="24"/>
          <w:szCs w:val="24"/>
        </w:rPr>
        <w:t>). Observed and Shannon-Wiener diversity were estimated for both samples (Figure </w:t>
      </w:r>
      <w:r w:rsidRPr="00ED58D6">
        <w:rPr>
          <w:rFonts w:cstheme="minorHAnsi"/>
          <w:b/>
          <w:bCs/>
          <w:sz w:val="24"/>
          <w:szCs w:val="24"/>
        </w:rPr>
        <w:t>5</w:t>
      </w:r>
      <w:proofErr w:type="gramStart"/>
      <w:r w:rsidRPr="00ED58D6">
        <w:rPr>
          <w:rFonts w:cstheme="minorHAnsi"/>
          <w:b/>
          <w:bCs/>
          <w:sz w:val="24"/>
          <w:szCs w:val="24"/>
        </w:rPr>
        <w:t>a,b</w:t>
      </w:r>
      <w:proofErr w:type="gramEnd"/>
      <w:r w:rsidRPr="00ED58D6">
        <w:rPr>
          <w:rFonts w:cstheme="minorHAnsi"/>
          <w:sz w:val="24"/>
          <w:szCs w:val="24"/>
        </w:rPr>
        <w:t xml:space="preserve">). The observed diversity is a measure of diversity of a sample that considers the species' richness. The Shannon-Wiener diversity index instead is a metric for entropy and species diversity that </w:t>
      </w:r>
      <w:proofErr w:type="gramStart"/>
      <w:r w:rsidRPr="00ED58D6">
        <w:rPr>
          <w:rFonts w:cstheme="minorHAnsi"/>
          <w:sz w:val="24"/>
          <w:szCs w:val="24"/>
        </w:rPr>
        <w:t>takes into account</w:t>
      </w:r>
      <w:proofErr w:type="gramEnd"/>
      <w:r w:rsidRPr="00ED58D6">
        <w:rPr>
          <w:rFonts w:cstheme="minorHAnsi"/>
          <w:sz w:val="24"/>
          <w:szCs w:val="24"/>
        </w:rPr>
        <w:t xml:space="preserve"> the species' relative abundance (Fan et al., </w:t>
      </w:r>
      <w:r w:rsidRPr="00ED58D6">
        <w:rPr>
          <w:rFonts w:cstheme="minorHAnsi"/>
          <w:b/>
          <w:bCs/>
          <w:sz w:val="24"/>
          <w:szCs w:val="24"/>
        </w:rPr>
        <w:t>2022</w:t>
      </w:r>
      <w:r w:rsidRPr="00ED58D6">
        <w:rPr>
          <w:rFonts w:cstheme="minorHAnsi"/>
          <w:sz w:val="24"/>
          <w:szCs w:val="24"/>
        </w:rPr>
        <w:t>). PAD's test B biomass showed a higher observed richness (Figure </w:t>
      </w:r>
      <w:r w:rsidRPr="00ED58D6">
        <w:rPr>
          <w:rFonts w:cstheme="minorHAnsi"/>
          <w:b/>
          <w:bCs/>
          <w:sz w:val="24"/>
          <w:szCs w:val="24"/>
        </w:rPr>
        <w:t>5a</w:t>
      </w:r>
      <w:r w:rsidRPr="00ED58D6">
        <w:rPr>
          <w:rFonts w:cstheme="minorHAnsi"/>
          <w:sz w:val="24"/>
          <w:szCs w:val="24"/>
        </w:rPr>
        <w:t>) and Shannon-Wiener diversity (Figure </w:t>
      </w:r>
      <w:r w:rsidRPr="00ED58D6">
        <w:rPr>
          <w:rFonts w:cstheme="minorHAnsi"/>
          <w:b/>
          <w:bCs/>
          <w:sz w:val="24"/>
          <w:szCs w:val="24"/>
        </w:rPr>
        <w:t>5b</w:t>
      </w:r>
      <w:r w:rsidRPr="00ED58D6">
        <w:rPr>
          <w:rFonts w:cstheme="minorHAnsi"/>
          <w:sz w:val="24"/>
          <w:szCs w:val="24"/>
        </w:rPr>
        <w:t>) than PAD's test D biomass. Despite both reactors performing the same function, their communities were different based on diversity. In general, diverse communities are expected to handle perturbations better than communities with lower diversity (Awasthi et al., </w:t>
      </w:r>
      <w:r w:rsidRPr="00ED58D6">
        <w:rPr>
          <w:rFonts w:cstheme="minorHAnsi"/>
          <w:b/>
          <w:bCs/>
          <w:sz w:val="24"/>
          <w:szCs w:val="24"/>
        </w:rPr>
        <w:t>2014</w:t>
      </w:r>
      <w:r w:rsidRPr="00ED58D6">
        <w:rPr>
          <w:rFonts w:cstheme="minorHAnsi"/>
          <w:sz w:val="24"/>
          <w:szCs w:val="24"/>
        </w:rPr>
        <w:t>; Shade et al., </w:t>
      </w:r>
      <w:r w:rsidRPr="00ED58D6">
        <w:rPr>
          <w:rFonts w:cstheme="minorHAnsi"/>
          <w:b/>
          <w:bCs/>
          <w:sz w:val="24"/>
          <w:szCs w:val="24"/>
        </w:rPr>
        <w:t>2012</w:t>
      </w:r>
      <w:r w:rsidRPr="00ED58D6">
        <w:rPr>
          <w:rFonts w:cstheme="minorHAnsi"/>
          <w:sz w:val="24"/>
          <w:szCs w:val="24"/>
        </w:rPr>
        <w:t>). Indeed, Denver's full-scale plant underwent more process fluctuations following perturbations (McNamara et al., </w:t>
      </w:r>
      <w:r w:rsidRPr="00ED58D6">
        <w:rPr>
          <w:rFonts w:cstheme="minorHAnsi"/>
          <w:b/>
          <w:bCs/>
          <w:sz w:val="24"/>
          <w:szCs w:val="24"/>
        </w:rPr>
        <w:t>2022</w:t>
      </w:r>
      <w:r w:rsidRPr="00ED58D6">
        <w:rPr>
          <w:rFonts w:cstheme="minorHAnsi"/>
          <w:sz w:val="24"/>
          <w:szCs w:val="24"/>
        </w:rPr>
        <w:t>).</w:t>
      </w:r>
    </w:p>
    <w:p w14:paraId="2AA4FF2E" w14:textId="00538920" w:rsidR="00ED58D6" w:rsidRPr="00ED58D6" w:rsidRDefault="00ED58D6" w:rsidP="00C8088E">
      <w:pPr>
        <w:pStyle w:val="NoSpacing"/>
      </w:pPr>
      <w:r w:rsidRPr="00ED58D6">
        <w:drawing>
          <wp:inline distT="0" distB="0" distL="0" distR="0" wp14:anchorId="34F24842" wp14:editId="176C5E2C">
            <wp:extent cx="2743200" cy="2560320"/>
            <wp:effectExtent l="0" t="0" r="0" b="0"/>
            <wp:docPr id="1173932537" name="Picture 3" descr="Details are in the caption following the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tails are in the caption following the imag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560320"/>
                    </a:xfrm>
                    <a:prstGeom prst="rect">
                      <a:avLst/>
                    </a:prstGeom>
                    <a:noFill/>
                    <a:ln>
                      <a:noFill/>
                    </a:ln>
                  </pic:spPr>
                </pic:pic>
              </a:graphicData>
            </a:graphic>
          </wp:inline>
        </w:drawing>
      </w:r>
    </w:p>
    <w:p w14:paraId="003CCDF3" w14:textId="7F6878D1" w:rsidR="00ED58D6" w:rsidRPr="00ED58D6" w:rsidRDefault="00ED58D6" w:rsidP="00C8088E">
      <w:pPr>
        <w:pStyle w:val="NoSpacing"/>
      </w:pPr>
      <w:r w:rsidRPr="00ED58D6">
        <w:rPr>
          <w:b/>
          <w:bCs/>
        </w:rPr>
        <w:t>FIGURE 5</w:t>
      </w:r>
      <w:r w:rsidR="00C8088E">
        <w:t xml:space="preserve"> </w:t>
      </w:r>
      <w:r w:rsidRPr="00ED58D6">
        <w:t>(a) Observed richness and (b) Shannon Diversity Assessment for the PAD's test B and D biomasses. Comparison of AOB and NOB relative abundance for biomass from (c) PAD test B and (d) PAD test D, respectively</w:t>
      </w:r>
    </w:p>
    <w:p w14:paraId="37B58F56" w14:textId="7A4656D8" w:rsidR="00ED58D6" w:rsidRPr="00ED58D6" w:rsidRDefault="00ED58D6" w:rsidP="00C8088E">
      <w:pPr>
        <w:pStyle w:val="NoSpacing"/>
      </w:pPr>
      <w:r w:rsidRPr="00ED58D6">
        <w:drawing>
          <wp:inline distT="0" distB="0" distL="0" distR="0" wp14:anchorId="4DCADE8C" wp14:editId="335AB0AD">
            <wp:extent cx="2743200" cy="2487168"/>
            <wp:effectExtent l="0" t="0" r="0" b="8890"/>
            <wp:docPr id="1630471545" name="Picture 2" descr="Details are in the caption following the imag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487168"/>
                    </a:xfrm>
                    <a:prstGeom prst="rect">
                      <a:avLst/>
                    </a:prstGeom>
                    <a:noFill/>
                    <a:ln>
                      <a:noFill/>
                    </a:ln>
                  </pic:spPr>
                </pic:pic>
              </a:graphicData>
            </a:graphic>
          </wp:inline>
        </w:drawing>
      </w:r>
    </w:p>
    <w:p w14:paraId="5337D877" w14:textId="3BCD55B6" w:rsidR="00ED58D6" w:rsidRPr="00ED58D6" w:rsidRDefault="00ED58D6" w:rsidP="00C8088E">
      <w:pPr>
        <w:pStyle w:val="NoSpacing"/>
      </w:pPr>
      <w:r w:rsidRPr="00ED58D6">
        <w:rPr>
          <w:b/>
          <w:bCs/>
        </w:rPr>
        <w:t>FIGURE 6</w:t>
      </w:r>
      <w:r w:rsidR="00C8088E">
        <w:t xml:space="preserve"> </w:t>
      </w:r>
      <w:r w:rsidRPr="00ED58D6">
        <w:t>Top 20 genera in (a) PAD's test B and (b) PAD's test D biomass</w:t>
      </w:r>
    </w:p>
    <w:p w14:paraId="5AFB0BF0" w14:textId="77777777" w:rsidR="00C8088E" w:rsidRDefault="00C8088E" w:rsidP="00ED58D6">
      <w:pPr>
        <w:rPr>
          <w:rFonts w:cstheme="minorHAnsi"/>
          <w:sz w:val="24"/>
          <w:szCs w:val="24"/>
        </w:rPr>
      </w:pPr>
    </w:p>
    <w:p w14:paraId="20782ABE" w14:textId="49EFB349" w:rsidR="00ED58D6" w:rsidRPr="00ED58D6" w:rsidRDefault="00ED58D6" w:rsidP="00ED58D6">
      <w:pPr>
        <w:rPr>
          <w:rFonts w:cstheme="minorHAnsi"/>
          <w:sz w:val="24"/>
          <w:szCs w:val="24"/>
        </w:rPr>
      </w:pPr>
      <w:r w:rsidRPr="00ED58D6">
        <w:rPr>
          <w:rFonts w:cstheme="minorHAnsi"/>
          <w:sz w:val="24"/>
          <w:szCs w:val="24"/>
        </w:rPr>
        <w:t>The microbial community structure at the genus level was further analyzed to reveal key players of the nitrogen cycle in the PAD reactors. A comparison of the nitrifier abundances (AOB and NOB) is shown in Figure </w:t>
      </w:r>
      <w:r w:rsidRPr="00ED58D6">
        <w:rPr>
          <w:rFonts w:cstheme="minorHAnsi"/>
          <w:b/>
          <w:bCs/>
          <w:sz w:val="24"/>
          <w:szCs w:val="24"/>
        </w:rPr>
        <w:t>5</w:t>
      </w:r>
      <w:proofErr w:type="gramStart"/>
      <w:r w:rsidRPr="00ED58D6">
        <w:rPr>
          <w:rFonts w:cstheme="minorHAnsi"/>
          <w:b/>
          <w:bCs/>
          <w:sz w:val="24"/>
          <w:szCs w:val="24"/>
        </w:rPr>
        <w:t>c,d</w:t>
      </w:r>
      <w:r w:rsidRPr="00ED58D6">
        <w:rPr>
          <w:rFonts w:cstheme="minorHAnsi"/>
          <w:sz w:val="24"/>
          <w:szCs w:val="24"/>
        </w:rPr>
        <w:t>.</w:t>
      </w:r>
      <w:proofErr w:type="gramEnd"/>
      <w:r w:rsidRPr="00ED58D6">
        <w:rPr>
          <w:rFonts w:cstheme="minorHAnsi"/>
          <w:sz w:val="24"/>
          <w:szCs w:val="24"/>
        </w:rPr>
        <w:t xml:space="preserve"> The comparison of AOB relative abundances between the PAD's test D and PAD's test B biomass indicates over two times higher relative abundance for the PAD test B biomass (Figure </w:t>
      </w:r>
      <w:r w:rsidRPr="00ED58D6">
        <w:rPr>
          <w:rFonts w:cstheme="minorHAnsi"/>
          <w:b/>
          <w:bCs/>
          <w:sz w:val="24"/>
          <w:szCs w:val="24"/>
        </w:rPr>
        <w:t>5c</w:t>
      </w:r>
      <w:r w:rsidRPr="00ED58D6">
        <w:rPr>
          <w:rFonts w:cstheme="minorHAnsi"/>
          <w:sz w:val="24"/>
          <w:szCs w:val="24"/>
        </w:rPr>
        <w:t>). This higher relative abundance can be driven by a lower SRT (McNamara et al., </w:t>
      </w:r>
      <w:r w:rsidRPr="00ED58D6">
        <w:rPr>
          <w:rFonts w:cstheme="minorHAnsi"/>
          <w:b/>
          <w:bCs/>
          <w:sz w:val="24"/>
          <w:szCs w:val="24"/>
        </w:rPr>
        <w:t>2022</w:t>
      </w:r>
      <w:r w:rsidRPr="00ED58D6">
        <w:rPr>
          <w:rFonts w:cstheme="minorHAnsi"/>
          <w:sz w:val="24"/>
          <w:szCs w:val="24"/>
        </w:rPr>
        <w:t>), requiring increased AOB populations for an equivalent specific rate, whereas Denver's full-scale SRT is approximately three times that of the Boulder full-scale PAD reactor which can decrease overall abundance. NOB relative abundances confirm observations of the in situ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specific rates between the reactors. The PAD's test D biomass NOB relative abundance is near zero, while the PAD's test B biomass indicates presence of a low NOB population (Figure </w:t>
      </w:r>
      <w:r w:rsidRPr="00ED58D6">
        <w:rPr>
          <w:rFonts w:cstheme="minorHAnsi"/>
          <w:b/>
          <w:bCs/>
          <w:sz w:val="24"/>
          <w:szCs w:val="24"/>
        </w:rPr>
        <w:t>5d</w:t>
      </w:r>
      <w:r w:rsidRPr="00ED58D6">
        <w:rPr>
          <w:rFonts w:cstheme="minorHAnsi"/>
          <w:sz w:val="24"/>
          <w:szCs w:val="24"/>
        </w:rPr>
        <w:t>). One of the observed differences that indicate a difference in the AOB and NOB populations between PAD's test D and B biomass is the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specific rate (Figure </w:t>
      </w:r>
      <w:r w:rsidRPr="00ED58D6">
        <w:rPr>
          <w:rFonts w:cstheme="minorHAnsi"/>
          <w:b/>
          <w:bCs/>
          <w:sz w:val="24"/>
          <w:szCs w:val="24"/>
        </w:rPr>
        <w:t>2c</w:t>
      </w:r>
      <w:r w:rsidRPr="00ED58D6">
        <w:rPr>
          <w:rFonts w:cstheme="minorHAnsi"/>
          <w:sz w:val="24"/>
          <w:szCs w:val="24"/>
        </w:rPr>
        <w:t>). While both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specific rates were low, PAD's test D biomass indicated a rate of zero or near zero suggesting a significant out selection or suppression of NOB activity.</w:t>
      </w:r>
    </w:p>
    <w:p w14:paraId="3D0C88E0" w14:textId="0FC5DC60" w:rsidR="00ED58D6" w:rsidRPr="00ED58D6" w:rsidRDefault="00ED58D6" w:rsidP="00ED58D6">
      <w:pPr>
        <w:rPr>
          <w:rFonts w:cstheme="minorHAnsi"/>
          <w:sz w:val="24"/>
          <w:szCs w:val="24"/>
        </w:rPr>
      </w:pPr>
      <w:r w:rsidRPr="00ED58D6">
        <w:rPr>
          <w:rFonts w:cstheme="minorHAnsi"/>
          <w:sz w:val="24"/>
          <w:szCs w:val="24"/>
        </w:rPr>
        <w:t>Different factors can be responsible for shaping the composition of the full-scale PAD reactors in Denver and Boulder. These include temperature, ordinary heterotrophic organisms (OHOs) competition for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SRT, and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loadings. Temperature is a key parameter for nitrification greatly affecting the rates of nitrifying bacteria (McNamara et al., </w:t>
      </w:r>
      <w:r w:rsidRPr="00ED58D6">
        <w:rPr>
          <w:rFonts w:cstheme="minorHAnsi"/>
          <w:b/>
          <w:bCs/>
          <w:sz w:val="24"/>
          <w:szCs w:val="24"/>
        </w:rPr>
        <w:t>2022</w:t>
      </w:r>
      <w:r w:rsidRPr="00ED58D6">
        <w:rPr>
          <w:rFonts w:cstheme="minorHAnsi"/>
          <w:sz w:val="24"/>
          <w:szCs w:val="24"/>
        </w:rPr>
        <w:t xml:space="preserve">). Previous studies have shown that optimal temperature for nitrification </w:t>
      </w:r>
      <w:proofErr w:type="gramStart"/>
      <w:r w:rsidRPr="00ED58D6">
        <w:rPr>
          <w:rFonts w:cstheme="minorHAnsi"/>
          <w:sz w:val="24"/>
          <w:szCs w:val="24"/>
        </w:rPr>
        <w:t>occur</w:t>
      </w:r>
      <w:proofErr w:type="gramEnd"/>
      <w:r w:rsidRPr="00ED58D6">
        <w:rPr>
          <w:rFonts w:cstheme="minorHAnsi"/>
          <w:sz w:val="24"/>
          <w:szCs w:val="24"/>
        </w:rPr>
        <w:t xml:space="preserve"> at 28–36°C (Guo et al., </w:t>
      </w:r>
      <w:r w:rsidRPr="00ED58D6">
        <w:rPr>
          <w:rFonts w:cstheme="minorHAnsi"/>
          <w:b/>
          <w:bCs/>
          <w:sz w:val="24"/>
          <w:szCs w:val="24"/>
        </w:rPr>
        <w:t>2010</w:t>
      </w:r>
      <w:r w:rsidRPr="00ED58D6">
        <w:rPr>
          <w:rFonts w:cstheme="minorHAnsi"/>
          <w:sz w:val="24"/>
          <w:szCs w:val="24"/>
        </w:rPr>
        <w:t xml:space="preserve">) while it is believed that high temperature operation (e.g., 35°C) can be a successful strategy to achieve </w:t>
      </w:r>
      <w:proofErr w:type="spellStart"/>
      <w:r w:rsidRPr="00ED58D6">
        <w:rPr>
          <w:rFonts w:cstheme="minorHAnsi"/>
          <w:sz w:val="24"/>
          <w:szCs w:val="24"/>
        </w:rPr>
        <w:t>nitritation</w:t>
      </w:r>
      <w:proofErr w:type="spellEnd"/>
      <w:r w:rsidRPr="00ED58D6">
        <w:rPr>
          <w:rFonts w:cstheme="minorHAnsi"/>
          <w:sz w:val="24"/>
          <w:szCs w:val="24"/>
        </w:rPr>
        <w:t xml:space="preserve"> (</w:t>
      </w:r>
      <w:proofErr w:type="spellStart"/>
      <w:r w:rsidRPr="00ED58D6">
        <w:rPr>
          <w:rFonts w:cstheme="minorHAnsi"/>
          <w:sz w:val="24"/>
          <w:szCs w:val="24"/>
        </w:rPr>
        <w:t>Hellinga</w:t>
      </w:r>
      <w:proofErr w:type="spellEnd"/>
      <w:r w:rsidRPr="00ED58D6">
        <w:rPr>
          <w:rFonts w:cstheme="minorHAnsi"/>
          <w:sz w:val="24"/>
          <w:szCs w:val="24"/>
        </w:rPr>
        <w:t xml:space="preserve"> et al., </w:t>
      </w:r>
      <w:r w:rsidRPr="00ED58D6">
        <w:rPr>
          <w:rFonts w:cstheme="minorHAnsi"/>
          <w:b/>
          <w:bCs/>
          <w:sz w:val="24"/>
          <w:szCs w:val="24"/>
        </w:rPr>
        <w:t>1998</w:t>
      </w:r>
      <w:r w:rsidRPr="00ED58D6">
        <w:rPr>
          <w:rFonts w:cstheme="minorHAnsi"/>
          <w:sz w:val="24"/>
          <w:szCs w:val="24"/>
        </w:rPr>
        <w:t xml:space="preserve">). Additionally, the </w:t>
      </w:r>
      <w:proofErr w:type="spellStart"/>
      <w:r w:rsidRPr="00ED58D6">
        <w:rPr>
          <w:rFonts w:cstheme="minorHAnsi"/>
          <w:sz w:val="24"/>
          <w:szCs w:val="24"/>
        </w:rPr>
        <w:t>outcompetition</w:t>
      </w:r>
      <w:proofErr w:type="spellEnd"/>
      <w:r w:rsidRPr="00ED58D6">
        <w:rPr>
          <w:rFonts w:cstheme="minorHAnsi"/>
          <w:sz w:val="24"/>
          <w:szCs w:val="24"/>
        </w:rPr>
        <w:t xml:space="preserve"> of NOB can be explained by a higher sensitivity of NOB to higher temperatures than AOB as outlined by González-Martínez et al. (</w:t>
      </w:r>
      <w:r w:rsidRPr="00ED58D6">
        <w:rPr>
          <w:rFonts w:cstheme="minorHAnsi"/>
          <w:b/>
          <w:bCs/>
          <w:sz w:val="24"/>
          <w:szCs w:val="24"/>
        </w:rPr>
        <w:t>2011</w:t>
      </w:r>
      <w:r w:rsidRPr="00ED58D6">
        <w:rPr>
          <w:rFonts w:cstheme="minorHAnsi"/>
          <w:sz w:val="24"/>
          <w:szCs w:val="24"/>
        </w:rPr>
        <w:t xml:space="preserve">). OHOs can also play an important role in the </w:t>
      </w:r>
      <w:proofErr w:type="spellStart"/>
      <w:r w:rsidRPr="00ED58D6">
        <w:rPr>
          <w:rFonts w:cstheme="minorHAnsi"/>
          <w:sz w:val="24"/>
          <w:szCs w:val="24"/>
        </w:rPr>
        <w:t>outcompetition</w:t>
      </w:r>
      <w:proofErr w:type="spellEnd"/>
      <w:r w:rsidRPr="00ED58D6">
        <w:rPr>
          <w:rFonts w:cstheme="minorHAnsi"/>
          <w:sz w:val="24"/>
          <w:szCs w:val="24"/>
        </w:rPr>
        <w:t xml:space="preserve"> of NOB. OHOs thrive in a carbon-rich and low DO environment as suggested from full-scale operation of PAD reactors in McNamara et al. (</w:t>
      </w:r>
      <w:r w:rsidRPr="00ED58D6">
        <w:rPr>
          <w:rFonts w:cstheme="minorHAnsi"/>
          <w:b/>
          <w:bCs/>
          <w:sz w:val="24"/>
          <w:szCs w:val="24"/>
        </w:rPr>
        <w:t>2022</w:t>
      </w:r>
      <w:r w:rsidRPr="00ED58D6">
        <w:rPr>
          <w:rFonts w:cstheme="minorHAnsi"/>
          <w:sz w:val="24"/>
          <w:szCs w:val="24"/>
        </w:rPr>
        <w:t>). Their fast growth rate and ideal growth conditions lead to outcompete NOB successfully over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(Winkler et al., </w:t>
      </w:r>
      <w:r w:rsidRPr="00ED58D6">
        <w:rPr>
          <w:rFonts w:cstheme="minorHAnsi"/>
          <w:b/>
          <w:bCs/>
          <w:sz w:val="24"/>
          <w:szCs w:val="24"/>
        </w:rPr>
        <w:t>2012</w:t>
      </w:r>
      <w:r w:rsidRPr="00ED58D6">
        <w:rPr>
          <w:rFonts w:cstheme="minorHAnsi"/>
          <w:sz w:val="24"/>
          <w:szCs w:val="24"/>
        </w:rPr>
        <w:t>).</w:t>
      </w:r>
    </w:p>
    <w:p w14:paraId="24EBC8A7" w14:textId="337D9ED6" w:rsidR="00ED58D6" w:rsidRPr="00ED58D6" w:rsidRDefault="00ED58D6" w:rsidP="00ED58D6">
      <w:pPr>
        <w:rPr>
          <w:rFonts w:cstheme="minorHAnsi"/>
          <w:sz w:val="24"/>
          <w:szCs w:val="24"/>
        </w:rPr>
      </w:pPr>
      <w:r w:rsidRPr="00ED58D6">
        <w:rPr>
          <w:rFonts w:cstheme="minorHAnsi"/>
          <w:sz w:val="24"/>
          <w:szCs w:val="24"/>
        </w:rPr>
        <w:t>The higher diversity observed in PAD's test B biomass due to different SRT operation could be another key player for Boulder's higher resilience to perturbations as shown in McNamara et al. (</w:t>
      </w:r>
      <w:r w:rsidRPr="00ED58D6">
        <w:rPr>
          <w:rFonts w:cstheme="minorHAnsi"/>
          <w:b/>
          <w:bCs/>
          <w:sz w:val="24"/>
          <w:szCs w:val="24"/>
        </w:rPr>
        <w:t>2022</w:t>
      </w:r>
      <w:r w:rsidRPr="00ED58D6">
        <w:rPr>
          <w:rFonts w:cstheme="minorHAnsi"/>
          <w:sz w:val="24"/>
          <w:szCs w:val="24"/>
        </w:rPr>
        <w:t>). Sui et al. (</w:t>
      </w:r>
      <w:r w:rsidRPr="00ED58D6">
        <w:rPr>
          <w:rFonts w:cstheme="minorHAnsi"/>
          <w:b/>
          <w:bCs/>
          <w:sz w:val="24"/>
          <w:szCs w:val="24"/>
        </w:rPr>
        <w:t>2020</w:t>
      </w:r>
      <w:r w:rsidRPr="00ED58D6">
        <w:rPr>
          <w:rFonts w:cstheme="minorHAnsi"/>
          <w:sz w:val="24"/>
          <w:szCs w:val="24"/>
        </w:rPr>
        <w:t xml:space="preserve">) evaluated different strategies including a short SRT, to improve </w:t>
      </w:r>
      <w:proofErr w:type="spellStart"/>
      <w:r w:rsidRPr="00ED58D6">
        <w:rPr>
          <w:rFonts w:cstheme="minorHAnsi"/>
          <w:sz w:val="24"/>
          <w:szCs w:val="24"/>
        </w:rPr>
        <w:t>nitritation</w:t>
      </w:r>
      <w:proofErr w:type="spellEnd"/>
      <w:r w:rsidRPr="00ED58D6">
        <w:rPr>
          <w:rFonts w:cstheme="minorHAnsi"/>
          <w:sz w:val="24"/>
          <w:szCs w:val="24"/>
        </w:rPr>
        <w:t>, and were able to achieve a high NAR ratio (81%) along with a selection of AOB at the expense of the NOB that were washed out. The selection of microbial communities to enhance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removal has been also reported in other studies (</w:t>
      </w:r>
      <w:proofErr w:type="spellStart"/>
      <w:r w:rsidRPr="00ED58D6">
        <w:rPr>
          <w:rFonts w:cstheme="minorHAnsi"/>
          <w:sz w:val="24"/>
          <w:szCs w:val="24"/>
        </w:rPr>
        <w:t>Neissi</w:t>
      </w:r>
      <w:proofErr w:type="spellEnd"/>
      <w:r w:rsidRPr="00ED58D6">
        <w:rPr>
          <w:rFonts w:cstheme="minorHAnsi"/>
          <w:sz w:val="24"/>
          <w:szCs w:val="24"/>
        </w:rPr>
        <w:t xml:space="preserve"> et al., </w:t>
      </w:r>
      <w:r w:rsidRPr="00ED58D6">
        <w:rPr>
          <w:rFonts w:cstheme="minorHAnsi"/>
          <w:b/>
          <w:bCs/>
          <w:sz w:val="24"/>
          <w:szCs w:val="24"/>
        </w:rPr>
        <w:t>2022</w:t>
      </w:r>
      <w:r w:rsidRPr="00ED58D6">
        <w:rPr>
          <w:rFonts w:cstheme="minorHAnsi"/>
          <w:sz w:val="24"/>
          <w:szCs w:val="24"/>
        </w:rPr>
        <w:t>). Higher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performance of Boulder PAD's biomass at full-scale (McNamara et al., </w:t>
      </w:r>
      <w:r w:rsidRPr="00ED58D6">
        <w:rPr>
          <w:rFonts w:cstheme="minorHAnsi"/>
          <w:b/>
          <w:bCs/>
          <w:sz w:val="24"/>
          <w:szCs w:val="24"/>
        </w:rPr>
        <w:t>2022</w:t>
      </w:r>
      <w:r w:rsidRPr="00ED58D6">
        <w:rPr>
          <w:rFonts w:cstheme="minorHAnsi"/>
          <w:sz w:val="24"/>
          <w:szCs w:val="24"/>
        </w:rPr>
        <w:t>) and in our study can be correlated with higher AOB relative abundance (Figure </w:t>
      </w:r>
      <w:r w:rsidRPr="00ED58D6">
        <w:rPr>
          <w:rFonts w:cstheme="minorHAnsi"/>
          <w:b/>
          <w:bCs/>
          <w:sz w:val="24"/>
          <w:szCs w:val="24"/>
        </w:rPr>
        <w:t>5c</w:t>
      </w:r>
      <w:r w:rsidRPr="00ED58D6">
        <w:rPr>
          <w:rFonts w:cstheme="minorHAnsi"/>
          <w:sz w:val="24"/>
          <w:szCs w:val="24"/>
        </w:rPr>
        <w:t>) and a higher species' richness in PAD's test B biomass (Figure </w:t>
      </w:r>
      <w:r w:rsidRPr="00ED58D6">
        <w:rPr>
          <w:rFonts w:cstheme="minorHAnsi"/>
          <w:b/>
          <w:bCs/>
          <w:sz w:val="24"/>
          <w:szCs w:val="24"/>
        </w:rPr>
        <w:t>5a</w:t>
      </w:r>
      <w:r w:rsidRPr="00ED58D6">
        <w:rPr>
          <w:rFonts w:cstheme="minorHAnsi"/>
          <w:sz w:val="24"/>
          <w:szCs w:val="24"/>
        </w:rPr>
        <w:t>). The higher abundance of AOB under these conditions suggests a potential competitive advantage. Another hypothesis is that the full-scale PAD in Boulder receives higher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loadings (McNamara et al., </w:t>
      </w:r>
      <w:r w:rsidRPr="00ED58D6">
        <w:rPr>
          <w:rFonts w:cstheme="minorHAnsi"/>
          <w:b/>
          <w:bCs/>
          <w:sz w:val="24"/>
          <w:szCs w:val="24"/>
        </w:rPr>
        <w:t>2022</w:t>
      </w:r>
      <w:r w:rsidRPr="00ED58D6">
        <w:rPr>
          <w:rFonts w:cstheme="minorHAnsi"/>
          <w:sz w:val="24"/>
          <w:szCs w:val="24"/>
        </w:rPr>
        <w:t>), and this could explain the higher bacterial diversity along with a higher AOB abundance. Ye and Zhang (</w:t>
      </w:r>
      <w:r w:rsidRPr="00ED58D6">
        <w:rPr>
          <w:rFonts w:cstheme="minorHAnsi"/>
          <w:b/>
          <w:bCs/>
          <w:sz w:val="24"/>
          <w:szCs w:val="24"/>
        </w:rPr>
        <w:t>2011</w:t>
      </w:r>
      <w:r w:rsidRPr="00ED58D6">
        <w:rPr>
          <w:rFonts w:cstheme="minorHAnsi"/>
          <w:sz w:val="24"/>
          <w:szCs w:val="24"/>
        </w:rPr>
        <w:t>) showed that AOB can become the dominant players and have a 40 times higher abundance than other microorganisms in nitrifying reactors under high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loadings.</w:t>
      </w:r>
    </w:p>
    <w:p w14:paraId="047D68E4" w14:textId="56506AAD" w:rsidR="00ED58D6" w:rsidRPr="00ED58D6" w:rsidRDefault="00ED58D6" w:rsidP="00ED58D6">
      <w:pPr>
        <w:rPr>
          <w:rFonts w:cstheme="minorHAnsi"/>
          <w:sz w:val="24"/>
          <w:szCs w:val="24"/>
        </w:rPr>
      </w:pPr>
      <w:r w:rsidRPr="00ED58D6">
        <w:rPr>
          <w:rFonts w:cstheme="minorHAnsi"/>
          <w:sz w:val="24"/>
          <w:szCs w:val="24"/>
        </w:rPr>
        <w:t>The composition of AOB is quite similar with </w:t>
      </w:r>
      <w:r w:rsidRPr="00ED58D6">
        <w:rPr>
          <w:rFonts w:cstheme="minorHAnsi"/>
          <w:i/>
          <w:iCs/>
          <w:sz w:val="24"/>
          <w:szCs w:val="24"/>
        </w:rPr>
        <w:t>Nitrosomonas</w:t>
      </w:r>
      <w:r w:rsidRPr="00ED58D6">
        <w:rPr>
          <w:rFonts w:cstheme="minorHAnsi"/>
          <w:sz w:val="24"/>
          <w:szCs w:val="24"/>
        </w:rPr>
        <w:t> being the key genera in both samples (Figure </w:t>
      </w:r>
      <w:r w:rsidRPr="00ED58D6">
        <w:rPr>
          <w:rFonts w:cstheme="minorHAnsi"/>
          <w:b/>
          <w:bCs/>
          <w:sz w:val="24"/>
          <w:szCs w:val="24"/>
        </w:rPr>
        <w:t>5</w:t>
      </w:r>
      <w:proofErr w:type="gramStart"/>
      <w:r w:rsidRPr="00ED58D6">
        <w:rPr>
          <w:rFonts w:cstheme="minorHAnsi"/>
          <w:b/>
          <w:bCs/>
          <w:sz w:val="24"/>
          <w:szCs w:val="24"/>
        </w:rPr>
        <w:t>c,d</w:t>
      </w:r>
      <w:proofErr w:type="gramEnd"/>
      <w:r w:rsidRPr="00ED58D6">
        <w:rPr>
          <w:rFonts w:cstheme="minorHAnsi"/>
          <w:sz w:val="24"/>
          <w:szCs w:val="24"/>
        </w:rPr>
        <w:t>). Other shared bacteria include the uncultured genus </w:t>
      </w:r>
      <w:r w:rsidRPr="00ED58D6">
        <w:rPr>
          <w:rFonts w:cstheme="minorHAnsi"/>
          <w:i/>
          <w:iCs/>
          <w:sz w:val="24"/>
          <w:szCs w:val="24"/>
        </w:rPr>
        <w:t>Ellin6067</w:t>
      </w:r>
      <w:r w:rsidRPr="00ED58D6">
        <w:rPr>
          <w:rFonts w:cstheme="minorHAnsi"/>
          <w:sz w:val="24"/>
          <w:szCs w:val="24"/>
        </w:rPr>
        <w:t xml:space="preserve"> and MND1, belonging to the family </w:t>
      </w:r>
      <w:proofErr w:type="spellStart"/>
      <w:r w:rsidRPr="00ED58D6">
        <w:rPr>
          <w:rFonts w:cstheme="minorHAnsi"/>
          <w:sz w:val="24"/>
          <w:szCs w:val="24"/>
        </w:rPr>
        <w:t>Nitrosomonadaceae</w:t>
      </w:r>
      <w:proofErr w:type="spellEnd"/>
      <w:r w:rsidRPr="00ED58D6">
        <w:rPr>
          <w:rFonts w:cstheme="minorHAnsi"/>
          <w:sz w:val="24"/>
          <w:szCs w:val="24"/>
        </w:rPr>
        <w:t xml:space="preserve"> are also of note and are both involved in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processes (Wang et al., </w:t>
      </w:r>
      <w:r w:rsidRPr="00ED58D6">
        <w:rPr>
          <w:rFonts w:cstheme="minorHAnsi"/>
          <w:b/>
          <w:bCs/>
          <w:sz w:val="24"/>
          <w:szCs w:val="24"/>
        </w:rPr>
        <w:t>2021</w:t>
      </w:r>
      <w:r w:rsidRPr="00ED58D6">
        <w:rPr>
          <w:rFonts w:cstheme="minorHAnsi"/>
          <w:sz w:val="24"/>
          <w:szCs w:val="24"/>
        </w:rPr>
        <w:t>; Yu et al., </w:t>
      </w:r>
      <w:r w:rsidRPr="00ED58D6">
        <w:rPr>
          <w:rFonts w:cstheme="minorHAnsi"/>
          <w:b/>
          <w:bCs/>
          <w:sz w:val="24"/>
          <w:szCs w:val="24"/>
        </w:rPr>
        <w:t>2021</w:t>
      </w:r>
      <w:r w:rsidRPr="00ED58D6">
        <w:rPr>
          <w:rFonts w:cstheme="minorHAnsi"/>
          <w:sz w:val="24"/>
          <w:szCs w:val="24"/>
        </w:rPr>
        <w:t>). </w:t>
      </w:r>
      <w:proofErr w:type="spellStart"/>
      <w:r w:rsidRPr="00ED58D6">
        <w:rPr>
          <w:rFonts w:cstheme="minorHAnsi"/>
          <w:i/>
          <w:iCs/>
          <w:sz w:val="24"/>
          <w:szCs w:val="24"/>
        </w:rPr>
        <w:t>Chloroflexi</w:t>
      </w:r>
      <w:proofErr w:type="spellEnd"/>
      <w:r w:rsidRPr="00ED58D6">
        <w:rPr>
          <w:rFonts w:cstheme="minorHAnsi"/>
          <w:sz w:val="24"/>
          <w:szCs w:val="24"/>
        </w:rPr>
        <w:t> here identified at the phylum level was only found in the PAD's test B biomass sample (Figure </w:t>
      </w:r>
      <w:r w:rsidRPr="00ED58D6">
        <w:rPr>
          <w:rFonts w:cstheme="minorHAnsi"/>
          <w:b/>
          <w:bCs/>
          <w:sz w:val="24"/>
          <w:szCs w:val="24"/>
        </w:rPr>
        <w:t>5c</w:t>
      </w:r>
      <w:r w:rsidRPr="00ED58D6">
        <w:rPr>
          <w:rFonts w:cstheme="minorHAnsi"/>
          <w:sz w:val="24"/>
          <w:szCs w:val="24"/>
        </w:rPr>
        <w:t>); this phylum has been often found associated with thermophilic environment and with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w:t>
      </w:r>
      <w:proofErr w:type="spellStart"/>
      <w:r w:rsidRPr="00ED58D6">
        <w:rPr>
          <w:rFonts w:cstheme="minorHAnsi"/>
          <w:sz w:val="24"/>
          <w:szCs w:val="24"/>
        </w:rPr>
        <w:t>Herber</w:t>
      </w:r>
      <w:proofErr w:type="spellEnd"/>
      <w:r w:rsidRPr="00ED58D6">
        <w:rPr>
          <w:rFonts w:cstheme="minorHAnsi"/>
          <w:sz w:val="24"/>
          <w:szCs w:val="24"/>
        </w:rPr>
        <w:t xml:space="preserve"> et al., </w:t>
      </w:r>
      <w:r w:rsidRPr="00ED58D6">
        <w:rPr>
          <w:rFonts w:cstheme="minorHAnsi"/>
          <w:b/>
          <w:bCs/>
          <w:sz w:val="24"/>
          <w:szCs w:val="24"/>
        </w:rPr>
        <w:t>2020</w:t>
      </w:r>
      <w:r w:rsidRPr="00ED58D6">
        <w:rPr>
          <w:rFonts w:cstheme="minorHAnsi"/>
          <w:sz w:val="24"/>
          <w:szCs w:val="24"/>
        </w:rPr>
        <w:t>). NOB was found to have the lowest or negligible abundance in both samples except for </w:t>
      </w:r>
      <w:proofErr w:type="spellStart"/>
      <w:r w:rsidRPr="00ED58D6">
        <w:rPr>
          <w:rFonts w:cstheme="minorHAnsi"/>
          <w:i/>
          <w:iCs/>
          <w:sz w:val="24"/>
          <w:szCs w:val="24"/>
        </w:rPr>
        <w:t>Nitrospira</w:t>
      </w:r>
      <w:proofErr w:type="spellEnd"/>
      <w:r w:rsidRPr="00ED58D6">
        <w:rPr>
          <w:rFonts w:cstheme="minorHAnsi"/>
          <w:sz w:val="24"/>
          <w:szCs w:val="24"/>
        </w:rPr>
        <w:t> in PAD's test B sample. The genus </w:t>
      </w:r>
      <w:proofErr w:type="spellStart"/>
      <w:r w:rsidRPr="00ED58D6">
        <w:rPr>
          <w:rFonts w:cstheme="minorHAnsi"/>
          <w:i/>
          <w:iCs/>
          <w:sz w:val="24"/>
          <w:szCs w:val="24"/>
        </w:rPr>
        <w:t>Nitrospira</w:t>
      </w:r>
      <w:proofErr w:type="spellEnd"/>
      <w:r w:rsidRPr="00ED58D6">
        <w:rPr>
          <w:rFonts w:cstheme="minorHAnsi"/>
          <w:sz w:val="24"/>
          <w:szCs w:val="24"/>
        </w:rPr>
        <w:t> has been proposed as a key and predominant NOB especially under low dissolved oxygen (</w:t>
      </w:r>
      <w:proofErr w:type="spellStart"/>
      <w:r w:rsidRPr="00ED58D6">
        <w:rPr>
          <w:rFonts w:cstheme="minorHAnsi"/>
          <w:sz w:val="24"/>
          <w:szCs w:val="24"/>
        </w:rPr>
        <w:t>Mehrani</w:t>
      </w:r>
      <w:proofErr w:type="spellEnd"/>
      <w:r w:rsidRPr="00ED58D6">
        <w:rPr>
          <w:rFonts w:cstheme="minorHAnsi"/>
          <w:sz w:val="24"/>
          <w:szCs w:val="24"/>
        </w:rPr>
        <w:t xml:space="preserve"> et al., </w:t>
      </w:r>
      <w:r w:rsidRPr="00ED58D6">
        <w:rPr>
          <w:rFonts w:cstheme="minorHAnsi"/>
          <w:b/>
          <w:bCs/>
          <w:sz w:val="24"/>
          <w:szCs w:val="24"/>
        </w:rPr>
        <w:t>2020</w:t>
      </w:r>
      <w:r w:rsidRPr="00ED58D6">
        <w:rPr>
          <w:rFonts w:cstheme="minorHAnsi"/>
          <w:sz w:val="24"/>
          <w:szCs w:val="24"/>
        </w:rPr>
        <w:t>) and has been observed for the first time in a full-scale wastewater treatment operating at 50°C (Lopez-Vazquez et al., </w:t>
      </w:r>
      <w:r w:rsidRPr="00ED58D6">
        <w:rPr>
          <w:rFonts w:cstheme="minorHAnsi"/>
          <w:b/>
          <w:bCs/>
          <w:sz w:val="24"/>
          <w:szCs w:val="24"/>
        </w:rPr>
        <w:t>2014</w:t>
      </w:r>
      <w:r w:rsidRPr="00ED58D6">
        <w:rPr>
          <w:rFonts w:cstheme="minorHAnsi"/>
          <w:sz w:val="24"/>
          <w:szCs w:val="24"/>
        </w:rPr>
        <w:t>). The presence of </w:t>
      </w:r>
      <w:proofErr w:type="spellStart"/>
      <w:r w:rsidRPr="00ED58D6">
        <w:rPr>
          <w:rFonts w:cstheme="minorHAnsi"/>
          <w:i/>
          <w:iCs/>
          <w:sz w:val="24"/>
          <w:szCs w:val="24"/>
        </w:rPr>
        <w:t>Nitrospira</w:t>
      </w:r>
      <w:proofErr w:type="spellEnd"/>
      <w:r w:rsidRPr="00ED58D6">
        <w:rPr>
          <w:rFonts w:cstheme="minorHAnsi"/>
          <w:sz w:val="24"/>
          <w:szCs w:val="24"/>
        </w:rPr>
        <w:t> could explain some of the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consumption and the subsequent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formation (Figure </w:t>
      </w:r>
      <w:r w:rsidRPr="00ED58D6">
        <w:rPr>
          <w:rFonts w:cstheme="minorHAnsi"/>
          <w:b/>
          <w:bCs/>
          <w:sz w:val="24"/>
          <w:szCs w:val="24"/>
        </w:rPr>
        <w:t>S2b</w:t>
      </w:r>
      <w:r w:rsidRPr="00ED58D6">
        <w:rPr>
          <w:rFonts w:cstheme="minorHAnsi"/>
          <w:sz w:val="24"/>
          <w:szCs w:val="24"/>
        </w:rPr>
        <w:t>). However, the formation of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xml:space="preserve"> is </w:t>
      </w:r>
      <w:proofErr w:type="gramStart"/>
      <w:r w:rsidRPr="00ED58D6">
        <w:rPr>
          <w:rFonts w:cstheme="minorHAnsi"/>
          <w:sz w:val="24"/>
          <w:szCs w:val="24"/>
        </w:rPr>
        <w:t>impact</w:t>
      </w:r>
      <w:proofErr w:type="gramEnd"/>
      <w:r w:rsidRPr="00ED58D6">
        <w:rPr>
          <w:rFonts w:cstheme="minorHAnsi"/>
          <w:sz w:val="24"/>
          <w:szCs w:val="24"/>
        </w:rPr>
        <w:t xml:space="preserve"> by high temperatures, for example, 50°C. As mentioned earlier, different studies have reported the inhibition of NOB by high temperatures (Guo et al., </w:t>
      </w:r>
      <w:r w:rsidRPr="00ED58D6">
        <w:rPr>
          <w:rFonts w:cstheme="minorHAnsi"/>
          <w:b/>
          <w:bCs/>
          <w:sz w:val="24"/>
          <w:szCs w:val="24"/>
        </w:rPr>
        <w:t>2010</w:t>
      </w:r>
      <w:r w:rsidRPr="00ED58D6">
        <w:rPr>
          <w:rFonts w:cstheme="minorHAnsi"/>
          <w:sz w:val="24"/>
          <w:szCs w:val="24"/>
        </w:rPr>
        <w:t xml:space="preserve">; </w:t>
      </w:r>
      <w:proofErr w:type="spellStart"/>
      <w:r w:rsidRPr="00ED58D6">
        <w:rPr>
          <w:rFonts w:cstheme="minorHAnsi"/>
          <w:sz w:val="24"/>
          <w:szCs w:val="24"/>
        </w:rPr>
        <w:t>Hellinga</w:t>
      </w:r>
      <w:proofErr w:type="spellEnd"/>
      <w:r w:rsidRPr="00ED58D6">
        <w:rPr>
          <w:rFonts w:cstheme="minorHAnsi"/>
          <w:sz w:val="24"/>
          <w:szCs w:val="24"/>
        </w:rPr>
        <w:t xml:space="preserve"> et al., </w:t>
      </w:r>
      <w:r w:rsidRPr="00ED58D6">
        <w:rPr>
          <w:rFonts w:cstheme="minorHAnsi"/>
          <w:b/>
          <w:bCs/>
          <w:sz w:val="24"/>
          <w:szCs w:val="24"/>
        </w:rPr>
        <w:t>1998</w:t>
      </w:r>
      <w:r w:rsidRPr="00ED58D6">
        <w:rPr>
          <w:rFonts w:cstheme="minorHAnsi"/>
          <w:sz w:val="24"/>
          <w:szCs w:val="24"/>
        </w:rPr>
        <w:t>). Besides temperature, other parameters including FA can potentially influence the abundance and activity of NOB; this will be further discussed in Section </w:t>
      </w:r>
      <w:r w:rsidRPr="00ED58D6">
        <w:rPr>
          <w:rFonts w:cstheme="minorHAnsi"/>
          <w:b/>
          <w:bCs/>
          <w:sz w:val="24"/>
          <w:szCs w:val="24"/>
        </w:rPr>
        <w:t>3.3</w:t>
      </w:r>
      <w:r w:rsidRPr="00ED58D6">
        <w:rPr>
          <w:rFonts w:cstheme="minorHAnsi"/>
          <w:sz w:val="24"/>
          <w:szCs w:val="24"/>
        </w:rPr>
        <w:t xml:space="preserve">. Overall, all these parameters synergistically contribute to the NOB </w:t>
      </w:r>
      <w:proofErr w:type="spellStart"/>
      <w:r w:rsidRPr="00ED58D6">
        <w:rPr>
          <w:rFonts w:cstheme="minorHAnsi"/>
          <w:sz w:val="24"/>
          <w:szCs w:val="24"/>
        </w:rPr>
        <w:t>outcompetition</w:t>
      </w:r>
      <w:proofErr w:type="spellEnd"/>
      <w:r w:rsidRPr="00ED58D6">
        <w:rPr>
          <w:rFonts w:cstheme="minorHAnsi"/>
          <w:sz w:val="24"/>
          <w:szCs w:val="24"/>
        </w:rPr>
        <w:t>.</w:t>
      </w:r>
    </w:p>
    <w:p w14:paraId="5A2DAB79" w14:textId="4B1F0F8D" w:rsidR="00ED58D6" w:rsidRPr="00ED58D6" w:rsidRDefault="00ED58D6" w:rsidP="00ED58D6">
      <w:pPr>
        <w:rPr>
          <w:rFonts w:cstheme="minorHAnsi"/>
          <w:sz w:val="24"/>
          <w:szCs w:val="24"/>
        </w:rPr>
      </w:pPr>
      <w:r w:rsidRPr="00ED58D6">
        <w:rPr>
          <w:rFonts w:cstheme="minorHAnsi"/>
          <w:sz w:val="24"/>
          <w:szCs w:val="24"/>
        </w:rPr>
        <w:t>Figure </w:t>
      </w:r>
      <w:r w:rsidRPr="00ED58D6">
        <w:rPr>
          <w:rFonts w:cstheme="minorHAnsi"/>
          <w:b/>
          <w:bCs/>
          <w:sz w:val="24"/>
          <w:szCs w:val="24"/>
        </w:rPr>
        <w:t>6</w:t>
      </w:r>
      <w:r w:rsidRPr="00ED58D6">
        <w:rPr>
          <w:rFonts w:cstheme="minorHAnsi"/>
          <w:sz w:val="24"/>
          <w:szCs w:val="24"/>
        </w:rPr>
        <w:t> shows the top 20 genera for both PAD's test B and D biomass samples (Figure </w:t>
      </w:r>
      <w:r w:rsidRPr="00ED58D6">
        <w:rPr>
          <w:rFonts w:cstheme="minorHAnsi"/>
          <w:b/>
          <w:bCs/>
          <w:sz w:val="24"/>
          <w:szCs w:val="24"/>
        </w:rPr>
        <w:t>6</w:t>
      </w:r>
      <w:proofErr w:type="gramStart"/>
      <w:r w:rsidRPr="00ED58D6">
        <w:rPr>
          <w:rFonts w:cstheme="minorHAnsi"/>
          <w:b/>
          <w:bCs/>
          <w:sz w:val="24"/>
          <w:szCs w:val="24"/>
        </w:rPr>
        <w:t>a,b</w:t>
      </w:r>
      <w:proofErr w:type="gramEnd"/>
      <w:r w:rsidRPr="00ED58D6">
        <w:rPr>
          <w:rFonts w:cstheme="minorHAnsi"/>
          <w:sz w:val="24"/>
          <w:szCs w:val="24"/>
        </w:rPr>
        <w:t>, respectively). As mentioned earlier, the two samples differ for their diversity. This can also be observed in Figure </w:t>
      </w:r>
      <w:r w:rsidRPr="00ED58D6">
        <w:rPr>
          <w:rFonts w:cstheme="minorHAnsi"/>
          <w:b/>
          <w:bCs/>
          <w:sz w:val="24"/>
          <w:szCs w:val="24"/>
        </w:rPr>
        <w:t>6</w:t>
      </w:r>
      <w:proofErr w:type="gramStart"/>
      <w:r w:rsidRPr="00ED58D6">
        <w:rPr>
          <w:rFonts w:cstheme="minorHAnsi"/>
          <w:b/>
          <w:bCs/>
          <w:sz w:val="24"/>
          <w:szCs w:val="24"/>
        </w:rPr>
        <w:t>a,b</w:t>
      </w:r>
      <w:proofErr w:type="gramEnd"/>
      <w:r w:rsidRPr="00ED58D6">
        <w:rPr>
          <w:rFonts w:cstheme="minorHAnsi"/>
          <w:sz w:val="24"/>
          <w:szCs w:val="24"/>
        </w:rPr>
        <w:t> where a lower diversity can be observed for the PAD's test D sample with the top 20 genera representing roughly 65% of the final bacterial community. The PAD's test D biomass is dominated by fermenting bacteria (Figure </w:t>
      </w:r>
      <w:r w:rsidRPr="00ED58D6">
        <w:rPr>
          <w:rFonts w:cstheme="minorHAnsi"/>
          <w:b/>
          <w:bCs/>
          <w:sz w:val="24"/>
          <w:szCs w:val="24"/>
        </w:rPr>
        <w:t>6b</w:t>
      </w:r>
      <w:r w:rsidRPr="00ED58D6">
        <w:rPr>
          <w:rFonts w:cstheme="minorHAnsi"/>
          <w:sz w:val="24"/>
          <w:szCs w:val="24"/>
        </w:rPr>
        <w:t>) with </w:t>
      </w:r>
      <w:proofErr w:type="spellStart"/>
      <w:r w:rsidRPr="00ED58D6">
        <w:rPr>
          <w:rFonts w:cstheme="minorHAnsi"/>
          <w:i/>
          <w:iCs/>
          <w:sz w:val="24"/>
          <w:szCs w:val="24"/>
        </w:rPr>
        <w:t>Thermovirga</w:t>
      </w:r>
      <w:proofErr w:type="spellEnd"/>
      <w:r w:rsidRPr="00ED58D6">
        <w:rPr>
          <w:rFonts w:cstheme="minorHAnsi"/>
          <w:sz w:val="24"/>
          <w:szCs w:val="24"/>
        </w:rPr>
        <w:t> being the most abundant genus at over 10% abundance; </w:t>
      </w:r>
      <w:proofErr w:type="spellStart"/>
      <w:r w:rsidRPr="00ED58D6">
        <w:rPr>
          <w:rFonts w:cstheme="minorHAnsi"/>
          <w:i/>
          <w:iCs/>
          <w:sz w:val="24"/>
          <w:szCs w:val="24"/>
        </w:rPr>
        <w:t>Thermovirga</w:t>
      </w:r>
      <w:proofErr w:type="spellEnd"/>
      <w:r w:rsidRPr="00ED58D6">
        <w:rPr>
          <w:rFonts w:cstheme="minorHAnsi"/>
          <w:sz w:val="24"/>
          <w:szCs w:val="24"/>
        </w:rPr>
        <w:t> has been mainly found in anaerobic digesters (Li et al., </w:t>
      </w:r>
      <w:r w:rsidRPr="00ED58D6">
        <w:rPr>
          <w:rFonts w:cstheme="minorHAnsi"/>
          <w:b/>
          <w:bCs/>
          <w:sz w:val="24"/>
          <w:szCs w:val="24"/>
        </w:rPr>
        <w:t>2016</w:t>
      </w:r>
      <w:r w:rsidRPr="00ED58D6">
        <w:rPr>
          <w:rFonts w:cstheme="minorHAnsi"/>
          <w:sz w:val="24"/>
          <w:szCs w:val="24"/>
        </w:rPr>
        <w:t>). This is in line with our findings as the biomasses used for this study and feeding both Boulder's and Denver's PAD reactors receive effluent from mesophilic anaerobic digesters (McNamara et al., </w:t>
      </w:r>
      <w:r w:rsidRPr="00ED58D6">
        <w:rPr>
          <w:rFonts w:cstheme="minorHAnsi"/>
          <w:b/>
          <w:bCs/>
          <w:sz w:val="24"/>
          <w:szCs w:val="24"/>
        </w:rPr>
        <w:t>2022</w:t>
      </w:r>
      <w:r w:rsidRPr="00ED58D6">
        <w:rPr>
          <w:rFonts w:cstheme="minorHAnsi"/>
          <w:sz w:val="24"/>
          <w:szCs w:val="24"/>
        </w:rPr>
        <w:t>). </w:t>
      </w:r>
      <w:proofErr w:type="spellStart"/>
      <w:r w:rsidRPr="00ED58D6">
        <w:rPr>
          <w:rFonts w:cstheme="minorHAnsi"/>
          <w:i/>
          <w:iCs/>
          <w:sz w:val="24"/>
          <w:szCs w:val="24"/>
        </w:rPr>
        <w:t>Thermovirga</w:t>
      </w:r>
      <w:proofErr w:type="spellEnd"/>
      <w:r w:rsidRPr="00ED58D6">
        <w:rPr>
          <w:rFonts w:cstheme="minorHAnsi"/>
          <w:sz w:val="24"/>
          <w:szCs w:val="24"/>
        </w:rPr>
        <w:t> is also present in PAD's test B biomass but at a lower relative abundance (Figure </w:t>
      </w:r>
      <w:r w:rsidRPr="00ED58D6">
        <w:rPr>
          <w:rFonts w:cstheme="minorHAnsi"/>
          <w:b/>
          <w:bCs/>
          <w:sz w:val="24"/>
          <w:szCs w:val="24"/>
        </w:rPr>
        <w:t>6a</w:t>
      </w:r>
      <w:r w:rsidRPr="00ED58D6">
        <w:rPr>
          <w:rFonts w:cstheme="minorHAnsi"/>
          <w:sz w:val="24"/>
          <w:szCs w:val="24"/>
        </w:rPr>
        <w:t>). Overall, PAD test D has almost 20% of the overall biomass characterized by fermenting bacteria (Figure </w:t>
      </w:r>
      <w:r w:rsidRPr="00ED58D6">
        <w:rPr>
          <w:rFonts w:cstheme="minorHAnsi"/>
          <w:b/>
          <w:bCs/>
          <w:sz w:val="24"/>
          <w:szCs w:val="24"/>
        </w:rPr>
        <w:t>6b</w:t>
      </w:r>
      <w:r w:rsidRPr="00ED58D6">
        <w:rPr>
          <w:rFonts w:cstheme="minorHAnsi"/>
          <w:sz w:val="24"/>
          <w:szCs w:val="24"/>
        </w:rPr>
        <w:t>). This is three times the fermenting bacteria population of the PAD's test B biomass (Figure </w:t>
      </w:r>
      <w:r w:rsidRPr="00ED58D6">
        <w:rPr>
          <w:rFonts w:cstheme="minorHAnsi"/>
          <w:b/>
          <w:bCs/>
          <w:sz w:val="24"/>
          <w:szCs w:val="24"/>
        </w:rPr>
        <w:t>6a</w:t>
      </w:r>
      <w:r w:rsidRPr="00ED58D6">
        <w:rPr>
          <w:rFonts w:cstheme="minorHAnsi"/>
          <w:sz w:val="24"/>
          <w:szCs w:val="24"/>
        </w:rPr>
        <w:t xml:space="preserve">) and is likely a result of the long SRT in the Denver full-scale reactor. Longer SRTs are usually linked with a selection for slow growing microbes that process </w:t>
      </w:r>
      <w:proofErr w:type="gramStart"/>
      <w:r w:rsidRPr="00ED58D6">
        <w:rPr>
          <w:rFonts w:cstheme="minorHAnsi"/>
          <w:sz w:val="24"/>
          <w:szCs w:val="24"/>
        </w:rPr>
        <w:t>substrate</w:t>
      </w:r>
      <w:proofErr w:type="gramEnd"/>
      <w:r w:rsidRPr="00ED58D6">
        <w:rPr>
          <w:rFonts w:cstheme="minorHAnsi"/>
          <w:sz w:val="24"/>
          <w:szCs w:val="24"/>
        </w:rPr>
        <w:t xml:space="preserve"> slowly and with an enhanced hydrolysis of slowly biodegradable substrates, actuated by fermenting bacteria (Grady et al., </w:t>
      </w:r>
      <w:r w:rsidRPr="00ED58D6">
        <w:rPr>
          <w:rFonts w:cstheme="minorHAnsi"/>
          <w:b/>
          <w:bCs/>
          <w:sz w:val="24"/>
          <w:szCs w:val="24"/>
        </w:rPr>
        <w:t>2011</w:t>
      </w:r>
      <w:r w:rsidRPr="00ED58D6">
        <w:rPr>
          <w:rFonts w:cstheme="minorHAnsi"/>
          <w:sz w:val="24"/>
          <w:szCs w:val="24"/>
        </w:rPr>
        <w:t>; McNamara et al., </w:t>
      </w:r>
      <w:r w:rsidRPr="00ED58D6">
        <w:rPr>
          <w:rFonts w:cstheme="minorHAnsi"/>
          <w:b/>
          <w:bCs/>
          <w:sz w:val="24"/>
          <w:szCs w:val="24"/>
        </w:rPr>
        <w:t>2022</w:t>
      </w:r>
      <w:r w:rsidRPr="00ED58D6">
        <w:rPr>
          <w:rFonts w:cstheme="minorHAnsi"/>
          <w:sz w:val="24"/>
          <w:szCs w:val="24"/>
        </w:rPr>
        <w:t>). Finally, the community of each biomass is composed of a high abundance of denitrifying bacteria with some examples including </w:t>
      </w:r>
      <w:proofErr w:type="spellStart"/>
      <w:r w:rsidRPr="00ED58D6">
        <w:rPr>
          <w:rFonts w:cstheme="minorHAnsi"/>
          <w:i/>
          <w:iCs/>
          <w:sz w:val="24"/>
          <w:szCs w:val="24"/>
        </w:rPr>
        <w:t>Limnobacter</w:t>
      </w:r>
      <w:proofErr w:type="spellEnd"/>
      <w:r w:rsidRPr="00ED58D6">
        <w:rPr>
          <w:rFonts w:cstheme="minorHAnsi"/>
          <w:sz w:val="24"/>
          <w:szCs w:val="24"/>
        </w:rPr>
        <w:t> in PAD's test D biomass and </w:t>
      </w:r>
      <w:proofErr w:type="spellStart"/>
      <w:r w:rsidRPr="00ED58D6">
        <w:rPr>
          <w:rFonts w:cstheme="minorHAnsi"/>
          <w:i/>
          <w:iCs/>
          <w:sz w:val="24"/>
          <w:szCs w:val="24"/>
        </w:rPr>
        <w:t>Denitratisoma</w:t>
      </w:r>
      <w:proofErr w:type="spellEnd"/>
      <w:r w:rsidRPr="00ED58D6">
        <w:rPr>
          <w:rFonts w:cstheme="minorHAnsi"/>
          <w:sz w:val="24"/>
          <w:szCs w:val="24"/>
        </w:rPr>
        <w:t> (</w:t>
      </w:r>
      <w:proofErr w:type="spellStart"/>
      <w:r w:rsidRPr="00ED58D6">
        <w:rPr>
          <w:rFonts w:cstheme="minorHAnsi"/>
          <w:sz w:val="24"/>
          <w:szCs w:val="24"/>
        </w:rPr>
        <w:t>Qiao</w:t>
      </w:r>
      <w:proofErr w:type="spellEnd"/>
      <w:r w:rsidRPr="00ED58D6">
        <w:rPr>
          <w:rFonts w:cstheme="minorHAnsi"/>
          <w:sz w:val="24"/>
          <w:szCs w:val="24"/>
        </w:rPr>
        <w:t xml:space="preserve"> et al., </w:t>
      </w:r>
      <w:r w:rsidRPr="00ED58D6">
        <w:rPr>
          <w:rFonts w:cstheme="minorHAnsi"/>
          <w:b/>
          <w:bCs/>
          <w:sz w:val="24"/>
          <w:szCs w:val="24"/>
        </w:rPr>
        <w:t>2022</w:t>
      </w:r>
      <w:r w:rsidRPr="00ED58D6">
        <w:rPr>
          <w:rFonts w:cstheme="minorHAnsi"/>
          <w:sz w:val="24"/>
          <w:szCs w:val="24"/>
        </w:rPr>
        <w:t>) in PAD's test B biomass (Figure </w:t>
      </w:r>
      <w:r w:rsidRPr="00ED58D6">
        <w:rPr>
          <w:rFonts w:cstheme="minorHAnsi"/>
          <w:b/>
          <w:bCs/>
          <w:sz w:val="24"/>
          <w:szCs w:val="24"/>
        </w:rPr>
        <w:t>6</w:t>
      </w:r>
      <w:proofErr w:type="gramStart"/>
      <w:r w:rsidRPr="00ED58D6">
        <w:rPr>
          <w:rFonts w:cstheme="minorHAnsi"/>
          <w:b/>
          <w:bCs/>
          <w:sz w:val="24"/>
          <w:szCs w:val="24"/>
        </w:rPr>
        <w:t>a,b</w:t>
      </w:r>
      <w:proofErr w:type="gramEnd"/>
      <w:r w:rsidRPr="00ED58D6">
        <w:rPr>
          <w:rFonts w:cstheme="minorHAnsi"/>
          <w:sz w:val="24"/>
          <w:szCs w:val="24"/>
        </w:rPr>
        <w:t>).</w:t>
      </w:r>
    </w:p>
    <w:p w14:paraId="25182716" w14:textId="77777777" w:rsidR="00ED58D6" w:rsidRPr="00ED58D6" w:rsidRDefault="00ED58D6" w:rsidP="00C8088E">
      <w:pPr>
        <w:pStyle w:val="Heading2"/>
      </w:pPr>
      <w:r w:rsidRPr="00ED58D6">
        <w:t xml:space="preserve">Temperature, pH, and nitrogen speciation could lead to different nitrogen loss </w:t>
      </w:r>
      <w:proofErr w:type="gramStart"/>
      <w:r w:rsidRPr="00ED58D6">
        <w:t>routes</w:t>
      </w:r>
      <w:proofErr w:type="gramEnd"/>
    </w:p>
    <w:p w14:paraId="2AA04093" w14:textId="64714E90" w:rsidR="00ED58D6" w:rsidRPr="00ED58D6" w:rsidRDefault="00ED58D6" w:rsidP="00ED58D6">
      <w:pPr>
        <w:rPr>
          <w:rFonts w:cstheme="minorHAnsi"/>
          <w:sz w:val="24"/>
          <w:szCs w:val="24"/>
        </w:rPr>
      </w:pPr>
      <w:r w:rsidRPr="00ED58D6">
        <w:rPr>
          <w:rFonts w:cstheme="minorHAnsi"/>
          <w:sz w:val="24"/>
          <w:szCs w:val="24"/>
        </w:rPr>
        <w:t>The batch tests from Section </w:t>
      </w:r>
      <w:r w:rsidRPr="00ED58D6">
        <w:rPr>
          <w:rFonts w:cstheme="minorHAnsi"/>
          <w:b/>
          <w:bCs/>
          <w:sz w:val="24"/>
          <w:szCs w:val="24"/>
        </w:rPr>
        <w:t>3.1</w:t>
      </w:r>
      <w:r w:rsidRPr="00ED58D6">
        <w:rPr>
          <w:rFonts w:cstheme="minorHAnsi"/>
          <w:sz w:val="24"/>
          <w:szCs w:val="24"/>
        </w:rPr>
        <w:t> and the community analysis from Section </w:t>
      </w:r>
      <w:r w:rsidRPr="00ED58D6">
        <w:rPr>
          <w:rFonts w:cstheme="minorHAnsi"/>
          <w:b/>
          <w:bCs/>
          <w:sz w:val="24"/>
          <w:szCs w:val="24"/>
        </w:rPr>
        <w:t>3.2</w:t>
      </w:r>
      <w:r w:rsidRPr="00ED58D6">
        <w:rPr>
          <w:rFonts w:cstheme="minorHAnsi"/>
          <w:sz w:val="24"/>
          <w:szCs w:val="24"/>
        </w:rPr>
        <w:t> showed interesting trends and specific mechanisms of nitrogen removal. However, some TIN mass balances (Figure </w:t>
      </w:r>
      <w:r w:rsidRPr="00ED58D6">
        <w:rPr>
          <w:rFonts w:cstheme="minorHAnsi"/>
          <w:b/>
          <w:bCs/>
          <w:sz w:val="24"/>
          <w:szCs w:val="24"/>
        </w:rPr>
        <w:t>S3</w:t>
      </w:r>
      <w:r w:rsidRPr="00ED58D6">
        <w:rPr>
          <w:rFonts w:cstheme="minorHAnsi"/>
          <w:sz w:val="24"/>
          <w:szCs w:val="24"/>
        </w:rPr>
        <w:t>) show a decreasing trend over time. This suggests that other mechanisms of nitrogen loss are taking place. For example, the PAD test D 50°C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high removal rate is not associated with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or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accumulation suggesting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removal at 50°C possibly linked to ammonia off gassing. Figure </w:t>
      </w:r>
      <w:r w:rsidRPr="00ED58D6">
        <w:rPr>
          <w:rFonts w:cstheme="minorHAnsi"/>
          <w:b/>
          <w:bCs/>
          <w:sz w:val="24"/>
          <w:szCs w:val="24"/>
        </w:rPr>
        <w:t>7</w:t>
      </w:r>
      <w:r w:rsidRPr="00ED58D6">
        <w:rPr>
          <w:rFonts w:cstheme="minorHAnsi"/>
          <w:sz w:val="24"/>
          <w:szCs w:val="24"/>
        </w:rPr>
        <w:t> provides a comparison of the ammonia gas present at a range of pH and temperatures. At a pH of 7.5 and pH of 8.0 and 50°C, approximately 9% and 30%, respectively, of the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is present as ammonia gas (Figure </w:t>
      </w:r>
      <w:r w:rsidRPr="00ED58D6">
        <w:rPr>
          <w:rFonts w:cstheme="minorHAnsi"/>
          <w:b/>
          <w:bCs/>
          <w:sz w:val="24"/>
          <w:szCs w:val="24"/>
        </w:rPr>
        <w:t>7</w:t>
      </w:r>
      <w:r w:rsidRPr="00ED58D6">
        <w:rPr>
          <w:rFonts w:cstheme="minorHAnsi"/>
          <w:sz w:val="24"/>
          <w:szCs w:val="24"/>
        </w:rPr>
        <w:t xml:space="preserve">). This is in line with what earlier studies have described. </w:t>
      </w:r>
      <w:proofErr w:type="spellStart"/>
      <w:r w:rsidRPr="00ED58D6">
        <w:rPr>
          <w:rFonts w:cstheme="minorHAnsi"/>
          <w:sz w:val="24"/>
          <w:szCs w:val="24"/>
        </w:rPr>
        <w:t>Courtens</w:t>
      </w:r>
      <w:proofErr w:type="spellEnd"/>
      <w:r w:rsidRPr="00ED58D6">
        <w:rPr>
          <w:rFonts w:cstheme="minorHAnsi"/>
          <w:sz w:val="24"/>
          <w:szCs w:val="24"/>
        </w:rPr>
        <w:t xml:space="preserve"> et al. (</w:t>
      </w:r>
      <w:r w:rsidRPr="00ED58D6">
        <w:rPr>
          <w:rFonts w:cstheme="minorHAnsi"/>
          <w:b/>
          <w:bCs/>
          <w:sz w:val="24"/>
          <w:szCs w:val="24"/>
        </w:rPr>
        <w:t>2016</w:t>
      </w:r>
      <w:r w:rsidRPr="00ED58D6">
        <w:rPr>
          <w:rFonts w:cstheme="minorHAnsi"/>
          <w:sz w:val="24"/>
          <w:szCs w:val="24"/>
        </w:rPr>
        <w:t xml:space="preserve">) performed hydraulic abiotic studies in test reactors and found that as high as 6 </w:t>
      </w:r>
      <w:proofErr w:type="spellStart"/>
      <w:r w:rsidRPr="00ED58D6">
        <w:rPr>
          <w:rFonts w:cstheme="minorHAnsi"/>
          <w:sz w:val="24"/>
          <w:szCs w:val="24"/>
        </w:rPr>
        <w:t>mgFA</w:t>
      </w:r>
      <w:proofErr w:type="spellEnd"/>
      <w:r w:rsidRPr="00ED58D6">
        <w:rPr>
          <w:rFonts w:cstheme="minorHAnsi"/>
          <w:sz w:val="24"/>
          <w:szCs w:val="24"/>
        </w:rPr>
        <w:t xml:space="preserve"> L</w:t>
      </w:r>
      <w:r w:rsidRPr="00ED58D6">
        <w:rPr>
          <w:rFonts w:cstheme="minorHAnsi"/>
          <w:sz w:val="24"/>
          <w:szCs w:val="24"/>
          <w:vertAlign w:val="superscript"/>
        </w:rPr>
        <w:t>−1</w:t>
      </w:r>
      <w:r w:rsidRPr="00ED58D6">
        <w:rPr>
          <w:rFonts w:cstheme="minorHAnsi"/>
          <w:sz w:val="24"/>
          <w:szCs w:val="24"/>
        </w:rPr>
        <w:t> day</w:t>
      </w:r>
      <w:r w:rsidRPr="00ED58D6">
        <w:rPr>
          <w:rFonts w:cstheme="minorHAnsi"/>
          <w:sz w:val="24"/>
          <w:szCs w:val="24"/>
          <w:vertAlign w:val="superscript"/>
        </w:rPr>
        <w:t>−1</w:t>
      </w:r>
      <w:r w:rsidRPr="00ED58D6">
        <w:rPr>
          <w:rFonts w:cstheme="minorHAnsi"/>
          <w:sz w:val="24"/>
          <w:szCs w:val="24"/>
        </w:rPr>
        <w:t> was stripped at pH 8, 50°C and 20 mg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L</w:t>
      </w:r>
      <w:r w:rsidRPr="00ED58D6">
        <w:rPr>
          <w:rFonts w:cstheme="minorHAnsi"/>
          <w:sz w:val="24"/>
          <w:szCs w:val="24"/>
          <w:vertAlign w:val="superscript"/>
        </w:rPr>
        <w:t>−1</w:t>
      </w:r>
      <w:r w:rsidRPr="00ED58D6">
        <w:rPr>
          <w:rFonts w:cstheme="minorHAnsi"/>
          <w:sz w:val="24"/>
          <w:szCs w:val="24"/>
        </w:rPr>
        <w:t>. In our study, higher aeration rates of the reactors (saturated DO around 4 mg L</w:t>
      </w:r>
      <w:r w:rsidRPr="00ED58D6">
        <w:rPr>
          <w:rFonts w:cstheme="minorHAnsi"/>
          <w:sz w:val="24"/>
          <w:szCs w:val="24"/>
          <w:vertAlign w:val="superscript"/>
        </w:rPr>
        <w:t>−1</w:t>
      </w:r>
      <w:r w:rsidRPr="00ED58D6">
        <w:rPr>
          <w:rFonts w:cstheme="minorHAnsi"/>
          <w:sz w:val="24"/>
          <w:szCs w:val="24"/>
        </w:rPr>
        <w:t>) could lead to elevated stripping rates. This effect would also lead to predicted higher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specific removal rates.</w:t>
      </w:r>
    </w:p>
    <w:p w14:paraId="60DA091D" w14:textId="7743F4F2" w:rsidR="00ED58D6" w:rsidRPr="00ED58D6" w:rsidRDefault="00ED58D6" w:rsidP="00C8088E">
      <w:pPr>
        <w:pStyle w:val="NoSpacing"/>
      </w:pPr>
      <w:r w:rsidRPr="00ED58D6">
        <w:drawing>
          <wp:inline distT="0" distB="0" distL="0" distR="0" wp14:anchorId="7AC88124" wp14:editId="5DCB894C">
            <wp:extent cx="2743200" cy="1243584"/>
            <wp:effectExtent l="0" t="0" r="0" b="0"/>
            <wp:docPr id="700493696" name="Picture 1" descr="Details are in the caption following the image">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tails are in the caption following the image">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243584"/>
                    </a:xfrm>
                    <a:prstGeom prst="rect">
                      <a:avLst/>
                    </a:prstGeom>
                    <a:noFill/>
                    <a:ln>
                      <a:noFill/>
                    </a:ln>
                  </pic:spPr>
                </pic:pic>
              </a:graphicData>
            </a:graphic>
          </wp:inline>
        </w:drawing>
      </w:r>
    </w:p>
    <w:p w14:paraId="4C857085" w14:textId="74DF83BA" w:rsidR="00ED58D6" w:rsidRDefault="00ED58D6" w:rsidP="00C8088E">
      <w:pPr>
        <w:pStyle w:val="NoSpacing"/>
      </w:pPr>
      <w:r w:rsidRPr="00ED58D6">
        <w:rPr>
          <w:b/>
          <w:bCs/>
        </w:rPr>
        <w:t>FIGURE 7</w:t>
      </w:r>
      <w:r w:rsidR="00C8088E">
        <w:t xml:space="preserve"> </w:t>
      </w:r>
      <w:r w:rsidRPr="00ED58D6">
        <w:t>Ammonia nitrogen percent of ammonia gas present at pH 7, 7.5, and 8 for the temperature range 20–50°C</w:t>
      </w:r>
    </w:p>
    <w:p w14:paraId="0D60E68B" w14:textId="77777777" w:rsidR="00C8088E" w:rsidRPr="00ED58D6" w:rsidRDefault="00C8088E" w:rsidP="00ED58D6">
      <w:pPr>
        <w:rPr>
          <w:rFonts w:cstheme="minorHAnsi"/>
          <w:sz w:val="24"/>
          <w:szCs w:val="24"/>
        </w:rPr>
      </w:pPr>
    </w:p>
    <w:p w14:paraId="363A7F80" w14:textId="12144532" w:rsidR="00ED58D6" w:rsidRPr="00ED58D6" w:rsidRDefault="00ED58D6" w:rsidP="00ED58D6">
      <w:pPr>
        <w:rPr>
          <w:rFonts w:cstheme="minorHAnsi"/>
          <w:sz w:val="24"/>
          <w:szCs w:val="24"/>
        </w:rPr>
      </w:pPr>
      <w:r w:rsidRPr="00ED58D6">
        <w:rPr>
          <w:rFonts w:cstheme="minorHAnsi"/>
          <w:sz w:val="24"/>
          <w:szCs w:val="24"/>
        </w:rPr>
        <w:t>Another route for nitrogen loss is the production of N</w:t>
      </w:r>
      <w:r w:rsidRPr="00ED58D6">
        <w:rPr>
          <w:rFonts w:cstheme="minorHAnsi"/>
          <w:sz w:val="24"/>
          <w:szCs w:val="24"/>
          <w:vertAlign w:val="subscript"/>
        </w:rPr>
        <w:t>2</w:t>
      </w:r>
      <w:r w:rsidRPr="00ED58D6">
        <w:rPr>
          <w:rFonts w:cstheme="minorHAnsi"/>
          <w:sz w:val="24"/>
          <w:szCs w:val="24"/>
        </w:rPr>
        <w:t>O. N</w:t>
      </w:r>
      <w:r w:rsidRPr="00ED58D6">
        <w:rPr>
          <w:rFonts w:cstheme="minorHAnsi"/>
          <w:sz w:val="24"/>
          <w:szCs w:val="24"/>
          <w:vertAlign w:val="subscript"/>
        </w:rPr>
        <w:t>2</w:t>
      </w:r>
      <w:r w:rsidRPr="00ED58D6">
        <w:rPr>
          <w:rFonts w:cstheme="minorHAnsi"/>
          <w:sz w:val="24"/>
          <w:szCs w:val="24"/>
        </w:rPr>
        <w:t>O is a potent greenhouse gas and can be produced during nitrification and denitrification (</w:t>
      </w:r>
      <w:proofErr w:type="spellStart"/>
      <w:r w:rsidRPr="00ED58D6">
        <w:rPr>
          <w:rFonts w:cstheme="minorHAnsi"/>
          <w:sz w:val="24"/>
          <w:szCs w:val="24"/>
        </w:rPr>
        <w:t>Sabba</w:t>
      </w:r>
      <w:proofErr w:type="spellEnd"/>
      <w:r w:rsidRPr="00ED58D6">
        <w:rPr>
          <w:rFonts w:cstheme="minorHAnsi"/>
          <w:sz w:val="24"/>
          <w:szCs w:val="24"/>
        </w:rPr>
        <w:t xml:space="preserve"> et al., </w:t>
      </w:r>
      <w:r w:rsidRPr="00ED58D6">
        <w:rPr>
          <w:rFonts w:cstheme="minorHAnsi"/>
          <w:b/>
          <w:bCs/>
          <w:sz w:val="24"/>
          <w:szCs w:val="24"/>
        </w:rPr>
        <w:t>2017</w:t>
      </w:r>
      <w:r w:rsidRPr="00ED58D6">
        <w:rPr>
          <w:rFonts w:cstheme="minorHAnsi"/>
          <w:sz w:val="24"/>
          <w:szCs w:val="24"/>
        </w:rPr>
        <w:t>). PAD reactors experience both a high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loading and high production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(McNamara et al., </w:t>
      </w:r>
      <w:r w:rsidRPr="00ED58D6">
        <w:rPr>
          <w:rFonts w:cstheme="minorHAnsi"/>
          <w:b/>
          <w:bCs/>
          <w:sz w:val="24"/>
          <w:szCs w:val="24"/>
        </w:rPr>
        <w:t>2022</w:t>
      </w:r>
      <w:r w:rsidRPr="00ED58D6">
        <w:rPr>
          <w:rFonts w:cstheme="minorHAnsi"/>
          <w:sz w:val="24"/>
          <w:szCs w:val="24"/>
        </w:rPr>
        <w:t>). Both parameters (as well as possible swings in DO) can lead to high N</w:t>
      </w:r>
      <w:r w:rsidRPr="00ED58D6">
        <w:rPr>
          <w:rFonts w:cstheme="minorHAnsi"/>
          <w:sz w:val="24"/>
          <w:szCs w:val="24"/>
          <w:vertAlign w:val="subscript"/>
        </w:rPr>
        <w:t>2</w:t>
      </w:r>
      <w:r w:rsidRPr="00ED58D6">
        <w:rPr>
          <w:rFonts w:cstheme="minorHAnsi"/>
          <w:sz w:val="24"/>
          <w:szCs w:val="24"/>
        </w:rPr>
        <w:t>O emissions during nitrification via the nitrifier denitrification pathway (</w:t>
      </w:r>
      <w:proofErr w:type="spellStart"/>
      <w:r w:rsidRPr="00ED58D6">
        <w:rPr>
          <w:rFonts w:cstheme="minorHAnsi"/>
          <w:sz w:val="24"/>
          <w:szCs w:val="24"/>
        </w:rPr>
        <w:t>Sabba</w:t>
      </w:r>
      <w:proofErr w:type="spellEnd"/>
      <w:r w:rsidRPr="00ED58D6">
        <w:rPr>
          <w:rFonts w:cstheme="minorHAnsi"/>
          <w:sz w:val="24"/>
          <w:szCs w:val="24"/>
        </w:rPr>
        <w:t xml:space="preserve"> et al., </w:t>
      </w:r>
      <w:r w:rsidRPr="00ED58D6">
        <w:rPr>
          <w:rFonts w:cstheme="minorHAnsi"/>
          <w:b/>
          <w:bCs/>
          <w:sz w:val="24"/>
          <w:szCs w:val="24"/>
        </w:rPr>
        <w:t>2015</w:t>
      </w:r>
      <w:r w:rsidRPr="00ED58D6">
        <w:rPr>
          <w:rFonts w:cstheme="minorHAnsi"/>
          <w:sz w:val="24"/>
          <w:szCs w:val="24"/>
        </w:rPr>
        <w:t>). A recent study confirmed that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variation can explain poorer correlation between N</w:t>
      </w:r>
      <w:r w:rsidRPr="00ED58D6">
        <w:rPr>
          <w:rFonts w:cstheme="minorHAnsi"/>
          <w:sz w:val="24"/>
          <w:szCs w:val="24"/>
          <w:vertAlign w:val="subscript"/>
        </w:rPr>
        <w:t>2</w:t>
      </w:r>
      <w:r w:rsidRPr="00ED58D6">
        <w:rPr>
          <w:rFonts w:cstheme="minorHAnsi"/>
          <w:sz w:val="24"/>
          <w:szCs w:val="24"/>
        </w:rPr>
        <w:t>O and total nitrogen removal. The authors also concluded that N</w:t>
      </w:r>
      <w:r w:rsidRPr="00ED58D6">
        <w:rPr>
          <w:rFonts w:cstheme="minorHAnsi"/>
          <w:sz w:val="24"/>
          <w:szCs w:val="24"/>
          <w:vertAlign w:val="subscript"/>
        </w:rPr>
        <w:t>2</w:t>
      </w:r>
      <w:r w:rsidRPr="00ED58D6">
        <w:rPr>
          <w:rFonts w:cstheme="minorHAnsi"/>
          <w:sz w:val="24"/>
          <w:szCs w:val="24"/>
        </w:rPr>
        <w:t xml:space="preserve">O emissions are a crucial parameter to track during </w:t>
      </w:r>
      <w:proofErr w:type="spellStart"/>
      <w:r w:rsidRPr="00ED58D6">
        <w:rPr>
          <w:rFonts w:cstheme="minorHAnsi"/>
          <w:sz w:val="24"/>
          <w:szCs w:val="24"/>
        </w:rPr>
        <w:t>nitritation-denitritation</w:t>
      </w:r>
      <w:proofErr w:type="spellEnd"/>
      <w:r w:rsidRPr="00ED58D6">
        <w:rPr>
          <w:rFonts w:cstheme="minorHAnsi"/>
          <w:sz w:val="24"/>
          <w:szCs w:val="24"/>
        </w:rPr>
        <w:t xml:space="preserve"> processes (</w:t>
      </w:r>
      <w:proofErr w:type="spellStart"/>
      <w:r w:rsidRPr="00ED58D6">
        <w:rPr>
          <w:rFonts w:cstheme="minorHAnsi"/>
          <w:sz w:val="24"/>
          <w:szCs w:val="24"/>
        </w:rPr>
        <w:t>Kuokkanen</w:t>
      </w:r>
      <w:proofErr w:type="spellEnd"/>
      <w:r w:rsidRPr="00ED58D6">
        <w:rPr>
          <w:rFonts w:cstheme="minorHAnsi"/>
          <w:sz w:val="24"/>
          <w:szCs w:val="24"/>
        </w:rPr>
        <w:t xml:space="preserve"> et al., </w:t>
      </w:r>
      <w:r w:rsidRPr="00ED58D6">
        <w:rPr>
          <w:rFonts w:cstheme="minorHAnsi"/>
          <w:b/>
          <w:bCs/>
          <w:sz w:val="24"/>
          <w:szCs w:val="24"/>
        </w:rPr>
        <w:t>2021</w:t>
      </w:r>
      <w:r w:rsidRPr="00ED58D6">
        <w:rPr>
          <w:rFonts w:cstheme="minorHAnsi"/>
          <w:sz w:val="24"/>
          <w:szCs w:val="24"/>
        </w:rPr>
        <w:t xml:space="preserve">). Shifts in DO, coarse bubble diffusion, and solids' concentration can provide additional mechanisms for nitrogen loss that include partial heterotrophic denitrification and traditional </w:t>
      </w:r>
      <w:proofErr w:type="spellStart"/>
      <w:r w:rsidRPr="00ED58D6">
        <w:rPr>
          <w:rFonts w:cstheme="minorHAnsi"/>
          <w:sz w:val="24"/>
          <w:szCs w:val="24"/>
        </w:rPr>
        <w:t>denitritation</w:t>
      </w:r>
      <w:proofErr w:type="spellEnd"/>
      <w:r w:rsidRPr="00ED58D6">
        <w:rPr>
          <w:rFonts w:cstheme="minorHAnsi"/>
          <w:sz w:val="24"/>
          <w:szCs w:val="24"/>
        </w:rPr>
        <w:t>/</w:t>
      </w:r>
      <w:proofErr w:type="spellStart"/>
      <w:r w:rsidRPr="00ED58D6">
        <w:rPr>
          <w:rFonts w:cstheme="minorHAnsi"/>
          <w:sz w:val="24"/>
          <w:szCs w:val="24"/>
        </w:rPr>
        <w:t>denitritation</w:t>
      </w:r>
      <w:proofErr w:type="spellEnd"/>
      <w:r w:rsidRPr="00ED58D6">
        <w:rPr>
          <w:rFonts w:cstheme="minorHAnsi"/>
          <w:sz w:val="24"/>
          <w:szCs w:val="24"/>
        </w:rPr>
        <w:t>. Partial heterotrophic denitrification can be the result of selective inhibition of the nitrous oxide reductase enzyme, due to DO, that prevents N</w:t>
      </w:r>
      <w:r w:rsidRPr="00ED58D6">
        <w:rPr>
          <w:rFonts w:cstheme="minorHAnsi"/>
          <w:sz w:val="24"/>
          <w:szCs w:val="24"/>
          <w:vertAlign w:val="subscript"/>
        </w:rPr>
        <w:t>2</w:t>
      </w:r>
      <w:r w:rsidRPr="00ED58D6">
        <w:rPr>
          <w:rFonts w:cstheme="minorHAnsi"/>
          <w:sz w:val="24"/>
          <w:szCs w:val="24"/>
        </w:rPr>
        <w:t>O from being further reduced to nitrogen gas (Guo et al., </w:t>
      </w:r>
      <w:r w:rsidRPr="00ED58D6">
        <w:rPr>
          <w:rFonts w:cstheme="minorHAnsi"/>
          <w:b/>
          <w:bCs/>
          <w:sz w:val="24"/>
          <w:szCs w:val="24"/>
        </w:rPr>
        <w:t>2018</w:t>
      </w:r>
      <w:r w:rsidRPr="00ED58D6">
        <w:rPr>
          <w:rFonts w:cstheme="minorHAnsi"/>
          <w:sz w:val="24"/>
          <w:szCs w:val="24"/>
        </w:rPr>
        <w:t xml:space="preserve">; </w:t>
      </w:r>
      <w:proofErr w:type="spellStart"/>
      <w:r w:rsidRPr="00ED58D6">
        <w:rPr>
          <w:rFonts w:cstheme="minorHAnsi"/>
          <w:sz w:val="24"/>
          <w:szCs w:val="24"/>
        </w:rPr>
        <w:t>Sabba</w:t>
      </w:r>
      <w:proofErr w:type="spellEnd"/>
      <w:r w:rsidRPr="00ED58D6">
        <w:rPr>
          <w:rFonts w:cstheme="minorHAnsi"/>
          <w:sz w:val="24"/>
          <w:szCs w:val="24"/>
        </w:rPr>
        <w:t xml:space="preserve"> et al., </w:t>
      </w:r>
      <w:r w:rsidRPr="00ED58D6">
        <w:rPr>
          <w:rFonts w:cstheme="minorHAnsi"/>
          <w:b/>
          <w:bCs/>
          <w:sz w:val="24"/>
          <w:szCs w:val="24"/>
        </w:rPr>
        <w:t>2017</w:t>
      </w:r>
      <w:r w:rsidRPr="00ED58D6">
        <w:rPr>
          <w:rFonts w:cstheme="minorHAnsi"/>
          <w:sz w:val="24"/>
          <w:szCs w:val="24"/>
        </w:rPr>
        <w:t xml:space="preserve">). Traditional </w:t>
      </w:r>
      <w:proofErr w:type="spellStart"/>
      <w:r w:rsidRPr="00ED58D6">
        <w:rPr>
          <w:rFonts w:cstheme="minorHAnsi"/>
          <w:sz w:val="24"/>
          <w:szCs w:val="24"/>
        </w:rPr>
        <w:t>denitritation</w:t>
      </w:r>
      <w:proofErr w:type="spellEnd"/>
      <w:r w:rsidRPr="00ED58D6">
        <w:rPr>
          <w:rFonts w:cstheme="minorHAnsi"/>
          <w:sz w:val="24"/>
          <w:szCs w:val="24"/>
        </w:rPr>
        <w:t>/</w:t>
      </w:r>
      <w:proofErr w:type="spellStart"/>
      <w:r w:rsidRPr="00ED58D6">
        <w:rPr>
          <w:rFonts w:cstheme="minorHAnsi"/>
          <w:sz w:val="24"/>
          <w:szCs w:val="24"/>
        </w:rPr>
        <w:t>denitritation</w:t>
      </w:r>
      <w:proofErr w:type="spellEnd"/>
      <w:r w:rsidRPr="00ED58D6">
        <w:rPr>
          <w:rFonts w:cstheme="minorHAnsi"/>
          <w:sz w:val="24"/>
          <w:szCs w:val="24"/>
        </w:rPr>
        <w:t xml:space="preserve"> with removal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and/or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and heterotrophic production of nitrogen gas can also affect TIN mass balance (</w:t>
      </w:r>
      <w:proofErr w:type="spellStart"/>
      <w:r w:rsidRPr="00ED58D6">
        <w:rPr>
          <w:rFonts w:cstheme="minorHAnsi"/>
          <w:sz w:val="24"/>
          <w:szCs w:val="24"/>
        </w:rPr>
        <w:t>Daigger</w:t>
      </w:r>
      <w:proofErr w:type="spellEnd"/>
      <w:r w:rsidRPr="00ED58D6">
        <w:rPr>
          <w:rFonts w:cstheme="minorHAnsi"/>
          <w:sz w:val="24"/>
          <w:szCs w:val="24"/>
        </w:rPr>
        <w:t>, </w:t>
      </w:r>
      <w:r w:rsidRPr="00ED58D6">
        <w:rPr>
          <w:rFonts w:cstheme="minorHAnsi"/>
          <w:b/>
          <w:bCs/>
          <w:sz w:val="24"/>
          <w:szCs w:val="24"/>
        </w:rPr>
        <w:t>2014</w:t>
      </w:r>
      <w:r w:rsidRPr="00ED58D6">
        <w:rPr>
          <w:rFonts w:cstheme="minorHAnsi"/>
          <w:sz w:val="24"/>
          <w:szCs w:val="24"/>
        </w:rPr>
        <w:t>). As mentioned earlier in Section </w:t>
      </w:r>
      <w:r w:rsidRPr="00ED58D6">
        <w:rPr>
          <w:rFonts w:cstheme="minorHAnsi"/>
          <w:b/>
          <w:bCs/>
          <w:sz w:val="24"/>
          <w:szCs w:val="24"/>
        </w:rPr>
        <w:t>3.1.1</w:t>
      </w:r>
      <w:r w:rsidRPr="00ED58D6">
        <w:rPr>
          <w:rFonts w:cstheme="minorHAnsi"/>
          <w:sz w:val="24"/>
          <w:szCs w:val="24"/>
        </w:rPr>
        <w:t>, this is possible when high solids concentration and coarse bubble diffusion create a favorable environment for the formation of anoxic pockets where production of nitrogen gas occurs (McNamara et al., </w:t>
      </w:r>
      <w:r w:rsidRPr="00ED58D6">
        <w:rPr>
          <w:rFonts w:cstheme="minorHAnsi"/>
          <w:b/>
          <w:bCs/>
          <w:sz w:val="24"/>
          <w:szCs w:val="24"/>
        </w:rPr>
        <w:t>2022</w:t>
      </w:r>
      <w:r w:rsidRPr="00ED58D6">
        <w:rPr>
          <w:rFonts w:cstheme="minorHAnsi"/>
          <w:sz w:val="24"/>
          <w:szCs w:val="24"/>
        </w:rPr>
        <w:t>). Finally, the TIN mass balance (Figure </w:t>
      </w:r>
      <w:r w:rsidRPr="00ED58D6">
        <w:rPr>
          <w:rFonts w:cstheme="minorHAnsi"/>
          <w:b/>
          <w:bCs/>
          <w:sz w:val="24"/>
          <w:szCs w:val="24"/>
        </w:rPr>
        <w:t>S3</w:t>
      </w:r>
      <w:r w:rsidRPr="00ED58D6">
        <w:rPr>
          <w:rFonts w:cstheme="minorHAnsi"/>
          <w:sz w:val="24"/>
          <w:szCs w:val="24"/>
        </w:rPr>
        <w:t>) could also be impacted by biological uptake of nitrogen through bacterial growth and likely accounts for a small portion (&lt;5%) (</w:t>
      </w:r>
      <w:proofErr w:type="spellStart"/>
      <w:r w:rsidRPr="00ED58D6">
        <w:rPr>
          <w:rFonts w:cstheme="minorHAnsi"/>
          <w:sz w:val="24"/>
          <w:szCs w:val="24"/>
        </w:rPr>
        <w:t>Courtens</w:t>
      </w:r>
      <w:proofErr w:type="spellEnd"/>
      <w:r w:rsidRPr="00ED58D6">
        <w:rPr>
          <w:rFonts w:cstheme="minorHAnsi"/>
          <w:sz w:val="24"/>
          <w:szCs w:val="24"/>
        </w:rPr>
        <w:t xml:space="preserve"> et al., </w:t>
      </w:r>
      <w:r w:rsidRPr="00ED58D6">
        <w:rPr>
          <w:rFonts w:cstheme="minorHAnsi"/>
          <w:b/>
          <w:bCs/>
          <w:sz w:val="24"/>
          <w:szCs w:val="24"/>
        </w:rPr>
        <w:t>2014</w:t>
      </w:r>
      <w:r w:rsidRPr="00ED58D6">
        <w:rPr>
          <w:rFonts w:cstheme="minorHAnsi"/>
          <w:sz w:val="24"/>
          <w:szCs w:val="24"/>
        </w:rPr>
        <w:t>). In our study, we focused on the fate of nitrogen at constant saturated DO, while future work should look at TN and other nitrogen species, such as N</w:t>
      </w:r>
      <w:r w:rsidRPr="00ED58D6">
        <w:rPr>
          <w:rFonts w:cstheme="minorHAnsi"/>
          <w:sz w:val="24"/>
          <w:szCs w:val="24"/>
          <w:vertAlign w:val="subscript"/>
        </w:rPr>
        <w:t>2</w:t>
      </w:r>
      <w:r w:rsidRPr="00ED58D6">
        <w:rPr>
          <w:rFonts w:cstheme="minorHAnsi"/>
          <w:sz w:val="24"/>
          <w:szCs w:val="24"/>
        </w:rPr>
        <w:t>O.</w:t>
      </w:r>
    </w:p>
    <w:p w14:paraId="7D3A1B87" w14:textId="6F7E58A3" w:rsidR="00ED58D6" w:rsidRPr="00ED58D6" w:rsidRDefault="00ED58D6" w:rsidP="00ED58D6">
      <w:pPr>
        <w:rPr>
          <w:rFonts w:cstheme="minorHAnsi"/>
          <w:sz w:val="24"/>
          <w:szCs w:val="24"/>
        </w:rPr>
      </w:pPr>
      <w:r w:rsidRPr="00ED58D6">
        <w:rPr>
          <w:rFonts w:cstheme="minorHAnsi"/>
          <w:sz w:val="24"/>
          <w:szCs w:val="24"/>
        </w:rPr>
        <w:t>As seen in Section </w:t>
      </w:r>
      <w:r w:rsidRPr="00ED58D6">
        <w:rPr>
          <w:rFonts w:cstheme="minorHAnsi"/>
          <w:b/>
          <w:bCs/>
          <w:sz w:val="24"/>
          <w:szCs w:val="24"/>
        </w:rPr>
        <w:t>3.1</w:t>
      </w:r>
      <w:r w:rsidRPr="00ED58D6">
        <w:rPr>
          <w:rFonts w:cstheme="minorHAnsi"/>
          <w:sz w:val="24"/>
          <w:szCs w:val="24"/>
        </w:rPr>
        <w:t> and in McNamara et al. (</w:t>
      </w:r>
      <w:r w:rsidRPr="00ED58D6">
        <w:rPr>
          <w:rFonts w:cstheme="minorHAnsi"/>
          <w:b/>
          <w:bCs/>
          <w:sz w:val="24"/>
          <w:szCs w:val="24"/>
        </w:rPr>
        <w:t>2022</w:t>
      </w:r>
      <w:r w:rsidRPr="00ED58D6">
        <w:rPr>
          <w:rFonts w:cstheme="minorHAnsi"/>
          <w:sz w:val="24"/>
          <w:szCs w:val="24"/>
        </w:rPr>
        <w:t>), the operation of full-scale PAD reactors involves high loadings of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along with high production of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For this reason, some additional important considerations involve the potential formation/presence of FA that, besides being a substrate for AOB, can also have potential inhibitory effects at high concentrations. The FA concentration can vary with pH, temperature, and ammonium concentration (</w:t>
      </w:r>
      <w:proofErr w:type="spellStart"/>
      <w:r w:rsidRPr="00ED58D6">
        <w:rPr>
          <w:rFonts w:cstheme="minorHAnsi"/>
          <w:sz w:val="24"/>
          <w:szCs w:val="24"/>
        </w:rPr>
        <w:t>Anthonisen</w:t>
      </w:r>
      <w:proofErr w:type="spellEnd"/>
      <w:r w:rsidRPr="00ED58D6">
        <w:rPr>
          <w:rFonts w:cstheme="minorHAnsi"/>
          <w:sz w:val="24"/>
          <w:szCs w:val="24"/>
        </w:rPr>
        <w:t xml:space="preserve"> et al., </w:t>
      </w:r>
      <w:r w:rsidRPr="00ED58D6">
        <w:rPr>
          <w:rFonts w:cstheme="minorHAnsi"/>
          <w:b/>
          <w:bCs/>
          <w:sz w:val="24"/>
          <w:szCs w:val="24"/>
        </w:rPr>
        <w:t>1976</w:t>
      </w:r>
      <w:r w:rsidRPr="00ED58D6">
        <w:rPr>
          <w:rFonts w:cstheme="minorHAnsi"/>
          <w:sz w:val="24"/>
          <w:szCs w:val="24"/>
        </w:rPr>
        <w:t>). Based on literature, the ranges of inhibition can vary between 10–150 and 18–51 mg L</w:t>
      </w:r>
      <w:r w:rsidRPr="00ED58D6">
        <w:rPr>
          <w:rFonts w:cstheme="minorHAnsi"/>
          <w:sz w:val="24"/>
          <w:szCs w:val="24"/>
          <w:vertAlign w:val="superscript"/>
        </w:rPr>
        <w:t>−1</w:t>
      </w:r>
      <w:r w:rsidRPr="00ED58D6">
        <w:rPr>
          <w:rFonts w:cstheme="minorHAnsi"/>
          <w:sz w:val="24"/>
          <w:szCs w:val="24"/>
        </w:rPr>
        <w:t>, for AOB and NOB, respectively (</w:t>
      </w:r>
      <w:proofErr w:type="spellStart"/>
      <w:r w:rsidRPr="00ED58D6">
        <w:rPr>
          <w:rFonts w:cstheme="minorHAnsi"/>
          <w:sz w:val="24"/>
          <w:szCs w:val="24"/>
        </w:rPr>
        <w:t>Anthonisen</w:t>
      </w:r>
      <w:proofErr w:type="spellEnd"/>
      <w:r w:rsidRPr="00ED58D6">
        <w:rPr>
          <w:rFonts w:cstheme="minorHAnsi"/>
          <w:sz w:val="24"/>
          <w:szCs w:val="24"/>
        </w:rPr>
        <w:t xml:space="preserve"> et al., </w:t>
      </w:r>
      <w:r w:rsidRPr="00ED58D6">
        <w:rPr>
          <w:rFonts w:cstheme="minorHAnsi"/>
          <w:b/>
          <w:bCs/>
          <w:sz w:val="24"/>
          <w:szCs w:val="24"/>
        </w:rPr>
        <w:t>1976</w:t>
      </w:r>
      <w:r w:rsidRPr="00ED58D6">
        <w:rPr>
          <w:rFonts w:cstheme="minorHAnsi"/>
          <w:sz w:val="24"/>
          <w:szCs w:val="24"/>
        </w:rPr>
        <w:t xml:space="preserve">; </w:t>
      </w:r>
      <w:proofErr w:type="spellStart"/>
      <w:r w:rsidRPr="00ED58D6">
        <w:rPr>
          <w:rFonts w:cstheme="minorHAnsi"/>
          <w:sz w:val="24"/>
          <w:szCs w:val="24"/>
        </w:rPr>
        <w:t>Vadivelu</w:t>
      </w:r>
      <w:proofErr w:type="spellEnd"/>
      <w:r w:rsidRPr="00ED58D6">
        <w:rPr>
          <w:rFonts w:cstheme="minorHAnsi"/>
          <w:sz w:val="24"/>
          <w:szCs w:val="24"/>
        </w:rPr>
        <w:t xml:space="preserve"> et al., </w:t>
      </w:r>
      <w:r w:rsidRPr="00ED58D6">
        <w:rPr>
          <w:rFonts w:cstheme="minorHAnsi"/>
          <w:b/>
          <w:bCs/>
          <w:sz w:val="24"/>
          <w:szCs w:val="24"/>
        </w:rPr>
        <w:t>2007</w:t>
      </w:r>
      <w:r w:rsidRPr="00ED58D6">
        <w:rPr>
          <w:rFonts w:cstheme="minorHAnsi"/>
          <w:sz w:val="24"/>
          <w:szCs w:val="24"/>
        </w:rPr>
        <w:t>; Zhang et al., </w:t>
      </w:r>
      <w:r w:rsidRPr="00ED58D6">
        <w:rPr>
          <w:rFonts w:cstheme="minorHAnsi"/>
          <w:b/>
          <w:bCs/>
          <w:sz w:val="24"/>
          <w:szCs w:val="24"/>
        </w:rPr>
        <w:t>2018</w:t>
      </w:r>
      <w:r w:rsidRPr="00ED58D6">
        <w:rPr>
          <w:rFonts w:cstheme="minorHAnsi"/>
          <w:sz w:val="24"/>
          <w:szCs w:val="24"/>
        </w:rPr>
        <w:t>). It is of note that NOB are inhibited by lower concentrations of FA than AOB (Zhang et al., </w:t>
      </w:r>
      <w:r w:rsidRPr="00ED58D6">
        <w:rPr>
          <w:rFonts w:cstheme="minorHAnsi"/>
          <w:b/>
          <w:bCs/>
          <w:sz w:val="24"/>
          <w:szCs w:val="24"/>
        </w:rPr>
        <w:t>2018</w:t>
      </w:r>
      <w:r w:rsidRPr="00ED58D6">
        <w:rPr>
          <w:rFonts w:cstheme="minorHAnsi"/>
          <w:sz w:val="24"/>
          <w:szCs w:val="24"/>
        </w:rPr>
        <w:t xml:space="preserve">). In our study to match the full-scale nitrogen loadings, experiments were </w:t>
      </w:r>
      <w:proofErr w:type="gramStart"/>
      <w:r w:rsidRPr="00ED58D6">
        <w:rPr>
          <w:rFonts w:cstheme="minorHAnsi"/>
          <w:sz w:val="24"/>
          <w:szCs w:val="24"/>
        </w:rPr>
        <w:t>ran</w:t>
      </w:r>
      <w:proofErr w:type="gramEnd"/>
      <w:r w:rsidRPr="00ED58D6">
        <w:rPr>
          <w:rFonts w:cstheme="minorHAnsi"/>
          <w:sz w:val="24"/>
          <w:szCs w:val="24"/>
        </w:rPr>
        <w:t xml:space="preserve"> in batch mode with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xml:space="preserve"> in the range of concentration of 800–1,100 </w:t>
      </w:r>
      <w:proofErr w:type="spellStart"/>
      <w:r w:rsidRPr="00ED58D6">
        <w:rPr>
          <w:rFonts w:cstheme="minorHAnsi"/>
          <w:sz w:val="24"/>
          <w:szCs w:val="24"/>
        </w:rPr>
        <w:t>mgN</w:t>
      </w:r>
      <w:proofErr w:type="spellEnd"/>
      <w:r w:rsidRPr="00ED58D6">
        <w:rPr>
          <w:rFonts w:cstheme="minorHAnsi"/>
          <w:sz w:val="24"/>
          <w:szCs w:val="24"/>
        </w:rPr>
        <w:t xml:space="preserve"> L</w:t>
      </w:r>
      <w:r w:rsidRPr="00ED58D6">
        <w:rPr>
          <w:rFonts w:cstheme="minorHAnsi"/>
          <w:sz w:val="24"/>
          <w:szCs w:val="24"/>
          <w:vertAlign w:val="superscript"/>
        </w:rPr>
        <w:t>−1</w:t>
      </w:r>
      <w:r w:rsidRPr="00ED58D6">
        <w:rPr>
          <w:rFonts w:cstheme="minorHAnsi"/>
          <w:sz w:val="24"/>
          <w:szCs w:val="24"/>
        </w:rPr>
        <w:t> for both biomasses at a pH of 7.5 and temperatures of 24.5°C, 30°C, 40°C, and 50°C (Figure </w:t>
      </w:r>
      <w:r w:rsidRPr="00ED58D6">
        <w:rPr>
          <w:rFonts w:cstheme="minorHAnsi"/>
          <w:b/>
          <w:bCs/>
          <w:sz w:val="24"/>
          <w:szCs w:val="24"/>
        </w:rPr>
        <w:t>S1a</w:t>
      </w:r>
      <w:r w:rsidRPr="00ED58D6">
        <w:rPr>
          <w:rFonts w:cstheme="minorHAnsi"/>
          <w:sz w:val="24"/>
          <w:szCs w:val="24"/>
        </w:rPr>
        <w:t xml:space="preserve"> and S2a) with a potential FA concentration range of 15–45 </w:t>
      </w:r>
      <w:proofErr w:type="spellStart"/>
      <w:r w:rsidRPr="00ED58D6">
        <w:rPr>
          <w:rFonts w:cstheme="minorHAnsi"/>
          <w:sz w:val="24"/>
          <w:szCs w:val="24"/>
        </w:rPr>
        <w:t>mgFA</w:t>
      </w:r>
      <w:proofErr w:type="spellEnd"/>
      <w:r w:rsidRPr="00ED58D6">
        <w:rPr>
          <w:rFonts w:cstheme="minorHAnsi"/>
          <w:sz w:val="24"/>
          <w:szCs w:val="24"/>
        </w:rPr>
        <w:t xml:space="preserve"> L</w:t>
      </w:r>
      <w:r w:rsidRPr="00ED58D6">
        <w:rPr>
          <w:rFonts w:cstheme="minorHAnsi"/>
          <w:sz w:val="24"/>
          <w:szCs w:val="24"/>
          <w:vertAlign w:val="superscript"/>
        </w:rPr>
        <w:t>−1</w:t>
      </w:r>
      <w:r w:rsidRPr="00ED58D6">
        <w:rPr>
          <w:rFonts w:cstheme="minorHAnsi"/>
          <w:sz w:val="24"/>
          <w:szCs w:val="24"/>
        </w:rPr>
        <w:t>. Some of the high FA values could explain the lower rate of nitrate production (Figure </w:t>
      </w:r>
      <w:r w:rsidRPr="00ED58D6">
        <w:rPr>
          <w:rFonts w:cstheme="minorHAnsi"/>
          <w:b/>
          <w:bCs/>
          <w:sz w:val="24"/>
          <w:szCs w:val="24"/>
        </w:rPr>
        <w:t>2c</w:t>
      </w:r>
      <w:r w:rsidRPr="00ED58D6">
        <w:rPr>
          <w:rFonts w:cstheme="minorHAnsi"/>
          <w:sz w:val="24"/>
          <w:szCs w:val="24"/>
        </w:rPr>
        <w:t>) and low abundance of NOB (Figure </w:t>
      </w:r>
      <w:r w:rsidRPr="00ED58D6">
        <w:rPr>
          <w:rFonts w:cstheme="minorHAnsi"/>
          <w:b/>
          <w:bCs/>
          <w:sz w:val="24"/>
          <w:szCs w:val="24"/>
        </w:rPr>
        <w:t>5c</w:t>
      </w:r>
      <w:r w:rsidRPr="00ED58D6">
        <w:rPr>
          <w:rFonts w:cstheme="minorHAnsi"/>
          <w:sz w:val="24"/>
          <w:szCs w:val="24"/>
        </w:rPr>
        <w:t> and </w:t>
      </w:r>
      <w:r w:rsidRPr="00ED58D6">
        <w:rPr>
          <w:rFonts w:cstheme="minorHAnsi"/>
          <w:b/>
          <w:bCs/>
          <w:sz w:val="24"/>
          <w:szCs w:val="24"/>
        </w:rPr>
        <w:t>5d</w:t>
      </w:r>
      <w:r w:rsidRPr="00ED58D6">
        <w:rPr>
          <w:rFonts w:cstheme="minorHAnsi"/>
          <w:sz w:val="24"/>
          <w:szCs w:val="24"/>
        </w:rPr>
        <w:t>). However, our study used enriched biomass from full-scale PAD reactors, with an existing and established community of AOB. We used elevated DO to drive for higher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production that did not occur and confirmed the relevance of the AOB population in these reactors. This is in line with full-scale PAD reactors where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accumulation was observed (McNamara et al., </w:t>
      </w:r>
      <w:r w:rsidRPr="00ED58D6">
        <w:rPr>
          <w:rFonts w:cstheme="minorHAnsi"/>
          <w:b/>
          <w:bCs/>
          <w:sz w:val="24"/>
          <w:szCs w:val="24"/>
        </w:rPr>
        <w:t>2022</w:t>
      </w:r>
      <w:r w:rsidRPr="00ED58D6">
        <w:rPr>
          <w:rFonts w:cstheme="minorHAnsi"/>
          <w:sz w:val="24"/>
          <w:szCs w:val="24"/>
        </w:rPr>
        <w:t>). Furthermore, differently from our batch experiments, the operation of the full-scale PAD reactors does not experience the same final concentration of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since they are operated as continuous stirred-tank reactors (CSTRs). Similarly, some of the NO</w:t>
      </w:r>
      <w:r w:rsidRPr="00ED58D6">
        <w:rPr>
          <w:rFonts w:cstheme="minorHAnsi"/>
          <w:sz w:val="24"/>
          <w:szCs w:val="24"/>
          <w:vertAlign w:val="subscript"/>
        </w:rPr>
        <w:t>3</w:t>
      </w:r>
      <w:r w:rsidRPr="00ED58D6">
        <w:rPr>
          <w:rFonts w:cstheme="minorHAnsi"/>
          <w:sz w:val="24"/>
          <w:szCs w:val="24"/>
          <w:vertAlign w:val="superscript"/>
        </w:rPr>
        <w:t>−</w:t>
      </w:r>
      <w:r w:rsidRPr="00ED58D6">
        <w:rPr>
          <w:rFonts w:cstheme="minorHAnsi"/>
          <w:sz w:val="24"/>
          <w:szCs w:val="24"/>
        </w:rPr>
        <w:t> observed in our batch study and in the full-scale PAD reactors could be attributed to a partial inhibition of the NOB. Gu et al. (</w:t>
      </w:r>
      <w:r w:rsidRPr="00ED58D6">
        <w:rPr>
          <w:rFonts w:cstheme="minorHAnsi"/>
          <w:b/>
          <w:bCs/>
          <w:sz w:val="24"/>
          <w:szCs w:val="24"/>
        </w:rPr>
        <w:t>2007</w:t>
      </w:r>
      <w:r w:rsidRPr="00ED58D6">
        <w:rPr>
          <w:rFonts w:cstheme="minorHAnsi"/>
          <w:sz w:val="24"/>
          <w:szCs w:val="24"/>
        </w:rPr>
        <w:t>) investigated the nitrifying community structure in a single-stage submerged attached-growth bioreactor for treatment of high-strength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wastewater and found that high FA concentration could inhibit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xml:space="preserve"> oxidation but would unlikely washout the NOB from the system. Similarly, </w:t>
      </w:r>
      <w:proofErr w:type="spellStart"/>
      <w:r w:rsidRPr="00ED58D6">
        <w:rPr>
          <w:rFonts w:cstheme="minorHAnsi"/>
          <w:sz w:val="24"/>
          <w:szCs w:val="24"/>
        </w:rPr>
        <w:t>Courtens</w:t>
      </w:r>
      <w:proofErr w:type="spellEnd"/>
      <w:r w:rsidRPr="00ED58D6">
        <w:rPr>
          <w:rFonts w:cstheme="minorHAnsi"/>
          <w:sz w:val="24"/>
          <w:szCs w:val="24"/>
        </w:rPr>
        <w:t xml:space="preserve"> et al. (</w:t>
      </w:r>
      <w:r w:rsidRPr="00ED58D6">
        <w:rPr>
          <w:rFonts w:cstheme="minorHAnsi"/>
          <w:b/>
          <w:bCs/>
          <w:sz w:val="24"/>
          <w:szCs w:val="24"/>
        </w:rPr>
        <w:t>2016</w:t>
      </w:r>
      <w:r w:rsidRPr="00ED58D6">
        <w:rPr>
          <w:rFonts w:cstheme="minorHAnsi"/>
          <w:sz w:val="24"/>
          <w:szCs w:val="24"/>
        </w:rPr>
        <w:t>) enriched autotrophic thermophilic nitrifiers and transferred them to a bioreactor operating at 50°C. Interestingly, the community was composed of 17% AOA and 25% NOB, and FA had 33% more detrimental effects on NOB's specific activities. The range of inhibition levels can depend on acclimatization of the biomass at high concentrations, temperature, and solids (nitrifiers) concentration (Gu et al., </w:t>
      </w:r>
      <w:r w:rsidRPr="00ED58D6">
        <w:rPr>
          <w:rFonts w:cstheme="minorHAnsi"/>
          <w:b/>
          <w:bCs/>
          <w:sz w:val="24"/>
          <w:szCs w:val="24"/>
        </w:rPr>
        <w:t>2007</w:t>
      </w:r>
      <w:r w:rsidRPr="00ED58D6">
        <w:rPr>
          <w:rFonts w:cstheme="minorHAnsi"/>
          <w:sz w:val="24"/>
          <w:szCs w:val="24"/>
        </w:rPr>
        <w:t>).</w:t>
      </w:r>
    </w:p>
    <w:p w14:paraId="393EF591" w14:textId="77777777" w:rsidR="00ED58D6" w:rsidRPr="00ED58D6" w:rsidRDefault="00ED58D6" w:rsidP="00C8088E">
      <w:pPr>
        <w:pStyle w:val="Heading1"/>
      </w:pPr>
      <w:r w:rsidRPr="00ED58D6">
        <w:t>CONCLUSIONS</w:t>
      </w:r>
    </w:p>
    <w:p w14:paraId="3F5F8854" w14:textId="77777777" w:rsidR="00ED58D6" w:rsidRPr="00ED58D6" w:rsidRDefault="00ED58D6" w:rsidP="00ED58D6">
      <w:pPr>
        <w:rPr>
          <w:rFonts w:cstheme="minorHAnsi"/>
          <w:sz w:val="24"/>
          <w:szCs w:val="24"/>
        </w:rPr>
      </w:pPr>
      <w:r w:rsidRPr="00ED58D6">
        <w:rPr>
          <w:rFonts w:cstheme="minorHAnsi"/>
          <w:sz w:val="24"/>
          <w:szCs w:val="24"/>
        </w:rPr>
        <w:t xml:space="preserve">Research previously reported operation and performance of reactors, but no information was provided on key mechanisms for nitrogen removal. Here, we carried out tests at different temperatures with two different biomasses from full-scale PAD reactors and found that </w:t>
      </w:r>
      <w:proofErr w:type="spellStart"/>
      <w:r w:rsidRPr="00ED58D6">
        <w:rPr>
          <w:rFonts w:cstheme="minorHAnsi"/>
          <w:sz w:val="24"/>
          <w:szCs w:val="24"/>
        </w:rPr>
        <w:t>nitritation</w:t>
      </w:r>
      <w:proofErr w:type="spellEnd"/>
      <w:r w:rsidRPr="00ED58D6">
        <w:rPr>
          <w:rFonts w:cstheme="minorHAnsi"/>
          <w:sz w:val="24"/>
          <w:szCs w:val="24"/>
        </w:rPr>
        <w:t xml:space="preserve"> is the dominant route to remove nitrogen. Our results show that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accumulated at concentrations as high as 150 mg N L</w:t>
      </w:r>
      <w:r w:rsidRPr="00ED58D6">
        <w:rPr>
          <w:rFonts w:cstheme="minorHAnsi"/>
          <w:sz w:val="24"/>
          <w:szCs w:val="24"/>
          <w:vertAlign w:val="superscript"/>
        </w:rPr>
        <w:t>−1</w:t>
      </w:r>
      <w:r w:rsidRPr="00ED58D6">
        <w:rPr>
          <w:rFonts w:cstheme="minorHAnsi"/>
          <w:sz w:val="24"/>
          <w:szCs w:val="24"/>
        </w:rPr>
        <w:t>. Neither PAD batch test indicated NH</w:t>
      </w:r>
      <w:r w:rsidRPr="00ED58D6">
        <w:rPr>
          <w:rFonts w:cstheme="minorHAnsi"/>
          <w:sz w:val="24"/>
          <w:szCs w:val="24"/>
          <w:vertAlign w:val="subscript"/>
        </w:rPr>
        <w:t>4</w:t>
      </w:r>
      <w:r w:rsidRPr="00ED58D6">
        <w:rPr>
          <w:rFonts w:cstheme="minorHAnsi"/>
          <w:sz w:val="24"/>
          <w:szCs w:val="24"/>
          <w:vertAlign w:val="superscript"/>
        </w:rPr>
        <w:t>+</w:t>
      </w:r>
      <w:r w:rsidRPr="00ED58D6">
        <w:rPr>
          <w:rFonts w:cstheme="minorHAnsi"/>
          <w:sz w:val="24"/>
          <w:szCs w:val="24"/>
        </w:rPr>
        <w:t> oxidation to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xml:space="preserve"> at 50°C, although removal was observed. This suggests alternative mechanisms for nitrogen loss, including ammonia stripping. Moreover, alkalinity was found important for sustaining optimal nitrogen removal and can be added to overcome onsite alkalinity limitations. Finally, both PAD samples' bacterial community showed a higher relative abundance of AOB and a rather low or </w:t>
      </w:r>
      <w:proofErr w:type="gramStart"/>
      <w:r w:rsidRPr="00ED58D6">
        <w:rPr>
          <w:rFonts w:cstheme="minorHAnsi"/>
          <w:sz w:val="24"/>
          <w:szCs w:val="24"/>
        </w:rPr>
        <w:t>not</w:t>
      </w:r>
      <w:proofErr w:type="gramEnd"/>
      <w:r w:rsidRPr="00ED58D6">
        <w:rPr>
          <w:rFonts w:cstheme="minorHAnsi"/>
          <w:sz w:val="24"/>
          <w:szCs w:val="24"/>
        </w:rPr>
        <w:t xml:space="preserve"> existing presence of NOB confirming NO</w:t>
      </w:r>
      <w:r w:rsidRPr="00ED58D6">
        <w:rPr>
          <w:rFonts w:cstheme="minorHAnsi"/>
          <w:sz w:val="24"/>
          <w:szCs w:val="24"/>
          <w:vertAlign w:val="subscript"/>
        </w:rPr>
        <w:t>2</w:t>
      </w:r>
      <w:r w:rsidRPr="00ED58D6">
        <w:rPr>
          <w:rFonts w:cstheme="minorHAnsi"/>
          <w:sz w:val="24"/>
          <w:szCs w:val="24"/>
          <w:vertAlign w:val="superscript"/>
        </w:rPr>
        <w:t>−</w:t>
      </w:r>
      <w:r w:rsidRPr="00ED58D6">
        <w:rPr>
          <w:rFonts w:cstheme="minorHAnsi"/>
          <w:sz w:val="24"/>
          <w:szCs w:val="24"/>
        </w:rPr>
        <w:t> shunt as the predominant mechanism of nitrogen removal in these systems.</w:t>
      </w:r>
    </w:p>
    <w:p w14:paraId="4EFDD163" w14:textId="77777777" w:rsidR="00ED58D6" w:rsidRPr="00ED58D6" w:rsidRDefault="00ED58D6" w:rsidP="00C8088E">
      <w:pPr>
        <w:pStyle w:val="Heading1"/>
      </w:pPr>
      <w:r w:rsidRPr="00ED58D6">
        <w:t>ACKNOWLEDGMENTS</w:t>
      </w:r>
    </w:p>
    <w:p w14:paraId="7A5698C1" w14:textId="77777777" w:rsidR="00ED58D6" w:rsidRPr="00ED58D6" w:rsidRDefault="00ED58D6" w:rsidP="00ED58D6">
      <w:pPr>
        <w:rPr>
          <w:rFonts w:cstheme="minorHAnsi"/>
          <w:sz w:val="24"/>
          <w:szCs w:val="24"/>
        </w:rPr>
      </w:pPr>
      <w:r w:rsidRPr="00ED58D6">
        <w:rPr>
          <w:rFonts w:cstheme="minorHAnsi"/>
          <w:sz w:val="24"/>
          <w:szCs w:val="24"/>
        </w:rPr>
        <w:t>The authors would like to thank Christopher Marks at the Boulder Wastewater Treatment Facility (Boulder) and Dr. Thomas Worley-Morse at Metro Water Recovery (Denver) for providing the samples and for the in-depth discussions of operational facilities. Additionally, we would like to thank Ameer Hyder and operations with the Trinity River Authority for onsite testing facilities and assistance.</w:t>
      </w:r>
    </w:p>
    <w:p w14:paraId="159E6A57" w14:textId="77777777" w:rsidR="009E7C84" w:rsidRPr="009E7C84" w:rsidRDefault="009E7C84" w:rsidP="00C8088E">
      <w:pPr>
        <w:pStyle w:val="Heading1"/>
      </w:pPr>
      <w:r w:rsidRPr="009E7C84">
        <w:t>DATA AVAILABILITY STATEMENT</w:t>
      </w:r>
    </w:p>
    <w:p w14:paraId="79623D94" w14:textId="77777777" w:rsidR="009E7C84" w:rsidRPr="009E7C84" w:rsidRDefault="009E7C84" w:rsidP="009E7C84">
      <w:pPr>
        <w:rPr>
          <w:rFonts w:cstheme="minorHAnsi"/>
          <w:sz w:val="24"/>
          <w:szCs w:val="24"/>
        </w:rPr>
      </w:pPr>
      <w:r w:rsidRPr="009E7C84">
        <w:rPr>
          <w:rFonts w:cstheme="minorHAnsi"/>
          <w:sz w:val="24"/>
          <w:szCs w:val="24"/>
        </w:rPr>
        <w:t>The data that supports the findings of this study are available in the supplementary material of this article.</w:t>
      </w:r>
    </w:p>
    <w:p w14:paraId="16716A86" w14:textId="77777777" w:rsidR="00ED58D6" w:rsidRDefault="00ED58D6" w:rsidP="00C8088E">
      <w:pPr>
        <w:pStyle w:val="Heading1"/>
      </w:pPr>
      <w:r w:rsidRPr="00ED58D6">
        <w:t>Supporting Information</w:t>
      </w:r>
    </w:p>
    <w:tbl>
      <w:tblPr>
        <w:tblStyle w:val="TableGrid"/>
        <w:tblW w:w="0" w:type="auto"/>
        <w:tblLook w:val="04A0" w:firstRow="1" w:lastRow="0" w:firstColumn="1" w:lastColumn="0" w:noHBand="0" w:noVBand="1"/>
      </w:tblPr>
      <w:tblGrid>
        <w:gridCol w:w="4388"/>
        <w:gridCol w:w="5682"/>
      </w:tblGrid>
      <w:tr w:rsidR="00B92B80" w:rsidRPr="00B92B80" w14:paraId="5352BF65" w14:textId="77777777" w:rsidTr="00C8088E">
        <w:tc>
          <w:tcPr>
            <w:tcW w:w="0" w:type="auto"/>
            <w:hideMark/>
          </w:tcPr>
          <w:p w14:paraId="3EBA386E" w14:textId="77777777" w:rsidR="00B92B80" w:rsidRPr="00B92B80" w:rsidRDefault="00B92B80" w:rsidP="00C8088E">
            <w:pPr>
              <w:spacing w:after="0"/>
              <w:rPr>
                <w:rFonts w:cstheme="minorHAnsi"/>
                <w:b/>
                <w:bCs/>
              </w:rPr>
            </w:pPr>
            <w:r w:rsidRPr="00B92B80">
              <w:rPr>
                <w:rFonts w:cstheme="minorHAnsi"/>
                <w:b/>
                <w:bCs/>
              </w:rPr>
              <w:t>Filename</w:t>
            </w:r>
          </w:p>
        </w:tc>
        <w:tc>
          <w:tcPr>
            <w:tcW w:w="0" w:type="auto"/>
            <w:hideMark/>
          </w:tcPr>
          <w:p w14:paraId="0913AFFA" w14:textId="77777777" w:rsidR="00B92B80" w:rsidRPr="00B92B80" w:rsidRDefault="00B92B80" w:rsidP="00C8088E">
            <w:pPr>
              <w:spacing w:after="0"/>
              <w:rPr>
                <w:rFonts w:cstheme="minorHAnsi"/>
                <w:b/>
                <w:bCs/>
              </w:rPr>
            </w:pPr>
            <w:r w:rsidRPr="00B92B80">
              <w:rPr>
                <w:rFonts w:cstheme="minorHAnsi"/>
                <w:b/>
                <w:bCs/>
              </w:rPr>
              <w:t>Description</w:t>
            </w:r>
          </w:p>
        </w:tc>
      </w:tr>
      <w:tr w:rsidR="00B92B80" w:rsidRPr="00B92B80" w14:paraId="15FFCF2F" w14:textId="77777777" w:rsidTr="00C8088E">
        <w:tc>
          <w:tcPr>
            <w:tcW w:w="0" w:type="auto"/>
            <w:hideMark/>
          </w:tcPr>
          <w:p w14:paraId="28855AA9" w14:textId="77777777" w:rsidR="00B92B80" w:rsidRPr="00B92B80" w:rsidRDefault="00B92B80" w:rsidP="00C8088E">
            <w:pPr>
              <w:spacing w:after="0"/>
              <w:rPr>
                <w:rFonts w:cstheme="minorHAnsi"/>
              </w:rPr>
            </w:pPr>
            <w:hyperlink r:id="rId25" w:history="1">
              <w:r w:rsidRPr="00B92B80">
                <w:rPr>
                  <w:rStyle w:val="Hyperlink"/>
                  <w:rFonts w:cstheme="minorHAnsi"/>
                </w:rPr>
                <w:t>wer10762-sup-0001-Suppinfo_latest.docx</w:t>
              </w:r>
            </w:hyperlink>
            <w:r w:rsidRPr="00B92B80">
              <w:rPr>
                <w:rFonts w:cstheme="minorHAnsi"/>
              </w:rPr>
              <w:t xml:space="preserve">Word 2007 </w:t>
            </w:r>
            <w:proofErr w:type="gramStart"/>
            <w:r w:rsidRPr="00B92B80">
              <w:rPr>
                <w:rFonts w:cstheme="minorHAnsi"/>
              </w:rPr>
              <w:t>document ,</w:t>
            </w:r>
            <w:proofErr w:type="gramEnd"/>
            <w:r w:rsidRPr="00B92B80">
              <w:rPr>
                <w:rFonts w:cstheme="minorHAnsi"/>
              </w:rPr>
              <w:t xml:space="preserve"> 12.5 MB</w:t>
            </w:r>
          </w:p>
        </w:tc>
        <w:tc>
          <w:tcPr>
            <w:tcW w:w="0" w:type="auto"/>
            <w:hideMark/>
          </w:tcPr>
          <w:p w14:paraId="1EF3DE7D" w14:textId="77777777" w:rsidR="00B92B80" w:rsidRPr="00B92B80" w:rsidRDefault="00B92B80" w:rsidP="00C8088E">
            <w:pPr>
              <w:spacing w:after="0"/>
              <w:rPr>
                <w:rFonts w:cstheme="minorHAnsi"/>
              </w:rPr>
            </w:pPr>
            <w:r w:rsidRPr="00B92B80">
              <w:rPr>
                <w:rFonts w:cstheme="minorHAnsi"/>
                <w:b/>
                <w:bCs/>
              </w:rPr>
              <w:t>Table S1:</w:t>
            </w:r>
            <w:r w:rsidRPr="00B92B80">
              <w:rPr>
                <w:rFonts w:cstheme="minorHAnsi"/>
              </w:rPr>
              <w:t xml:space="preserve"> PAD test D observed and specific nitrification rates at different </w:t>
            </w:r>
            <w:proofErr w:type="gramStart"/>
            <w:r w:rsidRPr="00B92B80">
              <w:rPr>
                <w:rFonts w:cstheme="minorHAnsi"/>
              </w:rPr>
              <w:t>temperatures</w:t>
            </w:r>
            <w:proofErr w:type="gramEnd"/>
          </w:p>
          <w:p w14:paraId="0CAB13C4" w14:textId="77777777" w:rsidR="00B92B80" w:rsidRPr="00B92B80" w:rsidRDefault="00B92B80" w:rsidP="00C8088E">
            <w:pPr>
              <w:spacing w:line="259" w:lineRule="auto"/>
              <w:rPr>
                <w:rFonts w:cstheme="minorHAnsi"/>
              </w:rPr>
            </w:pPr>
            <w:r w:rsidRPr="00B92B80">
              <w:rPr>
                <w:rFonts w:cstheme="minorHAnsi"/>
                <w:b/>
                <w:bCs/>
              </w:rPr>
              <w:t>Table S2:</w:t>
            </w:r>
            <w:r w:rsidRPr="00B92B80">
              <w:rPr>
                <w:rFonts w:cstheme="minorHAnsi"/>
              </w:rPr>
              <w:t xml:space="preserve"> PAD test B observed and specific nitrification rates at different </w:t>
            </w:r>
            <w:proofErr w:type="gramStart"/>
            <w:r w:rsidRPr="00B92B80">
              <w:rPr>
                <w:rFonts w:cstheme="minorHAnsi"/>
              </w:rPr>
              <w:t>temperatures</w:t>
            </w:r>
            <w:proofErr w:type="gramEnd"/>
          </w:p>
          <w:p w14:paraId="1A21FC14" w14:textId="77777777" w:rsidR="00B92B80" w:rsidRPr="00B92B80" w:rsidRDefault="00B92B80" w:rsidP="00C8088E">
            <w:pPr>
              <w:spacing w:line="259" w:lineRule="auto"/>
              <w:rPr>
                <w:rFonts w:cstheme="minorHAnsi"/>
              </w:rPr>
            </w:pPr>
            <w:r w:rsidRPr="00B92B80">
              <w:rPr>
                <w:rFonts w:cstheme="minorHAnsi"/>
                <w:b/>
                <w:bCs/>
              </w:rPr>
              <w:t>Table S3:</w:t>
            </w:r>
            <w:r w:rsidRPr="00B92B80">
              <w:rPr>
                <w:rFonts w:cstheme="minorHAnsi"/>
              </w:rPr>
              <w:t> Concentration of nitrite and nitrate in (a-b) PAD test B and (c-d) PAD test D at different temperatures</w:t>
            </w:r>
          </w:p>
          <w:p w14:paraId="24D055BF" w14:textId="77777777" w:rsidR="00B92B80" w:rsidRPr="00B92B80" w:rsidRDefault="00B92B80" w:rsidP="00C8088E">
            <w:pPr>
              <w:spacing w:line="259" w:lineRule="auto"/>
              <w:rPr>
                <w:rFonts w:cstheme="minorHAnsi"/>
              </w:rPr>
            </w:pPr>
            <w:r w:rsidRPr="00B92B80">
              <w:rPr>
                <w:rFonts w:cstheme="minorHAnsi"/>
                <w:b/>
                <w:bCs/>
              </w:rPr>
              <w:t>Figure S1:</w:t>
            </w:r>
            <w:r w:rsidRPr="00B92B80">
              <w:rPr>
                <w:rFonts w:cstheme="minorHAnsi"/>
              </w:rPr>
              <w:t> PAD test D nitrification rates at 24.5, 30, 40, and 50°C.</w:t>
            </w:r>
          </w:p>
          <w:p w14:paraId="677648FD" w14:textId="77777777" w:rsidR="00B92B80" w:rsidRPr="00B92B80" w:rsidRDefault="00B92B80" w:rsidP="00C8088E">
            <w:pPr>
              <w:spacing w:line="259" w:lineRule="auto"/>
              <w:rPr>
                <w:rFonts w:cstheme="minorHAnsi"/>
              </w:rPr>
            </w:pPr>
            <w:r w:rsidRPr="00B92B80">
              <w:rPr>
                <w:rFonts w:cstheme="minorHAnsi"/>
                <w:b/>
                <w:bCs/>
              </w:rPr>
              <w:t>Figure S2:</w:t>
            </w:r>
            <w:r w:rsidRPr="00B92B80">
              <w:rPr>
                <w:rFonts w:cstheme="minorHAnsi"/>
              </w:rPr>
              <w:t> PAD test B nitrification rates at 24.5, 30, 40, and 50°C.</w:t>
            </w:r>
          </w:p>
          <w:p w14:paraId="3FDB127D" w14:textId="77777777" w:rsidR="00B92B80" w:rsidRPr="00B92B80" w:rsidRDefault="00B92B80" w:rsidP="00C8088E">
            <w:pPr>
              <w:spacing w:line="259" w:lineRule="auto"/>
              <w:rPr>
                <w:rFonts w:cstheme="minorHAnsi"/>
              </w:rPr>
            </w:pPr>
            <w:r w:rsidRPr="00B92B80">
              <w:rPr>
                <w:rFonts w:cstheme="minorHAnsi"/>
                <w:b/>
                <w:bCs/>
              </w:rPr>
              <w:t>Figure S3:</w:t>
            </w:r>
            <w:r w:rsidRPr="00B92B80">
              <w:rPr>
                <w:rFonts w:cstheme="minorHAnsi"/>
              </w:rPr>
              <w:t> Total inorganic nitrogen balance for (a) PAD test D and (b) PAD test B biomass</w:t>
            </w:r>
          </w:p>
          <w:p w14:paraId="5261138F" w14:textId="77777777" w:rsidR="00B92B80" w:rsidRPr="00B92B80" w:rsidRDefault="00B92B80" w:rsidP="00C8088E">
            <w:pPr>
              <w:spacing w:line="259" w:lineRule="auto"/>
              <w:rPr>
                <w:rFonts w:cstheme="minorHAnsi"/>
              </w:rPr>
            </w:pPr>
            <w:r w:rsidRPr="00B92B80">
              <w:rPr>
                <w:rFonts w:cstheme="minorHAnsi"/>
                <w:b/>
                <w:bCs/>
              </w:rPr>
              <w:t>Figure S4:</w:t>
            </w:r>
            <w:r w:rsidRPr="00B92B80">
              <w:rPr>
                <w:rFonts w:cstheme="minorHAnsi"/>
              </w:rPr>
              <w:t xml:space="preserve"> Calculated free ammonia estimation for PAD test B (line) and Pad test D (line with squares) biomass over </w:t>
            </w:r>
            <w:proofErr w:type="gramStart"/>
            <w:r w:rsidRPr="00B92B80">
              <w:rPr>
                <w:rFonts w:cstheme="minorHAnsi"/>
              </w:rPr>
              <w:t>time</w:t>
            </w:r>
            <w:proofErr w:type="gramEnd"/>
          </w:p>
          <w:p w14:paraId="71384018" w14:textId="77777777" w:rsidR="00B92B80" w:rsidRPr="00B92B80" w:rsidRDefault="00B92B80" w:rsidP="00C8088E">
            <w:pPr>
              <w:spacing w:line="259" w:lineRule="auto"/>
              <w:rPr>
                <w:rFonts w:cstheme="minorHAnsi"/>
              </w:rPr>
            </w:pPr>
            <w:r w:rsidRPr="00B92B80">
              <w:rPr>
                <w:rFonts w:cstheme="minorHAnsi"/>
                <w:b/>
                <w:bCs/>
              </w:rPr>
              <w:t>Figure S5:</w:t>
            </w:r>
            <w:r w:rsidRPr="00B92B80">
              <w:rPr>
                <w:rFonts w:cstheme="minorHAnsi"/>
              </w:rPr>
              <w:t> Calculated free nitrous acid for PAD test B (line) and Pad test D (line with squares) biomass over time</w:t>
            </w:r>
          </w:p>
        </w:tc>
      </w:tr>
    </w:tbl>
    <w:p w14:paraId="11BBF84C" w14:textId="77777777" w:rsidR="00B92B80" w:rsidRPr="00B92B80" w:rsidRDefault="00B92B80" w:rsidP="00C8088E">
      <w:pPr>
        <w:pStyle w:val="NoSpacing"/>
      </w:pPr>
      <w:r w:rsidRPr="00B92B80">
        <w:t>Please note: The publisher is not responsible for the content or functionality of any supporting information supplied by the authors. Any queries (other than missing content) should be directed to the corresponding author for the article.</w:t>
      </w:r>
    </w:p>
    <w:p w14:paraId="181050AD" w14:textId="77777777" w:rsidR="00ED58D6" w:rsidRPr="00ED58D6" w:rsidRDefault="00ED58D6" w:rsidP="00C8088E">
      <w:pPr>
        <w:pStyle w:val="Heading1"/>
      </w:pPr>
      <w:r w:rsidRPr="00ED58D6">
        <w:t>REFERENCES</w:t>
      </w:r>
    </w:p>
    <w:p w14:paraId="4FFD5258" w14:textId="6F93F32F"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Abeynayaka</w:t>
      </w:r>
      <w:proofErr w:type="spellEnd"/>
      <w:r w:rsidRPr="00D47F7B">
        <w:rPr>
          <w:rFonts w:cstheme="minorHAnsi"/>
          <w:sz w:val="24"/>
          <w:szCs w:val="24"/>
        </w:rPr>
        <w:t>, A., &amp; Visvanathan, C. (2011). Mesophilic and thermophilic aerobic batch biodegradation, utilization of carbon and nitrogen sources in high-strength wastewater. </w:t>
      </w:r>
      <w:r w:rsidRPr="00D47F7B">
        <w:rPr>
          <w:rFonts w:cstheme="minorHAnsi"/>
          <w:i/>
          <w:iCs/>
          <w:sz w:val="24"/>
          <w:szCs w:val="24"/>
        </w:rPr>
        <w:t>Bioresource Technology</w:t>
      </w:r>
      <w:r w:rsidRPr="00D47F7B">
        <w:rPr>
          <w:rFonts w:cstheme="minorHAnsi"/>
          <w:sz w:val="24"/>
          <w:szCs w:val="24"/>
        </w:rPr>
        <w:t>, </w:t>
      </w:r>
      <w:r w:rsidRPr="00D47F7B">
        <w:rPr>
          <w:rFonts w:cstheme="minorHAnsi"/>
          <w:b/>
          <w:bCs/>
          <w:sz w:val="24"/>
          <w:szCs w:val="24"/>
        </w:rPr>
        <w:t>102</w:t>
      </w:r>
      <w:r w:rsidRPr="00D47F7B">
        <w:rPr>
          <w:rFonts w:cstheme="minorHAnsi"/>
          <w:sz w:val="24"/>
          <w:szCs w:val="24"/>
        </w:rPr>
        <w:t>(3), 2358– 2366. </w:t>
      </w:r>
      <w:r w:rsidRPr="00D47F7B">
        <w:rPr>
          <w:rFonts w:cstheme="minorHAnsi"/>
          <w:sz w:val="24"/>
          <w:szCs w:val="24"/>
        </w:rPr>
        <w:t>https://doi.org/10.1016/j.biortech.2010.10.096</w:t>
      </w:r>
    </w:p>
    <w:p w14:paraId="1C6B50F8" w14:textId="6DB9CFAA" w:rsidR="00E14CE2" w:rsidRPr="00D47F7B" w:rsidRDefault="00E14CE2" w:rsidP="00D47F7B">
      <w:pPr>
        <w:pStyle w:val="NoSpacing"/>
        <w:ind w:left="720" w:hanging="720"/>
        <w:rPr>
          <w:rFonts w:cstheme="minorHAnsi"/>
          <w:sz w:val="24"/>
          <w:szCs w:val="24"/>
        </w:rPr>
      </w:pPr>
      <w:r w:rsidRPr="00D47F7B">
        <w:rPr>
          <w:rFonts w:cstheme="minorHAnsi"/>
          <w:sz w:val="24"/>
          <w:szCs w:val="24"/>
        </w:rPr>
        <w:t>Ahmad, M., Denee, M. A., Jiang, H., </w:t>
      </w:r>
      <w:proofErr w:type="spellStart"/>
      <w:r w:rsidRPr="00D47F7B">
        <w:rPr>
          <w:rFonts w:cstheme="minorHAnsi"/>
          <w:sz w:val="24"/>
          <w:szCs w:val="24"/>
        </w:rPr>
        <w:t>Eskicioglu</w:t>
      </w:r>
      <w:proofErr w:type="spellEnd"/>
      <w:r w:rsidRPr="00D47F7B">
        <w:rPr>
          <w:rFonts w:cstheme="minorHAnsi"/>
          <w:sz w:val="24"/>
          <w:szCs w:val="24"/>
        </w:rPr>
        <w:t>, C., </w:t>
      </w:r>
      <w:proofErr w:type="spellStart"/>
      <w:r w:rsidRPr="00D47F7B">
        <w:rPr>
          <w:rFonts w:cstheme="minorHAnsi"/>
          <w:sz w:val="24"/>
          <w:szCs w:val="24"/>
        </w:rPr>
        <w:t>Kadota</w:t>
      </w:r>
      <w:proofErr w:type="spellEnd"/>
      <w:r w:rsidRPr="00D47F7B">
        <w:rPr>
          <w:rFonts w:cstheme="minorHAnsi"/>
          <w:sz w:val="24"/>
          <w:szCs w:val="24"/>
        </w:rPr>
        <w:t>, P., &amp; </w:t>
      </w:r>
      <w:proofErr w:type="spellStart"/>
      <w:r w:rsidRPr="00D47F7B">
        <w:rPr>
          <w:rFonts w:cstheme="minorHAnsi"/>
          <w:sz w:val="24"/>
          <w:szCs w:val="24"/>
        </w:rPr>
        <w:t>Gregonia</w:t>
      </w:r>
      <w:proofErr w:type="spellEnd"/>
      <w:r w:rsidRPr="00D47F7B">
        <w:rPr>
          <w:rFonts w:cstheme="minorHAnsi"/>
          <w:sz w:val="24"/>
          <w:szCs w:val="24"/>
        </w:rPr>
        <w:t>, T. (2016). Sequential anaerobic/aerobic digestion for enhanced carbon/nitrogen removal and cake odor reduction. </w:t>
      </w:r>
      <w:r w:rsidRPr="00D47F7B">
        <w:rPr>
          <w:rFonts w:cstheme="minorHAnsi"/>
          <w:i/>
          <w:iCs/>
          <w:sz w:val="24"/>
          <w:szCs w:val="24"/>
        </w:rPr>
        <w:t>Water Environment Research</w:t>
      </w:r>
      <w:r w:rsidRPr="00D47F7B">
        <w:rPr>
          <w:rFonts w:cstheme="minorHAnsi"/>
          <w:sz w:val="24"/>
          <w:szCs w:val="24"/>
        </w:rPr>
        <w:t>, </w:t>
      </w:r>
      <w:r w:rsidRPr="00D47F7B">
        <w:rPr>
          <w:rFonts w:cstheme="minorHAnsi"/>
          <w:b/>
          <w:bCs/>
          <w:sz w:val="24"/>
          <w:szCs w:val="24"/>
        </w:rPr>
        <w:t>88</w:t>
      </w:r>
      <w:r w:rsidRPr="00D47F7B">
        <w:rPr>
          <w:rFonts w:cstheme="minorHAnsi"/>
          <w:sz w:val="24"/>
          <w:szCs w:val="24"/>
        </w:rPr>
        <w:t>(12), 2233– 2244. </w:t>
      </w:r>
      <w:r w:rsidRPr="00D47F7B">
        <w:rPr>
          <w:rFonts w:cstheme="minorHAnsi"/>
          <w:sz w:val="24"/>
          <w:szCs w:val="24"/>
        </w:rPr>
        <w:t>https://doi.org/10.2175/106143016X14504669768291</w:t>
      </w:r>
    </w:p>
    <w:p w14:paraId="0263848B" w14:textId="77777777" w:rsidR="00E14CE2" w:rsidRPr="00D47F7B" w:rsidRDefault="00E14CE2" w:rsidP="00D47F7B">
      <w:pPr>
        <w:pStyle w:val="NoSpacing"/>
        <w:ind w:left="720" w:hanging="720"/>
        <w:rPr>
          <w:rFonts w:cstheme="minorHAnsi"/>
          <w:sz w:val="24"/>
          <w:szCs w:val="24"/>
        </w:rPr>
      </w:pPr>
      <w:r w:rsidRPr="00D47F7B">
        <w:rPr>
          <w:rFonts w:cstheme="minorHAnsi"/>
          <w:sz w:val="24"/>
          <w:szCs w:val="24"/>
        </w:rPr>
        <w:t>Andersen, K. S., </w:t>
      </w:r>
      <w:proofErr w:type="spellStart"/>
      <w:r w:rsidRPr="00D47F7B">
        <w:rPr>
          <w:rFonts w:cstheme="minorHAnsi"/>
          <w:sz w:val="24"/>
          <w:szCs w:val="24"/>
        </w:rPr>
        <w:t>Kirkegaard</w:t>
      </w:r>
      <w:proofErr w:type="spellEnd"/>
      <w:r w:rsidRPr="00D47F7B">
        <w:rPr>
          <w:rFonts w:cstheme="minorHAnsi"/>
          <w:sz w:val="24"/>
          <w:szCs w:val="24"/>
        </w:rPr>
        <w:t>, R. H., Karst, S. M., &amp; </w:t>
      </w:r>
      <w:proofErr w:type="spellStart"/>
      <w:r w:rsidRPr="00D47F7B">
        <w:rPr>
          <w:rFonts w:cstheme="minorHAnsi"/>
          <w:sz w:val="24"/>
          <w:szCs w:val="24"/>
        </w:rPr>
        <w:t>Albertsen</w:t>
      </w:r>
      <w:proofErr w:type="spellEnd"/>
      <w:r w:rsidRPr="00D47F7B">
        <w:rPr>
          <w:rFonts w:cstheme="minorHAnsi"/>
          <w:sz w:val="24"/>
          <w:szCs w:val="24"/>
        </w:rPr>
        <w:t xml:space="preserve">, M. (2018). ampvis2: An R package to </w:t>
      </w:r>
      <w:proofErr w:type="spellStart"/>
      <w:r w:rsidRPr="00D47F7B">
        <w:rPr>
          <w:rFonts w:cstheme="minorHAnsi"/>
          <w:sz w:val="24"/>
          <w:szCs w:val="24"/>
        </w:rPr>
        <w:t>analyse</w:t>
      </w:r>
      <w:proofErr w:type="spellEnd"/>
      <w:r w:rsidRPr="00D47F7B">
        <w:rPr>
          <w:rFonts w:cstheme="minorHAnsi"/>
          <w:sz w:val="24"/>
          <w:szCs w:val="24"/>
        </w:rPr>
        <w:t xml:space="preserve"> and </w:t>
      </w:r>
      <w:proofErr w:type="spellStart"/>
      <w:r w:rsidRPr="00D47F7B">
        <w:rPr>
          <w:rFonts w:cstheme="minorHAnsi"/>
          <w:sz w:val="24"/>
          <w:szCs w:val="24"/>
        </w:rPr>
        <w:t>visualise</w:t>
      </w:r>
      <w:proofErr w:type="spellEnd"/>
      <w:r w:rsidRPr="00D47F7B">
        <w:rPr>
          <w:rFonts w:cstheme="minorHAnsi"/>
          <w:sz w:val="24"/>
          <w:szCs w:val="24"/>
        </w:rPr>
        <w:t xml:space="preserve"> 16S rRNA amplicon data. </w:t>
      </w:r>
      <w:proofErr w:type="spellStart"/>
      <w:r w:rsidRPr="00D47F7B">
        <w:rPr>
          <w:rFonts w:cstheme="minorHAnsi"/>
          <w:i/>
          <w:iCs/>
          <w:sz w:val="24"/>
          <w:szCs w:val="24"/>
        </w:rPr>
        <w:t>BioRxiv</w:t>
      </w:r>
      <w:proofErr w:type="spellEnd"/>
      <w:r w:rsidRPr="00D47F7B">
        <w:rPr>
          <w:rFonts w:cstheme="minorHAnsi"/>
          <w:sz w:val="24"/>
          <w:szCs w:val="24"/>
        </w:rPr>
        <w:t>, 299537.</w:t>
      </w:r>
    </w:p>
    <w:p w14:paraId="457F4B71" w14:textId="77777777"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Anthonisen</w:t>
      </w:r>
      <w:proofErr w:type="spellEnd"/>
      <w:r w:rsidRPr="00D47F7B">
        <w:rPr>
          <w:rFonts w:cstheme="minorHAnsi"/>
          <w:sz w:val="24"/>
          <w:szCs w:val="24"/>
        </w:rPr>
        <w:t>, A. C., Loehr, R. C., </w:t>
      </w:r>
      <w:proofErr w:type="spellStart"/>
      <w:r w:rsidRPr="00D47F7B">
        <w:rPr>
          <w:rFonts w:cstheme="minorHAnsi"/>
          <w:sz w:val="24"/>
          <w:szCs w:val="24"/>
        </w:rPr>
        <w:t>Prakasam</w:t>
      </w:r>
      <w:proofErr w:type="spellEnd"/>
      <w:r w:rsidRPr="00D47F7B">
        <w:rPr>
          <w:rFonts w:cstheme="minorHAnsi"/>
          <w:sz w:val="24"/>
          <w:szCs w:val="24"/>
        </w:rPr>
        <w:t>, T. B., &amp; Srinath, E. G. (1976). Inhibition of nitrification by ammonia and nitrous acid. </w:t>
      </w:r>
      <w:r w:rsidRPr="00D47F7B">
        <w:rPr>
          <w:rFonts w:cstheme="minorHAnsi"/>
          <w:i/>
          <w:iCs/>
          <w:sz w:val="24"/>
          <w:szCs w:val="24"/>
        </w:rPr>
        <w:t>Journal - Water Pollution Control Federation</w:t>
      </w:r>
      <w:r w:rsidRPr="00D47F7B">
        <w:rPr>
          <w:rFonts w:cstheme="minorHAnsi"/>
          <w:sz w:val="24"/>
          <w:szCs w:val="24"/>
        </w:rPr>
        <w:t>, </w:t>
      </w:r>
      <w:r w:rsidRPr="00D47F7B">
        <w:rPr>
          <w:rFonts w:cstheme="minorHAnsi"/>
          <w:b/>
          <w:bCs/>
          <w:sz w:val="24"/>
          <w:szCs w:val="24"/>
        </w:rPr>
        <w:t>48</w:t>
      </w:r>
      <w:r w:rsidRPr="00D47F7B">
        <w:rPr>
          <w:rFonts w:cstheme="minorHAnsi"/>
          <w:sz w:val="24"/>
          <w:szCs w:val="24"/>
        </w:rPr>
        <w:t>, 835– 852.</w:t>
      </w:r>
    </w:p>
    <w:p w14:paraId="7D30B4A6" w14:textId="4B0E6108" w:rsidR="00E14CE2" w:rsidRPr="00D47F7B" w:rsidRDefault="00E14CE2" w:rsidP="00D47F7B">
      <w:pPr>
        <w:pStyle w:val="NoSpacing"/>
        <w:ind w:left="720" w:hanging="720"/>
        <w:rPr>
          <w:rFonts w:cstheme="minorHAnsi"/>
          <w:sz w:val="24"/>
          <w:szCs w:val="24"/>
        </w:rPr>
      </w:pPr>
      <w:r w:rsidRPr="00D47F7B">
        <w:rPr>
          <w:rFonts w:cstheme="minorHAnsi"/>
          <w:sz w:val="24"/>
          <w:szCs w:val="24"/>
        </w:rPr>
        <w:t>Awasthi, A., Singh, M., Soni, S. K., Singh, R., &amp; Kalra, A. (2014). Biodiversity acts as insurance of productivity of bacterial communities under abiotic perturbations. </w:t>
      </w:r>
      <w:r w:rsidRPr="00D47F7B">
        <w:rPr>
          <w:rFonts w:cstheme="minorHAnsi"/>
          <w:i/>
          <w:iCs/>
          <w:sz w:val="24"/>
          <w:szCs w:val="24"/>
        </w:rPr>
        <w:t>The ISME Journal</w:t>
      </w:r>
      <w:r w:rsidRPr="00D47F7B">
        <w:rPr>
          <w:rFonts w:cstheme="minorHAnsi"/>
          <w:sz w:val="24"/>
          <w:szCs w:val="24"/>
        </w:rPr>
        <w:t>, </w:t>
      </w:r>
      <w:r w:rsidRPr="00D47F7B">
        <w:rPr>
          <w:rFonts w:cstheme="minorHAnsi"/>
          <w:b/>
          <w:bCs/>
          <w:sz w:val="24"/>
          <w:szCs w:val="24"/>
        </w:rPr>
        <w:t>8</w:t>
      </w:r>
      <w:r w:rsidRPr="00D47F7B">
        <w:rPr>
          <w:rFonts w:cstheme="minorHAnsi"/>
          <w:sz w:val="24"/>
          <w:szCs w:val="24"/>
        </w:rPr>
        <w:t>(12), 2445– 2452. </w:t>
      </w:r>
      <w:r w:rsidRPr="00D47F7B">
        <w:rPr>
          <w:rFonts w:cstheme="minorHAnsi"/>
          <w:sz w:val="24"/>
          <w:szCs w:val="24"/>
        </w:rPr>
        <w:t>https://doi.org/10.1038/ismej.2014.91</w:t>
      </w:r>
    </w:p>
    <w:p w14:paraId="5A842C6F" w14:textId="4341640C" w:rsidR="00E14CE2" w:rsidRPr="00D47F7B" w:rsidRDefault="00E14CE2" w:rsidP="00D47F7B">
      <w:pPr>
        <w:pStyle w:val="NoSpacing"/>
        <w:ind w:left="720" w:hanging="720"/>
        <w:rPr>
          <w:rFonts w:cstheme="minorHAnsi"/>
          <w:sz w:val="24"/>
          <w:szCs w:val="24"/>
        </w:rPr>
      </w:pPr>
      <w:r w:rsidRPr="00D47F7B">
        <w:rPr>
          <w:rFonts w:cstheme="minorHAnsi"/>
          <w:sz w:val="24"/>
          <w:szCs w:val="24"/>
        </w:rPr>
        <w:t>Bauer, H., Johnson, T. D., Johnson, B. R., </w:t>
      </w:r>
      <w:proofErr w:type="spellStart"/>
      <w:r w:rsidRPr="00D47F7B">
        <w:rPr>
          <w:rFonts w:cstheme="minorHAnsi"/>
          <w:sz w:val="24"/>
          <w:szCs w:val="24"/>
        </w:rPr>
        <w:t>Oerke</w:t>
      </w:r>
      <w:proofErr w:type="spellEnd"/>
      <w:r w:rsidRPr="00D47F7B">
        <w:rPr>
          <w:rFonts w:cstheme="minorHAnsi"/>
          <w:sz w:val="24"/>
          <w:szCs w:val="24"/>
        </w:rPr>
        <w:t xml:space="preserve">, D., &amp; Graziano, S. (2016). Comparison of </w:t>
      </w:r>
      <w:proofErr w:type="spellStart"/>
      <w:r w:rsidRPr="00D47F7B">
        <w:rPr>
          <w:rFonts w:cstheme="minorHAnsi"/>
          <w:sz w:val="24"/>
          <w:szCs w:val="24"/>
        </w:rPr>
        <w:t>sidestream</w:t>
      </w:r>
      <w:proofErr w:type="spellEnd"/>
      <w:r w:rsidRPr="00D47F7B">
        <w:rPr>
          <w:rFonts w:cstheme="minorHAnsi"/>
          <w:sz w:val="24"/>
          <w:szCs w:val="24"/>
        </w:rPr>
        <w:t xml:space="preserve"> treatment technologies: Post aerobic digestion and anammox. </w:t>
      </w:r>
      <w:r w:rsidRPr="00D47F7B">
        <w:rPr>
          <w:rFonts w:cstheme="minorHAnsi"/>
          <w:i/>
          <w:iCs/>
          <w:sz w:val="24"/>
          <w:szCs w:val="24"/>
        </w:rPr>
        <w:t>Water Science and Technology</w:t>
      </w:r>
      <w:r w:rsidRPr="00D47F7B">
        <w:rPr>
          <w:rFonts w:cstheme="minorHAnsi"/>
          <w:sz w:val="24"/>
          <w:szCs w:val="24"/>
        </w:rPr>
        <w:t>, </w:t>
      </w:r>
      <w:r w:rsidRPr="00D47F7B">
        <w:rPr>
          <w:rFonts w:cstheme="minorHAnsi"/>
          <w:b/>
          <w:bCs/>
          <w:sz w:val="24"/>
          <w:szCs w:val="24"/>
        </w:rPr>
        <w:t>73</w:t>
      </w:r>
      <w:r w:rsidRPr="00D47F7B">
        <w:rPr>
          <w:rFonts w:cstheme="minorHAnsi"/>
          <w:sz w:val="24"/>
          <w:szCs w:val="24"/>
        </w:rPr>
        <w:t>(11), 2789– 2803. </w:t>
      </w:r>
      <w:r w:rsidRPr="00D47F7B">
        <w:rPr>
          <w:rFonts w:cstheme="minorHAnsi"/>
          <w:sz w:val="24"/>
          <w:szCs w:val="24"/>
        </w:rPr>
        <w:t>https://doi.org/10.2166/wst.2016.079</w:t>
      </w:r>
    </w:p>
    <w:p w14:paraId="50090412" w14:textId="77777777"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Bolyen</w:t>
      </w:r>
      <w:proofErr w:type="spellEnd"/>
      <w:r w:rsidRPr="00D47F7B">
        <w:rPr>
          <w:rFonts w:cstheme="minorHAnsi"/>
          <w:sz w:val="24"/>
          <w:szCs w:val="24"/>
        </w:rPr>
        <w:t>, E., Rideout, J. R., Dillon, M. R., </w:t>
      </w:r>
      <w:proofErr w:type="spellStart"/>
      <w:r w:rsidRPr="00D47F7B">
        <w:rPr>
          <w:rFonts w:cstheme="minorHAnsi"/>
          <w:sz w:val="24"/>
          <w:szCs w:val="24"/>
        </w:rPr>
        <w:t>Bokulich</w:t>
      </w:r>
      <w:proofErr w:type="spellEnd"/>
      <w:r w:rsidRPr="00D47F7B">
        <w:rPr>
          <w:rFonts w:cstheme="minorHAnsi"/>
          <w:sz w:val="24"/>
          <w:szCs w:val="24"/>
        </w:rPr>
        <w:t>, N. A., </w:t>
      </w:r>
      <w:proofErr w:type="spellStart"/>
      <w:r w:rsidRPr="00D47F7B">
        <w:rPr>
          <w:rFonts w:cstheme="minorHAnsi"/>
          <w:sz w:val="24"/>
          <w:szCs w:val="24"/>
        </w:rPr>
        <w:t>Abnet</w:t>
      </w:r>
      <w:proofErr w:type="spellEnd"/>
      <w:r w:rsidRPr="00D47F7B">
        <w:rPr>
          <w:rFonts w:cstheme="minorHAnsi"/>
          <w:sz w:val="24"/>
          <w:szCs w:val="24"/>
        </w:rPr>
        <w:t>, C. C., Al-</w:t>
      </w:r>
      <w:proofErr w:type="spellStart"/>
      <w:r w:rsidRPr="00D47F7B">
        <w:rPr>
          <w:rFonts w:cstheme="minorHAnsi"/>
          <w:sz w:val="24"/>
          <w:szCs w:val="24"/>
        </w:rPr>
        <w:t>Ghalith</w:t>
      </w:r>
      <w:proofErr w:type="spellEnd"/>
      <w:r w:rsidRPr="00D47F7B">
        <w:rPr>
          <w:rFonts w:cstheme="minorHAnsi"/>
          <w:sz w:val="24"/>
          <w:szCs w:val="24"/>
        </w:rPr>
        <w:t>, G. A., Alexander, H., </w:t>
      </w:r>
      <w:proofErr w:type="spellStart"/>
      <w:r w:rsidRPr="00D47F7B">
        <w:rPr>
          <w:rFonts w:cstheme="minorHAnsi"/>
          <w:sz w:val="24"/>
          <w:szCs w:val="24"/>
        </w:rPr>
        <w:t>Alm</w:t>
      </w:r>
      <w:proofErr w:type="spellEnd"/>
      <w:r w:rsidRPr="00D47F7B">
        <w:rPr>
          <w:rFonts w:cstheme="minorHAnsi"/>
          <w:sz w:val="24"/>
          <w:szCs w:val="24"/>
        </w:rPr>
        <w:t>, E. J., Arumugam, M., </w:t>
      </w:r>
      <w:proofErr w:type="spellStart"/>
      <w:r w:rsidRPr="00D47F7B">
        <w:rPr>
          <w:rFonts w:cstheme="minorHAnsi"/>
          <w:sz w:val="24"/>
          <w:szCs w:val="24"/>
        </w:rPr>
        <w:t>Asnicar</w:t>
      </w:r>
      <w:proofErr w:type="spellEnd"/>
      <w:r w:rsidRPr="00D47F7B">
        <w:rPr>
          <w:rFonts w:cstheme="minorHAnsi"/>
          <w:sz w:val="24"/>
          <w:szCs w:val="24"/>
        </w:rPr>
        <w:t>, F., Bai, Y., </w:t>
      </w:r>
      <w:proofErr w:type="spellStart"/>
      <w:r w:rsidRPr="00D47F7B">
        <w:rPr>
          <w:rFonts w:cstheme="minorHAnsi"/>
          <w:sz w:val="24"/>
          <w:szCs w:val="24"/>
        </w:rPr>
        <w:t>Bisanz</w:t>
      </w:r>
      <w:proofErr w:type="spellEnd"/>
      <w:r w:rsidRPr="00D47F7B">
        <w:rPr>
          <w:rFonts w:cstheme="minorHAnsi"/>
          <w:sz w:val="24"/>
          <w:szCs w:val="24"/>
        </w:rPr>
        <w:t>, J. E., </w:t>
      </w:r>
      <w:proofErr w:type="spellStart"/>
      <w:r w:rsidRPr="00D47F7B">
        <w:rPr>
          <w:rFonts w:cstheme="minorHAnsi"/>
          <w:sz w:val="24"/>
          <w:szCs w:val="24"/>
        </w:rPr>
        <w:t>Bittinger</w:t>
      </w:r>
      <w:proofErr w:type="spellEnd"/>
      <w:r w:rsidRPr="00D47F7B">
        <w:rPr>
          <w:rFonts w:cstheme="minorHAnsi"/>
          <w:sz w:val="24"/>
          <w:szCs w:val="24"/>
        </w:rPr>
        <w:t>, K., </w:t>
      </w:r>
      <w:proofErr w:type="spellStart"/>
      <w:r w:rsidRPr="00D47F7B">
        <w:rPr>
          <w:rFonts w:cstheme="minorHAnsi"/>
          <w:sz w:val="24"/>
          <w:szCs w:val="24"/>
        </w:rPr>
        <w:t>Brejnrod</w:t>
      </w:r>
      <w:proofErr w:type="spellEnd"/>
      <w:r w:rsidRPr="00D47F7B">
        <w:rPr>
          <w:rFonts w:cstheme="minorHAnsi"/>
          <w:sz w:val="24"/>
          <w:szCs w:val="24"/>
        </w:rPr>
        <w:t>, A., </w:t>
      </w:r>
      <w:proofErr w:type="spellStart"/>
      <w:r w:rsidRPr="00D47F7B">
        <w:rPr>
          <w:rFonts w:cstheme="minorHAnsi"/>
          <w:sz w:val="24"/>
          <w:szCs w:val="24"/>
        </w:rPr>
        <w:t>Brislawn</w:t>
      </w:r>
      <w:proofErr w:type="spellEnd"/>
      <w:r w:rsidRPr="00D47F7B">
        <w:rPr>
          <w:rFonts w:cstheme="minorHAnsi"/>
          <w:sz w:val="24"/>
          <w:szCs w:val="24"/>
        </w:rPr>
        <w:t>, C. J., Brown, C. T., Callahan, B. J., Caraballo-Rodriguez, A. M., Chase, J., … </w:t>
      </w:r>
      <w:proofErr w:type="spellStart"/>
      <w:r w:rsidRPr="00D47F7B">
        <w:rPr>
          <w:rFonts w:cstheme="minorHAnsi"/>
          <w:sz w:val="24"/>
          <w:szCs w:val="24"/>
        </w:rPr>
        <w:t>Caporaso</w:t>
      </w:r>
      <w:proofErr w:type="spellEnd"/>
      <w:r w:rsidRPr="00D47F7B">
        <w:rPr>
          <w:rFonts w:cstheme="minorHAnsi"/>
          <w:sz w:val="24"/>
          <w:szCs w:val="24"/>
        </w:rPr>
        <w:t xml:space="preserve">, J. G. (2019). Reproducible, interactive, </w:t>
      </w:r>
      <w:proofErr w:type="gramStart"/>
      <w:r w:rsidRPr="00D47F7B">
        <w:rPr>
          <w:rFonts w:cstheme="minorHAnsi"/>
          <w:sz w:val="24"/>
          <w:szCs w:val="24"/>
        </w:rPr>
        <w:t>scalable</w:t>
      </w:r>
      <w:proofErr w:type="gramEnd"/>
      <w:r w:rsidRPr="00D47F7B">
        <w:rPr>
          <w:rFonts w:cstheme="minorHAnsi"/>
          <w:sz w:val="24"/>
          <w:szCs w:val="24"/>
        </w:rPr>
        <w:t xml:space="preserve"> and extensible microbiome data science using QIIME 2. </w:t>
      </w:r>
      <w:r w:rsidRPr="00D47F7B">
        <w:rPr>
          <w:rFonts w:cstheme="minorHAnsi"/>
          <w:i/>
          <w:iCs/>
          <w:sz w:val="24"/>
          <w:szCs w:val="24"/>
        </w:rPr>
        <w:t>Nature Biotechnology</w:t>
      </w:r>
      <w:r w:rsidRPr="00D47F7B">
        <w:rPr>
          <w:rFonts w:cstheme="minorHAnsi"/>
          <w:sz w:val="24"/>
          <w:szCs w:val="24"/>
        </w:rPr>
        <w:t>, </w:t>
      </w:r>
      <w:r w:rsidRPr="00D47F7B">
        <w:rPr>
          <w:rFonts w:cstheme="minorHAnsi"/>
          <w:b/>
          <w:bCs/>
          <w:sz w:val="24"/>
          <w:szCs w:val="24"/>
        </w:rPr>
        <w:t>37</w:t>
      </w:r>
      <w:r w:rsidRPr="00D47F7B">
        <w:rPr>
          <w:rFonts w:cstheme="minorHAnsi"/>
          <w:sz w:val="24"/>
          <w:szCs w:val="24"/>
        </w:rPr>
        <w:t>, 852– 857.</w:t>
      </w:r>
    </w:p>
    <w:p w14:paraId="214FBBC8" w14:textId="16E2D1B6" w:rsidR="00E14CE2" w:rsidRPr="00D47F7B" w:rsidRDefault="00E14CE2" w:rsidP="00D47F7B">
      <w:pPr>
        <w:pStyle w:val="NoSpacing"/>
        <w:ind w:left="720" w:hanging="720"/>
        <w:rPr>
          <w:rFonts w:cstheme="minorHAnsi"/>
          <w:sz w:val="24"/>
          <w:szCs w:val="24"/>
        </w:rPr>
      </w:pPr>
      <w:r w:rsidRPr="00D47F7B">
        <w:rPr>
          <w:rFonts w:cstheme="minorHAnsi"/>
          <w:sz w:val="24"/>
          <w:szCs w:val="24"/>
        </w:rPr>
        <w:t>Callahan, B. J., </w:t>
      </w:r>
      <w:proofErr w:type="spellStart"/>
      <w:r w:rsidRPr="00D47F7B">
        <w:rPr>
          <w:rFonts w:cstheme="minorHAnsi"/>
          <w:sz w:val="24"/>
          <w:szCs w:val="24"/>
        </w:rPr>
        <w:t>McMurdie</w:t>
      </w:r>
      <w:proofErr w:type="spellEnd"/>
      <w:r w:rsidRPr="00D47F7B">
        <w:rPr>
          <w:rFonts w:cstheme="minorHAnsi"/>
          <w:sz w:val="24"/>
          <w:szCs w:val="24"/>
        </w:rPr>
        <w:t>, P. J., Rosen, M. J., Han, A. W., Johnson, A. J. A., &amp; Holmes, S. P. (2016). DADA2: High-resolution sample inference from Illumina amplicon data. </w:t>
      </w:r>
      <w:r w:rsidRPr="00D47F7B">
        <w:rPr>
          <w:rFonts w:cstheme="minorHAnsi"/>
          <w:i/>
          <w:iCs/>
          <w:sz w:val="24"/>
          <w:szCs w:val="24"/>
        </w:rPr>
        <w:t>Nature Methods</w:t>
      </w:r>
      <w:r w:rsidRPr="00D47F7B">
        <w:rPr>
          <w:rFonts w:cstheme="minorHAnsi"/>
          <w:sz w:val="24"/>
          <w:szCs w:val="24"/>
        </w:rPr>
        <w:t>, </w:t>
      </w:r>
      <w:r w:rsidRPr="00D47F7B">
        <w:rPr>
          <w:rFonts w:cstheme="minorHAnsi"/>
          <w:b/>
          <w:bCs/>
          <w:sz w:val="24"/>
          <w:szCs w:val="24"/>
        </w:rPr>
        <w:t>13</w:t>
      </w:r>
      <w:r w:rsidRPr="00D47F7B">
        <w:rPr>
          <w:rFonts w:cstheme="minorHAnsi"/>
          <w:sz w:val="24"/>
          <w:szCs w:val="24"/>
        </w:rPr>
        <w:t>(7), 581– 583. </w:t>
      </w:r>
      <w:r w:rsidRPr="00D47F7B">
        <w:rPr>
          <w:rFonts w:cstheme="minorHAnsi"/>
          <w:sz w:val="24"/>
          <w:szCs w:val="24"/>
        </w:rPr>
        <w:t>https://doi.org/10.1038/nmeth.3869</w:t>
      </w:r>
    </w:p>
    <w:p w14:paraId="07466530" w14:textId="54A9B36C" w:rsidR="00E14CE2" w:rsidRPr="00D47F7B" w:rsidRDefault="00E14CE2" w:rsidP="00D47F7B">
      <w:pPr>
        <w:pStyle w:val="NoSpacing"/>
        <w:ind w:left="720" w:hanging="720"/>
        <w:rPr>
          <w:rFonts w:cstheme="minorHAnsi"/>
          <w:sz w:val="24"/>
          <w:szCs w:val="24"/>
        </w:rPr>
      </w:pPr>
      <w:r w:rsidRPr="00D47F7B">
        <w:rPr>
          <w:rFonts w:cstheme="minorHAnsi"/>
          <w:sz w:val="24"/>
          <w:szCs w:val="24"/>
        </w:rPr>
        <w:t>Carey, D. E., McNamara, P. J., &amp; Zitomer, D. H. (2015). Biochar from pyrolysis of biosolids for nutrient adsorption and Turfgrass cultivation. </w:t>
      </w:r>
      <w:r w:rsidRPr="00D47F7B">
        <w:rPr>
          <w:rFonts w:cstheme="minorHAnsi"/>
          <w:i/>
          <w:iCs/>
          <w:sz w:val="24"/>
          <w:szCs w:val="24"/>
        </w:rPr>
        <w:t>Water Environment Research</w:t>
      </w:r>
      <w:r w:rsidRPr="00D47F7B">
        <w:rPr>
          <w:rFonts w:cstheme="minorHAnsi"/>
          <w:sz w:val="24"/>
          <w:szCs w:val="24"/>
        </w:rPr>
        <w:t>, </w:t>
      </w:r>
      <w:r w:rsidRPr="00D47F7B">
        <w:rPr>
          <w:rFonts w:cstheme="minorHAnsi"/>
          <w:b/>
          <w:bCs/>
          <w:sz w:val="24"/>
          <w:szCs w:val="24"/>
        </w:rPr>
        <w:t>87</w:t>
      </w:r>
      <w:r w:rsidRPr="00D47F7B">
        <w:rPr>
          <w:rFonts w:cstheme="minorHAnsi"/>
          <w:sz w:val="24"/>
          <w:szCs w:val="24"/>
        </w:rPr>
        <w:t>(12), 2098– 2106. </w:t>
      </w:r>
      <w:r w:rsidRPr="00D47F7B">
        <w:rPr>
          <w:rFonts w:cstheme="minorHAnsi"/>
          <w:sz w:val="24"/>
          <w:szCs w:val="24"/>
        </w:rPr>
        <w:t>https://doi.org/10.2175/106143015X14362865227391</w:t>
      </w:r>
    </w:p>
    <w:p w14:paraId="73384A33" w14:textId="0FA98CB6" w:rsidR="00E14CE2" w:rsidRPr="00D47F7B" w:rsidRDefault="00E14CE2" w:rsidP="00D47F7B">
      <w:pPr>
        <w:pStyle w:val="NoSpacing"/>
        <w:ind w:left="720" w:hanging="720"/>
        <w:rPr>
          <w:rFonts w:cstheme="minorHAnsi"/>
          <w:sz w:val="24"/>
          <w:szCs w:val="24"/>
        </w:rPr>
      </w:pPr>
      <w:r w:rsidRPr="00D47F7B">
        <w:rPr>
          <w:rFonts w:cstheme="minorHAnsi"/>
          <w:sz w:val="24"/>
          <w:szCs w:val="24"/>
        </w:rPr>
        <w:t>Carey, D. E., Yang, Y., McNamara, P. J., &amp; Mayer, B. K. (2016). Recovery of agricultural nutrients from biorefineries. </w:t>
      </w:r>
      <w:r w:rsidRPr="00D47F7B">
        <w:rPr>
          <w:rFonts w:cstheme="minorHAnsi"/>
          <w:i/>
          <w:iCs/>
          <w:sz w:val="24"/>
          <w:szCs w:val="24"/>
        </w:rPr>
        <w:t>Bioresource Technology</w:t>
      </w:r>
      <w:r w:rsidRPr="00D47F7B">
        <w:rPr>
          <w:rFonts w:cstheme="minorHAnsi"/>
          <w:sz w:val="24"/>
          <w:szCs w:val="24"/>
        </w:rPr>
        <w:t>, </w:t>
      </w:r>
      <w:r w:rsidRPr="00D47F7B">
        <w:rPr>
          <w:rFonts w:cstheme="minorHAnsi"/>
          <w:b/>
          <w:bCs/>
          <w:sz w:val="24"/>
          <w:szCs w:val="24"/>
        </w:rPr>
        <w:t>215</w:t>
      </w:r>
      <w:r w:rsidRPr="00D47F7B">
        <w:rPr>
          <w:rFonts w:cstheme="minorHAnsi"/>
          <w:sz w:val="24"/>
          <w:szCs w:val="24"/>
        </w:rPr>
        <w:t>, 186– 198. </w:t>
      </w:r>
      <w:r w:rsidRPr="00D47F7B">
        <w:rPr>
          <w:rFonts w:cstheme="minorHAnsi"/>
          <w:sz w:val="24"/>
          <w:szCs w:val="24"/>
        </w:rPr>
        <w:t>https://doi.org/10.1016/j.biortech.2016.02.093</w:t>
      </w:r>
    </w:p>
    <w:p w14:paraId="3B1FD0D0" w14:textId="47DF8F5B" w:rsidR="00E14CE2" w:rsidRPr="00D47F7B" w:rsidRDefault="00E14CE2" w:rsidP="00D47F7B">
      <w:pPr>
        <w:pStyle w:val="NoSpacing"/>
        <w:ind w:left="720" w:hanging="720"/>
        <w:rPr>
          <w:rFonts w:cstheme="minorHAnsi"/>
          <w:sz w:val="24"/>
          <w:szCs w:val="24"/>
        </w:rPr>
      </w:pPr>
      <w:r w:rsidRPr="00D47F7B">
        <w:rPr>
          <w:rFonts w:cstheme="minorHAnsi"/>
          <w:sz w:val="24"/>
          <w:szCs w:val="24"/>
        </w:rPr>
        <w:t>Chen, Q., Ni, J., Ma, T., Liu, T., &amp; Zheng, M. (2015). Bioaugmentation treatment of municipal wastewater with heterotrophic-aerobic nitrogen removal bacteria in a pilot-scale SBR. </w:t>
      </w:r>
      <w:r w:rsidRPr="00D47F7B">
        <w:rPr>
          <w:rFonts w:cstheme="minorHAnsi"/>
          <w:i/>
          <w:iCs/>
          <w:sz w:val="24"/>
          <w:szCs w:val="24"/>
        </w:rPr>
        <w:t>Bioresource Technology</w:t>
      </w:r>
      <w:r w:rsidRPr="00D47F7B">
        <w:rPr>
          <w:rFonts w:cstheme="minorHAnsi"/>
          <w:sz w:val="24"/>
          <w:szCs w:val="24"/>
        </w:rPr>
        <w:t>, </w:t>
      </w:r>
      <w:r w:rsidRPr="00D47F7B">
        <w:rPr>
          <w:rFonts w:cstheme="minorHAnsi"/>
          <w:b/>
          <w:bCs/>
          <w:sz w:val="24"/>
          <w:szCs w:val="24"/>
        </w:rPr>
        <w:t>183</w:t>
      </w:r>
      <w:r w:rsidRPr="00D47F7B">
        <w:rPr>
          <w:rFonts w:cstheme="minorHAnsi"/>
          <w:sz w:val="24"/>
          <w:szCs w:val="24"/>
        </w:rPr>
        <w:t>, 25– 32. </w:t>
      </w:r>
      <w:r w:rsidRPr="00D47F7B">
        <w:rPr>
          <w:rFonts w:cstheme="minorHAnsi"/>
          <w:sz w:val="24"/>
          <w:szCs w:val="24"/>
        </w:rPr>
        <w:t>https://doi.org/10.1016/j.biortech.2015.02.022</w:t>
      </w:r>
    </w:p>
    <w:p w14:paraId="274B705D" w14:textId="77777777"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Courtens</w:t>
      </w:r>
      <w:proofErr w:type="spellEnd"/>
      <w:r w:rsidRPr="00D47F7B">
        <w:rPr>
          <w:rFonts w:cstheme="minorHAnsi"/>
          <w:sz w:val="24"/>
          <w:szCs w:val="24"/>
        </w:rPr>
        <w:t xml:space="preserve">, E. N., Boon, N., De </w:t>
      </w:r>
      <w:proofErr w:type="spellStart"/>
      <w:r w:rsidRPr="00D47F7B">
        <w:rPr>
          <w:rFonts w:cstheme="minorHAnsi"/>
          <w:sz w:val="24"/>
          <w:szCs w:val="24"/>
        </w:rPr>
        <w:t>Schryver</w:t>
      </w:r>
      <w:proofErr w:type="spellEnd"/>
      <w:r w:rsidRPr="00D47F7B">
        <w:rPr>
          <w:rFonts w:cstheme="minorHAnsi"/>
          <w:sz w:val="24"/>
          <w:szCs w:val="24"/>
        </w:rPr>
        <w:t>, P., &amp; </w:t>
      </w:r>
      <w:proofErr w:type="spellStart"/>
      <w:r w:rsidRPr="00D47F7B">
        <w:rPr>
          <w:rFonts w:cstheme="minorHAnsi"/>
          <w:sz w:val="24"/>
          <w:szCs w:val="24"/>
        </w:rPr>
        <w:t>Vlaeminck</w:t>
      </w:r>
      <w:proofErr w:type="spellEnd"/>
      <w:r w:rsidRPr="00D47F7B">
        <w:rPr>
          <w:rFonts w:cstheme="minorHAnsi"/>
          <w:sz w:val="24"/>
          <w:szCs w:val="24"/>
        </w:rPr>
        <w:t>, S. E. (2014). Increased salinity improves the thermotolerance of mesophilic nitrification. </w:t>
      </w:r>
      <w:r w:rsidRPr="00D47F7B">
        <w:rPr>
          <w:rFonts w:cstheme="minorHAnsi"/>
          <w:i/>
          <w:iCs/>
          <w:sz w:val="24"/>
          <w:szCs w:val="24"/>
        </w:rPr>
        <w:t>Applied Microbiology and Biotechnology</w:t>
      </w:r>
      <w:r w:rsidRPr="00D47F7B">
        <w:rPr>
          <w:rFonts w:cstheme="minorHAnsi"/>
          <w:sz w:val="24"/>
          <w:szCs w:val="24"/>
        </w:rPr>
        <w:t>, </w:t>
      </w:r>
      <w:r w:rsidRPr="00D47F7B">
        <w:rPr>
          <w:rFonts w:cstheme="minorHAnsi"/>
          <w:b/>
          <w:bCs/>
          <w:sz w:val="24"/>
          <w:szCs w:val="24"/>
        </w:rPr>
        <w:t>98</w:t>
      </w:r>
      <w:r w:rsidRPr="00D47F7B">
        <w:rPr>
          <w:rFonts w:cstheme="minorHAnsi"/>
          <w:sz w:val="24"/>
          <w:szCs w:val="24"/>
        </w:rPr>
        <w:t>(10), 4691– 4699.</w:t>
      </w:r>
    </w:p>
    <w:p w14:paraId="0AEFDFE4" w14:textId="1DEC8626"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Courtens</w:t>
      </w:r>
      <w:proofErr w:type="spellEnd"/>
      <w:r w:rsidRPr="00D47F7B">
        <w:rPr>
          <w:rFonts w:cstheme="minorHAnsi"/>
          <w:sz w:val="24"/>
          <w:szCs w:val="24"/>
        </w:rPr>
        <w:t>, E. N. P., </w:t>
      </w:r>
      <w:proofErr w:type="spellStart"/>
      <w:r w:rsidRPr="00D47F7B">
        <w:rPr>
          <w:rFonts w:cstheme="minorHAnsi"/>
          <w:sz w:val="24"/>
          <w:szCs w:val="24"/>
        </w:rPr>
        <w:t>Spieck</w:t>
      </w:r>
      <w:proofErr w:type="spellEnd"/>
      <w:r w:rsidRPr="00D47F7B">
        <w:rPr>
          <w:rFonts w:cstheme="minorHAnsi"/>
          <w:sz w:val="24"/>
          <w:szCs w:val="24"/>
        </w:rPr>
        <w:t>, E., </w:t>
      </w:r>
      <w:proofErr w:type="spellStart"/>
      <w:r w:rsidRPr="00D47F7B">
        <w:rPr>
          <w:rFonts w:cstheme="minorHAnsi"/>
          <w:sz w:val="24"/>
          <w:szCs w:val="24"/>
        </w:rPr>
        <w:t>Vilchez</w:t>
      </w:r>
      <w:proofErr w:type="spellEnd"/>
      <w:r w:rsidRPr="00D47F7B">
        <w:rPr>
          <w:rFonts w:cstheme="minorHAnsi"/>
          <w:sz w:val="24"/>
          <w:szCs w:val="24"/>
        </w:rPr>
        <w:t>-Vargas, R., </w:t>
      </w:r>
      <w:proofErr w:type="spellStart"/>
      <w:r w:rsidRPr="00D47F7B">
        <w:rPr>
          <w:rFonts w:cstheme="minorHAnsi"/>
          <w:sz w:val="24"/>
          <w:szCs w:val="24"/>
        </w:rPr>
        <w:t>Bodé</w:t>
      </w:r>
      <w:proofErr w:type="spellEnd"/>
      <w:r w:rsidRPr="00D47F7B">
        <w:rPr>
          <w:rFonts w:cstheme="minorHAnsi"/>
          <w:sz w:val="24"/>
          <w:szCs w:val="24"/>
        </w:rPr>
        <w:t>, S., </w:t>
      </w:r>
      <w:proofErr w:type="spellStart"/>
      <w:r w:rsidRPr="00D47F7B">
        <w:rPr>
          <w:rFonts w:cstheme="minorHAnsi"/>
          <w:sz w:val="24"/>
          <w:szCs w:val="24"/>
        </w:rPr>
        <w:t>Boeckx</w:t>
      </w:r>
      <w:proofErr w:type="spellEnd"/>
      <w:r w:rsidRPr="00D47F7B">
        <w:rPr>
          <w:rFonts w:cstheme="minorHAnsi"/>
          <w:sz w:val="24"/>
          <w:szCs w:val="24"/>
        </w:rPr>
        <w:t>, P., Schouten, S., Jauregui, R., Pieper, D. H., </w:t>
      </w:r>
      <w:proofErr w:type="spellStart"/>
      <w:r w:rsidRPr="00D47F7B">
        <w:rPr>
          <w:rFonts w:cstheme="minorHAnsi"/>
          <w:sz w:val="24"/>
          <w:szCs w:val="24"/>
        </w:rPr>
        <w:t>Vlaeminck</w:t>
      </w:r>
      <w:proofErr w:type="spellEnd"/>
      <w:r w:rsidRPr="00D47F7B">
        <w:rPr>
          <w:rFonts w:cstheme="minorHAnsi"/>
          <w:sz w:val="24"/>
          <w:szCs w:val="24"/>
        </w:rPr>
        <w:t xml:space="preserve">, S. E., &amp; Boon, N. (2016). A robust nitrifying community in a bioreactor at 50°C </w:t>
      </w:r>
      <w:proofErr w:type="gramStart"/>
      <w:r w:rsidRPr="00D47F7B">
        <w:rPr>
          <w:rFonts w:cstheme="minorHAnsi"/>
          <w:sz w:val="24"/>
          <w:szCs w:val="24"/>
        </w:rPr>
        <w:t>opens up</w:t>
      </w:r>
      <w:proofErr w:type="gramEnd"/>
      <w:r w:rsidRPr="00D47F7B">
        <w:rPr>
          <w:rFonts w:cstheme="minorHAnsi"/>
          <w:sz w:val="24"/>
          <w:szCs w:val="24"/>
        </w:rPr>
        <w:t xml:space="preserve"> the path for thermophilic nitrogen removal. </w:t>
      </w:r>
      <w:r w:rsidRPr="00D47F7B">
        <w:rPr>
          <w:rFonts w:cstheme="minorHAnsi"/>
          <w:i/>
          <w:iCs/>
          <w:sz w:val="24"/>
          <w:szCs w:val="24"/>
        </w:rPr>
        <w:t>The ISME Journal</w:t>
      </w:r>
      <w:r w:rsidRPr="00D47F7B">
        <w:rPr>
          <w:rFonts w:cstheme="minorHAnsi"/>
          <w:sz w:val="24"/>
          <w:szCs w:val="24"/>
        </w:rPr>
        <w:t>, </w:t>
      </w:r>
      <w:r w:rsidRPr="00D47F7B">
        <w:rPr>
          <w:rFonts w:cstheme="minorHAnsi"/>
          <w:b/>
          <w:bCs/>
          <w:sz w:val="24"/>
          <w:szCs w:val="24"/>
        </w:rPr>
        <w:t>10</w:t>
      </w:r>
      <w:r w:rsidRPr="00D47F7B">
        <w:rPr>
          <w:rFonts w:cstheme="minorHAnsi"/>
          <w:sz w:val="24"/>
          <w:szCs w:val="24"/>
        </w:rPr>
        <w:t>(9), 2293– 2303. </w:t>
      </w:r>
      <w:r w:rsidRPr="00D47F7B">
        <w:rPr>
          <w:rFonts w:cstheme="minorHAnsi"/>
          <w:sz w:val="24"/>
          <w:szCs w:val="24"/>
        </w:rPr>
        <w:t>https://doi.org/10.1038/ismej.2016.8</w:t>
      </w:r>
    </w:p>
    <w:p w14:paraId="296F9A46" w14:textId="502F0205"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Daigger</w:t>
      </w:r>
      <w:proofErr w:type="spellEnd"/>
      <w:r w:rsidRPr="00D47F7B">
        <w:rPr>
          <w:rFonts w:cstheme="minorHAnsi"/>
          <w:sz w:val="24"/>
          <w:szCs w:val="24"/>
        </w:rPr>
        <w:t xml:space="preserve">, G. T. (2014). Oxygen and carbon requirements for biological nitrogen removal processes accomplishing nitrification, </w:t>
      </w:r>
      <w:proofErr w:type="spellStart"/>
      <w:r w:rsidRPr="00D47F7B">
        <w:rPr>
          <w:rFonts w:cstheme="minorHAnsi"/>
          <w:sz w:val="24"/>
          <w:szCs w:val="24"/>
        </w:rPr>
        <w:t>nitritation</w:t>
      </w:r>
      <w:proofErr w:type="spellEnd"/>
      <w:r w:rsidRPr="00D47F7B">
        <w:rPr>
          <w:rFonts w:cstheme="minorHAnsi"/>
          <w:sz w:val="24"/>
          <w:szCs w:val="24"/>
        </w:rPr>
        <w:t>, and anammox. </w:t>
      </w:r>
      <w:r w:rsidRPr="00D47F7B">
        <w:rPr>
          <w:rFonts w:cstheme="minorHAnsi"/>
          <w:i/>
          <w:iCs/>
          <w:sz w:val="24"/>
          <w:szCs w:val="24"/>
        </w:rPr>
        <w:t>Water Environment Research</w:t>
      </w:r>
      <w:r w:rsidRPr="00D47F7B">
        <w:rPr>
          <w:rFonts w:cstheme="minorHAnsi"/>
          <w:sz w:val="24"/>
          <w:szCs w:val="24"/>
        </w:rPr>
        <w:t>, </w:t>
      </w:r>
      <w:r w:rsidRPr="00D47F7B">
        <w:rPr>
          <w:rFonts w:cstheme="minorHAnsi"/>
          <w:b/>
          <w:bCs/>
          <w:sz w:val="24"/>
          <w:szCs w:val="24"/>
        </w:rPr>
        <w:t>86</w:t>
      </w:r>
      <w:r w:rsidRPr="00D47F7B">
        <w:rPr>
          <w:rFonts w:cstheme="minorHAnsi"/>
          <w:sz w:val="24"/>
          <w:szCs w:val="24"/>
        </w:rPr>
        <w:t>(3), 204– 209. </w:t>
      </w:r>
      <w:r w:rsidRPr="00D47F7B">
        <w:rPr>
          <w:rFonts w:cstheme="minorHAnsi"/>
          <w:sz w:val="24"/>
          <w:szCs w:val="24"/>
        </w:rPr>
        <w:t>https://doi.org/10.2175/106143013X13807328849459</w:t>
      </w:r>
    </w:p>
    <w:p w14:paraId="69CCDD3F" w14:textId="64AAF5C5" w:rsidR="00E14CE2" w:rsidRPr="00D47F7B" w:rsidRDefault="00E14CE2" w:rsidP="00D47F7B">
      <w:pPr>
        <w:pStyle w:val="NoSpacing"/>
        <w:ind w:left="720" w:hanging="720"/>
        <w:rPr>
          <w:rFonts w:cstheme="minorHAnsi"/>
          <w:sz w:val="24"/>
          <w:szCs w:val="24"/>
        </w:rPr>
      </w:pPr>
      <w:r w:rsidRPr="00D47F7B">
        <w:rPr>
          <w:rFonts w:cstheme="minorHAnsi"/>
          <w:sz w:val="24"/>
          <w:szCs w:val="24"/>
        </w:rPr>
        <w:t>Delgado Vela, J., Stadler, L. B., Martin, K. J., </w:t>
      </w:r>
      <w:proofErr w:type="spellStart"/>
      <w:r w:rsidRPr="00D47F7B">
        <w:rPr>
          <w:rFonts w:cstheme="minorHAnsi"/>
          <w:sz w:val="24"/>
          <w:szCs w:val="24"/>
        </w:rPr>
        <w:t>Raskin</w:t>
      </w:r>
      <w:proofErr w:type="spellEnd"/>
      <w:r w:rsidRPr="00D47F7B">
        <w:rPr>
          <w:rFonts w:cstheme="minorHAnsi"/>
          <w:sz w:val="24"/>
          <w:szCs w:val="24"/>
        </w:rPr>
        <w:t>, L., Bott, C. B., &amp; Love, N. G. (2015). Prospects for biological nitrogen removal from anaerobic effluents during mainstream wastewater treatment. </w:t>
      </w:r>
      <w:r w:rsidRPr="00D47F7B">
        <w:rPr>
          <w:rFonts w:cstheme="minorHAnsi"/>
          <w:i/>
          <w:iCs/>
          <w:sz w:val="24"/>
          <w:szCs w:val="24"/>
        </w:rPr>
        <w:t>Environmental Science &amp; Technology Letters</w:t>
      </w:r>
      <w:r w:rsidRPr="00D47F7B">
        <w:rPr>
          <w:rFonts w:cstheme="minorHAnsi"/>
          <w:sz w:val="24"/>
          <w:szCs w:val="24"/>
        </w:rPr>
        <w:t>, </w:t>
      </w:r>
      <w:r w:rsidRPr="00D47F7B">
        <w:rPr>
          <w:rFonts w:cstheme="minorHAnsi"/>
          <w:b/>
          <w:bCs/>
          <w:sz w:val="24"/>
          <w:szCs w:val="24"/>
        </w:rPr>
        <w:t>2</w:t>
      </w:r>
      <w:r w:rsidRPr="00D47F7B">
        <w:rPr>
          <w:rFonts w:cstheme="minorHAnsi"/>
          <w:sz w:val="24"/>
          <w:szCs w:val="24"/>
        </w:rPr>
        <w:t>(9), 234– 244. </w:t>
      </w:r>
      <w:r w:rsidRPr="00D47F7B">
        <w:rPr>
          <w:rFonts w:cstheme="minorHAnsi"/>
          <w:sz w:val="24"/>
          <w:szCs w:val="24"/>
        </w:rPr>
        <w:t>https://doi.org/10.1021/acs.estlett.5b00191</w:t>
      </w:r>
    </w:p>
    <w:p w14:paraId="275617EF" w14:textId="77777777"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Dowle</w:t>
      </w:r>
      <w:proofErr w:type="spellEnd"/>
      <w:r w:rsidRPr="00D47F7B">
        <w:rPr>
          <w:rFonts w:cstheme="minorHAnsi"/>
          <w:sz w:val="24"/>
          <w:szCs w:val="24"/>
        </w:rPr>
        <w:t>, M., Srinivasan, A. (2020) </w:t>
      </w:r>
      <w:proofErr w:type="spellStart"/>
      <w:proofErr w:type="gramStart"/>
      <w:r w:rsidRPr="00D47F7B">
        <w:rPr>
          <w:rFonts w:cstheme="minorHAnsi"/>
          <w:sz w:val="24"/>
          <w:szCs w:val="24"/>
        </w:rPr>
        <w:t>data.table</w:t>
      </w:r>
      <w:proofErr w:type="spellEnd"/>
      <w:proofErr w:type="gramEnd"/>
      <w:r w:rsidRPr="00D47F7B">
        <w:rPr>
          <w:rFonts w:cstheme="minorHAnsi"/>
          <w:sz w:val="24"/>
          <w:szCs w:val="24"/>
        </w:rPr>
        <w:t>: Extension of ‘data. frame’. 2019. R package version 1.12.8.</w:t>
      </w:r>
    </w:p>
    <w:p w14:paraId="4A2E1B48" w14:textId="77777777"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Dueholm</w:t>
      </w:r>
      <w:proofErr w:type="spellEnd"/>
      <w:r w:rsidRPr="00D47F7B">
        <w:rPr>
          <w:rFonts w:cstheme="minorHAnsi"/>
          <w:sz w:val="24"/>
          <w:szCs w:val="24"/>
        </w:rPr>
        <w:t>, M. K. D., </w:t>
      </w:r>
      <w:proofErr w:type="spellStart"/>
      <w:r w:rsidRPr="00D47F7B">
        <w:rPr>
          <w:rFonts w:cstheme="minorHAnsi"/>
          <w:sz w:val="24"/>
          <w:szCs w:val="24"/>
        </w:rPr>
        <w:t>Nierychlo</w:t>
      </w:r>
      <w:proofErr w:type="spellEnd"/>
      <w:r w:rsidRPr="00D47F7B">
        <w:rPr>
          <w:rFonts w:cstheme="minorHAnsi"/>
          <w:sz w:val="24"/>
          <w:szCs w:val="24"/>
        </w:rPr>
        <w:t>, M., </w:t>
      </w:r>
      <w:proofErr w:type="spellStart"/>
      <w:r w:rsidRPr="00D47F7B">
        <w:rPr>
          <w:rFonts w:cstheme="minorHAnsi"/>
          <w:sz w:val="24"/>
          <w:szCs w:val="24"/>
        </w:rPr>
        <w:t>Skytte</w:t>
      </w:r>
      <w:proofErr w:type="spellEnd"/>
      <w:r w:rsidRPr="00D47F7B">
        <w:rPr>
          <w:rFonts w:cstheme="minorHAnsi"/>
          <w:sz w:val="24"/>
          <w:szCs w:val="24"/>
        </w:rPr>
        <w:t xml:space="preserve"> Andersen, K. S., </w:t>
      </w:r>
      <w:proofErr w:type="spellStart"/>
      <w:r w:rsidRPr="00D47F7B">
        <w:rPr>
          <w:rFonts w:cstheme="minorHAnsi"/>
          <w:sz w:val="24"/>
          <w:szCs w:val="24"/>
        </w:rPr>
        <w:t>Rudkjøbing</w:t>
      </w:r>
      <w:proofErr w:type="spellEnd"/>
      <w:r w:rsidRPr="00D47F7B">
        <w:rPr>
          <w:rFonts w:cstheme="minorHAnsi"/>
          <w:sz w:val="24"/>
          <w:szCs w:val="24"/>
        </w:rPr>
        <w:t>, V., Knutsson, S., </w:t>
      </w:r>
      <w:proofErr w:type="spellStart"/>
      <w:r w:rsidRPr="00D47F7B">
        <w:rPr>
          <w:rFonts w:cstheme="minorHAnsi"/>
          <w:sz w:val="24"/>
          <w:szCs w:val="24"/>
        </w:rPr>
        <w:t>Albertsen</w:t>
      </w:r>
      <w:proofErr w:type="spellEnd"/>
      <w:r w:rsidRPr="00D47F7B">
        <w:rPr>
          <w:rFonts w:cstheme="minorHAnsi"/>
          <w:sz w:val="24"/>
          <w:szCs w:val="24"/>
        </w:rPr>
        <w:t>, M., &amp; Nielsen, P. H. (2022). </w:t>
      </w:r>
      <w:proofErr w:type="spellStart"/>
      <w:r w:rsidRPr="00D47F7B">
        <w:rPr>
          <w:rFonts w:cstheme="minorHAnsi"/>
          <w:sz w:val="24"/>
          <w:szCs w:val="24"/>
        </w:rPr>
        <w:t>MiDAS</w:t>
      </w:r>
      <w:proofErr w:type="spellEnd"/>
      <w:r w:rsidRPr="00D47F7B">
        <w:rPr>
          <w:rFonts w:cstheme="minorHAnsi"/>
          <w:sz w:val="24"/>
          <w:szCs w:val="24"/>
        </w:rPr>
        <w:t xml:space="preserve"> 4: A global catalogue of full-length 16S rRNA gene sequences and taxonomy for studies of bacterial communities in wastewater treatment plants. </w:t>
      </w:r>
      <w:r w:rsidRPr="00D47F7B">
        <w:rPr>
          <w:rFonts w:cstheme="minorHAnsi"/>
          <w:i/>
          <w:iCs/>
          <w:sz w:val="24"/>
          <w:szCs w:val="24"/>
        </w:rPr>
        <w:t>Nature Communications</w:t>
      </w:r>
      <w:r w:rsidRPr="00D47F7B">
        <w:rPr>
          <w:rFonts w:cstheme="minorHAnsi"/>
          <w:sz w:val="24"/>
          <w:szCs w:val="24"/>
        </w:rPr>
        <w:t>, </w:t>
      </w:r>
      <w:r w:rsidRPr="00D47F7B">
        <w:rPr>
          <w:rFonts w:cstheme="minorHAnsi"/>
          <w:b/>
          <w:bCs/>
          <w:sz w:val="24"/>
          <w:szCs w:val="24"/>
        </w:rPr>
        <w:t>13</w:t>
      </w:r>
      <w:r w:rsidRPr="00D47F7B">
        <w:rPr>
          <w:rFonts w:cstheme="minorHAnsi"/>
          <w:sz w:val="24"/>
          <w:szCs w:val="24"/>
        </w:rPr>
        <w:t>(1), 1– 15.</w:t>
      </w:r>
    </w:p>
    <w:p w14:paraId="3B4006DC" w14:textId="1AE88C3A" w:rsidR="00E14CE2" w:rsidRPr="00D47F7B" w:rsidRDefault="00E14CE2" w:rsidP="00D47F7B">
      <w:pPr>
        <w:pStyle w:val="NoSpacing"/>
        <w:ind w:left="720" w:hanging="720"/>
        <w:rPr>
          <w:rFonts w:cstheme="minorHAnsi"/>
          <w:sz w:val="24"/>
          <w:szCs w:val="24"/>
        </w:rPr>
      </w:pPr>
      <w:r w:rsidRPr="00D47F7B">
        <w:rPr>
          <w:rFonts w:cstheme="minorHAnsi"/>
          <w:sz w:val="24"/>
          <w:szCs w:val="24"/>
        </w:rPr>
        <w:t>Fan, Y., Zhang, M., Cheng, J., Yong, D., Ji, J., Wu, Q., &amp; He, C. (2022). Elucidating nitrifying performance, nitrite accumulation and microbial community in a three-stage plug flow moving bed biofilm reactor (PF - MBBR). </w:t>
      </w:r>
      <w:r w:rsidRPr="00D47F7B">
        <w:rPr>
          <w:rFonts w:cstheme="minorHAnsi"/>
          <w:i/>
          <w:iCs/>
          <w:sz w:val="24"/>
          <w:szCs w:val="24"/>
        </w:rPr>
        <w:t>Chemosphere</w:t>
      </w:r>
      <w:r w:rsidRPr="00D47F7B">
        <w:rPr>
          <w:rFonts w:cstheme="minorHAnsi"/>
          <w:sz w:val="24"/>
          <w:szCs w:val="24"/>
        </w:rPr>
        <w:t>, </w:t>
      </w:r>
      <w:r w:rsidRPr="00D47F7B">
        <w:rPr>
          <w:rFonts w:cstheme="minorHAnsi"/>
          <w:b/>
          <w:bCs/>
          <w:sz w:val="24"/>
          <w:szCs w:val="24"/>
        </w:rPr>
        <w:t>297</w:t>
      </w:r>
      <w:r w:rsidRPr="00D47F7B">
        <w:rPr>
          <w:rFonts w:cstheme="minorHAnsi"/>
          <w:sz w:val="24"/>
          <w:szCs w:val="24"/>
        </w:rPr>
        <w:t>, 134087. </w:t>
      </w:r>
      <w:r w:rsidRPr="00D47F7B">
        <w:rPr>
          <w:rFonts w:cstheme="minorHAnsi"/>
          <w:sz w:val="24"/>
          <w:szCs w:val="24"/>
        </w:rPr>
        <w:t>https://doi.org/10.1016/j.chemosphere.2022.134087</w:t>
      </w:r>
    </w:p>
    <w:p w14:paraId="77E2D9A2" w14:textId="0BD48A05" w:rsidR="00E14CE2" w:rsidRPr="00D47F7B" w:rsidRDefault="00E14CE2" w:rsidP="00D47F7B">
      <w:pPr>
        <w:pStyle w:val="NoSpacing"/>
        <w:ind w:left="720" w:hanging="720"/>
        <w:rPr>
          <w:rFonts w:cstheme="minorHAnsi"/>
          <w:sz w:val="24"/>
          <w:szCs w:val="24"/>
        </w:rPr>
      </w:pPr>
      <w:r w:rsidRPr="00D47F7B">
        <w:rPr>
          <w:rFonts w:cstheme="minorHAnsi"/>
          <w:sz w:val="24"/>
          <w:szCs w:val="24"/>
        </w:rPr>
        <w:t>González-Martínez, A., </w:t>
      </w:r>
      <w:proofErr w:type="spellStart"/>
      <w:r w:rsidRPr="00D47F7B">
        <w:rPr>
          <w:rFonts w:cstheme="minorHAnsi"/>
          <w:sz w:val="24"/>
          <w:szCs w:val="24"/>
        </w:rPr>
        <w:t>Poyatos</w:t>
      </w:r>
      <w:proofErr w:type="spellEnd"/>
      <w:r w:rsidRPr="00D47F7B">
        <w:rPr>
          <w:rFonts w:cstheme="minorHAnsi"/>
          <w:sz w:val="24"/>
          <w:szCs w:val="24"/>
        </w:rPr>
        <w:t>, J. M., </w:t>
      </w:r>
      <w:proofErr w:type="spellStart"/>
      <w:r w:rsidRPr="00D47F7B">
        <w:rPr>
          <w:rFonts w:cstheme="minorHAnsi"/>
          <w:sz w:val="24"/>
          <w:szCs w:val="24"/>
        </w:rPr>
        <w:t>Hontoria</w:t>
      </w:r>
      <w:proofErr w:type="spellEnd"/>
      <w:r w:rsidRPr="00D47F7B">
        <w:rPr>
          <w:rFonts w:cstheme="minorHAnsi"/>
          <w:sz w:val="24"/>
          <w:szCs w:val="24"/>
        </w:rPr>
        <w:t>, E., Gonzalez-Lopez, J., &amp; Osorio, F. (2011). Treatment of effluents polluted by nitrogen with new biological technologies based on autotrophic nitrification-denitrification processes. </w:t>
      </w:r>
      <w:r w:rsidRPr="00D47F7B">
        <w:rPr>
          <w:rFonts w:cstheme="minorHAnsi"/>
          <w:i/>
          <w:iCs/>
          <w:sz w:val="24"/>
          <w:szCs w:val="24"/>
        </w:rPr>
        <w:t>Recent Patents on Biotechnology</w:t>
      </w:r>
      <w:r w:rsidRPr="00D47F7B">
        <w:rPr>
          <w:rFonts w:cstheme="minorHAnsi"/>
          <w:sz w:val="24"/>
          <w:szCs w:val="24"/>
        </w:rPr>
        <w:t>, </w:t>
      </w:r>
      <w:r w:rsidRPr="00D47F7B">
        <w:rPr>
          <w:rFonts w:cstheme="minorHAnsi"/>
          <w:b/>
          <w:bCs/>
          <w:sz w:val="24"/>
          <w:szCs w:val="24"/>
        </w:rPr>
        <w:t>5</w:t>
      </w:r>
      <w:r w:rsidRPr="00D47F7B">
        <w:rPr>
          <w:rFonts w:cstheme="minorHAnsi"/>
          <w:sz w:val="24"/>
          <w:szCs w:val="24"/>
        </w:rPr>
        <w:t>, 74– 84. </w:t>
      </w:r>
      <w:r w:rsidRPr="00D47F7B">
        <w:rPr>
          <w:rFonts w:cstheme="minorHAnsi"/>
          <w:sz w:val="24"/>
          <w:szCs w:val="24"/>
        </w:rPr>
        <w:t>https://doi.org/10.2174/187220811796365671</w:t>
      </w:r>
    </w:p>
    <w:p w14:paraId="08629CFA" w14:textId="449F0014" w:rsidR="00E14CE2" w:rsidRPr="00D47F7B" w:rsidRDefault="00E14CE2" w:rsidP="00D47F7B">
      <w:pPr>
        <w:pStyle w:val="NoSpacing"/>
        <w:ind w:left="720" w:hanging="720"/>
        <w:rPr>
          <w:rFonts w:cstheme="minorHAnsi"/>
          <w:sz w:val="24"/>
          <w:szCs w:val="24"/>
        </w:rPr>
      </w:pPr>
      <w:r w:rsidRPr="00D47F7B">
        <w:rPr>
          <w:rFonts w:cstheme="minorHAnsi"/>
          <w:sz w:val="24"/>
          <w:szCs w:val="24"/>
        </w:rPr>
        <w:t>Grady, C. P. L., </w:t>
      </w:r>
      <w:proofErr w:type="spellStart"/>
      <w:r w:rsidRPr="00D47F7B">
        <w:rPr>
          <w:rFonts w:cstheme="minorHAnsi"/>
          <w:sz w:val="24"/>
          <w:szCs w:val="24"/>
        </w:rPr>
        <w:t>Daigger</w:t>
      </w:r>
      <w:proofErr w:type="spellEnd"/>
      <w:r w:rsidRPr="00D47F7B">
        <w:rPr>
          <w:rFonts w:cstheme="minorHAnsi"/>
          <w:sz w:val="24"/>
          <w:szCs w:val="24"/>
        </w:rPr>
        <w:t>, G. T., Love, N. G., &amp; Filipe, C. D. M. (2011). </w:t>
      </w:r>
      <w:r w:rsidRPr="00D47F7B">
        <w:rPr>
          <w:rFonts w:cstheme="minorHAnsi"/>
          <w:i/>
          <w:iCs/>
          <w:sz w:val="24"/>
          <w:szCs w:val="24"/>
        </w:rPr>
        <w:t>Biological wastewater treatment</w:t>
      </w:r>
      <w:r w:rsidRPr="00D47F7B">
        <w:rPr>
          <w:rFonts w:cstheme="minorHAnsi"/>
          <w:sz w:val="24"/>
          <w:szCs w:val="24"/>
        </w:rPr>
        <w:t>. CRC Press. </w:t>
      </w:r>
      <w:r w:rsidRPr="00D47F7B">
        <w:rPr>
          <w:rFonts w:cstheme="minorHAnsi"/>
          <w:sz w:val="24"/>
          <w:szCs w:val="24"/>
        </w:rPr>
        <w:t>https://doi.org/10.1201/b13775</w:t>
      </w:r>
    </w:p>
    <w:p w14:paraId="4AC13E4D" w14:textId="0CAC781C" w:rsidR="00E14CE2" w:rsidRPr="00D47F7B" w:rsidRDefault="00E14CE2" w:rsidP="00D47F7B">
      <w:pPr>
        <w:pStyle w:val="NoSpacing"/>
        <w:ind w:left="720" w:hanging="720"/>
        <w:rPr>
          <w:rFonts w:cstheme="minorHAnsi"/>
          <w:sz w:val="24"/>
          <w:szCs w:val="24"/>
        </w:rPr>
      </w:pPr>
      <w:r w:rsidRPr="00D47F7B">
        <w:rPr>
          <w:rFonts w:cstheme="minorHAnsi"/>
          <w:sz w:val="24"/>
          <w:szCs w:val="24"/>
        </w:rPr>
        <w:t>Gu, A. Z., </w:t>
      </w:r>
      <w:proofErr w:type="spellStart"/>
      <w:r w:rsidRPr="00D47F7B">
        <w:rPr>
          <w:rFonts w:cstheme="minorHAnsi"/>
          <w:sz w:val="24"/>
          <w:szCs w:val="24"/>
        </w:rPr>
        <w:t>Pedros</w:t>
      </w:r>
      <w:proofErr w:type="spellEnd"/>
      <w:r w:rsidRPr="00D47F7B">
        <w:rPr>
          <w:rFonts w:cstheme="minorHAnsi"/>
          <w:sz w:val="24"/>
          <w:szCs w:val="24"/>
        </w:rPr>
        <w:t>, P. B., Kristiansen, A., </w:t>
      </w:r>
      <w:proofErr w:type="spellStart"/>
      <w:r w:rsidRPr="00D47F7B">
        <w:rPr>
          <w:rFonts w:cstheme="minorHAnsi"/>
          <w:sz w:val="24"/>
          <w:szCs w:val="24"/>
        </w:rPr>
        <w:t>Onnis</w:t>
      </w:r>
      <w:proofErr w:type="spellEnd"/>
      <w:r w:rsidRPr="00D47F7B">
        <w:rPr>
          <w:rFonts w:cstheme="minorHAnsi"/>
          <w:sz w:val="24"/>
          <w:szCs w:val="24"/>
        </w:rPr>
        <w:t>-Hayden, A., &amp; Schramm, A. (2007). Nitrifying community analysis in a single submerged attached-growth bioreactor for treatment of high-ammonia waste stream. </w:t>
      </w:r>
      <w:r w:rsidRPr="00D47F7B">
        <w:rPr>
          <w:rFonts w:cstheme="minorHAnsi"/>
          <w:i/>
          <w:iCs/>
          <w:sz w:val="24"/>
          <w:szCs w:val="24"/>
        </w:rPr>
        <w:t>Water Environment Research</w:t>
      </w:r>
      <w:r w:rsidRPr="00D47F7B">
        <w:rPr>
          <w:rFonts w:cstheme="minorHAnsi"/>
          <w:sz w:val="24"/>
          <w:szCs w:val="24"/>
        </w:rPr>
        <w:t>, </w:t>
      </w:r>
      <w:r w:rsidRPr="00D47F7B">
        <w:rPr>
          <w:rFonts w:cstheme="minorHAnsi"/>
          <w:b/>
          <w:bCs/>
          <w:sz w:val="24"/>
          <w:szCs w:val="24"/>
        </w:rPr>
        <w:t>79</w:t>
      </w:r>
      <w:r w:rsidRPr="00D47F7B">
        <w:rPr>
          <w:rFonts w:cstheme="minorHAnsi"/>
          <w:sz w:val="24"/>
          <w:szCs w:val="24"/>
        </w:rPr>
        <w:t>(13), 2510– 2518. </w:t>
      </w:r>
      <w:r w:rsidRPr="00D47F7B">
        <w:rPr>
          <w:rFonts w:cstheme="minorHAnsi"/>
          <w:sz w:val="24"/>
          <w:szCs w:val="24"/>
        </w:rPr>
        <w:t>https://doi.org/10.2175/106143007X254566</w:t>
      </w:r>
    </w:p>
    <w:p w14:paraId="16E4A6D7" w14:textId="1E490E9F"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Guisasola</w:t>
      </w:r>
      <w:proofErr w:type="spellEnd"/>
      <w:r w:rsidRPr="00D47F7B">
        <w:rPr>
          <w:rFonts w:cstheme="minorHAnsi"/>
          <w:sz w:val="24"/>
          <w:szCs w:val="24"/>
        </w:rPr>
        <w:t>, A., </w:t>
      </w:r>
      <w:proofErr w:type="spellStart"/>
      <w:r w:rsidRPr="00D47F7B">
        <w:rPr>
          <w:rFonts w:cstheme="minorHAnsi"/>
          <w:sz w:val="24"/>
          <w:szCs w:val="24"/>
        </w:rPr>
        <w:t>Petzet</w:t>
      </w:r>
      <w:proofErr w:type="spellEnd"/>
      <w:r w:rsidRPr="00D47F7B">
        <w:rPr>
          <w:rFonts w:cstheme="minorHAnsi"/>
          <w:sz w:val="24"/>
          <w:szCs w:val="24"/>
        </w:rPr>
        <w:t>, S., </w:t>
      </w:r>
      <w:proofErr w:type="spellStart"/>
      <w:r w:rsidRPr="00D47F7B">
        <w:rPr>
          <w:rFonts w:cstheme="minorHAnsi"/>
          <w:sz w:val="24"/>
          <w:szCs w:val="24"/>
        </w:rPr>
        <w:t>Baeza</w:t>
      </w:r>
      <w:proofErr w:type="spellEnd"/>
      <w:r w:rsidRPr="00D47F7B">
        <w:rPr>
          <w:rFonts w:cstheme="minorHAnsi"/>
          <w:sz w:val="24"/>
          <w:szCs w:val="24"/>
        </w:rPr>
        <w:t>, J. A., Carrera, J., &amp; </w:t>
      </w:r>
      <w:proofErr w:type="spellStart"/>
      <w:r w:rsidRPr="00D47F7B">
        <w:rPr>
          <w:rFonts w:cstheme="minorHAnsi"/>
          <w:sz w:val="24"/>
          <w:szCs w:val="24"/>
        </w:rPr>
        <w:t>Lafuente</w:t>
      </w:r>
      <w:proofErr w:type="spellEnd"/>
      <w:r w:rsidRPr="00D47F7B">
        <w:rPr>
          <w:rFonts w:cstheme="minorHAnsi"/>
          <w:sz w:val="24"/>
          <w:szCs w:val="24"/>
        </w:rPr>
        <w:t>, J. (2007). Inorganic carbon limitations on nitrification: Experimental assessment and modelling. </w:t>
      </w:r>
      <w:r w:rsidRPr="00D47F7B">
        <w:rPr>
          <w:rFonts w:cstheme="minorHAnsi"/>
          <w:i/>
          <w:iCs/>
          <w:sz w:val="24"/>
          <w:szCs w:val="24"/>
        </w:rPr>
        <w:t>Water Research</w:t>
      </w:r>
      <w:r w:rsidRPr="00D47F7B">
        <w:rPr>
          <w:rFonts w:cstheme="minorHAnsi"/>
          <w:sz w:val="24"/>
          <w:szCs w:val="24"/>
        </w:rPr>
        <w:t>, </w:t>
      </w:r>
      <w:r w:rsidRPr="00D47F7B">
        <w:rPr>
          <w:rFonts w:cstheme="minorHAnsi"/>
          <w:b/>
          <w:bCs/>
          <w:sz w:val="24"/>
          <w:szCs w:val="24"/>
        </w:rPr>
        <w:t>41</w:t>
      </w:r>
      <w:r w:rsidRPr="00D47F7B">
        <w:rPr>
          <w:rFonts w:cstheme="minorHAnsi"/>
          <w:sz w:val="24"/>
          <w:szCs w:val="24"/>
        </w:rPr>
        <w:t>, 277– 286. </w:t>
      </w:r>
      <w:r w:rsidRPr="00D47F7B">
        <w:rPr>
          <w:rFonts w:cstheme="minorHAnsi"/>
          <w:sz w:val="24"/>
          <w:szCs w:val="24"/>
        </w:rPr>
        <w:t>https://doi.org/10.1016/j.watres.2006.10.030</w:t>
      </w:r>
    </w:p>
    <w:p w14:paraId="586E879A" w14:textId="26144FF3" w:rsidR="00E14CE2" w:rsidRPr="00D47F7B" w:rsidRDefault="00E14CE2" w:rsidP="00D47F7B">
      <w:pPr>
        <w:pStyle w:val="NoSpacing"/>
        <w:ind w:left="720" w:hanging="720"/>
        <w:rPr>
          <w:rFonts w:cstheme="minorHAnsi"/>
          <w:sz w:val="24"/>
          <w:szCs w:val="24"/>
        </w:rPr>
      </w:pPr>
      <w:r w:rsidRPr="00D47F7B">
        <w:rPr>
          <w:rFonts w:cstheme="minorHAnsi"/>
          <w:sz w:val="24"/>
          <w:szCs w:val="24"/>
        </w:rPr>
        <w:t>Guo, J., Peng, Y., Huang, H., Wang, S., Ge, S., Zhang, J., &amp; Wang, Z. (2010). Short- and long-term effects of temperature on partial nitrification in a sequencing batch reactor treating domestic wastewater. </w:t>
      </w:r>
      <w:r w:rsidRPr="00D47F7B">
        <w:rPr>
          <w:rFonts w:cstheme="minorHAnsi"/>
          <w:i/>
          <w:iCs/>
          <w:sz w:val="24"/>
          <w:szCs w:val="24"/>
        </w:rPr>
        <w:t>Journal of Hazardous Materials</w:t>
      </w:r>
      <w:r w:rsidRPr="00D47F7B">
        <w:rPr>
          <w:rFonts w:cstheme="minorHAnsi"/>
          <w:sz w:val="24"/>
          <w:szCs w:val="24"/>
        </w:rPr>
        <w:t>, </w:t>
      </w:r>
      <w:r w:rsidRPr="00D47F7B">
        <w:rPr>
          <w:rFonts w:cstheme="minorHAnsi"/>
          <w:b/>
          <w:bCs/>
          <w:sz w:val="24"/>
          <w:szCs w:val="24"/>
        </w:rPr>
        <w:t>179</w:t>
      </w:r>
      <w:r w:rsidRPr="00D47F7B">
        <w:rPr>
          <w:rFonts w:cstheme="minorHAnsi"/>
          <w:sz w:val="24"/>
          <w:szCs w:val="24"/>
        </w:rPr>
        <w:t>(1–3), 471– 479. </w:t>
      </w:r>
      <w:r w:rsidRPr="00D47F7B">
        <w:rPr>
          <w:rFonts w:cstheme="minorHAnsi"/>
          <w:sz w:val="24"/>
          <w:szCs w:val="24"/>
        </w:rPr>
        <w:t>https://doi.org/10.1016/j.jhazmat.2010.03.027</w:t>
      </w:r>
    </w:p>
    <w:p w14:paraId="51951DF1" w14:textId="77777777" w:rsidR="00E14CE2" w:rsidRPr="00D47F7B" w:rsidRDefault="00E14CE2" w:rsidP="00D47F7B">
      <w:pPr>
        <w:pStyle w:val="NoSpacing"/>
        <w:ind w:left="720" w:hanging="720"/>
        <w:rPr>
          <w:rFonts w:cstheme="minorHAnsi"/>
          <w:sz w:val="24"/>
          <w:szCs w:val="24"/>
        </w:rPr>
      </w:pPr>
      <w:r w:rsidRPr="00D47F7B">
        <w:rPr>
          <w:rFonts w:cstheme="minorHAnsi"/>
          <w:sz w:val="24"/>
          <w:szCs w:val="24"/>
        </w:rPr>
        <w:t>Guo, G., Wang, Y., Hao, T., Wu, D., &amp; Chen, G. H. (2018). Enzymatic nitrous oxide emissions from wastewater treatment. </w:t>
      </w:r>
      <w:r w:rsidRPr="00D47F7B">
        <w:rPr>
          <w:rFonts w:cstheme="minorHAnsi"/>
          <w:i/>
          <w:iCs/>
          <w:sz w:val="24"/>
          <w:szCs w:val="24"/>
        </w:rPr>
        <w:t>Frontiers of Environmental Science &amp; Engineering</w:t>
      </w:r>
      <w:r w:rsidRPr="00D47F7B">
        <w:rPr>
          <w:rFonts w:cstheme="minorHAnsi"/>
          <w:sz w:val="24"/>
          <w:szCs w:val="24"/>
        </w:rPr>
        <w:t>, </w:t>
      </w:r>
      <w:r w:rsidRPr="00D47F7B">
        <w:rPr>
          <w:rFonts w:cstheme="minorHAnsi"/>
          <w:b/>
          <w:bCs/>
          <w:sz w:val="24"/>
          <w:szCs w:val="24"/>
        </w:rPr>
        <w:t>12</w:t>
      </w:r>
      <w:r w:rsidRPr="00D47F7B">
        <w:rPr>
          <w:rFonts w:cstheme="minorHAnsi"/>
          <w:sz w:val="24"/>
          <w:szCs w:val="24"/>
        </w:rPr>
        <w:t>(1), 1– 12.</w:t>
      </w:r>
    </w:p>
    <w:p w14:paraId="0FF68FC5" w14:textId="3DCA9E67"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Hellinga</w:t>
      </w:r>
      <w:proofErr w:type="spellEnd"/>
      <w:r w:rsidRPr="00D47F7B">
        <w:rPr>
          <w:rFonts w:cstheme="minorHAnsi"/>
          <w:sz w:val="24"/>
          <w:szCs w:val="24"/>
        </w:rPr>
        <w:t>, C., </w:t>
      </w:r>
      <w:proofErr w:type="spellStart"/>
      <w:r w:rsidRPr="00D47F7B">
        <w:rPr>
          <w:rFonts w:cstheme="minorHAnsi"/>
          <w:sz w:val="24"/>
          <w:szCs w:val="24"/>
        </w:rPr>
        <w:t>Schellen</w:t>
      </w:r>
      <w:proofErr w:type="spellEnd"/>
      <w:r w:rsidRPr="00D47F7B">
        <w:rPr>
          <w:rFonts w:cstheme="minorHAnsi"/>
          <w:sz w:val="24"/>
          <w:szCs w:val="24"/>
        </w:rPr>
        <w:t xml:space="preserve">, A. A. J. C., Mulder, J. W., van </w:t>
      </w:r>
      <w:proofErr w:type="spellStart"/>
      <w:r w:rsidRPr="00D47F7B">
        <w:rPr>
          <w:rFonts w:cstheme="minorHAnsi"/>
          <w:sz w:val="24"/>
          <w:szCs w:val="24"/>
        </w:rPr>
        <w:t>Loosdrecht</w:t>
      </w:r>
      <w:proofErr w:type="spellEnd"/>
      <w:r w:rsidRPr="00D47F7B">
        <w:rPr>
          <w:rFonts w:cstheme="minorHAnsi"/>
          <w:sz w:val="24"/>
          <w:szCs w:val="24"/>
        </w:rPr>
        <w:t>, M. C. M., &amp; </w:t>
      </w:r>
      <w:proofErr w:type="spellStart"/>
      <w:r w:rsidRPr="00D47F7B">
        <w:rPr>
          <w:rFonts w:cstheme="minorHAnsi"/>
          <w:sz w:val="24"/>
          <w:szCs w:val="24"/>
        </w:rPr>
        <w:t>Heijnen</w:t>
      </w:r>
      <w:proofErr w:type="spellEnd"/>
      <w:r w:rsidRPr="00D47F7B">
        <w:rPr>
          <w:rFonts w:cstheme="minorHAnsi"/>
          <w:sz w:val="24"/>
          <w:szCs w:val="24"/>
        </w:rPr>
        <w:t xml:space="preserve">, J. J. (1998). The </w:t>
      </w:r>
      <w:proofErr w:type="spellStart"/>
      <w:r w:rsidRPr="00D47F7B">
        <w:rPr>
          <w:rFonts w:cstheme="minorHAnsi"/>
          <w:sz w:val="24"/>
          <w:szCs w:val="24"/>
        </w:rPr>
        <w:t>sharon</w:t>
      </w:r>
      <w:proofErr w:type="spellEnd"/>
      <w:r w:rsidRPr="00D47F7B">
        <w:rPr>
          <w:rFonts w:cstheme="minorHAnsi"/>
          <w:sz w:val="24"/>
          <w:szCs w:val="24"/>
        </w:rPr>
        <w:t xml:space="preserve"> process: An innovative method for nitrogen removal from ammonium-rich </w:t>
      </w:r>
      <w:proofErr w:type="gramStart"/>
      <w:r w:rsidRPr="00D47F7B">
        <w:rPr>
          <w:rFonts w:cstheme="minorHAnsi"/>
          <w:sz w:val="24"/>
          <w:szCs w:val="24"/>
        </w:rPr>
        <w:t>waste water</w:t>
      </w:r>
      <w:proofErr w:type="gramEnd"/>
      <w:r w:rsidRPr="00D47F7B">
        <w:rPr>
          <w:rFonts w:cstheme="minorHAnsi"/>
          <w:sz w:val="24"/>
          <w:szCs w:val="24"/>
        </w:rPr>
        <w:t>. </w:t>
      </w:r>
      <w:r w:rsidRPr="00D47F7B">
        <w:rPr>
          <w:rFonts w:cstheme="minorHAnsi"/>
          <w:i/>
          <w:iCs/>
          <w:sz w:val="24"/>
          <w:szCs w:val="24"/>
        </w:rPr>
        <w:t>Water Science and Technology</w:t>
      </w:r>
      <w:r w:rsidRPr="00D47F7B">
        <w:rPr>
          <w:rFonts w:cstheme="minorHAnsi"/>
          <w:sz w:val="24"/>
          <w:szCs w:val="24"/>
        </w:rPr>
        <w:t>, </w:t>
      </w:r>
      <w:r w:rsidRPr="00D47F7B">
        <w:rPr>
          <w:rFonts w:cstheme="minorHAnsi"/>
          <w:b/>
          <w:bCs/>
          <w:sz w:val="24"/>
          <w:szCs w:val="24"/>
        </w:rPr>
        <w:t>37</w:t>
      </w:r>
      <w:r w:rsidRPr="00D47F7B">
        <w:rPr>
          <w:rFonts w:cstheme="minorHAnsi"/>
          <w:sz w:val="24"/>
          <w:szCs w:val="24"/>
        </w:rPr>
        <w:t>(9), 135– 142. </w:t>
      </w:r>
      <w:r w:rsidRPr="00D47F7B">
        <w:rPr>
          <w:rFonts w:cstheme="minorHAnsi"/>
          <w:sz w:val="24"/>
          <w:szCs w:val="24"/>
        </w:rPr>
        <w:t>https://doi.org/10.2166/wst.1998.0350</w:t>
      </w:r>
    </w:p>
    <w:p w14:paraId="2B61AE74" w14:textId="2AB9EE9D"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Herber</w:t>
      </w:r>
      <w:proofErr w:type="spellEnd"/>
      <w:r w:rsidRPr="00D47F7B">
        <w:rPr>
          <w:rFonts w:cstheme="minorHAnsi"/>
          <w:sz w:val="24"/>
          <w:szCs w:val="24"/>
        </w:rPr>
        <w:t>, J., Klotz, F., </w:t>
      </w:r>
      <w:proofErr w:type="spellStart"/>
      <w:r w:rsidRPr="00D47F7B">
        <w:rPr>
          <w:rFonts w:cstheme="minorHAnsi"/>
          <w:sz w:val="24"/>
          <w:szCs w:val="24"/>
        </w:rPr>
        <w:t>Frommeyer</w:t>
      </w:r>
      <w:proofErr w:type="spellEnd"/>
      <w:r w:rsidRPr="00D47F7B">
        <w:rPr>
          <w:rFonts w:cstheme="minorHAnsi"/>
          <w:sz w:val="24"/>
          <w:szCs w:val="24"/>
        </w:rPr>
        <w:t>, B., Weis, S., </w:t>
      </w:r>
      <w:proofErr w:type="spellStart"/>
      <w:r w:rsidRPr="00D47F7B">
        <w:rPr>
          <w:rFonts w:cstheme="minorHAnsi"/>
          <w:sz w:val="24"/>
          <w:szCs w:val="24"/>
        </w:rPr>
        <w:t>Straile</w:t>
      </w:r>
      <w:proofErr w:type="spellEnd"/>
      <w:r w:rsidRPr="00D47F7B">
        <w:rPr>
          <w:rFonts w:cstheme="minorHAnsi"/>
          <w:sz w:val="24"/>
          <w:szCs w:val="24"/>
        </w:rPr>
        <w:t>, D., Kolar, A., Sikorski, J., </w:t>
      </w:r>
      <w:proofErr w:type="spellStart"/>
      <w:r w:rsidRPr="00D47F7B">
        <w:rPr>
          <w:rFonts w:cstheme="minorHAnsi"/>
          <w:sz w:val="24"/>
          <w:szCs w:val="24"/>
        </w:rPr>
        <w:t>Egert</w:t>
      </w:r>
      <w:proofErr w:type="spellEnd"/>
      <w:r w:rsidRPr="00D47F7B">
        <w:rPr>
          <w:rFonts w:cstheme="minorHAnsi"/>
          <w:sz w:val="24"/>
          <w:szCs w:val="24"/>
        </w:rPr>
        <w:t>, M., </w:t>
      </w:r>
      <w:proofErr w:type="spellStart"/>
      <w:r w:rsidRPr="00D47F7B">
        <w:rPr>
          <w:rFonts w:cstheme="minorHAnsi"/>
          <w:sz w:val="24"/>
          <w:szCs w:val="24"/>
        </w:rPr>
        <w:t>Dannenmann</w:t>
      </w:r>
      <w:proofErr w:type="spellEnd"/>
      <w:r w:rsidRPr="00D47F7B">
        <w:rPr>
          <w:rFonts w:cstheme="minorHAnsi"/>
          <w:sz w:val="24"/>
          <w:szCs w:val="24"/>
        </w:rPr>
        <w:t xml:space="preserve">, M., &amp; Pester, M. (2020). A single </w:t>
      </w:r>
      <w:proofErr w:type="spellStart"/>
      <w:r w:rsidRPr="00D47F7B">
        <w:rPr>
          <w:rFonts w:cstheme="minorHAnsi"/>
          <w:sz w:val="24"/>
          <w:szCs w:val="24"/>
        </w:rPr>
        <w:t>Thaumarchaeon</w:t>
      </w:r>
      <w:proofErr w:type="spellEnd"/>
      <w:r w:rsidRPr="00D47F7B">
        <w:rPr>
          <w:rFonts w:cstheme="minorHAnsi"/>
          <w:sz w:val="24"/>
          <w:szCs w:val="24"/>
        </w:rPr>
        <w:t xml:space="preserve"> drives nitrification in deep oligotrophic Lake Constance. </w:t>
      </w:r>
      <w:r w:rsidRPr="00D47F7B">
        <w:rPr>
          <w:rFonts w:cstheme="minorHAnsi"/>
          <w:i/>
          <w:iCs/>
          <w:sz w:val="24"/>
          <w:szCs w:val="24"/>
        </w:rPr>
        <w:t>Environmental Microbiology</w:t>
      </w:r>
      <w:r w:rsidRPr="00D47F7B">
        <w:rPr>
          <w:rFonts w:cstheme="minorHAnsi"/>
          <w:sz w:val="24"/>
          <w:szCs w:val="24"/>
        </w:rPr>
        <w:t>, </w:t>
      </w:r>
      <w:r w:rsidRPr="00D47F7B">
        <w:rPr>
          <w:rFonts w:cstheme="minorHAnsi"/>
          <w:b/>
          <w:bCs/>
          <w:sz w:val="24"/>
          <w:szCs w:val="24"/>
        </w:rPr>
        <w:t>22</w:t>
      </w:r>
      <w:r w:rsidRPr="00D47F7B">
        <w:rPr>
          <w:rFonts w:cstheme="minorHAnsi"/>
          <w:sz w:val="24"/>
          <w:szCs w:val="24"/>
        </w:rPr>
        <w:t>(1), 212– 228. </w:t>
      </w:r>
      <w:r w:rsidRPr="00D47F7B">
        <w:rPr>
          <w:rFonts w:cstheme="minorHAnsi"/>
          <w:sz w:val="24"/>
          <w:szCs w:val="24"/>
        </w:rPr>
        <w:t>https://doi.org/10.1111/1462-2920.14840</w:t>
      </w:r>
    </w:p>
    <w:p w14:paraId="6DB05A6C" w14:textId="6F8DB424"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Herlemann</w:t>
      </w:r>
      <w:proofErr w:type="spellEnd"/>
      <w:r w:rsidRPr="00D47F7B">
        <w:rPr>
          <w:rFonts w:cstheme="minorHAnsi"/>
          <w:sz w:val="24"/>
          <w:szCs w:val="24"/>
        </w:rPr>
        <w:t>, D. P. R., </w:t>
      </w:r>
      <w:proofErr w:type="spellStart"/>
      <w:r w:rsidRPr="00D47F7B">
        <w:rPr>
          <w:rFonts w:cstheme="minorHAnsi"/>
          <w:sz w:val="24"/>
          <w:szCs w:val="24"/>
        </w:rPr>
        <w:t>Labrenz</w:t>
      </w:r>
      <w:proofErr w:type="spellEnd"/>
      <w:r w:rsidRPr="00D47F7B">
        <w:rPr>
          <w:rFonts w:cstheme="minorHAnsi"/>
          <w:sz w:val="24"/>
          <w:szCs w:val="24"/>
        </w:rPr>
        <w:t>, M., </w:t>
      </w:r>
      <w:proofErr w:type="spellStart"/>
      <w:r w:rsidRPr="00D47F7B">
        <w:rPr>
          <w:rFonts w:cstheme="minorHAnsi"/>
          <w:sz w:val="24"/>
          <w:szCs w:val="24"/>
        </w:rPr>
        <w:t>Jürgens</w:t>
      </w:r>
      <w:proofErr w:type="spellEnd"/>
      <w:r w:rsidRPr="00D47F7B">
        <w:rPr>
          <w:rFonts w:cstheme="minorHAnsi"/>
          <w:sz w:val="24"/>
          <w:szCs w:val="24"/>
        </w:rPr>
        <w:t>, K., </w:t>
      </w:r>
      <w:proofErr w:type="spellStart"/>
      <w:r w:rsidRPr="00D47F7B">
        <w:rPr>
          <w:rFonts w:cstheme="minorHAnsi"/>
          <w:sz w:val="24"/>
          <w:szCs w:val="24"/>
        </w:rPr>
        <w:t>Bertilsson</w:t>
      </w:r>
      <w:proofErr w:type="spellEnd"/>
      <w:r w:rsidRPr="00D47F7B">
        <w:rPr>
          <w:rFonts w:cstheme="minorHAnsi"/>
          <w:sz w:val="24"/>
          <w:szCs w:val="24"/>
        </w:rPr>
        <w:t>, S., </w:t>
      </w:r>
      <w:proofErr w:type="spellStart"/>
      <w:r w:rsidRPr="00D47F7B">
        <w:rPr>
          <w:rFonts w:cstheme="minorHAnsi"/>
          <w:sz w:val="24"/>
          <w:szCs w:val="24"/>
        </w:rPr>
        <w:t>Waniek</w:t>
      </w:r>
      <w:proofErr w:type="spellEnd"/>
      <w:r w:rsidRPr="00D47F7B">
        <w:rPr>
          <w:rFonts w:cstheme="minorHAnsi"/>
          <w:sz w:val="24"/>
          <w:szCs w:val="24"/>
        </w:rPr>
        <w:t>, J. J., &amp; Andersson, A. F. (2011). Transitions in bacterial communities along the 2000 km salinity gradient of the Baltic Sea. </w:t>
      </w:r>
      <w:r w:rsidRPr="00D47F7B">
        <w:rPr>
          <w:rFonts w:cstheme="minorHAnsi"/>
          <w:i/>
          <w:iCs/>
          <w:sz w:val="24"/>
          <w:szCs w:val="24"/>
        </w:rPr>
        <w:t>The ISME Journal</w:t>
      </w:r>
      <w:r w:rsidRPr="00D47F7B">
        <w:rPr>
          <w:rFonts w:cstheme="minorHAnsi"/>
          <w:sz w:val="24"/>
          <w:szCs w:val="24"/>
        </w:rPr>
        <w:t>, </w:t>
      </w:r>
      <w:r w:rsidRPr="00D47F7B">
        <w:rPr>
          <w:rFonts w:cstheme="minorHAnsi"/>
          <w:b/>
          <w:bCs/>
          <w:sz w:val="24"/>
          <w:szCs w:val="24"/>
        </w:rPr>
        <w:t>5</w:t>
      </w:r>
      <w:r w:rsidRPr="00D47F7B">
        <w:rPr>
          <w:rFonts w:cstheme="minorHAnsi"/>
          <w:sz w:val="24"/>
          <w:szCs w:val="24"/>
        </w:rPr>
        <w:t>(10), 1571– 1579. </w:t>
      </w:r>
      <w:r w:rsidRPr="00D47F7B">
        <w:rPr>
          <w:rFonts w:cstheme="minorHAnsi"/>
          <w:sz w:val="24"/>
          <w:szCs w:val="24"/>
        </w:rPr>
        <w:t>https://doi.org/10.1038/ismej.2011.41</w:t>
      </w:r>
    </w:p>
    <w:p w14:paraId="6CA0F414" w14:textId="23C73F3F"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Iannacone</w:t>
      </w:r>
      <w:proofErr w:type="spellEnd"/>
      <w:r w:rsidRPr="00D47F7B">
        <w:rPr>
          <w:rFonts w:cstheme="minorHAnsi"/>
          <w:sz w:val="24"/>
          <w:szCs w:val="24"/>
        </w:rPr>
        <w:t>, F., di Capua, F., </w:t>
      </w:r>
      <w:proofErr w:type="spellStart"/>
      <w:r w:rsidRPr="00D47F7B">
        <w:rPr>
          <w:rFonts w:cstheme="minorHAnsi"/>
          <w:sz w:val="24"/>
          <w:szCs w:val="24"/>
        </w:rPr>
        <w:t>Granata</w:t>
      </w:r>
      <w:proofErr w:type="spellEnd"/>
      <w:r w:rsidRPr="00D47F7B">
        <w:rPr>
          <w:rFonts w:cstheme="minorHAnsi"/>
          <w:sz w:val="24"/>
          <w:szCs w:val="24"/>
        </w:rPr>
        <w:t xml:space="preserve">, F., Gargano, R., &amp; Esposito, G. (2020). Simultaneous nitrification, denitrification and phosphorus removal in a </w:t>
      </w:r>
      <w:proofErr w:type="gramStart"/>
      <w:r w:rsidRPr="00D47F7B">
        <w:rPr>
          <w:rFonts w:cstheme="minorHAnsi"/>
          <w:sz w:val="24"/>
          <w:szCs w:val="24"/>
        </w:rPr>
        <w:t>continuous-flow</w:t>
      </w:r>
      <w:proofErr w:type="gramEnd"/>
      <w:r w:rsidRPr="00D47F7B">
        <w:rPr>
          <w:rFonts w:cstheme="minorHAnsi"/>
          <w:sz w:val="24"/>
          <w:szCs w:val="24"/>
        </w:rPr>
        <w:t xml:space="preserve"> moving bed biofilm reactor alternating microaerobic and aerobic conditions. </w:t>
      </w:r>
      <w:r w:rsidRPr="00D47F7B">
        <w:rPr>
          <w:rFonts w:cstheme="minorHAnsi"/>
          <w:i/>
          <w:iCs/>
          <w:sz w:val="24"/>
          <w:szCs w:val="24"/>
        </w:rPr>
        <w:t>Bioresource Technology</w:t>
      </w:r>
      <w:r w:rsidRPr="00D47F7B">
        <w:rPr>
          <w:rFonts w:cstheme="minorHAnsi"/>
          <w:sz w:val="24"/>
          <w:szCs w:val="24"/>
        </w:rPr>
        <w:t>, </w:t>
      </w:r>
      <w:r w:rsidRPr="00D47F7B">
        <w:rPr>
          <w:rFonts w:cstheme="minorHAnsi"/>
          <w:b/>
          <w:bCs/>
          <w:sz w:val="24"/>
          <w:szCs w:val="24"/>
        </w:rPr>
        <w:t>310</w:t>
      </w:r>
      <w:r w:rsidRPr="00D47F7B">
        <w:rPr>
          <w:rFonts w:cstheme="minorHAnsi"/>
          <w:sz w:val="24"/>
          <w:szCs w:val="24"/>
        </w:rPr>
        <w:t>, 123453. </w:t>
      </w:r>
      <w:r w:rsidRPr="00D47F7B">
        <w:rPr>
          <w:rFonts w:cstheme="minorHAnsi"/>
          <w:sz w:val="24"/>
          <w:szCs w:val="24"/>
        </w:rPr>
        <w:t>https://doi.org/10.1016/j.biortech.2020.123453</w:t>
      </w:r>
    </w:p>
    <w:p w14:paraId="42BE69FF" w14:textId="58AFF262"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Katoh</w:t>
      </w:r>
      <w:proofErr w:type="spellEnd"/>
      <w:r w:rsidRPr="00D47F7B">
        <w:rPr>
          <w:rFonts w:cstheme="minorHAnsi"/>
          <w:sz w:val="24"/>
          <w:szCs w:val="24"/>
        </w:rPr>
        <w:t>, K., &amp; </w:t>
      </w:r>
      <w:proofErr w:type="spellStart"/>
      <w:r w:rsidRPr="00D47F7B">
        <w:rPr>
          <w:rFonts w:cstheme="minorHAnsi"/>
          <w:sz w:val="24"/>
          <w:szCs w:val="24"/>
        </w:rPr>
        <w:t>Standley</w:t>
      </w:r>
      <w:proofErr w:type="spellEnd"/>
      <w:r w:rsidRPr="00D47F7B">
        <w:rPr>
          <w:rFonts w:cstheme="minorHAnsi"/>
          <w:sz w:val="24"/>
          <w:szCs w:val="24"/>
        </w:rPr>
        <w:t>, D. M. (2013). MAFFT multiple sequence alignment software version 7: Improvements in performance and usability. </w:t>
      </w:r>
      <w:r w:rsidRPr="00D47F7B">
        <w:rPr>
          <w:rFonts w:cstheme="minorHAnsi"/>
          <w:i/>
          <w:iCs/>
          <w:sz w:val="24"/>
          <w:szCs w:val="24"/>
        </w:rPr>
        <w:t>Molecular Biology and Evolution</w:t>
      </w:r>
      <w:r w:rsidRPr="00D47F7B">
        <w:rPr>
          <w:rFonts w:cstheme="minorHAnsi"/>
          <w:sz w:val="24"/>
          <w:szCs w:val="24"/>
        </w:rPr>
        <w:t>, </w:t>
      </w:r>
      <w:r w:rsidRPr="00D47F7B">
        <w:rPr>
          <w:rFonts w:cstheme="minorHAnsi"/>
          <w:b/>
          <w:bCs/>
          <w:sz w:val="24"/>
          <w:szCs w:val="24"/>
        </w:rPr>
        <w:t>30</w:t>
      </w:r>
      <w:r w:rsidRPr="00D47F7B">
        <w:rPr>
          <w:rFonts w:cstheme="minorHAnsi"/>
          <w:sz w:val="24"/>
          <w:szCs w:val="24"/>
        </w:rPr>
        <w:t>(4), 772– 780. </w:t>
      </w:r>
      <w:r w:rsidRPr="00D47F7B">
        <w:rPr>
          <w:rFonts w:cstheme="minorHAnsi"/>
          <w:sz w:val="24"/>
          <w:szCs w:val="24"/>
        </w:rPr>
        <w:t>https://doi.org/10.1093/molbev/mst010</w:t>
      </w:r>
    </w:p>
    <w:p w14:paraId="1FD82CD4" w14:textId="0E796E99" w:rsidR="00E14CE2" w:rsidRPr="00D47F7B" w:rsidRDefault="00E14CE2" w:rsidP="00D47F7B">
      <w:pPr>
        <w:pStyle w:val="NoSpacing"/>
        <w:ind w:left="720" w:hanging="720"/>
        <w:rPr>
          <w:rFonts w:cstheme="minorHAnsi"/>
          <w:sz w:val="24"/>
          <w:szCs w:val="24"/>
        </w:rPr>
      </w:pPr>
      <w:r w:rsidRPr="00D47F7B">
        <w:rPr>
          <w:rFonts w:cstheme="minorHAnsi"/>
          <w:sz w:val="24"/>
          <w:szCs w:val="24"/>
        </w:rPr>
        <w:t>van Kessel, M. A., </w:t>
      </w:r>
      <w:proofErr w:type="spellStart"/>
      <w:r w:rsidRPr="00D47F7B">
        <w:rPr>
          <w:rFonts w:cstheme="minorHAnsi"/>
          <w:sz w:val="24"/>
          <w:szCs w:val="24"/>
        </w:rPr>
        <w:t>Speth</w:t>
      </w:r>
      <w:proofErr w:type="spellEnd"/>
      <w:r w:rsidRPr="00D47F7B">
        <w:rPr>
          <w:rFonts w:cstheme="minorHAnsi"/>
          <w:sz w:val="24"/>
          <w:szCs w:val="24"/>
        </w:rPr>
        <w:t>, D. R., </w:t>
      </w:r>
      <w:proofErr w:type="spellStart"/>
      <w:r w:rsidRPr="00D47F7B">
        <w:rPr>
          <w:rFonts w:cstheme="minorHAnsi"/>
          <w:sz w:val="24"/>
          <w:szCs w:val="24"/>
        </w:rPr>
        <w:t>Albertsen</w:t>
      </w:r>
      <w:proofErr w:type="spellEnd"/>
      <w:r w:rsidRPr="00D47F7B">
        <w:rPr>
          <w:rFonts w:cstheme="minorHAnsi"/>
          <w:sz w:val="24"/>
          <w:szCs w:val="24"/>
        </w:rPr>
        <w:t>, M., Nielsen, P. H., </w:t>
      </w:r>
      <w:proofErr w:type="spellStart"/>
      <w:r w:rsidRPr="00D47F7B">
        <w:rPr>
          <w:rFonts w:cstheme="minorHAnsi"/>
          <w:sz w:val="24"/>
          <w:szCs w:val="24"/>
        </w:rPr>
        <w:t>Opden</w:t>
      </w:r>
      <w:proofErr w:type="spellEnd"/>
      <w:r w:rsidRPr="00D47F7B">
        <w:rPr>
          <w:rFonts w:cstheme="minorHAnsi"/>
          <w:sz w:val="24"/>
          <w:szCs w:val="24"/>
        </w:rPr>
        <w:t xml:space="preserve"> Camp, H. J., </w:t>
      </w:r>
      <w:proofErr w:type="spellStart"/>
      <w:r w:rsidRPr="00D47F7B">
        <w:rPr>
          <w:rFonts w:cstheme="minorHAnsi"/>
          <w:sz w:val="24"/>
          <w:szCs w:val="24"/>
        </w:rPr>
        <w:t>Kartal</w:t>
      </w:r>
      <w:proofErr w:type="spellEnd"/>
      <w:r w:rsidRPr="00D47F7B">
        <w:rPr>
          <w:rFonts w:cstheme="minorHAnsi"/>
          <w:sz w:val="24"/>
          <w:szCs w:val="24"/>
        </w:rPr>
        <w:t>, B., Jetten, M. S., &amp; </w:t>
      </w:r>
      <w:proofErr w:type="spellStart"/>
      <w:r w:rsidRPr="00D47F7B">
        <w:rPr>
          <w:rFonts w:cstheme="minorHAnsi"/>
          <w:sz w:val="24"/>
          <w:szCs w:val="24"/>
        </w:rPr>
        <w:t>Lücker</w:t>
      </w:r>
      <w:proofErr w:type="spellEnd"/>
      <w:r w:rsidRPr="00D47F7B">
        <w:rPr>
          <w:rFonts w:cstheme="minorHAnsi"/>
          <w:sz w:val="24"/>
          <w:szCs w:val="24"/>
        </w:rPr>
        <w:t>, S. (2015). Complete nitrification by a single microorganism. </w:t>
      </w:r>
      <w:r w:rsidRPr="00D47F7B">
        <w:rPr>
          <w:rFonts w:cstheme="minorHAnsi"/>
          <w:i/>
          <w:iCs/>
          <w:sz w:val="24"/>
          <w:szCs w:val="24"/>
        </w:rPr>
        <w:t>Nature</w:t>
      </w:r>
      <w:r w:rsidRPr="00D47F7B">
        <w:rPr>
          <w:rFonts w:cstheme="minorHAnsi"/>
          <w:sz w:val="24"/>
          <w:szCs w:val="24"/>
        </w:rPr>
        <w:t>, </w:t>
      </w:r>
      <w:r w:rsidRPr="00D47F7B">
        <w:rPr>
          <w:rFonts w:cstheme="minorHAnsi"/>
          <w:b/>
          <w:bCs/>
          <w:sz w:val="24"/>
          <w:szCs w:val="24"/>
        </w:rPr>
        <w:t>528</w:t>
      </w:r>
      <w:r w:rsidRPr="00D47F7B">
        <w:rPr>
          <w:rFonts w:cstheme="minorHAnsi"/>
          <w:sz w:val="24"/>
          <w:szCs w:val="24"/>
        </w:rPr>
        <w:t>(7583), 555– 559. </w:t>
      </w:r>
      <w:r w:rsidRPr="00D47F7B">
        <w:rPr>
          <w:rFonts w:cstheme="minorHAnsi"/>
          <w:sz w:val="24"/>
          <w:szCs w:val="24"/>
        </w:rPr>
        <w:t>https://doi.org/10.1038/nature16459</w:t>
      </w:r>
    </w:p>
    <w:p w14:paraId="6EA81355" w14:textId="745DED77" w:rsidR="00E14CE2" w:rsidRPr="00D47F7B" w:rsidRDefault="00E14CE2" w:rsidP="00D47F7B">
      <w:pPr>
        <w:pStyle w:val="NoSpacing"/>
        <w:ind w:left="720" w:hanging="720"/>
        <w:rPr>
          <w:rFonts w:cstheme="minorHAnsi"/>
          <w:sz w:val="24"/>
          <w:szCs w:val="24"/>
        </w:rPr>
      </w:pPr>
      <w:r w:rsidRPr="00D47F7B">
        <w:rPr>
          <w:rFonts w:cstheme="minorHAnsi"/>
          <w:sz w:val="24"/>
          <w:szCs w:val="24"/>
        </w:rPr>
        <w:t>Kim, J., &amp; Novak, J. T. (2011). Combined anaerobic/aerobic digestion: Effect of aerobic retention time on nitrogen and solids removal. </w:t>
      </w:r>
      <w:r w:rsidRPr="00D47F7B">
        <w:rPr>
          <w:rFonts w:cstheme="minorHAnsi"/>
          <w:i/>
          <w:iCs/>
          <w:sz w:val="24"/>
          <w:szCs w:val="24"/>
        </w:rPr>
        <w:t>Water Environment Research</w:t>
      </w:r>
      <w:r w:rsidRPr="00D47F7B">
        <w:rPr>
          <w:rFonts w:cstheme="minorHAnsi"/>
          <w:sz w:val="24"/>
          <w:szCs w:val="24"/>
        </w:rPr>
        <w:t>, </w:t>
      </w:r>
      <w:r w:rsidRPr="00D47F7B">
        <w:rPr>
          <w:rFonts w:cstheme="minorHAnsi"/>
          <w:b/>
          <w:bCs/>
          <w:sz w:val="24"/>
          <w:szCs w:val="24"/>
        </w:rPr>
        <w:t>83</w:t>
      </w:r>
      <w:r w:rsidRPr="00D47F7B">
        <w:rPr>
          <w:rFonts w:cstheme="minorHAnsi"/>
          <w:sz w:val="24"/>
          <w:szCs w:val="24"/>
        </w:rPr>
        <w:t>(9), 802– 806. </w:t>
      </w:r>
      <w:r w:rsidRPr="00D47F7B">
        <w:rPr>
          <w:rFonts w:cstheme="minorHAnsi"/>
          <w:sz w:val="24"/>
          <w:szCs w:val="24"/>
        </w:rPr>
        <w:t>https://doi.org/10.2175/106143011X12928814444970</w:t>
      </w:r>
    </w:p>
    <w:p w14:paraId="0F4695D7" w14:textId="59A40CB9" w:rsidR="00E14CE2" w:rsidRPr="00D47F7B" w:rsidRDefault="00E14CE2" w:rsidP="00D47F7B">
      <w:pPr>
        <w:pStyle w:val="NoSpacing"/>
        <w:ind w:left="720" w:hanging="720"/>
        <w:rPr>
          <w:rFonts w:cstheme="minorHAnsi"/>
          <w:sz w:val="24"/>
          <w:szCs w:val="24"/>
        </w:rPr>
      </w:pPr>
      <w:r w:rsidRPr="00D47F7B">
        <w:rPr>
          <w:rFonts w:cstheme="minorHAnsi"/>
          <w:sz w:val="24"/>
          <w:szCs w:val="24"/>
        </w:rPr>
        <w:t>Kuenen, J. G. (2008). Anammox bacteria: From discovery to application. </w:t>
      </w:r>
      <w:r w:rsidRPr="00D47F7B">
        <w:rPr>
          <w:rFonts w:cstheme="minorHAnsi"/>
          <w:i/>
          <w:iCs/>
          <w:sz w:val="24"/>
          <w:szCs w:val="24"/>
        </w:rPr>
        <w:t>Nature Reviews Microbiology</w:t>
      </w:r>
      <w:r w:rsidRPr="00D47F7B">
        <w:rPr>
          <w:rFonts w:cstheme="minorHAnsi"/>
          <w:sz w:val="24"/>
          <w:szCs w:val="24"/>
        </w:rPr>
        <w:t>, </w:t>
      </w:r>
      <w:r w:rsidRPr="00D47F7B">
        <w:rPr>
          <w:rFonts w:cstheme="minorHAnsi"/>
          <w:b/>
          <w:bCs/>
          <w:sz w:val="24"/>
          <w:szCs w:val="24"/>
        </w:rPr>
        <w:t>6</w:t>
      </w:r>
      <w:r w:rsidRPr="00D47F7B">
        <w:rPr>
          <w:rFonts w:cstheme="minorHAnsi"/>
          <w:sz w:val="24"/>
          <w:szCs w:val="24"/>
        </w:rPr>
        <w:t>(4), 320– 326. </w:t>
      </w:r>
      <w:r w:rsidRPr="00D47F7B">
        <w:rPr>
          <w:rFonts w:cstheme="minorHAnsi"/>
          <w:sz w:val="24"/>
          <w:szCs w:val="24"/>
        </w:rPr>
        <w:t>https://doi.org/10.1038/nrmicro1857</w:t>
      </w:r>
    </w:p>
    <w:p w14:paraId="3CAB941E" w14:textId="0562DCE7" w:rsidR="00E14CE2" w:rsidRPr="00D47F7B" w:rsidRDefault="00E14CE2" w:rsidP="00D47F7B">
      <w:pPr>
        <w:pStyle w:val="NoSpacing"/>
        <w:ind w:left="720" w:hanging="720"/>
        <w:rPr>
          <w:rFonts w:cstheme="minorHAnsi"/>
          <w:sz w:val="24"/>
          <w:szCs w:val="24"/>
        </w:rPr>
      </w:pPr>
      <w:r w:rsidRPr="00D47F7B">
        <w:rPr>
          <w:rFonts w:cstheme="minorHAnsi"/>
          <w:sz w:val="24"/>
          <w:szCs w:val="24"/>
        </w:rPr>
        <w:t>Kumar, N., Novak, J., &amp; Murthy, S. (2006). Effect of secondary aerobic digestion on properties of anaerobic digested biosolids. </w:t>
      </w:r>
      <w:r w:rsidRPr="00D47F7B">
        <w:rPr>
          <w:rFonts w:cstheme="minorHAnsi"/>
          <w:i/>
          <w:iCs/>
          <w:sz w:val="24"/>
          <w:szCs w:val="24"/>
        </w:rPr>
        <w:t>Proceedings of the Water Environment Federation</w:t>
      </w:r>
      <w:r w:rsidRPr="00D47F7B">
        <w:rPr>
          <w:rFonts w:cstheme="minorHAnsi"/>
          <w:sz w:val="24"/>
          <w:szCs w:val="24"/>
        </w:rPr>
        <w:t>, </w:t>
      </w:r>
      <w:r w:rsidRPr="00D47F7B">
        <w:rPr>
          <w:rFonts w:cstheme="minorHAnsi"/>
          <w:b/>
          <w:bCs/>
          <w:sz w:val="24"/>
          <w:szCs w:val="24"/>
        </w:rPr>
        <w:t>2006</w:t>
      </w:r>
      <w:r w:rsidRPr="00D47F7B">
        <w:rPr>
          <w:rFonts w:cstheme="minorHAnsi"/>
          <w:sz w:val="24"/>
          <w:szCs w:val="24"/>
        </w:rPr>
        <w:t>(5), 6806– 6829. </w:t>
      </w:r>
      <w:r w:rsidRPr="00D47F7B">
        <w:rPr>
          <w:rFonts w:cstheme="minorHAnsi"/>
          <w:sz w:val="24"/>
          <w:szCs w:val="24"/>
        </w:rPr>
        <w:t>https://doi.org/10.2175/193864706783761527</w:t>
      </w:r>
    </w:p>
    <w:p w14:paraId="56C5CCB0" w14:textId="00ED2E88"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Kuokkanen</w:t>
      </w:r>
      <w:proofErr w:type="spellEnd"/>
      <w:r w:rsidRPr="00D47F7B">
        <w:rPr>
          <w:rFonts w:cstheme="minorHAnsi"/>
          <w:sz w:val="24"/>
          <w:szCs w:val="24"/>
        </w:rPr>
        <w:t>, A., Blomberg, K., </w:t>
      </w:r>
      <w:proofErr w:type="spellStart"/>
      <w:r w:rsidRPr="00D47F7B">
        <w:rPr>
          <w:rFonts w:cstheme="minorHAnsi"/>
          <w:sz w:val="24"/>
          <w:szCs w:val="24"/>
        </w:rPr>
        <w:t>Mikola</w:t>
      </w:r>
      <w:proofErr w:type="spellEnd"/>
      <w:r w:rsidRPr="00D47F7B">
        <w:rPr>
          <w:rFonts w:cstheme="minorHAnsi"/>
          <w:sz w:val="24"/>
          <w:szCs w:val="24"/>
        </w:rPr>
        <w:t>, A., &amp; </w:t>
      </w:r>
      <w:proofErr w:type="spellStart"/>
      <w:r w:rsidRPr="00D47F7B">
        <w:rPr>
          <w:rFonts w:cstheme="minorHAnsi"/>
          <w:sz w:val="24"/>
          <w:szCs w:val="24"/>
        </w:rPr>
        <w:t>Heinonen</w:t>
      </w:r>
      <w:proofErr w:type="spellEnd"/>
      <w:r w:rsidRPr="00D47F7B">
        <w:rPr>
          <w:rFonts w:cstheme="minorHAnsi"/>
          <w:sz w:val="24"/>
          <w:szCs w:val="24"/>
        </w:rPr>
        <w:t xml:space="preserve">, M. (2021). Unwanted mainstream </w:t>
      </w:r>
      <w:proofErr w:type="spellStart"/>
      <w:r w:rsidRPr="00D47F7B">
        <w:rPr>
          <w:rFonts w:cstheme="minorHAnsi"/>
          <w:sz w:val="24"/>
          <w:szCs w:val="24"/>
        </w:rPr>
        <w:t>nitritation</w:t>
      </w:r>
      <w:proofErr w:type="spellEnd"/>
      <w:r w:rsidRPr="00D47F7B">
        <w:rPr>
          <w:rFonts w:cstheme="minorHAnsi"/>
          <w:sz w:val="24"/>
          <w:szCs w:val="24"/>
        </w:rPr>
        <w:t>–</w:t>
      </w:r>
      <w:proofErr w:type="spellStart"/>
      <w:r w:rsidRPr="00D47F7B">
        <w:rPr>
          <w:rFonts w:cstheme="minorHAnsi"/>
          <w:sz w:val="24"/>
          <w:szCs w:val="24"/>
        </w:rPr>
        <w:t>denitritation</w:t>
      </w:r>
      <w:proofErr w:type="spellEnd"/>
      <w:r w:rsidRPr="00D47F7B">
        <w:rPr>
          <w:rFonts w:cstheme="minorHAnsi"/>
          <w:sz w:val="24"/>
          <w:szCs w:val="24"/>
        </w:rPr>
        <w:t xml:space="preserve"> causing massive N2O emissions in a continuous activated sludge process. </w:t>
      </w:r>
      <w:r w:rsidRPr="00D47F7B">
        <w:rPr>
          <w:rFonts w:cstheme="minorHAnsi"/>
          <w:i/>
          <w:iCs/>
          <w:sz w:val="24"/>
          <w:szCs w:val="24"/>
        </w:rPr>
        <w:t>Water Science and Technology</w:t>
      </w:r>
      <w:r w:rsidRPr="00D47F7B">
        <w:rPr>
          <w:rFonts w:cstheme="minorHAnsi"/>
          <w:sz w:val="24"/>
          <w:szCs w:val="24"/>
        </w:rPr>
        <w:t>, </w:t>
      </w:r>
      <w:r w:rsidRPr="00D47F7B">
        <w:rPr>
          <w:rFonts w:cstheme="minorHAnsi"/>
          <w:b/>
          <w:bCs/>
          <w:sz w:val="24"/>
          <w:szCs w:val="24"/>
        </w:rPr>
        <w:t>83</w:t>
      </w:r>
      <w:r w:rsidRPr="00D47F7B">
        <w:rPr>
          <w:rFonts w:cstheme="minorHAnsi"/>
          <w:sz w:val="24"/>
          <w:szCs w:val="24"/>
        </w:rPr>
        <w:t>(9), 2207– 2217. </w:t>
      </w:r>
      <w:r w:rsidRPr="00D47F7B">
        <w:rPr>
          <w:rFonts w:cstheme="minorHAnsi"/>
          <w:sz w:val="24"/>
          <w:szCs w:val="24"/>
        </w:rPr>
        <w:t>https://doi.org/10.2166/wst.2021.127</w:t>
      </w:r>
    </w:p>
    <w:p w14:paraId="06565A8E" w14:textId="62757CCD" w:rsidR="00E14CE2" w:rsidRPr="00D47F7B" w:rsidRDefault="00E14CE2" w:rsidP="00D47F7B">
      <w:pPr>
        <w:pStyle w:val="NoSpacing"/>
        <w:ind w:left="720" w:hanging="720"/>
        <w:rPr>
          <w:rFonts w:cstheme="minorHAnsi"/>
          <w:sz w:val="24"/>
          <w:szCs w:val="24"/>
        </w:rPr>
      </w:pPr>
      <w:r w:rsidRPr="00D47F7B">
        <w:rPr>
          <w:rFonts w:cstheme="minorHAnsi"/>
          <w:sz w:val="24"/>
          <w:szCs w:val="24"/>
        </w:rPr>
        <w:t>Li, L., He, Q., Ma, Y., Wang, X., &amp; Peng, X. (2016). A mesophilic anaerobic digester for treating food waste: Process stability and microbial community analysis using pyrosequencing. </w:t>
      </w:r>
      <w:r w:rsidRPr="00D47F7B">
        <w:rPr>
          <w:rFonts w:cstheme="minorHAnsi"/>
          <w:i/>
          <w:iCs/>
          <w:sz w:val="24"/>
          <w:szCs w:val="24"/>
        </w:rPr>
        <w:t>Microbial Cell Factories</w:t>
      </w:r>
      <w:r w:rsidRPr="00D47F7B">
        <w:rPr>
          <w:rFonts w:cstheme="minorHAnsi"/>
          <w:sz w:val="24"/>
          <w:szCs w:val="24"/>
        </w:rPr>
        <w:t>, </w:t>
      </w:r>
      <w:r w:rsidRPr="00D47F7B">
        <w:rPr>
          <w:rFonts w:cstheme="minorHAnsi"/>
          <w:b/>
          <w:bCs/>
          <w:sz w:val="24"/>
          <w:szCs w:val="24"/>
        </w:rPr>
        <w:t>15</w:t>
      </w:r>
      <w:r w:rsidRPr="00D47F7B">
        <w:rPr>
          <w:rFonts w:cstheme="minorHAnsi"/>
          <w:sz w:val="24"/>
          <w:szCs w:val="24"/>
        </w:rPr>
        <w:t>, 65. </w:t>
      </w:r>
      <w:r w:rsidRPr="00D47F7B">
        <w:rPr>
          <w:rFonts w:cstheme="minorHAnsi"/>
          <w:sz w:val="24"/>
          <w:szCs w:val="24"/>
        </w:rPr>
        <w:t>https://doi.org/10.1186/s12934-016-0466-y</w:t>
      </w:r>
    </w:p>
    <w:p w14:paraId="2F173BB3" w14:textId="45430FC7" w:rsidR="00E14CE2" w:rsidRPr="00D47F7B" w:rsidRDefault="00E14CE2" w:rsidP="00D47F7B">
      <w:pPr>
        <w:pStyle w:val="NoSpacing"/>
        <w:ind w:left="720" w:hanging="720"/>
        <w:rPr>
          <w:rFonts w:cstheme="minorHAnsi"/>
          <w:sz w:val="24"/>
          <w:szCs w:val="24"/>
        </w:rPr>
      </w:pPr>
      <w:r w:rsidRPr="00D47F7B">
        <w:rPr>
          <w:rFonts w:cstheme="minorHAnsi"/>
          <w:sz w:val="24"/>
          <w:szCs w:val="24"/>
        </w:rPr>
        <w:t>Liu, Z., Mayer, B. V., </w:t>
      </w:r>
      <w:proofErr w:type="spellStart"/>
      <w:r w:rsidRPr="00D47F7B">
        <w:rPr>
          <w:rFonts w:cstheme="minorHAnsi"/>
          <w:sz w:val="24"/>
          <w:szCs w:val="24"/>
        </w:rPr>
        <w:t>Seyedi</w:t>
      </w:r>
      <w:proofErr w:type="spellEnd"/>
      <w:r w:rsidRPr="00D47F7B">
        <w:rPr>
          <w:rFonts w:cstheme="minorHAnsi"/>
          <w:sz w:val="24"/>
          <w:szCs w:val="24"/>
        </w:rPr>
        <w:t>, S., Raju, K. K., Arun, S. K. Z., McNamara, D., &amp; Patrick, J. (2020). The State of Technologies and Research for Energy Recovery from Municipal Wastewater Sludge and Biosolids. </w:t>
      </w:r>
      <w:r w:rsidRPr="00D47F7B">
        <w:rPr>
          <w:rFonts w:cstheme="minorHAnsi"/>
          <w:i/>
          <w:iCs/>
          <w:sz w:val="24"/>
          <w:szCs w:val="24"/>
        </w:rPr>
        <w:t>Current Opinion in Environmental Science &amp; Health</w:t>
      </w:r>
      <w:r w:rsidRPr="00D47F7B">
        <w:rPr>
          <w:rFonts w:cstheme="minorHAnsi"/>
          <w:sz w:val="24"/>
          <w:szCs w:val="24"/>
        </w:rPr>
        <w:t>, </w:t>
      </w:r>
      <w:r w:rsidRPr="00D47F7B">
        <w:rPr>
          <w:rFonts w:cstheme="minorHAnsi"/>
          <w:b/>
          <w:bCs/>
          <w:sz w:val="24"/>
          <w:szCs w:val="24"/>
        </w:rPr>
        <w:t>14</w:t>
      </w:r>
      <w:r w:rsidRPr="00D47F7B">
        <w:rPr>
          <w:rFonts w:cstheme="minorHAnsi"/>
          <w:sz w:val="24"/>
          <w:szCs w:val="24"/>
        </w:rPr>
        <w:t>, 31– 36. </w:t>
      </w:r>
      <w:r w:rsidRPr="00D47F7B">
        <w:rPr>
          <w:rFonts w:cstheme="minorHAnsi"/>
          <w:sz w:val="24"/>
          <w:szCs w:val="24"/>
        </w:rPr>
        <w:t>https://doi.org/10.1016/j.coesh.2019.12.004</w:t>
      </w:r>
    </w:p>
    <w:p w14:paraId="65D06DE1" w14:textId="0D340F6D" w:rsidR="00E14CE2" w:rsidRPr="00D47F7B" w:rsidRDefault="00E14CE2" w:rsidP="00D47F7B">
      <w:pPr>
        <w:pStyle w:val="NoSpacing"/>
        <w:ind w:left="720" w:hanging="720"/>
        <w:rPr>
          <w:rFonts w:cstheme="minorHAnsi"/>
          <w:sz w:val="24"/>
          <w:szCs w:val="24"/>
        </w:rPr>
      </w:pPr>
      <w:r w:rsidRPr="00D47F7B">
        <w:rPr>
          <w:rFonts w:cstheme="minorHAnsi"/>
          <w:sz w:val="24"/>
          <w:szCs w:val="24"/>
        </w:rPr>
        <w:t>Lopez-Vazquez, C. M., </w:t>
      </w:r>
      <w:proofErr w:type="spellStart"/>
      <w:r w:rsidRPr="00D47F7B">
        <w:rPr>
          <w:rFonts w:cstheme="minorHAnsi"/>
          <w:sz w:val="24"/>
          <w:szCs w:val="24"/>
        </w:rPr>
        <w:t>Kubare</w:t>
      </w:r>
      <w:proofErr w:type="spellEnd"/>
      <w:r w:rsidRPr="00D47F7B">
        <w:rPr>
          <w:rFonts w:cstheme="minorHAnsi"/>
          <w:sz w:val="24"/>
          <w:szCs w:val="24"/>
        </w:rPr>
        <w:t>, M., Saroj, D. P., </w:t>
      </w:r>
      <w:proofErr w:type="spellStart"/>
      <w:r w:rsidRPr="00D47F7B">
        <w:rPr>
          <w:rFonts w:cstheme="minorHAnsi"/>
          <w:sz w:val="24"/>
          <w:szCs w:val="24"/>
        </w:rPr>
        <w:t>Chikamba</w:t>
      </w:r>
      <w:proofErr w:type="spellEnd"/>
      <w:r w:rsidRPr="00D47F7B">
        <w:rPr>
          <w:rFonts w:cstheme="minorHAnsi"/>
          <w:sz w:val="24"/>
          <w:szCs w:val="24"/>
        </w:rPr>
        <w:t>, C., Schwarz, J., </w:t>
      </w:r>
      <w:proofErr w:type="spellStart"/>
      <w:r w:rsidRPr="00D47F7B">
        <w:rPr>
          <w:rFonts w:cstheme="minorHAnsi"/>
          <w:sz w:val="24"/>
          <w:szCs w:val="24"/>
        </w:rPr>
        <w:t>Daims</w:t>
      </w:r>
      <w:proofErr w:type="spellEnd"/>
      <w:r w:rsidRPr="00D47F7B">
        <w:rPr>
          <w:rFonts w:cstheme="minorHAnsi"/>
          <w:sz w:val="24"/>
          <w:szCs w:val="24"/>
        </w:rPr>
        <w:t>, H., &amp; </w:t>
      </w:r>
      <w:proofErr w:type="spellStart"/>
      <w:r w:rsidRPr="00D47F7B">
        <w:rPr>
          <w:rFonts w:cstheme="minorHAnsi"/>
          <w:sz w:val="24"/>
          <w:szCs w:val="24"/>
        </w:rPr>
        <w:t>Brdjanovic</w:t>
      </w:r>
      <w:proofErr w:type="spellEnd"/>
      <w:r w:rsidRPr="00D47F7B">
        <w:rPr>
          <w:rFonts w:cstheme="minorHAnsi"/>
          <w:sz w:val="24"/>
          <w:szCs w:val="24"/>
        </w:rPr>
        <w:t>, D. (2014). Thermophilic biological nitrogen removal in industrial wastewater treatment. </w:t>
      </w:r>
      <w:r w:rsidRPr="00D47F7B">
        <w:rPr>
          <w:rFonts w:cstheme="minorHAnsi"/>
          <w:i/>
          <w:iCs/>
          <w:sz w:val="24"/>
          <w:szCs w:val="24"/>
        </w:rPr>
        <w:t>Applied Microbiology and Biotechnology</w:t>
      </w:r>
      <w:r w:rsidRPr="00D47F7B">
        <w:rPr>
          <w:rFonts w:cstheme="minorHAnsi"/>
          <w:sz w:val="24"/>
          <w:szCs w:val="24"/>
        </w:rPr>
        <w:t>, </w:t>
      </w:r>
      <w:r w:rsidRPr="00D47F7B">
        <w:rPr>
          <w:rFonts w:cstheme="minorHAnsi"/>
          <w:b/>
          <w:bCs/>
          <w:sz w:val="24"/>
          <w:szCs w:val="24"/>
        </w:rPr>
        <w:t>98</w:t>
      </w:r>
      <w:r w:rsidRPr="00D47F7B">
        <w:rPr>
          <w:rFonts w:cstheme="minorHAnsi"/>
          <w:sz w:val="24"/>
          <w:szCs w:val="24"/>
        </w:rPr>
        <w:t>, 945– 956. </w:t>
      </w:r>
      <w:r w:rsidRPr="00D47F7B">
        <w:rPr>
          <w:rFonts w:cstheme="minorHAnsi"/>
          <w:sz w:val="24"/>
          <w:szCs w:val="24"/>
        </w:rPr>
        <w:t>https://doi.org/10.1007/s00253-013-4950-6</w:t>
      </w:r>
    </w:p>
    <w:p w14:paraId="5A04B090" w14:textId="27A63152"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Mannina</w:t>
      </w:r>
      <w:proofErr w:type="spellEnd"/>
      <w:r w:rsidRPr="00D47F7B">
        <w:rPr>
          <w:rFonts w:cstheme="minorHAnsi"/>
          <w:sz w:val="24"/>
          <w:szCs w:val="24"/>
        </w:rPr>
        <w:t>, G., </w:t>
      </w:r>
      <w:proofErr w:type="spellStart"/>
      <w:r w:rsidRPr="00D47F7B">
        <w:rPr>
          <w:rFonts w:cstheme="minorHAnsi"/>
          <w:sz w:val="24"/>
          <w:szCs w:val="24"/>
        </w:rPr>
        <w:t>Badalucco</w:t>
      </w:r>
      <w:proofErr w:type="spellEnd"/>
      <w:r w:rsidRPr="00D47F7B">
        <w:rPr>
          <w:rFonts w:cstheme="minorHAnsi"/>
          <w:sz w:val="24"/>
          <w:szCs w:val="24"/>
        </w:rPr>
        <w:t>, L., Barbara, L., Cosenza, A., di Trapani, D., Gallo, G., </w:t>
      </w:r>
      <w:proofErr w:type="spellStart"/>
      <w:r w:rsidRPr="00D47F7B">
        <w:rPr>
          <w:rFonts w:cstheme="minorHAnsi"/>
          <w:sz w:val="24"/>
          <w:szCs w:val="24"/>
        </w:rPr>
        <w:t>Laudicina</w:t>
      </w:r>
      <w:proofErr w:type="spellEnd"/>
      <w:r w:rsidRPr="00D47F7B">
        <w:rPr>
          <w:rFonts w:cstheme="minorHAnsi"/>
          <w:sz w:val="24"/>
          <w:szCs w:val="24"/>
        </w:rPr>
        <w:t>, V. A., Marino, G., </w:t>
      </w:r>
      <w:proofErr w:type="spellStart"/>
      <w:r w:rsidRPr="00D47F7B">
        <w:rPr>
          <w:rFonts w:cstheme="minorHAnsi"/>
          <w:sz w:val="24"/>
          <w:szCs w:val="24"/>
        </w:rPr>
        <w:t>Muscarella</w:t>
      </w:r>
      <w:proofErr w:type="spellEnd"/>
      <w:r w:rsidRPr="00D47F7B">
        <w:rPr>
          <w:rFonts w:cstheme="minorHAnsi"/>
          <w:sz w:val="24"/>
          <w:szCs w:val="24"/>
        </w:rPr>
        <w:t>, S. M., </w:t>
      </w:r>
      <w:proofErr w:type="spellStart"/>
      <w:r w:rsidRPr="00D47F7B">
        <w:rPr>
          <w:rFonts w:cstheme="minorHAnsi"/>
          <w:sz w:val="24"/>
          <w:szCs w:val="24"/>
        </w:rPr>
        <w:t>Presti</w:t>
      </w:r>
      <w:proofErr w:type="spellEnd"/>
      <w:r w:rsidRPr="00D47F7B">
        <w:rPr>
          <w:rFonts w:cstheme="minorHAnsi"/>
          <w:sz w:val="24"/>
          <w:szCs w:val="24"/>
        </w:rPr>
        <w:t>, D., &amp; </w:t>
      </w:r>
      <w:proofErr w:type="spellStart"/>
      <w:r w:rsidRPr="00D47F7B">
        <w:rPr>
          <w:rFonts w:cstheme="minorHAnsi"/>
          <w:sz w:val="24"/>
          <w:szCs w:val="24"/>
        </w:rPr>
        <w:t>Helness</w:t>
      </w:r>
      <w:proofErr w:type="spellEnd"/>
      <w:r w:rsidRPr="00D47F7B">
        <w:rPr>
          <w:rFonts w:cstheme="minorHAnsi"/>
          <w:sz w:val="24"/>
          <w:szCs w:val="24"/>
        </w:rPr>
        <w:t>, H. (2021). Enhancing a transition to a circular economy in the water sector: The EU project WIDER UPTAKE. </w:t>
      </w:r>
      <w:r w:rsidRPr="00D47F7B">
        <w:rPr>
          <w:rFonts w:cstheme="minorHAnsi"/>
          <w:i/>
          <w:iCs/>
          <w:sz w:val="24"/>
          <w:szCs w:val="24"/>
        </w:rPr>
        <w:t>Water</w:t>
      </w:r>
      <w:r w:rsidRPr="00D47F7B">
        <w:rPr>
          <w:rFonts w:cstheme="minorHAnsi"/>
          <w:sz w:val="24"/>
          <w:szCs w:val="24"/>
        </w:rPr>
        <w:t>, </w:t>
      </w:r>
      <w:r w:rsidRPr="00D47F7B">
        <w:rPr>
          <w:rFonts w:cstheme="minorHAnsi"/>
          <w:b/>
          <w:bCs/>
          <w:sz w:val="24"/>
          <w:szCs w:val="24"/>
        </w:rPr>
        <w:t>13</w:t>
      </w:r>
      <w:r w:rsidRPr="00D47F7B">
        <w:rPr>
          <w:rFonts w:cstheme="minorHAnsi"/>
          <w:sz w:val="24"/>
          <w:szCs w:val="24"/>
        </w:rPr>
        <w:t>(7), 946. </w:t>
      </w:r>
      <w:r w:rsidRPr="00D47F7B">
        <w:rPr>
          <w:rFonts w:cstheme="minorHAnsi"/>
          <w:sz w:val="24"/>
          <w:szCs w:val="24"/>
        </w:rPr>
        <w:t>https://doi.org/10.3390/w13070946</w:t>
      </w:r>
    </w:p>
    <w:p w14:paraId="6214D6BF" w14:textId="71E1926C" w:rsidR="00E14CE2" w:rsidRPr="00D47F7B" w:rsidRDefault="00E14CE2" w:rsidP="00D47F7B">
      <w:pPr>
        <w:pStyle w:val="NoSpacing"/>
        <w:ind w:left="720" w:hanging="720"/>
        <w:rPr>
          <w:rFonts w:cstheme="minorHAnsi"/>
          <w:sz w:val="24"/>
          <w:szCs w:val="24"/>
        </w:rPr>
      </w:pPr>
      <w:r w:rsidRPr="00D47F7B">
        <w:rPr>
          <w:rFonts w:cstheme="minorHAnsi"/>
          <w:sz w:val="24"/>
          <w:szCs w:val="24"/>
        </w:rPr>
        <w:t>Martin, M. (2011). </w:t>
      </w:r>
      <w:proofErr w:type="spellStart"/>
      <w:r w:rsidRPr="00D47F7B">
        <w:rPr>
          <w:rFonts w:cstheme="minorHAnsi"/>
          <w:sz w:val="24"/>
          <w:szCs w:val="24"/>
        </w:rPr>
        <w:t>Cutadapt</w:t>
      </w:r>
      <w:proofErr w:type="spellEnd"/>
      <w:r w:rsidRPr="00D47F7B">
        <w:rPr>
          <w:rFonts w:cstheme="minorHAnsi"/>
          <w:sz w:val="24"/>
          <w:szCs w:val="24"/>
        </w:rPr>
        <w:t xml:space="preserve"> removes adapter sequences from high-throughput sequencing reads. </w:t>
      </w:r>
      <w:proofErr w:type="spellStart"/>
      <w:r w:rsidRPr="00D47F7B">
        <w:rPr>
          <w:rFonts w:cstheme="minorHAnsi"/>
          <w:i/>
          <w:iCs/>
          <w:sz w:val="24"/>
          <w:szCs w:val="24"/>
        </w:rPr>
        <w:t>EMBnet</w:t>
      </w:r>
      <w:proofErr w:type="spellEnd"/>
      <w:r w:rsidRPr="00D47F7B">
        <w:rPr>
          <w:rFonts w:cstheme="minorHAnsi"/>
          <w:i/>
          <w:iCs/>
          <w:sz w:val="24"/>
          <w:szCs w:val="24"/>
        </w:rPr>
        <w:t>. Journal</w:t>
      </w:r>
      <w:r w:rsidRPr="00D47F7B">
        <w:rPr>
          <w:rFonts w:cstheme="minorHAnsi"/>
          <w:sz w:val="24"/>
          <w:szCs w:val="24"/>
        </w:rPr>
        <w:t>, </w:t>
      </w:r>
      <w:r w:rsidRPr="00D47F7B">
        <w:rPr>
          <w:rFonts w:cstheme="minorHAnsi"/>
          <w:b/>
          <w:bCs/>
          <w:sz w:val="24"/>
          <w:szCs w:val="24"/>
        </w:rPr>
        <w:t>17</w:t>
      </w:r>
      <w:r w:rsidRPr="00D47F7B">
        <w:rPr>
          <w:rFonts w:cstheme="minorHAnsi"/>
          <w:sz w:val="24"/>
          <w:szCs w:val="24"/>
        </w:rPr>
        <w:t>(1), 10– 12. </w:t>
      </w:r>
      <w:r w:rsidRPr="00D47F7B">
        <w:rPr>
          <w:rFonts w:cstheme="minorHAnsi"/>
          <w:sz w:val="24"/>
          <w:szCs w:val="24"/>
        </w:rPr>
        <w:t>https://doi.org/10.14806/ej.17.1.200</w:t>
      </w:r>
    </w:p>
    <w:p w14:paraId="53171209" w14:textId="2497EDC4"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McMurdie</w:t>
      </w:r>
      <w:proofErr w:type="spellEnd"/>
      <w:r w:rsidRPr="00D47F7B">
        <w:rPr>
          <w:rFonts w:cstheme="minorHAnsi"/>
          <w:sz w:val="24"/>
          <w:szCs w:val="24"/>
        </w:rPr>
        <w:t>, P. J., &amp; Holmes, S. (2013). </w:t>
      </w:r>
      <w:proofErr w:type="spellStart"/>
      <w:r w:rsidRPr="00D47F7B">
        <w:rPr>
          <w:rFonts w:cstheme="minorHAnsi"/>
          <w:sz w:val="24"/>
          <w:szCs w:val="24"/>
        </w:rPr>
        <w:t>Phyloseq</w:t>
      </w:r>
      <w:proofErr w:type="spellEnd"/>
      <w:r w:rsidRPr="00D47F7B">
        <w:rPr>
          <w:rFonts w:cstheme="minorHAnsi"/>
          <w:sz w:val="24"/>
          <w:szCs w:val="24"/>
        </w:rPr>
        <w:t>: An R package for reproducible interactive analysis and graphics of microbiome census data. </w:t>
      </w:r>
      <w:proofErr w:type="spellStart"/>
      <w:r w:rsidRPr="00D47F7B">
        <w:rPr>
          <w:rFonts w:cstheme="minorHAnsi"/>
          <w:i/>
          <w:iCs/>
          <w:sz w:val="24"/>
          <w:szCs w:val="24"/>
        </w:rPr>
        <w:t>PLoS</w:t>
      </w:r>
      <w:proofErr w:type="spellEnd"/>
      <w:r w:rsidRPr="00D47F7B">
        <w:rPr>
          <w:rFonts w:cstheme="minorHAnsi"/>
          <w:i/>
          <w:iCs/>
          <w:sz w:val="24"/>
          <w:szCs w:val="24"/>
        </w:rPr>
        <w:t xml:space="preserve"> ONE</w:t>
      </w:r>
      <w:r w:rsidRPr="00D47F7B">
        <w:rPr>
          <w:rFonts w:cstheme="minorHAnsi"/>
          <w:sz w:val="24"/>
          <w:szCs w:val="24"/>
        </w:rPr>
        <w:t>, </w:t>
      </w:r>
      <w:r w:rsidRPr="00D47F7B">
        <w:rPr>
          <w:rFonts w:cstheme="minorHAnsi"/>
          <w:b/>
          <w:bCs/>
          <w:sz w:val="24"/>
          <w:szCs w:val="24"/>
        </w:rPr>
        <w:t>8</w:t>
      </w:r>
      <w:r w:rsidRPr="00D47F7B">
        <w:rPr>
          <w:rFonts w:cstheme="minorHAnsi"/>
          <w:sz w:val="24"/>
          <w:szCs w:val="24"/>
        </w:rPr>
        <w:t>(4), e61217. </w:t>
      </w:r>
      <w:r w:rsidRPr="00D47F7B">
        <w:rPr>
          <w:rFonts w:cstheme="minorHAnsi"/>
          <w:sz w:val="24"/>
          <w:szCs w:val="24"/>
        </w:rPr>
        <w:t>https://doi.org/10.1371/journal.pone.0061217</w:t>
      </w:r>
    </w:p>
    <w:p w14:paraId="52707D05" w14:textId="447E4F3B" w:rsidR="00E14CE2" w:rsidRPr="00D47F7B" w:rsidRDefault="00E14CE2" w:rsidP="00D47F7B">
      <w:pPr>
        <w:pStyle w:val="NoSpacing"/>
        <w:ind w:left="720" w:hanging="720"/>
        <w:rPr>
          <w:rFonts w:cstheme="minorHAnsi"/>
          <w:sz w:val="24"/>
          <w:szCs w:val="24"/>
        </w:rPr>
      </w:pPr>
      <w:r w:rsidRPr="00D47F7B">
        <w:rPr>
          <w:rFonts w:cstheme="minorHAnsi"/>
          <w:sz w:val="24"/>
          <w:szCs w:val="24"/>
        </w:rPr>
        <w:t>McNamara, P., </w:t>
      </w:r>
      <w:proofErr w:type="spellStart"/>
      <w:r w:rsidRPr="00D47F7B">
        <w:rPr>
          <w:rFonts w:cstheme="minorHAnsi"/>
          <w:sz w:val="24"/>
          <w:szCs w:val="24"/>
        </w:rPr>
        <w:t>Sabba</w:t>
      </w:r>
      <w:proofErr w:type="spellEnd"/>
      <w:r w:rsidRPr="00D47F7B">
        <w:rPr>
          <w:rFonts w:cstheme="minorHAnsi"/>
          <w:sz w:val="24"/>
          <w:szCs w:val="24"/>
        </w:rPr>
        <w:t xml:space="preserve">, F., Redmond, E., Dunlap, P., Worley-Morse, T., Marks, C., &amp; Downing, L. (2022). Post aerobic digestion (PAD) is a solids </w:t>
      </w:r>
      <w:proofErr w:type="spellStart"/>
      <w:r w:rsidRPr="00D47F7B">
        <w:rPr>
          <w:rFonts w:cstheme="minorHAnsi"/>
          <w:sz w:val="24"/>
          <w:szCs w:val="24"/>
        </w:rPr>
        <w:t>Sidestream</w:t>
      </w:r>
      <w:proofErr w:type="spellEnd"/>
      <w:r w:rsidRPr="00D47F7B">
        <w:rPr>
          <w:rFonts w:cstheme="minorHAnsi"/>
          <w:sz w:val="24"/>
          <w:szCs w:val="24"/>
        </w:rPr>
        <w:t xml:space="preserve"> nutrient removal process that utilizes native carbon: Performance and key operational parameters from two full-scale PAD reactors. </w:t>
      </w:r>
      <w:r w:rsidRPr="00D47F7B">
        <w:rPr>
          <w:rFonts w:cstheme="minorHAnsi"/>
          <w:i/>
          <w:iCs/>
          <w:sz w:val="24"/>
          <w:szCs w:val="24"/>
        </w:rPr>
        <w:t>Environmental Science; Advances</w:t>
      </w:r>
      <w:r w:rsidRPr="00D47F7B">
        <w:rPr>
          <w:rFonts w:cstheme="minorHAnsi"/>
          <w:sz w:val="24"/>
          <w:szCs w:val="24"/>
        </w:rPr>
        <w:t>, </w:t>
      </w:r>
      <w:r w:rsidRPr="00D47F7B">
        <w:rPr>
          <w:rFonts w:cstheme="minorHAnsi"/>
          <w:b/>
          <w:bCs/>
          <w:sz w:val="24"/>
          <w:szCs w:val="24"/>
        </w:rPr>
        <w:t>1</w:t>
      </w:r>
      <w:r w:rsidRPr="00D47F7B">
        <w:rPr>
          <w:rFonts w:cstheme="minorHAnsi"/>
          <w:sz w:val="24"/>
          <w:szCs w:val="24"/>
        </w:rPr>
        <w:t>, 216– 228. </w:t>
      </w:r>
      <w:r w:rsidRPr="00D47F7B">
        <w:rPr>
          <w:rFonts w:cstheme="minorHAnsi"/>
          <w:sz w:val="24"/>
          <w:szCs w:val="24"/>
        </w:rPr>
        <w:t>https://doi.org/10.1039/D2VA00045H</w:t>
      </w:r>
    </w:p>
    <w:p w14:paraId="1943B0A3" w14:textId="441794CE"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Mehrani</w:t>
      </w:r>
      <w:proofErr w:type="spellEnd"/>
      <w:r w:rsidRPr="00D47F7B">
        <w:rPr>
          <w:rFonts w:cstheme="minorHAnsi"/>
          <w:sz w:val="24"/>
          <w:szCs w:val="24"/>
        </w:rPr>
        <w:t>, M.-J., Sobotka, D., Kowal, P., Ciesielski, S., &amp; </w:t>
      </w:r>
      <w:proofErr w:type="spellStart"/>
      <w:r w:rsidRPr="00D47F7B">
        <w:rPr>
          <w:rFonts w:cstheme="minorHAnsi"/>
          <w:sz w:val="24"/>
          <w:szCs w:val="24"/>
        </w:rPr>
        <w:t>Makinia</w:t>
      </w:r>
      <w:proofErr w:type="spellEnd"/>
      <w:r w:rsidRPr="00D47F7B">
        <w:rPr>
          <w:rFonts w:cstheme="minorHAnsi"/>
          <w:sz w:val="24"/>
          <w:szCs w:val="24"/>
        </w:rPr>
        <w:t xml:space="preserve">, J. (2020). The occurrence and role of </w:t>
      </w:r>
      <w:proofErr w:type="spellStart"/>
      <w:r w:rsidRPr="00D47F7B">
        <w:rPr>
          <w:rFonts w:cstheme="minorHAnsi"/>
          <w:sz w:val="24"/>
          <w:szCs w:val="24"/>
        </w:rPr>
        <w:t>Nitrospira</w:t>
      </w:r>
      <w:proofErr w:type="spellEnd"/>
      <w:r w:rsidRPr="00D47F7B">
        <w:rPr>
          <w:rFonts w:cstheme="minorHAnsi"/>
          <w:sz w:val="24"/>
          <w:szCs w:val="24"/>
        </w:rPr>
        <w:t xml:space="preserve"> in nitrogen removal systems. </w:t>
      </w:r>
      <w:r w:rsidRPr="00D47F7B">
        <w:rPr>
          <w:rFonts w:cstheme="minorHAnsi"/>
          <w:i/>
          <w:iCs/>
          <w:sz w:val="24"/>
          <w:szCs w:val="24"/>
        </w:rPr>
        <w:t>Bioresource Technology</w:t>
      </w:r>
      <w:r w:rsidRPr="00D47F7B">
        <w:rPr>
          <w:rFonts w:cstheme="minorHAnsi"/>
          <w:sz w:val="24"/>
          <w:szCs w:val="24"/>
        </w:rPr>
        <w:t>, </w:t>
      </w:r>
      <w:r w:rsidRPr="00D47F7B">
        <w:rPr>
          <w:rFonts w:cstheme="minorHAnsi"/>
          <w:b/>
          <w:bCs/>
          <w:sz w:val="24"/>
          <w:szCs w:val="24"/>
        </w:rPr>
        <w:t>303</w:t>
      </w:r>
      <w:r w:rsidRPr="00D47F7B">
        <w:rPr>
          <w:rFonts w:cstheme="minorHAnsi"/>
          <w:sz w:val="24"/>
          <w:szCs w:val="24"/>
        </w:rPr>
        <w:t>, 122936. </w:t>
      </w:r>
      <w:r w:rsidRPr="00D47F7B">
        <w:rPr>
          <w:rFonts w:cstheme="minorHAnsi"/>
          <w:sz w:val="24"/>
          <w:szCs w:val="24"/>
        </w:rPr>
        <w:t>https://doi.org/10.1016/j.biortech.2020.122936</w:t>
      </w:r>
    </w:p>
    <w:p w14:paraId="5453F441" w14:textId="177E6689"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Neissi</w:t>
      </w:r>
      <w:proofErr w:type="spellEnd"/>
      <w:r w:rsidRPr="00D47F7B">
        <w:rPr>
          <w:rFonts w:cstheme="minorHAnsi"/>
          <w:sz w:val="24"/>
          <w:szCs w:val="24"/>
        </w:rPr>
        <w:t>, A., Rafiee, G., Rahimi, S., </w:t>
      </w:r>
      <w:proofErr w:type="spellStart"/>
      <w:r w:rsidRPr="00D47F7B">
        <w:rPr>
          <w:rFonts w:cstheme="minorHAnsi"/>
          <w:sz w:val="24"/>
          <w:szCs w:val="24"/>
        </w:rPr>
        <w:t>Farahmand</w:t>
      </w:r>
      <w:proofErr w:type="spellEnd"/>
      <w:r w:rsidRPr="00D47F7B">
        <w:rPr>
          <w:rFonts w:cstheme="minorHAnsi"/>
          <w:sz w:val="24"/>
          <w:szCs w:val="24"/>
        </w:rPr>
        <w:t>, H., Pandit, S., &amp; </w:t>
      </w:r>
      <w:proofErr w:type="spellStart"/>
      <w:r w:rsidRPr="00D47F7B">
        <w:rPr>
          <w:rFonts w:cstheme="minorHAnsi"/>
          <w:sz w:val="24"/>
          <w:szCs w:val="24"/>
        </w:rPr>
        <w:t>Mijakovic</w:t>
      </w:r>
      <w:proofErr w:type="spellEnd"/>
      <w:r w:rsidRPr="00D47F7B">
        <w:rPr>
          <w:rFonts w:cstheme="minorHAnsi"/>
          <w:sz w:val="24"/>
          <w:szCs w:val="24"/>
        </w:rPr>
        <w:t>, I. (2022). Enriched microbial communities for ammonium and nitrite removal from recirculating aquaculture systems. </w:t>
      </w:r>
      <w:r w:rsidRPr="00D47F7B">
        <w:rPr>
          <w:rFonts w:cstheme="minorHAnsi"/>
          <w:i/>
          <w:iCs/>
          <w:sz w:val="24"/>
          <w:szCs w:val="24"/>
        </w:rPr>
        <w:t>Chemosphere</w:t>
      </w:r>
      <w:r w:rsidRPr="00D47F7B">
        <w:rPr>
          <w:rFonts w:cstheme="minorHAnsi"/>
          <w:sz w:val="24"/>
          <w:szCs w:val="24"/>
        </w:rPr>
        <w:t>, </w:t>
      </w:r>
      <w:r w:rsidRPr="00D47F7B">
        <w:rPr>
          <w:rFonts w:cstheme="minorHAnsi"/>
          <w:b/>
          <w:bCs/>
          <w:sz w:val="24"/>
          <w:szCs w:val="24"/>
        </w:rPr>
        <w:t>295</w:t>
      </w:r>
      <w:r w:rsidRPr="00D47F7B">
        <w:rPr>
          <w:rFonts w:cstheme="minorHAnsi"/>
          <w:sz w:val="24"/>
          <w:szCs w:val="24"/>
        </w:rPr>
        <w:t>, 133811. </w:t>
      </w:r>
      <w:r w:rsidRPr="00D47F7B">
        <w:rPr>
          <w:rFonts w:cstheme="minorHAnsi"/>
          <w:sz w:val="24"/>
          <w:szCs w:val="24"/>
        </w:rPr>
        <w:t>https://doi.org/10.1016/j.chemosphere.2022.133811</w:t>
      </w:r>
    </w:p>
    <w:p w14:paraId="23756FDB" w14:textId="65A886F6"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Nierychlo</w:t>
      </w:r>
      <w:proofErr w:type="spellEnd"/>
      <w:r w:rsidRPr="00D47F7B">
        <w:rPr>
          <w:rFonts w:cstheme="minorHAnsi"/>
          <w:sz w:val="24"/>
          <w:szCs w:val="24"/>
        </w:rPr>
        <w:t>, M., Andersen, K. S., Xu, Y., Green, N., Jiang, C., </w:t>
      </w:r>
      <w:proofErr w:type="spellStart"/>
      <w:r w:rsidRPr="00D47F7B">
        <w:rPr>
          <w:rFonts w:cstheme="minorHAnsi"/>
          <w:sz w:val="24"/>
          <w:szCs w:val="24"/>
        </w:rPr>
        <w:t>Albertsen</w:t>
      </w:r>
      <w:proofErr w:type="spellEnd"/>
      <w:r w:rsidRPr="00D47F7B">
        <w:rPr>
          <w:rFonts w:cstheme="minorHAnsi"/>
          <w:sz w:val="24"/>
          <w:szCs w:val="24"/>
        </w:rPr>
        <w:t>, M., </w:t>
      </w:r>
      <w:proofErr w:type="spellStart"/>
      <w:r w:rsidRPr="00D47F7B">
        <w:rPr>
          <w:rFonts w:cstheme="minorHAnsi"/>
          <w:sz w:val="24"/>
          <w:szCs w:val="24"/>
        </w:rPr>
        <w:t>Dueholm</w:t>
      </w:r>
      <w:proofErr w:type="spellEnd"/>
      <w:r w:rsidRPr="00D47F7B">
        <w:rPr>
          <w:rFonts w:cstheme="minorHAnsi"/>
          <w:sz w:val="24"/>
          <w:szCs w:val="24"/>
        </w:rPr>
        <w:t>, M. S., &amp; Nielsen, P. H. (2020). </w:t>
      </w:r>
      <w:proofErr w:type="spellStart"/>
      <w:r w:rsidRPr="00D47F7B">
        <w:rPr>
          <w:rFonts w:cstheme="minorHAnsi"/>
          <w:sz w:val="24"/>
          <w:szCs w:val="24"/>
        </w:rPr>
        <w:t>MiDAS</w:t>
      </w:r>
      <w:proofErr w:type="spellEnd"/>
      <w:r w:rsidRPr="00D47F7B">
        <w:rPr>
          <w:rFonts w:cstheme="minorHAnsi"/>
          <w:sz w:val="24"/>
          <w:szCs w:val="24"/>
        </w:rPr>
        <w:t xml:space="preserve"> 3: An ecosystem-specific reference database, taxonomy and knowledge platform for activated sludge and anaerobic digesters reveals species-level microbiome composition of activated sludge. </w:t>
      </w:r>
      <w:r w:rsidRPr="00D47F7B">
        <w:rPr>
          <w:rFonts w:cstheme="minorHAnsi"/>
          <w:i/>
          <w:iCs/>
          <w:sz w:val="24"/>
          <w:szCs w:val="24"/>
        </w:rPr>
        <w:t>Water Research</w:t>
      </w:r>
      <w:r w:rsidRPr="00D47F7B">
        <w:rPr>
          <w:rFonts w:cstheme="minorHAnsi"/>
          <w:sz w:val="24"/>
          <w:szCs w:val="24"/>
        </w:rPr>
        <w:t>, </w:t>
      </w:r>
      <w:r w:rsidRPr="00D47F7B">
        <w:rPr>
          <w:rFonts w:cstheme="minorHAnsi"/>
          <w:b/>
          <w:bCs/>
          <w:sz w:val="24"/>
          <w:szCs w:val="24"/>
        </w:rPr>
        <w:t>182</w:t>
      </w:r>
      <w:r w:rsidRPr="00D47F7B">
        <w:rPr>
          <w:rFonts w:cstheme="minorHAnsi"/>
          <w:sz w:val="24"/>
          <w:szCs w:val="24"/>
        </w:rPr>
        <w:t>, 115955. </w:t>
      </w:r>
      <w:r w:rsidRPr="00D47F7B">
        <w:rPr>
          <w:rFonts w:cstheme="minorHAnsi"/>
          <w:sz w:val="24"/>
          <w:szCs w:val="24"/>
        </w:rPr>
        <w:t>https://doi.org/10.1016/j.watres.2020.115955</w:t>
      </w:r>
    </w:p>
    <w:p w14:paraId="3534CD5D" w14:textId="7795272A" w:rsidR="00E14CE2" w:rsidRPr="00D47F7B" w:rsidRDefault="00E14CE2" w:rsidP="00D47F7B">
      <w:pPr>
        <w:pStyle w:val="NoSpacing"/>
        <w:ind w:left="720" w:hanging="720"/>
        <w:rPr>
          <w:rFonts w:cstheme="minorHAnsi"/>
          <w:sz w:val="24"/>
          <w:szCs w:val="24"/>
        </w:rPr>
      </w:pPr>
      <w:r w:rsidRPr="00D47F7B">
        <w:rPr>
          <w:rFonts w:cstheme="minorHAnsi"/>
          <w:sz w:val="24"/>
          <w:szCs w:val="24"/>
        </w:rPr>
        <w:t>Novak, J. T., </w:t>
      </w:r>
      <w:proofErr w:type="spellStart"/>
      <w:r w:rsidRPr="00D47F7B">
        <w:rPr>
          <w:rFonts w:cstheme="minorHAnsi"/>
          <w:sz w:val="24"/>
          <w:szCs w:val="24"/>
        </w:rPr>
        <w:t>Banjade</w:t>
      </w:r>
      <w:proofErr w:type="spellEnd"/>
      <w:r w:rsidRPr="00D47F7B">
        <w:rPr>
          <w:rFonts w:cstheme="minorHAnsi"/>
          <w:sz w:val="24"/>
          <w:szCs w:val="24"/>
        </w:rPr>
        <w:t>, S., &amp; Murthy, S. N. (2011). Combined anaerobic and aerobic digestion for increased solids reduction and nitrogen removal. </w:t>
      </w:r>
      <w:r w:rsidRPr="00D47F7B">
        <w:rPr>
          <w:rFonts w:cstheme="minorHAnsi"/>
          <w:i/>
          <w:iCs/>
          <w:sz w:val="24"/>
          <w:szCs w:val="24"/>
        </w:rPr>
        <w:t>Water Research</w:t>
      </w:r>
      <w:r w:rsidRPr="00D47F7B">
        <w:rPr>
          <w:rFonts w:cstheme="minorHAnsi"/>
          <w:sz w:val="24"/>
          <w:szCs w:val="24"/>
        </w:rPr>
        <w:t>, </w:t>
      </w:r>
      <w:r w:rsidRPr="00D47F7B">
        <w:rPr>
          <w:rFonts w:cstheme="minorHAnsi"/>
          <w:b/>
          <w:bCs/>
          <w:sz w:val="24"/>
          <w:szCs w:val="24"/>
        </w:rPr>
        <w:t>45</w:t>
      </w:r>
      <w:r w:rsidRPr="00D47F7B">
        <w:rPr>
          <w:rFonts w:cstheme="minorHAnsi"/>
          <w:sz w:val="24"/>
          <w:szCs w:val="24"/>
        </w:rPr>
        <w:t>, 618– 624. </w:t>
      </w:r>
      <w:r w:rsidRPr="00D47F7B">
        <w:rPr>
          <w:rFonts w:cstheme="minorHAnsi"/>
          <w:sz w:val="24"/>
          <w:szCs w:val="24"/>
        </w:rPr>
        <w:t>https://doi.org/10.1016/j.watres.2010.08.014</w:t>
      </w:r>
    </w:p>
    <w:p w14:paraId="6DECA430" w14:textId="05D64FF1"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Parravicini</w:t>
      </w:r>
      <w:proofErr w:type="spellEnd"/>
      <w:r w:rsidRPr="00D47F7B">
        <w:rPr>
          <w:rFonts w:cstheme="minorHAnsi"/>
          <w:sz w:val="24"/>
          <w:szCs w:val="24"/>
        </w:rPr>
        <w:t>, V., </w:t>
      </w:r>
      <w:proofErr w:type="spellStart"/>
      <w:r w:rsidRPr="00D47F7B">
        <w:rPr>
          <w:rFonts w:cstheme="minorHAnsi"/>
          <w:sz w:val="24"/>
          <w:szCs w:val="24"/>
        </w:rPr>
        <w:t>Svardal</w:t>
      </w:r>
      <w:proofErr w:type="spellEnd"/>
      <w:r w:rsidRPr="00D47F7B">
        <w:rPr>
          <w:rFonts w:cstheme="minorHAnsi"/>
          <w:sz w:val="24"/>
          <w:szCs w:val="24"/>
        </w:rPr>
        <w:t>, K., </w:t>
      </w:r>
      <w:proofErr w:type="spellStart"/>
      <w:r w:rsidRPr="00D47F7B">
        <w:rPr>
          <w:rFonts w:cstheme="minorHAnsi"/>
          <w:sz w:val="24"/>
          <w:szCs w:val="24"/>
        </w:rPr>
        <w:t>Hornek</w:t>
      </w:r>
      <w:proofErr w:type="spellEnd"/>
      <w:r w:rsidRPr="00D47F7B">
        <w:rPr>
          <w:rFonts w:cstheme="minorHAnsi"/>
          <w:sz w:val="24"/>
          <w:szCs w:val="24"/>
        </w:rPr>
        <w:t>, R., &amp; </w:t>
      </w:r>
      <w:proofErr w:type="spellStart"/>
      <w:r w:rsidRPr="00D47F7B">
        <w:rPr>
          <w:rFonts w:cstheme="minorHAnsi"/>
          <w:sz w:val="24"/>
          <w:szCs w:val="24"/>
        </w:rPr>
        <w:t>Kroiss</w:t>
      </w:r>
      <w:proofErr w:type="spellEnd"/>
      <w:r w:rsidRPr="00D47F7B">
        <w:rPr>
          <w:rFonts w:cstheme="minorHAnsi"/>
          <w:sz w:val="24"/>
          <w:szCs w:val="24"/>
        </w:rPr>
        <w:t>, H. (2008). Aeration of anaerobically digested sewage sludge for COD and nitrogen removal: Optimization at large-scale. </w:t>
      </w:r>
      <w:r w:rsidRPr="00D47F7B">
        <w:rPr>
          <w:rFonts w:cstheme="minorHAnsi"/>
          <w:i/>
          <w:iCs/>
          <w:sz w:val="24"/>
          <w:szCs w:val="24"/>
        </w:rPr>
        <w:t>Water Science and Technology</w:t>
      </w:r>
      <w:r w:rsidRPr="00D47F7B">
        <w:rPr>
          <w:rFonts w:cstheme="minorHAnsi"/>
          <w:sz w:val="24"/>
          <w:szCs w:val="24"/>
        </w:rPr>
        <w:t>, </w:t>
      </w:r>
      <w:r w:rsidRPr="00D47F7B">
        <w:rPr>
          <w:rFonts w:cstheme="minorHAnsi"/>
          <w:b/>
          <w:bCs/>
          <w:sz w:val="24"/>
          <w:szCs w:val="24"/>
        </w:rPr>
        <w:t>57</w:t>
      </w:r>
      <w:r w:rsidRPr="00D47F7B">
        <w:rPr>
          <w:rFonts w:cstheme="minorHAnsi"/>
          <w:sz w:val="24"/>
          <w:szCs w:val="24"/>
        </w:rPr>
        <w:t>, 257– 264. </w:t>
      </w:r>
      <w:r w:rsidRPr="00D47F7B">
        <w:rPr>
          <w:rFonts w:cstheme="minorHAnsi"/>
          <w:sz w:val="24"/>
          <w:szCs w:val="24"/>
        </w:rPr>
        <w:t>https://doi.org/10.2166/wst.2008.020</w:t>
      </w:r>
    </w:p>
    <w:p w14:paraId="631C1E69" w14:textId="658F1454" w:rsidR="00E14CE2" w:rsidRPr="00D47F7B" w:rsidRDefault="00E14CE2" w:rsidP="00D47F7B">
      <w:pPr>
        <w:pStyle w:val="NoSpacing"/>
        <w:ind w:left="720" w:hanging="720"/>
        <w:rPr>
          <w:rFonts w:cstheme="minorHAnsi"/>
          <w:sz w:val="24"/>
          <w:szCs w:val="24"/>
        </w:rPr>
      </w:pPr>
      <w:r w:rsidRPr="00D47F7B">
        <w:rPr>
          <w:rFonts w:cstheme="minorHAnsi"/>
          <w:sz w:val="24"/>
          <w:szCs w:val="24"/>
        </w:rPr>
        <w:t>Paulson, J. N., Stine, O. C., Bravo, H. C., &amp; Pop, M. (2013). Differential abundance analysis for microbial marker-gene surveys. </w:t>
      </w:r>
      <w:r w:rsidRPr="00D47F7B">
        <w:rPr>
          <w:rFonts w:cstheme="minorHAnsi"/>
          <w:i/>
          <w:iCs/>
          <w:sz w:val="24"/>
          <w:szCs w:val="24"/>
        </w:rPr>
        <w:t>Nature Methods</w:t>
      </w:r>
      <w:r w:rsidRPr="00D47F7B">
        <w:rPr>
          <w:rFonts w:cstheme="minorHAnsi"/>
          <w:sz w:val="24"/>
          <w:szCs w:val="24"/>
        </w:rPr>
        <w:t>, </w:t>
      </w:r>
      <w:r w:rsidRPr="00D47F7B">
        <w:rPr>
          <w:rFonts w:cstheme="minorHAnsi"/>
          <w:b/>
          <w:bCs/>
          <w:sz w:val="24"/>
          <w:szCs w:val="24"/>
        </w:rPr>
        <w:t>10</w:t>
      </w:r>
      <w:r w:rsidRPr="00D47F7B">
        <w:rPr>
          <w:rFonts w:cstheme="minorHAnsi"/>
          <w:sz w:val="24"/>
          <w:szCs w:val="24"/>
        </w:rPr>
        <w:t>, 1200– 1202. </w:t>
      </w:r>
      <w:r w:rsidRPr="00D47F7B">
        <w:rPr>
          <w:rFonts w:cstheme="minorHAnsi"/>
          <w:sz w:val="24"/>
          <w:szCs w:val="24"/>
        </w:rPr>
        <w:t>https://doi.org/10.1038/nmeth.2658</w:t>
      </w:r>
    </w:p>
    <w:p w14:paraId="2DD68799" w14:textId="77777777"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Pedregosa</w:t>
      </w:r>
      <w:proofErr w:type="spellEnd"/>
      <w:r w:rsidRPr="00D47F7B">
        <w:rPr>
          <w:rFonts w:cstheme="minorHAnsi"/>
          <w:sz w:val="24"/>
          <w:szCs w:val="24"/>
        </w:rPr>
        <w:t>, F., </w:t>
      </w:r>
      <w:proofErr w:type="spellStart"/>
      <w:r w:rsidRPr="00D47F7B">
        <w:rPr>
          <w:rFonts w:cstheme="minorHAnsi"/>
          <w:sz w:val="24"/>
          <w:szCs w:val="24"/>
        </w:rPr>
        <w:t>Varoquaux</w:t>
      </w:r>
      <w:proofErr w:type="spellEnd"/>
      <w:r w:rsidRPr="00D47F7B">
        <w:rPr>
          <w:rFonts w:cstheme="minorHAnsi"/>
          <w:sz w:val="24"/>
          <w:szCs w:val="24"/>
        </w:rPr>
        <w:t>, G., </w:t>
      </w:r>
      <w:proofErr w:type="spellStart"/>
      <w:r w:rsidRPr="00D47F7B">
        <w:rPr>
          <w:rFonts w:cstheme="minorHAnsi"/>
          <w:sz w:val="24"/>
          <w:szCs w:val="24"/>
        </w:rPr>
        <w:t>Gramfort</w:t>
      </w:r>
      <w:proofErr w:type="spellEnd"/>
      <w:r w:rsidRPr="00D47F7B">
        <w:rPr>
          <w:rFonts w:cstheme="minorHAnsi"/>
          <w:sz w:val="24"/>
          <w:szCs w:val="24"/>
        </w:rPr>
        <w:t>, A., Michel, V., </w:t>
      </w:r>
      <w:proofErr w:type="spellStart"/>
      <w:r w:rsidRPr="00D47F7B">
        <w:rPr>
          <w:rFonts w:cstheme="minorHAnsi"/>
          <w:sz w:val="24"/>
          <w:szCs w:val="24"/>
        </w:rPr>
        <w:t>Thirion</w:t>
      </w:r>
      <w:proofErr w:type="spellEnd"/>
      <w:r w:rsidRPr="00D47F7B">
        <w:rPr>
          <w:rFonts w:cstheme="minorHAnsi"/>
          <w:sz w:val="24"/>
          <w:szCs w:val="24"/>
        </w:rPr>
        <w:t>, B., Grisel, O., Blondel, M., </w:t>
      </w:r>
      <w:proofErr w:type="spellStart"/>
      <w:r w:rsidRPr="00D47F7B">
        <w:rPr>
          <w:rFonts w:cstheme="minorHAnsi"/>
          <w:sz w:val="24"/>
          <w:szCs w:val="24"/>
        </w:rPr>
        <w:t>Prettenhofer</w:t>
      </w:r>
      <w:proofErr w:type="spellEnd"/>
      <w:r w:rsidRPr="00D47F7B">
        <w:rPr>
          <w:rFonts w:cstheme="minorHAnsi"/>
          <w:sz w:val="24"/>
          <w:szCs w:val="24"/>
        </w:rPr>
        <w:t>, P., Weiss, R., </w:t>
      </w:r>
      <w:proofErr w:type="spellStart"/>
      <w:r w:rsidRPr="00D47F7B">
        <w:rPr>
          <w:rFonts w:cstheme="minorHAnsi"/>
          <w:sz w:val="24"/>
          <w:szCs w:val="24"/>
        </w:rPr>
        <w:t>Dubourg</w:t>
      </w:r>
      <w:proofErr w:type="spellEnd"/>
      <w:r w:rsidRPr="00D47F7B">
        <w:rPr>
          <w:rFonts w:cstheme="minorHAnsi"/>
          <w:sz w:val="24"/>
          <w:szCs w:val="24"/>
        </w:rPr>
        <w:t>, V., </w:t>
      </w:r>
      <w:proofErr w:type="spellStart"/>
      <w:r w:rsidRPr="00D47F7B">
        <w:rPr>
          <w:rFonts w:cstheme="minorHAnsi"/>
          <w:sz w:val="24"/>
          <w:szCs w:val="24"/>
        </w:rPr>
        <w:t>Vanderplas</w:t>
      </w:r>
      <w:proofErr w:type="spellEnd"/>
      <w:r w:rsidRPr="00D47F7B">
        <w:rPr>
          <w:rFonts w:cstheme="minorHAnsi"/>
          <w:sz w:val="24"/>
          <w:szCs w:val="24"/>
        </w:rPr>
        <w:t>, J., </w:t>
      </w:r>
      <w:proofErr w:type="spellStart"/>
      <w:r w:rsidRPr="00D47F7B">
        <w:rPr>
          <w:rFonts w:cstheme="minorHAnsi"/>
          <w:sz w:val="24"/>
          <w:szCs w:val="24"/>
        </w:rPr>
        <w:t>Passos</w:t>
      </w:r>
      <w:proofErr w:type="spellEnd"/>
      <w:r w:rsidRPr="00D47F7B">
        <w:rPr>
          <w:rFonts w:cstheme="minorHAnsi"/>
          <w:sz w:val="24"/>
          <w:szCs w:val="24"/>
        </w:rPr>
        <w:t>, A., </w:t>
      </w:r>
      <w:proofErr w:type="spellStart"/>
      <w:r w:rsidRPr="00D47F7B">
        <w:rPr>
          <w:rFonts w:cstheme="minorHAnsi"/>
          <w:sz w:val="24"/>
          <w:szCs w:val="24"/>
        </w:rPr>
        <w:t>Cournapeau</w:t>
      </w:r>
      <w:proofErr w:type="spellEnd"/>
      <w:r w:rsidRPr="00D47F7B">
        <w:rPr>
          <w:rFonts w:cstheme="minorHAnsi"/>
          <w:sz w:val="24"/>
          <w:szCs w:val="24"/>
        </w:rPr>
        <w:t>, D., </w:t>
      </w:r>
      <w:proofErr w:type="spellStart"/>
      <w:r w:rsidRPr="00D47F7B">
        <w:rPr>
          <w:rFonts w:cstheme="minorHAnsi"/>
          <w:sz w:val="24"/>
          <w:szCs w:val="24"/>
        </w:rPr>
        <w:t>Brucher</w:t>
      </w:r>
      <w:proofErr w:type="spellEnd"/>
      <w:r w:rsidRPr="00D47F7B">
        <w:rPr>
          <w:rFonts w:cstheme="minorHAnsi"/>
          <w:sz w:val="24"/>
          <w:szCs w:val="24"/>
        </w:rPr>
        <w:t>, M., Perrot, M., &amp; </w:t>
      </w:r>
      <w:proofErr w:type="spellStart"/>
      <w:r w:rsidRPr="00D47F7B">
        <w:rPr>
          <w:rFonts w:cstheme="minorHAnsi"/>
          <w:sz w:val="24"/>
          <w:szCs w:val="24"/>
        </w:rPr>
        <w:t>Duchesnay</w:t>
      </w:r>
      <w:proofErr w:type="spellEnd"/>
      <w:r w:rsidRPr="00D47F7B">
        <w:rPr>
          <w:rFonts w:cstheme="minorHAnsi"/>
          <w:sz w:val="24"/>
          <w:szCs w:val="24"/>
        </w:rPr>
        <w:t>, É. (2011). Scikit-learn: Machine learning in Python. </w:t>
      </w:r>
      <w:r w:rsidRPr="00D47F7B">
        <w:rPr>
          <w:rFonts w:cstheme="minorHAnsi"/>
          <w:i/>
          <w:iCs/>
          <w:sz w:val="24"/>
          <w:szCs w:val="24"/>
        </w:rPr>
        <w:t>Journal of Machine Learning Research</w:t>
      </w:r>
      <w:r w:rsidRPr="00D47F7B">
        <w:rPr>
          <w:rFonts w:cstheme="minorHAnsi"/>
          <w:sz w:val="24"/>
          <w:szCs w:val="24"/>
        </w:rPr>
        <w:t>, </w:t>
      </w:r>
      <w:r w:rsidRPr="00D47F7B">
        <w:rPr>
          <w:rFonts w:cstheme="minorHAnsi"/>
          <w:b/>
          <w:bCs/>
          <w:sz w:val="24"/>
          <w:szCs w:val="24"/>
        </w:rPr>
        <w:t>12</w:t>
      </w:r>
      <w:r w:rsidRPr="00D47F7B">
        <w:rPr>
          <w:rFonts w:cstheme="minorHAnsi"/>
          <w:sz w:val="24"/>
          <w:szCs w:val="24"/>
        </w:rPr>
        <w:t>, 2825– 2830.</w:t>
      </w:r>
    </w:p>
    <w:p w14:paraId="039414AB" w14:textId="10892FD3" w:rsidR="00E14CE2" w:rsidRPr="00D47F7B" w:rsidRDefault="00E14CE2" w:rsidP="00D47F7B">
      <w:pPr>
        <w:pStyle w:val="NoSpacing"/>
        <w:ind w:left="720" w:hanging="720"/>
        <w:rPr>
          <w:rFonts w:cstheme="minorHAnsi"/>
          <w:sz w:val="24"/>
          <w:szCs w:val="24"/>
        </w:rPr>
      </w:pPr>
      <w:r w:rsidRPr="00D47F7B">
        <w:rPr>
          <w:rFonts w:cstheme="minorHAnsi"/>
          <w:sz w:val="24"/>
          <w:szCs w:val="24"/>
        </w:rPr>
        <w:t>Price, M. N., Dehal, P. S., &amp; Arkin, A. P. (2010). </w:t>
      </w:r>
      <w:proofErr w:type="spellStart"/>
      <w:r w:rsidRPr="00D47F7B">
        <w:rPr>
          <w:rFonts w:cstheme="minorHAnsi"/>
          <w:sz w:val="24"/>
          <w:szCs w:val="24"/>
        </w:rPr>
        <w:t>FastTree</w:t>
      </w:r>
      <w:proofErr w:type="spellEnd"/>
      <w:r w:rsidRPr="00D47F7B">
        <w:rPr>
          <w:rFonts w:cstheme="minorHAnsi"/>
          <w:sz w:val="24"/>
          <w:szCs w:val="24"/>
        </w:rPr>
        <w:t xml:space="preserve"> 2--approximately maximum-likelihood trees for large alignments. </w:t>
      </w:r>
      <w:proofErr w:type="spellStart"/>
      <w:r w:rsidRPr="00D47F7B">
        <w:rPr>
          <w:rFonts w:cstheme="minorHAnsi"/>
          <w:i/>
          <w:iCs/>
          <w:sz w:val="24"/>
          <w:szCs w:val="24"/>
        </w:rPr>
        <w:t>PLoS</w:t>
      </w:r>
      <w:proofErr w:type="spellEnd"/>
      <w:r w:rsidRPr="00D47F7B">
        <w:rPr>
          <w:rFonts w:cstheme="minorHAnsi"/>
          <w:i/>
          <w:iCs/>
          <w:sz w:val="24"/>
          <w:szCs w:val="24"/>
        </w:rPr>
        <w:t xml:space="preserve"> ONE</w:t>
      </w:r>
      <w:r w:rsidRPr="00D47F7B">
        <w:rPr>
          <w:rFonts w:cstheme="minorHAnsi"/>
          <w:sz w:val="24"/>
          <w:szCs w:val="24"/>
        </w:rPr>
        <w:t>, </w:t>
      </w:r>
      <w:r w:rsidRPr="00D47F7B">
        <w:rPr>
          <w:rFonts w:cstheme="minorHAnsi"/>
          <w:b/>
          <w:bCs/>
          <w:sz w:val="24"/>
          <w:szCs w:val="24"/>
        </w:rPr>
        <w:t>5</w:t>
      </w:r>
      <w:r w:rsidRPr="00D47F7B">
        <w:rPr>
          <w:rFonts w:cstheme="minorHAnsi"/>
          <w:sz w:val="24"/>
          <w:szCs w:val="24"/>
        </w:rPr>
        <w:t>(3), e9490. </w:t>
      </w:r>
      <w:r w:rsidRPr="00D47F7B">
        <w:rPr>
          <w:rFonts w:cstheme="minorHAnsi"/>
          <w:sz w:val="24"/>
          <w:szCs w:val="24"/>
        </w:rPr>
        <w:t>https://doi.org/10.1371/journal.pone.0009490</w:t>
      </w:r>
    </w:p>
    <w:p w14:paraId="36273723" w14:textId="05AAE870"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Qiao</w:t>
      </w:r>
      <w:proofErr w:type="spellEnd"/>
      <w:r w:rsidRPr="00D47F7B">
        <w:rPr>
          <w:rFonts w:cstheme="minorHAnsi"/>
          <w:sz w:val="24"/>
          <w:szCs w:val="24"/>
        </w:rPr>
        <w:t>, L., Yuan, Y., Mei, C., Yin, W., Zou, C., Yin, Y., Guo, Q., Chen, T., &amp; Ding, C. (2022). Reinforced nitrite supplement by cathode nitrate reduction with a bio-electrochemical system coupled anammox reactor. </w:t>
      </w:r>
      <w:r w:rsidRPr="00D47F7B">
        <w:rPr>
          <w:rFonts w:cstheme="minorHAnsi"/>
          <w:i/>
          <w:iCs/>
          <w:sz w:val="24"/>
          <w:szCs w:val="24"/>
        </w:rPr>
        <w:t>Environmental Research</w:t>
      </w:r>
      <w:r w:rsidRPr="00D47F7B">
        <w:rPr>
          <w:rFonts w:cstheme="minorHAnsi"/>
          <w:sz w:val="24"/>
          <w:szCs w:val="24"/>
        </w:rPr>
        <w:t>, </w:t>
      </w:r>
      <w:r w:rsidRPr="00D47F7B">
        <w:rPr>
          <w:rFonts w:cstheme="minorHAnsi"/>
          <w:b/>
          <w:bCs/>
          <w:sz w:val="24"/>
          <w:szCs w:val="24"/>
        </w:rPr>
        <w:t>204</w:t>
      </w:r>
      <w:r w:rsidRPr="00D47F7B">
        <w:rPr>
          <w:rFonts w:cstheme="minorHAnsi"/>
          <w:sz w:val="24"/>
          <w:szCs w:val="24"/>
        </w:rPr>
        <w:t>, 112051. </w:t>
      </w:r>
      <w:r w:rsidRPr="00D47F7B">
        <w:rPr>
          <w:rFonts w:cstheme="minorHAnsi"/>
          <w:sz w:val="24"/>
          <w:szCs w:val="24"/>
        </w:rPr>
        <w:t>https://doi.org/10.1016/j.envres.2021.112051</w:t>
      </w:r>
    </w:p>
    <w:p w14:paraId="2BCF5BF5" w14:textId="254C1C7E" w:rsidR="00E14CE2" w:rsidRPr="00D47F7B" w:rsidRDefault="00E14CE2" w:rsidP="00D47F7B">
      <w:pPr>
        <w:pStyle w:val="NoSpacing"/>
        <w:ind w:left="720" w:hanging="720"/>
        <w:rPr>
          <w:rFonts w:cstheme="minorHAnsi"/>
          <w:sz w:val="24"/>
          <w:szCs w:val="24"/>
        </w:rPr>
      </w:pPr>
      <w:r w:rsidRPr="00D47F7B">
        <w:rPr>
          <w:rFonts w:cstheme="minorHAnsi"/>
          <w:sz w:val="24"/>
          <w:szCs w:val="24"/>
        </w:rPr>
        <w:t>Quast, C., </w:t>
      </w:r>
      <w:proofErr w:type="spellStart"/>
      <w:r w:rsidRPr="00D47F7B">
        <w:rPr>
          <w:rFonts w:cstheme="minorHAnsi"/>
          <w:sz w:val="24"/>
          <w:szCs w:val="24"/>
        </w:rPr>
        <w:t>Pruesse</w:t>
      </w:r>
      <w:proofErr w:type="spellEnd"/>
      <w:r w:rsidRPr="00D47F7B">
        <w:rPr>
          <w:rFonts w:cstheme="minorHAnsi"/>
          <w:sz w:val="24"/>
          <w:szCs w:val="24"/>
        </w:rPr>
        <w:t>, E., Yilmaz, P., </w:t>
      </w:r>
      <w:proofErr w:type="spellStart"/>
      <w:r w:rsidRPr="00D47F7B">
        <w:rPr>
          <w:rFonts w:cstheme="minorHAnsi"/>
          <w:sz w:val="24"/>
          <w:szCs w:val="24"/>
        </w:rPr>
        <w:t>Gerken</w:t>
      </w:r>
      <w:proofErr w:type="spellEnd"/>
      <w:r w:rsidRPr="00D47F7B">
        <w:rPr>
          <w:rFonts w:cstheme="minorHAnsi"/>
          <w:sz w:val="24"/>
          <w:szCs w:val="24"/>
        </w:rPr>
        <w:t>, J., </w:t>
      </w:r>
      <w:proofErr w:type="spellStart"/>
      <w:r w:rsidRPr="00D47F7B">
        <w:rPr>
          <w:rFonts w:cstheme="minorHAnsi"/>
          <w:sz w:val="24"/>
          <w:szCs w:val="24"/>
        </w:rPr>
        <w:t>Schweer</w:t>
      </w:r>
      <w:proofErr w:type="spellEnd"/>
      <w:r w:rsidRPr="00D47F7B">
        <w:rPr>
          <w:rFonts w:cstheme="minorHAnsi"/>
          <w:sz w:val="24"/>
          <w:szCs w:val="24"/>
        </w:rPr>
        <w:t>, T., </w:t>
      </w:r>
      <w:proofErr w:type="spellStart"/>
      <w:r w:rsidRPr="00D47F7B">
        <w:rPr>
          <w:rFonts w:cstheme="minorHAnsi"/>
          <w:sz w:val="24"/>
          <w:szCs w:val="24"/>
        </w:rPr>
        <w:t>Yarza</w:t>
      </w:r>
      <w:proofErr w:type="spellEnd"/>
      <w:r w:rsidRPr="00D47F7B">
        <w:rPr>
          <w:rFonts w:cstheme="minorHAnsi"/>
          <w:sz w:val="24"/>
          <w:szCs w:val="24"/>
        </w:rPr>
        <w:t>, P., </w:t>
      </w:r>
      <w:proofErr w:type="spellStart"/>
      <w:r w:rsidRPr="00D47F7B">
        <w:rPr>
          <w:rFonts w:cstheme="minorHAnsi"/>
          <w:sz w:val="24"/>
          <w:szCs w:val="24"/>
        </w:rPr>
        <w:t>Peplies</w:t>
      </w:r>
      <w:proofErr w:type="spellEnd"/>
      <w:r w:rsidRPr="00D47F7B">
        <w:rPr>
          <w:rFonts w:cstheme="minorHAnsi"/>
          <w:sz w:val="24"/>
          <w:szCs w:val="24"/>
        </w:rPr>
        <w:t>, J., &amp; </w:t>
      </w:r>
      <w:proofErr w:type="spellStart"/>
      <w:r w:rsidRPr="00D47F7B">
        <w:rPr>
          <w:rFonts w:cstheme="minorHAnsi"/>
          <w:sz w:val="24"/>
          <w:szCs w:val="24"/>
        </w:rPr>
        <w:t>Glöckner</w:t>
      </w:r>
      <w:proofErr w:type="spellEnd"/>
      <w:r w:rsidRPr="00D47F7B">
        <w:rPr>
          <w:rFonts w:cstheme="minorHAnsi"/>
          <w:sz w:val="24"/>
          <w:szCs w:val="24"/>
        </w:rPr>
        <w:t>, F. O. (2013). The SILVA ribosomal RNA gene database project: Improved data processing and web-based tools. </w:t>
      </w:r>
      <w:r w:rsidRPr="00D47F7B">
        <w:rPr>
          <w:rFonts w:cstheme="minorHAnsi"/>
          <w:i/>
          <w:iCs/>
          <w:sz w:val="24"/>
          <w:szCs w:val="24"/>
        </w:rPr>
        <w:t>Nucleic Acids Research</w:t>
      </w:r>
      <w:r w:rsidRPr="00D47F7B">
        <w:rPr>
          <w:rFonts w:cstheme="minorHAnsi"/>
          <w:sz w:val="24"/>
          <w:szCs w:val="24"/>
        </w:rPr>
        <w:t>, </w:t>
      </w:r>
      <w:r w:rsidRPr="00D47F7B">
        <w:rPr>
          <w:rFonts w:cstheme="minorHAnsi"/>
          <w:b/>
          <w:bCs/>
          <w:sz w:val="24"/>
          <w:szCs w:val="24"/>
        </w:rPr>
        <w:t>41</w:t>
      </w:r>
      <w:r w:rsidRPr="00D47F7B">
        <w:rPr>
          <w:rFonts w:cstheme="minorHAnsi"/>
          <w:sz w:val="24"/>
          <w:szCs w:val="24"/>
        </w:rPr>
        <w:t>, D590– D596. </w:t>
      </w:r>
      <w:r w:rsidRPr="00D47F7B">
        <w:rPr>
          <w:rFonts w:cstheme="minorHAnsi"/>
          <w:sz w:val="24"/>
          <w:szCs w:val="24"/>
        </w:rPr>
        <w:t>https://doi.org/10.1093/nar/gks1219</w:t>
      </w:r>
    </w:p>
    <w:p w14:paraId="63A3DF97" w14:textId="77777777" w:rsidR="00E14CE2" w:rsidRPr="00D47F7B" w:rsidRDefault="00E14CE2" w:rsidP="00D47F7B">
      <w:pPr>
        <w:pStyle w:val="NoSpacing"/>
        <w:ind w:left="720" w:hanging="720"/>
        <w:rPr>
          <w:rFonts w:cstheme="minorHAnsi"/>
          <w:sz w:val="24"/>
          <w:szCs w:val="24"/>
        </w:rPr>
      </w:pPr>
      <w:r w:rsidRPr="00D47F7B">
        <w:rPr>
          <w:rFonts w:cstheme="minorHAnsi"/>
          <w:sz w:val="24"/>
          <w:szCs w:val="24"/>
        </w:rPr>
        <w:t>R Core Team. (2021). R: A Language and Environment for Statistical Computing, </w:t>
      </w:r>
      <w:r w:rsidRPr="00D47F7B">
        <w:rPr>
          <w:rFonts w:cstheme="minorHAnsi"/>
          <w:b/>
          <w:bCs/>
          <w:sz w:val="24"/>
          <w:szCs w:val="24"/>
        </w:rPr>
        <w:t>2015</w:t>
      </w:r>
      <w:r w:rsidRPr="00D47F7B">
        <w:rPr>
          <w:rFonts w:cstheme="minorHAnsi"/>
          <w:sz w:val="24"/>
          <w:szCs w:val="24"/>
        </w:rPr>
        <w:t>.</w:t>
      </w:r>
    </w:p>
    <w:p w14:paraId="576A99AF" w14:textId="4D66B3A3" w:rsidR="00E14CE2" w:rsidRPr="00D47F7B" w:rsidRDefault="00E14CE2" w:rsidP="00D47F7B">
      <w:pPr>
        <w:pStyle w:val="NoSpacing"/>
        <w:ind w:left="720" w:hanging="720"/>
        <w:rPr>
          <w:rFonts w:cstheme="minorHAnsi"/>
          <w:sz w:val="24"/>
          <w:szCs w:val="24"/>
        </w:rPr>
      </w:pPr>
      <w:r w:rsidRPr="00D47F7B">
        <w:rPr>
          <w:rFonts w:cstheme="minorHAnsi"/>
          <w:sz w:val="24"/>
          <w:szCs w:val="24"/>
        </w:rPr>
        <w:t>Rahimi, S., </w:t>
      </w:r>
      <w:proofErr w:type="spellStart"/>
      <w:r w:rsidRPr="00D47F7B">
        <w:rPr>
          <w:rFonts w:cstheme="minorHAnsi"/>
          <w:sz w:val="24"/>
          <w:szCs w:val="24"/>
        </w:rPr>
        <w:t>Modin</w:t>
      </w:r>
      <w:proofErr w:type="spellEnd"/>
      <w:r w:rsidRPr="00D47F7B">
        <w:rPr>
          <w:rFonts w:cstheme="minorHAnsi"/>
          <w:sz w:val="24"/>
          <w:szCs w:val="24"/>
        </w:rPr>
        <w:t>, O., &amp; </w:t>
      </w:r>
      <w:proofErr w:type="spellStart"/>
      <w:r w:rsidRPr="00D47F7B">
        <w:rPr>
          <w:rFonts w:cstheme="minorHAnsi"/>
          <w:sz w:val="24"/>
          <w:szCs w:val="24"/>
        </w:rPr>
        <w:t>Mijakovic</w:t>
      </w:r>
      <w:proofErr w:type="spellEnd"/>
      <w:r w:rsidRPr="00D47F7B">
        <w:rPr>
          <w:rFonts w:cstheme="minorHAnsi"/>
          <w:sz w:val="24"/>
          <w:szCs w:val="24"/>
        </w:rPr>
        <w:t>, I. (2020). Technologies for biological removal and recovery of nitrogen from wastewater. </w:t>
      </w:r>
      <w:r w:rsidRPr="00D47F7B">
        <w:rPr>
          <w:rFonts w:cstheme="minorHAnsi"/>
          <w:i/>
          <w:iCs/>
          <w:sz w:val="24"/>
          <w:szCs w:val="24"/>
        </w:rPr>
        <w:t>Biotechnology Advances</w:t>
      </w:r>
      <w:r w:rsidRPr="00D47F7B">
        <w:rPr>
          <w:rFonts w:cstheme="minorHAnsi"/>
          <w:sz w:val="24"/>
          <w:szCs w:val="24"/>
        </w:rPr>
        <w:t>, </w:t>
      </w:r>
      <w:r w:rsidRPr="00D47F7B">
        <w:rPr>
          <w:rFonts w:cstheme="minorHAnsi"/>
          <w:b/>
          <w:bCs/>
          <w:sz w:val="24"/>
          <w:szCs w:val="24"/>
        </w:rPr>
        <w:t>43</w:t>
      </w:r>
      <w:r w:rsidRPr="00D47F7B">
        <w:rPr>
          <w:rFonts w:cstheme="minorHAnsi"/>
          <w:sz w:val="24"/>
          <w:szCs w:val="24"/>
        </w:rPr>
        <w:t>, 107570. </w:t>
      </w:r>
      <w:r w:rsidRPr="00D47F7B">
        <w:rPr>
          <w:rFonts w:cstheme="minorHAnsi"/>
          <w:sz w:val="24"/>
          <w:szCs w:val="24"/>
        </w:rPr>
        <w:t>https://doi.org/10.1016/j.biotechadv.2020.107570</w:t>
      </w:r>
    </w:p>
    <w:p w14:paraId="327E4CC5" w14:textId="2DB9F900"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Regmi</w:t>
      </w:r>
      <w:proofErr w:type="spellEnd"/>
      <w:r w:rsidRPr="00D47F7B">
        <w:rPr>
          <w:rFonts w:cstheme="minorHAnsi"/>
          <w:sz w:val="24"/>
          <w:szCs w:val="24"/>
        </w:rPr>
        <w:t xml:space="preserve">, P., Miller, M. W., Holgate, B., Bunce, R., Park, H., Chandran, K., Wett, B., Murthy, S., &amp; Bott, C. B. (2014). Control of aeration, aerobic SRT and COD input for mainstream </w:t>
      </w:r>
      <w:proofErr w:type="spellStart"/>
      <w:r w:rsidRPr="00D47F7B">
        <w:rPr>
          <w:rFonts w:cstheme="minorHAnsi"/>
          <w:sz w:val="24"/>
          <w:szCs w:val="24"/>
        </w:rPr>
        <w:t>nitritation</w:t>
      </w:r>
      <w:proofErr w:type="spellEnd"/>
      <w:r w:rsidRPr="00D47F7B">
        <w:rPr>
          <w:rFonts w:cstheme="minorHAnsi"/>
          <w:sz w:val="24"/>
          <w:szCs w:val="24"/>
        </w:rPr>
        <w:t>/</w:t>
      </w:r>
      <w:proofErr w:type="spellStart"/>
      <w:r w:rsidRPr="00D47F7B">
        <w:rPr>
          <w:rFonts w:cstheme="minorHAnsi"/>
          <w:sz w:val="24"/>
          <w:szCs w:val="24"/>
        </w:rPr>
        <w:t>denitritation</w:t>
      </w:r>
      <w:proofErr w:type="spellEnd"/>
      <w:r w:rsidRPr="00D47F7B">
        <w:rPr>
          <w:rFonts w:cstheme="minorHAnsi"/>
          <w:sz w:val="24"/>
          <w:szCs w:val="24"/>
        </w:rPr>
        <w:t>. </w:t>
      </w:r>
      <w:r w:rsidRPr="00D47F7B">
        <w:rPr>
          <w:rFonts w:cstheme="minorHAnsi"/>
          <w:i/>
          <w:iCs/>
          <w:sz w:val="24"/>
          <w:szCs w:val="24"/>
        </w:rPr>
        <w:t>Water Research</w:t>
      </w:r>
      <w:r w:rsidRPr="00D47F7B">
        <w:rPr>
          <w:rFonts w:cstheme="minorHAnsi"/>
          <w:sz w:val="24"/>
          <w:szCs w:val="24"/>
        </w:rPr>
        <w:t>, </w:t>
      </w:r>
      <w:r w:rsidRPr="00D47F7B">
        <w:rPr>
          <w:rFonts w:cstheme="minorHAnsi"/>
          <w:b/>
          <w:bCs/>
          <w:sz w:val="24"/>
          <w:szCs w:val="24"/>
        </w:rPr>
        <w:t>57</w:t>
      </w:r>
      <w:r w:rsidRPr="00D47F7B">
        <w:rPr>
          <w:rFonts w:cstheme="minorHAnsi"/>
          <w:sz w:val="24"/>
          <w:szCs w:val="24"/>
        </w:rPr>
        <w:t>, 162– 171. </w:t>
      </w:r>
      <w:r w:rsidRPr="00D47F7B">
        <w:rPr>
          <w:rFonts w:cstheme="minorHAnsi"/>
          <w:sz w:val="24"/>
          <w:szCs w:val="24"/>
        </w:rPr>
        <w:t>https://doi.org/10.1016/j.watres.2014.03.035</w:t>
      </w:r>
    </w:p>
    <w:p w14:paraId="0547E002" w14:textId="79B38E35" w:rsidR="00E14CE2" w:rsidRPr="00D47F7B" w:rsidRDefault="00E14CE2" w:rsidP="00D47F7B">
      <w:pPr>
        <w:pStyle w:val="NoSpacing"/>
        <w:ind w:left="720" w:hanging="720"/>
        <w:rPr>
          <w:rFonts w:cstheme="minorHAnsi"/>
          <w:sz w:val="24"/>
          <w:szCs w:val="24"/>
        </w:rPr>
      </w:pPr>
    </w:p>
    <w:p w14:paraId="31695869" w14:textId="76B3AB81" w:rsidR="00E14CE2" w:rsidRPr="00D47F7B" w:rsidRDefault="00E14CE2" w:rsidP="00D47F7B">
      <w:pPr>
        <w:pStyle w:val="NoSpacing"/>
        <w:ind w:left="720" w:hanging="720"/>
        <w:rPr>
          <w:rFonts w:cstheme="minorHAnsi"/>
          <w:sz w:val="24"/>
          <w:szCs w:val="24"/>
        </w:rPr>
      </w:pPr>
      <w:r w:rsidRPr="00D47F7B">
        <w:rPr>
          <w:rFonts w:cstheme="minorHAnsi"/>
          <w:sz w:val="24"/>
          <w:szCs w:val="24"/>
        </w:rPr>
        <w:t>Roots, P., </w:t>
      </w:r>
      <w:proofErr w:type="spellStart"/>
      <w:r w:rsidRPr="00D47F7B">
        <w:rPr>
          <w:rFonts w:cstheme="minorHAnsi"/>
          <w:sz w:val="24"/>
          <w:szCs w:val="24"/>
        </w:rPr>
        <w:t>Sabba</w:t>
      </w:r>
      <w:proofErr w:type="spellEnd"/>
      <w:r w:rsidRPr="00D47F7B">
        <w:rPr>
          <w:rFonts w:cstheme="minorHAnsi"/>
          <w:sz w:val="24"/>
          <w:szCs w:val="24"/>
        </w:rPr>
        <w:t>, F., Rosenthal, A. F., Wang, Y. B., Yuan, Q., Rieger, L., Yang, F. H., Kozak, J. A., Zhang, H., &amp; Wells, G. F. (2020). Integrated shortcut nitrogen and biological phosphorus removal from mainstream wastewater: Process operation and modeling. </w:t>
      </w:r>
      <w:r w:rsidRPr="00D47F7B">
        <w:rPr>
          <w:rFonts w:cstheme="minorHAnsi"/>
          <w:i/>
          <w:iCs/>
          <w:sz w:val="24"/>
          <w:szCs w:val="24"/>
        </w:rPr>
        <w:t>Environmental Science: Water Research.</w:t>
      </w:r>
      <w:r w:rsidRPr="00D47F7B">
        <w:rPr>
          <w:rFonts w:cstheme="minorHAnsi"/>
          <w:sz w:val="24"/>
          <w:szCs w:val="24"/>
        </w:rPr>
        <w:t>, </w:t>
      </w:r>
      <w:r w:rsidRPr="00D47F7B">
        <w:rPr>
          <w:rFonts w:cstheme="minorHAnsi"/>
          <w:b/>
          <w:bCs/>
          <w:sz w:val="24"/>
          <w:szCs w:val="24"/>
        </w:rPr>
        <w:t>6</w:t>
      </w:r>
      <w:r w:rsidRPr="00D47F7B">
        <w:rPr>
          <w:rFonts w:cstheme="minorHAnsi"/>
          <w:sz w:val="24"/>
          <w:szCs w:val="24"/>
        </w:rPr>
        <w:t>(3), 566– 580. </w:t>
      </w:r>
      <w:r w:rsidRPr="00D47F7B">
        <w:rPr>
          <w:rFonts w:cstheme="minorHAnsi"/>
          <w:sz w:val="24"/>
          <w:szCs w:val="24"/>
        </w:rPr>
        <w:t>https://doi.org/10.1039/C9EW00550A</w:t>
      </w:r>
    </w:p>
    <w:p w14:paraId="2C3946C7" w14:textId="2E9FC8C1" w:rsidR="00E14CE2" w:rsidRPr="00D47F7B" w:rsidRDefault="00E14CE2" w:rsidP="00D47F7B">
      <w:pPr>
        <w:pStyle w:val="NoSpacing"/>
        <w:ind w:left="720" w:hanging="720"/>
        <w:rPr>
          <w:rFonts w:cstheme="minorHAnsi"/>
          <w:sz w:val="24"/>
          <w:szCs w:val="24"/>
        </w:rPr>
      </w:pPr>
      <w:r w:rsidRPr="00D47F7B">
        <w:rPr>
          <w:rFonts w:cstheme="minorHAnsi"/>
          <w:sz w:val="24"/>
          <w:szCs w:val="24"/>
        </w:rPr>
        <w:t>Roots, P., Wang, Y., Rosenthal, A. F., Griffin, J. S., </w:t>
      </w:r>
      <w:proofErr w:type="spellStart"/>
      <w:r w:rsidRPr="00D47F7B">
        <w:rPr>
          <w:rFonts w:cstheme="minorHAnsi"/>
          <w:sz w:val="24"/>
          <w:szCs w:val="24"/>
        </w:rPr>
        <w:t>Sabba</w:t>
      </w:r>
      <w:proofErr w:type="spellEnd"/>
      <w:r w:rsidRPr="00D47F7B">
        <w:rPr>
          <w:rFonts w:cstheme="minorHAnsi"/>
          <w:sz w:val="24"/>
          <w:szCs w:val="24"/>
        </w:rPr>
        <w:t>, F., </w:t>
      </w:r>
      <w:proofErr w:type="spellStart"/>
      <w:r w:rsidRPr="00D47F7B">
        <w:rPr>
          <w:rFonts w:cstheme="minorHAnsi"/>
          <w:sz w:val="24"/>
          <w:szCs w:val="24"/>
        </w:rPr>
        <w:t>Petrovich</w:t>
      </w:r>
      <w:proofErr w:type="spellEnd"/>
      <w:r w:rsidRPr="00D47F7B">
        <w:rPr>
          <w:rFonts w:cstheme="minorHAnsi"/>
          <w:sz w:val="24"/>
          <w:szCs w:val="24"/>
        </w:rPr>
        <w:t>, M., Yang, F., Kozak, J. A., Zhang, H., &amp; Wells, G. F. (2019). </w:t>
      </w:r>
      <w:proofErr w:type="spellStart"/>
      <w:r w:rsidRPr="00D47F7B">
        <w:rPr>
          <w:rFonts w:cstheme="minorHAnsi"/>
          <w:sz w:val="24"/>
          <w:szCs w:val="24"/>
        </w:rPr>
        <w:t>Comammox</w:t>
      </w:r>
      <w:proofErr w:type="spellEnd"/>
      <w:r w:rsidRPr="00D47F7B">
        <w:rPr>
          <w:rFonts w:cstheme="minorHAnsi"/>
          <w:sz w:val="24"/>
          <w:szCs w:val="24"/>
        </w:rPr>
        <w:t xml:space="preserve"> </w:t>
      </w:r>
      <w:proofErr w:type="spellStart"/>
      <w:r w:rsidRPr="00D47F7B">
        <w:rPr>
          <w:rFonts w:cstheme="minorHAnsi"/>
          <w:sz w:val="24"/>
          <w:szCs w:val="24"/>
        </w:rPr>
        <w:t>Nitrospira</w:t>
      </w:r>
      <w:proofErr w:type="spellEnd"/>
      <w:r w:rsidRPr="00D47F7B">
        <w:rPr>
          <w:rFonts w:cstheme="minorHAnsi"/>
          <w:sz w:val="24"/>
          <w:szCs w:val="24"/>
        </w:rPr>
        <w:t xml:space="preserve"> are the dominant ammonia oxidizers in a mainstream low dissolved oxygen nitrification reactor. </w:t>
      </w:r>
      <w:r w:rsidRPr="00D47F7B">
        <w:rPr>
          <w:rFonts w:cstheme="minorHAnsi"/>
          <w:i/>
          <w:iCs/>
          <w:sz w:val="24"/>
          <w:szCs w:val="24"/>
        </w:rPr>
        <w:t>Water Research</w:t>
      </w:r>
      <w:r w:rsidRPr="00D47F7B">
        <w:rPr>
          <w:rFonts w:cstheme="minorHAnsi"/>
          <w:sz w:val="24"/>
          <w:szCs w:val="24"/>
        </w:rPr>
        <w:t>, </w:t>
      </w:r>
      <w:r w:rsidRPr="00D47F7B">
        <w:rPr>
          <w:rFonts w:cstheme="minorHAnsi"/>
          <w:b/>
          <w:bCs/>
          <w:sz w:val="24"/>
          <w:szCs w:val="24"/>
        </w:rPr>
        <w:t>157</w:t>
      </w:r>
      <w:r w:rsidRPr="00D47F7B">
        <w:rPr>
          <w:rFonts w:cstheme="minorHAnsi"/>
          <w:sz w:val="24"/>
          <w:szCs w:val="24"/>
        </w:rPr>
        <w:t>, 396– 405. </w:t>
      </w:r>
      <w:r w:rsidRPr="00D47F7B">
        <w:rPr>
          <w:rFonts w:cstheme="minorHAnsi"/>
          <w:sz w:val="24"/>
          <w:szCs w:val="24"/>
        </w:rPr>
        <w:t>https://doi.org/10.1016/j.watres.2019.03.060</w:t>
      </w:r>
    </w:p>
    <w:p w14:paraId="42D2CA27" w14:textId="19281474"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Sabba</w:t>
      </w:r>
      <w:proofErr w:type="spellEnd"/>
      <w:r w:rsidRPr="00D47F7B">
        <w:rPr>
          <w:rFonts w:cstheme="minorHAnsi"/>
          <w:sz w:val="24"/>
          <w:szCs w:val="24"/>
        </w:rPr>
        <w:t>, F., </w:t>
      </w:r>
      <w:proofErr w:type="spellStart"/>
      <w:r w:rsidRPr="00D47F7B">
        <w:rPr>
          <w:rFonts w:cstheme="minorHAnsi"/>
          <w:sz w:val="24"/>
          <w:szCs w:val="24"/>
        </w:rPr>
        <w:t>Picioreanu</w:t>
      </w:r>
      <w:proofErr w:type="spellEnd"/>
      <w:r w:rsidRPr="00D47F7B">
        <w:rPr>
          <w:rFonts w:cstheme="minorHAnsi"/>
          <w:sz w:val="24"/>
          <w:szCs w:val="24"/>
        </w:rPr>
        <w:t>, C., Boltz, J. P., &amp; </w:t>
      </w:r>
      <w:proofErr w:type="spellStart"/>
      <w:r w:rsidRPr="00D47F7B">
        <w:rPr>
          <w:rFonts w:cstheme="minorHAnsi"/>
          <w:sz w:val="24"/>
          <w:szCs w:val="24"/>
        </w:rPr>
        <w:t>Nerenberg</w:t>
      </w:r>
      <w:proofErr w:type="spellEnd"/>
      <w:r w:rsidRPr="00D47F7B">
        <w:rPr>
          <w:rFonts w:cstheme="minorHAnsi"/>
          <w:sz w:val="24"/>
          <w:szCs w:val="24"/>
        </w:rPr>
        <w:t>, R. (2017). Predicting N2O emissions from nitrifying and denitrifying biofilms: A modeling study. </w:t>
      </w:r>
      <w:r w:rsidRPr="00D47F7B">
        <w:rPr>
          <w:rFonts w:cstheme="minorHAnsi"/>
          <w:i/>
          <w:iCs/>
          <w:sz w:val="24"/>
          <w:szCs w:val="24"/>
        </w:rPr>
        <w:t>Water Science and Technology</w:t>
      </w:r>
      <w:r w:rsidRPr="00D47F7B">
        <w:rPr>
          <w:rFonts w:cstheme="minorHAnsi"/>
          <w:sz w:val="24"/>
          <w:szCs w:val="24"/>
        </w:rPr>
        <w:t>, </w:t>
      </w:r>
      <w:r w:rsidRPr="00D47F7B">
        <w:rPr>
          <w:rFonts w:cstheme="minorHAnsi"/>
          <w:b/>
          <w:bCs/>
          <w:sz w:val="24"/>
          <w:szCs w:val="24"/>
        </w:rPr>
        <w:t>75</w:t>
      </w:r>
      <w:r w:rsidRPr="00D47F7B">
        <w:rPr>
          <w:rFonts w:cstheme="minorHAnsi"/>
          <w:sz w:val="24"/>
          <w:szCs w:val="24"/>
        </w:rPr>
        <w:t>(3), 530– 538. </w:t>
      </w:r>
      <w:r w:rsidRPr="00D47F7B">
        <w:rPr>
          <w:rFonts w:cstheme="minorHAnsi"/>
          <w:sz w:val="24"/>
          <w:szCs w:val="24"/>
        </w:rPr>
        <w:t>https://doi.org/10.2166/wst.2016.484</w:t>
      </w:r>
    </w:p>
    <w:p w14:paraId="60E736F5" w14:textId="5E0F0346"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Sabba</w:t>
      </w:r>
      <w:proofErr w:type="spellEnd"/>
      <w:r w:rsidRPr="00D47F7B">
        <w:rPr>
          <w:rFonts w:cstheme="minorHAnsi"/>
          <w:sz w:val="24"/>
          <w:szCs w:val="24"/>
        </w:rPr>
        <w:t>, F., </w:t>
      </w:r>
      <w:proofErr w:type="spellStart"/>
      <w:r w:rsidRPr="00D47F7B">
        <w:rPr>
          <w:rFonts w:cstheme="minorHAnsi"/>
          <w:sz w:val="24"/>
          <w:szCs w:val="24"/>
        </w:rPr>
        <w:t>Picioreanu</w:t>
      </w:r>
      <w:proofErr w:type="spellEnd"/>
      <w:r w:rsidRPr="00D47F7B">
        <w:rPr>
          <w:rFonts w:cstheme="minorHAnsi"/>
          <w:sz w:val="24"/>
          <w:szCs w:val="24"/>
        </w:rPr>
        <w:t>, C., &amp; </w:t>
      </w:r>
      <w:proofErr w:type="spellStart"/>
      <w:r w:rsidRPr="00D47F7B">
        <w:rPr>
          <w:rFonts w:cstheme="minorHAnsi"/>
          <w:sz w:val="24"/>
          <w:szCs w:val="24"/>
        </w:rPr>
        <w:t>Nerenberg</w:t>
      </w:r>
      <w:proofErr w:type="spellEnd"/>
      <w:r w:rsidRPr="00D47F7B">
        <w:rPr>
          <w:rFonts w:cstheme="minorHAnsi"/>
          <w:sz w:val="24"/>
          <w:szCs w:val="24"/>
        </w:rPr>
        <w:t>, R. (2017). Mechanisms of nitrous oxide (N2 O) formation and reduction in denitrifying biofilms. </w:t>
      </w:r>
      <w:r w:rsidRPr="00D47F7B">
        <w:rPr>
          <w:rFonts w:cstheme="minorHAnsi"/>
          <w:i/>
          <w:iCs/>
          <w:sz w:val="24"/>
          <w:szCs w:val="24"/>
        </w:rPr>
        <w:t>Biotechnology and Bioengineering</w:t>
      </w:r>
      <w:r w:rsidRPr="00D47F7B">
        <w:rPr>
          <w:rFonts w:cstheme="minorHAnsi"/>
          <w:sz w:val="24"/>
          <w:szCs w:val="24"/>
        </w:rPr>
        <w:t>, </w:t>
      </w:r>
      <w:r w:rsidRPr="00D47F7B">
        <w:rPr>
          <w:rFonts w:cstheme="minorHAnsi"/>
          <w:b/>
          <w:bCs/>
          <w:sz w:val="24"/>
          <w:szCs w:val="24"/>
        </w:rPr>
        <w:t>114</w:t>
      </w:r>
      <w:r w:rsidRPr="00D47F7B">
        <w:rPr>
          <w:rFonts w:cstheme="minorHAnsi"/>
          <w:sz w:val="24"/>
          <w:szCs w:val="24"/>
        </w:rPr>
        <w:t>(12), 2753– 2761. </w:t>
      </w:r>
      <w:r w:rsidRPr="00D47F7B">
        <w:rPr>
          <w:rFonts w:cstheme="minorHAnsi"/>
          <w:sz w:val="24"/>
          <w:szCs w:val="24"/>
        </w:rPr>
        <w:t>https://doi.org/10.1002/bit.26399</w:t>
      </w:r>
    </w:p>
    <w:p w14:paraId="7D731DB9" w14:textId="049456D5"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Sabba</w:t>
      </w:r>
      <w:proofErr w:type="spellEnd"/>
      <w:r w:rsidRPr="00D47F7B">
        <w:rPr>
          <w:rFonts w:cstheme="minorHAnsi"/>
          <w:sz w:val="24"/>
          <w:szCs w:val="24"/>
        </w:rPr>
        <w:t>, F., </w:t>
      </w:r>
      <w:proofErr w:type="spellStart"/>
      <w:r w:rsidRPr="00D47F7B">
        <w:rPr>
          <w:rFonts w:cstheme="minorHAnsi"/>
          <w:sz w:val="24"/>
          <w:szCs w:val="24"/>
        </w:rPr>
        <w:t>Picioreanu</w:t>
      </w:r>
      <w:proofErr w:type="spellEnd"/>
      <w:r w:rsidRPr="00D47F7B">
        <w:rPr>
          <w:rFonts w:cstheme="minorHAnsi"/>
          <w:sz w:val="24"/>
          <w:szCs w:val="24"/>
        </w:rPr>
        <w:t>, C., Perez, J., &amp; </w:t>
      </w:r>
      <w:proofErr w:type="spellStart"/>
      <w:r w:rsidRPr="00D47F7B">
        <w:rPr>
          <w:rFonts w:cstheme="minorHAnsi"/>
          <w:sz w:val="24"/>
          <w:szCs w:val="24"/>
        </w:rPr>
        <w:t>Nerenberg</w:t>
      </w:r>
      <w:proofErr w:type="spellEnd"/>
      <w:r w:rsidRPr="00D47F7B">
        <w:rPr>
          <w:rFonts w:cstheme="minorHAnsi"/>
          <w:sz w:val="24"/>
          <w:szCs w:val="24"/>
        </w:rPr>
        <w:t xml:space="preserve">, R. (2015). Hydroxylamine diffusion can enhance </w:t>
      </w:r>
      <w:proofErr w:type="gramStart"/>
      <w:r w:rsidRPr="00D47F7B">
        <w:rPr>
          <w:rFonts w:cstheme="minorHAnsi"/>
          <w:sz w:val="24"/>
          <w:szCs w:val="24"/>
        </w:rPr>
        <w:t>N(</w:t>
      </w:r>
      <w:proofErr w:type="gramEnd"/>
      <w:r w:rsidRPr="00D47F7B">
        <w:rPr>
          <w:rFonts w:cstheme="minorHAnsi"/>
          <w:sz w:val="24"/>
          <w:szCs w:val="24"/>
        </w:rPr>
        <w:t>2)O emissions in nitrifying biofilms: A modeling study. </w:t>
      </w:r>
      <w:r w:rsidRPr="00D47F7B">
        <w:rPr>
          <w:rFonts w:cstheme="minorHAnsi"/>
          <w:i/>
          <w:iCs/>
          <w:sz w:val="24"/>
          <w:szCs w:val="24"/>
        </w:rPr>
        <w:t>Environmental Science &amp; Technology</w:t>
      </w:r>
      <w:r w:rsidRPr="00D47F7B">
        <w:rPr>
          <w:rFonts w:cstheme="minorHAnsi"/>
          <w:sz w:val="24"/>
          <w:szCs w:val="24"/>
        </w:rPr>
        <w:t>, </w:t>
      </w:r>
      <w:r w:rsidRPr="00D47F7B">
        <w:rPr>
          <w:rFonts w:cstheme="minorHAnsi"/>
          <w:b/>
          <w:bCs/>
          <w:sz w:val="24"/>
          <w:szCs w:val="24"/>
        </w:rPr>
        <w:t>49</w:t>
      </w:r>
      <w:r w:rsidRPr="00D47F7B">
        <w:rPr>
          <w:rFonts w:cstheme="minorHAnsi"/>
          <w:sz w:val="24"/>
          <w:szCs w:val="24"/>
        </w:rPr>
        <w:t>(3), 1486– 1494. </w:t>
      </w:r>
      <w:r w:rsidRPr="00D47F7B">
        <w:rPr>
          <w:rFonts w:cstheme="minorHAnsi"/>
          <w:sz w:val="24"/>
          <w:szCs w:val="24"/>
        </w:rPr>
        <w:t>https://doi.org/10.1021/es5046919</w:t>
      </w:r>
    </w:p>
    <w:p w14:paraId="7D9CD8E7" w14:textId="159B6455"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Sabba</w:t>
      </w:r>
      <w:proofErr w:type="spellEnd"/>
      <w:r w:rsidRPr="00D47F7B">
        <w:rPr>
          <w:rFonts w:cstheme="minorHAnsi"/>
          <w:sz w:val="24"/>
          <w:szCs w:val="24"/>
        </w:rPr>
        <w:t>, F., Terada, A., Wells, G., </w:t>
      </w:r>
      <w:proofErr w:type="spellStart"/>
      <w:r w:rsidRPr="00D47F7B">
        <w:rPr>
          <w:rFonts w:cstheme="minorHAnsi"/>
          <w:sz w:val="24"/>
          <w:szCs w:val="24"/>
        </w:rPr>
        <w:t>Smets</w:t>
      </w:r>
      <w:proofErr w:type="spellEnd"/>
      <w:r w:rsidRPr="00D47F7B">
        <w:rPr>
          <w:rFonts w:cstheme="minorHAnsi"/>
          <w:sz w:val="24"/>
          <w:szCs w:val="24"/>
        </w:rPr>
        <w:t>, B. F., &amp; </w:t>
      </w:r>
      <w:proofErr w:type="spellStart"/>
      <w:r w:rsidRPr="00D47F7B">
        <w:rPr>
          <w:rFonts w:cstheme="minorHAnsi"/>
          <w:sz w:val="24"/>
          <w:szCs w:val="24"/>
        </w:rPr>
        <w:t>Nerenberg</w:t>
      </w:r>
      <w:proofErr w:type="spellEnd"/>
      <w:r w:rsidRPr="00D47F7B">
        <w:rPr>
          <w:rFonts w:cstheme="minorHAnsi"/>
          <w:sz w:val="24"/>
          <w:szCs w:val="24"/>
        </w:rPr>
        <w:t>, R. (2018). Nitrous oxide emissions from biofilm processes for wastewater treatment. </w:t>
      </w:r>
      <w:r w:rsidRPr="00D47F7B">
        <w:rPr>
          <w:rFonts w:cstheme="minorHAnsi"/>
          <w:i/>
          <w:iCs/>
          <w:sz w:val="24"/>
          <w:szCs w:val="24"/>
        </w:rPr>
        <w:t>Applied Microbiology and Biotechnology</w:t>
      </w:r>
      <w:r w:rsidRPr="00D47F7B">
        <w:rPr>
          <w:rFonts w:cstheme="minorHAnsi"/>
          <w:sz w:val="24"/>
          <w:szCs w:val="24"/>
        </w:rPr>
        <w:t>, </w:t>
      </w:r>
      <w:r w:rsidRPr="00D47F7B">
        <w:rPr>
          <w:rFonts w:cstheme="minorHAnsi"/>
          <w:b/>
          <w:bCs/>
          <w:sz w:val="24"/>
          <w:szCs w:val="24"/>
        </w:rPr>
        <w:t>102</w:t>
      </w:r>
      <w:r w:rsidRPr="00D47F7B">
        <w:rPr>
          <w:rFonts w:cstheme="minorHAnsi"/>
          <w:sz w:val="24"/>
          <w:szCs w:val="24"/>
        </w:rPr>
        <w:t>(22), 9815– 9829. </w:t>
      </w:r>
      <w:r w:rsidRPr="00D47F7B">
        <w:rPr>
          <w:rFonts w:cstheme="minorHAnsi"/>
          <w:sz w:val="24"/>
          <w:szCs w:val="24"/>
        </w:rPr>
        <w:t>https://doi.org/10.1007/s00253-018-9332-7</w:t>
      </w:r>
    </w:p>
    <w:p w14:paraId="26ACC441" w14:textId="63463112" w:rsidR="00E14CE2" w:rsidRPr="00D47F7B" w:rsidRDefault="00E14CE2" w:rsidP="00D47F7B">
      <w:pPr>
        <w:pStyle w:val="NoSpacing"/>
        <w:ind w:left="720" w:hanging="720"/>
        <w:rPr>
          <w:rFonts w:cstheme="minorHAnsi"/>
          <w:sz w:val="24"/>
          <w:szCs w:val="24"/>
        </w:rPr>
      </w:pPr>
      <w:r w:rsidRPr="00D47F7B">
        <w:rPr>
          <w:rFonts w:cstheme="minorHAnsi"/>
          <w:sz w:val="24"/>
          <w:szCs w:val="24"/>
        </w:rPr>
        <w:t>Shade, A., Peter, H., Allison, S. D., Baho, D. L., </w:t>
      </w:r>
      <w:proofErr w:type="spellStart"/>
      <w:r w:rsidRPr="00D47F7B">
        <w:rPr>
          <w:rFonts w:cstheme="minorHAnsi"/>
          <w:sz w:val="24"/>
          <w:szCs w:val="24"/>
        </w:rPr>
        <w:t>Berga</w:t>
      </w:r>
      <w:proofErr w:type="spellEnd"/>
      <w:r w:rsidRPr="00D47F7B">
        <w:rPr>
          <w:rFonts w:cstheme="minorHAnsi"/>
          <w:sz w:val="24"/>
          <w:szCs w:val="24"/>
        </w:rPr>
        <w:t>, M., </w:t>
      </w:r>
      <w:proofErr w:type="spellStart"/>
      <w:r w:rsidRPr="00D47F7B">
        <w:rPr>
          <w:rFonts w:cstheme="minorHAnsi"/>
          <w:sz w:val="24"/>
          <w:szCs w:val="24"/>
        </w:rPr>
        <w:t>Bürgmann</w:t>
      </w:r>
      <w:proofErr w:type="spellEnd"/>
      <w:r w:rsidRPr="00D47F7B">
        <w:rPr>
          <w:rFonts w:cstheme="minorHAnsi"/>
          <w:sz w:val="24"/>
          <w:szCs w:val="24"/>
        </w:rPr>
        <w:t>, H., Huber, D. H., </w:t>
      </w:r>
      <w:proofErr w:type="spellStart"/>
      <w:r w:rsidRPr="00D47F7B">
        <w:rPr>
          <w:rFonts w:cstheme="minorHAnsi"/>
          <w:sz w:val="24"/>
          <w:szCs w:val="24"/>
        </w:rPr>
        <w:t>Langenheder</w:t>
      </w:r>
      <w:proofErr w:type="spellEnd"/>
      <w:r w:rsidRPr="00D47F7B">
        <w:rPr>
          <w:rFonts w:cstheme="minorHAnsi"/>
          <w:sz w:val="24"/>
          <w:szCs w:val="24"/>
        </w:rPr>
        <w:t>, S., Lennon, J. T., </w:t>
      </w:r>
      <w:proofErr w:type="spellStart"/>
      <w:r w:rsidRPr="00D47F7B">
        <w:rPr>
          <w:rFonts w:cstheme="minorHAnsi"/>
          <w:sz w:val="24"/>
          <w:szCs w:val="24"/>
        </w:rPr>
        <w:t>Martiny</w:t>
      </w:r>
      <w:proofErr w:type="spellEnd"/>
      <w:r w:rsidRPr="00D47F7B">
        <w:rPr>
          <w:rFonts w:cstheme="minorHAnsi"/>
          <w:sz w:val="24"/>
          <w:szCs w:val="24"/>
        </w:rPr>
        <w:t>, J. B. H., </w:t>
      </w:r>
      <w:proofErr w:type="spellStart"/>
      <w:r w:rsidRPr="00D47F7B">
        <w:rPr>
          <w:rFonts w:cstheme="minorHAnsi"/>
          <w:sz w:val="24"/>
          <w:szCs w:val="24"/>
        </w:rPr>
        <w:t>Matulich</w:t>
      </w:r>
      <w:proofErr w:type="spellEnd"/>
      <w:r w:rsidRPr="00D47F7B">
        <w:rPr>
          <w:rFonts w:cstheme="minorHAnsi"/>
          <w:sz w:val="24"/>
          <w:szCs w:val="24"/>
        </w:rPr>
        <w:t>, K. L., Schmidt, T. M., &amp; </w:t>
      </w:r>
      <w:proofErr w:type="spellStart"/>
      <w:r w:rsidRPr="00D47F7B">
        <w:rPr>
          <w:rFonts w:cstheme="minorHAnsi"/>
          <w:sz w:val="24"/>
          <w:szCs w:val="24"/>
        </w:rPr>
        <w:t>Handelsman</w:t>
      </w:r>
      <w:proofErr w:type="spellEnd"/>
      <w:r w:rsidRPr="00D47F7B">
        <w:rPr>
          <w:rFonts w:cstheme="minorHAnsi"/>
          <w:sz w:val="24"/>
          <w:szCs w:val="24"/>
        </w:rPr>
        <w:t>, J. (2012). Fundamentals of microbial community resistance and resilience. </w:t>
      </w:r>
      <w:r w:rsidRPr="00D47F7B">
        <w:rPr>
          <w:rFonts w:cstheme="minorHAnsi"/>
          <w:i/>
          <w:iCs/>
          <w:sz w:val="24"/>
          <w:szCs w:val="24"/>
        </w:rPr>
        <w:t>Frontiers in Microbiology</w:t>
      </w:r>
      <w:r w:rsidRPr="00D47F7B">
        <w:rPr>
          <w:rFonts w:cstheme="minorHAnsi"/>
          <w:sz w:val="24"/>
          <w:szCs w:val="24"/>
        </w:rPr>
        <w:t>, </w:t>
      </w:r>
      <w:r w:rsidRPr="00D47F7B">
        <w:rPr>
          <w:rFonts w:cstheme="minorHAnsi"/>
          <w:b/>
          <w:bCs/>
          <w:sz w:val="24"/>
          <w:szCs w:val="24"/>
        </w:rPr>
        <w:t>3</w:t>
      </w:r>
      <w:r w:rsidRPr="00D47F7B">
        <w:rPr>
          <w:rFonts w:cstheme="minorHAnsi"/>
          <w:sz w:val="24"/>
          <w:szCs w:val="24"/>
        </w:rPr>
        <w:t>. </w:t>
      </w:r>
      <w:r w:rsidRPr="00D47F7B">
        <w:rPr>
          <w:rFonts w:cstheme="minorHAnsi"/>
          <w:sz w:val="24"/>
          <w:szCs w:val="24"/>
        </w:rPr>
        <w:t>https://doi.org/10.3389/fmicb.2012.00417</w:t>
      </w:r>
    </w:p>
    <w:p w14:paraId="537AAD41" w14:textId="087C92DF" w:rsidR="00E14CE2" w:rsidRPr="00D47F7B" w:rsidRDefault="00E14CE2" w:rsidP="00D47F7B">
      <w:pPr>
        <w:pStyle w:val="NoSpacing"/>
        <w:ind w:left="720" w:hanging="720"/>
        <w:rPr>
          <w:rFonts w:cstheme="minorHAnsi"/>
          <w:sz w:val="24"/>
          <w:szCs w:val="24"/>
        </w:rPr>
      </w:pPr>
      <w:r w:rsidRPr="00D47F7B">
        <w:rPr>
          <w:rFonts w:cstheme="minorHAnsi"/>
          <w:sz w:val="24"/>
          <w:szCs w:val="24"/>
        </w:rPr>
        <w:t>Song, K., </w:t>
      </w:r>
      <w:proofErr w:type="spellStart"/>
      <w:r w:rsidRPr="00D47F7B">
        <w:rPr>
          <w:rFonts w:cstheme="minorHAnsi"/>
          <w:sz w:val="24"/>
          <w:szCs w:val="24"/>
        </w:rPr>
        <w:t>Xie</w:t>
      </w:r>
      <w:proofErr w:type="spellEnd"/>
      <w:r w:rsidRPr="00D47F7B">
        <w:rPr>
          <w:rFonts w:cstheme="minorHAnsi"/>
          <w:sz w:val="24"/>
          <w:szCs w:val="24"/>
        </w:rPr>
        <w:t>, G.-J., Qian, J., Bond, P. L., Wang, D., Zhou, B., Liu, Y., &amp; Wang, Q. (2017). Improved degradation of anaerobically digested sludge during post aerobic digestion using ultrasonic pretreatment. </w:t>
      </w:r>
      <w:r w:rsidRPr="00D47F7B">
        <w:rPr>
          <w:rFonts w:cstheme="minorHAnsi"/>
          <w:i/>
          <w:iCs/>
          <w:sz w:val="24"/>
          <w:szCs w:val="24"/>
        </w:rPr>
        <w:t>Environmental Science: Water Research &amp; Technology</w:t>
      </w:r>
      <w:r w:rsidRPr="00D47F7B">
        <w:rPr>
          <w:rFonts w:cstheme="minorHAnsi"/>
          <w:sz w:val="24"/>
          <w:szCs w:val="24"/>
        </w:rPr>
        <w:t>, </w:t>
      </w:r>
      <w:r w:rsidRPr="00D47F7B">
        <w:rPr>
          <w:rFonts w:cstheme="minorHAnsi"/>
          <w:b/>
          <w:bCs/>
          <w:sz w:val="24"/>
          <w:szCs w:val="24"/>
        </w:rPr>
        <w:t>3</w:t>
      </w:r>
      <w:r w:rsidRPr="00D47F7B">
        <w:rPr>
          <w:rFonts w:cstheme="minorHAnsi"/>
          <w:sz w:val="24"/>
          <w:szCs w:val="24"/>
        </w:rPr>
        <w:t>(5), 857– 864. </w:t>
      </w:r>
      <w:r w:rsidRPr="00D47F7B">
        <w:rPr>
          <w:rFonts w:cstheme="minorHAnsi"/>
          <w:sz w:val="24"/>
          <w:szCs w:val="24"/>
        </w:rPr>
        <w:t>https://doi.org/10.1039/C7EW00051K</w:t>
      </w:r>
    </w:p>
    <w:p w14:paraId="00F996CF" w14:textId="77777777"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Stackebrandt</w:t>
      </w:r>
      <w:proofErr w:type="spellEnd"/>
      <w:r w:rsidRPr="00D47F7B">
        <w:rPr>
          <w:rFonts w:cstheme="minorHAnsi"/>
          <w:sz w:val="24"/>
          <w:szCs w:val="24"/>
        </w:rPr>
        <w:t>, E., &amp; Goodfellow, M. (1991). </w:t>
      </w:r>
      <w:r w:rsidRPr="00D47F7B">
        <w:rPr>
          <w:rFonts w:cstheme="minorHAnsi"/>
          <w:i/>
          <w:iCs/>
          <w:sz w:val="24"/>
          <w:szCs w:val="24"/>
        </w:rPr>
        <w:t>Nucleic acid techniques in bacterial systematics</w:t>
      </w:r>
      <w:r w:rsidRPr="00D47F7B">
        <w:rPr>
          <w:rFonts w:cstheme="minorHAnsi"/>
          <w:sz w:val="24"/>
          <w:szCs w:val="24"/>
        </w:rPr>
        <w:t>. Wiley.</w:t>
      </w:r>
    </w:p>
    <w:p w14:paraId="6B0465E3" w14:textId="1D11C4F6" w:rsidR="00E14CE2" w:rsidRPr="00D47F7B" w:rsidRDefault="00E14CE2" w:rsidP="00D47F7B">
      <w:pPr>
        <w:pStyle w:val="NoSpacing"/>
        <w:ind w:left="720" w:hanging="720"/>
        <w:rPr>
          <w:rFonts w:cstheme="minorHAnsi"/>
          <w:sz w:val="24"/>
          <w:szCs w:val="24"/>
        </w:rPr>
      </w:pPr>
      <w:r w:rsidRPr="00D47F7B">
        <w:rPr>
          <w:rFonts w:cstheme="minorHAnsi"/>
          <w:sz w:val="24"/>
          <w:szCs w:val="24"/>
        </w:rPr>
        <w:t xml:space="preserve">Sui, Q., Jiang, L., Di, F., Yue, W., Chen, Y., Wang, H., Chen, M., &amp; Wei, Y. (2020). Multiple strategies for maintaining stable partial </w:t>
      </w:r>
      <w:proofErr w:type="spellStart"/>
      <w:r w:rsidRPr="00D47F7B">
        <w:rPr>
          <w:rFonts w:cstheme="minorHAnsi"/>
          <w:sz w:val="24"/>
          <w:szCs w:val="24"/>
        </w:rPr>
        <w:t>nitritation</w:t>
      </w:r>
      <w:proofErr w:type="spellEnd"/>
      <w:r w:rsidRPr="00D47F7B">
        <w:rPr>
          <w:rFonts w:cstheme="minorHAnsi"/>
          <w:sz w:val="24"/>
          <w:szCs w:val="24"/>
        </w:rPr>
        <w:t xml:space="preserve"> of low-strength ammonia wastewater. </w:t>
      </w:r>
      <w:r w:rsidRPr="00D47F7B">
        <w:rPr>
          <w:rFonts w:cstheme="minorHAnsi"/>
          <w:i/>
          <w:iCs/>
          <w:sz w:val="24"/>
          <w:szCs w:val="24"/>
        </w:rPr>
        <w:t>Science of the Total Environment</w:t>
      </w:r>
      <w:r w:rsidRPr="00D47F7B">
        <w:rPr>
          <w:rFonts w:cstheme="minorHAnsi"/>
          <w:sz w:val="24"/>
          <w:szCs w:val="24"/>
        </w:rPr>
        <w:t>, </w:t>
      </w:r>
      <w:r w:rsidRPr="00D47F7B">
        <w:rPr>
          <w:rFonts w:cstheme="minorHAnsi"/>
          <w:b/>
          <w:bCs/>
          <w:sz w:val="24"/>
          <w:szCs w:val="24"/>
        </w:rPr>
        <w:t>742</w:t>
      </w:r>
      <w:r w:rsidRPr="00D47F7B">
        <w:rPr>
          <w:rFonts w:cstheme="minorHAnsi"/>
          <w:sz w:val="24"/>
          <w:szCs w:val="24"/>
        </w:rPr>
        <w:t>, 140542. </w:t>
      </w:r>
      <w:r w:rsidRPr="00D47F7B">
        <w:rPr>
          <w:rFonts w:cstheme="minorHAnsi"/>
          <w:sz w:val="24"/>
          <w:szCs w:val="24"/>
        </w:rPr>
        <w:t>https://doi.org/10.1016/j.scitotenv.2020.140542</w:t>
      </w:r>
    </w:p>
    <w:p w14:paraId="026D1553" w14:textId="31350D7C" w:rsidR="00E14CE2" w:rsidRPr="00D47F7B" w:rsidRDefault="00E14CE2" w:rsidP="00D47F7B">
      <w:pPr>
        <w:pStyle w:val="NoSpacing"/>
        <w:ind w:left="720" w:hanging="720"/>
        <w:rPr>
          <w:rFonts w:cstheme="minorHAnsi"/>
          <w:sz w:val="24"/>
          <w:szCs w:val="24"/>
        </w:rPr>
      </w:pPr>
      <w:r w:rsidRPr="00D47F7B">
        <w:rPr>
          <w:rFonts w:cstheme="minorHAnsi"/>
          <w:sz w:val="24"/>
          <w:szCs w:val="24"/>
        </w:rPr>
        <w:t>Tomei, M. C., </w:t>
      </w:r>
      <w:proofErr w:type="spellStart"/>
      <w:r w:rsidRPr="00D47F7B">
        <w:rPr>
          <w:rFonts w:cstheme="minorHAnsi"/>
          <w:sz w:val="24"/>
          <w:szCs w:val="24"/>
        </w:rPr>
        <w:t>Carozza</w:t>
      </w:r>
      <w:proofErr w:type="spellEnd"/>
      <w:r w:rsidRPr="00D47F7B">
        <w:rPr>
          <w:rFonts w:cstheme="minorHAnsi"/>
          <w:sz w:val="24"/>
          <w:szCs w:val="24"/>
        </w:rPr>
        <w:t>, N. A., &amp; </w:t>
      </w:r>
      <w:proofErr w:type="spellStart"/>
      <w:r w:rsidRPr="00D47F7B">
        <w:rPr>
          <w:rFonts w:cstheme="minorHAnsi"/>
          <w:sz w:val="24"/>
          <w:szCs w:val="24"/>
        </w:rPr>
        <w:t>Mosca</w:t>
      </w:r>
      <w:proofErr w:type="spellEnd"/>
      <w:r w:rsidRPr="00D47F7B">
        <w:rPr>
          <w:rFonts w:cstheme="minorHAnsi"/>
          <w:sz w:val="24"/>
          <w:szCs w:val="24"/>
        </w:rPr>
        <w:t xml:space="preserve"> </w:t>
      </w:r>
      <w:proofErr w:type="spellStart"/>
      <w:r w:rsidRPr="00D47F7B">
        <w:rPr>
          <w:rFonts w:cstheme="minorHAnsi"/>
          <w:sz w:val="24"/>
          <w:szCs w:val="24"/>
        </w:rPr>
        <w:t>Angelucci</w:t>
      </w:r>
      <w:proofErr w:type="spellEnd"/>
      <w:r w:rsidRPr="00D47F7B">
        <w:rPr>
          <w:rFonts w:cstheme="minorHAnsi"/>
          <w:sz w:val="24"/>
          <w:szCs w:val="24"/>
        </w:rPr>
        <w:t>, D. (2016). Post-aerobic digestion of waste sludge: Performance analysis and modelling of nitrogen fate under alternating aeration. </w:t>
      </w:r>
      <w:r w:rsidRPr="00D47F7B">
        <w:rPr>
          <w:rFonts w:cstheme="minorHAnsi"/>
          <w:i/>
          <w:iCs/>
          <w:sz w:val="24"/>
          <w:szCs w:val="24"/>
        </w:rPr>
        <w:t>International journal of Environmental Science and Technology</w:t>
      </w:r>
      <w:r w:rsidRPr="00D47F7B">
        <w:rPr>
          <w:rFonts w:cstheme="minorHAnsi"/>
          <w:sz w:val="24"/>
          <w:szCs w:val="24"/>
        </w:rPr>
        <w:t>, </w:t>
      </w:r>
      <w:r w:rsidRPr="00D47F7B">
        <w:rPr>
          <w:rFonts w:cstheme="minorHAnsi"/>
          <w:b/>
          <w:bCs/>
          <w:sz w:val="24"/>
          <w:szCs w:val="24"/>
        </w:rPr>
        <w:t>13</w:t>
      </w:r>
      <w:r w:rsidRPr="00D47F7B">
        <w:rPr>
          <w:rFonts w:cstheme="minorHAnsi"/>
          <w:sz w:val="24"/>
          <w:szCs w:val="24"/>
        </w:rPr>
        <w:t>, 21– 30. </w:t>
      </w:r>
      <w:r w:rsidRPr="00D47F7B">
        <w:rPr>
          <w:rFonts w:cstheme="minorHAnsi"/>
          <w:sz w:val="24"/>
          <w:szCs w:val="24"/>
        </w:rPr>
        <w:t>https://doi.org/10.1007/s13762-015-0839-5</w:t>
      </w:r>
    </w:p>
    <w:p w14:paraId="2563DF27" w14:textId="5B932F63" w:rsidR="00E14CE2" w:rsidRPr="00D47F7B" w:rsidRDefault="00E14CE2" w:rsidP="00D47F7B">
      <w:pPr>
        <w:pStyle w:val="NoSpacing"/>
        <w:ind w:left="720" w:hanging="720"/>
        <w:rPr>
          <w:rFonts w:cstheme="minorHAnsi"/>
          <w:sz w:val="24"/>
          <w:szCs w:val="24"/>
        </w:rPr>
      </w:pPr>
      <w:r w:rsidRPr="00D47F7B">
        <w:rPr>
          <w:rFonts w:cstheme="minorHAnsi"/>
          <w:sz w:val="24"/>
          <w:szCs w:val="24"/>
        </w:rPr>
        <w:t>Tomei, M. C., Rita, S., &amp; </w:t>
      </w:r>
      <w:proofErr w:type="spellStart"/>
      <w:r w:rsidRPr="00D47F7B">
        <w:rPr>
          <w:rFonts w:cstheme="minorHAnsi"/>
          <w:sz w:val="24"/>
          <w:szCs w:val="24"/>
        </w:rPr>
        <w:t>Mininni</w:t>
      </w:r>
      <w:proofErr w:type="spellEnd"/>
      <w:r w:rsidRPr="00D47F7B">
        <w:rPr>
          <w:rFonts w:cstheme="minorHAnsi"/>
          <w:sz w:val="24"/>
          <w:szCs w:val="24"/>
        </w:rPr>
        <w:t>, G. (2011). Performance of sequential anaerobic/aerobic digestion applied to municipal sewage sludge. </w:t>
      </w:r>
      <w:r w:rsidRPr="00D47F7B">
        <w:rPr>
          <w:rFonts w:cstheme="minorHAnsi"/>
          <w:i/>
          <w:iCs/>
          <w:sz w:val="24"/>
          <w:szCs w:val="24"/>
        </w:rPr>
        <w:t>Journal of Environmental Management</w:t>
      </w:r>
      <w:r w:rsidRPr="00D47F7B">
        <w:rPr>
          <w:rFonts w:cstheme="minorHAnsi"/>
          <w:sz w:val="24"/>
          <w:szCs w:val="24"/>
        </w:rPr>
        <w:t>, </w:t>
      </w:r>
      <w:r w:rsidRPr="00D47F7B">
        <w:rPr>
          <w:rFonts w:cstheme="minorHAnsi"/>
          <w:b/>
          <w:bCs/>
          <w:sz w:val="24"/>
          <w:szCs w:val="24"/>
        </w:rPr>
        <w:t>92</w:t>
      </w:r>
      <w:r w:rsidRPr="00D47F7B">
        <w:rPr>
          <w:rFonts w:cstheme="minorHAnsi"/>
          <w:sz w:val="24"/>
          <w:szCs w:val="24"/>
        </w:rPr>
        <w:t>(7), 1867– 1873. </w:t>
      </w:r>
      <w:r w:rsidRPr="00D47F7B">
        <w:rPr>
          <w:rFonts w:cstheme="minorHAnsi"/>
          <w:sz w:val="24"/>
          <w:szCs w:val="24"/>
        </w:rPr>
        <w:t>https://doi.org/10.1016/j.jenvman.2011.03.016</w:t>
      </w:r>
    </w:p>
    <w:p w14:paraId="389CAA80" w14:textId="5E8E84E2" w:rsidR="00E14CE2" w:rsidRPr="00D47F7B" w:rsidRDefault="00E14CE2" w:rsidP="00D47F7B">
      <w:pPr>
        <w:pStyle w:val="NoSpacing"/>
        <w:ind w:left="720" w:hanging="720"/>
        <w:rPr>
          <w:rFonts w:cstheme="minorHAnsi"/>
          <w:sz w:val="24"/>
          <w:szCs w:val="24"/>
        </w:rPr>
      </w:pPr>
      <w:r w:rsidRPr="00D47F7B">
        <w:rPr>
          <w:rFonts w:cstheme="minorHAnsi"/>
          <w:sz w:val="24"/>
          <w:szCs w:val="24"/>
        </w:rPr>
        <w:t>Tong, Y., Mayer, B. K., &amp; McNamara, P. J. (2016). Triclosan adsorption using wastewater biosolids-derived biochar. </w:t>
      </w:r>
      <w:r w:rsidRPr="00D47F7B">
        <w:rPr>
          <w:rFonts w:cstheme="minorHAnsi"/>
          <w:i/>
          <w:iCs/>
          <w:sz w:val="24"/>
          <w:szCs w:val="24"/>
        </w:rPr>
        <w:t>Environmental Science: Water Research &amp; Technology</w:t>
      </w:r>
      <w:r w:rsidRPr="00D47F7B">
        <w:rPr>
          <w:rFonts w:cstheme="minorHAnsi"/>
          <w:sz w:val="24"/>
          <w:szCs w:val="24"/>
        </w:rPr>
        <w:t>, </w:t>
      </w:r>
      <w:r w:rsidRPr="00D47F7B">
        <w:rPr>
          <w:rFonts w:cstheme="minorHAnsi"/>
          <w:b/>
          <w:bCs/>
          <w:sz w:val="24"/>
          <w:szCs w:val="24"/>
        </w:rPr>
        <w:t>2</w:t>
      </w:r>
      <w:r w:rsidRPr="00D47F7B">
        <w:rPr>
          <w:rFonts w:cstheme="minorHAnsi"/>
          <w:sz w:val="24"/>
          <w:szCs w:val="24"/>
        </w:rPr>
        <w:t>(4), 761– 768. </w:t>
      </w:r>
      <w:r w:rsidRPr="00D47F7B">
        <w:rPr>
          <w:rFonts w:cstheme="minorHAnsi"/>
          <w:sz w:val="24"/>
          <w:szCs w:val="24"/>
        </w:rPr>
        <w:t>https://doi.org/10.1039/C6EW00127K</w:t>
      </w:r>
    </w:p>
    <w:p w14:paraId="504EDE6A" w14:textId="712EDC82" w:rsidR="00E14CE2" w:rsidRPr="00D47F7B" w:rsidRDefault="00E14CE2" w:rsidP="00D47F7B">
      <w:pPr>
        <w:pStyle w:val="NoSpacing"/>
        <w:ind w:left="720" w:hanging="720"/>
        <w:rPr>
          <w:rFonts w:cstheme="minorHAnsi"/>
          <w:sz w:val="24"/>
          <w:szCs w:val="24"/>
        </w:rPr>
      </w:pPr>
      <w:r w:rsidRPr="00D47F7B">
        <w:rPr>
          <w:rFonts w:cstheme="minorHAnsi"/>
          <w:sz w:val="24"/>
          <w:szCs w:val="24"/>
        </w:rPr>
        <w:t>Tong, Y., McNamara, P. J., &amp; Mayer, B. K. (2017). Fate and impacts of triclosan, sulfamethoxazole, and 17β-estradiol during nutrient recovery via ion exchange and struvite precipitation. </w:t>
      </w:r>
      <w:r w:rsidRPr="00D47F7B">
        <w:rPr>
          <w:rFonts w:cstheme="minorHAnsi"/>
          <w:i/>
          <w:iCs/>
          <w:sz w:val="24"/>
          <w:szCs w:val="24"/>
        </w:rPr>
        <w:t>Environmental Science: Water Research &amp; Technology</w:t>
      </w:r>
      <w:r w:rsidRPr="00D47F7B">
        <w:rPr>
          <w:rFonts w:cstheme="minorHAnsi"/>
          <w:sz w:val="24"/>
          <w:szCs w:val="24"/>
        </w:rPr>
        <w:t>, </w:t>
      </w:r>
      <w:r w:rsidRPr="00D47F7B">
        <w:rPr>
          <w:rFonts w:cstheme="minorHAnsi"/>
          <w:b/>
          <w:bCs/>
          <w:sz w:val="24"/>
          <w:szCs w:val="24"/>
        </w:rPr>
        <w:t>3</w:t>
      </w:r>
      <w:r w:rsidRPr="00D47F7B">
        <w:rPr>
          <w:rFonts w:cstheme="minorHAnsi"/>
          <w:sz w:val="24"/>
          <w:szCs w:val="24"/>
        </w:rPr>
        <w:t>(6), 1109– 1119. </w:t>
      </w:r>
      <w:r w:rsidRPr="00D47F7B">
        <w:rPr>
          <w:rFonts w:cstheme="minorHAnsi"/>
          <w:sz w:val="24"/>
          <w:szCs w:val="24"/>
        </w:rPr>
        <w:t>https://doi.org/10.1039/C7EW00280G</w:t>
      </w:r>
    </w:p>
    <w:p w14:paraId="683400EC" w14:textId="02F07B59"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Vadivelu</w:t>
      </w:r>
      <w:proofErr w:type="spellEnd"/>
      <w:r w:rsidRPr="00D47F7B">
        <w:rPr>
          <w:rFonts w:cstheme="minorHAnsi"/>
          <w:sz w:val="24"/>
          <w:szCs w:val="24"/>
        </w:rPr>
        <w:t>, V. M., Keller, J., &amp; Yuan, Z. (2007). Effect of free ammonia on the respiration and growth processes of an enriched Nitrobacter culture. </w:t>
      </w:r>
      <w:r w:rsidRPr="00D47F7B">
        <w:rPr>
          <w:rFonts w:cstheme="minorHAnsi"/>
          <w:i/>
          <w:iCs/>
          <w:sz w:val="24"/>
          <w:szCs w:val="24"/>
        </w:rPr>
        <w:t>Water Research</w:t>
      </w:r>
      <w:r w:rsidRPr="00D47F7B">
        <w:rPr>
          <w:rFonts w:cstheme="minorHAnsi"/>
          <w:sz w:val="24"/>
          <w:szCs w:val="24"/>
        </w:rPr>
        <w:t>, </w:t>
      </w:r>
      <w:r w:rsidRPr="00D47F7B">
        <w:rPr>
          <w:rFonts w:cstheme="minorHAnsi"/>
          <w:b/>
          <w:bCs/>
          <w:sz w:val="24"/>
          <w:szCs w:val="24"/>
        </w:rPr>
        <w:t>41</w:t>
      </w:r>
      <w:r w:rsidRPr="00D47F7B">
        <w:rPr>
          <w:rFonts w:cstheme="minorHAnsi"/>
          <w:sz w:val="24"/>
          <w:szCs w:val="24"/>
        </w:rPr>
        <w:t>, 826– 834. </w:t>
      </w:r>
      <w:r w:rsidRPr="00D47F7B">
        <w:rPr>
          <w:rFonts w:cstheme="minorHAnsi"/>
          <w:sz w:val="24"/>
          <w:szCs w:val="24"/>
        </w:rPr>
        <w:t>https://doi.org/10.1016/j.watres.2006.11.030</w:t>
      </w:r>
    </w:p>
    <w:p w14:paraId="7804ACC0" w14:textId="5DB974E4" w:rsidR="00E14CE2" w:rsidRPr="00D47F7B" w:rsidRDefault="00E14CE2" w:rsidP="00D47F7B">
      <w:pPr>
        <w:pStyle w:val="NoSpacing"/>
        <w:ind w:left="720" w:hanging="720"/>
        <w:rPr>
          <w:rFonts w:cstheme="minorHAnsi"/>
          <w:sz w:val="24"/>
          <w:szCs w:val="24"/>
        </w:rPr>
      </w:pPr>
      <w:r w:rsidRPr="00D47F7B">
        <w:rPr>
          <w:rFonts w:cstheme="minorHAnsi"/>
          <w:sz w:val="24"/>
          <w:szCs w:val="24"/>
        </w:rPr>
        <w:t>Vázquez-</w:t>
      </w:r>
      <w:proofErr w:type="spellStart"/>
      <w:r w:rsidRPr="00D47F7B">
        <w:rPr>
          <w:rFonts w:cstheme="minorHAnsi"/>
          <w:sz w:val="24"/>
          <w:szCs w:val="24"/>
        </w:rPr>
        <w:t>Padín</w:t>
      </w:r>
      <w:proofErr w:type="spellEnd"/>
      <w:r w:rsidRPr="00D47F7B">
        <w:rPr>
          <w:rFonts w:cstheme="minorHAnsi"/>
          <w:sz w:val="24"/>
          <w:szCs w:val="24"/>
        </w:rPr>
        <w:t>, J. R., Fernández, I., Morales, N., Campos, J. L., Mosquera-Corral, A., &amp; Méndez, R. (2011). Autotrophic nitrogen removal at low temperature. </w:t>
      </w:r>
      <w:r w:rsidRPr="00D47F7B">
        <w:rPr>
          <w:rFonts w:cstheme="minorHAnsi"/>
          <w:i/>
          <w:iCs/>
          <w:sz w:val="24"/>
          <w:szCs w:val="24"/>
        </w:rPr>
        <w:t>Water Science and Technology</w:t>
      </w:r>
      <w:r w:rsidRPr="00D47F7B">
        <w:rPr>
          <w:rFonts w:cstheme="minorHAnsi"/>
          <w:sz w:val="24"/>
          <w:szCs w:val="24"/>
        </w:rPr>
        <w:t>, </w:t>
      </w:r>
      <w:r w:rsidRPr="00D47F7B">
        <w:rPr>
          <w:rFonts w:cstheme="minorHAnsi"/>
          <w:b/>
          <w:bCs/>
          <w:sz w:val="24"/>
          <w:szCs w:val="24"/>
        </w:rPr>
        <w:t>63</w:t>
      </w:r>
      <w:r w:rsidRPr="00D47F7B">
        <w:rPr>
          <w:rFonts w:cstheme="minorHAnsi"/>
          <w:sz w:val="24"/>
          <w:szCs w:val="24"/>
        </w:rPr>
        <w:t>, 1282– 1288. </w:t>
      </w:r>
      <w:r w:rsidRPr="00D47F7B">
        <w:rPr>
          <w:rFonts w:cstheme="minorHAnsi"/>
          <w:sz w:val="24"/>
          <w:szCs w:val="24"/>
        </w:rPr>
        <w:t>https://doi.org/10.2166/wst.2011.370</w:t>
      </w:r>
    </w:p>
    <w:p w14:paraId="44706059" w14:textId="70B9D5D9" w:rsidR="00E14CE2" w:rsidRPr="00D47F7B" w:rsidRDefault="00E14CE2" w:rsidP="00D47F7B">
      <w:pPr>
        <w:pStyle w:val="NoSpacing"/>
        <w:ind w:left="720" w:hanging="720"/>
        <w:rPr>
          <w:rFonts w:cstheme="minorHAnsi"/>
          <w:sz w:val="24"/>
          <w:szCs w:val="24"/>
        </w:rPr>
      </w:pPr>
    </w:p>
    <w:p w14:paraId="262D0BFA" w14:textId="74B5D179"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Venkiteshwaran</w:t>
      </w:r>
      <w:proofErr w:type="spellEnd"/>
      <w:r w:rsidRPr="00D47F7B">
        <w:rPr>
          <w:rFonts w:cstheme="minorHAnsi"/>
          <w:sz w:val="24"/>
          <w:szCs w:val="24"/>
        </w:rPr>
        <w:t>, K., McNamara, P. J., &amp; Mayer, B. K. (2018). Meta-analysis of non-reactive phosphorus in water, wastewater, and sludge, and strategies to convert it for enhanced phosphorus removal and recovery. </w:t>
      </w:r>
      <w:r w:rsidRPr="00D47F7B">
        <w:rPr>
          <w:rFonts w:cstheme="minorHAnsi"/>
          <w:i/>
          <w:iCs/>
          <w:sz w:val="24"/>
          <w:szCs w:val="24"/>
        </w:rPr>
        <w:t>Science of the Total Environment</w:t>
      </w:r>
      <w:r w:rsidRPr="00D47F7B">
        <w:rPr>
          <w:rFonts w:cstheme="minorHAnsi"/>
          <w:sz w:val="24"/>
          <w:szCs w:val="24"/>
        </w:rPr>
        <w:t>, </w:t>
      </w:r>
      <w:r w:rsidRPr="00D47F7B">
        <w:rPr>
          <w:rFonts w:cstheme="minorHAnsi"/>
          <w:b/>
          <w:bCs/>
          <w:sz w:val="24"/>
          <w:szCs w:val="24"/>
        </w:rPr>
        <w:t>644</w:t>
      </w:r>
      <w:r w:rsidRPr="00D47F7B">
        <w:rPr>
          <w:rFonts w:cstheme="minorHAnsi"/>
          <w:sz w:val="24"/>
          <w:szCs w:val="24"/>
        </w:rPr>
        <w:t>, 661– 674. </w:t>
      </w:r>
      <w:r w:rsidRPr="00D47F7B">
        <w:rPr>
          <w:rFonts w:cstheme="minorHAnsi"/>
          <w:sz w:val="24"/>
          <w:szCs w:val="24"/>
        </w:rPr>
        <w:t>https://doi.org/10.1016/j.scitotenv.2018.06.369</w:t>
      </w:r>
    </w:p>
    <w:p w14:paraId="34F119F5" w14:textId="4B5BEDA7" w:rsidR="00E14CE2" w:rsidRPr="00D47F7B" w:rsidRDefault="00E14CE2" w:rsidP="00D47F7B">
      <w:pPr>
        <w:pStyle w:val="NoSpacing"/>
        <w:ind w:left="720" w:hanging="720"/>
        <w:rPr>
          <w:rFonts w:cstheme="minorHAnsi"/>
          <w:sz w:val="24"/>
          <w:szCs w:val="24"/>
        </w:rPr>
      </w:pPr>
      <w:r w:rsidRPr="00D47F7B">
        <w:rPr>
          <w:rFonts w:cstheme="minorHAnsi"/>
          <w:sz w:val="24"/>
          <w:szCs w:val="24"/>
        </w:rPr>
        <w:t>Wang, L., </w:t>
      </w:r>
      <w:proofErr w:type="spellStart"/>
      <w:r w:rsidRPr="00D47F7B">
        <w:rPr>
          <w:rFonts w:cstheme="minorHAnsi"/>
          <w:sz w:val="24"/>
          <w:szCs w:val="24"/>
        </w:rPr>
        <w:t>Qiu</w:t>
      </w:r>
      <w:proofErr w:type="spellEnd"/>
      <w:r w:rsidRPr="00D47F7B">
        <w:rPr>
          <w:rFonts w:cstheme="minorHAnsi"/>
          <w:sz w:val="24"/>
          <w:szCs w:val="24"/>
        </w:rPr>
        <w:t xml:space="preserve">, S., Guo, J., &amp; Ge, S. (2021). Light irradiation enables rapid start-up of </w:t>
      </w:r>
      <w:proofErr w:type="spellStart"/>
      <w:r w:rsidRPr="00D47F7B">
        <w:rPr>
          <w:rFonts w:cstheme="minorHAnsi"/>
          <w:sz w:val="24"/>
          <w:szCs w:val="24"/>
        </w:rPr>
        <w:t>Nitritation</w:t>
      </w:r>
      <w:proofErr w:type="spellEnd"/>
      <w:r w:rsidRPr="00D47F7B">
        <w:rPr>
          <w:rFonts w:cstheme="minorHAnsi"/>
          <w:sz w:val="24"/>
          <w:szCs w:val="24"/>
        </w:rPr>
        <w:t xml:space="preserve"> through suppressing </w:t>
      </w:r>
      <w:proofErr w:type="spellStart"/>
      <w:r w:rsidRPr="00D47F7B">
        <w:rPr>
          <w:rFonts w:cstheme="minorHAnsi"/>
          <w:sz w:val="24"/>
          <w:szCs w:val="24"/>
        </w:rPr>
        <w:t>nxrB</w:t>
      </w:r>
      <w:proofErr w:type="spellEnd"/>
      <w:r w:rsidRPr="00D47F7B">
        <w:rPr>
          <w:rFonts w:cstheme="minorHAnsi"/>
          <w:sz w:val="24"/>
          <w:szCs w:val="24"/>
        </w:rPr>
        <w:t xml:space="preserve"> gene expression and stimulating Ammonia-oxidizing Bacteria. </w:t>
      </w:r>
      <w:r w:rsidRPr="00D47F7B">
        <w:rPr>
          <w:rFonts w:cstheme="minorHAnsi"/>
          <w:i/>
          <w:iCs/>
          <w:sz w:val="24"/>
          <w:szCs w:val="24"/>
        </w:rPr>
        <w:t>Environmental Science &amp; Technology</w:t>
      </w:r>
      <w:r w:rsidRPr="00D47F7B">
        <w:rPr>
          <w:rFonts w:cstheme="minorHAnsi"/>
          <w:sz w:val="24"/>
          <w:szCs w:val="24"/>
        </w:rPr>
        <w:t>, </w:t>
      </w:r>
      <w:r w:rsidRPr="00D47F7B">
        <w:rPr>
          <w:rFonts w:cstheme="minorHAnsi"/>
          <w:b/>
          <w:bCs/>
          <w:sz w:val="24"/>
          <w:szCs w:val="24"/>
        </w:rPr>
        <w:t>55</w:t>
      </w:r>
      <w:r w:rsidRPr="00D47F7B">
        <w:rPr>
          <w:rFonts w:cstheme="minorHAnsi"/>
          <w:sz w:val="24"/>
          <w:szCs w:val="24"/>
        </w:rPr>
        <w:t>(19) 13297–13305. </w:t>
      </w:r>
      <w:r w:rsidRPr="00D47F7B">
        <w:rPr>
          <w:rFonts w:cstheme="minorHAnsi"/>
          <w:sz w:val="24"/>
          <w:szCs w:val="24"/>
        </w:rPr>
        <w:t>https://doi.org/10.1021/acs.est.1c04174</w:t>
      </w:r>
    </w:p>
    <w:p w14:paraId="184D1BA0" w14:textId="76C0246F" w:rsidR="00E14CE2" w:rsidRPr="00D47F7B" w:rsidRDefault="00E14CE2" w:rsidP="00D47F7B">
      <w:pPr>
        <w:pStyle w:val="NoSpacing"/>
        <w:ind w:left="720" w:hanging="720"/>
        <w:rPr>
          <w:rFonts w:cstheme="minorHAnsi"/>
          <w:sz w:val="24"/>
          <w:szCs w:val="24"/>
        </w:rPr>
      </w:pPr>
      <w:r w:rsidRPr="00D47F7B">
        <w:rPr>
          <w:rFonts w:cstheme="minorHAnsi"/>
          <w:sz w:val="24"/>
          <w:szCs w:val="24"/>
        </w:rPr>
        <w:t>Wang, Q., Zhou, X., Peng, L., Wang, D.-B., </w:t>
      </w:r>
      <w:proofErr w:type="spellStart"/>
      <w:r w:rsidRPr="00D47F7B">
        <w:rPr>
          <w:rFonts w:cstheme="minorHAnsi"/>
          <w:sz w:val="24"/>
          <w:szCs w:val="24"/>
        </w:rPr>
        <w:t>Xie</w:t>
      </w:r>
      <w:proofErr w:type="spellEnd"/>
      <w:r w:rsidRPr="00D47F7B">
        <w:rPr>
          <w:rFonts w:cstheme="minorHAnsi"/>
          <w:sz w:val="24"/>
          <w:szCs w:val="24"/>
        </w:rPr>
        <w:t>, G.-j., &amp; Yuan, Z. (2016). Enhancing post aerobic digestion of full-scale anaerobically digested sludge using free nitrous acid pretreatment. </w:t>
      </w:r>
      <w:r w:rsidRPr="00D47F7B">
        <w:rPr>
          <w:rFonts w:cstheme="minorHAnsi"/>
          <w:i/>
          <w:iCs/>
          <w:sz w:val="24"/>
          <w:szCs w:val="24"/>
        </w:rPr>
        <w:t>Chemosphere</w:t>
      </w:r>
      <w:r w:rsidRPr="00D47F7B">
        <w:rPr>
          <w:rFonts w:cstheme="minorHAnsi"/>
          <w:sz w:val="24"/>
          <w:szCs w:val="24"/>
        </w:rPr>
        <w:t>, </w:t>
      </w:r>
      <w:r w:rsidRPr="00D47F7B">
        <w:rPr>
          <w:rFonts w:cstheme="minorHAnsi"/>
          <w:b/>
          <w:bCs/>
          <w:sz w:val="24"/>
          <w:szCs w:val="24"/>
        </w:rPr>
        <w:t>150</w:t>
      </w:r>
      <w:r w:rsidRPr="00D47F7B">
        <w:rPr>
          <w:rFonts w:cstheme="minorHAnsi"/>
          <w:sz w:val="24"/>
          <w:szCs w:val="24"/>
        </w:rPr>
        <w:t>, 152– 158. </w:t>
      </w:r>
      <w:r w:rsidRPr="00D47F7B">
        <w:rPr>
          <w:rFonts w:cstheme="minorHAnsi"/>
          <w:sz w:val="24"/>
          <w:szCs w:val="24"/>
        </w:rPr>
        <w:t>https://doi.org/10.1016/j.chemosphere.2016.02.035</w:t>
      </w:r>
    </w:p>
    <w:p w14:paraId="159B2B33" w14:textId="375E6469" w:rsidR="00E14CE2" w:rsidRPr="00D47F7B" w:rsidRDefault="00E14CE2" w:rsidP="00D47F7B">
      <w:pPr>
        <w:pStyle w:val="NoSpacing"/>
        <w:ind w:left="720" w:hanging="720"/>
        <w:rPr>
          <w:rFonts w:cstheme="minorHAnsi"/>
          <w:sz w:val="24"/>
          <w:szCs w:val="24"/>
        </w:rPr>
      </w:pPr>
      <w:r w:rsidRPr="00D47F7B">
        <w:rPr>
          <w:rFonts w:cstheme="minorHAnsi"/>
          <w:sz w:val="24"/>
          <w:szCs w:val="24"/>
        </w:rPr>
        <w:t>Wei, W., Zhou, X., Wang, D., Sun, J., Nghiem, L. D., &amp; Wang, Q. (2018). Free Ammonia pretreatment to enhance biodegradation of anaerobically digested sludge in post aerobic digestion. </w:t>
      </w:r>
      <w:r w:rsidRPr="00D47F7B">
        <w:rPr>
          <w:rFonts w:cstheme="minorHAnsi"/>
          <w:i/>
          <w:iCs/>
          <w:sz w:val="24"/>
          <w:szCs w:val="24"/>
        </w:rPr>
        <w:t>ACS Sustainable Chemistry &amp; Engineering</w:t>
      </w:r>
      <w:r w:rsidRPr="00D47F7B">
        <w:rPr>
          <w:rFonts w:cstheme="minorHAnsi"/>
          <w:sz w:val="24"/>
          <w:szCs w:val="24"/>
        </w:rPr>
        <w:t>, </w:t>
      </w:r>
      <w:r w:rsidRPr="00D47F7B">
        <w:rPr>
          <w:rFonts w:cstheme="minorHAnsi"/>
          <w:b/>
          <w:bCs/>
          <w:sz w:val="24"/>
          <w:szCs w:val="24"/>
        </w:rPr>
        <w:t>6</w:t>
      </w:r>
      <w:r w:rsidRPr="00D47F7B">
        <w:rPr>
          <w:rFonts w:cstheme="minorHAnsi"/>
          <w:sz w:val="24"/>
          <w:szCs w:val="24"/>
        </w:rPr>
        <w:t>(9), 11836–11842. </w:t>
      </w:r>
      <w:r w:rsidRPr="00D47F7B">
        <w:rPr>
          <w:rFonts w:cstheme="minorHAnsi"/>
          <w:sz w:val="24"/>
          <w:szCs w:val="24"/>
        </w:rPr>
        <w:t>https://doi.org/10.1021/acssuschemeng.8b02125</w:t>
      </w:r>
    </w:p>
    <w:p w14:paraId="4E2955A0" w14:textId="4D512ADB" w:rsidR="00E14CE2" w:rsidRPr="00D47F7B" w:rsidRDefault="00E14CE2" w:rsidP="00D47F7B">
      <w:pPr>
        <w:pStyle w:val="NoSpacing"/>
        <w:ind w:left="720" w:hanging="720"/>
        <w:rPr>
          <w:rFonts w:cstheme="minorHAnsi"/>
          <w:sz w:val="24"/>
          <w:szCs w:val="24"/>
        </w:rPr>
      </w:pPr>
      <w:r w:rsidRPr="00D47F7B">
        <w:rPr>
          <w:rFonts w:cstheme="minorHAnsi"/>
          <w:sz w:val="24"/>
          <w:szCs w:val="24"/>
        </w:rPr>
        <w:t>Wickham, H. (2011). ggplot2. </w:t>
      </w:r>
      <w:r w:rsidRPr="00D47F7B">
        <w:rPr>
          <w:rFonts w:cstheme="minorHAnsi"/>
          <w:i/>
          <w:iCs/>
          <w:sz w:val="24"/>
          <w:szCs w:val="24"/>
        </w:rPr>
        <w:t>Wiley Interdisciplinary Reviews: Computational Statistics</w:t>
      </w:r>
      <w:r w:rsidRPr="00D47F7B">
        <w:rPr>
          <w:rFonts w:cstheme="minorHAnsi"/>
          <w:sz w:val="24"/>
          <w:szCs w:val="24"/>
        </w:rPr>
        <w:t>, </w:t>
      </w:r>
      <w:r w:rsidRPr="00D47F7B">
        <w:rPr>
          <w:rFonts w:cstheme="minorHAnsi"/>
          <w:b/>
          <w:bCs/>
          <w:sz w:val="24"/>
          <w:szCs w:val="24"/>
        </w:rPr>
        <w:t>3</w:t>
      </w:r>
      <w:r w:rsidRPr="00D47F7B">
        <w:rPr>
          <w:rFonts w:cstheme="minorHAnsi"/>
          <w:sz w:val="24"/>
          <w:szCs w:val="24"/>
        </w:rPr>
        <w:t>, 180– 185. </w:t>
      </w:r>
      <w:r w:rsidRPr="00D47F7B">
        <w:rPr>
          <w:rFonts w:cstheme="minorHAnsi"/>
          <w:sz w:val="24"/>
          <w:szCs w:val="24"/>
        </w:rPr>
        <w:t>https://doi.org/10.1002/wics.147</w:t>
      </w:r>
    </w:p>
    <w:p w14:paraId="1360D646" w14:textId="77777777" w:rsidR="00E14CE2" w:rsidRPr="00D47F7B" w:rsidRDefault="00E14CE2" w:rsidP="00D47F7B">
      <w:pPr>
        <w:pStyle w:val="NoSpacing"/>
        <w:ind w:left="720" w:hanging="720"/>
        <w:rPr>
          <w:rFonts w:cstheme="minorHAnsi"/>
          <w:sz w:val="24"/>
          <w:szCs w:val="24"/>
        </w:rPr>
      </w:pPr>
      <w:r w:rsidRPr="00D47F7B">
        <w:rPr>
          <w:rFonts w:cstheme="minorHAnsi"/>
          <w:sz w:val="24"/>
          <w:szCs w:val="24"/>
        </w:rPr>
        <w:t>Wickham, H., François, R. (2014) </w:t>
      </w:r>
      <w:proofErr w:type="spellStart"/>
      <w:r w:rsidRPr="00D47F7B">
        <w:rPr>
          <w:rFonts w:cstheme="minorHAnsi"/>
          <w:sz w:val="24"/>
          <w:szCs w:val="24"/>
        </w:rPr>
        <w:t>dplyr</w:t>
      </w:r>
      <w:proofErr w:type="spellEnd"/>
      <w:r w:rsidRPr="00D47F7B">
        <w:rPr>
          <w:rFonts w:cstheme="minorHAnsi"/>
          <w:sz w:val="24"/>
          <w:szCs w:val="24"/>
        </w:rPr>
        <w:t>: A grammar of data manipulation.</w:t>
      </w:r>
    </w:p>
    <w:p w14:paraId="461D8549" w14:textId="7E246DA4" w:rsidR="00E14CE2" w:rsidRPr="00D47F7B" w:rsidRDefault="00E14CE2" w:rsidP="00D47F7B">
      <w:pPr>
        <w:pStyle w:val="NoSpacing"/>
        <w:ind w:left="720" w:hanging="720"/>
        <w:rPr>
          <w:rFonts w:cstheme="minorHAnsi"/>
          <w:sz w:val="24"/>
          <w:szCs w:val="24"/>
        </w:rPr>
      </w:pPr>
      <w:r w:rsidRPr="00D47F7B">
        <w:rPr>
          <w:rFonts w:cstheme="minorHAnsi"/>
          <w:sz w:val="24"/>
          <w:szCs w:val="24"/>
        </w:rPr>
        <w:t>Winkler, M. K., </w:t>
      </w:r>
      <w:proofErr w:type="spellStart"/>
      <w:r w:rsidRPr="00D47F7B">
        <w:rPr>
          <w:rFonts w:cstheme="minorHAnsi"/>
          <w:sz w:val="24"/>
          <w:szCs w:val="24"/>
        </w:rPr>
        <w:t>Bassin</w:t>
      </w:r>
      <w:proofErr w:type="spellEnd"/>
      <w:r w:rsidRPr="00D47F7B">
        <w:rPr>
          <w:rFonts w:cstheme="minorHAnsi"/>
          <w:sz w:val="24"/>
          <w:szCs w:val="24"/>
        </w:rPr>
        <w:t>, J. P., </w:t>
      </w:r>
      <w:proofErr w:type="spellStart"/>
      <w:r w:rsidRPr="00D47F7B">
        <w:rPr>
          <w:rFonts w:cstheme="minorHAnsi"/>
          <w:sz w:val="24"/>
          <w:szCs w:val="24"/>
        </w:rPr>
        <w:t>Kleerebezem</w:t>
      </w:r>
      <w:proofErr w:type="spellEnd"/>
      <w:r w:rsidRPr="00D47F7B">
        <w:rPr>
          <w:rFonts w:cstheme="minorHAnsi"/>
          <w:sz w:val="24"/>
          <w:szCs w:val="24"/>
        </w:rPr>
        <w:t xml:space="preserve">, R., Sorokin, D. Y., &amp; van </w:t>
      </w:r>
      <w:proofErr w:type="spellStart"/>
      <w:r w:rsidRPr="00D47F7B">
        <w:rPr>
          <w:rFonts w:cstheme="minorHAnsi"/>
          <w:sz w:val="24"/>
          <w:szCs w:val="24"/>
        </w:rPr>
        <w:t>Loosdrecht</w:t>
      </w:r>
      <w:proofErr w:type="spellEnd"/>
      <w:r w:rsidRPr="00D47F7B">
        <w:rPr>
          <w:rFonts w:cstheme="minorHAnsi"/>
          <w:sz w:val="24"/>
          <w:szCs w:val="24"/>
        </w:rPr>
        <w:t>, M. C. (2012). Unravelling the reasons for disproportion in the ratio of AOB and NOB in aerobic granular sludge. </w:t>
      </w:r>
      <w:r w:rsidRPr="00D47F7B">
        <w:rPr>
          <w:rFonts w:cstheme="minorHAnsi"/>
          <w:i/>
          <w:iCs/>
          <w:sz w:val="24"/>
          <w:szCs w:val="24"/>
        </w:rPr>
        <w:t>Applied Microbiology and Biotechnology</w:t>
      </w:r>
      <w:r w:rsidRPr="00D47F7B">
        <w:rPr>
          <w:rFonts w:cstheme="minorHAnsi"/>
          <w:sz w:val="24"/>
          <w:szCs w:val="24"/>
        </w:rPr>
        <w:t>, </w:t>
      </w:r>
      <w:r w:rsidRPr="00D47F7B">
        <w:rPr>
          <w:rFonts w:cstheme="minorHAnsi"/>
          <w:b/>
          <w:bCs/>
          <w:sz w:val="24"/>
          <w:szCs w:val="24"/>
        </w:rPr>
        <w:t>94</w:t>
      </w:r>
      <w:r w:rsidRPr="00D47F7B">
        <w:rPr>
          <w:rFonts w:cstheme="minorHAnsi"/>
          <w:sz w:val="24"/>
          <w:szCs w:val="24"/>
        </w:rPr>
        <w:t>(6), 1657– 1666. </w:t>
      </w:r>
      <w:r w:rsidRPr="00D47F7B">
        <w:rPr>
          <w:rFonts w:cstheme="minorHAnsi"/>
          <w:sz w:val="24"/>
          <w:szCs w:val="24"/>
        </w:rPr>
        <w:t>https://doi.org/10.1007/s00253-012-4126-9</w:t>
      </w:r>
    </w:p>
    <w:p w14:paraId="6F3686AE" w14:textId="73793799" w:rsidR="00E14CE2" w:rsidRPr="00D47F7B" w:rsidRDefault="00E14CE2" w:rsidP="00D47F7B">
      <w:pPr>
        <w:pStyle w:val="NoSpacing"/>
        <w:ind w:left="720" w:hanging="720"/>
        <w:rPr>
          <w:rFonts w:cstheme="minorHAnsi"/>
          <w:sz w:val="24"/>
          <w:szCs w:val="24"/>
        </w:rPr>
      </w:pPr>
      <w:r w:rsidRPr="00D47F7B">
        <w:rPr>
          <w:rFonts w:cstheme="minorHAnsi"/>
          <w:sz w:val="24"/>
          <w:szCs w:val="24"/>
        </w:rPr>
        <w:t>Ye, L., &amp; Zhang, T. (2011). Ammonia-oxidizing bacteria dominates over ammonia-oxidizing archaea in a saline nitrification reactor under low DO and high nitrogen loading. </w:t>
      </w:r>
      <w:r w:rsidRPr="00D47F7B">
        <w:rPr>
          <w:rFonts w:cstheme="minorHAnsi"/>
          <w:i/>
          <w:iCs/>
          <w:sz w:val="24"/>
          <w:szCs w:val="24"/>
        </w:rPr>
        <w:t>Biotechnology and Bioengineering</w:t>
      </w:r>
      <w:r w:rsidRPr="00D47F7B">
        <w:rPr>
          <w:rFonts w:cstheme="minorHAnsi"/>
          <w:sz w:val="24"/>
          <w:szCs w:val="24"/>
        </w:rPr>
        <w:t>, </w:t>
      </w:r>
      <w:r w:rsidRPr="00D47F7B">
        <w:rPr>
          <w:rFonts w:cstheme="minorHAnsi"/>
          <w:b/>
          <w:bCs/>
          <w:sz w:val="24"/>
          <w:szCs w:val="24"/>
        </w:rPr>
        <w:t>108</w:t>
      </w:r>
      <w:r w:rsidRPr="00D47F7B">
        <w:rPr>
          <w:rFonts w:cstheme="minorHAnsi"/>
          <w:sz w:val="24"/>
          <w:szCs w:val="24"/>
        </w:rPr>
        <w:t>(11), 2544– 2552. </w:t>
      </w:r>
      <w:r w:rsidRPr="00D47F7B">
        <w:rPr>
          <w:rFonts w:cstheme="minorHAnsi"/>
          <w:sz w:val="24"/>
          <w:szCs w:val="24"/>
        </w:rPr>
        <w:t>https://doi.org/10.1002/bit.23211</w:t>
      </w:r>
    </w:p>
    <w:p w14:paraId="23B13AE7" w14:textId="32D45639" w:rsidR="00E14CE2" w:rsidRPr="00D47F7B" w:rsidRDefault="00E14CE2" w:rsidP="00D47F7B">
      <w:pPr>
        <w:pStyle w:val="NoSpacing"/>
        <w:ind w:left="720" w:hanging="720"/>
        <w:rPr>
          <w:rFonts w:cstheme="minorHAnsi"/>
          <w:sz w:val="24"/>
          <w:szCs w:val="24"/>
        </w:rPr>
      </w:pPr>
      <w:r w:rsidRPr="00D47F7B">
        <w:rPr>
          <w:rFonts w:cstheme="minorHAnsi"/>
          <w:sz w:val="24"/>
          <w:szCs w:val="24"/>
        </w:rPr>
        <w:t>Yilmaz, P., </w:t>
      </w:r>
      <w:proofErr w:type="spellStart"/>
      <w:r w:rsidRPr="00D47F7B">
        <w:rPr>
          <w:rFonts w:cstheme="minorHAnsi"/>
          <w:sz w:val="24"/>
          <w:szCs w:val="24"/>
        </w:rPr>
        <w:t>Parfrey</w:t>
      </w:r>
      <w:proofErr w:type="spellEnd"/>
      <w:r w:rsidRPr="00D47F7B">
        <w:rPr>
          <w:rFonts w:cstheme="minorHAnsi"/>
          <w:sz w:val="24"/>
          <w:szCs w:val="24"/>
        </w:rPr>
        <w:t>, L. W., </w:t>
      </w:r>
      <w:proofErr w:type="spellStart"/>
      <w:r w:rsidRPr="00D47F7B">
        <w:rPr>
          <w:rFonts w:cstheme="minorHAnsi"/>
          <w:sz w:val="24"/>
          <w:szCs w:val="24"/>
        </w:rPr>
        <w:t>Yarza</w:t>
      </w:r>
      <w:proofErr w:type="spellEnd"/>
      <w:r w:rsidRPr="00D47F7B">
        <w:rPr>
          <w:rFonts w:cstheme="minorHAnsi"/>
          <w:sz w:val="24"/>
          <w:szCs w:val="24"/>
        </w:rPr>
        <w:t>, P., </w:t>
      </w:r>
      <w:proofErr w:type="spellStart"/>
      <w:r w:rsidRPr="00D47F7B">
        <w:rPr>
          <w:rFonts w:cstheme="minorHAnsi"/>
          <w:sz w:val="24"/>
          <w:szCs w:val="24"/>
        </w:rPr>
        <w:t>Gerken</w:t>
      </w:r>
      <w:proofErr w:type="spellEnd"/>
      <w:r w:rsidRPr="00D47F7B">
        <w:rPr>
          <w:rFonts w:cstheme="minorHAnsi"/>
          <w:sz w:val="24"/>
          <w:szCs w:val="24"/>
        </w:rPr>
        <w:t>, J., </w:t>
      </w:r>
      <w:proofErr w:type="spellStart"/>
      <w:r w:rsidRPr="00D47F7B">
        <w:rPr>
          <w:rFonts w:cstheme="minorHAnsi"/>
          <w:sz w:val="24"/>
          <w:szCs w:val="24"/>
        </w:rPr>
        <w:t>Pruesse</w:t>
      </w:r>
      <w:proofErr w:type="spellEnd"/>
      <w:r w:rsidRPr="00D47F7B">
        <w:rPr>
          <w:rFonts w:cstheme="minorHAnsi"/>
          <w:sz w:val="24"/>
          <w:szCs w:val="24"/>
        </w:rPr>
        <w:t>, E., Quast, C., </w:t>
      </w:r>
      <w:proofErr w:type="spellStart"/>
      <w:r w:rsidRPr="00D47F7B">
        <w:rPr>
          <w:rFonts w:cstheme="minorHAnsi"/>
          <w:sz w:val="24"/>
          <w:szCs w:val="24"/>
        </w:rPr>
        <w:t>Schweer</w:t>
      </w:r>
      <w:proofErr w:type="spellEnd"/>
      <w:r w:rsidRPr="00D47F7B">
        <w:rPr>
          <w:rFonts w:cstheme="minorHAnsi"/>
          <w:sz w:val="24"/>
          <w:szCs w:val="24"/>
        </w:rPr>
        <w:t>, T., </w:t>
      </w:r>
      <w:proofErr w:type="spellStart"/>
      <w:r w:rsidRPr="00D47F7B">
        <w:rPr>
          <w:rFonts w:cstheme="minorHAnsi"/>
          <w:sz w:val="24"/>
          <w:szCs w:val="24"/>
        </w:rPr>
        <w:t>Peplies</w:t>
      </w:r>
      <w:proofErr w:type="spellEnd"/>
      <w:r w:rsidRPr="00D47F7B">
        <w:rPr>
          <w:rFonts w:cstheme="minorHAnsi"/>
          <w:sz w:val="24"/>
          <w:szCs w:val="24"/>
        </w:rPr>
        <w:t>, J., Ludwig, W., &amp; </w:t>
      </w:r>
      <w:proofErr w:type="spellStart"/>
      <w:r w:rsidRPr="00D47F7B">
        <w:rPr>
          <w:rFonts w:cstheme="minorHAnsi"/>
          <w:sz w:val="24"/>
          <w:szCs w:val="24"/>
        </w:rPr>
        <w:t>Glöckner</w:t>
      </w:r>
      <w:proofErr w:type="spellEnd"/>
      <w:r w:rsidRPr="00D47F7B">
        <w:rPr>
          <w:rFonts w:cstheme="minorHAnsi"/>
          <w:sz w:val="24"/>
          <w:szCs w:val="24"/>
        </w:rPr>
        <w:t>, F. O. (2014). The SILVA and “all-species living tree project (LTP)” taxonomic frameworks. </w:t>
      </w:r>
      <w:r w:rsidRPr="00D47F7B">
        <w:rPr>
          <w:rFonts w:cstheme="minorHAnsi"/>
          <w:i/>
          <w:iCs/>
          <w:sz w:val="24"/>
          <w:szCs w:val="24"/>
        </w:rPr>
        <w:t>Nucleic Acids Research</w:t>
      </w:r>
      <w:r w:rsidRPr="00D47F7B">
        <w:rPr>
          <w:rFonts w:cstheme="minorHAnsi"/>
          <w:sz w:val="24"/>
          <w:szCs w:val="24"/>
        </w:rPr>
        <w:t>, </w:t>
      </w:r>
      <w:r w:rsidRPr="00D47F7B">
        <w:rPr>
          <w:rFonts w:cstheme="minorHAnsi"/>
          <w:b/>
          <w:bCs/>
          <w:sz w:val="24"/>
          <w:szCs w:val="24"/>
        </w:rPr>
        <w:t>42</w:t>
      </w:r>
      <w:r w:rsidRPr="00D47F7B">
        <w:rPr>
          <w:rFonts w:cstheme="minorHAnsi"/>
          <w:sz w:val="24"/>
          <w:szCs w:val="24"/>
        </w:rPr>
        <w:t>(D1), D643– D648. </w:t>
      </w:r>
      <w:r w:rsidRPr="00D47F7B">
        <w:rPr>
          <w:rFonts w:cstheme="minorHAnsi"/>
          <w:sz w:val="24"/>
          <w:szCs w:val="24"/>
        </w:rPr>
        <w:t>https://doi.org/10.1093/nar/gkt1209</w:t>
      </w:r>
    </w:p>
    <w:p w14:paraId="29676006" w14:textId="157FECB1" w:rsidR="00E14CE2" w:rsidRPr="00D47F7B" w:rsidRDefault="00E14CE2" w:rsidP="00D47F7B">
      <w:pPr>
        <w:pStyle w:val="NoSpacing"/>
        <w:ind w:left="720" w:hanging="720"/>
        <w:rPr>
          <w:rFonts w:cstheme="minorHAnsi"/>
          <w:sz w:val="24"/>
          <w:szCs w:val="24"/>
        </w:rPr>
      </w:pPr>
      <w:r w:rsidRPr="00D47F7B">
        <w:rPr>
          <w:rFonts w:cstheme="minorHAnsi"/>
          <w:sz w:val="24"/>
          <w:szCs w:val="24"/>
        </w:rPr>
        <w:t xml:space="preserve">Yu, M., Su, W.-Q., Huang, L., Parikh, S. J., Tang, C., Dahlgren, R. A., &amp; Xu, J. (2021). Bacterial community structure and putative nitrogen-cycling functional traits along a </w:t>
      </w:r>
      <w:proofErr w:type="spellStart"/>
      <w:r w:rsidRPr="00D47F7B">
        <w:rPr>
          <w:rFonts w:cstheme="minorHAnsi"/>
          <w:sz w:val="24"/>
          <w:szCs w:val="24"/>
        </w:rPr>
        <w:t>charosphere</w:t>
      </w:r>
      <w:proofErr w:type="spellEnd"/>
      <w:r w:rsidRPr="00D47F7B">
        <w:rPr>
          <w:rFonts w:cstheme="minorHAnsi"/>
          <w:sz w:val="24"/>
          <w:szCs w:val="24"/>
        </w:rPr>
        <w:t xml:space="preserve"> gradient under waterlogged conditions. </w:t>
      </w:r>
      <w:r w:rsidRPr="00D47F7B">
        <w:rPr>
          <w:rFonts w:cstheme="minorHAnsi"/>
          <w:i/>
          <w:iCs/>
          <w:sz w:val="24"/>
          <w:szCs w:val="24"/>
        </w:rPr>
        <w:t>Soil Biology and Biochemistry</w:t>
      </w:r>
      <w:r w:rsidRPr="00D47F7B">
        <w:rPr>
          <w:rFonts w:cstheme="minorHAnsi"/>
          <w:sz w:val="24"/>
          <w:szCs w:val="24"/>
        </w:rPr>
        <w:t>, </w:t>
      </w:r>
      <w:r w:rsidRPr="00D47F7B">
        <w:rPr>
          <w:rFonts w:cstheme="minorHAnsi"/>
          <w:b/>
          <w:bCs/>
          <w:sz w:val="24"/>
          <w:szCs w:val="24"/>
        </w:rPr>
        <w:t>162</w:t>
      </w:r>
      <w:r w:rsidRPr="00D47F7B">
        <w:rPr>
          <w:rFonts w:cstheme="minorHAnsi"/>
          <w:sz w:val="24"/>
          <w:szCs w:val="24"/>
        </w:rPr>
        <w:t>, 108420. </w:t>
      </w:r>
      <w:r w:rsidRPr="00D47F7B">
        <w:rPr>
          <w:rFonts w:cstheme="minorHAnsi"/>
          <w:sz w:val="24"/>
          <w:szCs w:val="24"/>
        </w:rPr>
        <w:t>https://doi.org/10.1016/j.soilbio.2021.108420</w:t>
      </w:r>
    </w:p>
    <w:p w14:paraId="707603E1" w14:textId="200FAE8E" w:rsidR="00E14CE2" w:rsidRPr="00D47F7B" w:rsidRDefault="00E14CE2" w:rsidP="00D47F7B">
      <w:pPr>
        <w:pStyle w:val="NoSpacing"/>
        <w:ind w:left="720" w:hanging="720"/>
        <w:rPr>
          <w:rFonts w:cstheme="minorHAnsi"/>
          <w:sz w:val="24"/>
          <w:szCs w:val="24"/>
        </w:rPr>
      </w:pPr>
      <w:r w:rsidRPr="00D47F7B">
        <w:rPr>
          <w:rFonts w:cstheme="minorHAnsi"/>
          <w:sz w:val="24"/>
          <w:szCs w:val="24"/>
        </w:rPr>
        <w:t>Zhang, Y., Wang, S., Gu, S., Zhang, L., Dong, Y., Jiang, L., Fan, W., &amp; Peng, Y. (2021). The combined effects of biomass and temperature on maximum specific ammonia oxidation rate in domestic wastewater treatment. </w:t>
      </w:r>
      <w:r w:rsidRPr="00D47F7B">
        <w:rPr>
          <w:rFonts w:cstheme="minorHAnsi"/>
          <w:i/>
          <w:iCs/>
          <w:sz w:val="24"/>
          <w:szCs w:val="24"/>
        </w:rPr>
        <w:t>Frontiers of Environmental Science &amp; Engineering</w:t>
      </w:r>
      <w:r w:rsidRPr="00D47F7B">
        <w:rPr>
          <w:rFonts w:cstheme="minorHAnsi"/>
          <w:sz w:val="24"/>
          <w:szCs w:val="24"/>
        </w:rPr>
        <w:t>, </w:t>
      </w:r>
      <w:r w:rsidRPr="00D47F7B">
        <w:rPr>
          <w:rFonts w:cstheme="minorHAnsi"/>
          <w:b/>
          <w:bCs/>
          <w:sz w:val="24"/>
          <w:szCs w:val="24"/>
        </w:rPr>
        <w:t>15</w:t>
      </w:r>
      <w:r w:rsidRPr="00D47F7B">
        <w:rPr>
          <w:rFonts w:cstheme="minorHAnsi"/>
          <w:sz w:val="24"/>
          <w:szCs w:val="24"/>
        </w:rPr>
        <w:t>(6), 123. </w:t>
      </w:r>
      <w:r w:rsidRPr="00D47F7B">
        <w:rPr>
          <w:rFonts w:cstheme="minorHAnsi"/>
          <w:sz w:val="24"/>
          <w:szCs w:val="24"/>
        </w:rPr>
        <w:t>https://doi.org/10.1007/s11783-021-1411-9</w:t>
      </w:r>
    </w:p>
    <w:p w14:paraId="3E74EEB4" w14:textId="4B64BA57" w:rsidR="00E14CE2" w:rsidRPr="00D47F7B" w:rsidRDefault="00E14CE2" w:rsidP="00D47F7B">
      <w:pPr>
        <w:pStyle w:val="NoSpacing"/>
        <w:ind w:left="720" w:hanging="720"/>
        <w:rPr>
          <w:rFonts w:cstheme="minorHAnsi"/>
          <w:sz w:val="24"/>
          <w:szCs w:val="24"/>
        </w:rPr>
      </w:pPr>
      <w:r w:rsidRPr="00D47F7B">
        <w:rPr>
          <w:rFonts w:cstheme="minorHAnsi"/>
          <w:sz w:val="24"/>
          <w:szCs w:val="24"/>
        </w:rPr>
        <w:t>Zhang, F., Yang, H., Wang, J., Liu, Z., &amp; Guan, Q. (2018). Effect of free ammonia inhibition on NOB activity in high nitrifying performance of sludge. </w:t>
      </w:r>
      <w:r w:rsidRPr="00D47F7B">
        <w:rPr>
          <w:rFonts w:cstheme="minorHAnsi"/>
          <w:i/>
          <w:iCs/>
          <w:sz w:val="24"/>
          <w:szCs w:val="24"/>
        </w:rPr>
        <w:t>RSC Advances</w:t>
      </w:r>
      <w:r w:rsidRPr="00D47F7B">
        <w:rPr>
          <w:rFonts w:cstheme="minorHAnsi"/>
          <w:sz w:val="24"/>
          <w:szCs w:val="24"/>
        </w:rPr>
        <w:t>, </w:t>
      </w:r>
      <w:r w:rsidRPr="00D47F7B">
        <w:rPr>
          <w:rFonts w:cstheme="minorHAnsi"/>
          <w:b/>
          <w:bCs/>
          <w:sz w:val="24"/>
          <w:szCs w:val="24"/>
        </w:rPr>
        <w:t>8</w:t>
      </w:r>
      <w:r w:rsidRPr="00D47F7B">
        <w:rPr>
          <w:rFonts w:cstheme="minorHAnsi"/>
          <w:sz w:val="24"/>
          <w:szCs w:val="24"/>
        </w:rPr>
        <w:t>(56), 31987– 31995. </w:t>
      </w:r>
      <w:r w:rsidRPr="00D47F7B">
        <w:rPr>
          <w:rFonts w:cstheme="minorHAnsi"/>
          <w:sz w:val="24"/>
          <w:szCs w:val="24"/>
        </w:rPr>
        <w:t>https://doi.org/10.1039/C8RA06198J</w:t>
      </w:r>
    </w:p>
    <w:p w14:paraId="5BC5BCEC" w14:textId="1B28ECD8" w:rsidR="00E14CE2" w:rsidRPr="00D47F7B" w:rsidRDefault="00E14CE2" w:rsidP="00D47F7B">
      <w:pPr>
        <w:pStyle w:val="NoSpacing"/>
        <w:ind w:left="720" w:hanging="720"/>
        <w:rPr>
          <w:rFonts w:cstheme="minorHAnsi"/>
          <w:sz w:val="24"/>
          <w:szCs w:val="24"/>
        </w:rPr>
      </w:pPr>
      <w:r w:rsidRPr="00D47F7B">
        <w:rPr>
          <w:rFonts w:cstheme="minorHAnsi"/>
          <w:sz w:val="24"/>
          <w:szCs w:val="24"/>
        </w:rPr>
        <w:t>Zheng, X., Zhou, W., Wan, R., Luo, J., Su, Y., Huang, H., &amp; Chen, Y. (2018). Increasing municipal wastewater BNR by using the preferred carbon source derived from kitchen wastewater to enhance phosphorus uptake and short-cut nitrification-denitrification. </w:t>
      </w:r>
      <w:r w:rsidRPr="00D47F7B">
        <w:rPr>
          <w:rFonts w:cstheme="minorHAnsi"/>
          <w:i/>
          <w:iCs/>
          <w:sz w:val="24"/>
          <w:szCs w:val="24"/>
        </w:rPr>
        <w:t>Chemical Engineering Journal</w:t>
      </w:r>
      <w:r w:rsidRPr="00D47F7B">
        <w:rPr>
          <w:rFonts w:cstheme="minorHAnsi"/>
          <w:sz w:val="24"/>
          <w:szCs w:val="24"/>
        </w:rPr>
        <w:t>, </w:t>
      </w:r>
      <w:r w:rsidRPr="00D47F7B">
        <w:rPr>
          <w:rFonts w:cstheme="minorHAnsi"/>
          <w:b/>
          <w:bCs/>
          <w:sz w:val="24"/>
          <w:szCs w:val="24"/>
        </w:rPr>
        <w:t>344</w:t>
      </w:r>
      <w:r w:rsidRPr="00D47F7B">
        <w:rPr>
          <w:rFonts w:cstheme="minorHAnsi"/>
          <w:sz w:val="24"/>
          <w:szCs w:val="24"/>
        </w:rPr>
        <w:t>, 556– 564. </w:t>
      </w:r>
      <w:r w:rsidRPr="00D47F7B">
        <w:rPr>
          <w:rFonts w:cstheme="minorHAnsi"/>
          <w:sz w:val="24"/>
          <w:szCs w:val="24"/>
        </w:rPr>
        <w:t>https://doi.org/10.1016/j.cej.2018.03.124</w:t>
      </w:r>
    </w:p>
    <w:p w14:paraId="6771E804" w14:textId="07987D58" w:rsidR="00E14CE2" w:rsidRPr="00D47F7B" w:rsidRDefault="00E14CE2" w:rsidP="00D47F7B">
      <w:pPr>
        <w:pStyle w:val="NoSpacing"/>
        <w:ind w:left="720" w:hanging="720"/>
        <w:rPr>
          <w:rFonts w:cstheme="minorHAnsi"/>
          <w:sz w:val="24"/>
          <w:szCs w:val="24"/>
        </w:rPr>
      </w:pPr>
      <w:r w:rsidRPr="00D47F7B">
        <w:rPr>
          <w:rFonts w:cstheme="minorHAnsi"/>
          <w:sz w:val="24"/>
          <w:szCs w:val="24"/>
        </w:rPr>
        <w:t>Zhou, Z., Qi, M., &amp; Wang, H. (2020). Achieving partial nitrification via intermittent aeration in SBR and short-term effects of different C/N ratios on reactor performance and microbial community structure. </w:t>
      </w:r>
      <w:r w:rsidRPr="00D47F7B">
        <w:rPr>
          <w:rFonts w:cstheme="minorHAnsi"/>
          <w:i/>
          <w:iCs/>
          <w:sz w:val="24"/>
          <w:szCs w:val="24"/>
        </w:rPr>
        <w:t>Water</w:t>
      </w:r>
      <w:r w:rsidRPr="00D47F7B">
        <w:rPr>
          <w:rFonts w:cstheme="minorHAnsi"/>
          <w:sz w:val="24"/>
          <w:szCs w:val="24"/>
        </w:rPr>
        <w:t>, </w:t>
      </w:r>
      <w:r w:rsidRPr="00D47F7B">
        <w:rPr>
          <w:rFonts w:cstheme="minorHAnsi"/>
          <w:b/>
          <w:bCs/>
          <w:sz w:val="24"/>
          <w:szCs w:val="24"/>
        </w:rPr>
        <w:t>12</w:t>
      </w:r>
      <w:r w:rsidRPr="00D47F7B">
        <w:rPr>
          <w:rFonts w:cstheme="minorHAnsi"/>
          <w:sz w:val="24"/>
          <w:szCs w:val="24"/>
        </w:rPr>
        <w:t>, 3485. </w:t>
      </w:r>
      <w:r w:rsidRPr="00D47F7B">
        <w:rPr>
          <w:rFonts w:cstheme="minorHAnsi"/>
          <w:sz w:val="24"/>
          <w:szCs w:val="24"/>
        </w:rPr>
        <w:t>https://doi.org/10.3390/w12123485</w:t>
      </w:r>
    </w:p>
    <w:p w14:paraId="139001C4" w14:textId="3B8A0E46" w:rsidR="00E14CE2" w:rsidRPr="00D47F7B" w:rsidRDefault="00E14CE2" w:rsidP="00D47F7B">
      <w:pPr>
        <w:pStyle w:val="NoSpacing"/>
        <w:ind w:left="720" w:hanging="720"/>
        <w:rPr>
          <w:rFonts w:cstheme="minorHAnsi"/>
          <w:sz w:val="24"/>
          <w:szCs w:val="24"/>
        </w:rPr>
      </w:pPr>
      <w:proofErr w:type="spellStart"/>
      <w:r w:rsidRPr="00D47F7B">
        <w:rPr>
          <w:rFonts w:cstheme="minorHAnsi"/>
          <w:sz w:val="24"/>
          <w:szCs w:val="24"/>
        </w:rPr>
        <w:t>Zupančič</w:t>
      </w:r>
      <w:proofErr w:type="spellEnd"/>
      <w:r w:rsidRPr="00D47F7B">
        <w:rPr>
          <w:rFonts w:cstheme="minorHAnsi"/>
          <w:sz w:val="24"/>
          <w:szCs w:val="24"/>
        </w:rPr>
        <w:t>, G. D., &amp; </w:t>
      </w:r>
      <w:proofErr w:type="spellStart"/>
      <w:r w:rsidRPr="00D47F7B">
        <w:rPr>
          <w:rFonts w:cstheme="minorHAnsi"/>
          <w:sz w:val="24"/>
          <w:szCs w:val="24"/>
        </w:rPr>
        <w:t>Roš</w:t>
      </w:r>
      <w:proofErr w:type="spellEnd"/>
      <w:r w:rsidRPr="00D47F7B">
        <w:rPr>
          <w:rFonts w:cstheme="minorHAnsi"/>
          <w:sz w:val="24"/>
          <w:szCs w:val="24"/>
        </w:rPr>
        <w:t>, M. (2008). Aerobic and two-stage anaerobic–aerobic sludge digestion with pure oxygen and air aeration. </w:t>
      </w:r>
      <w:r w:rsidRPr="00D47F7B">
        <w:rPr>
          <w:rFonts w:cstheme="minorHAnsi"/>
          <w:i/>
          <w:iCs/>
          <w:sz w:val="24"/>
          <w:szCs w:val="24"/>
        </w:rPr>
        <w:t>Bioresource Technology</w:t>
      </w:r>
      <w:r w:rsidRPr="00D47F7B">
        <w:rPr>
          <w:rFonts w:cstheme="minorHAnsi"/>
          <w:sz w:val="24"/>
          <w:szCs w:val="24"/>
        </w:rPr>
        <w:t>, </w:t>
      </w:r>
      <w:r w:rsidRPr="00D47F7B">
        <w:rPr>
          <w:rFonts w:cstheme="minorHAnsi"/>
          <w:b/>
          <w:bCs/>
          <w:sz w:val="24"/>
          <w:szCs w:val="24"/>
        </w:rPr>
        <w:t>99</w:t>
      </w:r>
      <w:r w:rsidRPr="00D47F7B">
        <w:rPr>
          <w:rFonts w:cstheme="minorHAnsi"/>
          <w:sz w:val="24"/>
          <w:szCs w:val="24"/>
        </w:rPr>
        <w:t>, 100– 109. </w:t>
      </w:r>
      <w:r w:rsidRPr="00D47F7B">
        <w:rPr>
          <w:rFonts w:cstheme="minorHAnsi"/>
          <w:sz w:val="24"/>
          <w:szCs w:val="24"/>
        </w:rPr>
        <w:t>https://doi.org/10.1016/j.biortech.2006.11.054</w:t>
      </w:r>
    </w:p>
    <w:p w14:paraId="2BE0FDC2" w14:textId="77777777" w:rsidR="00156EB6" w:rsidRDefault="00156EB6" w:rsidP="00D14423">
      <w:pPr>
        <w:rPr>
          <w:rFonts w:cstheme="minorHAnsi"/>
          <w:sz w:val="24"/>
          <w:szCs w:val="24"/>
        </w:rPr>
      </w:pPr>
    </w:p>
    <w:sectPr w:rsidR="00156EB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2668"/>
    <w:multiLevelType w:val="multilevel"/>
    <w:tmpl w:val="48C87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C5118E"/>
    <w:multiLevelType w:val="multilevel"/>
    <w:tmpl w:val="6F906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B0084B"/>
    <w:multiLevelType w:val="multilevel"/>
    <w:tmpl w:val="96DCF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5"/>
  </w:num>
  <w:num w:numId="3" w16cid:durableId="962153638">
    <w:abstractNumId w:val="4"/>
  </w:num>
  <w:num w:numId="4" w16cid:durableId="53168299">
    <w:abstractNumId w:val="3"/>
  </w:num>
  <w:num w:numId="5" w16cid:durableId="46222412">
    <w:abstractNumId w:val="0"/>
  </w:num>
  <w:num w:numId="6" w16cid:durableId="1416131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2fQRF3h308LFAIOm8tlzV1xgktZnHGBEJYia+0eOgPPj+EnAP9oL4jBvpFsTpm+mWefsIbu3LlKVGqlFaDLCLw==" w:salt="JcZfBVRpxcvObK19nzhL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21B3"/>
    <w:rsid w:val="0014490B"/>
    <w:rsid w:val="00146A5C"/>
    <w:rsid w:val="00146E50"/>
    <w:rsid w:val="00150DB6"/>
    <w:rsid w:val="0015295B"/>
    <w:rsid w:val="00154AF2"/>
    <w:rsid w:val="00154D34"/>
    <w:rsid w:val="00156EB6"/>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3B1"/>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1753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6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6B0"/>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32FA"/>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2F33"/>
    <w:rsid w:val="006C599E"/>
    <w:rsid w:val="006C7ED1"/>
    <w:rsid w:val="006D2367"/>
    <w:rsid w:val="006D75E1"/>
    <w:rsid w:val="006D7670"/>
    <w:rsid w:val="006E10F4"/>
    <w:rsid w:val="006E10FD"/>
    <w:rsid w:val="006E2996"/>
    <w:rsid w:val="006E2EEC"/>
    <w:rsid w:val="006E471E"/>
    <w:rsid w:val="006E4859"/>
    <w:rsid w:val="006F24E3"/>
    <w:rsid w:val="00704A59"/>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914"/>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E7C84"/>
    <w:rsid w:val="009F28E2"/>
    <w:rsid w:val="009F4BDF"/>
    <w:rsid w:val="009F60BA"/>
    <w:rsid w:val="009F7F44"/>
    <w:rsid w:val="00A01B8D"/>
    <w:rsid w:val="00A034AE"/>
    <w:rsid w:val="00A035F5"/>
    <w:rsid w:val="00A07F07"/>
    <w:rsid w:val="00A11F34"/>
    <w:rsid w:val="00A1350A"/>
    <w:rsid w:val="00A20052"/>
    <w:rsid w:val="00A21D6D"/>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A26"/>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0ECD"/>
    <w:rsid w:val="00B910CB"/>
    <w:rsid w:val="00B91743"/>
    <w:rsid w:val="00B91D38"/>
    <w:rsid w:val="00B927D2"/>
    <w:rsid w:val="00B92B80"/>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1F95"/>
    <w:rsid w:val="00C13438"/>
    <w:rsid w:val="00C170FF"/>
    <w:rsid w:val="00C173E1"/>
    <w:rsid w:val="00C2019E"/>
    <w:rsid w:val="00C2387F"/>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88E"/>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47F7B"/>
    <w:rsid w:val="00D505CD"/>
    <w:rsid w:val="00D50821"/>
    <w:rsid w:val="00D52361"/>
    <w:rsid w:val="00D52D25"/>
    <w:rsid w:val="00D657EC"/>
    <w:rsid w:val="00D65A57"/>
    <w:rsid w:val="00D66306"/>
    <w:rsid w:val="00D66B18"/>
    <w:rsid w:val="00D726DB"/>
    <w:rsid w:val="00D73164"/>
    <w:rsid w:val="00D73DD5"/>
    <w:rsid w:val="00D7469C"/>
    <w:rsid w:val="00D77E53"/>
    <w:rsid w:val="00D8135F"/>
    <w:rsid w:val="00D81DD5"/>
    <w:rsid w:val="00D85787"/>
    <w:rsid w:val="00D864D5"/>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4CE2"/>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D58D6"/>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97D95"/>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0ADC"/>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ED58D6"/>
  </w:style>
  <w:style w:type="character" w:customStyle="1" w:styleId="comma-separator">
    <w:name w:val="comma-separator"/>
    <w:basedOn w:val="DefaultParagraphFont"/>
    <w:rsid w:val="00ED58D6"/>
  </w:style>
  <w:style w:type="character" w:customStyle="1" w:styleId="epub-state">
    <w:name w:val="epub-state"/>
    <w:basedOn w:val="DefaultParagraphFont"/>
    <w:rsid w:val="00ED58D6"/>
  </w:style>
  <w:style w:type="character" w:customStyle="1" w:styleId="epub-date">
    <w:name w:val="epub-date"/>
    <w:basedOn w:val="DefaultParagraphFont"/>
    <w:rsid w:val="00ED58D6"/>
  </w:style>
  <w:style w:type="character" w:customStyle="1" w:styleId="openurl">
    <w:name w:val="openurl"/>
    <w:basedOn w:val="DefaultParagraphFont"/>
    <w:rsid w:val="00ED58D6"/>
  </w:style>
  <w:style w:type="character" w:customStyle="1" w:styleId="inline-equationconstruct">
    <w:name w:val="inline-equation__construct"/>
    <w:basedOn w:val="DefaultParagraphFont"/>
    <w:rsid w:val="00ED58D6"/>
  </w:style>
  <w:style w:type="character" w:customStyle="1" w:styleId="inline-equationlabel">
    <w:name w:val="inline-equation__label"/>
    <w:basedOn w:val="DefaultParagraphFont"/>
    <w:rsid w:val="00ED58D6"/>
  </w:style>
  <w:style w:type="character" w:customStyle="1" w:styleId="sectiontitle">
    <w:name w:val="section__title"/>
    <w:basedOn w:val="DefaultParagraphFont"/>
    <w:rsid w:val="00ED58D6"/>
  </w:style>
  <w:style w:type="character" w:customStyle="1" w:styleId="author">
    <w:name w:val="author"/>
    <w:basedOn w:val="DefaultParagraphFont"/>
    <w:rsid w:val="00E14CE2"/>
  </w:style>
  <w:style w:type="character" w:customStyle="1" w:styleId="pubyear">
    <w:name w:val="pubyear"/>
    <w:basedOn w:val="DefaultParagraphFont"/>
    <w:rsid w:val="00E14CE2"/>
  </w:style>
  <w:style w:type="character" w:customStyle="1" w:styleId="articletitle">
    <w:name w:val="articletitle"/>
    <w:basedOn w:val="DefaultParagraphFont"/>
    <w:rsid w:val="00E14CE2"/>
  </w:style>
  <w:style w:type="character" w:customStyle="1" w:styleId="vol">
    <w:name w:val="vol"/>
    <w:basedOn w:val="DefaultParagraphFont"/>
    <w:rsid w:val="00E14CE2"/>
  </w:style>
  <w:style w:type="character" w:customStyle="1" w:styleId="citedissue">
    <w:name w:val="citedissue"/>
    <w:basedOn w:val="DefaultParagraphFont"/>
    <w:rsid w:val="00E14CE2"/>
  </w:style>
  <w:style w:type="character" w:customStyle="1" w:styleId="pagefirst">
    <w:name w:val="pagefirst"/>
    <w:basedOn w:val="DefaultParagraphFont"/>
    <w:rsid w:val="00E14CE2"/>
  </w:style>
  <w:style w:type="character" w:customStyle="1" w:styleId="pagelast">
    <w:name w:val="pagelast"/>
    <w:basedOn w:val="DefaultParagraphFont"/>
    <w:rsid w:val="00E14CE2"/>
  </w:style>
  <w:style w:type="paragraph" w:customStyle="1" w:styleId="getftritem">
    <w:name w:val="getftr__item"/>
    <w:basedOn w:val="Normal"/>
    <w:rsid w:val="00E14C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thertitle">
    <w:name w:val="othertitle"/>
    <w:basedOn w:val="DefaultParagraphFont"/>
    <w:rsid w:val="00E14CE2"/>
  </w:style>
  <w:style w:type="character" w:customStyle="1" w:styleId="booktitle0">
    <w:name w:val="booktitle"/>
    <w:basedOn w:val="DefaultParagraphFont"/>
    <w:rsid w:val="00E14CE2"/>
  </w:style>
  <w:style w:type="character" w:customStyle="1" w:styleId="groupname">
    <w:name w:val="groupname"/>
    <w:basedOn w:val="DefaultParagraphFont"/>
    <w:rsid w:val="00E14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415664">
      <w:bodyDiv w:val="1"/>
      <w:marLeft w:val="0"/>
      <w:marRight w:val="0"/>
      <w:marTop w:val="0"/>
      <w:marBottom w:val="0"/>
      <w:divBdr>
        <w:top w:val="none" w:sz="0" w:space="0" w:color="auto"/>
        <w:left w:val="none" w:sz="0" w:space="0" w:color="auto"/>
        <w:bottom w:val="none" w:sz="0" w:space="0" w:color="auto"/>
        <w:right w:val="none" w:sz="0" w:space="0" w:color="auto"/>
      </w:divBdr>
    </w:div>
    <w:div w:id="532688262">
      <w:bodyDiv w:val="1"/>
      <w:marLeft w:val="0"/>
      <w:marRight w:val="0"/>
      <w:marTop w:val="0"/>
      <w:marBottom w:val="0"/>
      <w:divBdr>
        <w:top w:val="none" w:sz="0" w:space="0" w:color="auto"/>
        <w:left w:val="none" w:sz="0" w:space="0" w:color="auto"/>
        <w:bottom w:val="none" w:sz="0" w:space="0" w:color="auto"/>
        <w:right w:val="none" w:sz="0" w:space="0" w:color="auto"/>
      </w:divBdr>
      <w:divsChild>
        <w:div w:id="826212614">
          <w:marLeft w:val="0"/>
          <w:marRight w:val="0"/>
          <w:marTop w:val="0"/>
          <w:marBottom w:val="0"/>
          <w:divBdr>
            <w:top w:val="none" w:sz="0" w:space="0" w:color="auto"/>
            <w:left w:val="none" w:sz="0" w:space="0" w:color="auto"/>
            <w:bottom w:val="none" w:sz="0" w:space="0" w:color="auto"/>
            <w:right w:val="none" w:sz="0" w:space="0" w:color="auto"/>
          </w:divBdr>
          <w:divsChild>
            <w:div w:id="908271099">
              <w:marLeft w:val="0"/>
              <w:marRight w:val="0"/>
              <w:marTop w:val="0"/>
              <w:marBottom w:val="0"/>
              <w:divBdr>
                <w:top w:val="none" w:sz="0" w:space="0" w:color="auto"/>
                <w:left w:val="none" w:sz="0" w:space="0" w:color="auto"/>
                <w:bottom w:val="none" w:sz="0" w:space="0" w:color="auto"/>
                <w:right w:val="none" w:sz="0" w:space="0" w:color="auto"/>
              </w:divBdr>
              <w:divsChild>
                <w:div w:id="817527571">
                  <w:marLeft w:val="0"/>
                  <w:marRight w:val="0"/>
                  <w:marTop w:val="0"/>
                  <w:marBottom w:val="0"/>
                  <w:divBdr>
                    <w:top w:val="none" w:sz="0" w:space="0" w:color="auto"/>
                    <w:left w:val="none" w:sz="0" w:space="0" w:color="auto"/>
                    <w:bottom w:val="none" w:sz="0" w:space="0" w:color="auto"/>
                    <w:right w:val="none" w:sz="0" w:space="0" w:color="auto"/>
                  </w:divBdr>
                  <w:divsChild>
                    <w:div w:id="967779021">
                      <w:marLeft w:val="0"/>
                      <w:marRight w:val="0"/>
                      <w:marTop w:val="0"/>
                      <w:marBottom w:val="0"/>
                      <w:divBdr>
                        <w:top w:val="none" w:sz="0" w:space="0" w:color="auto"/>
                        <w:left w:val="none" w:sz="0" w:space="0" w:color="auto"/>
                        <w:bottom w:val="none" w:sz="0" w:space="0" w:color="auto"/>
                        <w:right w:val="none" w:sz="0" w:space="0" w:color="auto"/>
                      </w:divBdr>
                      <w:divsChild>
                        <w:div w:id="547574885">
                          <w:marLeft w:val="0"/>
                          <w:marRight w:val="0"/>
                          <w:marTop w:val="0"/>
                          <w:marBottom w:val="0"/>
                          <w:divBdr>
                            <w:top w:val="none" w:sz="0" w:space="0" w:color="auto"/>
                            <w:left w:val="none" w:sz="0" w:space="0" w:color="auto"/>
                            <w:bottom w:val="none" w:sz="0" w:space="0" w:color="auto"/>
                            <w:right w:val="none" w:sz="0" w:space="0" w:color="auto"/>
                          </w:divBdr>
                          <w:divsChild>
                            <w:div w:id="4843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4402">
                  <w:marLeft w:val="0"/>
                  <w:marRight w:val="0"/>
                  <w:marTop w:val="0"/>
                  <w:marBottom w:val="0"/>
                  <w:divBdr>
                    <w:top w:val="none" w:sz="0" w:space="0" w:color="auto"/>
                    <w:left w:val="none" w:sz="0" w:space="0" w:color="auto"/>
                    <w:bottom w:val="none" w:sz="0" w:space="0" w:color="auto"/>
                    <w:right w:val="none" w:sz="0" w:space="0" w:color="auto"/>
                  </w:divBdr>
                  <w:divsChild>
                    <w:div w:id="703141657">
                      <w:marLeft w:val="0"/>
                      <w:marRight w:val="0"/>
                      <w:marTop w:val="0"/>
                      <w:marBottom w:val="0"/>
                      <w:divBdr>
                        <w:top w:val="none" w:sz="0" w:space="0" w:color="auto"/>
                        <w:left w:val="none" w:sz="0" w:space="0" w:color="auto"/>
                        <w:bottom w:val="none" w:sz="0" w:space="0" w:color="auto"/>
                        <w:right w:val="none" w:sz="0" w:space="0" w:color="auto"/>
                      </w:divBdr>
                    </w:div>
                    <w:div w:id="886602187">
                      <w:marLeft w:val="0"/>
                      <w:marRight w:val="0"/>
                      <w:marTop w:val="0"/>
                      <w:marBottom w:val="0"/>
                      <w:divBdr>
                        <w:top w:val="none" w:sz="0" w:space="0" w:color="auto"/>
                        <w:left w:val="none" w:sz="0" w:space="0" w:color="auto"/>
                        <w:bottom w:val="none" w:sz="0" w:space="0" w:color="auto"/>
                        <w:right w:val="none" w:sz="0" w:space="0" w:color="auto"/>
                      </w:divBdr>
                    </w:div>
                    <w:div w:id="5139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930982">
          <w:marLeft w:val="0"/>
          <w:marRight w:val="0"/>
          <w:marTop w:val="0"/>
          <w:marBottom w:val="0"/>
          <w:divBdr>
            <w:top w:val="none" w:sz="0" w:space="0" w:color="auto"/>
            <w:left w:val="none" w:sz="0" w:space="0" w:color="auto"/>
            <w:bottom w:val="none" w:sz="0" w:space="0" w:color="auto"/>
            <w:right w:val="none" w:sz="0" w:space="0" w:color="auto"/>
          </w:divBdr>
          <w:divsChild>
            <w:div w:id="1170409714">
              <w:marLeft w:val="0"/>
              <w:marRight w:val="0"/>
              <w:marTop w:val="0"/>
              <w:marBottom w:val="0"/>
              <w:divBdr>
                <w:top w:val="none" w:sz="0" w:space="0" w:color="auto"/>
                <w:left w:val="none" w:sz="0" w:space="0" w:color="auto"/>
                <w:bottom w:val="single" w:sz="12" w:space="0" w:color="D8D9DA"/>
                <w:right w:val="none" w:sz="0" w:space="0" w:color="auto"/>
              </w:divBdr>
              <w:divsChild>
                <w:div w:id="2108622757">
                  <w:marLeft w:val="0"/>
                  <w:marRight w:val="0"/>
                  <w:marTop w:val="0"/>
                  <w:marBottom w:val="0"/>
                  <w:divBdr>
                    <w:top w:val="none" w:sz="0" w:space="0" w:color="auto"/>
                    <w:left w:val="none" w:sz="0" w:space="0" w:color="auto"/>
                    <w:bottom w:val="none" w:sz="0" w:space="0" w:color="auto"/>
                    <w:right w:val="none" w:sz="0" w:space="0" w:color="auto"/>
                  </w:divBdr>
                  <w:divsChild>
                    <w:div w:id="1296566242">
                      <w:marLeft w:val="0"/>
                      <w:marRight w:val="0"/>
                      <w:marTop w:val="0"/>
                      <w:marBottom w:val="0"/>
                      <w:divBdr>
                        <w:top w:val="none" w:sz="0" w:space="0" w:color="auto"/>
                        <w:left w:val="none" w:sz="0" w:space="0" w:color="auto"/>
                        <w:bottom w:val="none" w:sz="0" w:space="0" w:color="auto"/>
                        <w:right w:val="none" w:sz="0" w:space="0" w:color="auto"/>
                      </w:divBdr>
                    </w:div>
                  </w:divsChild>
                </w:div>
                <w:div w:id="330065625">
                  <w:marLeft w:val="0"/>
                  <w:marRight w:val="0"/>
                  <w:marTop w:val="0"/>
                  <w:marBottom w:val="0"/>
                  <w:divBdr>
                    <w:top w:val="none" w:sz="0" w:space="0" w:color="auto"/>
                    <w:left w:val="none" w:sz="0" w:space="0" w:color="auto"/>
                    <w:bottom w:val="none" w:sz="0" w:space="0" w:color="auto"/>
                    <w:right w:val="none" w:sz="0" w:space="0" w:color="auto"/>
                  </w:divBdr>
                  <w:divsChild>
                    <w:div w:id="1067264240">
                      <w:marLeft w:val="0"/>
                      <w:marRight w:val="0"/>
                      <w:marTop w:val="0"/>
                      <w:marBottom w:val="0"/>
                      <w:divBdr>
                        <w:top w:val="none" w:sz="0" w:space="0" w:color="auto"/>
                        <w:left w:val="none" w:sz="0" w:space="0" w:color="auto"/>
                        <w:bottom w:val="none" w:sz="0" w:space="0" w:color="auto"/>
                        <w:right w:val="none" w:sz="0" w:space="0" w:color="auto"/>
                      </w:divBdr>
                    </w:div>
                    <w:div w:id="456333450">
                      <w:marLeft w:val="0"/>
                      <w:marRight w:val="0"/>
                      <w:marTop w:val="0"/>
                      <w:marBottom w:val="0"/>
                      <w:divBdr>
                        <w:top w:val="none" w:sz="0" w:space="0" w:color="auto"/>
                        <w:left w:val="none" w:sz="0" w:space="0" w:color="auto"/>
                        <w:bottom w:val="none" w:sz="0" w:space="0" w:color="auto"/>
                        <w:right w:val="none" w:sz="0" w:space="0" w:color="auto"/>
                      </w:divBdr>
                    </w:div>
                    <w:div w:id="189045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002737">
          <w:marLeft w:val="0"/>
          <w:marRight w:val="0"/>
          <w:marTop w:val="0"/>
          <w:marBottom w:val="0"/>
          <w:divBdr>
            <w:top w:val="none" w:sz="0" w:space="0" w:color="auto"/>
            <w:left w:val="none" w:sz="0" w:space="0" w:color="auto"/>
            <w:bottom w:val="none" w:sz="0" w:space="0" w:color="auto"/>
            <w:right w:val="none" w:sz="0" w:space="0" w:color="auto"/>
          </w:divBdr>
          <w:divsChild>
            <w:div w:id="1669214779">
              <w:marLeft w:val="0"/>
              <w:marRight w:val="0"/>
              <w:marTop w:val="0"/>
              <w:marBottom w:val="0"/>
              <w:divBdr>
                <w:top w:val="none" w:sz="0" w:space="0" w:color="auto"/>
                <w:left w:val="none" w:sz="0" w:space="0" w:color="auto"/>
                <w:bottom w:val="none" w:sz="0" w:space="0" w:color="auto"/>
                <w:right w:val="none" w:sz="0" w:space="0" w:color="auto"/>
              </w:divBdr>
              <w:divsChild>
                <w:div w:id="1400439540">
                  <w:marLeft w:val="0"/>
                  <w:marRight w:val="0"/>
                  <w:marTop w:val="0"/>
                  <w:marBottom w:val="0"/>
                  <w:divBdr>
                    <w:top w:val="none" w:sz="0" w:space="0" w:color="auto"/>
                    <w:left w:val="none" w:sz="0" w:space="0" w:color="auto"/>
                    <w:bottom w:val="none" w:sz="0" w:space="0" w:color="auto"/>
                    <w:right w:val="none" w:sz="0" w:space="0" w:color="auto"/>
                  </w:divBdr>
                  <w:divsChild>
                    <w:div w:id="102185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227097">
              <w:marLeft w:val="0"/>
              <w:marRight w:val="0"/>
              <w:marTop w:val="0"/>
              <w:marBottom w:val="0"/>
              <w:divBdr>
                <w:top w:val="none" w:sz="0" w:space="0" w:color="auto"/>
                <w:left w:val="none" w:sz="0" w:space="0" w:color="auto"/>
                <w:bottom w:val="none" w:sz="0" w:space="0" w:color="auto"/>
                <w:right w:val="none" w:sz="0" w:space="0" w:color="auto"/>
              </w:divBdr>
              <w:divsChild>
                <w:div w:id="101801290">
                  <w:marLeft w:val="0"/>
                  <w:marRight w:val="0"/>
                  <w:marTop w:val="0"/>
                  <w:marBottom w:val="0"/>
                  <w:divBdr>
                    <w:top w:val="none" w:sz="0" w:space="0" w:color="auto"/>
                    <w:left w:val="none" w:sz="0" w:space="0" w:color="auto"/>
                    <w:bottom w:val="none" w:sz="0" w:space="0" w:color="auto"/>
                    <w:right w:val="none" w:sz="0" w:space="0" w:color="auto"/>
                  </w:divBdr>
                </w:div>
              </w:divsChild>
            </w:div>
            <w:div w:id="1618829590">
              <w:marLeft w:val="0"/>
              <w:marRight w:val="0"/>
              <w:marTop w:val="0"/>
              <w:marBottom w:val="0"/>
              <w:divBdr>
                <w:top w:val="none" w:sz="0" w:space="0" w:color="auto"/>
                <w:left w:val="none" w:sz="0" w:space="0" w:color="auto"/>
                <w:bottom w:val="none" w:sz="0" w:space="0" w:color="auto"/>
                <w:right w:val="none" w:sz="0" w:space="0" w:color="auto"/>
              </w:divBdr>
            </w:div>
            <w:div w:id="1365982217">
              <w:marLeft w:val="0"/>
              <w:marRight w:val="0"/>
              <w:marTop w:val="0"/>
              <w:marBottom w:val="0"/>
              <w:divBdr>
                <w:top w:val="none" w:sz="0" w:space="0" w:color="auto"/>
                <w:left w:val="none" w:sz="0" w:space="0" w:color="auto"/>
                <w:bottom w:val="none" w:sz="0" w:space="0" w:color="auto"/>
                <w:right w:val="none" w:sz="0" w:space="0" w:color="auto"/>
              </w:divBdr>
              <w:divsChild>
                <w:div w:id="154498425">
                  <w:marLeft w:val="0"/>
                  <w:marRight w:val="0"/>
                  <w:marTop w:val="0"/>
                  <w:marBottom w:val="0"/>
                  <w:divBdr>
                    <w:top w:val="none" w:sz="0" w:space="0" w:color="auto"/>
                    <w:left w:val="none" w:sz="0" w:space="0" w:color="auto"/>
                    <w:bottom w:val="none" w:sz="0" w:space="0" w:color="auto"/>
                    <w:right w:val="none" w:sz="0" w:space="0" w:color="auto"/>
                  </w:divBdr>
                </w:div>
              </w:divsChild>
            </w:div>
            <w:div w:id="887767687">
              <w:marLeft w:val="0"/>
              <w:marRight w:val="0"/>
              <w:marTop w:val="0"/>
              <w:marBottom w:val="0"/>
              <w:divBdr>
                <w:top w:val="none" w:sz="0" w:space="0" w:color="auto"/>
                <w:left w:val="none" w:sz="0" w:space="0" w:color="auto"/>
                <w:bottom w:val="none" w:sz="0" w:space="0" w:color="auto"/>
                <w:right w:val="none" w:sz="0" w:space="0" w:color="auto"/>
              </w:divBdr>
            </w:div>
            <w:div w:id="1262370881">
              <w:marLeft w:val="0"/>
              <w:marRight w:val="0"/>
              <w:marTop w:val="0"/>
              <w:marBottom w:val="0"/>
              <w:divBdr>
                <w:top w:val="none" w:sz="0" w:space="0" w:color="auto"/>
                <w:left w:val="none" w:sz="0" w:space="0" w:color="auto"/>
                <w:bottom w:val="none" w:sz="0" w:space="0" w:color="auto"/>
                <w:right w:val="none" w:sz="0" w:space="0" w:color="auto"/>
              </w:divBdr>
            </w:div>
            <w:div w:id="689647892">
              <w:marLeft w:val="0"/>
              <w:marRight w:val="0"/>
              <w:marTop w:val="0"/>
              <w:marBottom w:val="0"/>
              <w:divBdr>
                <w:top w:val="none" w:sz="0" w:space="0" w:color="auto"/>
                <w:left w:val="none" w:sz="0" w:space="0" w:color="auto"/>
                <w:bottom w:val="none" w:sz="0" w:space="0" w:color="auto"/>
                <w:right w:val="none" w:sz="0" w:space="0" w:color="auto"/>
              </w:divBdr>
            </w:div>
            <w:div w:id="1628509530">
              <w:marLeft w:val="0"/>
              <w:marRight w:val="0"/>
              <w:marTop w:val="0"/>
              <w:marBottom w:val="0"/>
              <w:divBdr>
                <w:top w:val="none" w:sz="0" w:space="0" w:color="auto"/>
                <w:left w:val="none" w:sz="0" w:space="0" w:color="auto"/>
                <w:bottom w:val="none" w:sz="0" w:space="0" w:color="auto"/>
                <w:right w:val="none" w:sz="0" w:space="0" w:color="auto"/>
              </w:divBdr>
              <w:divsChild>
                <w:div w:id="1957977581">
                  <w:marLeft w:val="0"/>
                  <w:marRight w:val="0"/>
                  <w:marTop w:val="0"/>
                  <w:marBottom w:val="0"/>
                  <w:divBdr>
                    <w:top w:val="none" w:sz="0" w:space="0" w:color="auto"/>
                    <w:left w:val="none" w:sz="0" w:space="0" w:color="auto"/>
                    <w:bottom w:val="none" w:sz="0" w:space="0" w:color="auto"/>
                    <w:right w:val="none" w:sz="0" w:space="0" w:color="auto"/>
                  </w:divBdr>
                </w:div>
              </w:divsChild>
            </w:div>
            <w:div w:id="1037051146">
              <w:marLeft w:val="0"/>
              <w:marRight w:val="0"/>
              <w:marTop w:val="0"/>
              <w:marBottom w:val="0"/>
              <w:divBdr>
                <w:top w:val="none" w:sz="0" w:space="0" w:color="auto"/>
                <w:left w:val="none" w:sz="0" w:space="0" w:color="auto"/>
                <w:bottom w:val="none" w:sz="0" w:space="0" w:color="auto"/>
                <w:right w:val="none" w:sz="0" w:space="0" w:color="auto"/>
              </w:divBdr>
            </w:div>
            <w:div w:id="1304768907">
              <w:marLeft w:val="0"/>
              <w:marRight w:val="0"/>
              <w:marTop w:val="0"/>
              <w:marBottom w:val="0"/>
              <w:divBdr>
                <w:top w:val="none" w:sz="0" w:space="0" w:color="auto"/>
                <w:left w:val="none" w:sz="0" w:space="0" w:color="auto"/>
                <w:bottom w:val="none" w:sz="0" w:space="0" w:color="auto"/>
                <w:right w:val="none" w:sz="0" w:space="0" w:color="auto"/>
              </w:divBdr>
              <w:divsChild>
                <w:div w:id="95174355">
                  <w:marLeft w:val="0"/>
                  <w:marRight w:val="0"/>
                  <w:marTop w:val="0"/>
                  <w:marBottom w:val="0"/>
                  <w:divBdr>
                    <w:top w:val="none" w:sz="0" w:space="0" w:color="auto"/>
                    <w:left w:val="none" w:sz="0" w:space="0" w:color="auto"/>
                    <w:bottom w:val="none" w:sz="0" w:space="0" w:color="auto"/>
                    <w:right w:val="none" w:sz="0" w:space="0" w:color="auto"/>
                  </w:divBdr>
                </w:div>
              </w:divsChild>
            </w:div>
            <w:div w:id="1001128609">
              <w:marLeft w:val="0"/>
              <w:marRight w:val="0"/>
              <w:marTop w:val="0"/>
              <w:marBottom w:val="0"/>
              <w:divBdr>
                <w:top w:val="none" w:sz="0" w:space="0" w:color="auto"/>
                <w:left w:val="none" w:sz="0" w:space="0" w:color="auto"/>
                <w:bottom w:val="none" w:sz="0" w:space="0" w:color="auto"/>
                <w:right w:val="none" w:sz="0" w:space="0" w:color="auto"/>
              </w:divBdr>
            </w:div>
            <w:div w:id="1699772923">
              <w:marLeft w:val="0"/>
              <w:marRight w:val="0"/>
              <w:marTop w:val="0"/>
              <w:marBottom w:val="0"/>
              <w:divBdr>
                <w:top w:val="none" w:sz="0" w:space="0" w:color="auto"/>
                <w:left w:val="none" w:sz="0" w:space="0" w:color="auto"/>
                <w:bottom w:val="none" w:sz="0" w:space="0" w:color="auto"/>
                <w:right w:val="none" w:sz="0" w:space="0" w:color="auto"/>
              </w:divBdr>
              <w:divsChild>
                <w:div w:id="1638609019">
                  <w:marLeft w:val="0"/>
                  <w:marRight w:val="0"/>
                  <w:marTop w:val="0"/>
                  <w:marBottom w:val="0"/>
                  <w:divBdr>
                    <w:top w:val="none" w:sz="0" w:space="0" w:color="auto"/>
                    <w:left w:val="none" w:sz="0" w:space="0" w:color="auto"/>
                    <w:bottom w:val="none" w:sz="0" w:space="0" w:color="auto"/>
                    <w:right w:val="none" w:sz="0" w:space="0" w:color="auto"/>
                  </w:divBdr>
                </w:div>
              </w:divsChild>
            </w:div>
            <w:div w:id="1108162242">
              <w:marLeft w:val="0"/>
              <w:marRight w:val="0"/>
              <w:marTop w:val="0"/>
              <w:marBottom w:val="0"/>
              <w:divBdr>
                <w:top w:val="none" w:sz="0" w:space="0" w:color="auto"/>
                <w:left w:val="none" w:sz="0" w:space="0" w:color="auto"/>
                <w:bottom w:val="none" w:sz="0" w:space="0" w:color="auto"/>
                <w:right w:val="none" w:sz="0" w:space="0" w:color="auto"/>
              </w:divBdr>
            </w:div>
            <w:div w:id="337074277">
              <w:marLeft w:val="0"/>
              <w:marRight w:val="0"/>
              <w:marTop w:val="0"/>
              <w:marBottom w:val="0"/>
              <w:divBdr>
                <w:top w:val="none" w:sz="0" w:space="0" w:color="auto"/>
                <w:left w:val="none" w:sz="0" w:space="0" w:color="auto"/>
                <w:bottom w:val="none" w:sz="0" w:space="0" w:color="auto"/>
                <w:right w:val="none" w:sz="0" w:space="0" w:color="auto"/>
              </w:divBdr>
              <w:divsChild>
                <w:div w:id="1296058520">
                  <w:marLeft w:val="0"/>
                  <w:marRight w:val="0"/>
                  <w:marTop w:val="0"/>
                  <w:marBottom w:val="0"/>
                  <w:divBdr>
                    <w:top w:val="none" w:sz="0" w:space="0" w:color="auto"/>
                    <w:left w:val="none" w:sz="0" w:space="0" w:color="auto"/>
                    <w:bottom w:val="none" w:sz="0" w:space="0" w:color="auto"/>
                    <w:right w:val="none" w:sz="0" w:space="0" w:color="auto"/>
                  </w:divBdr>
                </w:div>
              </w:divsChild>
            </w:div>
            <w:div w:id="915283507">
              <w:marLeft w:val="0"/>
              <w:marRight w:val="0"/>
              <w:marTop w:val="0"/>
              <w:marBottom w:val="0"/>
              <w:divBdr>
                <w:top w:val="none" w:sz="0" w:space="0" w:color="auto"/>
                <w:left w:val="none" w:sz="0" w:space="0" w:color="auto"/>
                <w:bottom w:val="none" w:sz="0" w:space="0" w:color="auto"/>
                <w:right w:val="none" w:sz="0" w:space="0" w:color="auto"/>
              </w:divBdr>
            </w:div>
            <w:div w:id="384914597">
              <w:marLeft w:val="0"/>
              <w:marRight w:val="0"/>
              <w:marTop w:val="0"/>
              <w:marBottom w:val="0"/>
              <w:divBdr>
                <w:top w:val="none" w:sz="0" w:space="0" w:color="auto"/>
                <w:left w:val="none" w:sz="0" w:space="0" w:color="auto"/>
                <w:bottom w:val="none" w:sz="0" w:space="0" w:color="auto"/>
                <w:right w:val="none" w:sz="0" w:space="0" w:color="auto"/>
              </w:divBdr>
              <w:divsChild>
                <w:div w:id="566578102">
                  <w:marLeft w:val="0"/>
                  <w:marRight w:val="0"/>
                  <w:marTop w:val="0"/>
                  <w:marBottom w:val="0"/>
                  <w:divBdr>
                    <w:top w:val="none" w:sz="0" w:space="0" w:color="auto"/>
                    <w:left w:val="none" w:sz="0" w:space="0" w:color="auto"/>
                    <w:bottom w:val="none" w:sz="0" w:space="0" w:color="auto"/>
                    <w:right w:val="none" w:sz="0" w:space="0" w:color="auto"/>
                  </w:divBdr>
                </w:div>
              </w:divsChild>
            </w:div>
            <w:div w:id="1613434773">
              <w:marLeft w:val="0"/>
              <w:marRight w:val="0"/>
              <w:marTop w:val="0"/>
              <w:marBottom w:val="0"/>
              <w:divBdr>
                <w:top w:val="none" w:sz="0" w:space="0" w:color="auto"/>
                <w:left w:val="none" w:sz="0" w:space="0" w:color="auto"/>
                <w:bottom w:val="none" w:sz="0" w:space="0" w:color="auto"/>
                <w:right w:val="none" w:sz="0" w:space="0" w:color="auto"/>
              </w:divBdr>
            </w:div>
            <w:div w:id="498429836">
              <w:marLeft w:val="0"/>
              <w:marRight w:val="0"/>
              <w:marTop w:val="0"/>
              <w:marBottom w:val="0"/>
              <w:divBdr>
                <w:top w:val="none" w:sz="0" w:space="0" w:color="auto"/>
                <w:left w:val="none" w:sz="0" w:space="0" w:color="auto"/>
                <w:bottom w:val="none" w:sz="0" w:space="0" w:color="auto"/>
                <w:right w:val="none" w:sz="0" w:space="0" w:color="auto"/>
              </w:divBdr>
              <w:divsChild>
                <w:div w:id="1173447434">
                  <w:marLeft w:val="0"/>
                  <w:marRight w:val="0"/>
                  <w:marTop w:val="0"/>
                  <w:marBottom w:val="0"/>
                  <w:divBdr>
                    <w:top w:val="none" w:sz="0" w:space="0" w:color="auto"/>
                    <w:left w:val="none" w:sz="0" w:space="0" w:color="auto"/>
                    <w:bottom w:val="none" w:sz="0" w:space="0" w:color="auto"/>
                    <w:right w:val="none" w:sz="0" w:space="0" w:color="auto"/>
                  </w:divBdr>
                </w:div>
              </w:divsChild>
            </w:div>
            <w:div w:id="2021470285">
              <w:marLeft w:val="0"/>
              <w:marRight w:val="0"/>
              <w:marTop w:val="0"/>
              <w:marBottom w:val="0"/>
              <w:divBdr>
                <w:top w:val="none" w:sz="0" w:space="0" w:color="auto"/>
                <w:left w:val="none" w:sz="0" w:space="0" w:color="auto"/>
                <w:bottom w:val="none" w:sz="0" w:space="0" w:color="auto"/>
                <w:right w:val="none" w:sz="0" w:space="0" w:color="auto"/>
              </w:divBdr>
            </w:div>
            <w:div w:id="819464862">
              <w:marLeft w:val="0"/>
              <w:marRight w:val="0"/>
              <w:marTop w:val="0"/>
              <w:marBottom w:val="0"/>
              <w:divBdr>
                <w:top w:val="none" w:sz="0" w:space="0" w:color="auto"/>
                <w:left w:val="none" w:sz="0" w:space="0" w:color="auto"/>
                <w:bottom w:val="none" w:sz="0" w:space="0" w:color="auto"/>
                <w:right w:val="none" w:sz="0" w:space="0" w:color="auto"/>
              </w:divBdr>
            </w:div>
            <w:div w:id="1780563895">
              <w:marLeft w:val="0"/>
              <w:marRight w:val="0"/>
              <w:marTop w:val="0"/>
              <w:marBottom w:val="0"/>
              <w:divBdr>
                <w:top w:val="none" w:sz="0" w:space="0" w:color="auto"/>
                <w:left w:val="none" w:sz="0" w:space="0" w:color="auto"/>
                <w:bottom w:val="none" w:sz="0" w:space="0" w:color="auto"/>
                <w:right w:val="none" w:sz="0" w:space="0" w:color="auto"/>
              </w:divBdr>
            </w:div>
            <w:div w:id="473523994">
              <w:marLeft w:val="0"/>
              <w:marRight w:val="0"/>
              <w:marTop w:val="0"/>
              <w:marBottom w:val="0"/>
              <w:divBdr>
                <w:top w:val="none" w:sz="0" w:space="0" w:color="auto"/>
                <w:left w:val="none" w:sz="0" w:space="0" w:color="auto"/>
                <w:bottom w:val="none" w:sz="0" w:space="0" w:color="auto"/>
                <w:right w:val="none" w:sz="0" w:space="0" w:color="auto"/>
              </w:divBdr>
              <w:divsChild>
                <w:div w:id="1516654118">
                  <w:marLeft w:val="0"/>
                  <w:marRight w:val="0"/>
                  <w:marTop w:val="0"/>
                  <w:marBottom w:val="0"/>
                  <w:divBdr>
                    <w:top w:val="none" w:sz="0" w:space="0" w:color="auto"/>
                    <w:left w:val="none" w:sz="0" w:space="0" w:color="auto"/>
                    <w:bottom w:val="none" w:sz="0" w:space="0" w:color="auto"/>
                    <w:right w:val="none" w:sz="0" w:space="0" w:color="auto"/>
                  </w:divBdr>
                </w:div>
              </w:divsChild>
            </w:div>
            <w:div w:id="1365448435">
              <w:marLeft w:val="0"/>
              <w:marRight w:val="0"/>
              <w:marTop w:val="0"/>
              <w:marBottom w:val="0"/>
              <w:divBdr>
                <w:top w:val="none" w:sz="0" w:space="0" w:color="auto"/>
                <w:left w:val="none" w:sz="0" w:space="0" w:color="auto"/>
                <w:bottom w:val="none" w:sz="0" w:space="0" w:color="auto"/>
                <w:right w:val="none" w:sz="0" w:space="0" w:color="auto"/>
              </w:divBdr>
              <w:divsChild>
                <w:div w:id="213655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096008">
      <w:bodyDiv w:val="1"/>
      <w:marLeft w:val="0"/>
      <w:marRight w:val="0"/>
      <w:marTop w:val="0"/>
      <w:marBottom w:val="0"/>
      <w:divBdr>
        <w:top w:val="none" w:sz="0" w:space="0" w:color="auto"/>
        <w:left w:val="none" w:sz="0" w:space="0" w:color="auto"/>
        <w:bottom w:val="none" w:sz="0" w:space="0" w:color="auto"/>
        <w:right w:val="none" w:sz="0" w:space="0" w:color="auto"/>
      </w:divBdr>
    </w:div>
    <w:div w:id="1252591468">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681811187">
      <w:bodyDiv w:val="1"/>
      <w:marLeft w:val="0"/>
      <w:marRight w:val="0"/>
      <w:marTop w:val="0"/>
      <w:marBottom w:val="0"/>
      <w:divBdr>
        <w:top w:val="none" w:sz="0" w:space="0" w:color="auto"/>
        <w:left w:val="none" w:sz="0" w:space="0" w:color="auto"/>
        <w:bottom w:val="none" w:sz="0" w:space="0" w:color="auto"/>
        <w:right w:val="none" w:sz="0" w:space="0" w:color="auto"/>
      </w:divBdr>
      <w:divsChild>
        <w:div w:id="415706846">
          <w:marLeft w:val="0"/>
          <w:marRight w:val="0"/>
          <w:marTop w:val="0"/>
          <w:marBottom w:val="0"/>
          <w:divBdr>
            <w:top w:val="none" w:sz="0" w:space="0" w:color="auto"/>
            <w:left w:val="none" w:sz="0" w:space="0" w:color="auto"/>
            <w:bottom w:val="none" w:sz="0" w:space="0" w:color="auto"/>
            <w:right w:val="none" w:sz="0" w:space="0" w:color="auto"/>
          </w:divBdr>
        </w:div>
        <w:div w:id="531722319">
          <w:marLeft w:val="0"/>
          <w:marRight w:val="0"/>
          <w:marTop w:val="0"/>
          <w:marBottom w:val="0"/>
          <w:divBdr>
            <w:top w:val="none" w:sz="0" w:space="0" w:color="auto"/>
            <w:left w:val="none" w:sz="0" w:space="0" w:color="auto"/>
            <w:bottom w:val="none" w:sz="0" w:space="0" w:color="auto"/>
            <w:right w:val="none" w:sz="0" w:space="0" w:color="auto"/>
          </w:divBdr>
        </w:div>
        <w:div w:id="713504665">
          <w:marLeft w:val="0"/>
          <w:marRight w:val="0"/>
          <w:marTop w:val="0"/>
          <w:marBottom w:val="0"/>
          <w:divBdr>
            <w:top w:val="none" w:sz="0" w:space="0" w:color="auto"/>
            <w:left w:val="none" w:sz="0" w:space="0" w:color="auto"/>
            <w:bottom w:val="none" w:sz="0" w:space="0" w:color="auto"/>
            <w:right w:val="none" w:sz="0" w:space="0" w:color="auto"/>
          </w:divBdr>
        </w:div>
        <w:div w:id="2133934685">
          <w:marLeft w:val="0"/>
          <w:marRight w:val="0"/>
          <w:marTop w:val="0"/>
          <w:marBottom w:val="0"/>
          <w:divBdr>
            <w:top w:val="none" w:sz="0" w:space="0" w:color="auto"/>
            <w:left w:val="none" w:sz="0" w:space="0" w:color="auto"/>
            <w:bottom w:val="none" w:sz="0" w:space="0" w:color="auto"/>
            <w:right w:val="none" w:sz="0" w:space="0" w:color="auto"/>
          </w:divBdr>
        </w:div>
        <w:div w:id="204608639">
          <w:marLeft w:val="0"/>
          <w:marRight w:val="0"/>
          <w:marTop w:val="0"/>
          <w:marBottom w:val="0"/>
          <w:divBdr>
            <w:top w:val="none" w:sz="0" w:space="0" w:color="auto"/>
            <w:left w:val="none" w:sz="0" w:space="0" w:color="auto"/>
            <w:bottom w:val="none" w:sz="0" w:space="0" w:color="auto"/>
            <w:right w:val="none" w:sz="0" w:space="0" w:color="auto"/>
          </w:divBdr>
        </w:div>
        <w:div w:id="1203707310">
          <w:marLeft w:val="0"/>
          <w:marRight w:val="0"/>
          <w:marTop w:val="0"/>
          <w:marBottom w:val="0"/>
          <w:divBdr>
            <w:top w:val="none" w:sz="0" w:space="0" w:color="auto"/>
            <w:left w:val="none" w:sz="0" w:space="0" w:color="auto"/>
            <w:bottom w:val="none" w:sz="0" w:space="0" w:color="auto"/>
            <w:right w:val="none" w:sz="0" w:space="0" w:color="auto"/>
          </w:divBdr>
        </w:div>
        <w:div w:id="643006086">
          <w:marLeft w:val="0"/>
          <w:marRight w:val="0"/>
          <w:marTop w:val="0"/>
          <w:marBottom w:val="0"/>
          <w:divBdr>
            <w:top w:val="none" w:sz="0" w:space="0" w:color="auto"/>
            <w:left w:val="none" w:sz="0" w:space="0" w:color="auto"/>
            <w:bottom w:val="none" w:sz="0" w:space="0" w:color="auto"/>
            <w:right w:val="none" w:sz="0" w:space="0" w:color="auto"/>
          </w:divBdr>
        </w:div>
        <w:div w:id="2039156974">
          <w:marLeft w:val="0"/>
          <w:marRight w:val="0"/>
          <w:marTop w:val="0"/>
          <w:marBottom w:val="0"/>
          <w:divBdr>
            <w:top w:val="none" w:sz="0" w:space="0" w:color="auto"/>
            <w:left w:val="none" w:sz="0" w:space="0" w:color="auto"/>
            <w:bottom w:val="none" w:sz="0" w:space="0" w:color="auto"/>
            <w:right w:val="none" w:sz="0" w:space="0" w:color="auto"/>
          </w:divBdr>
        </w:div>
        <w:div w:id="389840503">
          <w:marLeft w:val="0"/>
          <w:marRight w:val="0"/>
          <w:marTop w:val="0"/>
          <w:marBottom w:val="0"/>
          <w:divBdr>
            <w:top w:val="none" w:sz="0" w:space="0" w:color="auto"/>
            <w:left w:val="none" w:sz="0" w:space="0" w:color="auto"/>
            <w:bottom w:val="none" w:sz="0" w:space="0" w:color="auto"/>
            <w:right w:val="none" w:sz="0" w:space="0" w:color="auto"/>
          </w:divBdr>
        </w:div>
        <w:div w:id="1535655316">
          <w:marLeft w:val="0"/>
          <w:marRight w:val="0"/>
          <w:marTop w:val="0"/>
          <w:marBottom w:val="0"/>
          <w:divBdr>
            <w:top w:val="none" w:sz="0" w:space="0" w:color="auto"/>
            <w:left w:val="none" w:sz="0" w:space="0" w:color="auto"/>
            <w:bottom w:val="none" w:sz="0" w:space="0" w:color="auto"/>
            <w:right w:val="none" w:sz="0" w:space="0" w:color="auto"/>
          </w:divBdr>
        </w:div>
        <w:div w:id="1920289401">
          <w:marLeft w:val="0"/>
          <w:marRight w:val="0"/>
          <w:marTop w:val="0"/>
          <w:marBottom w:val="0"/>
          <w:divBdr>
            <w:top w:val="none" w:sz="0" w:space="0" w:color="auto"/>
            <w:left w:val="none" w:sz="0" w:space="0" w:color="auto"/>
            <w:bottom w:val="none" w:sz="0" w:space="0" w:color="auto"/>
            <w:right w:val="none" w:sz="0" w:space="0" w:color="auto"/>
          </w:divBdr>
        </w:div>
        <w:div w:id="316804402">
          <w:marLeft w:val="0"/>
          <w:marRight w:val="0"/>
          <w:marTop w:val="0"/>
          <w:marBottom w:val="0"/>
          <w:divBdr>
            <w:top w:val="none" w:sz="0" w:space="0" w:color="auto"/>
            <w:left w:val="none" w:sz="0" w:space="0" w:color="auto"/>
            <w:bottom w:val="none" w:sz="0" w:space="0" w:color="auto"/>
            <w:right w:val="none" w:sz="0" w:space="0" w:color="auto"/>
          </w:divBdr>
        </w:div>
        <w:div w:id="832643645">
          <w:marLeft w:val="0"/>
          <w:marRight w:val="0"/>
          <w:marTop w:val="0"/>
          <w:marBottom w:val="0"/>
          <w:divBdr>
            <w:top w:val="none" w:sz="0" w:space="0" w:color="auto"/>
            <w:left w:val="none" w:sz="0" w:space="0" w:color="auto"/>
            <w:bottom w:val="none" w:sz="0" w:space="0" w:color="auto"/>
            <w:right w:val="none" w:sz="0" w:space="0" w:color="auto"/>
          </w:divBdr>
        </w:div>
        <w:div w:id="396972656">
          <w:marLeft w:val="0"/>
          <w:marRight w:val="0"/>
          <w:marTop w:val="0"/>
          <w:marBottom w:val="0"/>
          <w:divBdr>
            <w:top w:val="none" w:sz="0" w:space="0" w:color="auto"/>
            <w:left w:val="none" w:sz="0" w:space="0" w:color="auto"/>
            <w:bottom w:val="none" w:sz="0" w:space="0" w:color="auto"/>
            <w:right w:val="none" w:sz="0" w:space="0" w:color="auto"/>
          </w:divBdr>
        </w:div>
        <w:div w:id="1043022568">
          <w:marLeft w:val="0"/>
          <w:marRight w:val="0"/>
          <w:marTop w:val="0"/>
          <w:marBottom w:val="0"/>
          <w:divBdr>
            <w:top w:val="none" w:sz="0" w:space="0" w:color="auto"/>
            <w:left w:val="none" w:sz="0" w:space="0" w:color="auto"/>
            <w:bottom w:val="none" w:sz="0" w:space="0" w:color="auto"/>
            <w:right w:val="none" w:sz="0" w:space="0" w:color="auto"/>
          </w:divBdr>
        </w:div>
        <w:div w:id="1277637944">
          <w:marLeft w:val="0"/>
          <w:marRight w:val="0"/>
          <w:marTop w:val="0"/>
          <w:marBottom w:val="0"/>
          <w:divBdr>
            <w:top w:val="none" w:sz="0" w:space="0" w:color="auto"/>
            <w:left w:val="none" w:sz="0" w:space="0" w:color="auto"/>
            <w:bottom w:val="none" w:sz="0" w:space="0" w:color="auto"/>
            <w:right w:val="none" w:sz="0" w:space="0" w:color="auto"/>
          </w:divBdr>
        </w:div>
        <w:div w:id="1023290714">
          <w:marLeft w:val="0"/>
          <w:marRight w:val="0"/>
          <w:marTop w:val="0"/>
          <w:marBottom w:val="0"/>
          <w:divBdr>
            <w:top w:val="none" w:sz="0" w:space="0" w:color="auto"/>
            <w:left w:val="none" w:sz="0" w:space="0" w:color="auto"/>
            <w:bottom w:val="none" w:sz="0" w:space="0" w:color="auto"/>
            <w:right w:val="none" w:sz="0" w:space="0" w:color="auto"/>
          </w:divBdr>
        </w:div>
        <w:div w:id="1746107068">
          <w:marLeft w:val="0"/>
          <w:marRight w:val="0"/>
          <w:marTop w:val="0"/>
          <w:marBottom w:val="0"/>
          <w:divBdr>
            <w:top w:val="none" w:sz="0" w:space="0" w:color="auto"/>
            <w:left w:val="none" w:sz="0" w:space="0" w:color="auto"/>
            <w:bottom w:val="none" w:sz="0" w:space="0" w:color="auto"/>
            <w:right w:val="none" w:sz="0" w:space="0" w:color="auto"/>
          </w:divBdr>
        </w:div>
        <w:div w:id="745616242">
          <w:marLeft w:val="0"/>
          <w:marRight w:val="0"/>
          <w:marTop w:val="0"/>
          <w:marBottom w:val="0"/>
          <w:divBdr>
            <w:top w:val="none" w:sz="0" w:space="0" w:color="auto"/>
            <w:left w:val="none" w:sz="0" w:space="0" w:color="auto"/>
            <w:bottom w:val="none" w:sz="0" w:space="0" w:color="auto"/>
            <w:right w:val="none" w:sz="0" w:space="0" w:color="auto"/>
          </w:divBdr>
        </w:div>
        <w:div w:id="710424370">
          <w:marLeft w:val="0"/>
          <w:marRight w:val="0"/>
          <w:marTop w:val="0"/>
          <w:marBottom w:val="0"/>
          <w:divBdr>
            <w:top w:val="none" w:sz="0" w:space="0" w:color="auto"/>
            <w:left w:val="none" w:sz="0" w:space="0" w:color="auto"/>
            <w:bottom w:val="none" w:sz="0" w:space="0" w:color="auto"/>
            <w:right w:val="none" w:sz="0" w:space="0" w:color="auto"/>
          </w:divBdr>
        </w:div>
        <w:div w:id="473374508">
          <w:marLeft w:val="0"/>
          <w:marRight w:val="0"/>
          <w:marTop w:val="0"/>
          <w:marBottom w:val="0"/>
          <w:divBdr>
            <w:top w:val="none" w:sz="0" w:space="0" w:color="auto"/>
            <w:left w:val="none" w:sz="0" w:space="0" w:color="auto"/>
            <w:bottom w:val="none" w:sz="0" w:space="0" w:color="auto"/>
            <w:right w:val="none" w:sz="0" w:space="0" w:color="auto"/>
          </w:divBdr>
        </w:div>
        <w:div w:id="2123959464">
          <w:marLeft w:val="0"/>
          <w:marRight w:val="0"/>
          <w:marTop w:val="0"/>
          <w:marBottom w:val="0"/>
          <w:divBdr>
            <w:top w:val="none" w:sz="0" w:space="0" w:color="auto"/>
            <w:left w:val="none" w:sz="0" w:space="0" w:color="auto"/>
            <w:bottom w:val="none" w:sz="0" w:space="0" w:color="auto"/>
            <w:right w:val="none" w:sz="0" w:space="0" w:color="auto"/>
          </w:divBdr>
        </w:div>
        <w:div w:id="486677023">
          <w:marLeft w:val="0"/>
          <w:marRight w:val="0"/>
          <w:marTop w:val="0"/>
          <w:marBottom w:val="0"/>
          <w:divBdr>
            <w:top w:val="none" w:sz="0" w:space="0" w:color="auto"/>
            <w:left w:val="none" w:sz="0" w:space="0" w:color="auto"/>
            <w:bottom w:val="none" w:sz="0" w:space="0" w:color="auto"/>
            <w:right w:val="none" w:sz="0" w:space="0" w:color="auto"/>
          </w:divBdr>
        </w:div>
        <w:div w:id="541795081">
          <w:marLeft w:val="0"/>
          <w:marRight w:val="0"/>
          <w:marTop w:val="0"/>
          <w:marBottom w:val="0"/>
          <w:divBdr>
            <w:top w:val="none" w:sz="0" w:space="0" w:color="auto"/>
            <w:left w:val="none" w:sz="0" w:space="0" w:color="auto"/>
            <w:bottom w:val="none" w:sz="0" w:space="0" w:color="auto"/>
            <w:right w:val="none" w:sz="0" w:space="0" w:color="auto"/>
          </w:divBdr>
        </w:div>
        <w:div w:id="376976323">
          <w:marLeft w:val="0"/>
          <w:marRight w:val="0"/>
          <w:marTop w:val="0"/>
          <w:marBottom w:val="0"/>
          <w:divBdr>
            <w:top w:val="none" w:sz="0" w:space="0" w:color="auto"/>
            <w:left w:val="none" w:sz="0" w:space="0" w:color="auto"/>
            <w:bottom w:val="none" w:sz="0" w:space="0" w:color="auto"/>
            <w:right w:val="none" w:sz="0" w:space="0" w:color="auto"/>
          </w:divBdr>
        </w:div>
        <w:div w:id="1573660958">
          <w:marLeft w:val="0"/>
          <w:marRight w:val="0"/>
          <w:marTop w:val="0"/>
          <w:marBottom w:val="0"/>
          <w:divBdr>
            <w:top w:val="none" w:sz="0" w:space="0" w:color="auto"/>
            <w:left w:val="none" w:sz="0" w:space="0" w:color="auto"/>
            <w:bottom w:val="none" w:sz="0" w:space="0" w:color="auto"/>
            <w:right w:val="none" w:sz="0" w:space="0" w:color="auto"/>
          </w:divBdr>
        </w:div>
        <w:div w:id="1762867728">
          <w:marLeft w:val="0"/>
          <w:marRight w:val="0"/>
          <w:marTop w:val="0"/>
          <w:marBottom w:val="0"/>
          <w:divBdr>
            <w:top w:val="none" w:sz="0" w:space="0" w:color="auto"/>
            <w:left w:val="none" w:sz="0" w:space="0" w:color="auto"/>
            <w:bottom w:val="none" w:sz="0" w:space="0" w:color="auto"/>
            <w:right w:val="none" w:sz="0" w:space="0" w:color="auto"/>
          </w:divBdr>
        </w:div>
        <w:div w:id="121534766">
          <w:marLeft w:val="0"/>
          <w:marRight w:val="0"/>
          <w:marTop w:val="0"/>
          <w:marBottom w:val="0"/>
          <w:divBdr>
            <w:top w:val="none" w:sz="0" w:space="0" w:color="auto"/>
            <w:left w:val="none" w:sz="0" w:space="0" w:color="auto"/>
            <w:bottom w:val="none" w:sz="0" w:space="0" w:color="auto"/>
            <w:right w:val="none" w:sz="0" w:space="0" w:color="auto"/>
          </w:divBdr>
        </w:div>
        <w:div w:id="333840901">
          <w:marLeft w:val="0"/>
          <w:marRight w:val="0"/>
          <w:marTop w:val="0"/>
          <w:marBottom w:val="0"/>
          <w:divBdr>
            <w:top w:val="none" w:sz="0" w:space="0" w:color="auto"/>
            <w:left w:val="none" w:sz="0" w:space="0" w:color="auto"/>
            <w:bottom w:val="none" w:sz="0" w:space="0" w:color="auto"/>
            <w:right w:val="none" w:sz="0" w:space="0" w:color="auto"/>
          </w:divBdr>
        </w:div>
        <w:div w:id="238095726">
          <w:marLeft w:val="0"/>
          <w:marRight w:val="0"/>
          <w:marTop w:val="0"/>
          <w:marBottom w:val="0"/>
          <w:divBdr>
            <w:top w:val="none" w:sz="0" w:space="0" w:color="auto"/>
            <w:left w:val="none" w:sz="0" w:space="0" w:color="auto"/>
            <w:bottom w:val="none" w:sz="0" w:space="0" w:color="auto"/>
            <w:right w:val="none" w:sz="0" w:space="0" w:color="auto"/>
          </w:divBdr>
        </w:div>
        <w:div w:id="1186556102">
          <w:marLeft w:val="0"/>
          <w:marRight w:val="0"/>
          <w:marTop w:val="0"/>
          <w:marBottom w:val="0"/>
          <w:divBdr>
            <w:top w:val="none" w:sz="0" w:space="0" w:color="auto"/>
            <w:left w:val="none" w:sz="0" w:space="0" w:color="auto"/>
            <w:bottom w:val="none" w:sz="0" w:space="0" w:color="auto"/>
            <w:right w:val="none" w:sz="0" w:space="0" w:color="auto"/>
          </w:divBdr>
        </w:div>
        <w:div w:id="442381054">
          <w:marLeft w:val="0"/>
          <w:marRight w:val="0"/>
          <w:marTop w:val="0"/>
          <w:marBottom w:val="0"/>
          <w:divBdr>
            <w:top w:val="none" w:sz="0" w:space="0" w:color="auto"/>
            <w:left w:val="none" w:sz="0" w:space="0" w:color="auto"/>
            <w:bottom w:val="none" w:sz="0" w:space="0" w:color="auto"/>
            <w:right w:val="none" w:sz="0" w:space="0" w:color="auto"/>
          </w:divBdr>
        </w:div>
        <w:div w:id="1673410255">
          <w:marLeft w:val="0"/>
          <w:marRight w:val="0"/>
          <w:marTop w:val="0"/>
          <w:marBottom w:val="0"/>
          <w:divBdr>
            <w:top w:val="none" w:sz="0" w:space="0" w:color="auto"/>
            <w:left w:val="none" w:sz="0" w:space="0" w:color="auto"/>
            <w:bottom w:val="none" w:sz="0" w:space="0" w:color="auto"/>
            <w:right w:val="none" w:sz="0" w:space="0" w:color="auto"/>
          </w:divBdr>
        </w:div>
        <w:div w:id="720396843">
          <w:marLeft w:val="0"/>
          <w:marRight w:val="0"/>
          <w:marTop w:val="0"/>
          <w:marBottom w:val="0"/>
          <w:divBdr>
            <w:top w:val="none" w:sz="0" w:space="0" w:color="auto"/>
            <w:left w:val="none" w:sz="0" w:space="0" w:color="auto"/>
            <w:bottom w:val="none" w:sz="0" w:space="0" w:color="auto"/>
            <w:right w:val="none" w:sz="0" w:space="0" w:color="auto"/>
          </w:divBdr>
        </w:div>
        <w:div w:id="1007245411">
          <w:marLeft w:val="0"/>
          <w:marRight w:val="0"/>
          <w:marTop w:val="0"/>
          <w:marBottom w:val="0"/>
          <w:divBdr>
            <w:top w:val="none" w:sz="0" w:space="0" w:color="auto"/>
            <w:left w:val="none" w:sz="0" w:space="0" w:color="auto"/>
            <w:bottom w:val="none" w:sz="0" w:space="0" w:color="auto"/>
            <w:right w:val="none" w:sz="0" w:space="0" w:color="auto"/>
          </w:divBdr>
        </w:div>
        <w:div w:id="1801532460">
          <w:marLeft w:val="0"/>
          <w:marRight w:val="0"/>
          <w:marTop w:val="0"/>
          <w:marBottom w:val="0"/>
          <w:divBdr>
            <w:top w:val="none" w:sz="0" w:space="0" w:color="auto"/>
            <w:left w:val="none" w:sz="0" w:space="0" w:color="auto"/>
            <w:bottom w:val="none" w:sz="0" w:space="0" w:color="auto"/>
            <w:right w:val="none" w:sz="0" w:space="0" w:color="auto"/>
          </w:divBdr>
        </w:div>
        <w:div w:id="345525333">
          <w:marLeft w:val="0"/>
          <w:marRight w:val="0"/>
          <w:marTop w:val="0"/>
          <w:marBottom w:val="0"/>
          <w:divBdr>
            <w:top w:val="none" w:sz="0" w:space="0" w:color="auto"/>
            <w:left w:val="none" w:sz="0" w:space="0" w:color="auto"/>
            <w:bottom w:val="none" w:sz="0" w:space="0" w:color="auto"/>
            <w:right w:val="none" w:sz="0" w:space="0" w:color="auto"/>
          </w:divBdr>
        </w:div>
        <w:div w:id="2039814480">
          <w:marLeft w:val="0"/>
          <w:marRight w:val="0"/>
          <w:marTop w:val="0"/>
          <w:marBottom w:val="0"/>
          <w:divBdr>
            <w:top w:val="none" w:sz="0" w:space="0" w:color="auto"/>
            <w:left w:val="none" w:sz="0" w:space="0" w:color="auto"/>
            <w:bottom w:val="none" w:sz="0" w:space="0" w:color="auto"/>
            <w:right w:val="none" w:sz="0" w:space="0" w:color="auto"/>
          </w:divBdr>
        </w:div>
        <w:div w:id="729303973">
          <w:marLeft w:val="0"/>
          <w:marRight w:val="0"/>
          <w:marTop w:val="0"/>
          <w:marBottom w:val="0"/>
          <w:divBdr>
            <w:top w:val="none" w:sz="0" w:space="0" w:color="auto"/>
            <w:left w:val="none" w:sz="0" w:space="0" w:color="auto"/>
            <w:bottom w:val="none" w:sz="0" w:space="0" w:color="auto"/>
            <w:right w:val="none" w:sz="0" w:space="0" w:color="auto"/>
          </w:divBdr>
        </w:div>
        <w:div w:id="507257884">
          <w:marLeft w:val="0"/>
          <w:marRight w:val="0"/>
          <w:marTop w:val="0"/>
          <w:marBottom w:val="0"/>
          <w:divBdr>
            <w:top w:val="none" w:sz="0" w:space="0" w:color="auto"/>
            <w:left w:val="none" w:sz="0" w:space="0" w:color="auto"/>
            <w:bottom w:val="none" w:sz="0" w:space="0" w:color="auto"/>
            <w:right w:val="none" w:sz="0" w:space="0" w:color="auto"/>
          </w:divBdr>
        </w:div>
        <w:div w:id="1712611803">
          <w:marLeft w:val="0"/>
          <w:marRight w:val="0"/>
          <w:marTop w:val="0"/>
          <w:marBottom w:val="0"/>
          <w:divBdr>
            <w:top w:val="none" w:sz="0" w:space="0" w:color="auto"/>
            <w:left w:val="none" w:sz="0" w:space="0" w:color="auto"/>
            <w:bottom w:val="none" w:sz="0" w:space="0" w:color="auto"/>
            <w:right w:val="none" w:sz="0" w:space="0" w:color="auto"/>
          </w:divBdr>
        </w:div>
        <w:div w:id="770124359">
          <w:marLeft w:val="0"/>
          <w:marRight w:val="0"/>
          <w:marTop w:val="0"/>
          <w:marBottom w:val="0"/>
          <w:divBdr>
            <w:top w:val="none" w:sz="0" w:space="0" w:color="auto"/>
            <w:left w:val="none" w:sz="0" w:space="0" w:color="auto"/>
            <w:bottom w:val="none" w:sz="0" w:space="0" w:color="auto"/>
            <w:right w:val="none" w:sz="0" w:space="0" w:color="auto"/>
          </w:divBdr>
        </w:div>
        <w:div w:id="2097439286">
          <w:marLeft w:val="0"/>
          <w:marRight w:val="0"/>
          <w:marTop w:val="0"/>
          <w:marBottom w:val="0"/>
          <w:divBdr>
            <w:top w:val="none" w:sz="0" w:space="0" w:color="auto"/>
            <w:left w:val="none" w:sz="0" w:space="0" w:color="auto"/>
            <w:bottom w:val="none" w:sz="0" w:space="0" w:color="auto"/>
            <w:right w:val="none" w:sz="0" w:space="0" w:color="auto"/>
          </w:divBdr>
        </w:div>
        <w:div w:id="1284381170">
          <w:marLeft w:val="0"/>
          <w:marRight w:val="0"/>
          <w:marTop w:val="0"/>
          <w:marBottom w:val="0"/>
          <w:divBdr>
            <w:top w:val="none" w:sz="0" w:space="0" w:color="auto"/>
            <w:left w:val="none" w:sz="0" w:space="0" w:color="auto"/>
            <w:bottom w:val="none" w:sz="0" w:space="0" w:color="auto"/>
            <w:right w:val="none" w:sz="0" w:space="0" w:color="auto"/>
          </w:divBdr>
        </w:div>
        <w:div w:id="1905678512">
          <w:marLeft w:val="0"/>
          <w:marRight w:val="0"/>
          <w:marTop w:val="0"/>
          <w:marBottom w:val="0"/>
          <w:divBdr>
            <w:top w:val="none" w:sz="0" w:space="0" w:color="auto"/>
            <w:left w:val="none" w:sz="0" w:space="0" w:color="auto"/>
            <w:bottom w:val="none" w:sz="0" w:space="0" w:color="auto"/>
            <w:right w:val="none" w:sz="0" w:space="0" w:color="auto"/>
          </w:divBdr>
        </w:div>
        <w:div w:id="140776117">
          <w:marLeft w:val="0"/>
          <w:marRight w:val="0"/>
          <w:marTop w:val="0"/>
          <w:marBottom w:val="0"/>
          <w:divBdr>
            <w:top w:val="none" w:sz="0" w:space="0" w:color="auto"/>
            <w:left w:val="none" w:sz="0" w:space="0" w:color="auto"/>
            <w:bottom w:val="none" w:sz="0" w:space="0" w:color="auto"/>
            <w:right w:val="none" w:sz="0" w:space="0" w:color="auto"/>
          </w:divBdr>
        </w:div>
        <w:div w:id="1163932877">
          <w:marLeft w:val="0"/>
          <w:marRight w:val="0"/>
          <w:marTop w:val="0"/>
          <w:marBottom w:val="0"/>
          <w:divBdr>
            <w:top w:val="none" w:sz="0" w:space="0" w:color="auto"/>
            <w:left w:val="none" w:sz="0" w:space="0" w:color="auto"/>
            <w:bottom w:val="none" w:sz="0" w:space="0" w:color="auto"/>
            <w:right w:val="none" w:sz="0" w:space="0" w:color="auto"/>
          </w:divBdr>
        </w:div>
        <w:div w:id="714938022">
          <w:marLeft w:val="0"/>
          <w:marRight w:val="0"/>
          <w:marTop w:val="0"/>
          <w:marBottom w:val="0"/>
          <w:divBdr>
            <w:top w:val="none" w:sz="0" w:space="0" w:color="auto"/>
            <w:left w:val="none" w:sz="0" w:space="0" w:color="auto"/>
            <w:bottom w:val="none" w:sz="0" w:space="0" w:color="auto"/>
            <w:right w:val="none" w:sz="0" w:space="0" w:color="auto"/>
          </w:divBdr>
        </w:div>
        <w:div w:id="1554996526">
          <w:marLeft w:val="0"/>
          <w:marRight w:val="0"/>
          <w:marTop w:val="0"/>
          <w:marBottom w:val="0"/>
          <w:divBdr>
            <w:top w:val="none" w:sz="0" w:space="0" w:color="auto"/>
            <w:left w:val="none" w:sz="0" w:space="0" w:color="auto"/>
            <w:bottom w:val="none" w:sz="0" w:space="0" w:color="auto"/>
            <w:right w:val="none" w:sz="0" w:space="0" w:color="auto"/>
          </w:divBdr>
        </w:div>
        <w:div w:id="1467695979">
          <w:marLeft w:val="0"/>
          <w:marRight w:val="0"/>
          <w:marTop w:val="0"/>
          <w:marBottom w:val="0"/>
          <w:divBdr>
            <w:top w:val="none" w:sz="0" w:space="0" w:color="auto"/>
            <w:left w:val="none" w:sz="0" w:space="0" w:color="auto"/>
            <w:bottom w:val="none" w:sz="0" w:space="0" w:color="auto"/>
            <w:right w:val="none" w:sz="0" w:space="0" w:color="auto"/>
          </w:divBdr>
        </w:div>
        <w:div w:id="1857647667">
          <w:marLeft w:val="0"/>
          <w:marRight w:val="0"/>
          <w:marTop w:val="0"/>
          <w:marBottom w:val="0"/>
          <w:divBdr>
            <w:top w:val="none" w:sz="0" w:space="0" w:color="auto"/>
            <w:left w:val="none" w:sz="0" w:space="0" w:color="auto"/>
            <w:bottom w:val="none" w:sz="0" w:space="0" w:color="auto"/>
            <w:right w:val="none" w:sz="0" w:space="0" w:color="auto"/>
          </w:divBdr>
        </w:div>
        <w:div w:id="11732896">
          <w:marLeft w:val="0"/>
          <w:marRight w:val="0"/>
          <w:marTop w:val="0"/>
          <w:marBottom w:val="0"/>
          <w:divBdr>
            <w:top w:val="none" w:sz="0" w:space="0" w:color="auto"/>
            <w:left w:val="none" w:sz="0" w:space="0" w:color="auto"/>
            <w:bottom w:val="none" w:sz="0" w:space="0" w:color="auto"/>
            <w:right w:val="none" w:sz="0" w:space="0" w:color="auto"/>
          </w:divBdr>
        </w:div>
        <w:div w:id="326632542">
          <w:marLeft w:val="0"/>
          <w:marRight w:val="0"/>
          <w:marTop w:val="0"/>
          <w:marBottom w:val="0"/>
          <w:divBdr>
            <w:top w:val="none" w:sz="0" w:space="0" w:color="auto"/>
            <w:left w:val="none" w:sz="0" w:space="0" w:color="auto"/>
            <w:bottom w:val="none" w:sz="0" w:space="0" w:color="auto"/>
            <w:right w:val="none" w:sz="0" w:space="0" w:color="auto"/>
          </w:divBdr>
        </w:div>
        <w:div w:id="394400260">
          <w:marLeft w:val="0"/>
          <w:marRight w:val="0"/>
          <w:marTop w:val="0"/>
          <w:marBottom w:val="0"/>
          <w:divBdr>
            <w:top w:val="none" w:sz="0" w:space="0" w:color="auto"/>
            <w:left w:val="none" w:sz="0" w:space="0" w:color="auto"/>
            <w:bottom w:val="none" w:sz="0" w:space="0" w:color="auto"/>
            <w:right w:val="none" w:sz="0" w:space="0" w:color="auto"/>
          </w:divBdr>
        </w:div>
        <w:div w:id="528030966">
          <w:marLeft w:val="0"/>
          <w:marRight w:val="0"/>
          <w:marTop w:val="0"/>
          <w:marBottom w:val="0"/>
          <w:divBdr>
            <w:top w:val="none" w:sz="0" w:space="0" w:color="auto"/>
            <w:left w:val="none" w:sz="0" w:space="0" w:color="auto"/>
            <w:bottom w:val="none" w:sz="0" w:space="0" w:color="auto"/>
            <w:right w:val="none" w:sz="0" w:space="0" w:color="auto"/>
          </w:divBdr>
        </w:div>
        <w:div w:id="163472516">
          <w:marLeft w:val="0"/>
          <w:marRight w:val="0"/>
          <w:marTop w:val="0"/>
          <w:marBottom w:val="0"/>
          <w:divBdr>
            <w:top w:val="none" w:sz="0" w:space="0" w:color="auto"/>
            <w:left w:val="none" w:sz="0" w:space="0" w:color="auto"/>
            <w:bottom w:val="none" w:sz="0" w:space="0" w:color="auto"/>
            <w:right w:val="none" w:sz="0" w:space="0" w:color="auto"/>
          </w:divBdr>
        </w:div>
        <w:div w:id="831145318">
          <w:marLeft w:val="0"/>
          <w:marRight w:val="0"/>
          <w:marTop w:val="0"/>
          <w:marBottom w:val="0"/>
          <w:divBdr>
            <w:top w:val="none" w:sz="0" w:space="0" w:color="auto"/>
            <w:left w:val="none" w:sz="0" w:space="0" w:color="auto"/>
            <w:bottom w:val="none" w:sz="0" w:space="0" w:color="auto"/>
            <w:right w:val="none" w:sz="0" w:space="0" w:color="auto"/>
          </w:divBdr>
        </w:div>
        <w:div w:id="38210958">
          <w:marLeft w:val="0"/>
          <w:marRight w:val="0"/>
          <w:marTop w:val="0"/>
          <w:marBottom w:val="0"/>
          <w:divBdr>
            <w:top w:val="none" w:sz="0" w:space="0" w:color="auto"/>
            <w:left w:val="none" w:sz="0" w:space="0" w:color="auto"/>
            <w:bottom w:val="none" w:sz="0" w:space="0" w:color="auto"/>
            <w:right w:val="none" w:sz="0" w:space="0" w:color="auto"/>
          </w:divBdr>
        </w:div>
        <w:div w:id="61374281">
          <w:marLeft w:val="0"/>
          <w:marRight w:val="0"/>
          <w:marTop w:val="0"/>
          <w:marBottom w:val="0"/>
          <w:divBdr>
            <w:top w:val="none" w:sz="0" w:space="0" w:color="auto"/>
            <w:left w:val="none" w:sz="0" w:space="0" w:color="auto"/>
            <w:bottom w:val="none" w:sz="0" w:space="0" w:color="auto"/>
            <w:right w:val="none" w:sz="0" w:space="0" w:color="auto"/>
          </w:divBdr>
        </w:div>
        <w:div w:id="1192572920">
          <w:marLeft w:val="0"/>
          <w:marRight w:val="0"/>
          <w:marTop w:val="0"/>
          <w:marBottom w:val="0"/>
          <w:divBdr>
            <w:top w:val="none" w:sz="0" w:space="0" w:color="auto"/>
            <w:left w:val="none" w:sz="0" w:space="0" w:color="auto"/>
            <w:bottom w:val="none" w:sz="0" w:space="0" w:color="auto"/>
            <w:right w:val="none" w:sz="0" w:space="0" w:color="auto"/>
          </w:divBdr>
        </w:div>
        <w:div w:id="1317223948">
          <w:marLeft w:val="0"/>
          <w:marRight w:val="0"/>
          <w:marTop w:val="0"/>
          <w:marBottom w:val="0"/>
          <w:divBdr>
            <w:top w:val="none" w:sz="0" w:space="0" w:color="auto"/>
            <w:left w:val="none" w:sz="0" w:space="0" w:color="auto"/>
            <w:bottom w:val="none" w:sz="0" w:space="0" w:color="auto"/>
            <w:right w:val="none" w:sz="0" w:space="0" w:color="auto"/>
          </w:divBdr>
        </w:div>
        <w:div w:id="1561555013">
          <w:marLeft w:val="0"/>
          <w:marRight w:val="0"/>
          <w:marTop w:val="0"/>
          <w:marBottom w:val="0"/>
          <w:divBdr>
            <w:top w:val="none" w:sz="0" w:space="0" w:color="auto"/>
            <w:left w:val="none" w:sz="0" w:space="0" w:color="auto"/>
            <w:bottom w:val="none" w:sz="0" w:space="0" w:color="auto"/>
            <w:right w:val="none" w:sz="0" w:space="0" w:color="auto"/>
          </w:divBdr>
        </w:div>
        <w:div w:id="759984863">
          <w:marLeft w:val="0"/>
          <w:marRight w:val="0"/>
          <w:marTop w:val="0"/>
          <w:marBottom w:val="0"/>
          <w:divBdr>
            <w:top w:val="none" w:sz="0" w:space="0" w:color="auto"/>
            <w:left w:val="none" w:sz="0" w:space="0" w:color="auto"/>
            <w:bottom w:val="none" w:sz="0" w:space="0" w:color="auto"/>
            <w:right w:val="none" w:sz="0" w:space="0" w:color="auto"/>
          </w:divBdr>
        </w:div>
        <w:div w:id="2018771323">
          <w:marLeft w:val="0"/>
          <w:marRight w:val="0"/>
          <w:marTop w:val="0"/>
          <w:marBottom w:val="0"/>
          <w:divBdr>
            <w:top w:val="none" w:sz="0" w:space="0" w:color="auto"/>
            <w:left w:val="none" w:sz="0" w:space="0" w:color="auto"/>
            <w:bottom w:val="none" w:sz="0" w:space="0" w:color="auto"/>
            <w:right w:val="none" w:sz="0" w:space="0" w:color="auto"/>
          </w:divBdr>
        </w:div>
        <w:div w:id="1090783158">
          <w:marLeft w:val="0"/>
          <w:marRight w:val="0"/>
          <w:marTop w:val="0"/>
          <w:marBottom w:val="0"/>
          <w:divBdr>
            <w:top w:val="none" w:sz="0" w:space="0" w:color="auto"/>
            <w:left w:val="none" w:sz="0" w:space="0" w:color="auto"/>
            <w:bottom w:val="none" w:sz="0" w:space="0" w:color="auto"/>
            <w:right w:val="none" w:sz="0" w:space="0" w:color="auto"/>
          </w:divBdr>
        </w:div>
        <w:div w:id="1740593411">
          <w:marLeft w:val="0"/>
          <w:marRight w:val="0"/>
          <w:marTop w:val="0"/>
          <w:marBottom w:val="0"/>
          <w:divBdr>
            <w:top w:val="none" w:sz="0" w:space="0" w:color="auto"/>
            <w:left w:val="none" w:sz="0" w:space="0" w:color="auto"/>
            <w:bottom w:val="none" w:sz="0" w:space="0" w:color="auto"/>
            <w:right w:val="none" w:sz="0" w:space="0" w:color="auto"/>
          </w:divBdr>
        </w:div>
        <w:div w:id="1820415765">
          <w:marLeft w:val="0"/>
          <w:marRight w:val="0"/>
          <w:marTop w:val="0"/>
          <w:marBottom w:val="0"/>
          <w:divBdr>
            <w:top w:val="none" w:sz="0" w:space="0" w:color="auto"/>
            <w:left w:val="none" w:sz="0" w:space="0" w:color="auto"/>
            <w:bottom w:val="none" w:sz="0" w:space="0" w:color="auto"/>
            <w:right w:val="none" w:sz="0" w:space="0" w:color="auto"/>
          </w:divBdr>
        </w:div>
        <w:div w:id="1753620590">
          <w:marLeft w:val="0"/>
          <w:marRight w:val="0"/>
          <w:marTop w:val="0"/>
          <w:marBottom w:val="0"/>
          <w:divBdr>
            <w:top w:val="none" w:sz="0" w:space="0" w:color="auto"/>
            <w:left w:val="none" w:sz="0" w:space="0" w:color="auto"/>
            <w:bottom w:val="none" w:sz="0" w:space="0" w:color="auto"/>
            <w:right w:val="none" w:sz="0" w:space="0" w:color="auto"/>
          </w:divBdr>
        </w:div>
        <w:div w:id="1057513525">
          <w:marLeft w:val="0"/>
          <w:marRight w:val="0"/>
          <w:marTop w:val="0"/>
          <w:marBottom w:val="0"/>
          <w:divBdr>
            <w:top w:val="none" w:sz="0" w:space="0" w:color="auto"/>
            <w:left w:val="none" w:sz="0" w:space="0" w:color="auto"/>
            <w:bottom w:val="none" w:sz="0" w:space="0" w:color="auto"/>
            <w:right w:val="none" w:sz="0" w:space="0" w:color="auto"/>
          </w:divBdr>
        </w:div>
        <w:div w:id="1989896316">
          <w:marLeft w:val="0"/>
          <w:marRight w:val="0"/>
          <w:marTop w:val="0"/>
          <w:marBottom w:val="0"/>
          <w:divBdr>
            <w:top w:val="none" w:sz="0" w:space="0" w:color="auto"/>
            <w:left w:val="none" w:sz="0" w:space="0" w:color="auto"/>
            <w:bottom w:val="none" w:sz="0" w:space="0" w:color="auto"/>
            <w:right w:val="none" w:sz="0" w:space="0" w:color="auto"/>
          </w:divBdr>
        </w:div>
        <w:div w:id="364908524">
          <w:marLeft w:val="0"/>
          <w:marRight w:val="0"/>
          <w:marTop w:val="0"/>
          <w:marBottom w:val="0"/>
          <w:divBdr>
            <w:top w:val="none" w:sz="0" w:space="0" w:color="auto"/>
            <w:left w:val="none" w:sz="0" w:space="0" w:color="auto"/>
            <w:bottom w:val="none" w:sz="0" w:space="0" w:color="auto"/>
            <w:right w:val="none" w:sz="0" w:space="0" w:color="auto"/>
          </w:divBdr>
        </w:div>
        <w:div w:id="1452478263">
          <w:marLeft w:val="0"/>
          <w:marRight w:val="0"/>
          <w:marTop w:val="0"/>
          <w:marBottom w:val="0"/>
          <w:divBdr>
            <w:top w:val="none" w:sz="0" w:space="0" w:color="auto"/>
            <w:left w:val="none" w:sz="0" w:space="0" w:color="auto"/>
            <w:bottom w:val="none" w:sz="0" w:space="0" w:color="auto"/>
            <w:right w:val="none" w:sz="0" w:space="0" w:color="auto"/>
          </w:divBdr>
        </w:div>
        <w:div w:id="1219972145">
          <w:marLeft w:val="0"/>
          <w:marRight w:val="0"/>
          <w:marTop w:val="0"/>
          <w:marBottom w:val="0"/>
          <w:divBdr>
            <w:top w:val="none" w:sz="0" w:space="0" w:color="auto"/>
            <w:left w:val="none" w:sz="0" w:space="0" w:color="auto"/>
            <w:bottom w:val="none" w:sz="0" w:space="0" w:color="auto"/>
            <w:right w:val="none" w:sz="0" w:space="0" w:color="auto"/>
          </w:divBdr>
        </w:div>
        <w:div w:id="51925020">
          <w:marLeft w:val="0"/>
          <w:marRight w:val="0"/>
          <w:marTop w:val="0"/>
          <w:marBottom w:val="0"/>
          <w:divBdr>
            <w:top w:val="none" w:sz="0" w:space="0" w:color="auto"/>
            <w:left w:val="none" w:sz="0" w:space="0" w:color="auto"/>
            <w:bottom w:val="none" w:sz="0" w:space="0" w:color="auto"/>
            <w:right w:val="none" w:sz="0" w:space="0" w:color="auto"/>
          </w:divBdr>
        </w:div>
        <w:div w:id="180114233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fe7d2142-e419-4126-a637-d819bd2b26b4/wer10762-fig-0002-m.jpg"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onlinelibrary.wiley.com/cms/asset/60b77a1d-7d87-4928-bd16-077daac602b8/wer10762-fig-0006-m.jp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onlinelibrary.wiley.com/cms/asset/38bb14b5-b010-45bb-8456-9fd437d16624/wer10762-fig-0004-m.jpg" TargetMode="External"/><Relationship Id="rId25" Type="http://schemas.openxmlformats.org/officeDocument/2006/relationships/hyperlink" Target="https://onlinelibrary.wiley.com/action/downloadSupplement?doi=10.1002%2Fwer.10762&amp;file=wer10762-sup-0001-Suppinfo_latest.docx"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79f3736a-6503-4e4a-8fd7-9d226f1a5f64/wer10762-fig-0001-m.jpg" TargetMode="Externa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https://onlinelibrary.wiley.com/cms/asset/25123d59-d2a8-4bb0-be7e-6f348b6df1b3/wer10762-fig-0003-m.jpg" TargetMode="External"/><Relationship Id="rId23" Type="http://schemas.openxmlformats.org/officeDocument/2006/relationships/hyperlink" Target="https://onlinelibrary.wiley.com/cms/asset/d2f0f878-19e7-47ec-b62f-2290cc9aee32/wer10762-fig-0007-m.jpg" TargetMode="Externa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c2d55e2f-e263-4613-a218-dec511157b81/wer10762-fig-0005-m.jpg" TargetMode="External"/><Relationship Id="rId4" Type="http://schemas.openxmlformats.org/officeDocument/2006/relationships/customXml" Target="../customXml/item4.xml"/><Relationship Id="rId9" Type="http://schemas.openxmlformats.org/officeDocument/2006/relationships/hyperlink" Target="https://doi.org/10.1002/wer.10762" TargetMode="Externa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9772</Words>
  <Characters>55703</Characters>
  <Application>Microsoft Office Word</Application>
  <DocSecurity>8</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2023-04-19T18:28:00Z</dcterms:created>
  <dcterms:modified xsi:type="dcterms:W3CDTF">2023-04-19T19:31:00Z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