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5CDE0797" w:rsidR="000A7622" w:rsidRPr="00C04F25" w:rsidRDefault="00C36ABC" w:rsidP="00D14423">
      <w:pPr>
        <w:autoSpaceDE w:val="0"/>
        <w:autoSpaceDN w:val="0"/>
        <w:adjustRightInd w:val="0"/>
        <w:rPr>
          <w:rFonts w:cstheme="minorHAnsi"/>
          <w:b/>
          <w:bCs/>
          <w:i/>
          <w:iCs/>
          <w:sz w:val="32"/>
          <w:szCs w:val="32"/>
        </w:rPr>
      </w:pPr>
      <w:r>
        <w:rPr>
          <w:rFonts w:cstheme="minorHAnsi"/>
          <w:b/>
          <w:bCs/>
          <w:i/>
          <w:iCs/>
          <w:sz w:val="32"/>
          <w:szCs w:val="32"/>
        </w:rPr>
        <w:t xml:space="preserve">Management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 xml:space="preserve">Business </w:t>
      </w:r>
      <w:r w:rsidR="00AA541E">
        <w:rPr>
          <w:rFonts w:cstheme="minorHAnsi"/>
          <w:b/>
          <w:bCs/>
          <w:i/>
          <w:iCs/>
          <w:sz w:val="32"/>
          <w:szCs w:val="32"/>
        </w:rPr>
        <w:t>Administration</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076E8AAF" w:rsidR="000A7622" w:rsidRPr="00C04F25" w:rsidRDefault="005212C6" w:rsidP="00D14423">
      <w:pPr>
        <w:rPr>
          <w:rFonts w:cstheme="minorHAnsi"/>
          <w:sz w:val="24"/>
          <w:szCs w:val="24"/>
        </w:rPr>
      </w:pPr>
      <w:r>
        <w:rPr>
          <w:rFonts w:cstheme="minorHAnsi"/>
          <w:i/>
          <w:sz w:val="24"/>
          <w:szCs w:val="24"/>
          <w:lang w:val="fr-FR"/>
        </w:rPr>
        <w:t>Strategic Management Journal</w:t>
      </w:r>
      <w:r w:rsidR="000A7622" w:rsidRPr="00C04F25">
        <w:rPr>
          <w:rFonts w:cstheme="minorHAnsi"/>
          <w:sz w:val="24"/>
          <w:szCs w:val="24"/>
          <w:lang w:val="fr-FR"/>
        </w:rPr>
        <w:t xml:space="preserve">, Vol. </w:t>
      </w:r>
      <w:r>
        <w:rPr>
          <w:rFonts w:cstheme="minorHAnsi"/>
          <w:sz w:val="24"/>
          <w:szCs w:val="24"/>
          <w:lang w:val="fr-FR"/>
        </w:rPr>
        <w:t>33</w:t>
      </w:r>
      <w:r w:rsidR="000A7622" w:rsidRPr="00C04F25">
        <w:rPr>
          <w:rFonts w:cstheme="minorHAnsi"/>
          <w:sz w:val="24"/>
          <w:szCs w:val="24"/>
          <w:lang w:val="fr-FR"/>
        </w:rPr>
        <w:t xml:space="preserve">, No. </w:t>
      </w:r>
      <w:r>
        <w:rPr>
          <w:rFonts w:cstheme="minorHAnsi"/>
          <w:sz w:val="24"/>
          <w:szCs w:val="24"/>
          <w:lang w:val="fr-FR"/>
        </w:rPr>
        <w:t>9</w:t>
      </w:r>
      <w:r w:rsidR="000A7622" w:rsidRPr="00C04F25">
        <w:rPr>
          <w:rFonts w:cstheme="minorHAnsi"/>
          <w:sz w:val="24"/>
          <w:szCs w:val="24"/>
          <w:lang w:val="fr-FR"/>
        </w:rPr>
        <w:t xml:space="preserve"> (</w:t>
      </w:r>
      <w:r>
        <w:rPr>
          <w:rFonts w:cstheme="minorHAnsi"/>
          <w:sz w:val="24"/>
          <w:szCs w:val="24"/>
          <w:lang w:val="fr-FR"/>
        </w:rPr>
        <w:t>2012</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Pr>
          <w:rFonts w:cstheme="minorHAnsi"/>
          <w:sz w:val="24"/>
          <w:szCs w:val="24"/>
          <w:lang w:val="fr-FR"/>
        </w:rPr>
        <w:t>1037-1052</w:t>
      </w:r>
      <w:r w:rsidR="000A7622" w:rsidRPr="00C04F25">
        <w:rPr>
          <w:rFonts w:cstheme="minorHAnsi"/>
          <w:sz w:val="24"/>
          <w:szCs w:val="24"/>
          <w:lang w:val="fr-FR"/>
        </w:rPr>
        <w:t xml:space="preserve">. </w:t>
      </w:r>
      <w:hyperlink r:id="rId9"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Pr>
          <w:rFonts w:cstheme="minorHAnsi"/>
          <w:sz w:val="24"/>
          <w:szCs w:val="24"/>
        </w:rPr>
        <w:t xml:space="preserve">Wiley </w:t>
      </w:r>
      <w:r w:rsidR="000A7622" w:rsidRPr="00C04F25">
        <w:rPr>
          <w:rFonts w:cstheme="minorHAnsi"/>
          <w:sz w:val="24"/>
          <w:szCs w:val="24"/>
        </w:rPr>
        <w:t xml:space="preserve">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Pr>
          <w:rFonts w:cstheme="minorHAnsi"/>
          <w:sz w:val="24"/>
          <w:szCs w:val="24"/>
        </w:rPr>
        <w:t xml:space="preserve">Wiley </w:t>
      </w:r>
      <w:r w:rsidR="000A7622" w:rsidRPr="00C04F25">
        <w:rPr>
          <w:rFonts w:cstheme="minorHAnsi"/>
          <w:sz w:val="24"/>
          <w:szCs w:val="24"/>
        </w:rPr>
        <w:t>does not grant permission for this article to be further copied/distributed or hosted elsewhere without the express permission from</w:t>
      </w:r>
      <w:r>
        <w:rPr>
          <w:rFonts w:cstheme="minorHAnsi"/>
          <w:sz w:val="24"/>
          <w:szCs w:val="24"/>
        </w:rPr>
        <w:t xml:space="preserve"> Wiley</w:t>
      </w:r>
      <w:r w:rsidR="000A7622" w:rsidRPr="00C04F25">
        <w:rPr>
          <w:rFonts w:cstheme="minorHAnsi"/>
          <w:sz w:val="24"/>
          <w:szCs w:val="24"/>
        </w:rPr>
        <w:t xml:space="preserve">. </w:t>
      </w:r>
    </w:p>
    <w:bookmarkEnd w:id="1"/>
    <w:p w14:paraId="5BC0075B" w14:textId="3E066754" w:rsidR="000A7622" w:rsidRDefault="000A7622" w:rsidP="000A7622">
      <w:pPr>
        <w:rPr>
          <w:rFonts w:cstheme="minorHAnsi"/>
        </w:rPr>
      </w:pPr>
    </w:p>
    <w:p w14:paraId="16B6CE2C" w14:textId="687C1836" w:rsidR="00414591" w:rsidRDefault="00D121D1" w:rsidP="00D121D1">
      <w:pPr>
        <w:pStyle w:val="Title"/>
      </w:pPr>
      <w:r w:rsidRPr="00D121D1">
        <w:t xml:space="preserve">Exploring Firm Characteristics that Differentiate Leaders from Followers in Industry Merger Waves: </w:t>
      </w:r>
      <w:proofErr w:type="gramStart"/>
      <w:r w:rsidRPr="00D121D1">
        <w:t>a</w:t>
      </w:r>
      <w:proofErr w:type="gramEnd"/>
      <w:r w:rsidRPr="00D121D1">
        <w:t xml:space="preserve"> Competitive Dynamics Perspective</w:t>
      </w:r>
    </w:p>
    <w:p w14:paraId="2A360987" w14:textId="77777777" w:rsidR="00AA541E" w:rsidRPr="00AA541E" w:rsidRDefault="00AA541E" w:rsidP="00AA541E"/>
    <w:p w14:paraId="0ACC5D95" w14:textId="004FA4C2" w:rsidR="00D121D1" w:rsidRPr="00AA541E" w:rsidRDefault="00D121D1" w:rsidP="00AA541E">
      <w:pPr>
        <w:pStyle w:val="NoSpacing"/>
        <w:rPr>
          <w:sz w:val="32"/>
          <w:szCs w:val="32"/>
        </w:rPr>
      </w:pPr>
      <w:proofErr w:type="spellStart"/>
      <w:r w:rsidRPr="00AA541E">
        <w:rPr>
          <w:sz w:val="32"/>
          <w:szCs w:val="32"/>
        </w:rPr>
        <w:t>Jerayr</w:t>
      </w:r>
      <w:proofErr w:type="spellEnd"/>
      <w:r w:rsidRPr="00AA541E">
        <w:rPr>
          <w:sz w:val="32"/>
          <w:szCs w:val="32"/>
        </w:rPr>
        <w:t xml:space="preserve"> (John) </w:t>
      </w:r>
      <w:proofErr w:type="spellStart"/>
      <w:r w:rsidRPr="00AA541E">
        <w:rPr>
          <w:sz w:val="32"/>
          <w:szCs w:val="32"/>
        </w:rPr>
        <w:t>Haleblian</w:t>
      </w:r>
      <w:proofErr w:type="spellEnd"/>
      <w:r w:rsidRPr="00AA541E">
        <w:rPr>
          <w:sz w:val="32"/>
          <w:szCs w:val="32"/>
        </w:rPr>
        <w:t xml:space="preserve"> </w:t>
      </w:r>
    </w:p>
    <w:p w14:paraId="0A706592" w14:textId="478CCFA4" w:rsidR="00005F44" w:rsidRPr="00AA541E" w:rsidRDefault="00005F44" w:rsidP="00AA541E">
      <w:pPr>
        <w:pStyle w:val="NoSpacing"/>
        <w:rPr>
          <w:sz w:val="24"/>
          <w:szCs w:val="24"/>
        </w:rPr>
      </w:pPr>
      <w:r w:rsidRPr="00AA541E">
        <w:rPr>
          <w:sz w:val="24"/>
          <w:szCs w:val="24"/>
        </w:rPr>
        <w:t>Terry College of Business, University of Georgia, Athens, Georgia, U.S.A.</w:t>
      </w:r>
    </w:p>
    <w:p w14:paraId="07F37870" w14:textId="3FAA1291" w:rsidR="00D121D1" w:rsidRPr="00AA541E" w:rsidRDefault="00D121D1" w:rsidP="00AA541E">
      <w:pPr>
        <w:pStyle w:val="NoSpacing"/>
        <w:rPr>
          <w:sz w:val="32"/>
          <w:szCs w:val="32"/>
        </w:rPr>
      </w:pPr>
      <w:r w:rsidRPr="00AA541E">
        <w:rPr>
          <w:sz w:val="32"/>
          <w:szCs w:val="32"/>
        </w:rPr>
        <w:t xml:space="preserve">Gerry McNamara </w:t>
      </w:r>
    </w:p>
    <w:p w14:paraId="7A971C6A" w14:textId="3492177B" w:rsidR="00005F44" w:rsidRPr="00AA541E" w:rsidRDefault="00880CAF" w:rsidP="00AA541E">
      <w:pPr>
        <w:pStyle w:val="NoSpacing"/>
        <w:rPr>
          <w:sz w:val="24"/>
          <w:szCs w:val="24"/>
        </w:rPr>
      </w:pPr>
      <w:r w:rsidRPr="00AA541E">
        <w:rPr>
          <w:sz w:val="24"/>
          <w:szCs w:val="24"/>
        </w:rPr>
        <w:t>Broad Graduate School of Management, Michigan State University, East Lansing, Michigan, U.S.A.</w:t>
      </w:r>
    </w:p>
    <w:p w14:paraId="0B5DD682" w14:textId="22B6A3EB" w:rsidR="00D121D1" w:rsidRPr="00AA541E" w:rsidRDefault="00D121D1" w:rsidP="00AA541E">
      <w:pPr>
        <w:pStyle w:val="NoSpacing"/>
        <w:rPr>
          <w:sz w:val="32"/>
          <w:szCs w:val="32"/>
        </w:rPr>
      </w:pPr>
      <w:r w:rsidRPr="00AA541E">
        <w:rPr>
          <w:sz w:val="32"/>
          <w:szCs w:val="32"/>
        </w:rPr>
        <w:t xml:space="preserve">Kalin Kolev </w:t>
      </w:r>
    </w:p>
    <w:p w14:paraId="53BB40A4" w14:textId="23E014CF" w:rsidR="00880CAF" w:rsidRPr="00AA541E" w:rsidRDefault="00880CAF" w:rsidP="00AA541E">
      <w:pPr>
        <w:pStyle w:val="NoSpacing"/>
        <w:rPr>
          <w:sz w:val="24"/>
          <w:szCs w:val="24"/>
        </w:rPr>
      </w:pPr>
      <w:r w:rsidRPr="00AA541E">
        <w:rPr>
          <w:sz w:val="24"/>
          <w:szCs w:val="24"/>
        </w:rPr>
        <w:t>Broad Graduate School of Management, Michigan State University, East Lansing, Michigan, U.S.A.</w:t>
      </w:r>
    </w:p>
    <w:p w14:paraId="7BB9BE0F" w14:textId="10F7D0ED" w:rsidR="00D121D1" w:rsidRPr="00AA541E" w:rsidRDefault="00D121D1" w:rsidP="00AA541E">
      <w:pPr>
        <w:pStyle w:val="NoSpacing"/>
        <w:rPr>
          <w:sz w:val="32"/>
          <w:szCs w:val="32"/>
        </w:rPr>
      </w:pPr>
      <w:r w:rsidRPr="00AA541E">
        <w:rPr>
          <w:sz w:val="32"/>
          <w:szCs w:val="32"/>
        </w:rPr>
        <w:t>Bernadine J. Dykes</w:t>
      </w:r>
    </w:p>
    <w:p w14:paraId="0E16D344" w14:textId="5B33A799" w:rsidR="00D66CE0" w:rsidRPr="00AA541E" w:rsidRDefault="00880CAF" w:rsidP="00AA541E">
      <w:pPr>
        <w:pStyle w:val="NoSpacing"/>
        <w:rPr>
          <w:sz w:val="24"/>
          <w:szCs w:val="24"/>
        </w:rPr>
      </w:pPr>
      <w:r w:rsidRPr="00AA541E">
        <w:rPr>
          <w:sz w:val="24"/>
          <w:szCs w:val="24"/>
        </w:rPr>
        <w:t>Alfred Lerner College of Business &amp; Economics, University of Delaware, Newark, Delaware, U.S.A.</w:t>
      </w:r>
    </w:p>
    <w:p w14:paraId="67B18B12" w14:textId="77777777" w:rsidR="00880CAF" w:rsidRDefault="00880CAF" w:rsidP="00D121D1"/>
    <w:p w14:paraId="5D8FE7F1" w14:textId="77777777" w:rsidR="00D66CE0" w:rsidRPr="00D66CE0" w:rsidRDefault="00D66CE0" w:rsidP="00880CAF">
      <w:pPr>
        <w:pStyle w:val="Heading1"/>
      </w:pPr>
      <w:r w:rsidRPr="00D66CE0">
        <w:lastRenderedPageBreak/>
        <w:t>Abstract</w:t>
      </w:r>
    </w:p>
    <w:p w14:paraId="74C20335" w14:textId="2E9ED6E2" w:rsidR="00D66CE0" w:rsidRPr="00D66CE0" w:rsidRDefault="00D66CE0" w:rsidP="00D66CE0">
      <w:r w:rsidRPr="00D66CE0">
        <w:t xml:space="preserve">Research in strategic management has shown that the timing of firm participation in a merger wave </w:t>
      </w:r>
      <w:proofErr w:type="gramStart"/>
      <w:r w:rsidRPr="00D66CE0">
        <w:t>matters,</w:t>
      </w:r>
      <w:proofErr w:type="gramEnd"/>
      <w:r w:rsidRPr="00D66CE0">
        <w:t xml:space="preserve"> as early movers have been shown to outperform later ones. However, while the consequences of the timing of action within a merger wave have been assessed, the causes that drive these timing effects remain unknown. We draw on the competitive dynamics perspective to investigate firm-level factors that influence the large-scale strategic behavior of leading or following within industry merger waves. We develop hypotheses based on the competitive </w:t>
      </w:r>
      <w:proofErr w:type="gramStart"/>
      <w:r w:rsidRPr="00D66CE0">
        <w:t>dynamics</w:t>
      </w:r>
      <w:proofErr w:type="gramEnd"/>
      <w:r w:rsidRPr="00D66CE0">
        <w:t xml:space="preserve"> argument that the awareness-motivation-capability of firms will influence the timing of competitive action. Consistent with this perspective, we show that a firm's strategic orientation, its structure, and its resource base influence the timing of firm entry in merger waves. </w:t>
      </w:r>
    </w:p>
    <w:p w14:paraId="5201EF5B" w14:textId="77777777" w:rsidR="00D66CE0" w:rsidRPr="00D66CE0" w:rsidRDefault="00D66CE0" w:rsidP="00880CAF">
      <w:pPr>
        <w:pStyle w:val="Heading1"/>
      </w:pPr>
      <w:r w:rsidRPr="00D66CE0">
        <w:t>Introduction</w:t>
      </w:r>
    </w:p>
    <w:p w14:paraId="2F484D80" w14:textId="67A37AF9" w:rsidR="00D66CE0" w:rsidRPr="00D66CE0" w:rsidRDefault="00D66CE0" w:rsidP="00D66CE0">
      <w:r w:rsidRPr="00D66CE0">
        <w:t>Merger waves are periods of intense acquisition activity. Research from economics and finance shows that merger waves are triggered by buoyant stock prices reflected in high market-to-book ratios (</w:t>
      </w:r>
      <w:proofErr w:type="spellStart"/>
      <w:r w:rsidRPr="00D66CE0">
        <w:t>Polonchek</w:t>
      </w:r>
      <w:proofErr w:type="spellEnd"/>
      <w:r w:rsidRPr="00D66CE0">
        <w:t xml:space="preserve"> and </w:t>
      </w:r>
      <w:proofErr w:type="spellStart"/>
      <w:r w:rsidRPr="00D66CE0">
        <w:t>Sushka</w:t>
      </w:r>
      <w:proofErr w:type="spellEnd"/>
      <w:r w:rsidRPr="00D66CE0">
        <w:t>, </w:t>
      </w:r>
      <w:r w:rsidRPr="00D66CE0">
        <w:rPr>
          <w:b/>
          <w:bCs/>
        </w:rPr>
        <w:t>1987</w:t>
      </w:r>
      <w:r w:rsidRPr="00D66CE0">
        <w:t>). They are also prompted by shocks, such as deregulation, financing innovations (e.g., Mitchell and Mulherin, </w:t>
      </w:r>
      <w:r w:rsidRPr="00D66CE0">
        <w:rPr>
          <w:b/>
          <w:bCs/>
        </w:rPr>
        <w:t>1996</w:t>
      </w:r>
      <w:r w:rsidRPr="00D66CE0">
        <w:t>), and technological innovations (e.g., Mulherin and Boone, </w:t>
      </w:r>
      <w:r w:rsidRPr="00D66CE0">
        <w:rPr>
          <w:b/>
          <w:bCs/>
        </w:rPr>
        <w:t>2000</w:t>
      </w:r>
      <w:r w:rsidRPr="00D66CE0">
        <w:t>), which are spurred on by high capital liquidity (e.g., Harford, </w:t>
      </w:r>
      <w:r w:rsidRPr="00D66CE0">
        <w:rPr>
          <w:b/>
          <w:bCs/>
        </w:rPr>
        <w:t>2005</w:t>
      </w:r>
      <w:r w:rsidRPr="00D66CE0">
        <w:t>). Hence, a substantial body of research has examined macroeconomic and industry-level factors that contribute to the emergence of merger waves. However, research in economics and finance has been largely silent on firm-level drivers of merger wave activity.</w:t>
      </w:r>
    </w:p>
    <w:p w14:paraId="03D2005E" w14:textId="522C5F8F" w:rsidR="00D66CE0" w:rsidRPr="00D66CE0" w:rsidRDefault="00D66CE0" w:rsidP="00D66CE0">
      <w:r w:rsidRPr="00D66CE0">
        <w:t>In the strategy field, research has begun to examine firm-level issues with merger waves but has focused on the consequences associated with merger wave activity. Drawing on first-mover advantage theory, research shows that the timing of participation in the wave matters, as early movers outperform later ones (Carow, Heron, and Saxton, </w:t>
      </w:r>
      <w:r w:rsidRPr="00D66CE0">
        <w:rPr>
          <w:b/>
          <w:bCs/>
        </w:rPr>
        <w:t>2004</w:t>
      </w:r>
      <w:r w:rsidRPr="00D66CE0">
        <w:t xml:space="preserve">; McNamara, </w:t>
      </w:r>
      <w:proofErr w:type="spellStart"/>
      <w:r w:rsidRPr="00D66CE0">
        <w:t>Haleblian</w:t>
      </w:r>
      <w:proofErr w:type="spellEnd"/>
      <w:r w:rsidRPr="00D66CE0">
        <w:t>, and Dykes, </w:t>
      </w:r>
      <w:r w:rsidRPr="00D66CE0">
        <w:rPr>
          <w:b/>
          <w:bCs/>
        </w:rPr>
        <w:t>2008</w:t>
      </w:r>
      <w:r w:rsidRPr="00D66CE0">
        <w:t>). This work suggests that early movers have superior information to preempt their rivals in identifying the best acquisition targets and acquire firms that offer the greatest potential for synergies before the market accounts for the potential value associated with the merger wave. Yet, while this work points to the </w:t>
      </w:r>
      <w:r w:rsidRPr="00D66CE0">
        <w:rPr>
          <w:i/>
          <w:iCs/>
        </w:rPr>
        <w:t>consequences</w:t>
      </w:r>
      <w:r w:rsidRPr="00D66CE0">
        <w:t> of firm timing within a wave, no work has been conducted to determine the firm-level </w:t>
      </w:r>
      <w:r w:rsidRPr="00D66CE0">
        <w:rPr>
          <w:i/>
          <w:iCs/>
        </w:rPr>
        <w:t>causes</w:t>
      </w:r>
      <w:r w:rsidRPr="00D66CE0">
        <w:t> that drive the timing of a firm's action within a wave. Hence, while we know that early movers perform best, we do not know the characteristics that these firms possess that allow them to move earlier than their rivals. Thus, an important question relating to merger waves remains unanswered: ‘what are the firm-level characteristics that impact when a firm enters an industry merger wave?’</w:t>
      </w:r>
    </w:p>
    <w:p w14:paraId="2A64D9F6" w14:textId="2BABBC76" w:rsidR="00D66CE0" w:rsidRPr="00D66CE0" w:rsidRDefault="00D66CE0" w:rsidP="00D66CE0">
      <w:r w:rsidRPr="00D66CE0">
        <w:t xml:space="preserve">To help answer this question, we draw on a competitive </w:t>
      </w:r>
      <w:proofErr w:type="gramStart"/>
      <w:r w:rsidRPr="00D66CE0">
        <w:t>dynamics</w:t>
      </w:r>
      <w:proofErr w:type="gramEnd"/>
      <w:r w:rsidRPr="00D66CE0">
        <w:t xml:space="preserve"> perspective. Broadly speaking, competitive dynamics focuses on the </w:t>
      </w:r>
      <w:r w:rsidRPr="00D66CE0">
        <w:rPr>
          <w:i/>
          <w:iCs/>
        </w:rPr>
        <w:t>causes</w:t>
      </w:r>
      <w:r w:rsidRPr="00D66CE0">
        <w:t> and </w:t>
      </w:r>
      <w:r w:rsidRPr="00D66CE0">
        <w:rPr>
          <w:i/>
          <w:iCs/>
        </w:rPr>
        <w:t>consequences</w:t>
      </w:r>
      <w:r w:rsidRPr="00D66CE0">
        <w:t xml:space="preserve"> of the action and reaction of firms within industries (Smith, Ferrier, and </w:t>
      </w:r>
      <w:proofErr w:type="spellStart"/>
      <w:r w:rsidRPr="00D66CE0">
        <w:t>Ndofor</w:t>
      </w:r>
      <w:proofErr w:type="spellEnd"/>
      <w:r w:rsidRPr="00D66CE0">
        <w:t>, </w:t>
      </w:r>
      <w:r w:rsidRPr="00D66CE0">
        <w:rPr>
          <w:b/>
          <w:bCs/>
        </w:rPr>
        <w:t>2001</w:t>
      </w:r>
      <w:r w:rsidRPr="00D66CE0">
        <w:t>). This perspective has shown that firm characteristics explain the timing of firm action as well as the response of rivals to competitive action (Smith </w:t>
      </w:r>
      <w:r w:rsidRPr="00D66CE0">
        <w:rPr>
          <w:i/>
          <w:iCs/>
        </w:rPr>
        <w:t>et al.</w:t>
      </w:r>
      <w:r w:rsidRPr="00D66CE0">
        <w:t>, </w:t>
      </w:r>
      <w:r w:rsidRPr="00D66CE0">
        <w:rPr>
          <w:b/>
          <w:bCs/>
        </w:rPr>
        <w:t>1991</w:t>
      </w:r>
      <w:r w:rsidRPr="00D66CE0">
        <w:t>, </w:t>
      </w:r>
      <w:r w:rsidRPr="00D66CE0">
        <w:rPr>
          <w:b/>
          <w:bCs/>
        </w:rPr>
        <w:t>2001</w:t>
      </w:r>
      <w:r w:rsidRPr="00D66CE0">
        <w:t>). Prior competitive dynamics research has identified three underlying drivers of rival behavior: the awareness of market opportunities and competitors' initiatives, the motivation to act (or respond), and the capability to do so (Smith </w:t>
      </w:r>
      <w:r w:rsidRPr="00D66CE0">
        <w:rPr>
          <w:i/>
          <w:iCs/>
        </w:rPr>
        <w:t>et al.</w:t>
      </w:r>
      <w:r w:rsidRPr="00D66CE0">
        <w:t>, </w:t>
      </w:r>
      <w:r w:rsidRPr="00D66CE0">
        <w:rPr>
          <w:b/>
          <w:bCs/>
        </w:rPr>
        <w:t>2001</w:t>
      </w:r>
      <w:r w:rsidRPr="00D66CE0">
        <w:t xml:space="preserve">). We develop hypotheses on the timing of action within merger </w:t>
      </w:r>
      <w:proofErr w:type="gramStart"/>
      <w:r w:rsidRPr="00D66CE0">
        <w:t>waves, and</w:t>
      </w:r>
      <w:proofErr w:type="gramEnd"/>
      <w:r w:rsidRPr="00D66CE0">
        <w:t xml:space="preserve"> argue that early movers within industry merger waves have characteristics that lead to greater awareness, motivation, and capability (AMC) (Chen, </w:t>
      </w:r>
      <w:r w:rsidRPr="00D66CE0">
        <w:rPr>
          <w:b/>
          <w:bCs/>
        </w:rPr>
        <w:t>1996</w:t>
      </w:r>
      <w:r w:rsidRPr="00D66CE0">
        <w:t xml:space="preserve">). In contrast, later movers have firm characteristics associated with lower levels of </w:t>
      </w:r>
      <w:proofErr w:type="gramStart"/>
      <w:r w:rsidRPr="00D66CE0">
        <w:t>AMC, and</w:t>
      </w:r>
      <w:proofErr w:type="gramEnd"/>
      <w:r w:rsidRPr="00D66CE0">
        <w:t xml:space="preserve"> respond to their rivals as ‘competitive tension’ increases (Chen, Su, and Tsai, </w:t>
      </w:r>
      <w:r w:rsidRPr="00D66CE0">
        <w:rPr>
          <w:b/>
          <w:bCs/>
        </w:rPr>
        <w:t>2007</w:t>
      </w:r>
      <w:r w:rsidRPr="00D66CE0">
        <w:t>).</w:t>
      </w:r>
    </w:p>
    <w:p w14:paraId="7A0A749A" w14:textId="0AB52F1A" w:rsidR="00D66CE0" w:rsidRPr="00D66CE0" w:rsidRDefault="00D66CE0" w:rsidP="00D66CE0">
      <w:r w:rsidRPr="00D66CE0">
        <w:t>Our study makes several contributions. First, we give new insight into the factors that influence the timing of action within merger waves. Prior research has demonstrated that waves are a common phenomenon and that the timing of actions within the wave has important strategic consequences (Stearns and Allan, </w:t>
      </w:r>
      <w:r w:rsidRPr="00D66CE0">
        <w:rPr>
          <w:b/>
          <w:bCs/>
        </w:rPr>
        <w:t>1996</w:t>
      </w:r>
      <w:r w:rsidRPr="00D66CE0">
        <w:t>; Carow </w:t>
      </w:r>
      <w:r w:rsidRPr="00D66CE0">
        <w:rPr>
          <w:i/>
          <w:iCs/>
        </w:rPr>
        <w:t>et al.</w:t>
      </w:r>
      <w:r w:rsidRPr="00D66CE0">
        <w:t>, </w:t>
      </w:r>
      <w:r w:rsidRPr="00D66CE0">
        <w:rPr>
          <w:b/>
          <w:bCs/>
        </w:rPr>
        <w:t>2004</w:t>
      </w:r>
      <w:r w:rsidRPr="00D66CE0">
        <w:t xml:space="preserve">). We begin to identify relevant firm factors, including strategic, structural, and resource characteristics, that influence whether firms lead or follow during merger waves. Second, we demonstrate the applicability of </w:t>
      </w:r>
      <w:r w:rsidRPr="00D66CE0">
        <w:lastRenderedPageBreak/>
        <w:t>the competitive dynamics perspective to explain merger and acquisition behavior. Prior competitive dynamics research has typically included a range of types of actions that include tactical actions, such as price changes, along with more strategic actions, such as the formation of strategic alliances. With our focus on a single type of major strategic action, we assess the ability of the competitive dynamics perspective to explain this type of strategic action. We show that firm characteristics resulting in greater AMC facilitate early action in undertaking acquisitions within waves, while low AMC firms only act after competitive tension builds (Chen </w:t>
      </w:r>
      <w:r w:rsidRPr="00D66CE0">
        <w:rPr>
          <w:i/>
          <w:iCs/>
        </w:rPr>
        <w:t>et al.</w:t>
      </w:r>
      <w:r w:rsidRPr="00D66CE0">
        <w:t>, </w:t>
      </w:r>
      <w:r w:rsidRPr="00D66CE0">
        <w:rPr>
          <w:b/>
          <w:bCs/>
        </w:rPr>
        <w:t>2007</w:t>
      </w:r>
      <w:r w:rsidRPr="00D66CE0">
        <w:t>). Third, we contribute to the competitive dynamics literature by examining the broad interdependence of firms across multiple markets. By examining all acquisitions undertaken by publicly traded firms, we demonstrate that the competitive tension that drives action by low AMC firms is not triggered just by actions by the most salient rivals or by a few firms in the market. In line with the core principles of the interdependent nature of competition as originally laid out by Schumpeter (</w:t>
      </w:r>
      <w:r w:rsidRPr="00D66CE0">
        <w:rPr>
          <w:b/>
          <w:bCs/>
        </w:rPr>
        <w:t>1934</w:t>
      </w:r>
      <w:r w:rsidRPr="00D66CE0">
        <w:t>) and emerging competitive dynamics work that discusses the role of the industry population in generating competitive tension (Hsieh and Chen, </w:t>
      </w:r>
      <w:r w:rsidRPr="00D66CE0">
        <w:rPr>
          <w:b/>
          <w:bCs/>
        </w:rPr>
        <w:t>2010</w:t>
      </w:r>
      <w:r w:rsidRPr="00D66CE0">
        <w:t>), we find evidence consistent with the argument that later movers are reacting to competitive tension built up by the collective action of a broad set of rivals.</w:t>
      </w:r>
    </w:p>
    <w:p w14:paraId="7E2827A9" w14:textId="77777777" w:rsidR="00D66CE0" w:rsidRPr="00D66CE0" w:rsidRDefault="00D66CE0" w:rsidP="00880CAF">
      <w:pPr>
        <w:pStyle w:val="Heading1"/>
      </w:pPr>
      <w:r w:rsidRPr="00D66CE0">
        <w:t>Theory and Hypotheses</w:t>
      </w:r>
    </w:p>
    <w:p w14:paraId="65867800" w14:textId="399A05E3" w:rsidR="00D66CE0" w:rsidRPr="00D66CE0" w:rsidRDefault="00D66CE0" w:rsidP="00D66CE0">
      <w:r w:rsidRPr="00D66CE0">
        <w:t xml:space="preserve">Merger waves are periods of intense merger and acquisition activity. The beginning of the wave is characterized by a dramatic increase in the number of executed acquisitions relative to the prior period. This intense period of activity often reaches a plateau, which can continue for a few years. Finally, there is a significant drop in the overall activity as the number of acquisitions </w:t>
      </w:r>
      <w:proofErr w:type="gramStart"/>
      <w:r w:rsidRPr="00D66CE0">
        <w:t>returns back</w:t>
      </w:r>
      <w:proofErr w:type="gramEnd"/>
      <w:r w:rsidRPr="00D66CE0">
        <w:t xml:space="preserve"> to pre-wave levels (e.g., Carow </w:t>
      </w:r>
      <w:r w:rsidRPr="00D66CE0">
        <w:rPr>
          <w:i/>
          <w:iCs/>
        </w:rPr>
        <w:t>et al.</w:t>
      </w:r>
      <w:r w:rsidRPr="00D66CE0">
        <w:t>, </w:t>
      </w:r>
      <w:r w:rsidRPr="00D66CE0">
        <w:rPr>
          <w:b/>
          <w:bCs/>
        </w:rPr>
        <w:t>2004</w:t>
      </w:r>
      <w:r w:rsidRPr="00D66CE0">
        <w:t>; McNamara </w:t>
      </w:r>
      <w:r w:rsidRPr="00D66CE0">
        <w:rPr>
          <w:i/>
          <w:iCs/>
        </w:rPr>
        <w:t>et al.</w:t>
      </w:r>
      <w:r w:rsidRPr="00D66CE0">
        <w:t>, </w:t>
      </w:r>
      <w:r w:rsidRPr="00D66CE0">
        <w:rPr>
          <w:b/>
          <w:bCs/>
        </w:rPr>
        <w:t>2008</w:t>
      </w:r>
      <w:r w:rsidRPr="00D66CE0">
        <w:t>). The observation that mergers often occur in waves is one of the ‘most consistent empirical features of merger activity over the last century’ (Andrade, Mitchell, and Stafford, </w:t>
      </w:r>
      <w:r w:rsidRPr="00D66CE0">
        <w:rPr>
          <w:b/>
          <w:bCs/>
        </w:rPr>
        <w:t>2001</w:t>
      </w:r>
      <w:r w:rsidRPr="00D66CE0">
        <w:t>: 104). Five major merger waves occurred during the last century (Stearns and Allan, </w:t>
      </w:r>
      <w:r w:rsidRPr="00D66CE0">
        <w:rPr>
          <w:b/>
          <w:bCs/>
        </w:rPr>
        <w:t>1996</w:t>
      </w:r>
      <w:r w:rsidRPr="00D66CE0">
        <w:t xml:space="preserve">; Martynova and </w:t>
      </w:r>
      <w:proofErr w:type="spellStart"/>
      <w:r w:rsidRPr="00D66CE0">
        <w:t>Renneboog</w:t>
      </w:r>
      <w:proofErr w:type="spellEnd"/>
      <w:r w:rsidRPr="00D66CE0">
        <w:t>, </w:t>
      </w:r>
      <w:r w:rsidRPr="00D66CE0">
        <w:rPr>
          <w:b/>
          <w:bCs/>
        </w:rPr>
        <w:t>2008</w:t>
      </w:r>
      <w:r w:rsidRPr="00D66CE0">
        <w:t>). These waves were characterized by (1) horizontal mergers (1897–1903) (Banerjee and Eckard, </w:t>
      </w:r>
      <w:r w:rsidRPr="00D66CE0">
        <w:rPr>
          <w:b/>
          <w:bCs/>
        </w:rPr>
        <w:t>2001</w:t>
      </w:r>
      <w:r w:rsidRPr="00D66CE0">
        <w:t>), (2) vertical mergers (1920s) (Leeth and Borg, </w:t>
      </w:r>
      <w:r w:rsidRPr="00D66CE0">
        <w:rPr>
          <w:b/>
          <w:bCs/>
        </w:rPr>
        <w:t>2000</w:t>
      </w:r>
      <w:r w:rsidRPr="00D66CE0">
        <w:t>), (3) conglomerate mergers (1960s) (Matsusaka, </w:t>
      </w:r>
      <w:r w:rsidRPr="00D66CE0">
        <w:rPr>
          <w:b/>
          <w:bCs/>
        </w:rPr>
        <w:t>1993</w:t>
      </w:r>
      <w:r w:rsidRPr="00D66CE0">
        <w:t xml:space="preserve">), (4) increased specialization (1980s takeovers) (Shleifer and </w:t>
      </w:r>
      <w:proofErr w:type="spellStart"/>
      <w:r w:rsidRPr="00D66CE0">
        <w:t>Vishny</w:t>
      </w:r>
      <w:proofErr w:type="spellEnd"/>
      <w:r w:rsidRPr="00D66CE0">
        <w:t>, </w:t>
      </w:r>
      <w:r w:rsidRPr="00D66CE0">
        <w:rPr>
          <w:b/>
          <w:bCs/>
        </w:rPr>
        <w:t>2003</w:t>
      </w:r>
      <w:r w:rsidRPr="00D66CE0">
        <w:t xml:space="preserve">), and (5) equity transactions (1998–2001) (Moeller, </w:t>
      </w:r>
      <w:proofErr w:type="spellStart"/>
      <w:r w:rsidRPr="00D66CE0">
        <w:t>Schlingemann</w:t>
      </w:r>
      <w:proofErr w:type="spellEnd"/>
      <w:r w:rsidRPr="00D66CE0">
        <w:t xml:space="preserve">, and </w:t>
      </w:r>
      <w:proofErr w:type="spellStart"/>
      <w:r w:rsidRPr="00D66CE0">
        <w:t>Stulz</w:t>
      </w:r>
      <w:proofErr w:type="spellEnd"/>
      <w:r w:rsidRPr="00D66CE0">
        <w:t>, </w:t>
      </w:r>
      <w:r w:rsidRPr="00D66CE0">
        <w:rPr>
          <w:b/>
          <w:bCs/>
        </w:rPr>
        <w:t>2005</w:t>
      </w:r>
      <w:r w:rsidRPr="00D66CE0">
        <w:t>).</w:t>
      </w:r>
    </w:p>
    <w:p w14:paraId="72B690B5" w14:textId="2CD4D3F4" w:rsidR="00D66CE0" w:rsidRPr="00D66CE0" w:rsidRDefault="00D66CE0" w:rsidP="00D66CE0">
      <w:r w:rsidRPr="00D66CE0">
        <w:t>Prior work has assessed the causes of waves, which has isolated several key triggers. Merger waves are associated with elevated stock prices, as periods of high market-to-book ratios are associated with intense merger activity (</w:t>
      </w:r>
      <w:proofErr w:type="spellStart"/>
      <w:r w:rsidRPr="00D66CE0">
        <w:t>Polonchek</w:t>
      </w:r>
      <w:proofErr w:type="spellEnd"/>
      <w:r w:rsidRPr="00D66CE0">
        <w:t xml:space="preserve"> and </w:t>
      </w:r>
      <w:proofErr w:type="spellStart"/>
      <w:r w:rsidRPr="00D66CE0">
        <w:t>Sushka</w:t>
      </w:r>
      <w:proofErr w:type="spellEnd"/>
      <w:r w:rsidRPr="00D66CE0">
        <w:t>, </w:t>
      </w:r>
      <w:r w:rsidRPr="00D66CE0">
        <w:rPr>
          <w:b/>
          <w:bCs/>
        </w:rPr>
        <w:t>1987</w:t>
      </w:r>
      <w:r w:rsidRPr="00D66CE0">
        <w:t>; Rhodes-</w:t>
      </w:r>
      <w:proofErr w:type="spellStart"/>
      <w:r w:rsidRPr="00D66CE0">
        <w:t>Kropf</w:t>
      </w:r>
      <w:proofErr w:type="spellEnd"/>
      <w:r w:rsidRPr="00D66CE0">
        <w:t>, Robinson, and Viswanathan, </w:t>
      </w:r>
      <w:r w:rsidRPr="00D66CE0">
        <w:rPr>
          <w:b/>
          <w:bCs/>
        </w:rPr>
        <w:t>2005</w:t>
      </w:r>
      <w:r w:rsidRPr="00D66CE0">
        <w:t>). Industry shocks such as deregulation have also been closely linked to acquisition activity (Andrade </w:t>
      </w:r>
      <w:r w:rsidRPr="00D66CE0">
        <w:rPr>
          <w:i/>
          <w:iCs/>
        </w:rPr>
        <w:t>et al.</w:t>
      </w:r>
      <w:r w:rsidRPr="00D66CE0">
        <w:t>, </w:t>
      </w:r>
      <w:r w:rsidRPr="00D66CE0">
        <w:rPr>
          <w:b/>
          <w:bCs/>
        </w:rPr>
        <w:t>2001</w:t>
      </w:r>
      <w:r w:rsidRPr="00D66CE0">
        <w:t>; Mitchell and Mulherin, </w:t>
      </w:r>
      <w:r w:rsidRPr="00D66CE0">
        <w:rPr>
          <w:b/>
          <w:bCs/>
        </w:rPr>
        <w:t>1996</w:t>
      </w:r>
      <w:r w:rsidRPr="00D66CE0">
        <w:t xml:space="preserve">). More specifically, whether economic, regulatory, and technological shocks drive industry merger waves </w:t>
      </w:r>
      <w:proofErr w:type="gramStart"/>
      <w:r w:rsidRPr="00D66CE0">
        <w:t>depends</w:t>
      </w:r>
      <w:proofErr w:type="gramEnd"/>
      <w:r w:rsidRPr="00D66CE0">
        <w:t xml:space="preserve"> on whether there is sufficient overall capital liquidity (Harford, </w:t>
      </w:r>
      <w:r w:rsidRPr="00D66CE0">
        <w:rPr>
          <w:b/>
          <w:bCs/>
        </w:rPr>
        <w:t>2005</w:t>
      </w:r>
      <w:r w:rsidRPr="00D66CE0">
        <w:t>).</w:t>
      </w:r>
    </w:p>
    <w:p w14:paraId="60DA617E" w14:textId="5490D7EC" w:rsidR="00D66CE0" w:rsidRPr="00D66CE0" w:rsidRDefault="00D66CE0" w:rsidP="00D66CE0">
      <w:r w:rsidRPr="00D66CE0">
        <w:t>Prior work also shows that mergers occur because other mergers have already occurred (Qui and Zhou, </w:t>
      </w:r>
      <w:r w:rsidRPr="00D66CE0">
        <w:rPr>
          <w:b/>
          <w:bCs/>
        </w:rPr>
        <w:t>2007</w:t>
      </w:r>
      <w:r w:rsidRPr="00D66CE0">
        <w:t>; Stearns and Allan, </w:t>
      </w:r>
      <w:r w:rsidRPr="00D66CE0">
        <w:rPr>
          <w:b/>
          <w:bCs/>
        </w:rPr>
        <w:t>1996</w:t>
      </w:r>
      <w:r w:rsidRPr="00D66CE0">
        <w:t>), suggesting the interdependent nature of firms within merger waves. Hence, waves are a theoretically important context in which to study the interdependence among firms. This notion of interdependence is consistent with research in competitive dynamics that begins with the conviction that the performance effects of a firm's strategy (action) depend upon the competitive context in which the strategy is carried out. When a firm undertakes an action that may affect a rival's position, competitors will be motivated to respond (Schumpeter, </w:t>
      </w:r>
      <w:r w:rsidRPr="00D66CE0">
        <w:rPr>
          <w:b/>
          <w:bCs/>
        </w:rPr>
        <w:t>1942</w:t>
      </w:r>
      <w:r w:rsidRPr="00D66CE0">
        <w:t>).</w:t>
      </w:r>
      <w:r w:rsidRPr="00BF0F5B">
        <w:rPr>
          <w:b/>
          <w:bCs/>
          <w:vertAlign w:val="superscript"/>
        </w:rPr>
        <w:t>1</w:t>
      </w:r>
      <w:r w:rsidRPr="00D66CE0">
        <w:t> Thus, firms are interdependent in that they feel the moves of one another and are prone to interact, and firm performance is understood relative to the strategies and actions of rivals. More specifically, innovative firms in pursuit of superior performance, move early and may enjoy short-lived advantages, while their actions elicit reactions from rival firms (Chen </w:t>
      </w:r>
      <w:r w:rsidRPr="00D66CE0">
        <w:rPr>
          <w:i/>
          <w:iCs/>
        </w:rPr>
        <w:t>et al.</w:t>
      </w:r>
      <w:r w:rsidRPr="00D66CE0">
        <w:t>, </w:t>
      </w:r>
      <w:r w:rsidRPr="00D66CE0">
        <w:rPr>
          <w:b/>
          <w:bCs/>
        </w:rPr>
        <w:t>2002</w:t>
      </w:r>
      <w:r w:rsidRPr="00D66CE0">
        <w:t xml:space="preserve">). Therefore, a firm's decision to make a competitive move—like </w:t>
      </w:r>
      <w:proofErr w:type="gramStart"/>
      <w:r w:rsidRPr="00D66CE0">
        <w:t>entering into</w:t>
      </w:r>
      <w:proofErr w:type="gramEnd"/>
      <w:r w:rsidRPr="00D66CE0">
        <w:t xml:space="preserve"> a merger wave—may be strongly influenced by concerns about rival firms' prior actions. A competitive dynamics perspective may be particularly useful in explaining the nature </w:t>
      </w:r>
      <w:r w:rsidRPr="00D66CE0">
        <w:lastRenderedPageBreak/>
        <w:t xml:space="preserve">of acquisition waves as pioneers and early adopters lead, while later movers perceive the moves of their competitors and react. There are likely a set of pioneers/early adopters that become aware of the same </w:t>
      </w:r>
      <w:proofErr w:type="gramStart"/>
      <w:r w:rsidRPr="00D66CE0">
        <w:t>cues, and</w:t>
      </w:r>
      <w:proofErr w:type="gramEnd"/>
      <w:r w:rsidRPr="00D66CE0">
        <w:t xml:space="preserve"> are first to take advantage of industry opportunities (e.g., regulatory shifts, easier access to capital, etc.). Their behavior is viewed by their rivals, which creates ‘competitive tension’ that triggers a response in later movers (Chen </w:t>
      </w:r>
      <w:r w:rsidRPr="00D66CE0">
        <w:rPr>
          <w:i/>
          <w:iCs/>
        </w:rPr>
        <w:t>et al.</w:t>
      </w:r>
      <w:r w:rsidRPr="00D66CE0">
        <w:t>, </w:t>
      </w:r>
      <w:r w:rsidRPr="00D66CE0">
        <w:rPr>
          <w:b/>
          <w:bCs/>
        </w:rPr>
        <w:t>2007</w:t>
      </w:r>
      <w:r w:rsidRPr="00D66CE0">
        <w:t>).</w:t>
      </w:r>
    </w:p>
    <w:p w14:paraId="34DB14C9" w14:textId="57ED71E1" w:rsidR="00D66CE0" w:rsidRPr="00D66CE0" w:rsidRDefault="00D66CE0" w:rsidP="00D66CE0">
      <w:r w:rsidRPr="00D66CE0">
        <w:t>Competitive dynamics research has shown that successful firms possess characteristics and resources that lead to innovative action; while rivals, with their own set of characteristics, then respond to leaders in hopes of eroding this advantage (Chen, </w:t>
      </w:r>
      <w:r w:rsidRPr="00D66CE0">
        <w:rPr>
          <w:b/>
          <w:bCs/>
        </w:rPr>
        <w:t>1996</w:t>
      </w:r>
      <w:r w:rsidRPr="00D66CE0">
        <w:t>). There are three essential drivers that influence strategic action, collectively referred to as AMC (Chen, </w:t>
      </w:r>
      <w:r w:rsidRPr="00D66CE0">
        <w:rPr>
          <w:b/>
          <w:bCs/>
        </w:rPr>
        <w:t>1996</w:t>
      </w:r>
      <w:r w:rsidRPr="00D66CE0">
        <w:t xml:space="preserve">). The awareness (A) of opportunities is when the firm is cognizant of its competitors, its industry, and its environment, which influences the degree to which a firm perceives emerging opportunities and understands the likely consequences of its action. Motivation (M) refers to the incentives that push a firm toward action as it assesses the perceived gains and losses from possible action choices. Finally, capability (C) encompasses the deployment of resources, and the decision-making processes that allow a firm to </w:t>
      </w:r>
      <w:proofErr w:type="gramStart"/>
      <w:r w:rsidRPr="00D66CE0">
        <w:t>take action</w:t>
      </w:r>
      <w:proofErr w:type="gramEnd"/>
      <w:r w:rsidRPr="00D66CE0">
        <w:t xml:space="preserve"> (Smith </w:t>
      </w:r>
      <w:r w:rsidRPr="00D66CE0">
        <w:rPr>
          <w:i/>
          <w:iCs/>
        </w:rPr>
        <w:t>et al.</w:t>
      </w:r>
      <w:r w:rsidRPr="00D66CE0">
        <w:t>, </w:t>
      </w:r>
      <w:r w:rsidRPr="00D66CE0">
        <w:rPr>
          <w:b/>
          <w:bCs/>
        </w:rPr>
        <w:t>2001</w:t>
      </w:r>
      <w:r w:rsidRPr="00D66CE0">
        <w:t>).</w:t>
      </w:r>
    </w:p>
    <w:p w14:paraId="53B94014" w14:textId="7E0A850C" w:rsidR="00D66CE0" w:rsidRPr="00D66CE0" w:rsidRDefault="00D66CE0" w:rsidP="00D66CE0">
      <w:r w:rsidRPr="00D66CE0">
        <w:t>Using an AMC perspective, we explore whether firm strategic orientation, structure, and resource endowments impact upon the timing of firm action within the wave. We focus on these three firm attributes since the strategy literature identifies the firm's strategic orientation, structure, and resource set as core strategic attributes of the firm (Porter, </w:t>
      </w:r>
      <w:r w:rsidRPr="00D66CE0">
        <w:rPr>
          <w:b/>
          <w:bCs/>
        </w:rPr>
        <w:t>1980</w:t>
      </w:r>
      <w:r w:rsidRPr="00D66CE0">
        <w:t>; Chandler, 1962; and Barney, </w:t>
      </w:r>
      <w:r w:rsidRPr="00D66CE0">
        <w:rPr>
          <w:b/>
          <w:bCs/>
        </w:rPr>
        <w:t>1991</w:t>
      </w:r>
      <w:r w:rsidRPr="00D66CE0">
        <w:t>). We develop arguments that a firm's strategic orientation (A) and structure (M) will incline certain types of firms to focus externally and lead in merger waves. We also postulate that firm resources will influence their capability (C), such that firms with greater resources will be able to enter waves earlier. However, we also posit that firms lower in AMC will have more inertial tendencies (Chen and MacMillan, </w:t>
      </w:r>
      <w:r w:rsidRPr="00D66CE0">
        <w:rPr>
          <w:b/>
          <w:bCs/>
        </w:rPr>
        <w:t>1992</w:t>
      </w:r>
      <w:r w:rsidRPr="00D66CE0">
        <w:t>) and will tend to act only after they encounter significant ‘competitive tension’ (Chen </w:t>
      </w:r>
      <w:r w:rsidRPr="00D66CE0">
        <w:rPr>
          <w:i/>
          <w:iCs/>
        </w:rPr>
        <w:t>et al.</w:t>
      </w:r>
      <w:r w:rsidRPr="00D66CE0">
        <w:t>, </w:t>
      </w:r>
      <w:r w:rsidRPr="00D66CE0">
        <w:rPr>
          <w:b/>
          <w:bCs/>
        </w:rPr>
        <w:t>2007</w:t>
      </w:r>
      <w:r w:rsidRPr="00D66CE0">
        <w:t>). We begin by discussing how a core element of a firm's strategic orientation, its level of technology and marketing intensity, influences its timing of action within the acquisition wave. We then discuss the influence of the firm's structure, measured with firm size and diversification level, on positioning within the wave. Finally, we examine the influence of firm resources on action within the wave.</w:t>
      </w:r>
    </w:p>
    <w:p w14:paraId="04DC3009" w14:textId="77777777" w:rsidR="00D66CE0" w:rsidRPr="00D66CE0" w:rsidRDefault="00D66CE0" w:rsidP="00880CAF">
      <w:pPr>
        <w:pStyle w:val="Heading2"/>
      </w:pPr>
      <w:r w:rsidRPr="00D66CE0">
        <w:t>Strategic orientation: technology and marketing intensity</w:t>
      </w:r>
    </w:p>
    <w:p w14:paraId="0E2B8AE9" w14:textId="593F45AC" w:rsidR="00D66CE0" w:rsidRPr="00D66CE0" w:rsidRDefault="00D66CE0" w:rsidP="00D66CE0">
      <w:r w:rsidRPr="00D66CE0">
        <w:t>The level of investment firms make in technology and marketing will influence their awareness to act early in waves. A decision maker's awareness is largely driven by the strategic investments of the firm because these investments influence the attentional focus of managers (Ocasio, </w:t>
      </w:r>
      <w:r w:rsidRPr="00D66CE0">
        <w:rPr>
          <w:b/>
          <w:bCs/>
        </w:rPr>
        <w:t>1997</w:t>
      </w:r>
      <w:r w:rsidRPr="00D66CE0">
        <w:t>). Two core strategy attributes that are likely to influence the attention of managers are technology and marketing intensity (Mauri and Michaels, </w:t>
      </w:r>
      <w:r w:rsidRPr="00D66CE0">
        <w:rPr>
          <w:b/>
          <w:bCs/>
        </w:rPr>
        <w:t>1998</w:t>
      </w:r>
      <w:r w:rsidRPr="00D66CE0">
        <w:t xml:space="preserve">). More specifically, we argue that investments in technology and marketing will amplify managerial awareness since </w:t>
      </w:r>
      <w:proofErr w:type="gramStart"/>
      <w:r w:rsidRPr="00D66CE0">
        <w:t>both of these</w:t>
      </w:r>
      <w:proofErr w:type="gramEnd"/>
      <w:r w:rsidRPr="00D66CE0">
        <w:t xml:space="preserve"> investments will increase the degree to which a firm has an external and forward-looking focus. Both technology and marketing investments influence the degree to which a firm is striving to differentiate itself (Miller, </w:t>
      </w:r>
      <w:r w:rsidRPr="00D66CE0">
        <w:rPr>
          <w:b/>
          <w:bCs/>
        </w:rPr>
        <w:t>1986</w:t>
      </w:r>
      <w:r w:rsidRPr="00D66CE0">
        <w:t>, </w:t>
      </w:r>
      <w:r w:rsidRPr="00D66CE0">
        <w:rPr>
          <w:b/>
          <w:bCs/>
        </w:rPr>
        <w:t>1988</w:t>
      </w:r>
      <w:r w:rsidRPr="00D66CE0">
        <w:t xml:space="preserve">; Spanos, </w:t>
      </w:r>
      <w:proofErr w:type="spellStart"/>
      <w:r w:rsidRPr="00D66CE0">
        <w:t>Zaralis</w:t>
      </w:r>
      <w:proofErr w:type="spellEnd"/>
      <w:r w:rsidRPr="00D66CE0">
        <w:t xml:space="preserve">, and </w:t>
      </w:r>
      <w:proofErr w:type="spellStart"/>
      <w:r w:rsidRPr="00D66CE0">
        <w:t>Lioukas</w:t>
      </w:r>
      <w:proofErr w:type="spellEnd"/>
      <w:r w:rsidRPr="00D66CE0">
        <w:t>, </w:t>
      </w:r>
      <w:r w:rsidRPr="00D66CE0">
        <w:rPr>
          <w:b/>
          <w:bCs/>
        </w:rPr>
        <w:t>2004</w:t>
      </w:r>
      <w:r w:rsidRPr="00D66CE0">
        <w:t xml:space="preserve">). In striving for differentiation, these firms will need to be aware of the competitive actions and positioning of rivals as well as relevant market and technology trends. Thus, they are likely to become aware of triggers for acquisition waves earlier than their more inward-focused, </w:t>
      </w:r>
      <w:proofErr w:type="gramStart"/>
      <w:r w:rsidRPr="00D66CE0">
        <w:t>efficiency oriented</w:t>
      </w:r>
      <w:proofErr w:type="gramEnd"/>
      <w:r w:rsidRPr="00D66CE0">
        <w:t xml:space="preserve"> rivals. Additionally, firms that invest in technology and marketing are likely to strive to stake out leading positions. As Lieberman and Montgomery (</w:t>
      </w:r>
      <w:r w:rsidRPr="00D66CE0">
        <w:rPr>
          <w:b/>
          <w:bCs/>
        </w:rPr>
        <w:t>1988</w:t>
      </w:r>
      <w:r w:rsidRPr="00D66CE0">
        <w:t>: 49) argue, pioneering capabilities emerge from ‘technological foresight, perceptive market research, or skillful product or process development.’ Thus, investments in technology and marketing give insights that foster pioneering behavior. In our setting, this will relate to the firm's awareness of market and technology trends that will trigger acquisition waves. Consistent with this reasoning, prior research has found that firms taking a leadership or pioneer position in markets tended to be those with strong marketing and innovation capabilities (Smith and Grimm, </w:t>
      </w:r>
      <w:r w:rsidRPr="00D66CE0">
        <w:rPr>
          <w:b/>
          <w:bCs/>
        </w:rPr>
        <w:t>1987</w:t>
      </w:r>
      <w:r w:rsidRPr="00D66CE0">
        <w:t>; Berry, </w:t>
      </w:r>
      <w:r w:rsidRPr="00D66CE0">
        <w:rPr>
          <w:b/>
          <w:bCs/>
        </w:rPr>
        <w:t>2006</w:t>
      </w:r>
      <w:r w:rsidRPr="00D66CE0">
        <w:t>).</w:t>
      </w:r>
    </w:p>
    <w:p w14:paraId="377CC49E" w14:textId="27A0A9ED" w:rsidR="00D66CE0" w:rsidRPr="00D66CE0" w:rsidRDefault="00D66CE0" w:rsidP="00D66CE0">
      <w:r w:rsidRPr="00D66CE0">
        <w:lastRenderedPageBreak/>
        <w:t>These investments are also likely to increase the motivation of firms to lead acquisition waves. Firms that act early in acquisition waves are striving to create early mover advantages (McNamara </w:t>
      </w:r>
      <w:r w:rsidRPr="00D66CE0">
        <w:rPr>
          <w:i/>
          <w:iCs/>
        </w:rPr>
        <w:t>et al.</w:t>
      </w:r>
      <w:r w:rsidRPr="00D66CE0">
        <w:t>, </w:t>
      </w:r>
      <w:r w:rsidRPr="00D66CE0">
        <w:rPr>
          <w:b/>
          <w:bCs/>
        </w:rPr>
        <w:t>2008</w:t>
      </w:r>
      <w:r w:rsidRPr="00D66CE0">
        <w:t>) and position themselves in a leading position relative to their competitors. Heavy investments in technology and marketing indicate that a firm is striving to differentiate itself from its competitors and take a market leadership position (Lieberman and Montgomery, </w:t>
      </w:r>
      <w:r w:rsidRPr="00D66CE0">
        <w:rPr>
          <w:b/>
          <w:bCs/>
        </w:rPr>
        <w:t>1988</w:t>
      </w:r>
      <w:r w:rsidRPr="00D66CE0">
        <w:t>; Zahra and Covin, </w:t>
      </w:r>
      <w:r w:rsidRPr="00D66CE0">
        <w:rPr>
          <w:b/>
          <w:bCs/>
        </w:rPr>
        <w:t>1993</w:t>
      </w:r>
      <w:r w:rsidRPr="00D66CE0">
        <w:t>). Moreover, internally, the culture of these organizations is likely to be one of aggressiveness and risk tolerance (Zahra and Covin, </w:t>
      </w:r>
      <w:r w:rsidRPr="00D66CE0">
        <w:rPr>
          <w:b/>
          <w:bCs/>
        </w:rPr>
        <w:t>1993</w:t>
      </w:r>
      <w:r w:rsidRPr="00D66CE0">
        <w:t xml:space="preserve">). Thus, these firms are motivated to take a pioneering position in their markets </w:t>
      </w:r>
      <w:proofErr w:type="gramStart"/>
      <w:r w:rsidRPr="00D66CE0">
        <w:t>and also</w:t>
      </w:r>
      <w:proofErr w:type="gramEnd"/>
      <w:r w:rsidRPr="00D66CE0">
        <w:t xml:space="preserve"> have the willingness to take on the significant risk associated with pioneering.</w:t>
      </w:r>
    </w:p>
    <w:p w14:paraId="488FAF2C" w14:textId="2B48DCCA" w:rsidR="00D66CE0" w:rsidRPr="00D66CE0" w:rsidRDefault="00D66CE0" w:rsidP="00D66CE0">
      <w:r w:rsidRPr="00D66CE0">
        <w:t>These arguments are consistent with findings from the literature on new product development and entry. This research has found that firms investing more heavily in marketing activities (Schoenecker and Cooper, 1998) and technological development activities (Schoenecker and Cooper, 1998; Robinson and Chiang, 2002) tend to be market pioneers and early followers. Similarly, we expect to find firms that invest heavily in technology and marketing will tend to be leaders in acquisition waves, which results in our first hypothesis.</w:t>
      </w:r>
    </w:p>
    <w:p w14:paraId="4B4019A7" w14:textId="77777777" w:rsidR="00D66CE0" w:rsidRPr="00D66CE0" w:rsidRDefault="00D66CE0" w:rsidP="00926AE8">
      <w:pPr>
        <w:ind w:left="720"/>
      </w:pPr>
      <w:r w:rsidRPr="00D66CE0">
        <w:rPr>
          <w:i/>
          <w:iCs/>
        </w:rPr>
        <w:t>Hypothesis 1: The higher the technology and marketing intensity of the firm, the earlier it will act in an acquisition wave</w:t>
      </w:r>
      <w:r w:rsidRPr="00D66CE0">
        <w:t>.</w:t>
      </w:r>
    </w:p>
    <w:p w14:paraId="7525005E" w14:textId="77777777" w:rsidR="00D66CE0" w:rsidRPr="00D66CE0" w:rsidRDefault="00D66CE0" w:rsidP="00880CAF">
      <w:pPr>
        <w:pStyle w:val="Heading2"/>
      </w:pPr>
      <w:r w:rsidRPr="00D66CE0">
        <w:t>Structural factors: acquirer size</w:t>
      </w:r>
    </w:p>
    <w:p w14:paraId="278C1B26" w14:textId="4BAF3E39" w:rsidR="00D66CE0" w:rsidRPr="00D66CE0" w:rsidRDefault="00D66CE0" w:rsidP="00D66CE0">
      <w:r w:rsidRPr="00D66CE0">
        <w:t>Firm size may influence the firm's </w:t>
      </w:r>
      <w:r w:rsidRPr="00D66CE0">
        <w:rPr>
          <w:i/>
          <w:iCs/>
        </w:rPr>
        <w:t>awareness</w:t>
      </w:r>
      <w:r w:rsidRPr="00D66CE0">
        <w:t> of opportunities. Prior work suggests that smaller firm size is linked with exploration (</w:t>
      </w:r>
      <w:proofErr w:type="gramStart"/>
      <w:r w:rsidRPr="00D66CE0">
        <w:t>March,</w:t>
      </w:r>
      <w:proofErr w:type="gramEnd"/>
      <w:r w:rsidRPr="00D66CE0">
        <w:t> </w:t>
      </w:r>
      <w:r w:rsidRPr="00D66CE0">
        <w:rPr>
          <w:b/>
          <w:bCs/>
        </w:rPr>
        <w:t>1991</w:t>
      </w:r>
      <w:r w:rsidRPr="00D66CE0">
        <w:t>), which leads to actionable initiatives (Rothaermel and Deeds, </w:t>
      </w:r>
      <w:r w:rsidRPr="00D66CE0">
        <w:rPr>
          <w:b/>
          <w:bCs/>
        </w:rPr>
        <w:t>2004</w:t>
      </w:r>
      <w:r w:rsidRPr="00D66CE0">
        <w:t>). Firms may engage in either exploration of new opportunities or exploitation of existing ones (</w:t>
      </w:r>
      <w:proofErr w:type="gramStart"/>
      <w:r w:rsidRPr="00D66CE0">
        <w:t>March,</w:t>
      </w:r>
      <w:proofErr w:type="gramEnd"/>
      <w:r w:rsidRPr="00D66CE0">
        <w:t> </w:t>
      </w:r>
      <w:r w:rsidRPr="00D66CE0">
        <w:rPr>
          <w:b/>
          <w:bCs/>
        </w:rPr>
        <w:t>1991</w:t>
      </w:r>
      <w:r w:rsidRPr="00D66CE0">
        <w:t xml:space="preserve">). Exploration includes search, experimentation, and innovation, while exploitation consists of efficiency, execution, and implementation. Firms more focused on exploitation tend to be more rigid and short-term focused and to engage less in experimentation. As firm size increases, exploration may decrease as firms become less adaptive, and as the routinized behavior of larger firms increases their inertial pressures, which often contributes to the exploitation of existing capabilities instead of the exploration of new opportunities (Levinthal and </w:t>
      </w:r>
      <w:proofErr w:type="gramStart"/>
      <w:r w:rsidRPr="00D66CE0">
        <w:t>March,</w:t>
      </w:r>
      <w:proofErr w:type="gramEnd"/>
      <w:r w:rsidRPr="00D66CE0">
        <w:t> </w:t>
      </w:r>
      <w:r w:rsidRPr="00D66CE0">
        <w:rPr>
          <w:b/>
          <w:bCs/>
        </w:rPr>
        <w:t>1993</w:t>
      </w:r>
      <w:r w:rsidRPr="00D66CE0">
        <w:t>; March, </w:t>
      </w:r>
      <w:r w:rsidRPr="00D66CE0">
        <w:rPr>
          <w:b/>
          <w:bCs/>
        </w:rPr>
        <w:t>1991</w:t>
      </w:r>
      <w:r w:rsidRPr="00D66CE0">
        <w:t>). Thus, smaller firm size is associated with exploration and increased awareness, leading to earlier action within an acquisition wave.</w:t>
      </w:r>
    </w:p>
    <w:p w14:paraId="44FA442A" w14:textId="3AE78AA7" w:rsidR="00D66CE0" w:rsidRPr="00D66CE0" w:rsidRDefault="00D66CE0" w:rsidP="00D66CE0">
      <w:r w:rsidRPr="00D66CE0">
        <w:t>Firm size also influences a firm's </w:t>
      </w:r>
      <w:r w:rsidRPr="00D66CE0">
        <w:rPr>
          <w:i/>
          <w:iCs/>
        </w:rPr>
        <w:t>motivation</w:t>
      </w:r>
      <w:r w:rsidRPr="00D66CE0">
        <w:t> to push for action. Due to complacency and inertia induced by their market power, managers of large firms may feel that they are powerful enough to ignore their weaker rivals (Miller and Chen, </w:t>
      </w:r>
      <w:r w:rsidRPr="00D66CE0">
        <w:rPr>
          <w:b/>
          <w:bCs/>
        </w:rPr>
        <w:t>1994</w:t>
      </w:r>
      <w:r w:rsidRPr="00D66CE0">
        <w:t>). Consistent with this notion, larger firms have been shown to be risk averse (</w:t>
      </w:r>
      <w:proofErr w:type="spellStart"/>
      <w:r w:rsidRPr="00D66CE0">
        <w:t>Hitt</w:t>
      </w:r>
      <w:proofErr w:type="spellEnd"/>
      <w:r w:rsidRPr="00D66CE0">
        <w:t xml:space="preserve">, </w:t>
      </w:r>
      <w:proofErr w:type="spellStart"/>
      <w:r w:rsidRPr="00D66CE0">
        <w:t>Hoskisson</w:t>
      </w:r>
      <w:proofErr w:type="spellEnd"/>
      <w:r w:rsidRPr="00D66CE0">
        <w:t>, and Ireland, </w:t>
      </w:r>
      <w:r w:rsidRPr="00D66CE0">
        <w:rPr>
          <w:b/>
          <w:bCs/>
        </w:rPr>
        <w:t>1990</w:t>
      </w:r>
      <w:r w:rsidRPr="00D66CE0">
        <w:t>). In contrast, small firms have been shown to be more active than larger ones in initiating competitive moves (Chen and Hambrick, </w:t>
      </w:r>
      <w:r w:rsidRPr="00D66CE0">
        <w:rPr>
          <w:b/>
          <w:bCs/>
        </w:rPr>
        <w:t>1995</w:t>
      </w:r>
      <w:r w:rsidRPr="00D66CE0">
        <w:t xml:space="preserve">). Moreover, smaller firms are more vulnerable and less insulated from the external environment, which likely motivates them to respond to both threats and opportunities </w:t>
      </w:r>
      <w:proofErr w:type="gramStart"/>
      <w:r w:rsidRPr="00D66CE0">
        <w:t>in order to</w:t>
      </w:r>
      <w:proofErr w:type="gramEnd"/>
      <w:r w:rsidRPr="00D66CE0">
        <w:t xml:space="preserve"> survive (Aldrich and Auster, </w:t>
      </w:r>
      <w:r w:rsidRPr="00D66CE0">
        <w:rPr>
          <w:b/>
          <w:bCs/>
        </w:rPr>
        <w:t>1986</w:t>
      </w:r>
      <w:r w:rsidRPr="00D66CE0">
        <w:t>). Thus, smaller firms have a greater need than their larger rivals to act aggressively in the market and to challenge the status quo by initiating competitive actions (Chen and Hambrick, </w:t>
      </w:r>
      <w:r w:rsidRPr="00D66CE0">
        <w:rPr>
          <w:b/>
          <w:bCs/>
        </w:rPr>
        <w:t>1995</w:t>
      </w:r>
      <w:r w:rsidRPr="00D66CE0">
        <w:t>). Finally, competitive dynamics researchers have shown that small firms relative to large ones are more motivated to initiate competitive action—which has been referred to as ‘action propensity’—and do so more quickly, resulting in greater ‘action execution speed’ (Smith </w:t>
      </w:r>
      <w:r w:rsidRPr="00D66CE0">
        <w:rPr>
          <w:i/>
          <w:iCs/>
        </w:rPr>
        <w:t>et al.</w:t>
      </w:r>
      <w:r w:rsidRPr="00D66CE0">
        <w:t>, </w:t>
      </w:r>
      <w:r w:rsidRPr="00D66CE0">
        <w:rPr>
          <w:b/>
          <w:bCs/>
        </w:rPr>
        <w:t>2001</w:t>
      </w:r>
      <w:r w:rsidRPr="00D66CE0">
        <w:t>: 327).</w:t>
      </w:r>
    </w:p>
    <w:p w14:paraId="5015E469" w14:textId="17C5CB2C" w:rsidR="00D66CE0" w:rsidRPr="00D66CE0" w:rsidRDefault="00D66CE0" w:rsidP="00D66CE0">
      <w:r w:rsidRPr="00D66CE0">
        <w:t>In line with this argument that smaller size is associated with greater awareness and motivation, we expect smaller firms to quickly respond to opportunities that present themselves early in merger waves. In contrast, although larger firms are more inertial, their increased size and stature allows them to wait and respond to competitive pressures rather than be the initiators of action (Chen and Hambrick, 1995). Hence, we propose that:</w:t>
      </w:r>
    </w:p>
    <w:p w14:paraId="72E87239" w14:textId="77777777" w:rsidR="00D66CE0" w:rsidRPr="00D66CE0" w:rsidRDefault="00D66CE0" w:rsidP="00926AE8">
      <w:pPr>
        <w:ind w:left="720"/>
      </w:pPr>
      <w:r w:rsidRPr="00D66CE0">
        <w:rPr>
          <w:i/>
          <w:iCs/>
        </w:rPr>
        <w:t>Hypothesis 2: The smaller the firm size, the earlier it will tend to act in an acquisition wave</w:t>
      </w:r>
      <w:r w:rsidRPr="00D66CE0">
        <w:t>.</w:t>
      </w:r>
    </w:p>
    <w:p w14:paraId="5A72EBFE" w14:textId="77777777" w:rsidR="00D66CE0" w:rsidRPr="00D66CE0" w:rsidRDefault="00D66CE0" w:rsidP="00880CAF">
      <w:pPr>
        <w:pStyle w:val="Heading2"/>
      </w:pPr>
      <w:r w:rsidRPr="00D66CE0">
        <w:lastRenderedPageBreak/>
        <w:t>Structural factors: acquirer diversification</w:t>
      </w:r>
    </w:p>
    <w:p w14:paraId="05D44FB6" w14:textId="2ED73ED6" w:rsidR="00D66CE0" w:rsidRPr="00D66CE0" w:rsidRDefault="00D66CE0" w:rsidP="00D66CE0">
      <w:r w:rsidRPr="00D66CE0">
        <w:t>Firm diversification describes the diversity of business lines and/or product markets, with diversified firms having more complex structures than more focused firms. We posit that more focused firms—which are less complex and less bureaucratic than more diversified firms—will be more likely to move earlier within acquisition waves. More specifically, the level of diversification may influence the firm's </w:t>
      </w:r>
      <w:r w:rsidRPr="00D66CE0">
        <w:rPr>
          <w:i/>
          <w:iCs/>
        </w:rPr>
        <w:t>awareness</w:t>
      </w:r>
      <w:r w:rsidRPr="00D66CE0">
        <w:t> of opportunities. Diversification level, which is associated with bureaucracy (e.g., Donaldson, </w:t>
      </w:r>
      <w:r w:rsidRPr="00D66CE0">
        <w:rPr>
          <w:b/>
          <w:bCs/>
        </w:rPr>
        <w:t>2003</w:t>
      </w:r>
      <w:r w:rsidRPr="00D66CE0">
        <w:t>) impacts the broadness of a firm's search activity. Bureaucracy allows for increased reliability and consistency of behavior in organizations, which are accomplished through the creation of standard operating procedures, formalized actions, and rigid rules (Merton, </w:t>
      </w:r>
      <w:r w:rsidRPr="00D66CE0">
        <w:rPr>
          <w:b/>
          <w:bCs/>
        </w:rPr>
        <w:t>1957</w:t>
      </w:r>
      <w:r w:rsidRPr="00D66CE0">
        <w:t xml:space="preserve">). However, bureaucracy also fosters routines and rule-oriented behavior that </w:t>
      </w:r>
      <w:proofErr w:type="gramStart"/>
      <w:r w:rsidRPr="00D66CE0">
        <w:t>lead</w:t>
      </w:r>
      <w:proofErr w:type="gramEnd"/>
      <w:r w:rsidRPr="00D66CE0">
        <w:t xml:space="preserve"> to conservatism (Merton, </w:t>
      </w:r>
      <w:r w:rsidRPr="00D66CE0">
        <w:rPr>
          <w:b/>
          <w:bCs/>
        </w:rPr>
        <w:t>1968</w:t>
      </w:r>
      <w:r w:rsidRPr="00D66CE0">
        <w:t>). Bureaucratic routines appear not only to limit innovation (Adler and Borys, </w:t>
      </w:r>
      <w:r w:rsidRPr="00D66CE0">
        <w:rPr>
          <w:b/>
          <w:bCs/>
        </w:rPr>
        <w:t>1996</w:t>
      </w:r>
      <w:r w:rsidRPr="00D66CE0">
        <w:t>) but such routines also increase standard operation procedures and repetitive behavior, decrease the extent of a search for alternatives (Haveman, </w:t>
      </w:r>
      <w:r w:rsidRPr="00D66CE0">
        <w:rPr>
          <w:b/>
          <w:bCs/>
        </w:rPr>
        <w:t>1993b</w:t>
      </w:r>
      <w:r w:rsidRPr="00D66CE0">
        <w:t>), and encourage tunnel vision (Miller and Chen, </w:t>
      </w:r>
      <w:r w:rsidRPr="00D66CE0">
        <w:rPr>
          <w:b/>
          <w:bCs/>
        </w:rPr>
        <w:t>1996</w:t>
      </w:r>
      <w:r w:rsidRPr="00D66CE0">
        <w:t>). Such firms tend to be insular, slower to see emerging opportunities. Moreover, studies have shown that, as structural complexity—the number of levels and departments—increases so does the probability that the information being transmitted (e.g., from search) will be distorted as bureaucracy limits information-processing capacity (Galbraith, </w:t>
      </w:r>
      <w:r w:rsidRPr="00D66CE0">
        <w:rPr>
          <w:b/>
          <w:bCs/>
        </w:rPr>
        <w:t>1977</w:t>
      </w:r>
      <w:r w:rsidRPr="00D66CE0">
        <w:t>).</w:t>
      </w:r>
    </w:p>
    <w:p w14:paraId="3D02A3D4" w14:textId="0020B79C" w:rsidR="00D66CE0" w:rsidRPr="00D66CE0" w:rsidRDefault="00D66CE0" w:rsidP="00D66CE0">
      <w:r w:rsidRPr="00D66CE0">
        <w:t>Diversification also influences </w:t>
      </w:r>
      <w:r w:rsidRPr="00D66CE0">
        <w:rPr>
          <w:i/>
          <w:iCs/>
        </w:rPr>
        <w:t>motivation</w:t>
      </w:r>
      <w:r w:rsidRPr="00D66CE0">
        <w:t>. Diversified firms tend to have a corporate layer, which serves as a buffer between organizational units and external stakeholders (Kraatz and Zajac, 2001). Structural complexity and bureaucracy of highly diversified firms often protect them from competition and promote insularity (</w:t>
      </w:r>
      <w:proofErr w:type="gramStart"/>
      <w:r w:rsidRPr="00D66CE0">
        <w:t>March,</w:t>
      </w:r>
      <w:proofErr w:type="gramEnd"/>
      <w:r w:rsidRPr="00D66CE0">
        <w:t xml:space="preserve"> 1981). Relatedly, managers in business units in diversified firms may not be motivated to aggressively pursue opportunities due to the problem of low power incentives (Williamson, 1996). Managers in large, diversified firms typically own little equity, but have </w:t>
      </w:r>
      <w:proofErr w:type="gramStart"/>
      <w:r w:rsidRPr="00D66CE0">
        <w:t>large fixed</w:t>
      </w:r>
      <w:proofErr w:type="gramEnd"/>
      <w:r w:rsidRPr="00D66CE0">
        <w:t xml:space="preserve"> claims in salary (Jensen and Murphy, 1990). Since their compensation is largely fixed (Bethel and Liebeskind, 1998), and they don't fully benefit from the value generated by their organizational unit, these diversified unit managers have little incentive to act aggressively and take on substantial risk. In addition, more diversified firms may be less motivated to act since a sizable, risky investment in any division may upset the political balance between divisions (</w:t>
      </w:r>
      <w:proofErr w:type="spellStart"/>
      <w:r w:rsidRPr="00D66CE0">
        <w:t>Hoskisson</w:t>
      </w:r>
      <w:proofErr w:type="spellEnd"/>
      <w:r w:rsidRPr="00D66CE0">
        <w:t xml:space="preserve">, </w:t>
      </w:r>
      <w:proofErr w:type="spellStart"/>
      <w:r w:rsidRPr="00D66CE0">
        <w:t>Hitt</w:t>
      </w:r>
      <w:proofErr w:type="spellEnd"/>
      <w:r w:rsidRPr="00D66CE0">
        <w:t>, and Hill, 1991). Moreover, in diversified firms there occurs a significant bargaining over resources within the corporate layer among business units, which may inhibit the speed to respond to competitive challenge (Liebeskind, 2000). Consistent with these findings, competitive dynamics research has shown that the greater the firm's structural complexity, the less motivated it is to respond to competitive challenges (i.e., response likelihood). In addition, single-business firms tend to make competitive moves in limited domains, which enhances their swiftness and allows for aggressive action (Chen and Hambrick, 1995). Finally, if structurally complex firms do respond, they are inclined to react </w:t>
      </w:r>
      <w:r w:rsidRPr="00D66CE0">
        <w:rPr>
          <w:i/>
          <w:iCs/>
        </w:rPr>
        <w:t>after</w:t>
      </w:r>
      <w:r w:rsidRPr="00D66CE0">
        <w:t> other responding firms (‘response timing’) (Smith </w:t>
      </w:r>
      <w:r w:rsidRPr="00D66CE0">
        <w:rPr>
          <w:i/>
          <w:iCs/>
        </w:rPr>
        <w:t>et al.</w:t>
      </w:r>
      <w:r w:rsidRPr="00D66CE0">
        <w:t>, 1991: 317). Thus, we predict that due to their bureaucratic rigidity, more diversified firms will be characterized by more limited awareness and decreased motivation than more focused firms. As a result, such firms will be slower to enter acquisition waves until significant competitive pressures overwhelm their bureaucratic rigidity. As a result, we expect:</w:t>
      </w:r>
    </w:p>
    <w:p w14:paraId="2953C406" w14:textId="77777777" w:rsidR="00D66CE0" w:rsidRPr="00D66CE0" w:rsidRDefault="00D66CE0" w:rsidP="00926AE8">
      <w:pPr>
        <w:ind w:left="720"/>
      </w:pPr>
      <w:r w:rsidRPr="00D66CE0">
        <w:rPr>
          <w:i/>
          <w:iCs/>
        </w:rPr>
        <w:t>Hypothesis 3: The less diversified the firm, the earlier it will act in an acquisition wave</w:t>
      </w:r>
      <w:r w:rsidRPr="00D66CE0">
        <w:t>.</w:t>
      </w:r>
    </w:p>
    <w:p w14:paraId="0D93E303" w14:textId="77777777" w:rsidR="00D66CE0" w:rsidRPr="00D66CE0" w:rsidRDefault="00D66CE0" w:rsidP="00880CAF">
      <w:pPr>
        <w:pStyle w:val="Heading2"/>
      </w:pPr>
      <w:r w:rsidRPr="00D66CE0">
        <w:t>Resource foundations: firm slack</w:t>
      </w:r>
    </w:p>
    <w:p w14:paraId="7D78B2D7" w14:textId="37F7251D" w:rsidR="00D66CE0" w:rsidRPr="00D66CE0" w:rsidRDefault="00D66CE0" w:rsidP="00D66CE0">
      <w:r w:rsidRPr="00D66CE0">
        <w:t>Slack resources represent liquid resources that the firm can leverage to fund competitive action. Slack resources, therefore, impact a firm's </w:t>
      </w:r>
      <w:r w:rsidRPr="00D66CE0">
        <w:rPr>
          <w:i/>
          <w:iCs/>
        </w:rPr>
        <w:t>capability</w:t>
      </w:r>
      <w:r w:rsidRPr="00D66CE0">
        <w:t xml:space="preserve"> to deploy resources and make decisions that allow for action and quick response to environmental opportunities. Slack resources allow a firm to be opportunity focused and to take advantage of emergent opportunities (Cyert and </w:t>
      </w:r>
      <w:proofErr w:type="gramStart"/>
      <w:r w:rsidRPr="00D66CE0">
        <w:t>March,</w:t>
      </w:r>
      <w:proofErr w:type="gramEnd"/>
      <w:r w:rsidRPr="00D66CE0">
        <w:t> </w:t>
      </w:r>
      <w:r w:rsidRPr="00D66CE0">
        <w:rPr>
          <w:b/>
          <w:bCs/>
        </w:rPr>
        <w:t>1963</w:t>
      </w:r>
      <w:r w:rsidRPr="00D66CE0">
        <w:t>). Firms with more resources have been shown to undertake more actions (Smith </w:t>
      </w:r>
      <w:r w:rsidRPr="00D66CE0">
        <w:rPr>
          <w:i/>
          <w:iCs/>
        </w:rPr>
        <w:t>et al.</w:t>
      </w:r>
      <w:r w:rsidRPr="00D66CE0">
        <w:t>, </w:t>
      </w:r>
      <w:r w:rsidRPr="00D66CE0">
        <w:rPr>
          <w:b/>
          <w:bCs/>
        </w:rPr>
        <w:t>1991</w:t>
      </w:r>
      <w:r w:rsidRPr="00D66CE0">
        <w:t>). For example, firms with higher slack have been shown to have a greater ability to carry out more competitive moves (Young, Smith, and Grimm, </w:t>
      </w:r>
      <w:r w:rsidRPr="00D66CE0">
        <w:rPr>
          <w:b/>
          <w:bCs/>
        </w:rPr>
        <w:t>1996</w:t>
      </w:r>
      <w:r w:rsidRPr="00D66CE0">
        <w:t>) and to be more able to initiate strategic change (Bourgeois, </w:t>
      </w:r>
      <w:r w:rsidRPr="00D66CE0">
        <w:rPr>
          <w:b/>
          <w:bCs/>
        </w:rPr>
        <w:t>1981</w:t>
      </w:r>
      <w:r w:rsidRPr="00D66CE0">
        <w:t xml:space="preserve">). Moreover, high levels of slack resources also increase a firm's ability </w:t>
      </w:r>
      <w:r w:rsidRPr="00D66CE0">
        <w:lastRenderedPageBreak/>
        <w:t>to initiate and sustain an aggressive pattern of competitive actions (Ferrier, </w:t>
      </w:r>
      <w:r w:rsidRPr="00D66CE0">
        <w:rPr>
          <w:b/>
          <w:bCs/>
        </w:rPr>
        <w:t>2001</w:t>
      </w:r>
      <w:r w:rsidRPr="00D66CE0">
        <w:t>), and such firms are likely to respond faster and more effectively to environmental crises than organizations with limited resources (Meyer, </w:t>
      </w:r>
      <w:r w:rsidRPr="00D66CE0">
        <w:rPr>
          <w:b/>
          <w:bCs/>
        </w:rPr>
        <w:t>1982</w:t>
      </w:r>
      <w:r w:rsidRPr="00D66CE0">
        <w:t>). In contrast, low levels of slack limit the firm's ability to generate needed resources, which constrains aggressiveness (Young </w:t>
      </w:r>
      <w:r w:rsidRPr="00D66CE0">
        <w:rPr>
          <w:i/>
          <w:iCs/>
        </w:rPr>
        <w:t>et al.</w:t>
      </w:r>
      <w:r w:rsidRPr="00D66CE0">
        <w:t>, </w:t>
      </w:r>
      <w:r w:rsidRPr="00D66CE0">
        <w:rPr>
          <w:b/>
          <w:bCs/>
        </w:rPr>
        <w:t>1996</w:t>
      </w:r>
      <w:r w:rsidRPr="00D66CE0">
        <w:t>).</w:t>
      </w:r>
    </w:p>
    <w:p w14:paraId="1A71F09F" w14:textId="20E14BDA" w:rsidR="00D66CE0" w:rsidRPr="00D66CE0" w:rsidRDefault="00D66CE0" w:rsidP="00D66CE0">
      <w:r w:rsidRPr="00D66CE0">
        <w:t xml:space="preserve">Slack also permits the firm the capability to experiment with innovation (Cyert and </w:t>
      </w:r>
      <w:proofErr w:type="gramStart"/>
      <w:r w:rsidRPr="00D66CE0">
        <w:t>March,</w:t>
      </w:r>
      <w:proofErr w:type="gramEnd"/>
      <w:r w:rsidRPr="00D66CE0">
        <w:t> </w:t>
      </w:r>
      <w:r w:rsidRPr="00D66CE0">
        <w:rPr>
          <w:b/>
          <w:bCs/>
        </w:rPr>
        <w:t>1963</w:t>
      </w:r>
      <w:r w:rsidRPr="00D66CE0">
        <w:t>). Empirical evidence shows that slack resources may facilitate experimenting with new markets because such resources buffer firms from downside risks, thereby lowering the likelihood of failure (Haveman, </w:t>
      </w:r>
      <w:r w:rsidRPr="00D66CE0">
        <w:rPr>
          <w:b/>
          <w:bCs/>
        </w:rPr>
        <w:t>1993a</w:t>
      </w:r>
      <w:r w:rsidRPr="00D66CE0">
        <w:t xml:space="preserve">). Hence, slack causes a relaxation of controls and represents funds that may be used even given uncertainty, which allows the firm to act </w:t>
      </w:r>
      <w:proofErr w:type="gramStart"/>
      <w:r w:rsidRPr="00D66CE0">
        <w:t>in order to</w:t>
      </w:r>
      <w:proofErr w:type="gramEnd"/>
      <w:r w:rsidRPr="00D66CE0">
        <w:t xml:space="preserve"> exploit potential opportunities to improve margins and revenues that might be derived from such experimentation (</w:t>
      </w:r>
      <w:proofErr w:type="spellStart"/>
      <w:r w:rsidRPr="00D66CE0">
        <w:t>Nohria</w:t>
      </w:r>
      <w:proofErr w:type="spellEnd"/>
      <w:r w:rsidRPr="00D66CE0">
        <w:t xml:space="preserve"> and Gulati, </w:t>
      </w:r>
      <w:r w:rsidRPr="00D66CE0">
        <w:rPr>
          <w:b/>
          <w:bCs/>
        </w:rPr>
        <w:t>1996</w:t>
      </w:r>
      <w:r w:rsidRPr="00D66CE0">
        <w:t>).</w:t>
      </w:r>
    </w:p>
    <w:p w14:paraId="2028C9D2" w14:textId="493B31F0" w:rsidR="00D66CE0" w:rsidRPr="00D66CE0" w:rsidRDefault="00D66CE0" w:rsidP="00D66CE0">
      <w:r w:rsidRPr="00D66CE0">
        <w:t>Finally, slack resources give the firm leeway in managing responses to competitive pressure. Firms with high levels of slack resources have the </w:t>
      </w:r>
      <w:r w:rsidRPr="00D66CE0">
        <w:rPr>
          <w:i/>
          <w:iCs/>
        </w:rPr>
        <w:t>capability</w:t>
      </w:r>
      <w:r w:rsidRPr="00D66CE0">
        <w:t> to mobilize resources necessary to respond quickly to competitive actions by rivals (</w:t>
      </w:r>
      <w:proofErr w:type="spellStart"/>
      <w:r w:rsidRPr="00D66CE0">
        <w:t>Fombrun</w:t>
      </w:r>
      <w:proofErr w:type="spellEnd"/>
      <w:r w:rsidRPr="00D66CE0">
        <w:t xml:space="preserve"> and Ginsberg, </w:t>
      </w:r>
      <w:r w:rsidRPr="00D66CE0">
        <w:rPr>
          <w:b/>
          <w:bCs/>
        </w:rPr>
        <w:t>1990</w:t>
      </w:r>
      <w:r w:rsidRPr="00D66CE0">
        <w:t>; Pettigrew, </w:t>
      </w:r>
      <w:r w:rsidRPr="00D66CE0">
        <w:rPr>
          <w:b/>
          <w:bCs/>
        </w:rPr>
        <w:t>1992</w:t>
      </w:r>
      <w:r w:rsidRPr="00D66CE0">
        <w:t>; Young, </w:t>
      </w:r>
      <w:r w:rsidRPr="00D66CE0">
        <w:rPr>
          <w:i/>
          <w:iCs/>
        </w:rPr>
        <w:t>et al</w:t>
      </w:r>
      <w:r w:rsidRPr="00D66CE0">
        <w:t>, </w:t>
      </w:r>
      <w:r w:rsidRPr="00D66CE0">
        <w:rPr>
          <w:b/>
          <w:bCs/>
        </w:rPr>
        <w:t>1996</w:t>
      </w:r>
      <w:r w:rsidRPr="00D66CE0">
        <w:t>). In contrast, low slack firms are likely to wait to imitate the actions of pioneers since following the actions of rivals is generally less costly than to pioneer a new action (Lieberman and Montgomery, </w:t>
      </w:r>
      <w:r w:rsidRPr="00D66CE0">
        <w:rPr>
          <w:b/>
          <w:bCs/>
        </w:rPr>
        <w:t>1988</w:t>
      </w:r>
      <w:r w:rsidRPr="00D66CE0">
        <w:t>). Competitive dynamics research provides evidence that firms with lower slack are less capable to act independently and are more likely to copy rivals' actions than firms with greater slack (Smith </w:t>
      </w:r>
      <w:r w:rsidRPr="00D66CE0">
        <w:rPr>
          <w:i/>
          <w:iCs/>
        </w:rPr>
        <w:t>et al.</w:t>
      </w:r>
      <w:r w:rsidRPr="00D66CE0">
        <w:t>, </w:t>
      </w:r>
      <w:r w:rsidRPr="00D66CE0">
        <w:rPr>
          <w:b/>
          <w:bCs/>
        </w:rPr>
        <w:t>1991</w:t>
      </w:r>
      <w:r w:rsidRPr="00D66CE0">
        <w:t>). Thus, when later movers with lower levels of slack move in acquisition waves, it is based more on a response to competitive pressures than on an independent willingness to pioneer.</w:t>
      </w:r>
    </w:p>
    <w:p w14:paraId="57D350C2" w14:textId="77777777" w:rsidR="00D66CE0" w:rsidRPr="00D66CE0" w:rsidRDefault="00D66CE0" w:rsidP="00D66CE0">
      <w:r w:rsidRPr="00D66CE0">
        <w:t xml:space="preserve">Since higher slack gives a firm greater capability to act quickly </w:t>
      </w:r>
      <w:proofErr w:type="gramStart"/>
      <w:r w:rsidRPr="00D66CE0">
        <w:t>in order to</w:t>
      </w:r>
      <w:proofErr w:type="gramEnd"/>
      <w:r w:rsidRPr="00D66CE0">
        <w:t xml:space="preserve"> seize opportunities within acquisition waves, we hypothesize:</w:t>
      </w:r>
    </w:p>
    <w:p w14:paraId="60CE09A7" w14:textId="77777777" w:rsidR="00D66CE0" w:rsidRPr="00D66CE0" w:rsidRDefault="00D66CE0" w:rsidP="00926AE8">
      <w:pPr>
        <w:ind w:left="720"/>
      </w:pPr>
      <w:r w:rsidRPr="00D66CE0">
        <w:rPr>
          <w:i/>
          <w:iCs/>
        </w:rPr>
        <w:t>Hypothesis 4: The greater the firm's slack resources, the earlier it will act in the acquisition wave</w:t>
      </w:r>
      <w:r w:rsidRPr="00D66CE0">
        <w:t>.</w:t>
      </w:r>
    </w:p>
    <w:p w14:paraId="5B552A14" w14:textId="77777777" w:rsidR="00D66CE0" w:rsidRPr="00D66CE0" w:rsidRDefault="00D66CE0" w:rsidP="00880CAF">
      <w:pPr>
        <w:pStyle w:val="Heading2"/>
      </w:pPr>
      <w:r w:rsidRPr="00D66CE0">
        <w:t>Resource foundations: firm performance</w:t>
      </w:r>
    </w:p>
    <w:p w14:paraId="6D3C1602" w14:textId="0EA554D4" w:rsidR="00D66CE0" w:rsidRPr="00D66CE0" w:rsidRDefault="00D66CE0" w:rsidP="00D66CE0">
      <w:r w:rsidRPr="00D66CE0">
        <w:t>High performing firms likely have high levels of </w:t>
      </w:r>
      <w:r w:rsidRPr="00D66CE0">
        <w:rPr>
          <w:i/>
          <w:iCs/>
        </w:rPr>
        <w:t>capability</w:t>
      </w:r>
      <w:r w:rsidRPr="00D66CE0">
        <w:t> to act. There is uncertainty about the prospects of the wave when it is just starting—as it is not yet a ‘legitimate’ action. Strong firm performance and the resultant reputational strength benefits firms in several ways (</w:t>
      </w:r>
      <w:proofErr w:type="spellStart"/>
      <w:r w:rsidRPr="00D66CE0">
        <w:t>Fombrun</w:t>
      </w:r>
      <w:proofErr w:type="spellEnd"/>
      <w:r w:rsidRPr="00D66CE0">
        <w:t xml:space="preserve"> and Shanley, </w:t>
      </w:r>
      <w:r w:rsidRPr="00D66CE0">
        <w:rPr>
          <w:b/>
          <w:bCs/>
        </w:rPr>
        <w:t>1990</w:t>
      </w:r>
      <w:r w:rsidRPr="00D66CE0">
        <w:t>). First, it aids in raising capital in the face of decision and environmental uncertainty. Strong performing firms will have an increased capability to act since their performance leads to positive credit ratings, reputation within the investment community, and ultimately easy access to capital and debt markets to raise the resources necessary to finance acquisitions early in waves. The strong reputation of the firm will also give it the confidence to take bold actions such as taking acquisition actions in response to market or regulatory changes before the legitimacy of such an action is established. Finally, reputation will provide the firm latitude with stakeholders to take bold action.</w:t>
      </w:r>
    </w:p>
    <w:p w14:paraId="35253547" w14:textId="004D13C5" w:rsidR="00D66CE0" w:rsidRPr="00D66CE0" w:rsidRDefault="00D66CE0" w:rsidP="00D66CE0">
      <w:r w:rsidRPr="00D66CE0">
        <w:t>In contrast, firms with very low performance are likely to have reduced capability to take on the risky role of leading an acquisition wave since they will not have access to the resources necessary to finance these risky acquisitions. Resource availability is a critical determinant of a firm's ability to take on substantial risk (Audia and Greve, 2006). Poor performance reduces the availability of capital and debt financing for a firm because it leads to a lower credit rating and an inferior reputation with investors and other stakeholders. Thus, the legitimacy of high performing firms gives them the ability to take the risky action of entering waves early.</w:t>
      </w:r>
    </w:p>
    <w:p w14:paraId="6F79A3A8" w14:textId="77777777" w:rsidR="00D66CE0" w:rsidRPr="00D66CE0" w:rsidRDefault="00D66CE0" w:rsidP="00926AE8">
      <w:pPr>
        <w:ind w:left="720"/>
      </w:pPr>
      <w:r w:rsidRPr="00D66CE0">
        <w:rPr>
          <w:i/>
          <w:iCs/>
        </w:rPr>
        <w:t>Hypothesis 5: The greater a firm's performance, the earlier it will move in an acquisition wave</w:t>
      </w:r>
      <w:r w:rsidRPr="00D66CE0">
        <w:t>.</w:t>
      </w:r>
    </w:p>
    <w:p w14:paraId="28884D15" w14:textId="77777777" w:rsidR="00D66CE0" w:rsidRPr="00D66CE0" w:rsidRDefault="00D66CE0" w:rsidP="00880CAF">
      <w:pPr>
        <w:pStyle w:val="Heading1"/>
      </w:pPr>
      <w:r w:rsidRPr="00D66CE0">
        <w:lastRenderedPageBreak/>
        <w:t>Methods</w:t>
      </w:r>
    </w:p>
    <w:p w14:paraId="1001EB95" w14:textId="77777777" w:rsidR="00D66CE0" w:rsidRPr="00D66CE0" w:rsidRDefault="00D66CE0" w:rsidP="00880CAF">
      <w:pPr>
        <w:pStyle w:val="Heading2"/>
      </w:pPr>
      <w:r w:rsidRPr="00D66CE0">
        <w:t>Sample and data</w:t>
      </w:r>
    </w:p>
    <w:p w14:paraId="34B77B83" w14:textId="62EB330D" w:rsidR="00D66CE0" w:rsidRPr="00D66CE0" w:rsidRDefault="00D66CE0" w:rsidP="00D66CE0">
      <w:r w:rsidRPr="00D66CE0">
        <w:t>We assessed industry acquisition waves from 1984 through 2004 following methods consistent with prior research on acquisition waves (Carow </w:t>
      </w:r>
      <w:r w:rsidRPr="00D66CE0">
        <w:rPr>
          <w:i/>
          <w:iCs/>
        </w:rPr>
        <w:t>et al.</w:t>
      </w:r>
      <w:r w:rsidRPr="00D66CE0">
        <w:t>, </w:t>
      </w:r>
      <w:r w:rsidRPr="00D66CE0">
        <w:rPr>
          <w:b/>
          <w:bCs/>
        </w:rPr>
        <w:t>2004</w:t>
      </w:r>
      <w:r w:rsidRPr="00D66CE0">
        <w:t>; Harford, </w:t>
      </w:r>
      <w:r w:rsidRPr="00D66CE0">
        <w:rPr>
          <w:b/>
          <w:bCs/>
        </w:rPr>
        <w:t>2005</w:t>
      </w:r>
      <w:r w:rsidRPr="00D66CE0">
        <w:t>; McNamara </w:t>
      </w:r>
      <w:r w:rsidRPr="00D66CE0">
        <w:rPr>
          <w:i/>
          <w:iCs/>
        </w:rPr>
        <w:t>et al.</w:t>
      </w:r>
      <w:r w:rsidRPr="00D66CE0">
        <w:t>, </w:t>
      </w:r>
      <w:r w:rsidRPr="00D66CE0">
        <w:rPr>
          <w:b/>
          <w:bCs/>
        </w:rPr>
        <w:t>2008</w:t>
      </w:r>
      <w:r w:rsidRPr="00D66CE0">
        <w:t xml:space="preserve">). Using Securities Data Corporation (SDC) data, we first calculated the number of completed acquisitions in each four-digit Standard Industrial Classification (SIC) code by year. We excluded financial service industries since they have different asset structures than other industries, and stock market reactions can differ for these industries. We then looked for relatively short periods—maximum six years—of intense acquisition activity. We used two screens to conclude </w:t>
      </w:r>
      <w:proofErr w:type="gramStart"/>
      <w:r w:rsidRPr="00D66CE0">
        <w:t>whether or not</w:t>
      </w:r>
      <w:proofErr w:type="gramEnd"/>
      <w:r w:rsidRPr="00D66CE0">
        <w:t xml:space="preserve"> this heightened period of activity was intense enough to meet the criteria of an acquisition wave. First, the acquisition activity in the peak year of the period had to be at least double both the first and the last year of the period. Second, we wanted to limit the chance that our wave periods were simply random occurrences (Harford, </w:t>
      </w:r>
      <w:r w:rsidRPr="00D66CE0">
        <w:rPr>
          <w:b/>
          <w:bCs/>
        </w:rPr>
        <w:t>2005</w:t>
      </w:r>
      <w:r w:rsidRPr="00D66CE0">
        <w:t>). To check this, we first calculated the total number of acquisitions that occurred during each industry wave. We then simulated 100 distributions of acquisitions over the same length period, randomly assigning each of the acquisitions to one of the years in the wave period. Then we assessed the likelihood that the number of acquisitions in the peak year would have occurred by chance. In line with Harford's (</w:t>
      </w:r>
      <w:r w:rsidRPr="00D66CE0">
        <w:rPr>
          <w:b/>
          <w:bCs/>
        </w:rPr>
        <w:t>2005</w:t>
      </w:r>
      <w:r w:rsidRPr="00D66CE0">
        <w:t>) recommendation, each of our peak wave years exceeded the 95</w:t>
      </w:r>
      <w:r w:rsidRPr="00D66CE0">
        <w:rPr>
          <w:vertAlign w:val="superscript"/>
        </w:rPr>
        <w:t>th</w:t>
      </w:r>
      <w:r w:rsidRPr="00D66CE0">
        <w:t> percentile in the simulated distribution set. Thus, we concluded that none of our waves were likely simply random patterns of acquisitions.</w:t>
      </w:r>
    </w:p>
    <w:p w14:paraId="7E0A15E5" w14:textId="3BC721F0" w:rsidR="00D66CE0" w:rsidRPr="00D66CE0" w:rsidRDefault="00D66CE0" w:rsidP="00D66CE0">
      <w:r w:rsidRPr="00D66CE0">
        <w:t>We identified 12 acquisition waves in 12 four-digit SIC coded industries. We had complete firm and acquisition data for a total of 2,315 completed acquisitions. The waves we identified spanned a wide range of industry sectors, including manufacturing, logistics, communications, retailing, hospitality, and services. The acquirers also widely vary in size, with total assets ranging from $ 10M to $ 263B, and total revenue ranging from $ 10M to $ 160B.</w:t>
      </w:r>
      <w:r w:rsidRPr="00982113">
        <w:rPr>
          <w:b/>
          <w:bCs/>
          <w:vertAlign w:val="superscript"/>
        </w:rPr>
        <w:t>2</w:t>
      </w:r>
      <w:r w:rsidRPr="00D66CE0">
        <w:t> The mean total assets and revenues in our sample are $ 3.0B and 1.6B, respectively.</w:t>
      </w:r>
      <w:r w:rsidRPr="00982113">
        <w:rPr>
          <w:b/>
          <w:bCs/>
          <w:vertAlign w:val="superscript"/>
        </w:rPr>
        <w:t>3</w:t>
      </w:r>
      <w:r w:rsidRPr="00D66CE0">
        <w:t xml:space="preserve"> The Tobin's q values of acquiring firms in our sample are </w:t>
      </w:r>
      <w:proofErr w:type="gramStart"/>
      <w:r w:rsidRPr="00D66CE0">
        <w:t>fairly high</w:t>
      </w:r>
      <w:proofErr w:type="gramEnd"/>
      <w:r w:rsidRPr="00D66CE0">
        <w:t>, with a mean value of 2.87. This is not surprising since acquisition waves tend to occur during periods of high stock valuations (Rhodes-Kropf and Viswanathan, </w:t>
      </w:r>
      <w:r w:rsidRPr="00D66CE0">
        <w:rPr>
          <w:b/>
          <w:bCs/>
        </w:rPr>
        <w:t>2004</w:t>
      </w:r>
      <w:r w:rsidRPr="00D66CE0">
        <w:t>), and acquiring firms tend to have high Tobin's q values and use their highly valued stock to acquire firms (Jovanovic and Rousseau, </w:t>
      </w:r>
      <w:r w:rsidRPr="00D66CE0">
        <w:rPr>
          <w:b/>
          <w:bCs/>
        </w:rPr>
        <w:t>2002</w:t>
      </w:r>
      <w:r w:rsidRPr="00D66CE0">
        <w:t>). Our dataset includes completed acquisitions in which the acquiring firm was publicly traded and acquired a majority position in the target firm. We identify the industries and their wave periods in Table </w:t>
      </w:r>
      <w:r w:rsidRPr="00D66CE0">
        <w:rPr>
          <w:b/>
          <w:bCs/>
        </w:rPr>
        <w:t>1</w:t>
      </w:r>
      <w:r w:rsidRPr="00D66CE0">
        <w:t>.</w:t>
      </w:r>
    </w:p>
    <w:p w14:paraId="63F6F311" w14:textId="77777777" w:rsidR="00D66CE0" w:rsidRPr="00D66CE0" w:rsidRDefault="00D66CE0" w:rsidP="00AA541E">
      <w:pPr>
        <w:spacing w:after="0"/>
      </w:pPr>
      <w:r w:rsidRPr="00D66CE0">
        <w:rPr>
          <w:b/>
          <w:bCs/>
        </w:rPr>
        <w:t>Table 1. </w:t>
      </w:r>
      <w:r w:rsidRPr="00D66CE0">
        <w:t>Description of wave industries</w:t>
      </w:r>
    </w:p>
    <w:tbl>
      <w:tblPr>
        <w:tblStyle w:val="TableGrid"/>
        <w:tblW w:w="0" w:type="auto"/>
        <w:tblLook w:val="04A0" w:firstRow="1" w:lastRow="0" w:firstColumn="1" w:lastColumn="0" w:noHBand="0" w:noVBand="1"/>
      </w:tblPr>
      <w:tblGrid>
        <w:gridCol w:w="967"/>
        <w:gridCol w:w="3168"/>
        <w:gridCol w:w="2430"/>
        <w:gridCol w:w="720"/>
        <w:gridCol w:w="900"/>
        <w:gridCol w:w="900"/>
        <w:gridCol w:w="985"/>
      </w:tblGrid>
      <w:tr w:rsidR="00D66CE0" w:rsidRPr="00D66CE0" w14:paraId="043F8221" w14:textId="77777777" w:rsidTr="00A36E66">
        <w:tc>
          <w:tcPr>
            <w:tcW w:w="0" w:type="auto"/>
            <w:hideMark/>
          </w:tcPr>
          <w:p w14:paraId="13D7BD34" w14:textId="77777777" w:rsidR="00D66CE0" w:rsidRPr="00D66CE0" w:rsidRDefault="00D66CE0" w:rsidP="00AA541E">
            <w:pPr>
              <w:pStyle w:val="NoSpacing"/>
            </w:pPr>
            <w:r w:rsidRPr="00D66CE0">
              <w:t>SIC code</w:t>
            </w:r>
          </w:p>
        </w:tc>
        <w:tc>
          <w:tcPr>
            <w:tcW w:w="3168" w:type="dxa"/>
            <w:hideMark/>
          </w:tcPr>
          <w:p w14:paraId="56822831" w14:textId="77777777" w:rsidR="00D66CE0" w:rsidRPr="00D66CE0" w:rsidRDefault="00D66CE0" w:rsidP="00AA541E">
            <w:pPr>
              <w:pStyle w:val="NoSpacing"/>
            </w:pPr>
            <w:r w:rsidRPr="00D66CE0">
              <w:t>Industry description</w:t>
            </w:r>
          </w:p>
        </w:tc>
        <w:tc>
          <w:tcPr>
            <w:tcW w:w="2430" w:type="dxa"/>
            <w:hideMark/>
          </w:tcPr>
          <w:p w14:paraId="5A4CB165" w14:textId="77777777" w:rsidR="00D66CE0" w:rsidRPr="00D66CE0" w:rsidRDefault="00D66CE0" w:rsidP="00AA541E">
            <w:pPr>
              <w:pStyle w:val="NoSpacing"/>
            </w:pPr>
            <w:r w:rsidRPr="00D66CE0">
              <w:t>Wave date range</w:t>
            </w:r>
          </w:p>
        </w:tc>
        <w:tc>
          <w:tcPr>
            <w:tcW w:w="720" w:type="dxa"/>
            <w:hideMark/>
          </w:tcPr>
          <w:p w14:paraId="4B3E687A" w14:textId="77777777" w:rsidR="00D66CE0" w:rsidRPr="00D66CE0" w:rsidRDefault="00D66CE0" w:rsidP="00AA541E">
            <w:pPr>
              <w:pStyle w:val="NoSpacing"/>
            </w:pPr>
            <w:r w:rsidRPr="00D66CE0">
              <w:t>Total N</w:t>
            </w:r>
          </w:p>
        </w:tc>
        <w:tc>
          <w:tcPr>
            <w:tcW w:w="900" w:type="dxa"/>
            <w:hideMark/>
          </w:tcPr>
          <w:p w14:paraId="343AE2AB" w14:textId="77777777" w:rsidR="00D66CE0" w:rsidRPr="00D66CE0" w:rsidRDefault="00D66CE0" w:rsidP="00AA541E">
            <w:pPr>
              <w:pStyle w:val="NoSpacing"/>
            </w:pPr>
            <w:r w:rsidRPr="00D66CE0">
              <w:t>First year N</w:t>
            </w:r>
          </w:p>
        </w:tc>
        <w:tc>
          <w:tcPr>
            <w:tcW w:w="900" w:type="dxa"/>
            <w:hideMark/>
          </w:tcPr>
          <w:p w14:paraId="52168580" w14:textId="77777777" w:rsidR="00D66CE0" w:rsidRPr="00D66CE0" w:rsidRDefault="00D66CE0" w:rsidP="00AA541E">
            <w:pPr>
              <w:pStyle w:val="NoSpacing"/>
            </w:pPr>
            <w:r w:rsidRPr="00D66CE0">
              <w:t>Peak year N</w:t>
            </w:r>
          </w:p>
        </w:tc>
        <w:tc>
          <w:tcPr>
            <w:tcW w:w="985" w:type="dxa"/>
            <w:hideMark/>
          </w:tcPr>
          <w:p w14:paraId="450C4F00" w14:textId="77777777" w:rsidR="00D66CE0" w:rsidRPr="00D66CE0" w:rsidRDefault="00D66CE0" w:rsidP="00AA541E">
            <w:pPr>
              <w:pStyle w:val="NoSpacing"/>
            </w:pPr>
            <w:r w:rsidRPr="00D66CE0">
              <w:t>Last year N</w:t>
            </w:r>
          </w:p>
        </w:tc>
      </w:tr>
      <w:tr w:rsidR="00D66CE0" w:rsidRPr="00D66CE0" w14:paraId="1CB262A1" w14:textId="77777777" w:rsidTr="00A36E66">
        <w:tc>
          <w:tcPr>
            <w:tcW w:w="0" w:type="auto"/>
            <w:hideMark/>
          </w:tcPr>
          <w:p w14:paraId="136FD846" w14:textId="77777777" w:rsidR="00D66CE0" w:rsidRPr="00D66CE0" w:rsidRDefault="00D66CE0" w:rsidP="00AA541E">
            <w:pPr>
              <w:pStyle w:val="NoSpacing"/>
            </w:pPr>
            <w:r w:rsidRPr="00D66CE0">
              <w:t>3674</w:t>
            </w:r>
          </w:p>
        </w:tc>
        <w:tc>
          <w:tcPr>
            <w:tcW w:w="3168" w:type="dxa"/>
            <w:hideMark/>
          </w:tcPr>
          <w:p w14:paraId="44C8B651" w14:textId="77777777" w:rsidR="00D66CE0" w:rsidRPr="00D66CE0" w:rsidRDefault="00D66CE0" w:rsidP="00AA541E">
            <w:pPr>
              <w:pStyle w:val="NoSpacing"/>
            </w:pPr>
            <w:r w:rsidRPr="00D66CE0">
              <w:t>Semiconductor</w:t>
            </w:r>
          </w:p>
        </w:tc>
        <w:tc>
          <w:tcPr>
            <w:tcW w:w="2430" w:type="dxa"/>
            <w:hideMark/>
          </w:tcPr>
          <w:p w14:paraId="630726CD" w14:textId="77777777" w:rsidR="00D66CE0" w:rsidRPr="00D66CE0" w:rsidRDefault="00D66CE0" w:rsidP="00AA541E">
            <w:pPr>
              <w:pStyle w:val="NoSpacing"/>
            </w:pPr>
            <w:r w:rsidRPr="00D66CE0">
              <w:t>1998–2001</w:t>
            </w:r>
          </w:p>
        </w:tc>
        <w:tc>
          <w:tcPr>
            <w:tcW w:w="720" w:type="dxa"/>
            <w:hideMark/>
          </w:tcPr>
          <w:p w14:paraId="24687D76" w14:textId="77777777" w:rsidR="00D66CE0" w:rsidRPr="00D66CE0" w:rsidRDefault="00D66CE0" w:rsidP="00AA541E">
            <w:pPr>
              <w:pStyle w:val="NoSpacing"/>
            </w:pPr>
            <w:r w:rsidRPr="00D66CE0">
              <w:t>308</w:t>
            </w:r>
          </w:p>
        </w:tc>
        <w:tc>
          <w:tcPr>
            <w:tcW w:w="900" w:type="dxa"/>
            <w:hideMark/>
          </w:tcPr>
          <w:p w14:paraId="57A1DC6D" w14:textId="77777777" w:rsidR="00D66CE0" w:rsidRPr="00D66CE0" w:rsidRDefault="00D66CE0" w:rsidP="00AA541E">
            <w:pPr>
              <w:pStyle w:val="NoSpacing"/>
            </w:pPr>
            <w:r w:rsidRPr="00D66CE0">
              <w:t>40</w:t>
            </w:r>
          </w:p>
        </w:tc>
        <w:tc>
          <w:tcPr>
            <w:tcW w:w="900" w:type="dxa"/>
            <w:hideMark/>
          </w:tcPr>
          <w:p w14:paraId="77922327" w14:textId="77777777" w:rsidR="00D66CE0" w:rsidRPr="00D66CE0" w:rsidRDefault="00D66CE0" w:rsidP="00AA541E">
            <w:pPr>
              <w:pStyle w:val="NoSpacing"/>
            </w:pPr>
            <w:r w:rsidRPr="00D66CE0">
              <w:t>125</w:t>
            </w:r>
          </w:p>
        </w:tc>
        <w:tc>
          <w:tcPr>
            <w:tcW w:w="985" w:type="dxa"/>
            <w:hideMark/>
          </w:tcPr>
          <w:p w14:paraId="3C5B7C0A" w14:textId="77777777" w:rsidR="00D66CE0" w:rsidRPr="00D66CE0" w:rsidRDefault="00D66CE0" w:rsidP="00AA541E">
            <w:pPr>
              <w:pStyle w:val="NoSpacing"/>
            </w:pPr>
            <w:r w:rsidRPr="00D66CE0">
              <w:t>61</w:t>
            </w:r>
          </w:p>
        </w:tc>
      </w:tr>
      <w:tr w:rsidR="00D66CE0" w:rsidRPr="00D66CE0" w14:paraId="4303D77C" w14:textId="77777777" w:rsidTr="00A36E66">
        <w:tc>
          <w:tcPr>
            <w:tcW w:w="0" w:type="auto"/>
            <w:hideMark/>
          </w:tcPr>
          <w:p w14:paraId="027E698C" w14:textId="77777777" w:rsidR="00D66CE0" w:rsidRPr="00D66CE0" w:rsidRDefault="00D66CE0" w:rsidP="00AA541E">
            <w:pPr>
              <w:pStyle w:val="NoSpacing"/>
            </w:pPr>
            <w:r w:rsidRPr="00D66CE0">
              <w:t>4213</w:t>
            </w:r>
          </w:p>
        </w:tc>
        <w:tc>
          <w:tcPr>
            <w:tcW w:w="3168" w:type="dxa"/>
            <w:hideMark/>
          </w:tcPr>
          <w:p w14:paraId="46A3D608" w14:textId="77777777" w:rsidR="00D66CE0" w:rsidRPr="00D66CE0" w:rsidRDefault="00D66CE0" w:rsidP="00AA541E">
            <w:pPr>
              <w:pStyle w:val="NoSpacing"/>
            </w:pPr>
            <w:r w:rsidRPr="00D66CE0">
              <w:t>Trucking</w:t>
            </w:r>
          </w:p>
        </w:tc>
        <w:tc>
          <w:tcPr>
            <w:tcW w:w="2430" w:type="dxa"/>
            <w:hideMark/>
          </w:tcPr>
          <w:p w14:paraId="1656D743" w14:textId="77777777" w:rsidR="00D66CE0" w:rsidRPr="00D66CE0" w:rsidRDefault="00D66CE0" w:rsidP="00AA541E">
            <w:pPr>
              <w:pStyle w:val="NoSpacing"/>
            </w:pPr>
            <w:r w:rsidRPr="00D66CE0">
              <w:t>1996–2000</w:t>
            </w:r>
          </w:p>
        </w:tc>
        <w:tc>
          <w:tcPr>
            <w:tcW w:w="720" w:type="dxa"/>
            <w:hideMark/>
          </w:tcPr>
          <w:p w14:paraId="1C8CF477" w14:textId="77777777" w:rsidR="00D66CE0" w:rsidRPr="00D66CE0" w:rsidRDefault="00D66CE0" w:rsidP="00AA541E">
            <w:pPr>
              <w:pStyle w:val="NoSpacing"/>
            </w:pPr>
            <w:r w:rsidRPr="00D66CE0">
              <w:t>101</w:t>
            </w:r>
          </w:p>
        </w:tc>
        <w:tc>
          <w:tcPr>
            <w:tcW w:w="900" w:type="dxa"/>
            <w:hideMark/>
          </w:tcPr>
          <w:p w14:paraId="668B4BE0" w14:textId="77777777" w:rsidR="00D66CE0" w:rsidRPr="00D66CE0" w:rsidRDefault="00D66CE0" w:rsidP="00AA541E">
            <w:pPr>
              <w:pStyle w:val="NoSpacing"/>
            </w:pPr>
            <w:r w:rsidRPr="00D66CE0">
              <w:t>9</w:t>
            </w:r>
          </w:p>
        </w:tc>
        <w:tc>
          <w:tcPr>
            <w:tcW w:w="900" w:type="dxa"/>
            <w:hideMark/>
          </w:tcPr>
          <w:p w14:paraId="08EAB7A1" w14:textId="77777777" w:rsidR="00D66CE0" w:rsidRPr="00D66CE0" w:rsidRDefault="00D66CE0" w:rsidP="00AA541E">
            <w:pPr>
              <w:pStyle w:val="NoSpacing"/>
            </w:pPr>
            <w:r w:rsidRPr="00D66CE0">
              <w:t>36</w:t>
            </w:r>
          </w:p>
        </w:tc>
        <w:tc>
          <w:tcPr>
            <w:tcW w:w="985" w:type="dxa"/>
            <w:hideMark/>
          </w:tcPr>
          <w:p w14:paraId="2F935A81" w14:textId="77777777" w:rsidR="00D66CE0" w:rsidRPr="00D66CE0" w:rsidRDefault="00D66CE0" w:rsidP="00AA541E">
            <w:pPr>
              <w:pStyle w:val="NoSpacing"/>
            </w:pPr>
            <w:r w:rsidRPr="00D66CE0">
              <w:t>6</w:t>
            </w:r>
          </w:p>
        </w:tc>
      </w:tr>
      <w:tr w:rsidR="00D66CE0" w:rsidRPr="00D66CE0" w14:paraId="15A563DE" w14:textId="77777777" w:rsidTr="00A36E66">
        <w:tc>
          <w:tcPr>
            <w:tcW w:w="0" w:type="auto"/>
            <w:hideMark/>
          </w:tcPr>
          <w:p w14:paraId="056E9AF9" w14:textId="77777777" w:rsidR="00D66CE0" w:rsidRPr="00D66CE0" w:rsidRDefault="00D66CE0" w:rsidP="00AA541E">
            <w:pPr>
              <w:pStyle w:val="NoSpacing"/>
            </w:pPr>
            <w:r w:rsidRPr="00D66CE0">
              <w:t>4225</w:t>
            </w:r>
          </w:p>
        </w:tc>
        <w:tc>
          <w:tcPr>
            <w:tcW w:w="3168" w:type="dxa"/>
            <w:hideMark/>
          </w:tcPr>
          <w:p w14:paraId="7F3BFDA6" w14:textId="77777777" w:rsidR="00D66CE0" w:rsidRPr="00D66CE0" w:rsidRDefault="00D66CE0" w:rsidP="00AA541E">
            <w:pPr>
              <w:pStyle w:val="NoSpacing"/>
            </w:pPr>
            <w:r w:rsidRPr="00D66CE0">
              <w:t>Warehouse and storage</w:t>
            </w:r>
          </w:p>
        </w:tc>
        <w:tc>
          <w:tcPr>
            <w:tcW w:w="2430" w:type="dxa"/>
            <w:hideMark/>
          </w:tcPr>
          <w:p w14:paraId="3B7EB62D" w14:textId="77777777" w:rsidR="00D66CE0" w:rsidRPr="00D66CE0" w:rsidRDefault="00D66CE0" w:rsidP="00AA541E">
            <w:pPr>
              <w:pStyle w:val="NoSpacing"/>
            </w:pPr>
            <w:r w:rsidRPr="00D66CE0">
              <w:t>1995–1999</w:t>
            </w:r>
          </w:p>
        </w:tc>
        <w:tc>
          <w:tcPr>
            <w:tcW w:w="720" w:type="dxa"/>
            <w:hideMark/>
          </w:tcPr>
          <w:p w14:paraId="071FB358" w14:textId="77777777" w:rsidR="00D66CE0" w:rsidRPr="00D66CE0" w:rsidRDefault="00D66CE0" w:rsidP="00AA541E">
            <w:pPr>
              <w:pStyle w:val="NoSpacing"/>
            </w:pPr>
            <w:r w:rsidRPr="00D66CE0">
              <w:t>81</w:t>
            </w:r>
          </w:p>
        </w:tc>
        <w:tc>
          <w:tcPr>
            <w:tcW w:w="900" w:type="dxa"/>
            <w:hideMark/>
          </w:tcPr>
          <w:p w14:paraId="662FE606" w14:textId="77777777" w:rsidR="00D66CE0" w:rsidRPr="00D66CE0" w:rsidRDefault="00D66CE0" w:rsidP="00AA541E">
            <w:pPr>
              <w:pStyle w:val="NoSpacing"/>
            </w:pPr>
            <w:r w:rsidRPr="00D66CE0">
              <w:t>3</w:t>
            </w:r>
          </w:p>
        </w:tc>
        <w:tc>
          <w:tcPr>
            <w:tcW w:w="900" w:type="dxa"/>
            <w:hideMark/>
          </w:tcPr>
          <w:p w14:paraId="569850B7" w14:textId="77777777" w:rsidR="00D66CE0" w:rsidRPr="00D66CE0" w:rsidRDefault="00D66CE0" w:rsidP="00AA541E">
            <w:pPr>
              <w:pStyle w:val="NoSpacing"/>
            </w:pPr>
            <w:r w:rsidRPr="00D66CE0">
              <w:t>31</w:t>
            </w:r>
          </w:p>
        </w:tc>
        <w:tc>
          <w:tcPr>
            <w:tcW w:w="985" w:type="dxa"/>
            <w:hideMark/>
          </w:tcPr>
          <w:p w14:paraId="2C5D62D6" w14:textId="77777777" w:rsidR="00D66CE0" w:rsidRPr="00D66CE0" w:rsidRDefault="00D66CE0" w:rsidP="00AA541E">
            <w:pPr>
              <w:pStyle w:val="NoSpacing"/>
            </w:pPr>
            <w:r w:rsidRPr="00D66CE0">
              <w:t>5</w:t>
            </w:r>
          </w:p>
        </w:tc>
      </w:tr>
      <w:tr w:rsidR="00D66CE0" w:rsidRPr="00D66CE0" w14:paraId="5C5A8E1B" w14:textId="77777777" w:rsidTr="00A36E66">
        <w:tc>
          <w:tcPr>
            <w:tcW w:w="0" w:type="auto"/>
            <w:hideMark/>
          </w:tcPr>
          <w:p w14:paraId="04F4F100" w14:textId="77777777" w:rsidR="00D66CE0" w:rsidRPr="00D66CE0" w:rsidRDefault="00D66CE0" w:rsidP="00AA541E">
            <w:pPr>
              <w:pStyle w:val="NoSpacing"/>
            </w:pPr>
            <w:r w:rsidRPr="00D66CE0">
              <w:t>4812</w:t>
            </w:r>
          </w:p>
        </w:tc>
        <w:tc>
          <w:tcPr>
            <w:tcW w:w="3168" w:type="dxa"/>
            <w:hideMark/>
          </w:tcPr>
          <w:p w14:paraId="43CE4D10" w14:textId="77777777" w:rsidR="00D66CE0" w:rsidRPr="00D66CE0" w:rsidRDefault="00D66CE0" w:rsidP="00AA541E">
            <w:pPr>
              <w:pStyle w:val="NoSpacing"/>
            </w:pPr>
            <w:r w:rsidRPr="00D66CE0">
              <w:t>Wireless communications</w:t>
            </w:r>
          </w:p>
        </w:tc>
        <w:tc>
          <w:tcPr>
            <w:tcW w:w="2430" w:type="dxa"/>
            <w:hideMark/>
          </w:tcPr>
          <w:p w14:paraId="5C6F4444" w14:textId="77777777" w:rsidR="00D66CE0" w:rsidRPr="00D66CE0" w:rsidRDefault="00D66CE0" w:rsidP="00AA541E">
            <w:pPr>
              <w:pStyle w:val="NoSpacing"/>
            </w:pPr>
            <w:r w:rsidRPr="00D66CE0">
              <w:t>1992–1997</w:t>
            </w:r>
          </w:p>
        </w:tc>
        <w:tc>
          <w:tcPr>
            <w:tcW w:w="720" w:type="dxa"/>
            <w:hideMark/>
          </w:tcPr>
          <w:p w14:paraId="339ABC4C" w14:textId="77777777" w:rsidR="00D66CE0" w:rsidRPr="00D66CE0" w:rsidRDefault="00D66CE0" w:rsidP="00AA541E">
            <w:pPr>
              <w:pStyle w:val="NoSpacing"/>
            </w:pPr>
            <w:r w:rsidRPr="00D66CE0">
              <w:t>322</w:t>
            </w:r>
          </w:p>
        </w:tc>
        <w:tc>
          <w:tcPr>
            <w:tcW w:w="900" w:type="dxa"/>
            <w:hideMark/>
          </w:tcPr>
          <w:p w14:paraId="5236700C" w14:textId="77777777" w:rsidR="00D66CE0" w:rsidRPr="00D66CE0" w:rsidRDefault="00D66CE0" w:rsidP="00AA541E">
            <w:pPr>
              <w:pStyle w:val="NoSpacing"/>
            </w:pPr>
            <w:r w:rsidRPr="00D66CE0">
              <w:t>29</w:t>
            </w:r>
          </w:p>
        </w:tc>
        <w:tc>
          <w:tcPr>
            <w:tcW w:w="900" w:type="dxa"/>
            <w:hideMark/>
          </w:tcPr>
          <w:p w14:paraId="0D755E4B" w14:textId="77777777" w:rsidR="00D66CE0" w:rsidRPr="00D66CE0" w:rsidRDefault="00D66CE0" w:rsidP="00AA541E">
            <w:pPr>
              <w:pStyle w:val="NoSpacing"/>
            </w:pPr>
            <w:r w:rsidRPr="00D66CE0">
              <w:t>81</w:t>
            </w:r>
          </w:p>
        </w:tc>
        <w:tc>
          <w:tcPr>
            <w:tcW w:w="985" w:type="dxa"/>
            <w:hideMark/>
          </w:tcPr>
          <w:p w14:paraId="6AAF263B" w14:textId="77777777" w:rsidR="00D66CE0" w:rsidRPr="00D66CE0" w:rsidRDefault="00D66CE0" w:rsidP="00AA541E">
            <w:pPr>
              <w:pStyle w:val="NoSpacing"/>
            </w:pPr>
            <w:r w:rsidRPr="00D66CE0">
              <w:t>39</w:t>
            </w:r>
          </w:p>
        </w:tc>
      </w:tr>
      <w:tr w:rsidR="00D66CE0" w:rsidRPr="00D66CE0" w14:paraId="6F879B6A" w14:textId="77777777" w:rsidTr="00A36E66">
        <w:tc>
          <w:tcPr>
            <w:tcW w:w="0" w:type="auto"/>
            <w:hideMark/>
          </w:tcPr>
          <w:p w14:paraId="190A987F" w14:textId="77777777" w:rsidR="00D66CE0" w:rsidRPr="00D66CE0" w:rsidRDefault="00D66CE0" w:rsidP="00AA541E">
            <w:pPr>
              <w:pStyle w:val="NoSpacing"/>
            </w:pPr>
            <w:r w:rsidRPr="00D66CE0">
              <w:t>4813</w:t>
            </w:r>
          </w:p>
        </w:tc>
        <w:tc>
          <w:tcPr>
            <w:tcW w:w="3168" w:type="dxa"/>
            <w:hideMark/>
          </w:tcPr>
          <w:p w14:paraId="46890F30" w14:textId="77777777" w:rsidR="00D66CE0" w:rsidRPr="00D66CE0" w:rsidRDefault="00D66CE0" w:rsidP="00AA541E">
            <w:pPr>
              <w:pStyle w:val="NoSpacing"/>
            </w:pPr>
            <w:r w:rsidRPr="00D66CE0">
              <w:t>Telephone communications</w:t>
            </w:r>
          </w:p>
        </w:tc>
        <w:tc>
          <w:tcPr>
            <w:tcW w:w="2430" w:type="dxa"/>
            <w:hideMark/>
          </w:tcPr>
          <w:p w14:paraId="1318701E" w14:textId="77777777" w:rsidR="00D66CE0" w:rsidRPr="00D66CE0" w:rsidRDefault="00D66CE0" w:rsidP="00AA541E">
            <w:pPr>
              <w:pStyle w:val="NoSpacing"/>
            </w:pPr>
            <w:r w:rsidRPr="00D66CE0">
              <w:t>1998–2002</w:t>
            </w:r>
          </w:p>
        </w:tc>
        <w:tc>
          <w:tcPr>
            <w:tcW w:w="720" w:type="dxa"/>
            <w:hideMark/>
          </w:tcPr>
          <w:p w14:paraId="2B91F3E9" w14:textId="77777777" w:rsidR="00D66CE0" w:rsidRPr="00D66CE0" w:rsidRDefault="00D66CE0" w:rsidP="00AA541E">
            <w:pPr>
              <w:pStyle w:val="NoSpacing"/>
            </w:pPr>
            <w:r w:rsidRPr="00D66CE0">
              <w:t>676</w:t>
            </w:r>
          </w:p>
        </w:tc>
        <w:tc>
          <w:tcPr>
            <w:tcW w:w="900" w:type="dxa"/>
            <w:hideMark/>
          </w:tcPr>
          <w:p w14:paraId="1946F04A" w14:textId="77777777" w:rsidR="00D66CE0" w:rsidRPr="00D66CE0" w:rsidRDefault="00D66CE0" w:rsidP="00AA541E">
            <w:pPr>
              <w:pStyle w:val="NoSpacing"/>
            </w:pPr>
            <w:r w:rsidRPr="00D66CE0">
              <w:t>89</w:t>
            </w:r>
          </w:p>
        </w:tc>
        <w:tc>
          <w:tcPr>
            <w:tcW w:w="900" w:type="dxa"/>
            <w:hideMark/>
          </w:tcPr>
          <w:p w14:paraId="517CF4AA" w14:textId="77777777" w:rsidR="00D66CE0" w:rsidRPr="00D66CE0" w:rsidRDefault="00D66CE0" w:rsidP="00AA541E">
            <w:pPr>
              <w:pStyle w:val="NoSpacing"/>
            </w:pPr>
            <w:r w:rsidRPr="00D66CE0">
              <w:t>227</w:t>
            </w:r>
          </w:p>
        </w:tc>
        <w:tc>
          <w:tcPr>
            <w:tcW w:w="985" w:type="dxa"/>
            <w:hideMark/>
          </w:tcPr>
          <w:p w14:paraId="41C2F6EC" w14:textId="77777777" w:rsidR="00D66CE0" w:rsidRPr="00D66CE0" w:rsidRDefault="00D66CE0" w:rsidP="00AA541E">
            <w:pPr>
              <w:pStyle w:val="NoSpacing"/>
            </w:pPr>
            <w:r w:rsidRPr="00D66CE0">
              <w:t>86</w:t>
            </w:r>
          </w:p>
        </w:tc>
      </w:tr>
      <w:tr w:rsidR="00D66CE0" w:rsidRPr="00D66CE0" w14:paraId="31ECE21B" w14:textId="77777777" w:rsidTr="00A36E66">
        <w:tc>
          <w:tcPr>
            <w:tcW w:w="0" w:type="auto"/>
            <w:hideMark/>
          </w:tcPr>
          <w:p w14:paraId="40622FFD" w14:textId="77777777" w:rsidR="00D66CE0" w:rsidRPr="00D66CE0" w:rsidRDefault="00D66CE0" w:rsidP="00AA541E">
            <w:pPr>
              <w:pStyle w:val="NoSpacing"/>
            </w:pPr>
            <w:r w:rsidRPr="00D66CE0">
              <w:t>4832</w:t>
            </w:r>
          </w:p>
        </w:tc>
        <w:tc>
          <w:tcPr>
            <w:tcW w:w="3168" w:type="dxa"/>
            <w:hideMark/>
          </w:tcPr>
          <w:p w14:paraId="11D7C7C4" w14:textId="77777777" w:rsidR="00D66CE0" w:rsidRPr="00D66CE0" w:rsidRDefault="00D66CE0" w:rsidP="00AA541E">
            <w:pPr>
              <w:pStyle w:val="NoSpacing"/>
            </w:pPr>
            <w:r w:rsidRPr="00D66CE0">
              <w:t>Radio broadcasting</w:t>
            </w:r>
          </w:p>
        </w:tc>
        <w:tc>
          <w:tcPr>
            <w:tcW w:w="2430" w:type="dxa"/>
            <w:hideMark/>
          </w:tcPr>
          <w:p w14:paraId="1E176F4A" w14:textId="77777777" w:rsidR="00D66CE0" w:rsidRPr="00D66CE0" w:rsidRDefault="00D66CE0" w:rsidP="00AA541E">
            <w:pPr>
              <w:pStyle w:val="NoSpacing"/>
            </w:pPr>
            <w:r w:rsidRPr="00D66CE0">
              <w:t>1994–1999</w:t>
            </w:r>
          </w:p>
        </w:tc>
        <w:tc>
          <w:tcPr>
            <w:tcW w:w="720" w:type="dxa"/>
            <w:hideMark/>
          </w:tcPr>
          <w:p w14:paraId="04152F7F" w14:textId="77777777" w:rsidR="00D66CE0" w:rsidRPr="00D66CE0" w:rsidRDefault="00D66CE0" w:rsidP="00AA541E">
            <w:pPr>
              <w:pStyle w:val="NoSpacing"/>
            </w:pPr>
            <w:r w:rsidRPr="00D66CE0">
              <w:t>550</w:t>
            </w:r>
          </w:p>
        </w:tc>
        <w:tc>
          <w:tcPr>
            <w:tcW w:w="900" w:type="dxa"/>
            <w:hideMark/>
          </w:tcPr>
          <w:p w14:paraId="3BCBC4CC" w14:textId="77777777" w:rsidR="00D66CE0" w:rsidRPr="00D66CE0" w:rsidRDefault="00D66CE0" w:rsidP="00AA541E">
            <w:pPr>
              <w:pStyle w:val="NoSpacing"/>
            </w:pPr>
            <w:r w:rsidRPr="00D66CE0">
              <w:t>63</w:t>
            </w:r>
          </w:p>
        </w:tc>
        <w:tc>
          <w:tcPr>
            <w:tcW w:w="900" w:type="dxa"/>
            <w:hideMark/>
          </w:tcPr>
          <w:p w14:paraId="13499FA7" w14:textId="77777777" w:rsidR="00D66CE0" w:rsidRPr="00D66CE0" w:rsidRDefault="00D66CE0" w:rsidP="00AA541E">
            <w:pPr>
              <w:pStyle w:val="NoSpacing"/>
            </w:pPr>
            <w:r w:rsidRPr="00D66CE0">
              <w:t>145</w:t>
            </w:r>
          </w:p>
        </w:tc>
        <w:tc>
          <w:tcPr>
            <w:tcW w:w="985" w:type="dxa"/>
            <w:hideMark/>
          </w:tcPr>
          <w:p w14:paraId="0A7E7F78" w14:textId="77777777" w:rsidR="00D66CE0" w:rsidRPr="00D66CE0" w:rsidRDefault="00D66CE0" w:rsidP="00AA541E">
            <w:pPr>
              <w:pStyle w:val="NoSpacing"/>
            </w:pPr>
            <w:r w:rsidRPr="00D66CE0">
              <w:t>71</w:t>
            </w:r>
          </w:p>
        </w:tc>
      </w:tr>
      <w:tr w:rsidR="00D66CE0" w:rsidRPr="00D66CE0" w14:paraId="39242A7B" w14:textId="77777777" w:rsidTr="00A36E66">
        <w:tc>
          <w:tcPr>
            <w:tcW w:w="0" w:type="auto"/>
            <w:hideMark/>
          </w:tcPr>
          <w:p w14:paraId="67AAF288" w14:textId="77777777" w:rsidR="00D66CE0" w:rsidRPr="00D66CE0" w:rsidRDefault="00D66CE0" w:rsidP="00AA541E">
            <w:pPr>
              <w:pStyle w:val="NoSpacing"/>
            </w:pPr>
            <w:r w:rsidRPr="00D66CE0">
              <w:t>5411</w:t>
            </w:r>
          </w:p>
        </w:tc>
        <w:tc>
          <w:tcPr>
            <w:tcW w:w="3168" w:type="dxa"/>
            <w:hideMark/>
          </w:tcPr>
          <w:p w14:paraId="24274B9C" w14:textId="77777777" w:rsidR="00D66CE0" w:rsidRPr="00D66CE0" w:rsidRDefault="00D66CE0" w:rsidP="00AA541E">
            <w:pPr>
              <w:pStyle w:val="NoSpacing"/>
            </w:pPr>
            <w:r w:rsidRPr="00D66CE0">
              <w:t>Grocery stores</w:t>
            </w:r>
          </w:p>
        </w:tc>
        <w:tc>
          <w:tcPr>
            <w:tcW w:w="2430" w:type="dxa"/>
            <w:hideMark/>
          </w:tcPr>
          <w:p w14:paraId="128C7159" w14:textId="77777777" w:rsidR="00D66CE0" w:rsidRPr="00D66CE0" w:rsidRDefault="00D66CE0" w:rsidP="00AA541E">
            <w:pPr>
              <w:pStyle w:val="NoSpacing"/>
            </w:pPr>
            <w:r w:rsidRPr="00D66CE0">
              <w:t>1985–1990</w:t>
            </w:r>
          </w:p>
        </w:tc>
        <w:tc>
          <w:tcPr>
            <w:tcW w:w="720" w:type="dxa"/>
            <w:hideMark/>
          </w:tcPr>
          <w:p w14:paraId="30E5165C" w14:textId="77777777" w:rsidR="00D66CE0" w:rsidRPr="00D66CE0" w:rsidRDefault="00D66CE0" w:rsidP="00AA541E">
            <w:pPr>
              <w:pStyle w:val="NoSpacing"/>
            </w:pPr>
            <w:r w:rsidRPr="00D66CE0">
              <w:t>103</w:t>
            </w:r>
          </w:p>
        </w:tc>
        <w:tc>
          <w:tcPr>
            <w:tcW w:w="900" w:type="dxa"/>
            <w:hideMark/>
          </w:tcPr>
          <w:p w14:paraId="5F9795A5" w14:textId="77777777" w:rsidR="00D66CE0" w:rsidRPr="00D66CE0" w:rsidRDefault="00D66CE0" w:rsidP="00AA541E">
            <w:pPr>
              <w:pStyle w:val="NoSpacing"/>
            </w:pPr>
            <w:r w:rsidRPr="00D66CE0">
              <w:t>10</w:t>
            </w:r>
          </w:p>
        </w:tc>
        <w:tc>
          <w:tcPr>
            <w:tcW w:w="900" w:type="dxa"/>
            <w:hideMark/>
          </w:tcPr>
          <w:p w14:paraId="5554CD0E" w14:textId="77777777" w:rsidR="00D66CE0" w:rsidRPr="00D66CE0" w:rsidRDefault="00D66CE0" w:rsidP="00AA541E">
            <w:pPr>
              <w:pStyle w:val="NoSpacing"/>
            </w:pPr>
            <w:r w:rsidRPr="00D66CE0">
              <w:t>30</w:t>
            </w:r>
          </w:p>
        </w:tc>
        <w:tc>
          <w:tcPr>
            <w:tcW w:w="985" w:type="dxa"/>
            <w:hideMark/>
          </w:tcPr>
          <w:p w14:paraId="314B846D" w14:textId="77777777" w:rsidR="00D66CE0" w:rsidRPr="00D66CE0" w:rsidRDefault="00D66CE0" w:rsidP="00AA541E">
            <w:pPr>
              <w:pStyle w:val="NoSpacing"/>
            </w:pPr>
            <w:r w:rsidRPr="00D66CE0">
              <w:t>14</w:t>
            </w:r>
          </w:p>
        </w:tc>
      </w:tr>
      <w:tr w:rsidR="00D66CE0" w:rsidRPr="00D66CE0" w14:paraId="3CF99D99" w14:textId="77777777" w:rsidTr="00A36E66">
        <w:tc>
          <w:tcPr>
            <w:tcW w:w="0" w:type="auto"/>
            <w:hideMark/>
          </w:tcPr>
          <w:p w14:paraId="3B7E8534" w14:textId="77777777" w:rsidR="00D66CE0" w:rsidRPr="00D66CE0" w:rsidRDefault="00D66CE0" w:rsidP="00AA541E">
            <w:pPr>
              <w:pStyle w:val="NoSpacing"/>
            </w:pPr>
            <w:r w:rsidRPr="00D66CE0">
              <w:t>5511</w:t>
            </w:r>
          </w:p>
        </w:tc>
        <w:tc>
          <w:tcPr>
            <w:tcW w:w="3168" w:type="dxa"/>
            <w:hideMark/>
          </w:tcPr>
          <w:p w14:paraId="7FC8F188" w14:textId="77777777" w:rsidR="00D66CE0" w:rsidRPr="00D66CE0" w:rsidRDefault="00D66CE0" w:rsidP="00AA541E">
            <w:pPr>
              <w:pStyle w:val="NoSpacing"/>
            </w:pPr>
            <w:r w:rsidRPr="00D66CE0">
              <w:t>Motor vehicle dealers</w:t>
            </w:r>
          </w:p>
        </w:tc>
        <w:tc>
          <w:tcPr>
            <w:tcW w:w="2430" w:type="dxa"/>
            <w:hideMark/>
          </w:tcPr>
          <w:p w14:paraId="5AE6DFD9" w14:textId="77777777" w:rsidR="00D66CE0" w:rsidRPr="00D66CE0" w:rsidRDefault="00D66CE0" w:rsidP="00AA541E">
            <w:pPr>
              <w:pStyle w:val="NoSpacing"/>
            </w:pPr>
            <w:r w:rsidRPr="00D66CE0">
              <w:t>1996–2000</w:t>
            </w:r>
          </w:p>
        </w:tc>
        <w:tc>
          <w:tcPr>
            <w:tcW w:w="720" w:type="dxa"/>
            <w:hideMark/>
          </w:tcPr>
          <w:p w14:paraId="662661F8" w14:textId="77777777" w:rsidR="00D66CE0" w:rsidRPr="00D66CE0" w:rsidRDefault="00D66CE0" w:rsidP="00AA541E">
            <w:pPr>
              <w:pStyle w:val="NoSpacing"/>
            </w:pPr>
            <w:r w:rsidRPr="00D66CE0">
              <w:t>159</w:t>
            </w:r>
          </w:p>
        </w:tc>
        <w:tc>
          <w:tcPr>
            <w:tcW w:w="900" w:type="dxa"/>
            <w:hideMark/>
          </w:tcPr>
          <w:p w14:paraId="698954A3" w14:textId="77777777" w:rsidR="00D66CE0" w:rsidRPr="00D66CE0" w:rsidRDefault="00D66CE0" w:rsidP="00AA541E">
            <w:pPr>
              <w:pStyle w:val="NoSpacing"/>
            </w:pPr>
            <w:r w:rsidRPr="00D66CE0">
              <w:t>9</w:t>
            </w:r>
          </w:p>
        </w:tc>
        <w:tc>
          <w:tcPr>
            <w:tcW w:w="900" w:type="dxa"/>
            <w:hideMark/>
          </w:tcPr>
          <w:p w14:paraId="5480E07C" w14:textId="77777777" w:rsidR="00D66CE0" w:rsidRPr="00D66CE0" w:rsidRDefault="00D66CE0" w:rsidP="00AA541E">
            <w:pPr>
              <w:pStyle w:val="NoSpacing"/>
            </w:pPr>
            <w:r w:rsidRPr="00D66CE0">
              <w:t>47</w:t>
            </w:r>
          </w:p>
        </w:tc>
        <w:tc>
          <w:tcPr>
            <w:tcW w:w="985" w:type="dxa"/>
            <w:hideMark/>
          </w:tcPr>
          <w:p w14:paraId="6F30C4C5" w14:textId="77777777" w:rsidR="00D66CE0" w:rsidRPr="00D66CE0" w:rsidRDefault="00D66CE0" w:rsidP="00AA541E">
            <w:pPr>
              <w:pStyle w:val="NoSpacing"/>
            </w:pPr>
            <w:r w:rsidRPr="00D66CE0">
              <w:t>21</w:t>
            </w:r>
          </w:p>
        </w:tc>
      </w:tr>
      <w:tr w:rsidR="00D66CE0" w:rsidRPr="00D66CE0" w14:paraId="6EF1FA41" w14:textId="77777777" w:rsidTr="00A36E66">
        <w:tc>
          <w:tcPr>
            <w:tcW w:w="0" w:type="auto"/>
            <w:hideMark/>
          </w:tcPr>
          <w:p w14:paraId="4F1FBCF0" w14:textId="77777777" w:rsidR="00D66CE0" w:rsidRPr="00D66CE0" w:rsidRDefault="00D66CE0" w:rsidP="00AA541E">
            <w:pPr>
              <w:pStyle w:val="NoSpacing"/>
            </w:pPr>
            <w:r w:rsidRPr="00D66CE0">
              <w:t>6512</w:t>
            </w:r>
          </w:p>
        </w:tc>
        <w:tc>
          <w:tcPr>
            <w:tcW w:w="3168" w:type="dxa"/>
            <w:hideMark/>
          </w:tcPr>
          <w:p w14:paraId="0FA03289" w14:textId="77777777" w:rsidR="00D66CE0" w:rsidRPr="00D66CE0" w:rsidRDefault="00D66CE0" w:rsidP="00AA541E">
            <w:pPr>
              <w:pStyle w:val="NoSpacing"/>
            </w:pPr>
            <w:r w:rsidRPr="00D66CE0">
              <w:t>Real estate operators</w:t>
            </w:r>
          </w:p>
        </w:tc>
        <w:tc>
          <w:tcPr>
            <w:tcW w:w="2430" w:type="dxa"/>
            <w:hideMark/>
          </w:tcPr>
          <w:p w14:paraId="0FBF621A" w14:textId="77777777" w:rsidR="00D66CE0" w:rsidRPr="00D66CE0" w:rsidRDefault="00D66CE0" w:rsidP="00AA541E">
            <w:pPr>
              <w:pStyle w:val="NoSpacing"/>
            </w:pPr>
            <w:r w:rsidRPr="00D66CE0">
              <w:t>1996–2000</w:t>
            </w:r>
          </w:p>
        </w:tc>
        <w:tc>
          <w:tcPr>
            <w:tcW w:w="720" w:type="dxa"/>
            <w:hideMark/>
          </w:tcPr>
          <w:p w14:paraId="3C2338FE" w14:textId="77777777" w:rsidR="00D66CE0" w:rsidRPr="00D66CE0" w:rsidRDefault="00D66CE0" w:rsidP="00AA541E">
            <w:pPr>
              <w:pStyle w:val="NoSpacing"/>
            </w:pPr>
            <w:r w:rsidRPr="00D66CE0">
              <w:t>1249</w:t>
            </w:r>
          </w:p>
        </w:tc>
        <w:tc>
          <w:tcPr>
            <w:tcW w:w="900" w:type="dxa"/>
            <w:hideMark/>
          </w:tcPr>
          <w:p w14:paraId="2E4E2EEF" w14:textId="77777777" w:rsidR="00D66CE0" w:rsidRPr="00D66CE0" w:rsidRDefault="00D66CE0" w:rsidP="00AA541E">
            <w:pPr>
              <w:pStyle w:val="NoSpacing"/>
            </w:pPr>
            <w:r w:rsidRPr="00D66CE0">
              <w:t>80</w:t>
            </w:r>
          </w:p>
        </w:tc>
        <w:tc>
          <w:tcPr>
            <w:tcW w:w="900" w:type="dxa"/>
            <w:hideMark/>
          </w:tcPr>
          <w:p w14:paraId="086B4551" w14:textId="77777777" w:rsidR="00D66CE0" w:rsidRPr="00D66CE0" w:rsidRDefault="00D66CE0" w:rsidP="00AA541E">
            <w:pPr>
              <w:pStyle w:val="NoSpacing"/>
            </w:pPr>
            <w:r w:rsidRPr="00D66CE0">
              <w:t>544</w:t>
            </w:r>
          </w:p>
        </w:tc>
        <w:tc>
          <w:tcPr>
            <w:tcW w:w="985" w:type="dxa"/>
            <w:hideMark/>
          </w:tcPr>
          <w:p w14:paraId="164EFAA3" w14:textId="77777777" w:rsidR="00D66CE0" w:rsidRPr="00D66CE0" w:rsidRDefault="00D66CE0" w:rsidP="00AA541E">
            <w:pPr>
              <w:pStyle w:val="NoSpacing"/>
            </w:pPr>
            <w:r w:rsidRPr="00D66CE0">
              <w:t>79</w:t>
            </w:r>
          </w:p>
        </w:tc>
      </w:tr>
      <w:tr w:rsidR="00D66CE0" w:rsidRPr="00D66CE0" w14:paraId="3F3E277A" w14:textId="77777777" w:rsidTr="00A36E66">
        <w:tc>
          <w:tcPr>
            <w:tcW w:w="0" w:type="auto"/>
            <w:hideMark/>
          </w:tcPr>
          <w:p w14:paraId="541A94E9" w14:textId="77777777" w:rsidR="00D66CE0" w:rsidRPr="00D66CE0" w:rsidRDefault="00D66CE0" w:rsidP="00AA541E">
            <w:pPr>
              <w:pStyle w:val="NoSpacing"/>
            </w:pPr>
            <w:r w:rsidRPr="00D66CE0">
              <w:t>7011</w:t>
            </w:r>
          </w:p>
        </w:tc>
        <w:tc>
          <w:tcPr>
            <w:tcW w:w="3168" w:type="dxa"/>
            <w:hideMark/>
          </w:tcPr>
          <w:p w14:paraId="1ACF8DE2" w14:textId="77777777" w:rsidR="00D66CE0" w:rsidRPr="00D66CE0" w:rsidRDefault="00D66CE0" w:rsidP="00AA541E">
            <w:pPr>
              <w:pStyle w:val="NoSpacing"/>
            </w:pPr>
            <w:r w:rsidRPr="00D66CE0">
              <w:t>Hotels</w:t>
            </w:r>
          </w:p>
        </w:tc>
        <w:tc>
          <w:tcPr>
            <w:tcW w:w="2430" w:type="dxa"/>
            <w:hideMark/>
          </w:tcPr>
          <w:p w14:paraId="2782C569" w14:textId="77777777" w:rsidR="00D66CE0" w:rsidRPr="00D66CE0" w:rsidRDefault="00D66CE0" w:rsidP="00AA541E">
            <w:pPr>
              <w:pStyle w:val="NoSpacing"/>
            </w:pPr>
            <w:r w:rsidRPr="00D66CE0">
              <w:t>1995–1999</w:t>
            </w:r>
          </w:p>
        </w:tc>
        <w:tc>
          <w:tcPr>
            <w:tcW w:w="720" w:type="dxa"/>
            <w:hideMark/>
          </w:tcPr>
          <w:p w14:paraId="5EDC0A5C" w14:textId="77777777" w:rsidR="00D66CE0" w:rsidRPr="00D66CE0" w:rsidRDefault="00D66CE0" w:rsidP="00AA541E">
            <w:pPr>
              <w:pStyle w:val="NoSpacing"/>
            </w:pPr>
            <w:r w:rsidRPr="00D66CE0">
              <w:t>721</w:t>
            </w:r>
          </w:p>
        </w:tc>
        <w:tc>
          <w:tcPr>
            <w:tcW w:w="900" w:type="dxa"/>
            <w:hideMark/>
          </w:tcPr>
          <w:p w14:paraId="3A86549F" w14:textId="77777777" w:rsidR="00D66CE0" w:rsidRPr="00D66CE0" w:rsidRDefault="00D66CE0" w:rsidP="00AA541E">
            <w:pPr>
              <w:pStyle w:val="NoSpacing"/>
            </w:pPr>
            <w:r w:rsidRPr="00D66CE0">
              <w:t>83</w:t>
            </w:r>
          </w:p>
        </w:tc>
        <w:tc>
          <w:tcPr>
            <w:tcW w:w="900" w:type="dxa"/>
            <w:hideMark/>
          </w:tcPr>
          <w:p w14:paraId="4E693280" w14:textId="77777777" w:rsidR="00D66CE0" w:rsidRPr="00D66CE0" w:rsidRDefault="00D66CE0" w:rsidP="00AA541E">
            <w:pPr>
              <w:pStyle w:val="NoSpacing"/>
            </w:pPr>
            <w:r w:rsidRPr="00D66CE0">
              <w:t>222</w:t>
            </w:r>
          </w:p>
        </w:tc>
        <w:tc>
          <w:tcPr>
            <w:tcW w:w="985" w:type="dxa"/>
            <w:hideMark/>
          </w:tcPr>
          <w:p w14:paraId="34C33111" w14:textId="77777777" w:rsidR="00D66CE0" w:rsidRPr="00D66CE0" w:rsidRDefault="00D66CE0" w:rsidP="00AA541E">
            <w:pPr>
              <w:pStyle w:val="NoSpacing"/>
            </w:pPr>
            <w:r w:rsidRPr="00D66CE0">
              <w:t>73</w:t>
            </w:r>
          </w:p>
        </w:tc>
      </w:tr>
      <w:tr w:rsidR="00D66CE0" w:rsidRPr="00D66CE0" w14:paraId="3FB5FD13" w14:textId="77777777" w:rsidTr="00A36E66">
        <w:tc>
          <w:tcPr>
            <w:tcW w:w="0" w:type="auto"/>
            <w:hideMark/>
          </w:tcPr>
          <w:p w14:paraId="4E7D460A" w14:textId="77777777" w:rsidR="00D66CE0" w:rsidRPr="00D66CE0" w:rsidRDefault="00D66CE0" w:rsidP="00AA541E">
            <w:pPr>
              <w:pStyle w:val="NoSpacing"/>
            </w:pPr>
            <w:r w:rsidRPr="00D66CE0">
              <w:t>7374</w:t>
            </w:r>
          </w:p>
        </w:tc>
        <w:tc>
          <w:tcPr>
            <w:tcW w:w="3168" w:type="dxa"/>
            <w:hideMark/>
          </w:tcPr>
          <w:p w14:paraId="36F4DBDA" w14:textId="77777777" w:rsidR="00D66CE0" w:rsidRPr="00D66CE0" w:rsidRDefault="00D66CE0" w:rsidP="00AA541E">
            <w:pPr>
              <w:pStyle w:val="NoSpacing"/>
            </w:pPr>
            <w:r w:rsidRPr="00D66CE0">
              <w:t>Computer processing services</w:t>
            </w:r>
          </w:p>
        </w:tc>
        <w:tc>
          <w:tcPr>
            <w:tcW w:w="2430" w:type="dxa"/>
            <w:hideMark/>
          </w:tcPr>
          <w:p w14:paraId="6AA31B73" w14:textId="77777777" w:rsidR="00D66CE0" w:rsidRPr="00D66CE0" w:rsidRDefault="00D66CE0" w:rsidP="00AA541E">
            <w:pPr>
              <w:pStyle w:val="NoSpacing"/>
            </w:pPr>
            <w:r w:rsidRPr="00D66CE0">
              <w:t>1996–2000</w:t>
            </w:r>
          </w:p>
        </w:tc>
        <w:tc>
          <w:tcPr>
            <w:tcW w:w="720" w:type="dxa"/>
            <w:hideMark/>
          </w:tcPr>
          <w:p w14:paraId="0E610224" w14:textId="77777777" w:rsidR="00D66CE0" w:rsidRPr="00D66CE0" w:rsidRDefault="00D66CE0" w:rsidP="00AA541E">
            <w:pPr>
              <w:pStyle w:val="NoSpacing"/>
            </w:pPr>
            <w:r w:rsidRPr="00D66CE0">
              <w:t>217</w:t>
            </w:r>
          </w:p>
        </w:tc>
        <w:tc>
          <w:tcPr>
            <w:tcW w:w="900" w:type="dxa"/>
            <w:hideMark/>
          </w:tcPr>
          <w:p w14:paraId="3A9BE01E" w14:textId="77777777" w:rsidR="00D66CE0" w:rsidRPr="00D66CE0" w:rsidRDefault="00D66CE0" w:rsidP="00AA541E">
            <w:pPr>
              <w:pStyle w:val="NoSpacing"/>
            </w:pPr>
            <w:r w:rsidRPr="00D66CE0">
              <w:t>30</w:t>
            </w:r>
          </w:p>
        </w:tc>
        <w:tc>
          <w:tcPr>
            <w:tcW w:w="900" w:type="dxa"/>
            <w:hideMark/>
          </w:tcPr>
          <w:p w14:paraId="08F1ABDA" w14:textId="77777777" w:rsidR="00D66CE0" w:rsidRPr="00D66CE0" w:rsidRDefault="00D66CE0" w:rsidP="00AA541E">
            <w:pPr>
              <w:pStyle w:val="NoSpacing"/>
            </w:pPr>
            <w:r w:rsidRPr="00D66CE0">
              <w:t>61</w:t>
            </w:r>
          </w:p>
        </w:tc>
        <w:tc>
          <w:tcPr>
            <w:tcW w:w="985" w:type="dxa"/>
            <w:hideMark/>
          </w:tcPr>
          <w:p w14:paraId="3A5A9294" w14:textId="77777777" w:rsidR="00D66CE0" w:rsidRPr="00D66CE0" w:rsidRDefault="00D66CE0" w:rsidP="00AA541E">
            <w:pPr>
              <w:pStyle w:val="NoSpacing"/>
            </w:pPr>
            <w:r w:rsidRPr="00D66CE0">
              <w:t>26</w:t>
            </w:r>
          </w:p>
        </w:tc>
      </w:tr>
      <w:tr w:rsidR="00D66CE0" w:rsidRPr="00D66CE0" w14:paraId="6EDBAA4C" w14:textId="77777777" w:rsidTr="00A36E66">
        <w:tc>
          <w:tcPr>
            <w:tcW w:w="0" w:type="auto"/>
            <w:hideMark/>
          </w:tcPr>
          <w:p w14:paraId="43BA9C6A" w14:textId="77777777" w:rsidR="00D66CE0" w:rsidRPr="00D66CE0" w:rsidRDefault="00D66CE0" w:rsidP="00AA541E">
            <w:pPr>
              <w:pStyle w:val="NoSpacing"/>
            </w:pPr>
            <w:r w:rsidRPr="00D66CE0">
              <w:t>7375</w:t>
            </w:r>
          </w:p>
        </w:tc>
        <w:tc>
          <w:tcPr>
            <w:tcW w:w="3168" w:type="dxa"/>
            <w:hideMark/>
          </w:tcPr>
          <w:p w14:paraId="690F7887" w14:textId="77777777" w:rsidR="00D66CE0" w:rsidRPr="00D66CE0" w:rsidRDefault="00D66CE0" w:rsidP="00AA541E">
            <w:pPr>
              <w:pStyle w:val="NoSpacing"/>
            </w:pPr>
            <w:r w:rsidRPr="00D66CE0">
              <w:t>Information retrieval services</w:t>
            </w:r>
          </w:p>
        </w:tc>
        <w:tc>
          <w:tcPr>
            <w:tcW w:w="2430" w:type="dxa"/>
            <w:hideMark/>
          </w:tcPr>
          <w:p w14:paraId="118FD413" w14:textId="77777777" w:rsidR="00D66CE0" w:rsidRPr="00D66CE0" w:rsidRDefault="00D66CE0" w:rsidP="00AA541E">
            <w:pPr>
              <w:pStyle w:val="NoSpacing"/>
            </w:pPr>
            <w:r w:rsidRPr="00D66CE0">
              <w:t>1997–2001</w:t>
            </w:r>
          </w:p>
        </w:tc>
        <w:tc>
          <w:tcPr>
            <w:tcW w:w="720" w:type="dxa"/>
            <w:hideMark/>
          </w:tcPr>
          <w:p w14:paraId="55C78823" w14:textId="77777777" w:rsidR="00D66CE0" w:rsidRPr="00D66CE0" w:rsidRDefault="00D66CE0" w:rsidP="00AA541E">
            <w:pPr>
              <w:pStyle w:val="NoSpacing"/>
            </w:pPr>
            <w:r w:rsidRPr="00D66CE0">
              <w:t>1855</w:t>
            </w:r>
          </w:p>
        </w:tc>
        <w:tc>
          <w:tcPr>
            <w:tcW w:w="900" w:type="dxa"/>
            <w:hideMark/>
          </w:tcPr>
          <w:p w14:paraId="62BE7922" w14:textId="77777777" w:rsidR="00D66CE0" w:rsidRPr="00D66CE0" w:rsidRDefault="00D66CE0" w:rsidP="00AA541E">
            <w:pPr>
              <w:pStyle w:val="NoSpacing"/>
            </w:pPr>
            <w:r w:rsidRPr="00D66CE0">
              <w:t>122</w:t>
            </w:r>
          </w:p>
        </w:tc>
        <w:tc>
          <w:tcPr>
            <w:tcW w:w="900" w:type="dxa"/>
            <w:hideMark/>
          </w:tcPr>
          <w:p w14:paraId="403A0610" w14:textId="77777777" w:rsidR="00D66CE0" w:rsidRPr="00D66CE0" w:rsidRDefault="00D66CE0" w:rsidP="00AA541E">
            <w:pPr>
              <w:pStyle w:val="NoSpacing"/>
            </w:pPr>
            <w:r w:rsidRPr="00D66CE0">
              <w:t>699</w:t>
            </w:r>
          </w:p>
        </w:tc>
        <w:tc>
          <w:tcPr>
            <w:tcW w:w="985" w:type="dxa"/>
            <w:hideMark/>
          </w:tcPr>
          <w:p w14:paraId="0D075F32" w14:textId="77777777" w:rsidR="00D66CE0" w:rsidRPr="00D66CE0" w:rsidRDefault="00D66CE0" w:rsidP="00AA541E">
            <w:pPr>
              <w:pStyle w:val="NoSpacing"/>
            </w:pPr>
            <w:r w:rsidRPr="00D66CE0">
              <w:t>336</w:t>
            </w:r>
          </w:p>
        </w:tc>
      </w:tr>
    </w:tbl>
    <w:p w14:paraId="7C211B18" w14:textId="77777777" w:rsidR="00D66CE0" w:rsidRPr="00D66CE0" w:rsidRDefault="00D66CE0" w:rsidP="00D66CE0">
      <w:r w:rsidRPr="00D66CE0">
        <w:t xml:space="preserve">Data on acquisitions, their dates, and the form of payment came from the SDC database. Financial data were obtained from </w:t>
      </w:r>
      <w:proofErr w:type="spellStart"/>
      <w:r w:rsidRPr="00D66CE0">
        <w:t>Compustat</w:t>
      </w:r>
      <w:proofErr w:type="spellEnd"/>
      <w:r w:rsidRPr="00D66CE0">
        <w:t>.</w:t>
      </w:r>
    </w:p>
    <w:p w14:paraId="1D1960BB" w14:textId="77777777" w:rsidR="00D66CE0" w:rsidRPr="00D66CE0" w:rsidRDefault="00D66CE0" w:rsidP="0024282A">
      <w:pPr>
        <w:pStyle w:val="Heading2"/>
      </w:pPr>
      <w:r w:rsidRPr="00D66CE0">
        <w:lastRenderedPageBreak/>
        <w:t>Dependent variable</w:t>
      </w:r>
    </w:p>
    <w:p w14:paraId="71A0A6E5" w14:textId="77777777" w:rsidR="00D66CE0" w:rsidRPr="00D66CE0" w:rsidRDefault="00D66CE0" w:rsidP="00D66CE0">
      <w:r w:rsidRPr="00D66CE0">
        <w:rPr>
          <w:i/>
          <w:iCs/>
        </w:rPr>
        <w:t>Timing of action in the wave:</w:t>
      </w:r>
      <w:r w:rsidRPr="00D66CE0">
        <w:t> To calculate the timing of firm action within an acquisition wave, we calculated the number of days that each acquisition announcement occurred after the first acquisition in the wave. We then divided this by the total number of days in the wave. Thus, the end score ranged from zero to one, with the first acquisition in the wave having the lowest value and the last acquisition in the wave having the highest value. If two or more acquisitions occurred on the same day, they carried the same timing value.</w:t>
      </w:r>
    </w:p>
    <w:p w14:paraId="3B2F8B8A" w14:textId="77777777" w:rsidR="00D66CE0" w:rsidRPr="00D66CE0" w:rsidRDefault="00D66CE0" w:rsidP="0024282A">
      <w:pPr>
        <w:pStyle w:val="Heading2"/>
      </w:pPr>
      <w:r w:rsidRPr="00D66CE0">
        <w:t>Independent variables</w:t>
      </w:r>
    </w:p>
    <w:p w14:paraId="2A08F9C9" w14:textId="3BC7BB2C" w:rsidR="00D66CE0" w:rsidRPr="00D66CE0" w:rsidRDefault="00D66CE0" w:rsidP="00D66CE0">
      <w:r w:rsidRPr="00D66CE0">
        <w:rPr>
          <w:i/>
          <w:iCs/>
        </w:rPr>
        <w:t>Acquirer technology and marketing intensity:</w:t>
      </w:r>
      <w:r w:rsidRPr="00D66CE0">
        <w:t xml:space="preserve"> Technology intensity is measured as the research and development (R&amp;D) intensity (R&amp;D/sales) of the firm one year prior to the acquisition announcement. Since the level of R&amp;D intensity greatly varies across industries, we calculated and used an industry-adjusted R&amp;D intensity measure by subtracting the industry average from the firm's R&amp;D intensity, using the firm's four-digit SIC code. Marketing intensity is similarly measured using the industry-adjusted advertising intensity (advertising/sales) of the firm one year prior to the acquisition announcement. These two variables are very highly correlated, </w:t>
      </w:r>
      <m:oMath>
        <m:r>
          <w:rPr>
            <w:rFonts w:ascii="Cambria Math" w:hAnsi="Cambria Math"/>
          </w:rPr>
          <m:t>(r = 0.82)</m:t>
        </m:r>
      </m:oMath>
      <w:r w:rsidRPr="00D66CE0">
        <w:t>. Thus, to avoid colinearity issues, we average the two values to get an overall technology and marketing-intensity variable.</w:t>
      </w:r>
    </w:p>
    <w:p w14:paraId="356366E4" w14:textId="4718A9C0" w:rsidR="00D66CE0" w:rsidRPr="00D66CE0" w:rsidRDefault="00D66CE0" w:rsidP="00D66CE0">
      <w:r w:rsidRPr="00D66CE0">
        <w:rPr>
          <w:i/>
          <w:iCs/>
        </w:rPr>
        <w:t>Acquirer size</w:t>
      </w:r>
      <w:r w:rsidRPr="00D66CE0">
        <w:t>: We measured firm size as the logarithm of total assets of the acquirer one year prior to the merger announcement.</w:t>
      </w:r>
      <w:r w:rsidRPr="00261125">
        <w:rPr>
          <w:b/>
          <w:bCs/>
          <w:vertAlign w:val="superscript"/>
        </w:rPr>
        <w:t>4</w:t>
      </w:r>
    </w:p>
    <w:p w14:paraId="416F0E9F" w14:textId="518FAAB2" w:rsidR="00D66CE0" w:rsidRPr="00D66CE0" w:rsidRDefault="00D66CE0" w:rsidP="00D66CE0">
      <w:r w:rsidRPr="00D66CE0">
        <w:rPr>
          <w:i/>
          <w:iCs/>
        </w:rPr>
        <w:t>Acquirer diversification:</w:t>
      </w:r>
      <w:r w:rsidRPr="00D66CE0">
        <w:t xml:space="preserve"> We measured the </w:t>
      </w:r>
      <w:proofErr w:type="gramStart"/>
      <w:r w:rsidRPr="00D66CE0">
        <w:t>organizational-level</w:t>
      </w:r>
      <w:proofErr w:type="gramEnd"/>
      <w:r w:rsidRPr="00D66CE0">
        <w:t xml:space="preserve"> of diversification with the entropy index for the organization (Palepu, </w:t>
      </w:r>
      <w:r w:rsidRPr="00D66CE0">
        <w:rPr>
          <w:b/>
          <w:bCs/>
        </w:rPr>
        <w:t>1985</w:t>
      </w:r>
      <w:r w:rsidRPr="00D66CE0">
        <w:t>). The level of diversification is measured one year prior to the acquisition announcement.</w:t>
      </w:r>
    </w:p>
    <w:p w14:paraId="5C90C2C6" w14:textId="0AECC8F0" w:rsidR="00D66CE0" w:rsidRPr="00D66CE0" w:rsidRDefault="00D66CE0" w:rsidP="00D66CE0">
      <w:r w:rsidRPr="00D66CE0">
        <w:rPr>
          <w:i/>
          <w:iCs/>
        </w:rPr>
        <w:t>Acquirer financial slack</w:t>
      </w:r>
      <w:r w:rsidRPr="00D66CE0">
        <w:t>: Researchers have discussed both unabsorbed and absorbed slack and their influence on firm action (Singh, </w:t>
      </w:r>
      <w:r w:rsidRPr="00D66CE0">
        <w:rPr>
          <w:b/>
          <w:bCs/>
        </w:rPr>
        <w:t>1986</w:t>
      </w:r>
      <w:r w:rsidRPr="00D66CE0">
        <w:t>). Unabsorbed slack refers to excess, uncommitted, liquid resources in organizations, which impact the firm's ability to carry out actions (Smith </w:t>
      </w:r>
      <w:r w:rsidRPr="00D66CE0">
        <w:rPr>
          <w:i/>
          <w:iCs/>
        </w:rPr>
        <w:t>et al.</w:t>
      </w:r>
      <w:r w:rsidRPr="00D66CE0">
        <w:t>, </w:t>
      </w:r>
      <w:r w:rsidRPr="00D66CE0">
        <w:rPr>
          <w:b/>
          <w:bCs/>
        </w:rPr>
        <w:t>2001</w:t>
      </w:r>
      <w:r w:rsidRPr="00D66CE0">
        <w:t>). In contrast, absorbed slack reflects excess resources in the firm's cost structure (Singh, </w:t>
      </w:r>
      <w:r w:rsidRPr="00D66CE0">
        <w:rPr>
          <w:b/>
          <w:bCs/>
        </w:rPr>
        <w:t>1986</w:t>
      </w:r>
      <w:r w:rsidRPr="00D66CE0">
        <w:t>) and provides a buffer against environmental challenges. Since unabsorbed slack is more closely related to major strategic actions, such as mergers and acquisitions, than absorbed slack, we focus on the role of unabsorbed slack in leading to slack search that will result in taking a leadership position in the wave. Following Haunschild (</w:t>
      </w:r>
      <w:r w:rsidRPr="00D66CE0">
        <w:rPr>
          <w:b/>
          <w:bCs/>
        </w:rPr>
        <w:t>1993</w:t>
      </w:r>
      <w:r w:rsidRPr="00D66CE0">
        <w:t>), we measured unabsorbed acquirer financial slack in two ways. First, slack was operationalized as the debt-to-equity ratio—a conventional measure inversely related to slack (Bourgeois, </w:t>
      </w:r>
      <w:r w:rsidRPr="00D66CE0">
        <w:rPr>
          <w:b/>
          <w:bCs/>
        </w:rPr>
        <w:t>1981</w:t>
      </w:r>
      <w:r w:rsidRPr="00D66CE0">
        <w:t>). Second, we assessed the percentage of free cash flow, defined as (operating income—taxes—interest expense—depreciation—preferred dividend—common dividend)/equity. Both variables were measured at the end of the year before the acquisition year.</w:t>
      </w:r>
    </w:p>
    <w:p w14:paraId="388D1E0A" w14:textId="0A585940" w:rsidR="00D66CE0" w:rsidRPr="00D66CE0" w:rsidRDefault="00D66CE0" w:rsidP="00D66CE0">
      <w:r w:rsidRPr="00D66CE0">
        <w:rPr>
          <w:i/>
          <w:iCs/>
        </w:rPr>
        <w:t>Acquiring firm prior performance:</w:t>
      </w:r>
      <w:r w:rsidRPr="00D66CE0">
        <w:t> Prior firm performance was measured with the firm's return on assets (ROA) one year prior to the acquisition.</w:t>
      </w:r>
      <w:r w:rsidRPr="00982113">
        <w:rPr>
          <w:b/>
          <w:bCs/>
          <w:vertAlign w:val="superscript"/>
        </w:rPr>
        <w:t>5</w:t>
      </w:r>
    </w:p>
    <w:p w14:paraId="18C645FE" w14:textId="77777777" w:rsidR="00D66CE0" w:rsidRPr="00D66CE0" w:rsidRDefault="00D66CE0" w:rsidP="0024282A">
      <w:pPr>
        <w:pStyle w:val="Heading2"/>
      </w:pPr>
      <w:r w:rsidRPr="00D66CE0">
        <w:t>Control variables</w:t>
      </w:r>
    </w:p>
    <w:p w14:paraId="0977EB62" w14:textId="3C9211FA" w:rsidR="00D66CE0" w:rsidRPr="00D66CE0" w:rsidRDefault="00D66CE0" w:rsidP="00D66CE0">
      <w:r w:rsidRPr="00D66CE0">
        <w:t xml:space="preserve">Since this is the first study to examine timing of action in merger waves, we were not able to draw upon prior work to generate control variables. However, we included </w:t>
      </w:r>
      <w:proofErr w:type="gramStart"/>
      <w:r w:rsidRPr="00D66CE0">
        <w:t>a number of</w:t>
      </w:r>
      <w:proofErr w:type="gramEnd"/>
      <w:r w:rsidRPr="00D66CE0">
        <w:t xml:space="preserve"> control variables to account for industry-specific factors as well as firm characteristics that may relate to merger behavior. First, we included industry dummy variables to control systematic differences across the industries explored in the study. Second, we drew upon work by Harford (</w:t>
      </w:r>
      <w:r w:rsidRPr="00D66CE0">
        <w:rPr>
          <w:b/>
          <w:bCs/>
        </w:rPr>
        <w:t>2005</w:t>
      </w:r>
      <w:r w:rsidRPr="00D66CE0">
        <w:t xml:space="preserve">) to identify factors that may trigger merger waves. We controlled for these same factors because they may relate not only to the incidence of merger waves but also to activity within merger waves. We used Tobin's q to control for the firm's relative market valuation since firms highly valued by the market may be more likely to use their inflated stock to finance acquisitions. We also included controls for both sales and employee growth since a firm's growth rate may influence its acquisition behavior. We used industry </w:t>
      </w:r>
      <w:r w:rsidRPr="00D66CE0">
        <w:lastRenderedPageBreak/>
        <w:t>adjusted values for sales growth since growth rates vary over time and across industry settings. We first calculated the mean value of sales growth for each industry in each year. We then calculated the difference between the firm's sales growth and the industry average sales growth value to measure the industry adjusted value. Following Harford (</w:t>
      </w:r>
      <w:r w:rsidRPr="00D66CE0">
        <w:rPr>
          <w:b/>
          <w:bCs/>
        </w:rPr>
        <w:t>2005</w:t>
      </w:r>
      <w:r w:rsidRPr="00D66CE0">
        <w:t xml:space="preserve">), we also controlled for the firm's asset turnover (sales/assets) and capital intensity (capital expenditures/sales). </w:t>
      </w:r>
      <w:proofErr w:type="gramStart"/>
      <w:r w:rsidRPr="00D66CE0">
        <w:t>All of</w:t>
      </w:r>
      <w:proofErr w:type="gramEnd"/>
      <w:r w:rsidRPr="00D66CE0">
        <w:t xml:space="preserve"> the firm-specific financial variables were measured in the year prior to the focal acquisition. In addition, we controlled for the number of acquisitions a firm undertakes in the wave because the degree to which a firm regularly undertakes acquisitions and is a serial acquirer may also influence its acquisition timing. Finally, we included a dummy variable indicating whether the acquirer and target were in the same four-digit SIC code—industry relatedness—since this may influence the acquirer's awareness of the wave opportunity.</w:t>
      </w:r>
    </w:p>
    <w:p w14:paraId="588DB45D" w14:textId="77777777" w:rsidR="00D66CE0" w:rsidRPr="00D66CE0" w:rsidRDefault="00D66CE0" w:rsidP="0024282A">
      <w:pPr>
        <w:pStyle w:val="Heading2"/>
      </w:pPr>
      <w:r w:rsidRPr="00D66CE0">
        <w:t>Analysis</w:t>
      </w:r>
    </w:p>
    <w:p w14:paraId="4F4D429A" w14:textId="77777777" w:rsidR="00D66CE0" w:rsidRPr="00D66CE0" w:rsidRDefault="00D66CE0" w:rsidP="00D66CE0">
      <w:r w:rsidRPr="00D66CE0">
        <w:t>We used fixed-effects regression to test our hypotheses with industry fixed effects. This allowed us to control for idiosyncratic industry differences that were not accounted for by our control variables. We also analyzed the data using Tobit analysis because the dependent variable is censored at zero and one. Finally, we conducted an analysis where we only focused on the first acquisition of each firm. We present all three analyses in our results table, but since the three analyses provide consistent results, we focus our interpretation on the fixed-effects regression model results in which we included all observations.</w:t>
      </w:r>
    </w:p>
    <w:p w14:paraId="62010095" w14:textId="77777777" w:rsidR="00D66CE0" w:rsidRPr="0024282A" w:rsidRDefault="00D66CE0" w:rsidP="0024282A">
      <w:pPr>
        <w:pStyle w:val="Heading1"/>
      </w:pPr>
      <w:r w:rsidRPr="0024282A">
        <w:t>Results</w:t>
      </w:r>
    </w:p>
    <w:p w14:paraId="5B8050E2" w14:textId="29201575" w:rsidR="00D66CE0" w:rsidRPr="00D66CE0" w:rsidRDefault="00D66CE0" w:rsidP="00D66CE0">
      <w:r w:rsidRPr="00D66CE0">
        <w:t>Table </w:t>
      </w:r>
      <w:r w:rsidRPr="00D66CE0">
        <w:rPr>
          <w:b/>
          <w:bCs/>
        </w:rPr>
        <w:t>2</w:t>
      </w:r>
      <w:r w:rsidRPr="00D66CE0">
        <w:t> presents the descriptive statistics and correlations for the variables in this study.</w:t>
      </w:r>
      <w:r w:rsidRPr="00982113">
        <w:rPr>
          <w:b/>
          <w:bCs/>
          <w:vertAlign w:val="superscript"/>
        </w:rPr>
        <w:t>6</w:t>
      </w:r>
      <w:r w:rsidRPr="00D66CE0">
        <w:t xml:space="preserve"> The correlations between our IVs and positioning in the wave are in line with </w:t>
      </w:r>
      <w:proofErr w:type="gramStart"/>
      <w:r w:rsidRPr="00D66CE0">
        <w:t>a number of</w:t>
      </w:r>
      <w:proofErr w:type="gramEnd"/>
      <w:r w:rsidRPr="00D66CE0">
        <w:t xml:space="preserve"> our hypotheses. Also, the correlations between the independent variables are moderate to low, indicating that </w:t>
      </w:r>
      <w:proofErr w:type="spellStart"/>
      <w:r w:rsidRPr="00D66CE0">
        <w:t>multicolinearity</w:t>
      </w:r>
      <w:proofErr w:type="spellEnd"/>
      <w:r w:rsidRPr="00D66CE0">
        <w:t xml:space="preserve"> is not an issue.</w:t>
      </w:r>
    </w:p>
    <w:p w14:paraId="4B092BB9" w14:textId="77777777" w:rsidR="008200AE" w:rsidRDefault="008200AE" w:rsidP="00D66CE0">
      <w:pPr>
        <w:rPr>
          <w:b/>
          <w:bCs/>
        </w:rPr>
        <w:sectPr w:rsidR="008200AE" w:rsidSect="00013176">
          <w:pgSz w:w="12240" w:h="15840"/>
          <w:pgMar w:top="1080" w:right="1080" w:bottom="1080" w:left="1080" w:header="720" w:footer="720" w:gutter="0"/>
          <w:cols w:space="720"/>
          <w:docGrid w:linePitch="360"/>
        </w:sectPr>
      </w:pPr>
    </w:p>
    <w:p w14:paraId="64ABD87F" w14:textId="77777777" w:rsidR="00D66CE0" w:rsidRPr="00D66CE0" w:rsidRDefault="00D66CE0" w:rsidP="008200AE">
      <w:pPr>
        <w:spacing w:after="0"/>
      </w:pPr>
      <w:r w:rsidRPr="00D66CE0">
        <w:rPr>
          <w:b/>
          <w:bCs/>
        </w:rPr>
        <w:lastRenderedPageBreak/>
        <w:t>Table 2. </w:t>
      </w:r>
      <w:r w:rsidRPr="00D66CE0">
        <w:t>Summary statistics and correlation table</w:t>
      </w:r>
    </w:p>
    <w:tbl>
      <w:tblPr>
        <w:tblStyle w:val="TableGrid"/>
        <w:tblW w:w="5000" w:type="pct"/>
        <w:tblLook w:val="04A0" w:firstRow="1" w:lastRow="0" w:firstColumn="1" w:lastColumn="0" w:noHBand="0" w:noVBand="1"/>
      </w:tblPr>
      <w:tblGrid>
        <w:gridCol w:w="1723"/>
        <w:gridCol w:w="797"/>
        <w:gridCol w:w="797"/>
        <w:gridCol w:w="797"/>
        <w:gridCol w:w="797"/>
        <w:gridCol w:w="797"/>
        <w:gridCol w:w="797"/>
        <w:gridCol w:w="797"/>
        <w:gridCol w:w="796"/>
        <w:gridCol w:w="796"/>
        <w:gridCol w:w="796"/>
        <w:gridCol w:w="796"/>
        <w:gridCol w:w="796"/>
        <w:gridCol w:w="796"/>
        <w:gridCol w:w="796"/>
        <w:gridCol w:w="796"/>
      </w:tblGrid>
      <w:tr w:rsidR="00D66CE0" w:rsidRPr="00D66CE0" w14:paraId="321A045C" w14:textId="77777777" w:rsidTr="008200AE">
        <w:tc>
          <w:tcPr>
            <w:tcW w:w="629" w:type="pct"/>
            <w:hideMark/>
          </w:tcPr>
          <w:p w14:paraId="2F9D7DA5" w14:textId="77777777" w:rsidR="00D66CE0" w:rsidRPr="00D66CE0" w:rsidRDefault="00D66CE0" w:rsidP="008200AE">
            <w:pPr>
              <w:pStyle w:val="NoSpacing"/>
            </w:pPr>
            <w:r w:rsidRPr="00D66CE0">
              <w:t>Variables</w:t>
            </w:r>
          </w:p>
        </w:tc>
        <w:tc>
          <w:tcPr>
            <w:tcW w:w="291" w:type="pct"/>
            <w:hideMark/>
          </w:tcPr>
          <w:p w14:paraId="47E9DFEF" w14:textId="77777777" w:rsidR="00D66CE0" w:rsidRPr="00D66CE0" w:rsidRDefault="00D66CE0" w:rsidP="008200AE">
            <w:pPr>
              <w:pStyle w:val="NoSpacing"/>
            </w:pPr>
            <w:r w:rsidRPr="00D66CE0">
              <w:t>Mean</w:t>
            </w:r>
          </w:p>
        </w:tc>
        <w:tc>
          <w:tcPr>
            <w:tcW w:w="291" w:type="pct"/>
            <w:hideMark/>
          </w:tcPr>
          <w:p w14:paraId="7240A81E" w14:textId="77777777" w:rsidR="00D66CE0" w:rsidRPr="00D66CE0" w:rsidRDefault="00D66CE0" w:rsidP="008200AE">
            <w:pPr>
              <w:pStyle w:val="NoSpacing"/>
            </w:pPr>
            <w:r w:rsidRPr="00D66CE0">
              <w:t>S.D.</w:t>
            </w:r>
          </w:p>
        </w:tc>
        <w:tc>
          <w:tcPr>
            <w:tcW w:w="291" w:type="pct"/>
            <w:hideMark/>
          </w:tcPr>
          <w:p w14:paraId="357E6E00" w14:textId="77777777" w:rsidR="00D66CE0" w:rsidRPr="00D66CE0" w:rsidRDefault="00D66CE0" w:rsidP="008200AE">
            <w:pPr>
              <w:pStyle w:val="NoSpacing"/>
            </w:pPr>
            <w:r w:rsidRPr="00D66CE0">
              <w:t>1</w:t>
            </w:r>
          </w:p>
        </w:tc>
        <w:tc>
          <w:tcPr>
            <w:tcW w:w="291" w:type="pct"/>
            <w:hideMark/>
          </w:tcPr>
          <w:p w14:paraId="4E4ECD71" w14:textId="77777777" w:rsidR="00D66CE0" w:rsidRPr="00D66CE0" w:rsidRDefault="00D66CE0" w:rsidP="008200AE">
            <w:pPr>
              <w:pStyle w:val="NoSpacing"/>
            </w:pPr>
            <w:r w:rsidRPr="00D66CE0">
              <w:t>2</w:t>
            </w:r>
          </w:p>
        </w:tc>
        <w:tc>
          <w:tcPr>
            <w:tcW w:w="291" w:type="pct"/>
            <w:hideMark/>
          </w:tcPr>
          <w:p w14:paraId="402C40EB" w14:textId="77777777" w:rsidR="00D66CE0" w:rsidRPr="00D66CE0" w:rsidRDefault="00D66CE0" w:rsidP="008200AE">
            <w:pPr>
              <w:pStyle w:val="NoSpacing"/>
            </w:pPr>
            <w:r w:rsidRPr="00D66CE0">
              <w:t>3</w:t>
            </w:r>
          </w:p>
        </w:tc>
        <w:tc>
          <w:tcPr>
            <w:tcW w:w="291" w:type="pct"/>
            <w:hideMark/>
          </w:tcPr>
          <w:p w14:paraId="7CC33B2E" w14:textId="77777777" w:rsidR="00D66CE0" w:rsidRPr="00D66CE0" w:rsidRDefault="00D66CE0" w:rsidP="008200AE">
            <w:pPr>
              <w:pStyle w:val="NoSpacing"/>
            </w:pPr>
            <w:r w:rsidRPr="00D66CE0">
              <w:t>4</w:t>
            </w:r>
          </w:p>
        </w:tc>
        <w:tc>
          <w:tcPr>
            <w:tcW w:w="291" w:type="pct"/>
            <w:hideMark/>
          </w:tcPr>
          <w:p w14:paraId="68C23C4F" w14:textId="77777777" w:rsidR="00D66CE0" w:rsidRPr="00D66CE0" w:rsidRDefault="00D66CE0" w:rsidP="008200AE">
            <w:pPr>
              <w:pStyle w:val="NoSpacing"/>
            </w:pPr>
            <w:r w:rsidRPr="00D66CE0">
              <w:t>5</w:t>
            </w:r>
          </w:p>
        </w:tc>
        <w:tc>
          <w:tcPr>
            <w:tcW w:w="291" w:type="pct"/>
            <w:hideMark/>
          </w:tcPr>
          <w:p w14:paraId="7E90926A" w14:textId="77777777" w:rsidR="00D66CE0" w:rsidRPr="00D66CE0" w:rsidRDefault="00D66CE0" w:rsidP="008200AE">
            <w:pPr>
              <w:pStyle w:val="NoSpacing"/>
            </w:pPr>
            <w:r w:rsidRPr="00D66CE0">
              <w:t>6</w:t>
            </w:r>
          </w:p>
        </w:tc>
        <w:tc>
          <w:tcPr>
            <w:tcW w:w="291" w:type="pct"/>
            <w:hideMark/>
          </w:tcPr>
          <w:p w14:paraId="0B4DE60C" w14:textId="77777777" w:rsidR="00D66CE0" w:rsidRPr="00D66CE0" w:rsidRDefault="00D66CE0" w:rsidP="008200AE">
            <w:pPr>
              <w:pStyle w:val="NoSpacing"/>
            </w:pPr>
            <w:r w:rsidRPr="00D66CE0">
              <w:t>7</w:t>
            </w:r>
          </w:p>
        </w:tc>
        <w:tc>
          <w:tcPr>
            <w:tcW w:w="291" w:type="pct"/>
            <w:hideMark/>
          </w:tcPr>
          <w:p w14:paraId="467EFF73" w14:textId="77777777" w:rsidR="00D66CE0" w:rsidRPr="00D66CE0" w:rsidRDefault="00D66CE0" w:rsidP="008200AE">
            <w:pPr>
              <w:pStyle w:val="NoSpacing"/>
            </w:pPr>
            <w:r w:rsidRPr="00D66CE0">
              <w:t>8</w:t>
            </w:r>
          </w:p>
        </w:tc>
        <w:tc>
          <w:tcPr>
            <w:tcW w:w="291" w:type="pct"/>
            <w:hideMark/>
          </w:tcPr>
          <w:p w14:paraId="111AB53F" w14:textId="77777777" w:rsidR="00D66CE0" w:rsidRPr="00D66CE0" w:rsidRDefault="00D66CE0" w:rsidP="008200AE">
            <w:pPr>
              <w:pStyle w:val="NoSpacing"/>
            </w:pPr>
            <w:r w:rsidRPr="00D66CE0">
              <w:t>9</w:t>
            </w:r>
          </w:p>
        </w:tc>
        <w:tc>
          <w:tcPr>
            <w:tcW w:w="291" w:type="pct"/>
            <w:hideMark/>
          </w:tcPr>
          <w:p w14:paraId="48A7FCE4" w14:textId="77777777" w:rsidR="00D66CE0" w:rsidRPr="00D66CE0" w:rsidRDefault="00D66CE0" w:rsidP="008200AE">
            <w:pPr>
              <w:pStyle w:val="NoSpacing"/>
            </w:pPr>
            <w:r w:rsidRPr="00D66CE0">
              <w:t>10</w:t>
            </w:r>
          </w:p>
        </w:tc>
        <w:tc>
          <w:tcPr>
            <w:tcW w:w="291" w:type="pct"/>
            <w:hideMark/>
          </w:tcPr>
          <w:p w14:paraId="6F9D89D9" w14:textId="77777777" w:rsidR="00D66CE0" w:rsidRPr="00D66CE0" w:rsidRDefault="00D66CE0" w:rsidP="008200AE">
            <w:pPr>
              <w:pStyle w:val="NoSpacing"/>
            </w:pPr>
            <w:r w:rsidRPr="00D66CE0">
              <w:t>11</w:t>
            </w:r>
          </w:p>
        </w:tc>
        <w:tc>
          <w:tcPr>
            <w:tcW w:w="291" w:type="pct"/>
            <w:hideMark/>
          </w:tcPr>
          <w:p w14:paraId="09BE2D91" w14:textId="77777777" w:rsidR="00D66CE0" w:rsidRPr="00D66CE0" w:rsidRDefault="00D66CE0" w:rsidP="008200AE">
            <w:pPr>
              <w:pStyle w:val="NoSpacing"/>
            </w:pPr>
            <w:r w:rsidRPr="00D66CE0">
              <w:t>12</w:t>
            </w:r>
          </w:p>
        </w:tc>
        <w:tc>
          <w:tcPr>
            <w:tcW w:w="291" w:type="pct"/>
            <w:hideMark/>
          </w:tcPr>
          <w:p w14:paraId="5FE6BE29" w14:textId="77777777" w:rsidR="00D66CE0" w:rsidRPr="00D66CE0" w:rsidRDefault="00D66CE0" w:rsidP="008200AE">
            <w:pPr>
              <w:pStyle w:val="NoSpacing"/>
            </w:pPr>
            <w:r w:rsidRPr="00D66CE0">
              <w:t>13</w:t>
            </w:r>
          </w:p>
        </w:tc>
      </w:tr>
      <w:tr w:rsidR="00D66CE0" w:rsidRPr="00D66CE0" w14:paraId="1AFCF38F" w14:textId="77777777" w:rsidTr="008200AE">
        <w:tc>
          <w:tcPr>
            <w:tcW w:w="629" w:type="pct"/>
            <w:hideMark/>
          </w:tcPr>
          <w:p w14:paraId="2B26129E" w14:textId="77777777" w:rsidR="00D66CE0" w:rsidRPr="00D66CE0" w:rsidRDefault="00D66CE0" w:rsidP="008200AE">
            <w:pPr>
              <w:pStyle w:val="NoSpacing"/>
            </w:pPr>
            <w:r w:rsidRPr="00D66CE0">
              <w:t>1. Timing of action in the wave</w:t>
            </w:r>
          </w:p>
        </w:tc>
        <w:tc>
          <w:tcPr>
            <w:tcW w:w="291" w:type="pct"/>
            <w:hideMark/>
          </w:tcPr>
          <w:p w14:paraId="6EA4FF07" w14:textId="77777777" w:rsidR="00D66CE0" w:rsidRPr="00D66CE0" w:rsidRDefault="00D66CE0" w:rsidP="008200AE">
            <w:pPr>
              <w:pStyle w:val="NoSpacing"/>
            </w:pPr>
            <w:r w:rsidRPr="00D66CE0">
              <w:t>0.50</w:t>
            </w:r>
          </w:p>
        </w:tc>
        <w:tc>
          <w:tcPr>
            <w:tcW w:w="291" w:type="pct"/>
            <w:hideMark/>
          </w:tcPr>
          <w:p w14:paraId="4AD8A242" w14:textId="77777777" w:rsidR="00D66CE0" w:rsidRPr="00D66CE0" w:rsidRDefault="00D66CE0" w:rsidP="008200AE">
            <w:pPr>
              <w:pStyle w:val="NoSpacing"/>
            </w:pPr>
            <w:r w:rsidRPr="00D66CE0">
              <w:t>0.22</w:t>
            </w:r>
          </w:p>
        </w:tc>
        <w:tc>
          <w:tcPr>
            <w:tcW w:w="291" w:type="pct"/>
            <w:hideMark/>
          </w:tcPr>
          <w:p w14:paraId="73D59B69" w14:textId="77777777" w:rsidR="00D66CE0" w:rsidRPr="00D66CE0" w:rsidRDefault="00D66CE0" w:rsidP="008200AE">
            <w:pPr>
              <w:pStyle w:val="NoSpacing"/>
            </w:pPr>
          </w:p>
        </w:tc>
        <w:tc>
          <w:tcPr>
            <w:tcW w:w="291" w:type="pct"/>
            <w:hideMark/>
          </w:tcPr>
          <w:p w14:paraId="64B7F863" w14:textId="77777777" w:rsidR="00D66CE0" w:rsidRPr="00D66CE0" w:rsidRDefault="00D66CE0" w:rsidP="008200AE">
            <w:pPr>
              <w:pStyle w:val="NoSpacing"/>
            </w:pPr>
          </w:p>
        </w:tc>
        <w:tc>
          <w:tcPr>
            <w:tcW w:w="291" w:type="pct"/>
            <w:hideMark/>
          </w:tcPr>
          <w:p w14:paraId="00C0E7E1" w14:textId="77777777" w:rsidR="00D66CE0" w:rsidRPr="00D66CE0" w:rsidRDefault="00D66CE0" w:rsidP="008200AE">
            <w:pPr>
              <w:pStyle w:val="NoSpacing"/>
            </w:pPr>
          </w:p>
        </w:tc>
        <w:tc>
          <w:tcPr>
            <w:tcW w:w="291" w:type="pct"/>
            <w:hideMark/>
          </w:tcPr>
          <w:p w14:paraId="038C4429" w14:textId="77777777" w:rsidR="00D66CE0" w:rsidRPr="00D66CE0" w:rsidRDefault="00D66CE0" w:rsidP="008200AE">
            <w:pPr>
              <w:pStyle w:val="NoSpacing"/>
            </w:pPr>
          </w:p>
        </w:tc>
        <w:tc>
          <w:tcPr>
            <w:tcW w:w="291" w:type="pct"/>
            <w:hideMark/>
          </w:tcPr>
          <w:p w14:paraId="371F8CD2" w14:textId="77777777" w:rsidR="00D66CE0" w:rsidRPr="00D66CE0" w:rsidRDefault="00D66CE0" w:rsidP="008200AE">
            <w:pPr>
              <w:pStyle w:val="NoSpacing"/>
            </w:pPr>
          </w:p>
        </w:tc>
        <w:tc>
          <w:tcPr>
            <w:tcW w:w="291" w:type="pct"/>
            <w:hideMark/>
          </w:tcPr>
          <w:p w14:paraId="506A34E7" w14:textId="77777777" w:rsidR="00D66CE0" w:rsidRPr="00D66CE0" w:rsidRDefault="00D66CE0" w:rsidP="008200AE">
            <w:pPr>
              <w:pStyle w:val="NoSpacing"/>
            </w:pPr>
          </w:p>
        </w:tc>
        <w:tc>
          <w:tcPr>
            <w:tcW w:w="291" w:type="pct"/>
            <w:hideMark/>
          </w:tcPr>
          <w:p w14:paraId="157C6FFE" w14:textId="77777777" w:rsidR="00D66CE0" w:rsidRPr="00D66CE0" w:rsidRDefault="00D66CE0" w:rsidP="008200AE">
            <w:pPr>
              <w:pStyle w:val="NoSpacing"/>
            </w:pPr>
          </w:p>
        </w:tc>
        <w:tc>
          <w:tcPr>
            <w:tcW w:w="291" w:type="pct"/>
            <w:hideMark/>
          </w:tcPr>
          <w:p w14:paraId="61E1103B" w14:textId="77777777" w:rsidR="00D66CE0" w:rsidRPr="00D66CE0" w:rsidRDefault="00D66CE0" w:rsidP="008200AE">
            <w:pPr>
              <w:pStyle w:val="NoSpacing"/>
            </w:pPr>
          </w:p>
        </w:tc>
        <w:tc>
          <w:tcPr>
            <w:tcW w:w="291" w:type="pct"/>
            <w:hideMark/>
          </w:tcPr>
          <w:p w14:paraId="123880AD" w14:textId="77777777" w:rsidR="00D66CE0" w:rsidRPr="00D66CE0" w:rsidRDefault="00D66CE0" w:rsidP="008200AE">
            <w:pPr>
              <w:pStyle w:val="NoSpacing"/>
            </w:pPr>
          </w:p>
        </w:tc>
        <w:tc>
          <w:tcPr>
            <w:tcW w:w="291" w:type="pct"/>
            <w:hideMark/>
          </w:tcPr>
          <w:p w14:paraId="1CAD2D23" w14:textId="77777777" w:rsidR="00D66CE0" w:rsidRPr="00D66CE0" w:rsidRDefault="00D66CE0" w:rsidP="008200AE">
            <w:pPr>
              <w:pStyle w:val="NoSpacing"/>
            </w:pPr>
          </w:p>
        </w:tc>
        <w:tc>
          <w:tcPr>
            <w:tcW w:w="291" w:type="pct"/>
            <w:hideMark/>
          </w:tcPr>
          <w:p w14:paraId="3AA96BB6" w14:textId="77777777" w:rsidR="00D66CE0" w:rsidRPr="00D66CE0" w:rsidRDefault="00D66CE0" w:rsidP="008200AE">
            <w:pPr>
              <w:pStyle w:val="NoSpacing"/>
            </w:pPr>
          </w:p>
        </w:tc>
        <w:tc>
          <w:tcPr>
            <w:tcW w:w="291" w:type="pct"/>
            <w:hideMark/>
          </w:tcPr>
          <w:p w14:paraId="1095F059" w14:textId="77777777" w:rsidR="00D66CE0" w:rsidRPr="00D66CE0" w:rsidRDefault="00D66CE0" w:rsidP="008200AE">
            <w:pPr>
              <w:pStyle w:val="NoSpacing"/>
            </w:pPr>
          </w:p>
        </w:tc>
        <w:tc>
          <w:tcPr>
            <w:tcW w:w="291" w:type="pct"/>
            <w:hideMark/>
          </w:tcPr>
          <w:p w14:paraId="633247E4" w14:textId="77777777" w:rsidR="00D66CE0" w:rsidRPr="00D66CE0" w:rsidRDefault="00D66CE0" w:rsidP="008200AE">
            <w:pPr>
              <w:pStyle w:val="NoSpacing"/>
            </w:pPr>
          </w:p>
        </w:tc>
      </w:tr>
      <w:tr w:rsidR="00D66CE0" w:rsidRPr="00D66CE0" w14:paraId="76A6F650" w14:textId="77777777" w:rsidTr="008200AE">
        <w:tc>
          <w:tcPr>
            <w:tcW w:w="629" w:type="pct"/>
            <w:hideMark/>
          </w:tcPr>
          <w:p w14:paraId="751886D8" w14:textId="77777777" w:rsidR="00D66CE0" w:rsidRPr="00D66CE0" w:rsidRDefault="00D66CE0" w:rsidP="008200AE">
            <w:pPr>
              <w:pStyle w:val="NoSpacing"/>
            </w:pPr>
            <w:r w:rsidRPr="00D66CE0">
              <w:t>2. Industry relatedness</w:t>
            </w:r>
          </w:p>
        </w:tc>
        <w:tc>
          <w:tcPr>
            <w:tcW w:w="291" w:type="pct"/>
            <w:hideMark/>
          </w:tcPr>
          <w:p w14:paraId="48F9FAC3" w14:textId="77777777" w:rsidR="00D66CE0" w:rsidRPr="00D66CE0" w:rsidRDefault="00D66CE0" w:rsidP="008200AE">
            <w:pPr>
              <w:pStyle w:val="NoSpacing"/>
            </w:pPr>
            <w:r w:rsidRPr="00D66CE0">
              <w:t>0.72</w:t>
            </w:r>
          </w:p>
        </w:tc>
        <w:tc>
          <w:tcPr>
            <w:tcW w:w="291" w:type="pct"/>
            <w:hideMark/>
          </w:tcPr>
          <w:p w14:paraId="3915F311" w14:textId="77777777" w:rsidR="00D66CE0" w:rsidRPr="00D66CE0" w:rsidRDefault="00D66CE0" w:rsidP="008200AE">
            <w:pPr>
              <w:pStyle w:val="NoSpacing"/>
            </w:pPr>
            <w:r w:rsidRPr="00D66CE0">
              <w:t>0.45</w:t>
            </w:r>
          </w:p>
        </w:tc>
        <w:tc>
          <w:tcPr>
            <w:tcW w:w="291" w:type="pct"/>
            <w:hideMark/>
          </w:tcPr>
          <w:p w14:paraId="1A1AA00E" w14:textId="77777777" w:rsidR="00D66CE0" w:rsidRPr="00D66CE0" w:rsidRDefault="00D66CE0" w:rsidP="008200AE">
            <w:pPr>
              <w:pStyle w:val="NoSpacing"/>
            </w:pPr>
            <w:r w:rsidRPr="00D66CE0">
              <w:t>− 0.06</w:t>
            </w:r>
          </w:p>
        </w:tc>
        <w:tc>
          <w:tcPr>
            <w:tcW w:w="291" w:type="pct"/>
            <w:hideMark/>
          </w:tcPr>
          <w:p w14:paraId="0A7AFA80" w14:textId="77777777" w:rsidR="00D66CE0" w:rsidRPr="00D66CE0" w:rsidRDefault="00D66CE0" w:rsidP="008200AE">
            <w:pPr>
              <w:pStyle w:val="NoSpacing"/>
            </w:pPr>
          </w:p>
        </w:tc>
        <w:tc>
          <w:tcPr>
            <w:tcW w:w="291" w:type="pct"/>
            <w:hideMark/>
          </w:tcPr>
          <w:p w14:paraId="2AE8C9EE" w14:textId="77777777" w:rsidR="00D66CE0" w:rsidRPr="00D66CE0" w:rsidRDefault="00D66CE0" w:rsidP="008200AE">
            <w:pPr>
              <w:pStyle w:val="NoSpacing"/>
            </w:pPr>
          </w:p>
        </w:tc>
        <w:tc>
          <w:tcPr>
            <w:tcW w:w="291" w:type="pct"/>
            <w:hideMark/>
          </w:tcPr>
          <w:p w14:paraId="3F97899A" w14:textId="77777777" w:rsidR="00D66CE0" w:rsidRPr="00D66CE0" w:rsidRDefault="00D66CE0" w:rsidP="008200AE">
            <w:pPr>
              <w:pStyle w:val="NoSpacing"/>
            </w:pPr>
          </w:p>
        </w:tc>
        <w:tc>
          <w:tcPr>
            <w:tcW w:w="291" w:type="pct"/>
            <w:hideMark/>
          </w:tcPr>
          <w:p w14:paraId="3386A021" w14:textId="77777777" w:rsidR="00D66CE0" w:rsidRPr="00D66CE0" w:rsidRDefault="00D66CE0" w:rsidP="008200AE">
            <w:pPr>
              <w:pStyle w:val="NoSpacing"/>
            </w:pPr>
          </w:p>
        </w:tc>
        <w:tc>
          <w:tcPr>
            <w:tcW w:w="291" w:type="pct"/>
            <w:hideMark/>
          </w:tcPr>
          <w:p w14:paraId="4EB9DAE5" w14:textId="77777777" w:rsidR="00D66CE0" w:rsidRPr="00D66CE0" w:rsidRDefault="00D66CE0" w:rsidP="008200AE">
            <w:pPr>
              <w:pStyle w:val="NoSpacing"/>
            </w:pPr>
          </w:p>
        </w:tc>
        <w:tc>
          <w:tcPr>
            <w:tcW w:w="291" w:type="pct"/>
            <w:hideMark/>
          </w:tcPr>
          <w:p w14:paraId="4B0F52EA" w14:textId="77777777" w:rsidR="00D66CE0" w:rsidRPr="00D66CE0" w:rsidRDefault="00D66CE0" w:rsidP="008200AE">
            <w:pPr>
              <w:pStyle w:val="NoSpacing"/>
            </w:pPr>
          </w:p>
        </w:tc>
        <w:tc>
          <w:tcPr>
            <w:tcW w:w="291" w:type="pct"/>
            <w:hideMark/>
          </w:tcPr>
          <w:p w14:paraId="25ECBF0A" w14:textId="77777777" w:rsidR="00D66CE0" w:rsidRPr="00D66CE0" w:rsidRDefault="00D66CE0" w:rsidP="008200AE">
            <w:pPr>
              <w:pStyle w:val="NoSpacing"/>
            </w:pPr>
          </w:p>
        </w:tc>
        <w:tc>
          <w:tcPr>
            <w:tcW w:w="291" w:type="pct"/>
            <w:hideMark/>
          </w:tcPr>
          <w:p w14:paraId="0669A8EB" w14:textId="77777777" w:rsidR="00D66CE0" w:rsidRPr="00D66CE0" w:rsidRDefault="00D66CE0" w:rsidP="008200AE">
            <w:pPr>
              <w:pStyle w:val="NoSpacing"/>
            </w:pPr>
          </w:p>
        </w:tc>
        <w:tc>
          <w:tcPr>
            <w:tcW w:w="291" w:type="pct"/>
            <w:hideMark/>
          </w:tcPr>
          <w:p w14:paraId="1E820163" w14:textId="77777777" w:rsidR="00D66CE0" w:rsidRPr="00D66CE0" w:rsidRDefault="00D66CE0" w:rsidP="008200AE">
            <w:pPr>
              <w:pStyle w:val="NoSpacing"/>
            </w:pPr>
          </w:p>
        </w:tc>
        <w:tc>
          <w:tcPr>
            <w:tcW w:w="291" w:type="pct"/>
            <w:hideMark/>
          </w:tcPr>
          <w:p w14:paraId="7C7BE769" w14:textId="77777777" w:rsidR="00D66CE0" w:rsidRPr="00D66CE0" w:rsidRDefault="00D66CE0" w:rsidP="008200AE">
            <w:pPr>
              <w:pStyle w:val="NoSpacing"/>
            </w:pPr>
          </w:p>
        </w:tc>
        <w:tc>
          <w:tcPr>
            <w:tcW w:w="291" w:type="pct"/>
            <w:hideMark/>
          </w:tcPr>
          <w:p w14:paraId="3869AD0B" w14:textId="77777777" w:rsidR="00D66CE0" w:rsidRPr="00D66CE0" w:rsidRDefault="00D66CE0" w:rsidP="008200AE">
            <w:pPr>
              <w:pStyle w:val="NoSpacing"/>
            </w:pPr>
          </w:p>
        </w:tc>
        <w:tc>
          <w:tcPr>
            <w:tcW w:w="291" w:type="pct"/>
            <w:hideMark/>
          </w:tcPr>
          <w:p w14:paraId="49204940" w14:textId="77777777" w:rsidR="00D66CE0" w:rsidRPr="00D66CE0" w:rsidRDefault="00D66CE0" w:rsidP="008200AE">
            <w:pPr>
              <w:pStyle w:val="NoSpacing"/>
            </w:pPr>
          </w:p>
        </w:tc>
      </w:tr>
      <w:tr w:rsidR="00D66CE0" w:rsidRPr="00D66CE0" w14:paraId="30176F14" w14:textId="77777777" w:rsidTr="008200AE">
        <w:tc>
          <w:tcPr>
            <w:tcW w:w="629" w:type="pct"/>
            <w:hideMark/>
          </w:tcPr>
          <w:p w14:paraId="7E4441A3" w14:textId="77777777" w:rsidR="00D66CE0" w:rsidRPr="00D66CE0" w:rsidRDefault="00D66CE0" w:rsidP="008200AE">
            <w:pPr>
              <w:pStyle w:val="NoSpacing"/>
            </w:pPr>
            <w:r w:rsidRPr="00D66CE0">
              <w:t>3. Tobin's q</w:t>
            </w:r>
          </w:p>
        </w:tc>
        <w:tc>
          <w:tcPr>
            <w:tcW w:w="291" w:type="pct"/>
            <w:hideMark/>
          </w:tcPr>
          <w:p w14:paraId="1B96FDAF" w14:textId="77777777" w:rsidR="00D66CE0" w:rsidRPr="00D66CE0" w:rsidRDefault="00D66CE0" w:rsidP="008200AE">
            <w:pPr>
              <w:pStyle w:val="NoSpacing"/>
            </w:pPr>
            <w:r w:rsidRPr="00D66CE0">
              <w:t>2.87</w:t>
            </w:r>
          </w:p>
        </w:tc>
        <w:tc>
          <w:tcPr>
            <w:tcW w:w="291" w:type="pct"/>
            <w:hideMark/>
          </w:tcPr>
          <w:p w14:paraId="0A8ED29B" w14:textId="77777777" w:rsidR="00D66CE0" w:rsidRPr="00D66CE0" w:rsidRDefault="00D66CE0" w:rsidP="008200AE">
            <w:pPr>
              <w:pStyle w:val="NoSpacing"/>
            </w:pPr>
            <w:r w:rsidRPr="00D66CE0">
              <w:t>4.15</w:t>
            </w:r>
          </w:p>
        </w:tc>
        <w:tc>
          <w:tcPr>
            <w:tcW w:w="291" w:type="pct"/>
            <w:hideMark/>
          </w:tcPr>
          <w:p w14:paraId="24324858" w14:textId="77777777" w:rsidR="00D66CE0" w:rsidRPr="00D66CE0" w:rsidRDefault="00D66CE0" w:rsidP="008200AE">
            <w:pPr>
              <w:pStyle w:val="NoSpacing"/>
            </w:pPr>
            <w:r w:rsidRPr="00D66CE0">
              <w:t>0.09</w:t>
            </w:r>
          </w:p>
        </w:tc>
        <w:tc>
          <w:tcPr>
            <w:tcW w:w="291" w:type="pct"/>
            <w:hideMark/>
          </w:tcPr>
          <w:p w14:paraId="380E2F1C" w14:textId="77777777" w:rsidR="00D66CE0" w:rsidRPr="00D66CE0" w:rsidRDefault="00D66CE0" w:rsidP="008200AE">
            <w:pPr>
              <w:pStyle w:val="NoSpacing"/>
            </w:pPr>
            <w:r w:rsidRPr="00D66CE0">
              <w:t>− 0.14</w:t>
            </w:r>
          </w:p>
        </w:tc>
        <w:tc>
          <w:tcPr>
            <w:tcW w:w="291" w:type="pct"/>
            <w:hideMark/>
          </w:tcPr>
          <w:p w14:paraId="13322888" w14:textId="77777777" w:rsidR="00D66CE0" w:rsidRPr="00D66CE0" w:rsidRDefault="00D66CE0" w:rsidP="008200AE">
            <w:pPr>
              <w:pStyle w:val="NoSpacing"/>
            </w:pPr>
          </w:p>
        </w:tc>
        <w:tc>
          <w:tcPr>
            <w:tcW w:w="291" w:type="pct"/>
            <w:hideMark/>
          </w:tcPr>
          <w:p w14:paraId="06499757" w14:textId="77777777" w:rsidR="00D66CE0" w:rsidRPr="00D66CE0" w:rsidRDefault="00D66CE0" w:rsidP="008200AE">
            <w:pPr>
              <w:pStyle w:val="NoSpacing"/>
            </w:pPr>
          </w:p>
        </w:tc>
        <w:tc>
          <w:tcPr>
            <w:tcW w:w="291" w:type="pct"/>
            <w:hideMark/>
          </w:tcPr>
          <w:p w14:paraId="503FA558" w14:textId="77777777" w:rsidR="00D66CE0" w:rsidRPr="00D66CE0" w:rsidRDefault="00D66CE0" w:rsidP="008200AE">
            <w:pPr>
              <w:pStyle w:val="NoSpacing"/>
            </w:pPr>
          </w:p>
        </w:tc>
        <w:tc>
          <w:tcPr>
            <w:tcW w:w="291" w:type="pct"/>
            <w:hideMark/>
          </w:tcPr>
          <w:p w14:paraId="34B6F869" w14:textId="77777777" w:rsidR="00D66CE0" w:rsidRPr="00D66CE0" w:rsidRDefault="00D66CE0" w:rsidP="008200AE">
            <w:pPr>
              <w:pStyle w:val="NoSpacing"/>
            </w:pPr>
          </w:p>
        </w:tc>
        <w:tc>
          <w:tcPr>
            <w:tcW w:w="291" w:type="pct"/>
            <w:hideMark/>
          </w:tcPr>
          <w:p w14:paraId="6A64AD02" w14:textId="77777777" w:rsidR="00D66CE0" w:rsidRPr="00D66CE0" w:rsidRDefault="00D66CE0" w:rsidP="008200AE">
            <w:pPr>
              <w:pStyle w:val="NoSpacing"/>
            </w:pPr>
          </w:p>
        </w:tc>
        <w:tc>
          <w:tcPr>
            <w:tcW w:w="291" w:type="pct"/>
            <w:hideMark/>
          </w:tcPr>
          <w:p w14:paraId="334E0FE7" w14:textId="77777777" w:rsidR="00D66CE0" w:rsidRPr="00D66CE0" w:rsidRDefault="00D66CE0" w:rsidP="008200AE">
            <w:pPr>
              <w:pStyle w:val="NoSpacing"/>
            </w:pPr>
          </w:p>
        </w:tc>
        <w:tc>
          <w:tcPr>
            <w:tcW w:w="291" w:type="pct"/>
            <w:hideMark/>
          </w:tcPr>
          <w:p w14:paraId="54C4D327" w14:textId="77777777" w:rsidR="00D66CE0" w:rsidRPr="00D66CE0" w:rsidRDefault="00D66CE0" w:rsidP="008200AE">
            <w:pPr>
              <w:pStyle w:val="NoSpacing"/>
            </w:pPr>
          </w:p>
        </w:tc>
        <w:tc>
          <w:tcPr>
            <w:tcW w:w="291" w:type="pct"/>
            <w:hideMark/>
          </w:tcPr>
          <w:p w14:paraId="1DE56EE3" w14:textId="77777777" w:rsidR="00D66CE0" w:rsidRPr="00D66CE0" w:rsidRDefault="00D66CE0" w:rsidP="008200AE">
            <w:pPr>
              <w:pStyle w:val="NoSpacing"/>
            </w:pPr>
          </w:p>
        </w:tc>
        <w:tc>
          <w:tcPr>
            <w:tcW w:w="291" w:type="pct"/>
            <w:hideMark/>
          </w:tcPr>
          <w:p w14:paraId="05DBCDA4" w14:textId="77777777" w:rsidR="00D66CE0" w:rsidRPr="00D66CE0" w:rsidRDefault="00D66CE0" w:rsidP="008200AE">
            <w:pPr>
              <w:pStyle w:val="NoSpacing"/>
            </w:pPr>
          </w:p>
        </w:tc>
        <w:tc>
          <w:tcPr>
            <w:tcW w:w="291" w:type="pct"/>
            <w:hideMark/>
          </w:tcPr>
          <w:p w14:paraId="5C6CB184" w14:textId="77777777" w:rsidR="00D66CE0" w:rsidRPr="00D66CE0" w:rsidRDefault="00D66CE0" w:rsidP="008200AE">
            <w:pPr>
              <w:pStyle w:val="NoSpacing"/>
            </w:pPr>
          </w:p>
        </w:tc>
        <w:tc>
          <w:tcPr>
            <w:tcW w:w="291" w:type="pct"/>
            <w:hideMark/>
          </w:tcPr>
          <w:p w14:paraId="50E303D9" w14:textId="77777777" w:rsidR="00D66CE0" w:rsidRPr="00D66CE0" w:rsidRDefault="00D66CE0" w:rsidP="008200AE">
            <w:pPr>
              <w:pStyle w:val="NoSpacing"/>
            </w:pPr>
          </w:p>
        </w:tc>
      </w:tr>
      <w:tr w:rsidR="00D66CE0" w:rsidRPr="00D66CE0" w14:paraId="1696B4D8" w14:textId="77777777" w:rsidTr="008200AE">
        <w:tc>
          <w:tcPr>
            <w:tcW w:w="629" w:type="pct"/>
            <w:hideMark/>
          </w:tcPr>
          <w:p w14:paraId="0E0D248A" w14:textId="77777777" w:rsidR="00D66CE0" w:rsidRPr="00D66CE0" w:rsidRDefault="00D66CE0" w:rsidP="008200AE">
            <w:pPr>
              <w:pStyle w:val="NoSpacing"/>
            </w:pPr>
            <w:r w:rsidRPr="00D66CE0">
              <w:t>4. Sales growth</w:t>
            </w:r>
          </w:p>
        </w:tc>
        <w:tc>
          <w:tcPr>
            <w:tcW w:w="291" w:type="pct"/>
            <w:hideMark/>
          </w:tcPr>
          <w:p w14:paraId="293F868B" w14:textId="77777777" w:rsidR="00D66CE0" w:rsidRPr="00D66CE0" w:rsidRDefault="00D66CE0" w:rsidP="008200AE">
            <w:pPr>
              <w:pStyle w:val="NoSpacing"/>
            </w:pPr>
            <w:r w:rsidRPr="00D66CE0">
              <w:t>0.00</w:t>
            </w:r>
          </w:p>
        </w:tc>
        <w:tc>
          <w:tcPr>
            <w:tcW w:w="291" w:type="pct"/>
            <w:hideMark/>
          </w:tcPr>
          <w:p w14:paraId="0519561F" w14:textId="77777777" w:rsidR="00D66CE0" w:rsidRPr="00D66CE0" w:rsidRDefault="00D66CE0" w:rsidP="008200AE">
            <w:pPr>
              <w:pStyle w:val="NoSpacing"/>
            </w:pPr>
            <w:r w:rsidRPr="00D66CE0">
              <w:t>1.01</w:t>
            </w:r>
          </w:p>
        </w:tc>
        <w:tc>
          <w:tcPr>
            <w:tcW w:w="291" w:type="pct"/>
            <w:hideMark/>
          </w:tcPr>
          <w:p w14:paraId="38098BA6" w14:textId="77777777" w:rsidR="00D66CE0" w:rsidRPr="00D66CE0" w:rsidRDefault="00D66CE0" w:rsidP="008200AE">
            <w:pPr>
              <w:pStyle w:val="NoSpacing"/>
            </w:pPr>
            <w:r w:rsidRPr="00D66CE0">
              <w:t>− 0.00</w:t>
            </w:r>
          </w:p>
        </w:tc>
        <w:tc>
          <w:tcPr>
            <w:tcW w:w="291" w:type="pct"/>
            <w:hideMark/>
          </w:tcPr>
          <w:p w14:paraId="613F3578" w14:textId="77777777" w:rsidR="00D66CE0" w:rsidRPr="00D66CE0" w:rsidRDefault="00D66CE0" w:rsidP="008200AE">
            <w:pPr>
              <w:pStyle w:val="NoSpacing"/>
            </w:pPr>
            <w:r w:rsidRPr="00D66CE0">
              <w:t>0.01</w:t>
            </w:r>
          </w:p>
        </w:tc>
        <w:tc>
          <w:tcPr>
            <w:tcW w:w="291" w:type="pct"/>
            <w:hideMark/>
          </w:tcPr>
          <w:p w14:paraId="50F33873" w14:textId="77777777" w:rsidR="00D66CE0" w:rsidRPr="00D66CE0" w:rsidRDefault="00D66CE0" w:rsidP="008200AE">
            <w:pPr>
              <w:pStyle w:val="NoSpacing"/>
            </w:pPr>
            <w:r w:rsidRPr="00D66CE0">
              <w:t>0.08</w:t>
            </w:r>
          </w:p>
        </w:tc>
        <w:tc>
          <w:tcPr>
            <w:tcW w:w="291" w:type="pct"/>
            <w:hideMark/>
          </w:tcPr>
          <w:p w14:paraId="1DC97749" w14:textId="77777777" w:rsidR="00D66CE0" w:rsidRPr="00D66CE0" w:rsidRDefault="00D66CE0" w:rsidP="008200AE">
            <w:pPr>
              <w:pStyle w:val="NoSpacing"/>
            </w:pPr>
          </w:p>
        </w:tc>
        <w:tc>
          <w:tcPr>
            <w:tcW w:w="291" w:type="pct"/>
            <w:hideMark/>
          </w:tcPr>
          <w:p w14:paraId="54F1E763" w14:textId="77777777" w:rsidR="00D66CE0" w:rsidRPr="00D66CE0" w:rsidRDefault="00D66CE0" w:rsidP="008200AE">
            <w:pPr>
              <w:pStyle w:val="NoSpacing"/>
            </w:pPr>
          </w:p>
        </w:tc>
        <w:tc>
          <w:tcPr>
            <w:tcW w:w="291" w:type="pct"/>
            <w:hideMark/>
          </w:tcPr>
          <w:p w14:paraId="5F469FD3" w14:textId="77777777" w:rsidR="00D66CE0" w:rsidRPr="00D66CE0" w:rsidRDefault="00D66CE0" w:rsidP="008200AE">
            <w:pPr>
              <w:pStyle w:val="NoSpacing"/>
            </w:pPr>
          </w:p>
        </w:tc>
        <w:tc>
          <w:tcPr>
            <w:tcW w:w="291" w:type="pct"/>
            <w:hideMark/>
          </w:tcPr>
          <w:p w14:paraId="336E39D8" w14:textId="77777777" w:rsidR="00D66CE0" w:rsidRPr="00D66CE0" w:rsidRDefault="00D66CE0" w:rsidP="008200AE">
            <w:pPr>
              <w:pStyle w:val="NoSpacing"/>
            </w:pPr>
          </w:p>
        </w:tc>
        <w:tc>
          <w:tcPr>
            <w:tcW w:w="291" w:type="pct"/>
            <w:hideMark/>
          </w:tcPr>
          <w:p w14:paraId="26ADE54B" w14:textId="77777777" w:rsidR="00D66CE0" w:rsidRPr="00D66CE0" w:rsidRDefault="00D66CE0" w:rsidP="008200AE">
            <w:pPr>
              <w:pStyle w:val="NoSpacing"/>
            </w:pPr>
          </w:p>
        </w:tc>
        <w:tc>
          <w:tcPr>
            <w:tcW w:w="291" w:type="pct"/>
            <w:hideMark/>
          </w:tcPr>
          <w:p w14:paraId="78422F35" w14:textId="77777777" w:rsidR="00D66CE0" w:rsidRPr="00D66CE0" w:rsidRDefault="00D66CE0" w:rsidP="008200AE">
            <w:pPr>
              <w:pStyle w:val="NoSpacing"/>
            </w:pPr>
          </w:p>
        </w:tc>
        <w:tc>
          <w:tcPr>
            <w:tcW w:w="291" w:type="pct"/>
            <w:hideMark/>
          </w:tcPr>
          <w:p w14:paraId="1E19F09A" w14:textId="77777777" w:rsidR="00D66CE0" w:rsidRPr="00D66CE0" w:rsidRDefault="00D66CE0" w:rsidP="008200AE">
            <w:pPr>
              <w:pStyle w:val="NoSpacing"/>
            </w:pPr>
          </w:p>
        </w:tc>
        <w:tc>
          <w:tcPr>
            <w:tcW w:w="291" w:type="pct"/>
            <w:hideMark/>
          </w:tcPr>
          <w:p w14:paraId="64301098" w14:textId="77777777" w:rsidR="00D66CE0" w:rsidRPr="00D66CE0" w:rsidRDefault="00D66CE0" w:rsidP="008200AE">
            <w:pPr>
              <w:pStyle w:val="NoSpacing"/>
            </w:pPr>
          </w:p>
        </w:tc>
        <w:tc>
          <w:tcPr>
            <w:tcW w:w="291" w:type="pct"/>
            <w:hideMark/>
          </w:tcPr>
          <w:p w14:paraId="22F99074" w14:textId="77777777" w:rsidR="00D66CE0" w:rsidRPr="00D66CE0" w:rsidRDefault="00D66CE0" w:rsidP="008200AE">
            <w:pPr>
              <w:pStyle w:val="NoSpacing"/>
            </w:pPr>
          </w:p>
        </w:tc>
        <w:tc>
          <w:tcPr>
            <w:tcW w:w="291" w:type="pct"/>
            <w:hideMark/>
          </w:tcPr>
          <w:p w14:paraId="5B2787EF" w14:textId="77777777" w:rsidR="00D66CE0" w:rsidRPr="00D66CE0" w:rsidRDefault="00D66CE0" w:rsidP="008200AE">
            <w:pPr>
              <w:pStyle w:val="NoSpacing"/>
            </w:pPr>
          </w:p>
        </w:tc>
      </w:tr>
      <w:tr w:rsidR="00D66CE0" w:rsidRPr="00D66CE0" w14:paraId="2ECEF65F" w14:textId="77777777" w:rsidTr="008200AE">
        <w:tc>
          <w:tcPr>
            <w:tcW w:w="629" w:type="pct"/>
            <w:hideMark/>
          </w:tcPr>
          <w:p w14:paraId="2EA46DDB" w14:textId="77777777" w:rsidR="00D66CE0" w:rsidRPr="00D66CE0" w:rsidRDefault="00D66CE0" w:rsidP="008200AE">
            <w:pPr>
              <w:pStyle w:val="NoSpacing"/>
            </w:pPr>
            <w:r w:rsidRPr="00D66CE0">
              <w:t>5. Employee growth</w:t>
            </w:r>
          </w:p>
        </w:tc>
        <w:tc>
          <w:tcPr>
            <w:tcW w:w="291" w:type="pct"/>
            <w:hideMark/>
          </w:tcPr>
          <w:p w14:paraId="7517248D" w14:textId="77777777" w:rsidR="00D66CE0" w:rsidRPr="00D66CE0" w:rsidRDefault="00D66CE0" w:rsidP="008200AE">
            <w:pPr>
              <w:pStyle w:val="NoSpacing"/>
            </w:pPr>
            <w:r w:rsidRPr="00D66CE0">
              <w:t>2.93</w:t>
            </w:r>
          </w:p>
        </w:tc>
        <w:tc>
          <w:tcPr>
            <w:tcW w:w="291" w:type="pct"/>
            <w:hideMark/>
          </w:tcPr>
          <w:p w14:paraId="13E225B1" w14:textId="77777777" w:rsidR="00D66CE0" w:rsidRPr="00D66CE0" w:rsidRDefault="00D66CE0" w:rsidP="008200AE">
            <w:pPr>
              <w:pStyle w:val="NoSpacing"/>
            </w:pPr>
            <w:r w:rsidRPr="00D66CE0">
              <w:t>4.20</w:t>
            </w:r>
          </w:p>
        </w:tc>
        <w:tc>
          <w:tcPr>
            <w:tcW w:w="291" w:type="pct"/>
            <w:hideMark/>
          </w:tcPr>
          <w:p w14:paraId="65CCC380" w14:textId="77777777" w:rsidR="00D66CE0" w:rsidRPr="00D66CE0" w:rsidRDefault="00D66CE0" w:rsidP="008200AE">
            <w:pPr>
              <w:pStyle w:val="NoSpacing"/>
            </w:pPr>
            <w:r w:rsidRPr="00D66CE0">
              <w:t>− 0.06</w:t>
            </w:r>
          </w:p>
        </w:tc>
        <w:tc>
          <w:tcPr>
            <w:tcW w:w="291" w:type="pct"/>
            <w:hideMark/>
          </w:tcPr>
          <w:p w14:paraId="7B74FB49" w14:textId="77777777" w:rsidR="00D66CE0" w:rsidRPr="00D66CE0" w:rsidRDefault="00D66CE0" w:rsidP="008200AE">
            <w:pPr>
              <w:pStyle w:val="NoSpacing"/>
            </w:pPr>
            <w:r w:rsidRPr="00D66CE0">
              <w:t>0.05</w:t>
            </w:r>
          </w:p>
        </w:tc>
        <w:tc>
          <w:tcPr>
            <w:tcW w:w="291" w:type="pct"/>
            <w:hideMark/>
          </w:tcPr>
          <w:p w14:paraId="51D90E0A" w14:textId="77777777" w:rsidR="00D66CE0" w:rsidRPr="00D66CE0" w:rsidRDefault="00D66CE0" w:rsidP="008200AE">
            <w:pPr>
              <w:pStyle w:val="NoSpacing"/>
            </w:pPr>
            <w:r w:rsidRPr="00D66CE0">
              <w:t>− 0.01</w:t>
            </w:r>
          </w:p>
        </w:tc>
        <w:tc>
          <w:tcPr>
            <w:tcW w:w="291" w:type="pct"/>
            <w:hideMark/>
          </w:tcPr>
          <w:p w14:paraId="0EFC6C7A" w14:textId="77777777" w:rsidR="00D66CE0" w:rsidRPr="00D66CE0" w:rsidRDefault="00D66CE0" w:rsidP="008200AE">
            <w:pPr>
              <w:pStyle w:val="NoSpacing"/>
            </w:pPr>
            <w:r w:rsidRPr="00D66CE0">
              <w:t>0.02</w:t>
            </w:r>
          </w:p>
        </w:tc>
        <w:tc>
          <w:tcPr>
            <w:tcW w:w="291" w:type="pct"/>
            <w:hideMark/>
          </w:tcPr>
          <w:p w14:paraId="04DA4BCE" w14:textId="77777777" w:rsidR="00D66CE0" w:rsidRPr="00D66CE0" w:rsidRDefault="00D66CE0" w:rsidP="008200AE">
            <w:pPr>
              <w:pStyle w:val="NoSpacing"/>
            </w:pPr>
          </w:p>
        </w:tc>
        <w:tc>
          <w:tcPr>
            <w:tcW w:w="291" w:type="pct"/>
            <w:hideMark/>
          </w:tcPr>
          <w:p w14:paraId="459ADC40" w14:textId="77777777" w:rsidR="00D66CE0" w:rsidRPr="00D66CE0" w:rsidRDefault="00D66CE0" w:rsidP="008200AE">
            <w:pPr>
              <w:pStyle w:val="NoSpacing"/>
            </w:pPr>
          </w:p>
        </w:tc>
        <w:tc>
          <w:tcPr>
            <w:tcW w:w="291" w:type="pct"/>
            <w:hideMark/>
          </w:tcPr>
          <w:p w14:paraId="610068DA" w14:textId="77777777" w:rsidR="00D66CE0" w:rsidRPr="00D66CE0" w:rsidRDefault="00D66CE0" w:rsidP="008200AE">
            <w:pPr>
              <w:pStyle w:val="NoSpacing"/>
            </w:pPr>
          </w:p>
        </w:tc>
        <w:tc>
          <w:tcPr>
            <w:tcW w:w="291" w:type="pct"/>
            <w:hideMark/>
          </w:tcPr>
          <w:p w14:paraId="67C358B9" w14:textId="77777777" w:rsidR="00D66CE0" w:rsidRPr="00D66CE0" w:rsidRDefault="00D66CE0" w:rsidP="008200AE">
            <w:pPr>
              <w:pStyle w:val="NoSpacing"/>
            </w:pPr>
          </w:p>
        </w:tc>
        <w:tc>
          <w:tcPr>
            <w:tcW w:w="291" w:type="pct"/>
            <w:hideMark/>
          </w:tcPr>
          <w:p w14:paraId="4C2F8FC4" w14:textId="77777777" w:rsidR="00D66CE0" w:rsidRPr="00D66CE0" w:rsidRDefault="00D66CE0" w:rsidP="008200AE">
            <w:pPr>
              <w:pStyle w:val="NoSpacing"/>
            </w:pPr>
          </w:p>
        </w:tc>
        <w:tc>
          <w:tcPr>
            <w:tcW w:w="291" w:type="pct"/>
            <w:hideMark/>
          </w:tcPr>
          <w:p w14:paraId="57AB34E2" w14:textId="77777777" w:rsidR="00D66CE0" w:rsidRPr="00D66CE0" w:rsidRDefault="00D66CE0" w:rsidP="008200AE">
            <w:pPr>
              <w:pStyle w:val="NoSpacing"/>
            </w:pPr>
          </w:p>
        </w:tc>
        <w:tc>
          <w:tcPr>
            <w:tcW w:w="291" w:type="pct"/>
            <w:hideMark/>
          </w:tcPr>
          <w:p w14:paraId="5E18A468" w14:textId="77777777" w:rsidR="00D66CE0" w:rsidRPr="00D66CE0" w:rsidRDefault="00D66CE0" w:rsidP="008200AE">
            <w:pPr>
              <w:pStyle w:val="NoSpacing"/>
            </w:pPr>
          </w:p>
        </w:tc>
        <w:tc>
          <w:tcPr>
            <w:tcW w:w="291" w:type="pct"/>
            <w:hideMark/>
          </w:tcPr>
          <w:p w14:paraId="72680F9B" w14:textId="77777777" w:rsidR="00D66CE0" w:rsidRPr="00D66CE0" w:rsidRDefault="00D66CE0" w:rsidP="008200AE">
            <w:pPr>
              <w:pStyle w:val="NoSpacing"/>
            </w:pPr>
          </w:p>
        </w:tc>
        <w:tc>
          <w:tcPr>
            <w:tcW w:w="291" w:type="pct"/>
            <w:hideMark/>
          </w:tcPr>
          <w:p w14:paraId="1D2BA7BE" w14:textId="77777777" w:rsidR="00D66CE0" w:rsidRPr="00D66CE0" w:rsidRDefault="00D66CE0" w:rsidP="008200AE">
            <w:pPr>
              <w:pStyle w:val="NoSpacing"/>
            </w:pPr>
          </w:p>
        </w:tc>
      </w:tr>
      <w:tr w:rsidR="00D66CE0" w:rsidRPr="00D66CE0" w14:paraId="70AD530F" w14:textId="77777777" w:rsidTr="008200AE">
        <w:tc>
          <w:tcPr>
            <w:tcW w:w="629" w:type="pct"/>
            <w:hideMark/>
          </w:tcPr>
          <w:p w14:paraId="54CE65E3" w14:textId="77777777" w:rsidR="00D66CE0" w:rsidRPr="00D66CE0" w:rsidRDefault="00D66CE0" w:rsidP="008200AE">
            <w:pPr>
              <w:pStyle w:val="NoSpacing"/>
            </w:pPr>
            <w:r w:rsidRPr="00D66CE0">
              <w:t>6. Capital intensity</w:t>
            </w:r>
          </w:p>
        </w:tc>
        <w:tc>
          <w:tcPr>
            <w:tcW w:w="291" w:type="pct"/>
            <w:hideMark/>
          </w:tcPr>
          <w:p w14:paraId="0D27AB55" w14:textId="77777777" w:rsidR="00D66CE0" w:rsidRPr="00D66CE0" w:rsidRDefault="00D66CE0" w:rsidP="008200AE">
            <w:pPr>
              <w:pStyle w:val="NoSpacing"/>
            </w:pPr>
            <w:r w:rsidRPr="00D66CE0">
              <w:t>0.06</w:t>
            </w:r>
          </w:p>
        </w:tc>
        <w:tc>
          <w:tcPr>
            <w:tcW w:w="291" w:type="pct"/>
            <w:hideMark/>
          </w:tcPr>
          <w:p w14:paraId="45E484A4" w14:textId="77777777" w:rsidR="00D66CE0" w:rsidRPr="00D66CE0" w:rsidRDefault="00D66CE0" w:rsidP="008200AE">
            <w:pPr>
              <w:pStyle w:val="NoSpacing"/>
            </w:pPr>
            <w:r w:rsidRPr="00D66CE0">
              <w:t>0.34</w:t>
            </w:r>
          </w:p>
        </w:tc>
        <w:tc>
          <w:tcPr>
            <w:tcW w:w="291" w:type="pct"/>
            <w:hideMark/>
          </w:tcPr>
          <w:p w14:paraId="6AC15A39" w14:textId="77777777" w:rsidR="00D66CE0" w:rsidRPr="00D66CE0" w:rsidRDefault="00D66CE0" w:rsidP="008200AE">
            <w:pPr>
              <w:pStyle w:val="NoSpacing"/>
            </w:pPr>
            <w:r w:rsidRPr="00D66CE0">
              <w:t>0.02</w:t>
            </w:r>
          </w:p>
        </w:tc>
        <w:tc>
          <w:tcPr>
            <w:tcW w:w="291" w:type="pct"/>
            <w:hideMark/>
          </w:tcPr>
          <w:p w14:paraId="16AF23F6" w14:textId="77777777" w:rsidR="00D66CE0" w:rsidRPr="00D66CE0" w:rsidRDefault="00D66CE0" w:rsidP="008200AE">
            <w:pPr>
              <w:pStyle w:val="NoSpacing"/>
            </w:pPr>
            <w:r w:rsidRPr="00D66CE0">
              <w:t>− 0.05</w:t>
            </w:r>
          </w:p>
        </w:tc>
        <w:tc>
          <w:tcPr>
            <w:tcW w:w="291" w:type="pct"/>
            <w:hideMark/>
          </w:tcPr>
          <w:p w14:paraId="58035361" w14:textId="77777777" w:rsidR="00D66CE0" w:rsidRPr="00D66CE0" w:rsidRDefault="00D66CE0" w:rsidP="008200AE">
            <w:pPr>
              <w:pStyle w:val="NoSpacing"/>
            </w:pPr>
            <w:r w:rsidRPr="00D66CE0">
              <w:t>0.04</w:t>
            </w:r>
          </w:p>
        </w:tc>
        <w:tc>
          <w:tcPr>
            <w:tcW w:w="291" w:type="pct"/>
            <w:hideMark/>
          </w:tcPr>
          <w:p w14:paraId="12A2A73A" w14:textId="77777777" w:rsidR="00D66CE0" w:rsidRPr="00D66CE0" w:rsidRDefault="00D66CE0" w:rsidP="008200AE">
            <w:pPr>
              <w:pStyle w:val="NoSpacing"/>
            </w:pPr>
            <w:r w:rsidRPr="00D66CE0">
              <w:t>0.12</w:t>
            </w:r>
          </w:p>
        </w:tc>
        <w:tc>
          <w:tcPr>
            <w:tcW w:w="291" w:type="pct"/>
            <w:hideMark/>
          </w:tcPr>
          <w:p w14:paraId="04F620A2" w14:textId="77777777" w:rsidR="00D66CE0" w:rsidRPr="00D66CE0" w:rsidRDefault="00D66CE0" w:rsidP="008200AE">
            <w:pPr>
              <w:pStyle w:val="NoSpacing"/>
            </w:pPr>
            <w:r w:rsidRPr="00D66CE0">
              <w:t>0.00</w:t>
            </w:r>
          </w:p>
        </w:tc>
        <w:tc>
          <w:tcPr>
            <w:tcW w:w="291" w:type="pct"/>
            <w:hideMark/>
          </w:tcPr>
          <w:p w14:paraId="714EA20B" w14:textId="77777777" w:rsidR="00D66CE0" w:rsidRPr="00D66CE0" w:rsidRDefault="00D66CE0" w:rsidP="008200AE">
            <w:pPr>
              <w:pStyle w:val="NoSpacing"/>
            </w:pPr>
          </w:p>
        </w:tc>
        <w:tc>
          <w:tcPr>
            <w:tcW w:w="291" w:type="pct"/>
            <w:hideMark/>
          </w:tcPr>
          <w:p w14:paraId="70AB6CDD" w14:textId="77777777" w:rsidR="00D66CE0" w:rsidRPr="00D66CE0" w:rsidRDefault="00D66CE0" w:rsidP="008200AE">
            <w:pPr>
              <w:pStyle w:val="NoSpacing"/>
            </w:pPr>
          </w:p>
        </w:tc>
        <w:tc>
          <w:tcPr>
            <w:tcW w:w="291" w:type="pct"/>
            <w:hideMark/>
          </w:tcPr>
          <w:p w14:paraId="7B7C57A3" w14:textId="77777777" w:rsidR="00D66CE0" w:rsidRPr="00D66CE0" w:rsidRDefault="00D66CE0" w:rsidP="008200AE">
            <w:pPr>
              <w:pStyle w:val="NoSpacing"/>
            </w:pPr>
          </w:p>
        </w:tc>
        <w:tc>
          <w:tcPr>
            <w:tcW w:w="291" w:type="pct"/>
            <w:hideMark/>
          </w:tcPr>
          <w:p w14:paraId="6C3B0412" w14:textId="77777777" w:rsidR="00D66CE0" w:rsidRPr="00D66CE0" w:rsidRDefault="00D66CE0" w:rsidP="008200AE">
            <w:pPr>
              <w:pStyle w:val="NoSpacing"/>
            </w:pPr>
          </w:p>
        </w:tc>
        <w:tc>
          <w:tcPr>
            <w:tcW w:w="291" w:type="pct"/>
            <w:hideMark/>
          </w:tcPr>
          <w:p w14:paraId="2F180A1F" w14:textId="77777777" w:rsidR="00D66CE0" w:rsidRPr="00D66CE0" w:rsidRDefault="00D66CE0" w:rsidP="008200AE">
            <w:pPr>
              <w:pStyle w:val="NoSpacing"/>
            </w:pPr>
          </w:p>
        </w:tc>
        <w:tc>
          <w:tcPr>
            <w:tcW w:w="291" w:type="pct"/>
            <w:hideMark/>
          </w:tcPr>
          <w:p w14:paraId="48490A2C" w14:textId="77777777" w:rsidR="00D66CE0" w:rsidRPr="00D66CE0" w:rsidRDefault="00D66CE0" w:rsidP="008200AE">
            <w:pPr>
              <w:pStyle w:val="NoSpacing"/>
            </w:pPr>
          </w:p>
        </w:tc>
        <w:tc>
          <w:tcPr>
            <w:tcW w:w="291" w:type="pct"/>
            <w:hideMark/>
          </w:tcPr>
          <w:p w14:paraId="35181BB1" w14:textId="77777777" w:rsidR="00D66CE0" w:rsidRPr="00D66CE0" w:rsidRDefault="00D66CE0" w:rsidP="008200AE">
            <w:pPr>
              <w:pStyle w:val="NoSpacing"/>
            </w:pPr>
          </w:p>
        </w:tc>
        <w:tc>
          <w:tcPr>
            <w:tcW w:w="291" w:type="pct"/>
            <w:hideMark/>
          </w:tcPr>
          <w:p w14:paraId="78EB29BE" w14:textId="77777777" w:rsidR="00D66CE0" w:rsidRPr="00D66CE0" w:rsidRDefault="00D66CE0" w:rsidP="008200AE">
            <w:pPr>
              <w:pStyle w:val="NoSpacing"/>
            </w:pPr>
          </w:p>
        </w:tc>
      </w:tr>
      <w:tr w:rsidR="00D66CE0" w:rsidRPr="00D66CE0" w14:paraId="6DE8E851" w14:textId="77777777" w:rsidTr="008200AE">
        <w:tc>
          <w:tcPr>
            <w:tcW w:w="629" w:type="pct"/>
            <w:hideMark/>
          </w:tcPr>
          <w:p w14:paraId="44585C29" w14:textId="77777777" w:rsidR="00D66CE0" w:rsidRPr="00D66CE0" w:rsidRDefault="00D66CE0" w:rsidP="008200AE">
            <w:pPr>
              <w:pStyle w:val="NoSpacing"/>
            </w:pPr>
            <w:r w:rsidRPr="00D66CE0">
              <w:t>7. Asset turnover</w:t>
            </w:r>
          </w:p>
        </w:tc>
        <w:tc>
          <w:tcPr>
            <w:tcW w:w="291" w:type="pct"/>
            <w:hideMark/>
          </w:tcPr>
          <w:p w14:paraId="0CD47886" w14:textId="77777777" w:rsidR="00D66CE0" w:rsidRPr="00D66CE0" w:rsidRDefault="00D66CE0" w:rsidP="008200AE">
            <w:pPr>
              <w:pStyle w:val="NoSpacing"/>
            </w:pPr>
            <w:r w:rsidRPr="00D66CE0">
              <w:t>0.61</w:t>
            </w:r>
          </w:p>
        </w:tc>
        <w:tc>
          <w:tcPr>
            <w:tcW w:w="291" w:type="pct"/>
            <w:hideMark/>
          </w:tcPr>
          <w:p w14:paraId="4E20682C" w14:textId="77777777" w:rsidR="00D66CE0" w:rsidRPr="00D66CE0" w:rsidRDefault="00D66CE0" w:rsidP="008200AE">
            <w:pPr>
              <w:pStyle w:val="NoSpacing"/>
            </w:pPr>
            <w:r w:rsidRPr="00D66CE0">
              <w:t>0.77</w:t>
            </w:r>
          </w:p>
        </w:tc>
        <w:tc>
          <w:tcPr>
            <w:tcW w:w="291" w:type="pct"/>
            <w:hideMark/>
          </w:tcPr>
          <w:p w14:paraId="4C49425D" w14:textId="77777777" w:rsidR="00D66CE0" w:rsidRPr="00D66CE0" w:rsidRDefault="00D66CE0" w:rsidP="008200AE">
            <w:pPr>
              <w:pStyle w:val="NoSpacing"/>
            </w:pPr>
            <w:r w:rsidRPr="00D66CE0">
              <w:t>− 0.02</w:t>
            </w:r>
          </w:p>
        </w:tc>
        <w:tc>
          <w:tcPr>
            <w:tcW w:w="291" w:type="pct"/>
            <w:hideMark/>
          </w:tcPr>
          <w:p w14:paraId="3183D695" w14:textId="77777777" w:rsidR="00D66CE0" w:rsidRPr="00D66CE0" w:rsidRDefault="00D66CE0" w:rsidP="008200AE">
            <w:pPr>
              <w:pStyle w:val="NoSpacing"/>
            </w:pPr>
            <w:r w:rsidRPr="00D66CE0">
              <w:t>− 0.12</w:t>
            </w:r>
          </w:p>
        </w:tc>
        <w:tc>
          <w:tcPr>
            <w:tcW w:w="291" w:type="pct"/>
            <w:hideMark/>
          </w:tcPr>
          <w:p w14:paraId="29CBE214" w14:textId="77777777" w:rsidR="00D66CE0" w:rsidRPr="00D66CE0" w:rsidRDefault="00D66CE0" w:rsidP="008200AE">
            <w:pPr>
              <w:pStyle w:val="NoSpacing"/>
            </w:pPr>
            <w:r w:rsidRPr="00D66CE0">
              <w:t>0.03</w:t>
            </w:r>
          </w:p>
        </w:tc>
        <w:tc>
          <w:tcPr>
            <w:tcW w:w="291" w:type="pct"/>
            <w:hideMark/>
          </w:tcPr>
          <w:p w14:paraId="0DACEBD7" w14:textId="77777777" w:rsidR="00D66CE0" w:rsidRPr="00D66CE0" w:rsidRDefault="00D66CE0" w:rsidP="008200AE">
            <w:pPr>
              <w:pStyle w:val="NoSpacing"/>
            </w:pPr>
            <w:r w:rsidRPr="00D66CE0">
              <w:t>− 0.08</w:t>
            </w:r>
          </w:p>
        </w:tc>
        <w:tc>
          <w:tcPr>
            <w:tcW w:w="291" w:type="pct"/>
            <w:hideMark/>
          </w:tcPr>
          <w:p w14:paraId="3DE05107" w14:textId="77777777" w:rsidR="00D66CE0" w:rsidRPr="00D66CE0" w:rsidRDefault="00D66CE0" w:rsidP="008200AE">
            <w:pPr>
              <w:pStyle w:val="NoSpacing"/>
            </w:pPr>
            <w:r w:rsidRPr="00D66CE0">
              <w:t>− 0.04</w:t>
            </w:r>
          </w:p>
        </w:tc>
        <w:tc>
          <w:tcPr>
            <w:tcW w:w="291" w:type="pct"/>
            <w:hideMark/>
          </w:tcPr>
          <w:p w14:paraId="61913CAD" w14:textId="77777777" w:rsidR="00D66CE0" w:rsidRPr="00D66CE0" w:rsidRDefault="00D66CE0" w:rsidP="008200AE">
            <w:pPr>
              <w:pStyle w:val="NoSpacing"/>
            </w:pPr>
            <w:r w:rsidRPr="00D66CE0">
              <w:t>0.11</w:t>
            </w:r>
          </w:p>
        </w:tc>
        <w:tc>
          <w:tcPr>
            <w:tcW w:w="291" w:type="pct"/>
            <w:hideMark/>
          </w:tcPr>
          <w:p w14:paraId="1BD1AF76" w14:textId="77777777" w:rsidR="00D66CE0" w:rsidRPr="00D66CE0" w:rsidRDefault="00D66CE0" w:rsidP="008200AE">
            <w:pPr>
              <w:pStyle w:val="NoSpacing"/>
            </w:pPr>
          </w:p>
        </w:tc>
        <w:tc>
          <w:tcPr>
            <w:tcW w:w="291" w:type="pct"/>
            <w:hideMark/>
          </w:tcPr>
          <w:p w14:paraId="564509F2" w14:textId="77777777" w:rsidR="00D66CE0" w:rsidRPr="00D66CE0" w:rsidRDefault="00D66CE0" w:rsidP="008200AE">
            <w:pPr>
              <w:pStyle w:val="NoSpacing"/>
            </w:pPr>
          </w:p>
        </w:tc>
        <w:tc>
          <w:tcPr>
            <w:tcW w:w="291" w:type="pct"/>
            <w:hideMark/>
          </w:tcPr>
          <w:p w14:paraId="319B7F14" w14:textId="77777777" w:rsidR="00D66CE0" w:rsidRPr="00D66CE0" w:rsidRDefault="00D66CE0" w:rsidP="008200AE">
            <w:pPr>
              <w:pStyle w:val="NoSpacing"/>
            </w:pPr>
          </w:p>
        </w:tc>
        <w:tc>
          <w:tcPr>
            <w:tcW w:w="291" w:type="pct"/>
            <w:hideMark/>
          </w:tcPr>
          <w:p w14:paraId="3566E6E7" w14:textId="77777777" w:rsidR="00D66CE0" w:rsidRPr="00D66CE0" w:rsidRDefault="00D66CE0" w:rsidP="008200AE">
            <w:pPr>
              <w:pStyle w:val="NoSpacing"/>
            </w:pPr>
          </w:p>
        </w:tc>
        <w:tc>
          <w:tcPr>
            <w:tcW w:w="291" w:type="pct"/>
            <w:hideMark/>
          </w:tcPr>
          <w:p w14:paraId="47B4EE14" w14:textId="77777777" w:rsidR="00D66CE0" w:rsidRPr="00D66CE0" w:rsidRDefault="00D66CE0" w:rsidP="008200AE">
            <w:pPr>
              <w:pStyle w:val="NoSpacing"/>
            </w:pPr>
          </w:p>
        </w:tc>
        <w:tc>
          <w:tcPr>
            <w:tcW w:w="291" w:type="pct"/>
            <w:hideMark/>
          </w:tcPr>
          <w:p w14:paraId="031E5E05" w14:textId="77777777" w:rsidR="00D66CE0" w:rsidRPr="00D66CE0" w:rsidRDefault="00D66CE0" w:rsidP="008200AE">
            <w:pPr>
              <w:pStyle w:val="NoSpacing"/>
            </w:pPr>
          </w:p>
        </w:tc>
        <w:tc>
          <w:tcPr>
            <w:tcW w:w="291" w:type="pct"/>
            <w:hideMark/>
          </w:tcPr>
          <w:p w14:paraId="3F0996BF" w14:textId="77777777" w:rsidR="00D66CE0" w:rsidRPr="00D66CE0" w:rsidRDefault="00D66CE0" w:rsidP="008200AE">
            <w:pPr>
              <w:pStyle w:val="NoSpacing"/>
            </w:pPr>
          </w:p>
        </w:tc>
      </w:tr>
      <w:tr w:rsidR="00D66CE0" w:rsidRPr="00D66CE0" w14:paraId="460529CA" w14:textId="77777777" w:rsidTr="008200AE">
        <w:tc>
          <w:tcPr>
            <w:tcW w:w="629" w:type="pct"/>
            <w:hideMark/>
          </w:tcPr>
          <w:p w14:paraId="1B254E7C" w14:textId="77777777" w:rsidR="00D66CE0" w:rsidRPr="00D66CE0" w:rsidRDefault="00D66CE0" w:rsidP="008200AE">
            <w:pPr>
              <w:pStyle w:val="NoSpacing"/>
            </w:pPr>
            <w:r w:rsidRPr="00D66CE0">
              <w:t>8. Number of acquisitions</w:t>
            </w:r>
          </w:p>
        </w:tc>
        <w:tc>
          <w:tcPr>
            <w:tcW w:w="291" w:type="pct"/>
            <w:hideMark/>
          </w:tcPr>
          <w:p w14:paraId="0140A39F" w14:textId="77777777" w:rsidR="00D66CE0" w:rsidRPr="00D66CE0" w:rsidRDefault="00D66CE0" w:rsidP="008200AE">
            <w:pPr>
              <w:pStyle w:val="NoSpacing"/>
            </w:pPr>
            <w:r w:rsidRPr="00D66CE0">
              <w:t>8.71</w:t>
            </w:r>
          </w:p>
        </w:tc>
        <w:tc>
          <w:tcPr>
            <w:tcW w:w="291" w:type="pct"/>
            <w:hideMark/>
          </w:tcPr>
          <w:p w14:paraId="27D1C38F" w14:textId="77777777" w:rsidR="00D66CE0" w:rsidRPr="00D66CE0" w:rsidRDefault="00D66CE0" w:rsidP="008200AE">
            <w:pPr>
              <w:pStyle w:val="NoSpacing"/>
            </w:pPr>
            <w:r w:rsidRPr="00D66CE0">
              <w:t>8.41</w:t>
            </w:r>
          </w:p>
        </w:tc>
        <w:tc>
          <w:tcPr>
            <w:tcW w:w="291" w:type="pct"/>
            <w:hideMark/>
          </w:tcPr>
          <w:p w14:paraId="354812A7" w14:textId="77777777" w:rsidR="00D66CE0" w:rsidRPr="00D66CE0" w:rsidRDefault="00D66CE0" w:rsidP="008200AE">
            <w:pPr>
              <w:pStyle w:val="NoSpacing"/>
            </w:pPr>
            <w:r w:rsidRPr="00D66CE0">
              <w:t>− 0.13</w:t>
            </w:r>
          </w:p>
        </w:tc>
        <w:tc>
          <w:tcPr>
            <w:tcW w:w="291" w:type="pct"/>
            <w:hideMark/>
          </w:tcPr>
          <w:p w14:paraId="29005D82" w14:textId="77777777" w:rsidR="00D66CE0" w:rsidRPr="00D66CE0" w:rsidRDefault="00D66CE0" w:rsidP="008200AE">
            <w:pPr>
              <w:pStyle w:val="NoSpacing"/>
            </w:pPr>
            <w:r w:rsidRPr="00D66CE0">
              <w:t>0.23</w:t>
            </w:r>
          </w:p>
        </w:tc>
        <w:tc>
          <w:tcPr>
            <w:tcW w:w="291" w:type="pct"/>
            <w:hideMark/>
          </w:tcPr>
          <w:p w14:paraId="0E101557" w14:textId="77777777" w:rsidR="00D66CE0" w:rsidRPr="00D66CE0" w:rsidRDefault="00D66CE0" w:rsidP="008200AE">
            <w:pPr>
              <w:pStyle w:val="NoSpacing"/>
            </w:pPr>
            <w:r w:rsidRPr="00D66CE0">
              <w:t>− 0.15</w:t>
            </w:r>
          </w:p>
        </w:tc>
        <w:tc>
          <w:tcPr>
            <w:tcW w:w="291" w:type="pct"/>
            <w:hideMark/>
          </w:tcPr>
          <w:p w14:paraId="1A0F62EB" w14:textId="77777777" w:rsidR="00D66CE0" w:rsidRPr="00D66CE0" w:rsidRDefault="00D66CE0" w:rsidP="008200AE">
            <w:pPr>
              <w:pStyle w:val="NoSpacing"/>
            </w:pPr>
            <w:r w:rsidRPr="00D66CE0">
              <w:t>0.07</w:t>
            </w:r>
          </w:p>
        </w:tc>
        <w:tc>
          <w:tcPr>
            <w:tcW w:w="291" w:type="pct"/>
            <w:hideMark/>
          </w:tcPr>
          <w:p w14:paraId="5B5284F5" w14:textId="77777777" w:rsidR="00D66CE0" w:rsidRPr="00D66CE0" w:rsidRDefault="00D66CE0" w:rsidP="008200AE">
            <w:pPr>
              <w:pStyle w:val="NoSpacing"/>
            </w:pPr>
            <w:r w:rsidRPr="00D66CE0">
              <w:t>− 0.11</w:t>
            </w:r>
          </w:p>
        </w:tc>
        <w:tc>
          <w:tcPr>
            <w:tcW w:w="291" w:type="pct"/>
            <w:hideMark/>
          </w:tcPr>
          <w:p w14:paraId="07C39A50" w14:textId="77777777" w:rsidR="00D66CE0" w:rsidRPr="00D66CE0" w:rsidRDefault="00D66CE0" w:rsidP="008200AE">
            <w:pPr>
              <w:pStyle w:val="NoSpacing"/>
            </w:pPr>
            <w:r w:rsidRPr="00D66CE0">
              <w:t>− 0.18</w:t>
            </w:r>
          </w:p>
        </w:tc>
        <w:tc>
          <w:tcPr>
            <w:tcW w:w="291" w:type="pct"/>
            <w:hideMark/>
          </w:tcPr>
          <w:p w14:paraId="7603AF0C" w14:textId="77777777" w:rsidR="00D66CE0" w:rsidRPr="00D66CE0" w:rsidRDefault="00D66CE0" w:rsidP="008200AE">
            <w:pPr>
              <w:pStyle w:val="NoSpacing"/>
            </w:pPr>
            <w:r w:rsidRPr="00D66CE0">
              <w:t>− 0.24</w:t>
            </w:r>
          </w:p>
        </w:tc>
        <w:tc>
          <w:tcPr>
            <w:tcW w:w="291" w:type="pct"/>
            <w:hideMark/>
          </w:tcPr>
          <w:p w14:paraId="065F6436" w14:textId="77777777" w:rsidR="00D66CE0" w:rsidRPr="00D66CE0" w:rsidRDefault="00D66CE0" w:rsidP="008200AE">
            <w:pPr>
              <w:pStyle w:val="NoSpacing"/>
            </w:pPr>
          </w:p>
        </w:tc>
        <w:tc>
          <w:tcPr>
            <w:tcW w:w="291" w:type="pct"/>
            <w:hideMark/>
          </w:tcPr>
          <w:p w14:paraId="1494210B" w14:textId="77777777" w:rsidR="00D66CE0" w:rsidRPr="00D66CE0" w:rsidRDefault="00D66CE0" w:rsidP="008200AE">
            <w:pPr>
              <w:pStyle w:val="NoSpacing"/>
            </w:pPr>
          </w:p>
        </w:tc>
        <w:tc>
          <w:tcPr>
            <w:tcW w:w="291" w:type="pct"/>
            <w:hideMark/>
          </w:tcPr>
          <w:p w14:paraId="11C46A08" w14:textId="77777777" w:rsidR="00D66CE0" w:rsidRPr="00D66CE0" w:rsidRDefault="00D66CE0" w:rsidP="008200AE">
            <w:pPr>
              <w:pStyle w:val="NoSpacing"/>
            </w:pPr>
          </w:p>
        </w:tc>
        <w:tc>
          <w:tcPr>
            <w:tcW w:w="291" w:type="pct"/>
            <w:hideMark/>
          </w:tcPr>
          <w:p w14:paraId="37246FE0" w14:textId="77777777" w:rsidR="00D66CE0" w:rsidRPr="00D66CE0" w:rsidRDefault="00D66CE0" w:rsidP="008200AE">
            <w:pPr>
              <w:pStyle w:val="NoSpacing"/>
            </w:pPr>
          </w:p>
        </w:tc>
        <w:tc>
          <w:tcPr>
            <w:tcW w:w="291" w:type="pct"/>
            <w:hideMark/>
          </w:tcPr>
          <w:p w14:paraId="0BE4BC58" w14:textId="77777777" w:rsidR="00D66CE0" w:rsidRPr="00D66CE0" w:rsidRDefault="00D66CE0" w:rsidP="008200AE">
            <w:pPr>
              <w:pStyle w:val="NoSpacing"/>
            </w:pPr>
          </w:p>
        </w:tc>
        <w:tc>
          <w:tcPr>
            <w:tcW w:w="291" w:type="pct"/>
            <w:hideMark/>
          </w:tcPr>
          <w:p w14:paraId="611A38E2" w14:textId="77777777" w:rsidR="00D66CE0" w:rsidRPr="00D66CE0" w:rsidRDefault="00D66CE0" w:rsidP="008200AE">
            <w:pPr>
              <w:pStyle w:val="NoSpacing"/>
            </w:pPr>
          </w:p>
        </w:tc>
      </w:tr>
      <w:tr w:rsidR="00D66CE0" w:rsidRPr="00D66CE0" w14:paraId="0EA8E9A5" w14:textId="77777777" w:rsidTr="008200AE">
        <w:tc>
          <w:tcPr>
            <w:tcW w:w="629" w:type="pct"/>
            <w:hideMark/>
          </w:tcPr>
          <w:p w14:paraId="4F21159B" w14:textId="77777777" w:rsidR="00D66CE0" w:rsidRPr="00D66CE0" w:rsidRDefault="00D66CE0" w:rsidP="008200AE">
            <w:pPr>
              <w:pStyle w:val="NoSpacing"/>
            </w:pPr>
            <w:r w:rsidRPr="00D66CE0">
              <w:t>9. Technology and marketing intensity</w:t>
            </w:r>
          </w:p>
        </w:tc>
        <w:tc>
          <w:tcPr>
            <w:tcW w:w="291" w:type="pct"/>
            <w:hideMark/>
          </w:tcPr>
          <w:p w14:paraId="4346B260" w14:textId="77777777" w:rsidR="00D66CE0" w:rsidRPr="00D66CE0" w:rsidRDefault="00D66CE0" w:rsidP="008200AE">
            <w:pPr>
              <w:pStyle w:val="NoSpacing"/>
            </w:pPr>
            <w:r w:rsidRPr="00D66CE0">
              <w:t>0.03</w:t>
            </w:r>
          </w:p>
        </w:tc>
        <w:tc>
          <w:tcPr>
            <w:tcW w:w="291" w:type="pct"/>
            <w:hideMark/>
          </w:tcPr>
          <w:p w14:paraId="0A35E944" w14:textId="77777777" w:rsidR="00D66CE0" w:rsidRPr="00D66CE0" w:rsidRDefault="00D66CE0" w:rsidP="008200AE">
            <w:pPr>
              <w:pStyle w:val="NoSpacing"/>
            </w:pPr>
            <w:r w:rsidRPr="00D66CE0">
              <w:t>0.09</w:t>
            </w:r>
          </w:p>
        </w:tc>
        <w:tc>
          <w:tcPr>
            <w:tcW w:w="291" w:type="pct"/>
            <w:hideMark/>
          </w:tcPr>
          <w:p w14:paraId="514287C1" w14:textId="77777777" w:rsidR="00D66CE0" w:rsidRPr="00D66CE0" w:rsidRDefault="00D66CE0" w:rsidP="008200AE">
            <w:pPr>
              <w:pStyle w:val="NoSpacing"/>
            </w:pPr>
            <w:r w:rsidRPr="00D66CE0">
              <w:t>− 0.13</w:t>
            </w:r>
          </w:p>
        </w:tc>
        <w:tc>
          <w:tcPr>
            <w:tcW w:w="291" w:type="pct"/>
            <w:hideMark/>
          </w:tcPr>
          <w:p w14:paraId="005EDDD8" w14:textId="77777777" w:rsidR="00D66CE0" w:rsidRPr="00D66CE0" w:rsidRDefault="00D66CE0" w:rsidP="008200AE">
            <w:pPr>
              <w:pStyle w:val="NoSpacing"/>
            </w:pPr>
            <w:r w:rsidRPr="00D66CE0">
              <w:t>0.08</w:t>
            </w:r>
          </w:p>
        </w:tc>
        <w:tc>
          <w:tcPr>
            <w:tcW w:w="291" w:type="pct"/>
            <w:hideMark/>
          </w:tcPr>
          <w:p w14:paraId="52715C11" w14:textId="77777777" w:rsidR="00D66CE0" w:rsidRPr="00D66CE0" w:rsidRDefault="00D66CE0" w:rsidP="008200AE">
            <w:pPr>
              <w:pStyle w:val="NoSpacing"/>
            </w:pPr>
            <w:r w:rsidRPr="00D66CE0">
              <w:t>− 0.18</w:t>
            </w:r>
          </w:p>
        </w:tc>
        <w:tc>
          <w:tcPr>
            <w:tcW w:w="291" w:type="pct"/>
            <w:hideMark/>
          </w:tcPr>
          <w:p w14:paraId="61E5E5A5" w14:textId="77777777" w:rsidR="00D66CE0" w:rsidRPr="00D66CE0" w:rsidRDefault="00D66CE0" w:rsidP="008200AE">
            <w:pPr>
              <w:pStyle w:val="NoSpacing"/>
            </w:pPr>
            <w:r w:rsidRPr="00D66CE0">
              <w:t>0.06</w:t>
            </w:r>
          </w:p>
        </w:tc>
        <w:tc>
          <w:tcPr>
            <w:tcW w:w="291" w:type="pct"/>
            <w:hideMark/>
          </w:tcPr>
          <w:p w14:paraId="4BA7E1A1" w14:textId="77777777" w:rsidR="00D66CE0" w:rsidRPr="00D66CE0" w:rsidRDefault="00D66CE0" w:rsidP="008200AE">
            <w:pPr>
              <w:pStyle w:val="NoSpacing"/>
            </w:pPr>
            <w:r w:rsidRPr="00D66CE0">
              <w:t>− 0.01</w:t>
            </w:r>
          </w:p>
        </w:tc>
        <w:tc>
          <w:tcPr>
            <w:tcW w:w="291" w:type="pct"/>
            <w:hideMark/>
          </w:tcPr>
          <w:p w14:paraId="0287AC8B" w14:textId="77777777" w:rsidR="00D66CE0" w:rsidRPr="00D66CE0" w:rsidRDefault="00D66CE0" w:rsidP="008200AE">
            <w:pPr>
              <w:pStyle w:val="NoSpacing"/>
            </w:pPr>
            <w:r w:rsidRPr="00D66CE0">
              <w:t>0.38</w:t>
            </w:r>
          </w:p>
        </w:tc>
        <w:tc>
          <w:tcPr>
            <w:tcW w:w="291" w:type="pct"/>
            <w:hideMark/>
          </w:tcPr>
          <w:p w14:paraId="29F2F5D0" w14:textId="77777777" w:rsidR="00D66CE0" w:rsidRPr="00D66CE0" w:rsidRDefault="00D66CE0" w:rsidP="008200AE">
            <w:pPr>
              <w:pStyle w:val="NoSpacing"/>
            </w:pPr>
            <w:r w:rsidRPr="00D66CE0">
              <w:t>− 0.03</w:t>
            </w:r>
          </w:p>
        </w:tc>
        <w:tc>
          <w:tcPr>
            <w:tcW w:w="291" w:type="pct"/>
            <w:hideMark/>
          </w:tcPr>
          <w:p w14:paraId="68CCF192" w14:textId="77777777" w:rsidR="00D66CE0" w:rsidRPr="00D66CE0" w:rsidRDefault="00D66CE0" w:rsidP="008200AE">
            <w:pPr>
              <w:pStyle w:val="NoSpacing"/>
            </w:pPr>
            <w:r w:rsidRPr="00D66CE0">
              <w:t>0.11</w:t>
            </w:r>
          </w:p>
        </w:tc>
        <w:tc>
          <w:tcPr>
            <w:tcW w:w="291" w:type="pct"/>
            <w:hideMark/>
          </w:tcPr>
          <w:p w14:paraId="195C6A0C" w14:textId="77777777" w:rsidR="00D66CE0" w:rsidRPr="00D66CE0" w:rsidRDefault="00D66CE0" w:rsidP="008200AE">
            <w:pPr>
              <w:pStyle w:val="NoSpacing"/>
            </w:pPr>
          </w:p>
        </w:tc>
        <w:tc>
          <w:tcPr>
            <w:tcW w:w="291" w:type="pct"/>
            <w:hideMark/>
          </w:tcPr>
          <w:p w14:paraId="095D1971" w14:textId="77777777" w:rsidR="00D66CE0" w:rsidRPr="00D66CE0" w:rsidRDefault="00D66CE0" w:rsidP="008200AE">
            <w:pPr>
              <w:pStyle w:val="NoSpacing"/>
            </w:pPr>
          </w:p>
        </w:tc>
        <w:tc>
          <w:tcPr>
            <w:tcW w:w="291" w:type="pct"/>
            <w:hideMark/>
          </w:tcPr>
          <w:p w14:paraId="53A5B7AD" w14:textId="77777777" w:rsidR="00D66CE0" w:rsidRPr="00D66CE0" w:rsidRDefault="00D66CE0" w:rsidP="008200AE">
            <w:pPr>
              <w:pStyle w:val="NoSpacing"/>
            </w:pPr>
          </w:p>
        </w:tc>
        <w:tc>
          <w:tcPr>
            <w:tcW w:w="291" w:type="pct"/>
            <w:hideMark/>
          </w:tcPr>
          <w:p w14:paraId="17844775" w14:textId="77777777" w:rsidR="00D66CE0" w:rsidRPr="00D66CE0" w:rsidRDefault="00D66CE0" w:rsidP="008200AE">
            <w:pPr>
              <w:pStyle w:val="NoSpacing"/>
            </w:pPr>
          </w:p>
        </w:tc>
        <w:tc>
          <w:tcPr>
            <w:tcW w:w="291" w:type="pct"/>
            <w:hideMark/>
          </w:tcPr>
          <w:p w14:paraId="48B624A7" w14:textId="77777777" w:rsidR="00D66CE0" w:rsidRPr="00D66CE0" w:rsidRDefault="00D66CE0" w:rsidP="008200AE">
            <w:pPr>
              <w:pStyle w:val="NoSpacing"/>
            </w:pPr>
          </w:p>
        </w:tc>
      </w:tr>
      <w:tr w:rsidR="00D66CE0" w:rsidRPr="00D66CE0" w14:paraId="7F0E92DF" w14:textId="77777777" w:rsidTr="008200AE">
        <w:tc>
          <w:tcPr>
            <w:tcW w:w="629" w:type="pct"/>
            <w:hideMark/>
          </w:tcPr>
          <w:p w14:paraId="011823A8" w14:textId="77777777" w:rsidR="00D66CE0" w:rsidRPr="00D66CE0" w:rsidRDefault="00D66CE0" w:rsidP="008200AE">
            <w:pPr>
              <w:pStyle w:val="NoSpacing"/>
            </w:pPr>
            <w:r w:rsidRPr="00D66CE0">
              <w:t>10. Firm size</w:t>
            </w:r>
          </w:p>
        </w:tc>
        <w:tc>
          <w:tcPr>
            <w:tcW w:w="291" w:type="pct"/>
            <w:hideMark/>
          </w:tcPr>
          <w:p w14:paraId="161C86CD" w14:textId="77777777" w:rsidR="00D66CE0" w:rsidRPr="00D66CE0" w:rsidRDefault="00D66CE0" w:rsidP="008200AE">
            <w:pPr>
              <w:pStyle w:val="NoSpacing"/>
            </w:pPr>
            <w:r w:rsidRPr="00D66CE0">
              <w:t>6.31</w:t>
            </w:r>
          </w:p>
        </w:tc>
        <w:tc>
          <w:tcPr>
            <w:tcW w:w="291" w:type="pct"/>
            <w:hideMark/>
          </w:tcPr>
          <w:p w14:paraId="5F6C24BD" w14:textId="77777777" w:rsidR="00D66CE0" w:rsidRPr="00D66CE0" w:rsidRDefault="00D66CE0" w:rsidP="008200AE">
            <w:pPr>
              <w:pStyle w:val="NoSpacing"/>
            </w:pPr>
            <w:r w:rsidRPr="00D66CE0">
              <w:t>1.67</w:t>
            </w:r>
          </w:p>
        </w:tc>
        <w:tc>
          <w:tcPr>
            <w:tcW w:w="291" w:type="pct"/>
            <w:hideMark/>
          </w:tcPr>
          <w:p w14:paraId="52CA49D4" w14:textId="77777777" w:rsidR="00D66CE0" w:rsidRPr="00D66CE0" w:rsidRDefault="00D66CE0" w:rsidP="008200AE">
            <w:pPr>
              <w:pStyle w:val="NoSpacing"/>
            </w:pPr>
            <w:r w:rsidRPr="00D66CE0">
              <w:t>0.10</w:t>
            </w:r>
          </w:p>
        </w:tc>
        <w:tc>
          <w:tcPr>
            <w:tcW w:w="291" w:type="pct"/>
            <w:hideMark/>
          </w:tcPr>
          <w:p w14:paraId="357F2009" w14:textId="77777777" w:rsidR="00D66CE0" w:rsidRPr="00D66CE0" w:rsidRDefault="00D66CE0" w:rsidP="008200AE">
            <w:pPr>
              <w:pStyle w:val="NoSpacing"/>
            </w:pPr>
            <w:r w:rsidRPr="00D66CE0">
              <w:t>− 0.09</w:t>
            </w:r>
          </w:p>
        </w:tc>
        <w:tc>
          <w:tcPr>
            <w:tcW w:w="291" w:type="pct"/>
            <w:hideMark/>
          </w:tcPr>
          <w:p w14:paraId="68FCC0D3" w14:textId="77777777" w:rsidR="00D66CE0" w:rsidRPr="00D66CE0" w:rsidRDefault="00D66CE0" w:rsidP="008200AE">
            <w:pPr>
              <w:pStyle w:val="NoSpacing"/>
            </w:pPr>
            <w:r w:rsidRPr="00D66CE0">
              <w:t>− 0.04</w:t>
            </w:r>
          </w:p>
        </w:tc>
        <w:tc>
          <w:tcPr>
            <w:tcW w:w="291" w:type="pct"/>
            <w:hideMark/>
          </w:tcPr>
          <w:p w14:paraId="437E4A66" w14:textId="77777777" w:rsidR="00D66CE0" w:rsidRPr="00D66CE0" w:rsidRDefault="00D66CE0" w:rsidP="008200AE">
            <w:pPr>
              <w:pStyle w:val="NoSpacing"/>
            </w:pPr>
            <w:r w:rsidRPr="00D66CE0">
              <w:t>− 0.05</w:t>
            </w:r>
          </w:p>
        </w:tc>
        <w:tc>
          <w:tcPr>
            <w:tcW w:w="291" w:type="pct"/>
            <w:hideMark/>
          </w:tcPr>
          <w:p w14:paraId="5EF90C89" w14:textId="77777777" w:rsidR="00D66CE0" w:rsidRPr="00D66CE0" w:rsidRDefault="00D66CE0" w:rsidP="008200AE">
            <w:pPr>
              <w:pStyle w:val="NoSpacing"/>
            </w:pPr>
            <w:r w:rsidRPr="00D66CE0">
              <w:t>− 0.03</w:t>
            </w:r>
          </w:p>
        </w:tc>
        <w:tc>
          <w:tcPr>
            <w:tcW w:w="291" w:type="pct"/>
            <w:hideMark/>
          </w:tcPr>
          <w:p w14:paraId="1362C9AD" w14:textId="77777777" w:rsidR="00D66CE0" w:rsidRPr="00D66CE0" w:rsidRDefault="00D66CE0" w:rsidP="008200AE">
            <w:pPr>
              <w:pStyle w:val="NoSpacing"/>
            </w:pPr>
            <w:r w:rsidRPr="00D66CE0">
              <w:t>− 0.06</w:t>
            </w:r>
          </w:p>
        </w:tc>
        <w:tc>
          <w:tcPr>
            <w:tcW w:w="291" w:type="pct"/>
            <w:hideMark/>
          </w:tcPr>
          <w:p w14:paraId="4FDFA686" w14:textId="77777777" w:rsidR="00D66CE0" w:rsidRPr="00D66CE0" w:rsidRDefault="00D66CE0" w:rsidP="008200AE">
            <w:pPr>
              <w:pStyle w:val="NoSpacing"/>
            </w:pPr>
            <w:r w:rsidRPr="00D66CE0">
              <w:t>− 0.22</w:t>
            </w:r>
          </w:p>
        </w:tc>
        <w:tc>
          <w:tcPr>
            <w:tcW w:w="291" w:type="pct"/>
            <w:hideMark/>
          </w:tcPr>
          <w:p w14:paraId="520430C1" w14:textId="77777777" w:rsidR="00D66CE0" w:rsidRPr="00D66CE0" w:rsidRDefault="00D66CE0" w:rsidP="008200AE">
            <w:pPr>
              <w:pStyle w:val="NoSpacing"/>
            </w:pPr>
            <w:r w:rsidRPr="00D66CE0">
              <w:t>0.10</w:t>
            </w:r>
          </w:p>
        </w:tc>
        <w:tc>
          <w:tcPr>
            <w:tcW w:w="291" w:type="pct"/>
            <w:hideMark/>
          </w:tcPr>
          <w:p w14:paraId="05CF404C" w14:textId="77777777" w:rsidR="00D66CE0" w:rsidRPr="00D66CE0" w:rsidRDefault="00D66CE0" w:rsidP="008200AE">
            <w:pPr>
              <w:pStyle w:val="NoSpacing"/>
            </w:pPr>
            <w:r w:rsidRPr="00D66CE0">
              <w:t>0.03</w:t>
            </w:r>
          </w:p>
        </w:tc>
        <w:tc>
          <w:tcPr>
            <w:tcW w:w="291" w:type="pct"/>
            <w:hideMark/>
          </w:tcPr>
          <w:p w14:paraId="7AE25176" w14:textId="77777777" w:rsidR="00D66CE0" w:rsidRPr="00D66CE0" w:rsidRDefault="00D66CE0" w:rsidP="008200AE">
            <w:pPr>
              <w:pStyle w:val="NoSpacing"/>
            </w:pPr>
          </w:p>
        </w:tc>
        <w:tc>
          <w:tcPr>
            <w:tcW w:w="291" w:type="pct"/>
            <w:hideMark/>
          </w:tcPr>
          <w:p w14:paraId="575C225D" w14:textId="77777777" w:rsidR="00D66CE0" w:rsidRPr="00D66CE0" w:rsidRDefault="00D66CE0" w:rsidP="008200AE">
            <w:pPr>
              <w:pStyle w:val="NoSpacing"/>
            </w:pPr>
          </w:p>
        </w:tc>
        <w:tc>
          <w:tcPr>
            <w:tcW w:w="291" w:type="pct"/>
            <w:hideMark/>
          </w:tcPr>
          <w:p w14:paraId="049F256D" w14:textId="77777777" w:rsidR="00D66CE0" w:rsidRPr="00D66CE0" w:rsidRDefault="00D66CE0" w:rsidP="008200AE">
            <w:pPr>
              <w:pStyle w:val="NoSpacing"/>
            </w:pPr>
          </w:p>
        </w:tc>
        <w:tc>
          <w:tcPr>
            <w:tcW w:w="291" w:type="pct"/>
            <w:hideMark/>
          </w:tcPr>
          <w:p w14:paraId="686B7FB1" w14:textId="77777777" w:rsidR="00D66CE0" w:rsidRPr="00D66CE0" w:rsidRDefault="00D66CE0" w:rsidP="008200AE">
            <w:pPr>
              <w:pStyle w:val="NoSpacing"/>
            </w:pPr>
          </w:p>
        </w:tc>
      </w:tr>
      <w:tr w:rsidR="00D66CE0" w:rsidRPr="00D66CE0" w14:paraId="7CBDB35B" w14:textId="77777777" w:rsidTr="008200AE">
        <w:tc>
          <w:tcPr>
            <w:tcW w:w="629" w:type="pct"/>
            <w:hideMark/>
          </w:tcPr>
          <w:p w14:paraId="6D257297" w14:textId="77777777" w:rsidR="00D66CE0" w:rsidRPr="00D66CE0" w:rsidRDefault="00D66CE0" w:rsidP="008200AE">
            <w:pPr>
              <w:pStyle w:val="NoSpacing"/>
            </w:pPr>
            <w:r w:rsidRPr="00D66CE0">
              <w:t>11. Level of diversification</w:t>
            </w:r>
          </w:p>
        </w:tc>
        <w:tc>
          <w:tcPr>
            <w:tcW w:w="291" w:type="pct"/>
            <w:hideMark/>
          </w:tcPr>
          <w:p w14:paraId="50A9F52E" w14:textId="77777777" w:rsidR="00D66CE0" w:rsidRPr="00D66CE0" w:rsidRDefault="00D66CE0" w:rsidP="008200AE">
            <w:pPr>
              <w:pStyle w:val="NoSpacing"/>
            </w:pPr>
            <w:r w:rsidRPr="00D66CE0">
              <w:t>0.13</w:t>
            </w:r>
          </w:p>
        </w:tc>
        <w:tc>
          <w:tcPr>
            <w:tcW w:w="291" w:type="pct"/>
            <w:hideMark/>
          </w:tcPr>
          <w:p w14:paraId="232FB5F6" w14:textId="77777777" w:rsidR="00D66CE0" w:rsidRPr="00D66CE0" w:rsidRDefault="00D66CE0" w:rsidP="008200AE">
            <w:pPr>
              <w:pStyle w:val="NoSpacing"/>
            </w:pPr>
            <w:r w:rsidRPr="00D66CE0">
              <w:t>0.32</w:t>
            </w:r>
          </w:p>
        </w:tc>
        <w:tc>
          <w:tcPr>
            <w:tcW w:w="291" w:type="pct"/>
            <w:hideMark/>
          </w:tcPr>
          <w:p w14:paraId="78646672" w14:textId="77777777" w:rsidR="00D66CE0" w:rsidRPr="00D66CE0" w:rsidRDefault="00D66CE0" w:rsidP="008200AE">
            <w:pPr>
              <w:pStyle w:val="NoSpacing"/>
            </w:pPr>
            <w:r w:rsidRPr="00D66CE0">
              <w:t>0.14</w:t>
            </w:r>
          </w:p>
        </w:tc>
        <w:tc>
          <w:tcPr>
            <w:tcW w:w="291" w:type="pct"/>
            <w:hideMark/>
          </w:tcPr>
          <w:p w14:paraId="3EBB1994" w14:textId="77777777" w:rsidR="00D66CE0" w:rsidRPr="00D66CE0" w:rsidRDefault="00D66CE0" w:rsidP="008200AE">
            <w:pPr>
              <w:pStyle w:val="NoSpacing"/>
            </w:pPr>
            <w:r w:rsidRPr="00D66CE0">
              <w:t>− 0.19</w:t>
            </w:r>
          </w:p>
        </w:tc>
        <w:tc>
          <w:tcPr>
            <w:tcW w:w="291" w:type="pct"/>
            <w:hideMark/>
          </w:tcPr>
          <w:p w14:paraId="2AD1077A" w14:textId="77777777" w:rsidR="00D66CE0" w:rsidRPr="00D66CE0" w:rsidRDefault="00D66CE0" w:rsidP="008200AE">
            <w:pPr>
              <w:pStyle w:val="NoSpacing"/>
            </w:pPr>
            <w:r w:rsidRPr="00D66CE0">
              <w:t>− 0.00</w:t>
            </w:r>
          </w:p>
        </w:tc>
        <w:tc>
          <w:tcPr>
            <w:tcW w:w="291" w:type="pct"/>
            <w:hideMark/>
          </w:tcPr>
          <w:p w14:paraId="30189C74" w14:textId="77777777" w:rsidR="00D66CE0" w:rsidRPr="00D66CE0" w:rsidRDefault="00D66CE0" w:rsidP="008200AE">
            <w:pPr>
              <w:pStyle w:val="NoSpacing"/>
            </w:pPr>
            <w:r w:rsidRPr="00D66CE0">
              <w:t>− 0.10</w:t>
            </w:r>
          </w:p>
        </w:tc>
        <w:tc>
          <w:tcPr>
            <w:tcW w:w="291" w:type="pct"/>
            <w:hideMark/>
          </w:tcPr>
          <w:p w14:paraId="3B36CC68" w14:textId="77777777" w:rsidR="00D66CE0" w:rsidRPr="00D66CE0" w:rsidRDefault="00D66CE0" w:rsidP="008200AE">
            <w:pPr>
              <w:pStyle w:val="NoSpacing"/>
            </w:pPr>
            <w:r w:rsidRPr="00D66CE0">
              <w:t>− 0.03</w:t>
            </w:r>
          </w:p>
        </w:tc>
        <w:tc>
          <w:tcPr>
            <w:tcW w:w="291" w:type="pct"/>
            <w:hideMark/>
          </w:tcPr>
          <w:p w14:paraId="404C8973" w14:textId="77777777" w:rsidR="00D66CE0" w:rsidRPr="00D66CE0" w:rsidRDefault="00D66CE0" w:rsidP="008200AE">
            <w:pPr>
              <w:pStyle w:val="NoSpacing"/>
            </w:pPr>
            <w:r w:rsidRPr="00D66CE0">
              <w:t>0.07</w:t>
            </w:r>
          </w:p>
        </w:tc>
        <w:tc>
          <w:tcPr>
            <w:tcW w:w="291" w:type="pct"/>
            <w:hideMark/>
          </w:tcPr>
          <w:p w14:paraId="5341C82F" w14:textId="77777777" w:rsidR="00D66CE0" w:rsidRPr="00D66CE0" w:rsidRDefault="00D66CE0" w:rsidP="008200AE">
            <w:pPr>
              <w:pStyle w:val="NoSpacing"/>
            </w:pPr>
            <w:r w:rsidRPr="00D66CE0">
              <w:t>0.04</w:t>
            </w:r>
          </w:p>
        </w:tc>
        <w:tc>
          <w:tcPr>
            <w:tcW w:w="291" w:type="pct"/>
            <w:hideMark/>
          </w:tcPr>
          <w:p w14:paraId="1DA990E3" w14:textId="77777777" w:rsidR="00D66CE0" w:rsidRPr="00D66CE0" w:rsidRDefault="00D66CE0" w:rsidP="008200AE">
            <w:pPr>
              <w:pStyle w:val="NoSpacing"/>
            </w:pPr>
            <w:r w:rsidRPr="00D66CE0">
              <w:t>− 0.16</w:t>
            </w:r>
          </w:p>
        </w:tc>
        <w:tc>
          <w:tcPr>
            <w:tcW w:w="291" w:type="pct"/>
            <w:hideMark/>
          </w:tcPr>
          <w:p w14:paraId="0D2817D4" w14:textId="77777777" w:rsidR="00D66CE0" w:rsidRPr="00D66CE0" w:rsidRDefault="00D66CE0" w:rsidP="008200AE">
            <w:pPr>
              <w:pStyle w:val="NoSpacing"/>
            </w:pPr>
            <w:r w:rsidRPr="00D66CE0">
              <w:t>− 0.02</w:t>
            </w:r>
          </w:p>
        </w:tc>
        <w:tc>
          <w:tcPr>
            <w:tcW w:w="291" w:type="pct"/>
            <w:hideMark/>
          </w:tcPr>
          <w:p w14:paraId="5626DECE" w14:textId="77777777" w:rsidR="00D66CE0" w:rsidRPr="00D66CE0" w:rsidRDefault="00D66CE0" w:rsidP="008200AE">
            <w:pPr>
              <w:pStyle w:val="NoSpacing"/>
            </w:pPr>
            <w:r w:rsidRPr="00D66CE0">
              <w:t>0.24</w:t>
            </w:r>
          </w:p>
        </w:tc>
        <w:tc>
          <w:tcPr>
            <w:tcW w:w="291" w:type="pct"/>
            <w:hideMark/>
          </w:tcPr>
          <w:p w14:paraId="2C3E66EB" w14:textId="77777777" w:rsidR="00D66CE0" w:rsidRPr="00D66CE0" w:rsidRDefault="00D66CE0" w:rsidP="008200AE">
            <w:pPr>
              <w:pStyle w:val="NoSpacing"/>
            </w:pPr>
          </w:p>
        </w:tc>
        <w:tc>
          <w:tcPr>
            <w:tcW w:w="291" w:type="pct"/>
            <w:hideMark/>
          </w:tcPr>
          <w:p w14:paraId="70FF164A" w14:textId="77777777" w:rsidR="00D66CE0" w:rsidRPr="00D66CE0" w:rsidRDefault="00D66CE0" w:rsidP="008200AE">
            <w:pPr>
              <w:pStyle w:val="NoSpacing"/>
            </w:pPr>
          </w:p>
        </w:tc>
        <w:tc>
          <w:tcPr>
            <w:tcW w:w="291" w:type="pct"/>
            <w:hideMark/>
          </w:tcPr>
          <w:p w14:paraId="05071BAF" w14:textId="77777777" w:rsidR="00D66CE0" w:rsidRPr="00D66CE0" w:rsidRDefault="00D66CE0" w:rsidP="008200AE">
            <w:pPr>
              <w:pStyle w:val="NoSpacing"/>
            </w:pPr>
          </w:p>
        </w:tc>
      </w:tr>
      <w:tr w:rsidR="00D66CE0" w:rsidRPr="00D66CE0" w14:paraId="1DC731D0" w14:textId="77777777" w:rsidTr="008200AE">
        <w:tc>
          <w:tcPr>
            <w:tcW w:w="629" w:type="pct"/>
            <w:hideMark/>
          </w:tcPr>
          <w:p w14:paraId="14969F66" w14:textId="77777777" w:rsidR="00D66CE0" w:rsidRPr="00D66CE0" w:rsidRDefault="00D66CE0" w:rsidP="008200AE">
            <w:pPr>
              <w:pStyle w:val="NoSpacing"/>
            </w:pPr>
            <w:r w:rsidRPr="00D66CE0">
              <w:t>12. Debt/Equity</w:t>
            </w:r>
          </w:p>
        </w:tc>
        <w:tc>
          <w:tcPr>
            <w:tcW w:w="291" w:type="pct"/>
            <w:hideMark/>
          </w:tcPr>
          <w:p w14:paraId="716DD0E9" w14:textId="77777777" w:rsidR="00D66CE0" w:rsidRPr="00D66CE0" w:rsidRDefault="00D66CE0" w:rsidP="008200AE">
            <w:pPr>
              <w:pStyle w:val="NoSpacing"/>
            </w:pPr>
            <w:r w:rsidRPr="00D66CE0">
              <w:t>0.86</w:t>
            </w:r>
          </w:p>
        </w:tc>
        <w:tc>
          <w:tcPr>
            <w:tcW w:w="291" w:type="pct"/>
            <w:hideMark/>
          </w:tcPr>
          <w:p w14:paraId="1CF47814" w14:textId="77777777" w:rsidR="00D66CE0" w:rsidRPr="00D66CE0" w:rsidRDefault="00D66CE0" w:rsidP="008200AE">
            <w:pPr>
              <w:pStyle w:val="NoSpacing"/>
            </w:pPr>
            <w:r w:rsidRPr="00D66CE0">
              <w:t>2.69</w:t>
            </w:r>
          </w:p>
        </w:tc>
        <w:tc>
          <w:tcPr>
            <w:tcW w:w="291" w:type="pct"/>
            <w:hideMark/>
          </w:tcPr>
          <w:p w14:paraId="69AF4D70" w14:textId="77777777" w:rsidR="00D66CE0" w:rsidRPr="00D66CE0" w:rsidRDefault="00D66CE0" w:rsidP="008200AE">
            <w:pPr>
              <w:pStyle w:val="NoSpacing"/>
            </w:pPr>
            <w:r w:rsidRPr="00D66CE0">
              <w:t>0.09</w:t>
            </w:r>
          </w:p>
        </w:tc>
        <w:tc>
          <w:tcPr>
            <w:tcW w:w="291" w:type="pct"/>
            <w:hideMark/>
          </w:tcPr>
          <w:p w14:paraId="053AA80B" w14:textId="77777777" w:rsidR="00D66CE0" w:rsidRPr="00D66CE0" w:rsidRDefault="00D66CE0" w:rsidP="008200AE">
            <w:pPr>
              <w:pStyle w:val="NoSpacing"/>
            </w:pPr>
            <w:r w:rsidRPr="00D66CE0">
              <w:t>0.06</w:t>
            </w:r>
          </w:p>
        </w:tc>
        <w:tc>
          <w:tcPr>
            <w:tcW w:w="291" w:type="pct"/>
            <w:hideMark/>
          </w:tcPr>
          <w:p w14:paraId="364D661E" w14:textId="77777777" w:rsidR="00D66CE0" w:rsidRPr="00D66CE0" w:rsidRDefault="00D66CE0" w:rsidP="008200AE">
            <w:pPr>
              <w:pStyle w:val="NoSpacing"/>
            </w:pPr>
            <w:r w:rsidRPr="00D66CE0">
              <w:t>− 0.08</w:t>
            </w:r>
          </w:p>
        </w:tc>
        <w:tc>
          <w:tcPr>
            <w:tcW w:w="291" w:type="pct"/>
            <w:hideMark/>
          </w:tcPr>
          <w:p w14:paraId="5253689C" w14:textId="77777777" w:rsidR="00D66CE0" w:rsidRPr="00D66CE0" w:rsidRDefault="00D66CE0" w:rsidP="008200AE">
            <w:pPr>
              <w:pStyle w:val="NoSpacing"/>
            </w:pPr>
            <w:r w:rsidRPr="00D66CE0">
              <w:t>− 0.06</w:t>
            </w:r>
          </w:p>
        </w:tc>
        <w:tc>
          <w:tcPr>
            <w:tcW w:w="291" w:type="pct"/>
            <w:hideMark/>
          </w:tcPr>
          <w:p w14:paraId="64E10F19" w14:textId="77777777" w:rsidR="00D66CE0" w:rsidRPr="00D66CE0" w:rsidRDefault="00D66CE0" w:rsidP="008200AE">
            <w:pPr>
              <w:pStyle w:val="NoSpacing"/>
            </w:pPr>
            <w:r w:rsidRPr="00D66CE0">
              <w:t>− 0.14</w:t>
            </w:r>
          </w:p>
        </w:tc>
        <w:tc>
          <w:tcPr>
            <w:tcW w:w="291" w:type="pct"/>
            <w:hideMark/>
          </w:tcPr>
          <w:p w14:paraId="290D1789" w14:textId="77777777" w:rsidR="00D66CE0" w:rsidRPr="00D66CE0" w:rsidRDefault="00D66CE0" w:rsidP="008200AE">
            <w:pPr>
              <w:pStyle w:val="NoSpacing"/>
            </w:pPr>
            <w:r w:rsidRPr="00D66CE0">
              <w:t>− 0.06</w:t>
            </w:r>
          </w:p>
        </w:tc>
        <w:tc>
          <w:tcPr>
            <w:tcW w:w="291" w:type="pct"/>
            <w:hideMark/>
          </w:tcPr>
          <w:p w14:paraId="764CBA5C" w14:textId="77777777" w:rsidR="00D66CE0" w:rsidRPr="00D66CE0" w:rsidRDefault="00D66CE0" w:rsidP="008200AE">
            <w:pPr>
              <w:pStyle w:val="NoSpacing"/>
            </w:pPr>
            <w:r w:rsidRPr="00D66CE0">
              <w:t>− 0.05</w:t>
            </w:r>
          </w:p>
        </w:tc>
        <w:tc>
          <w:tcPr>
            <w:tcW w:w="291" w:type="pct"/>
            <w:hideMark/>
          </w:tcPr>
          <w:p w14:paraId="78964238" w14:textId="77777777" w:rsidR="00D66CE0" w:rsidRPr="00D66CE0" w:rsidRDefault="00D66CE0" w:rsidP="008200AE">
            <w:pPr>
              <w:pStyle w:val="NoSpacing"/>
            </w:pPr>
            <w:r w:rsidRPr="00D66CE0">
              <w:t>0.07</w:t>
            </w:r>
          </w:p>
        </w:tc>
        <w:tc>
          <w:tcPr>
            <w:tcW w:w="291" w:type="pct"/>
            <w:hideMark/>
          </w:tcPr>
          <w:p w14:paraId="377766A4" w14:textId="77777777" w:rsidR="00D66CE0" w:rsidRPr="00D66CE0" w:rsidRDefault="00D66CE0" w:rsidP="008200AE">
            <w:pPr>
              <w:pStyle w:val="NoSpacing"/>
            </w:pPr>
            <w:r w:rsidRPr="00D66CE0">
              <w:t>0.03</w:t>
            </w:r>
          </w:p>
        </w:tc>
        <w:tc>
          <w:tcPr>
            <w:tcW w:w="291" w:type="pct"/>
            <w:hideMark/>
          </w:tcPr>
          <w:p w14:paraId="7AA964A3" w14:textId="77777777" w:rsidR="00D66CE0" w:rsidRPr="00D66CE0" w:rsidRDefault="00D66CE0" w:rsidP="008200AE">
            <w:pPr>
              <w:pStyle w:val="NoSpacing"/>
            </w:pPr>
            <w:r w:rsidRPr="00D66CE0">
              <w:t>0.07</w:t>
            </w:r>
          </w:p>
        </w:tc>
        <w:tc>
          <w:tcPr>
            <w:tcW w:w="291" w:type="pct"/>
            <w:hideMark/>
          </w:tcPr>
          <w:p w14:paraId="4F86B0DB" w14:textId="77777777" w:rsidR="00D66CE0" w:rsidRPr="00D66CE0" w:rsidRDefault="00D66CE0" w:rsidP="008200AE">
            <w:pPr>
              <w:pStyle w:val="NoSpacing"/>
            </w:pPr>
            <w:r w:rsidRPr="00D66CE0">
              <w:t>− 0.00</w:t>
            </w:r>
          </w:p>
        </w:tc>
        <w:tc>
          <w:tcPr>
            <w:tcW w:w="291" w:type="pct"/>
            <w:hideMark/>
          </w:tcPr>
          <w:p w14:paraId="7D3BB445" w14:textId="77777777" w:rsidR="00D66CE0" w:rsidRPr="00D66CE0" w:rsidRDefault="00D66CE0" w:rsidP="008200AE">
            <w:pPr>
              <w:pStyle w:val="NoSpacing"/>
            </w:pPr>
          </w:p>
        </w:tc>
        <w:tc>
          <w:tcPr>
            <w:tcW w:w="291" w:type="pct"/>
            <w:hideMark/>
          </w:tcPr>
          <w:p w14:paraId="767FBECA" w14:textId="77777777" w:rsidR="00D66CE0" w:rsidRPr="00D66CE0" w:rsidRDefault="00D66CE0" w:rsidP="008200AE">
            <w:pPr>
              <w:pStyle w:val="NoSpacing"/>
            </w:pPr>
          </w:p>
        </w:tc>
      </w:tr>
      <w:tr w:rsidR="00D66CE0" w:rsidRPr="00D66CE0" w14:paraId="71EA87A4" w14:textId="77777777" w:rsidTr="008200AE">
        <w:tc>
          <w:tcPr>
            <w:tcW w:w="629" w:type="pct"/>
            <w:hideMark/>
          </w:tcPr>
          <w:p w14:paraId="7DCEB7B9" w14:textId="77777777" w:rsidR="00D66CE0" w:rsidRPr="00D66CE0" w:rsidRDefault="00D66CE0" w:rsidP="008200AE">
            <w:pPr>
              <w:pStyle w:val="NoSpacing"/>
            </w:pPr>
            <w:r w:rsidRPr="00D66CE0">
              <w:t>13. Free cash flow</w:t>
            </w:r>
          </w:p>
        </w:tc>
        <w:tc>
          <w:tcPr>
            <w:tcW w:w="291" w:type="pct"/>
            <w:hideMark/>
          </w:tcPr>
          <w:p w14:paraId="7E6B3920" w14:textId="77777777" w:rsidR="00D66CE0" w:rsidRPr="00D66CE0" w:rsidRDefault="00D66CE0" w:rsidP="008200AE">
            <w:pPr>
              <w:pStyle w:val="NoSpacing"/>
            </w:pPr>
            <w:r w:rsidRPr="00D66CE0">
              <w:t>− 0.06</w:t>
            </w:r>
          </w:p>
        </w:tc>
        <w:tc>
          <w:tcPr>
            <w:tcW w:w="291" w:type="pct"/>
            <w:hideMark/>
          </w:tcPr>
          <w:p w14:paraId="727B89D1" w14:textId="77777777" w:rsidR="00D66CE0" w:rsidRPr="00D66CE0" w:rsidRDefault="00D66CE0" w:rsidP="008200AE">
            <w:pPr>
              <w:pStyle w:val="NoSpacing"/>
            </w:pPr>
            <w:r w:rsidRPr="00D66CE0">
              <w:t>1.43</w:t>
            </w:r>
          </w:p>
        </w:tc>
        <w:tc>
          <w:tcPr>
            <w:tcW w:w="291" w:type="pct"/>
            <w:hideMark/>
          </w:tcPr>
          <w:p w14:paraId="0863073F" w14:textId="77777777" w:rsidR="00D66CE0" w:rsidRPr="00D66CE0" w:rsidRDefault="00D66CE0" w:rsidP="008200AE">
            <w:pPr>
              <w:pStyle w:val="NoSpacing"/>
            </w:pPr>
            <w:r w:rsidRPr="00D66CE0">
              <w:t>− 0.08</w:t>
            </w:r>
          </w:p>
        </w:tc>
        <w:tc>
          <w:tcPr>
            <w:tcW w:w="291" w:type="pct"/>
            <w:hideMark/>
          </w:tcPr>
          <w:p w14:paraId="5A19BA27" w14:textId="77777777" w:rsidR="00D66CE0" w:rsidRPr="00D66CE0" w:rsidRDefault="00D66CE0" w:rsidP="008200AE">
            <w:pPr>
              <w:pStyle w:val="NoSpacing"/>
            </w:pPr>
            <w:r w:rsidRPr="00D66CE0">
              <w:t>0.02</w:t>
            </w:r>
          </w:p>
        </w:tc>
        <w:tc>
          <w:tcPr>
            <w:tcW w:w="291" w:type="pct"/>
            <w:hideMark/>
          </w:tcPr>
          <w:p w14:paraId="280741D6" w14:textId="77777777" w:rsidR="00D66CE0" w:rsidRPr="00D66CE0" w:rsidRDefault="00D66CE0" w:rsidP="008200AE">
            <w:pPr>
              <w:pStyle w:val="NoSpacing"/>
            </w:pPr>
            <w:r w:rsidRPr="00D66CE0">
              <w:t>0.01</w:t>
            </w:r>
          </w:p>
        </w:tc>
        <w:tc>
          <w:tcPr>
            <w:tcW w:w="291" w:type="pct"/>
            <w:hideMark/>
          </w:tcPr>
          <w:p w14:paraId="39757626" w14:textId="77777777" w:rsidR="00D66CE0" w:rsidRPr="00D66CE0" w:rsidRDefault="00D66CE0" w:rsidP="008200AE">
            <w:pPr>
              <w:pStyle w:val="NoSpacing"/>
            </w:pPr>
            <w:r w:rsidRPr="00D66CE0">
              <w:t>− 0.02</w:t>
            </w:r>
          </w:p>
        </w:tc>
        <w:tc>
          <w:tcPr>
            <w:tcW w:w="291" w:type="pct"/>
            <w:hideMark/>
          </w:tcPr>
          <w:p w14:paraId="6A426D9D" w14:textId="77777777" w:rsidR="00D66CE0" w:rsidRPr="00D66CE0" w:rsidRDefault="00D66CE0" w:rsidP="008200AE">
            <w:pPr>
              <w:pStyle w:val="NoSpacing"/>
            </w:pPr>
            <w:r w:rsidRPr="00D66CE0">
              <w:t>0.15</w:t>
            </w:r>
          </w:p>
        </w:tc>
        <w:tc>
          <w:tcPr>
            <w:tcW w:w="291" w:type="pct"/>
            <w:hideMark/>
          </w:tcPr>
          <w:p w14:paraId="117409C3" w14:textId="77777777" w:rsidR="00D66CE0" w:rsidRPr="00D66CE0" w:rsidRDefault="00D66CE0" w:rsidP="008200AE">
            <w:pPr>
              <w:pStyle w:val="NoSpacing"/>
            </w:pPr>
            <w:r w:rsidRPr="00D66CE0">
              <w:t>− 0.02</w:t>
            </w:r>
          </w:p>
        </w:tc>
        <w:tc>
          <w:tcPr>
            <w:tcW w:w="291" w:type="pct"/>
            <w:hideMark/>
          </w:tcPr>
          <w:p w14:paraId="2BA73CA2" w14:textId="77777777" w:rsidR="00D66CE0" w:rsidRPr="00D66CE0" w:rsidRDefault="00D66CE0" w:rsidP="008200AE">
            <w:pPr>
              <w:pStyle w:val="NoSpacing"/>
            </w:pPr>
            <w:r w:rsidRPr="00D66CE0">
              <w:t>0.04</w:t>
            </w:r>
          </w:p>
        </w:tc>
        <w:tc>
          <w:tcPr>
            <w:tcW w:w="291" w:type="pct"/>
            <w:hideMark/>
          </w:tcPr>
          <w:p w14:paraId="49CDCE92" w14:textId="77777777" w:rsidR="00D66CE0" w:rsidRPr="00D66CE0" w:rsidRDefault="00D66CE0" w:rsidP="008200AE">
            <w:pPr>
              <w:pStyle w:val="NoSpacing"/>
            </w:pPr>
            <w:r w:rsidRPr="00D66CE0">
              <w:t>− 0.01</w:t>
            </w:r>
          </w:p>
        </w:tc>
        <w:tc>
          <w:tcPr>
            <w:tcW w:w="291" w:type="pct"/>
            <w:hideMark/>
          </w:tcPr>
          <w:p w14:paraId="777A87F5" w14:textId="77777777" w:rsidR="00D66CE0" w:rsidRPr="00D66CE0" w:rsidRDefault="00D66CE0" w:rsidP="008200AE">
            <w:pPr>
              <w:pStyle w:val="NoSpacing"/>
            </w:pPr>
            <w:r w:rsidRPr="00D66CE0">
              <w:t>0.01</w:t>
            </w:r>
          </w:p>
        </w:tc>
        <w:tc>
          <w:tcPr>
            <w:tcW w:w="291" w:type="pct"/>
            <w:hideMark/>
          </w:tcPr>
          <w:p w14:paraId="32BEC8CD" w14:textId="77777777" w:rsidR="00D66CE0" w:rsidRPr="00D66CE0" w:rsidRDefault="00D66CE0" w:rsidP="008200AE">
            <w:pPr>
              <w:pStyle w:val="NoSpacing"/>
            </w:pPr>
            <w:r w:rsidRPr="00D66CE0">
              <w:t>0.03</w:t>
            </w:r>
          </w:p>
        </w:tc>
        <w:tc>
          <w:tcPr>
            <w:tcW w:w="291" w:type="pct"/>
            <w:hideMark/>
          </w:tcPr>
          <w:p w14:paraId="5C2A319E" w14:textId="77777777" w:rsidR="00D66CE0" w:rsidRPr="00D66CE0" w:rsidRDefault="00D66CE0" w:rsidP="008200AE">
            <w:pPr>
              <w:pStyle w:val="NoSpacing"/>
            </w:pPr>
            <w:r w:rsidRPr="00D66CE0">
              <w:t>0.01</w:t>
            </w:r>
          </w:p>
        </w:tc>
        <w:tc>
          <w:tcPr>
            <w:tcW w:w="291" w:type="pct"/>
            <w:hideMark/>
          </w:tcPr>
          <w:p w14:paraId="59BE6FBC" w14:textId="77777777" w:rsidR="00D66CE0" w:rsidRPr="00D66CE0" w:rsidRDefault="00D66CE0" w:rsidP="008200AE">
            <w:pPr>
              <w:pStyle w:val="NoSpacing"/>
            </w:pPr>
            <w:r w:rsidRPr="00D66CE0">
              <w:t>− 0.32</w:t>
            </w:r>
          </w:p>
        </w:tc>
        <w:tc>
          <w:tcPr>
            <w:tcW w:w="291" w:type="pct"/>
            <w:hideMark/>
          </w:tcPr>
          <w:p w14:paraId="79D16A5E" w14:textId="77777777" w:rsidR="00D66CE0" w:rsidRPr="00D66CE0" w:rsidRDefault="00D66CE0" w:rsidP="008200AE">
            <w:pPr>
              <w:pStyle w:val="NoSpacing"/>
            </w:pPr>
          </w:p>
        </w:tc>
      </w:tr>
      <w:tr w:rsidR="00D66CE0" w:rsidRPr="00D66CE0" w14:paraId="51AECAB7" w14:textId="77777777" w:rsidTr="008200AE">
        <w:tc>
          <w:tcPr>
            <w:tcW w:w="629" w:type="pct"/>
            <w:hideMark/>
          </w:tcPr>
          <w:p w14:paraId="4D628335" w14:textId="77777777" w:rsidR="00D66CE0" w:rsidRPr="00D66CE0" w:rsidRDefault="00D66CE0" w:rsidP="008200AE">
            <w:pPr>
              <w:pStyle w:val="NoSpacing"/>
            </w:pPr>
            <w:r w:rsidRPr="00D66CE0">
              <w:t>14. Prior firm performance</w:t>
            </w:r>
          </w:p>
        </w:tc>
        <w:tc>
          <w:tcPr>
            <w:tcW w:w="291" w:type="pct"/>
            <w:hideMark/>
          </w:tcPr>
          <w:p w14:paraId="57505FFE" w14:textId="77777777" w:rsidR="00D66CE0" w:rsidRPr="00D66CE0" w:rsidRDefault="00D66CE0" w:rsidP="008200AE">
            <w:pPr>
              <w:pStyle w:val="NoSpacing"/>
            </w:pPr>
            <w:r w:rsidRPr="00D66CE0">
              <w:t>0.00</w:t>
            </w:r>
          </w:p>
        </w:tc>
        <w:tc>
          <w:tcPr>
            <w:tcW w:w="291" w:type="pct"/>
            <w:hideMark/>
          </w:tcPr>
          <w:p w14:paraId="417F8803" w14:textId="77777777" w:rsidR="00D66CE0" w:rsidRPr="00D66CE0" w:rsidRDefault="00D66CE0" w:rsidP="008200AE">
            <w:pPr>
              <w:pStyle w:val="NoSpacing"/>
            </w:pPr>
            <w:r w:rsidRPr="00D66CE0">
              <w:t>0.13</w:t>
            </w:r>
          </w:p>
        </w:tc>
        <w:tc>
          <w:tcPr>
            <w:tcW w:w="291" w:type="pct"/>
            <w:hideMark/>
          </w:tcPr>
          <w:p w14:paraId="5491B4C7" w14:textId="77777777" w:rsidR="00D66CE0" w:rsidRPr="00D66CE0" w:rsidRDefault="00D66CE0" w:rsidP="008200AE">
            <w:pPr>
              <w:pStyle w:val="NoSpacing"/>
            </w:pPr>
            <w:r w:rsidRPr="00D66CE0">
              <w:t>− 0.10</w:t>
            </w:r>
          </w:p>
        </w:tc>
        <w:tc>
          <w:tcPr>
            <w:tcW w:w="291" w:type="pct"/>
            <w:hideMark/>
          </w:tcPr>
          <w:p w14:paraId="74D12063" w14:textId="77777777" w:rsidR="00D66CE0" w:rsidRPr="00D66CE0" w:rsidRDefault="00D66CE0" w:rsidP="008200AE">
            <w:pPr>
              <w:pStyle w:val="NoSpacing"/>
            </w:pPr>
            <w:r w:rsidRPr="00D66CE0">
              <w:t>0.06</w:t>
            </w:r>
          </w:p>
        </w:tc>
        <w:tc>
          <w:tcPr>
            <w:tcW w:w="291" w:type="pct"/>
            <w:hideMark/>
          </w:tcPr>
          <w:p w14:paraId="15D47DF6" w14:textId="77777777" w:rsidR="00D66CE0" w:rsidRPr="00D66CE0" w:rsidRDefault="00D66CE0" w:rsidP="008200AE">
            <w:pPr>
              <w:pStyle w:val="NoSpacing"/>
            </w:pPr>
            <w:r w:rsidRPr="00D66CE0">
              <w:t>− 0.07</w:t>
            </w:r>
          </w:p>
        </w:tc>
        <w:tc>
          <w:tcPr>
            <w:tcW w:w="291" w:type="pct"/>
            <w:hideMark/>
          </w:tcPr>
          <w:p w14:paraId="13F113EC" w14:textId="77777777" w:rsidR="00D66CE0" w:rsidRPr="00D66CE0" w:rsidRDefault="00D66CE0" w:rsidP="008200AE">
            <w:pPr>
              <w:pStyle w:val="NoSpacing"/>
            </w:pPr>
            <w:r w:rsidRPr="00D66CE0">
              <w:t>− 0.08</w:t>
            </w:r>
          </w:p>
        </w:tc>
        <w:tc>
          <w:tcPr>
            <w:tcW w:w="291" w:type="pct"/>
            <w:hideMark/>
          </w:tcPr>
          <w:p w14:paraId="2295F823" w14:textId="77777777" w:rsidR="00D66CE0" w:rsidRPr="00D66CE0" w:rsidRDefault="00D66CE0" w:rsidP="008200AE">
            <w:pPr>
              <w:pStyle w:val="NoSpacing"/>
            </w:pPr>
            <w:r w:rsidRPr="00D66CE0">
              <w:t>− 0.10</w:t>
            </w:r>
          </w:p>
        </w:tc>
        <w:tc>
          <w:tcPr>
            <w:tcW w:w="291" w:type="pct"/>
            <w:hideMark/>
          </w:tcPr>
          <w:p w14:paraId="6E5D216A" w14:textId="77777777" w:rsidR="00D66CE0" w:rsidRPr="00D66CE0" w:rsidRDefault="00D66CE0" w:rsidP="008200AE">
            <w:pPr>
              <w:pStyle w:val="NoSpacing"/>
            </w:pPr>
            <w:r w:rsidRPr="00D66CE0">
              <w:t>− 0.07</w:t>
            </w:r>
          </w:p>
        </w:tc>
        <w:tc>
          <w:tcPr>
            <w:tcW w:w="291" w:type="pct"/>
            <w:hideMark/>
          </w:tcPr>
          <w:p w14:paraId="05D7E363" w14:textId="77777777" w:rsidR="00D66CE0" w:rsidRPr="00D66CE0" w:rsidRDefault="00D66CE0" w:rsidP="008200AE">
            <w:pPr>
              <w:pStyle w:val="NoSpacing"/>
            </w:pPr>
            <w:r w:rsidRPr="00D66CE0">
              <w:t>0.05</w:t>
            </w:r>
          </w:p>
        </w:tc>
        <w:tc>
          <w:tcPr>
            <w:tcW w:w="291" w:type="pct"/>
            <w:hideMark/>
          </w:tcPr>
          <w:p w14:paraId="463AF474" w14:textId="77777777" w:rsidR="00D66CE0" w:rsidRPr="00D66CE0" w:rsidRDefault="00D66CE0" w:rsidP="008200AE">
            <w:pPr>
              <w:pStyle w:val="NoSpacing"/>
            </w:pPr>
            <w:r w:rsidRPr="00D66CE0">
              <w:t>0.11</w:t>
            </w:r>
          </w:p>
        </w:tc>
        <w:tc>
          <w:tcPr>
            <w:tcW w:w="291" w:type="pct"/>
            <w:hideMark/>
          </w:tcPr>
          <w:p w14:paraId="5EC0D56A" w14:textId="77777777" w:rsidR="00D66CE0" w:rsidRPr="00D66CE0" w:rsidRDefault="00D66CE0" w:rsidP="008200AE">
            <w:pPr>
              <w:pStyle w:val="NoSpacing"/>
            </w:pPr>
            <w:r w:rsidRPr="00D66CE0">
              <w:t>0.04</w:t>
            </w:r>
          </w:p>
        </w:tc>
        <w:tc>
          <w:tcPr>
            <w:tcW w:w="291" w:type="pct"/>
            <w:hideMark/>
          </w:tcPr>
          <w:p w14:paraId="26C82418" w14:textId="77777777" w:rsidR="00D66CE0" w:rsidRPr="00D66CE0" w:rsidRDefault="00D66CE0" w:rsidP="008200AE">
            <w:pPr>
              <w:pStyle w:val="NoSpacing"/>
            </w:pPr>
            <w:r w:rsidRPr="00D66CE0">
              <w:t>0.24</w:t>
            </w:r>
          </w:p>
        </w:tc>
        <w:tc>
          <w:tcPr>
            <w:tcW w:w="291" w:type="pct"/>
            <w:hideMark/>
          </w:tcPr>
          <w:p w14:paraId="671D655D" w14:textId="77777777" w:rsidR="00D66CE0" w:rsidRPr="00D66CE0" w:rsidRDefault="00D66CE0" w:rsidP="008200AE">
            <w:pPr>
              <w:pStyle w:val="NoSpacing"/>
            </w:pPr>
            <w:r w:rsidRPr="00D66CE0">
              <w:t>0.05</w:t>
            </w:r>
          </w:p>
        </w:tc>
        <w:tc>
          <w:tcPr>
            <w:tcW w:w="291" w:type="pct"/>
            <w:hideMark/>
          </w:tcPr>
          <w:p w14:paraId="6DC686E9" w14:textId="77777777" w:rsidR="00D66CE0" w:rsidRPr="00D66CE0" w:rsidRDefault="00D66CE0" w:rsidP="008200AE">
            <w:pPr>
              <w:pStyle w:val="NoSpacing"/>
            </w:pPr>
            <w:r w:rsidRPr="00D66CE0">
              <w:t>0.08</w:t>
            </w:r>
          </w:p>
        </w:tc>
        <w:tc>
          <w:tcPr>
            <w:tcW w:w="291" w:type="pct"/>
            <w:hideMark/>
          </w:tcPr>
          <w:p w14:paraId="74328896" w14:textId="77777777" w:rsidR="00D66CE0" w:rsidRPr="00D66CE0" w:rsidRDefault="00D66CE0" w:rsidP="008200AE">
            <w:pPr>
              <w:pStyle w:val="NoSpacing"/>
            </w:pPr>
            <w:r w:rsidRPr="00D66CE0">
              <w:t>0.12</w:t>
            </w:r>
          </w:p>
        </w:tc>
      </w:tr>
    </w:tbl>
    <w:p w14:paraId="39A3C1CC" w14:textId="77777777" w:rsidR="00D66CE0" w:rsidRPr="00D66CE0" w:rsidRDefault="00D66CE0" w:rsidP="00954E22">
      <w:r w:rsidRPr="00D66CE0">
        <w:t>N = 2315, if r &gt; = 0.06 then p &lt; 0.01, if r &gt; = 0.04 then p &lt; 0.05, if r &gt; = 0.03 then p &lt; 0.10.</w:t>
      </w:r>
    </w:p>
    <w:p w14:paraId="7D2A34B9" w14:textId="77777777" w:rsidR="00954E22" w:rsidRDefault="00954E22" w:rsidP="00D66CE0">
      <w:pPr>
        <w:sectPr w:rsidR="00954E22" w:rsidSect="008200AE">
          <w:pgSz w:w="15840" w:h="12240" w:orient="landscape"/>
          <w:pgMar w:top="1080" w:right="1080" w:bottom="1080" w:left="1080" w:header="720" w:footer="720" w:gutter="0"/>
          <w:cols w:space="720"/>
          <w:docGrid w:linePitch="360"/>
        </w:sectPr>
      </w:pPr>
    </w:p>
    <w:p w14:paraId="5A4E777D" w14:textId="18230B1E" w:rsidR="00D66CE0" w:rsidRPr="00D66CE0" w:rsidRDefault="00D66CE0" w:rsidP="00D66CE0">
      <w:r w:rsidRPr="00D66CE0">
        <w:lastRenderedPageBreak/>
        <w:t>Table </w:t>
      </w:r>
      <w:r w:rsidRPr="00D66CE0">
        <w:rPr>
          <w:b/>
          <w:bCs/>
        </w:rPr>
        <w:t>3</w:t>
      </w:r>
      <w:r w:rsidRPr="00D66CE0">
        <w:t xml:space="preserve"> presents the fixed-effects regression results with timing of action in the wave as the dependent variable. We used a fixed-effects model so that we could control for differences in the constructs between the industries included in the study. For simplicity of presentation, we do not report the industry intercepts for any of the models. Looking at our control variables, as expected, there is some evidence that faster growing firms move earlier in the wave. We see a significant negative relationship in our full sample analysis between employee growth and position in the wave </w:t>
      </w:r>
      <m:oMath>
        <m:r>
          <w:rPr>
            <w:rFonts w:ascii="Cambria Math" w:hAnsi="Cambria Math"/>
          </w:rPr>
          <m:t>(p &lt; 0.05)</m:t>
        </m:r>
      </m:oMath>
      <w:r w:rsidRPr="00D66CE0">
        <w:t xml:space="preserve">. In the analysis focusing on first acquisitions only, there is a negative relationship between sales growth and position in the wave </w:t>
      </w:r>
      <m:oMath>
        <m:r>
          <w:rPr>
            <w:rFonts w:ascii="Cambria Math" w:hAnsi="Cambria Math"/>
          </w:rPr>
          <m:t>(p &lt; 0.05)</m:t>
        </m:r>
      </m:oMath>
      <w:r w:rsidRPr="00D66CE0">
        <w:t xml:space="preserve">. We also find that more efficient firms, those with faster asset turnover ratios, tend to move earlier in the wave </w:t>
      </w:r>
      <m:oMath>
        <m:r>
          <w:rPr>
            <w:rFonts w:ascii="Cambria Math" w:hAnsi="Cambria Math"/>
          </w:rPr>
          <m:t>(p &lt; 0.01)</m:t>
        </m:r>
      </m:oMath>
      <w:r w:rsidRPr="00D66CE0">
        <w:t xml:space="preserve">. Also as expected, firms that acquire more frequently tend to move earlier in the wave </w:t>
      </w:r>
      <m:oMath>
        <m:r>
          <w:rPr>
            <w:rFonts w:ascii="Cambria Math" w:hAnsi="Cambria Math"/>
          </w:rPr>
          <m:t>(p &lt; 0.01)</m:t>
        </m:r>
      </m:oMath>
      <w:r w:rsidRPr="00D66CE0">
        <w:t xml:space="preserve">. However, we were surprised to find that firms with high Tobin's q values tended to move later in the wave </w:t>
      </w:r>
      <m:oMath>
        <m:r>
          <w:rPr>
            <w:rFonts w:ascii="Cambria Math" w:hAnsi="Cambria Math"/>
          </w:rPr>
          <m:t>(p &lt; 0.01)</m:t>
        </m:r>
      </m:oMath>
      <w:r w:rsidRPr="00D66CE0">
        <w:t>. We now turn our attention to our hypothesized relationships.</w:t>
      </w:r>
    </w:p>
    <w:p w14:paraId="53E43AE7" w14:textId="77777777" w:rsidR="00EF7553" w:rsidRDefault="00EF7553" w:rsidP="00954E22">
      <w:pPr>
        <w:spacing w:after="0"/>
        <w:rPr>
          <w:b/>
          <w:bCs/>
        </w:rPr>
        <w:sectPr w:rsidR="00EF7553" w:rsidSect="00954E22">
          <w:pgSz w:w="12240" w:h="15840"/>
          <w:pgMar w:top="1080" w:right="1080" w:bottom="1080" w:left="1080" w:header="720" w:footer="720" w:gutter="0"/>
          <w:cols w:space="720"/>
          <w:docGrid w:linePitch="360"/>
        </w:sectPr>
      </w:pPr>
    </w:p>
    <w:p w14:paraId="0F4AE216" w14:textId="77777777" w:rsidR="00D66CE0" w:rsidRPr="00D66CE0" w:rsidRDefault="00D66CE0" w:rsidP="00954E22">
      <w:pPr>
        <w:spacing w:after="0"/>
      </w:pPr>
      <w:r w:rsidRPr="00D66CE0">
        <w:rPr>
          <w:b/>
          <w:bCs/>
        </w:rPr>
        <w:lastRenderedPageBreak/>
        <w:t>Table 3. </w:t>
      </w:r>
      <w:r w:rsidRPr="00D66CE0">
        <w:t>Drivers of the timing of firm action within the wave</w:t>
      </w:r>
    </w:p>
    <w:tbl>
      <w:tblPr>
        <w:tblStyle w:val="TableGrid"/>
        <w:tblW w:w="0" w:type="auto"/>
        <w:tblLook w:val="04A0" w:firstRow="1" w:lastRow="0" w:firstColumn="1" w:lastColumn="0" w:noHBand="0" w:noVBand="1"/>
      </w:tblPr>
      <w:tblGrid>
        <w:gridCol w:w="2305"/>
        <w:gridCol w:w="2772"/>
        <w:gridCol w:w="692"/>
        <w:gridCol w:w="1063"/>
        <w:gridCol w:w="692"/>
        <w:gridCol w:w="2898"/>
        <w:gridCol w:w="692"/>
        <w:gridCol w:w="2556"/>
      </w:tblGrid>
      <w:tr w:rsidR="00954E22" w:rsidRPr="00C00613" w14:paraId="11E00342" w14:textId="77777777" w:rsidTr="00C00613">
        <w:tc>
          <w:tcPr>
            <w:tcW w:w="0" w:type="auto"/>
            <w:hideMark/>
          </w:tcPr>
          <w:p w14:paraId="46D01A24" w14:textId="77777777" w:rsidR="00954E22" w:rsidRPr="00C00613" w:rsidRDefault="00954E22" w:rsidP="00954E22">
            <w:pPr>
              <w:pStyle w:val="NoSpacing"/>
              <w:rPr>
                <w:sz w:val="20"/>
                <w:szCs w:val="20"/>
              </w:rPr>
            </w:pPr>
            <w:r w:rsidRPr="00C00613">
              <w:rPr>
                <w:sz w:val="20"/>
                <w:szCs w:val="20"/>
              </w:rPr>
              <w:t>Variable</w:t>
            </w:r>
          </w:p>
        </w:tc>
        <w:tc>
          <w:tcPr>
            <w:tcW w:w="0" w:type="auto"/>
            <w:hideMark/>
          </w:tcPr>
          <w:p w14:paraId="4EC03AA6" w14:textId="77777777" w:rsidR="00954E22" w:rsidRPr="00C00613" w:rsidRDefault="00954E22" w:rsidP="00954E22">
            <w:pPr>
              <w:pStyle w:val="NoSpacing"/>
              <w:rPr>
                <w:sz w:val="20"/>
                <w:szCs w:val="20"/>
              </w:rPr>
            </w:pPr>
            <w:r w:rsidRPr="00C00613">
              <w:rPr>
                <w:sz w:val="20"/>
                <w:szCs w:val="20"/>
              </w:rPr>
              <w:t>Fixed-effects regression for all acquisitions of each firm</w:t>
            </w:r>
          </w:p>
        </w:tc>
        <w:tc>
          <w:tcPr>
            <w:tcW w:w="0" w:type="auto"/>
          </w:tcPr>
          <w:p w14:paraId="3887C11A" w14:textId="5DDEFDEC" w:rsidR="00954E22" w:rsidRPr="00C00613" w:rsidRDefault="00954E22" w:rsidP="00954E22">
            <w:pPr>
              <w:pStyle w:val="NoSpacing"/>
              <w:rPr>
                <w:sz w:val="20"/>
                <w:szCs w:val="20"/>
              </w:rPr>
            </w:pPr>
          </w:p>
        </w:tc>
        <w:tc>
          <w:tcPr>
            <w:tcW w:w="0" w:type="auto"/>
            <w:hideMark/>
          </w:tcPr>
          <w:p w14:paraId="2C0EFB9F" w14:textId="77777777" w:rsidR="00954E22" w:rsidRPr="00C00613" w:rsidRDefault="00954E22" w:rsidP="00954E22">
            <w:pPr>
              <w:pStyle w:val="NoSpacing"/>
              <w:rPr>
                <w:sz w:val="20"/>
                <w:szCs w:val="20"/>
              </w:rPr>
            </w:pPr>
            <w:r w:rsidRPr="00C00613">
              <w:rPr>
                <w:sz w:val="20"/>
                <w:szCs w:val="20"/>
              </w:rPr>
              <w:t>Tobit analysis</w:t>
            </w:r>
          </w:p>
        </w:tc>
        <w:tc>
          <w:tcPr>
            <w:tcW w:w="0" w:type="auto"/>
          </w:tcPr>
          <w:p w14:paraId="4B07DD1C" w14:textId="37E37512" w:rsidR="00954E22" w:rsidRPr="00C00613" w:rsidRDefault="00954E22" w:rsidP="00954E22">
            <w:pPr>
              <w:pStyle w:val="NoSpacing"/>
              <w:rPr>
                <w:sz w:val="20"/>
                <w:szCs w:val="20"/>
              </w:rPr>
            </w:pPr>
          </w:p>
        </w:tc>
        <w:tc>
          <w:tcPr>
            <w:tcW w:w="0" w:type="auto"/>
            <w:hideMark/>
          </w:tcPr>
          <w:p w14:paraId="236352A4" w14:textId="77777777" w:rsidR="00954E22" w:rsidRPr="00C00613" w:rsidRDefault="00954E22" w:rsidP="00954E22">
            <w:pPr>
              <w:pStyle w:val="NoSpacing"/>
              <w:rPr>
                <w:sz w:val="20"/>
                <w:szCs w:val="20"/>
              </w:rPr>
            </w:pPr>
            <w:r w:rsidRPr="00C00613">
              <w:rPr>
                <w:sz w:val="20"/>
                <w:szCs w:val="20"/>
              </w:rPr>
              <w:t>Fixed-effects regression for the first acquisition of each firm</w:t>
            </w:r>
          </w:p>
        </w:tc>
        <w:tc>
          <w:tcPr>
            <w:tcW w:w="0" w:type="auto"/>
          </w:tcPr>
          <w:p w14:paraId="07BA4CC6" w14:textId="34D9D23E" w:rsidR="00954E22" w:rsidRPr="00C00613" w:rsidRDefault="00954E22" w:rsidP="00954E22">
            <w:pPr>
              <w:pStyle w:val="NoSpacing"/>
              <w:rPr>
                <w:sz w:val="20"/>
                <w:szCs w:val="20"/>
              </w:rPr>
            </w:pPr>
          </w:p>
        </w:tc>
        <w:tc>
          <w:tcPr>
            <w:tcW w:w="0" w:type="auto"/>
            <w:hideMark/>
          </w:tcPr>
          <w:p w14:paraId="111FF3FE" w14:textId="77777777" w:rsidR="00954E22" w:rsidRPr="00C00613" w:rsidRDefault="00954E22" w:rsidP="00954E22">
            <w:pPr>
              <w:pStyle w:val="NoSpacing"/>
              <w:rPr>
                <w:sz w:val="20"/>
                <w:szCs w:val="20"/>
              </w:rPr>
            </w:pPr>
            <w:r w:rsidRPr="00C00613">
              <w:rPr>
                <w:sz w:val="20"/>
                <w:szCs w:val="20"/>
              </w:rPr>
              <w:t>Anticipated relationship</w:t>
            </w:r>
          </w:p>
        </w:tc>
      </w:tr>
      <w:tr w:rsidR="00C00613" w:rsidRPr="00C00613" w14:paraId="39E81508" w14:textId="77777777" w:rsidTr="00C00613">
        <w:tc>
          <w:tcPr>
            <w:tcW w:w="0" w:type="auto"/>
            <w:hideMark/>
          </w:tcPr>
          <w:p w14:paraId="59E9C65A" w14:textId="77777777" w:rsidR="00D66CE0" w:rsidRPr="00C00613" w:rsidRDefault="00D66CE0" w:rsidP="00954E22">
            <w:pPr>
              <w:pStyle w:val="NoSpacing"/>
              <w:rPr>
                <w:sz w:val="20"/>
                <w:szCs w:val="20"/>
              </w:rPr>
            </w:pPr>
            <w:r w:rsidRPr="00C00613">
              <w:rPr>
                <w:sz w:val="20"/>
                <w:szCs w:val="20"/>
              </w:rPr>
              <w:t>Control variables</w:t>
            </w:r>
          </w:p>
        </w:tc>
        <w:tc>
          <w:tcPr>
            <w:tcW w:w="0" w:type="auto"/>
            <w:hideMark/>
          </w:tcPr>
          <w:p w14:paraId="786B608E" w14:textId="77777777" w:rsidR="00D66CE0" w:rsidRPr="00C00613" w:rsidRDefault="00D66CE0" w:rsidP="00954E22">
            <w:pPr>
              <w:pStyle w:val="NoSpacing"/>
              <w:rPr>
                <w:sz w:val="20"/>
                <w:szCs w:val="20"/>
              </w:rPr>
            </w:pPr>
            <w:r w:rsidRPr="00C00613">
              <w:rPr>
                <w:sz w:val="20"/>
                <w:szCs w:val="20"/>
              </w:rPr>
              <w:t>β</w:t>
            </w:r>
          </w:p>
        </w:tc>
        <w:tc>
          <w:tcPr>
            <w:tcW w:w="0" w:type="auto"/>
            <w:hideMark/>
          </w:tcPr>
          <w:p w14:paraId="4A641D13" w14:textId="77777777" w:rsidR="00D66CE0" w:rsidRPr="00C00613" w:rsidRDefault="00D66CE0" w:rsidP="00954E22">
            <w:pPr>
              <w:pStyle w:val="NoSpacing"/>
              <w:rPr>
                <w:sz w:val="20"/>
                <w:szCs w:val="20"/>
              </w:rPr>
            </w:pPr>
            <w:r w:rsidRPr="00C00613">
              <w:rPr>
                <w:sz w:val="20"/>
                <w:szCs w:val="20"/>
              </w:rPr>
              <w:t>se</w:t>
            </w:r>
          </w:p>
        </w:tc>
        <w:tc>
          <w:tcPr>
            <w:tcW w:w="0" w:type="auto"/>
            <w:hideMark/>
          </w:tcPr>
          <w:p w14:paraId="7DBC348B" w14:textId="77777777" w:rsidR="00D66CE0" w:rsidRPr="00C00613" w:rsidRDefault="00D66CE0" w:rsidP="00954E22">
            <w:pPr>
              <w:pStyle w:val="NoSpacing"/>
              <w:rPr>
                <w:sz w:val="20"/>
                <w:szCs w:val="20"/>
              </w:rPr>
            </w:pPr>
            <w:r w:rsidRPr="00C00613">
              <w:rPr>
                <w:sz w:val="20"/>
                <w:szCs w:val="20"/>
              </w:rPr>
              <w:t>β</w:t>
            </w:r>
          </w:p>
        </w:tc>
        <w:tc>
          <w:tcPr>
            <w:tcW w:w="0" w:type="auto"/>
            <w:hideMark/>
          </w:tcPr>
          <w:p w14:paraId="3838C61D" w14:textId="77777777" w:rsidR="00D66CE0" w:rsidRPr="00C00613" w:rsidRDefault="00D66CE0" w:rsidP="00954E22">
            <w:pPr>
              <w:pStyle w:val="NoSpacing"/>
              <w:rPr>
                <w:sz w:val="20"/>
                <w:szCs w:val="20"/>
              </w:rPr>
            </w:pPr>
            <w:r w:rsidRPr="00C00613">
              <w:rPr>
                <w:sz w:val="20"/>
                <w:szCs w:val="20"/>
              </w:rPr>
              <w:t>se</w:t>
            </w:r>
          </w:p>
        </w:tc>
        <w:tc>
          <w:tcPr>
            <w:tcW w:w="0" w:type="auto"/>
            <w:hideMark/>
          </w:tcPr>
          <w:p w14:paraId="751505B2" w14:textId="77777777" w:rsidR="00D66CE0" w:rsidRPr="00C00613" w:rsidRDefault="00D66CE0" w:rsidP="00954E22">
            <w:pPr>
              <w:pStyle w:val="NoSpacing"/>
              <w:rPr>
                <w:sz w:val="20"/>
                <w:szCs w:val="20"/>
              </w:rPr>
            </w:pPr>
            <w:r w:rsidRPr="00C00613">
              <w:rPr>
                <w:sz w:val="20"/>
                <w:szCs w:val="20"/>
              </w:rPr>
              <w:t>β</w:t>
            </w:r>
          </w:p>
        </w:tc>
        <w:tc>
          <w:tcPr>
            <w:tcW w:w="0" w:type="auto"/>
            <w:hideMark/>
          </w:tcPr>
          <w:p w14:paraId="42888296" w14:textId="77777777" w:rsidR="00D66CE0" w:rsidRPr="00C00613" w:rsidRDefault="00D66CE0" w:rsidP="00954E22">
            <w:pPr>
              <w:pStyle w:val="NoSpacing"/>
              <w:rPr>
                <w:sz w:val="20"/>
                <w:szCs w:val="20"/>
              </w:rPr>
            </w:pPr>
            <w:r w:rsidRPr="00C00613">
              <w:rPr>
                <w:sz w:val="20"/>
                <w:szCs w:val="20"/>
              </w:rPr>
              <w:t>se</w:t>
            </w:r>
          </w:p>
        </w:tc>
        <w:tc>
          <w:tcPr>
            <w:tcW w:w="0" w:type="auto"/>
            <w:hideMark/>
          </w:tcPr>
          <w:p w14:paraId="0A069754" w14:textId="77777777" w:rsidR="00D66CE0" w:rsidRPr="00C00613" w:rsidRDefault="00D66CE0" w:rsidP="00954E22">
            <w:pPr>
              <w:pStyle w:val="NoSpacing"/>
              <w:rPr>
                <w:sz w:val="20"/>
                <w:szCs w:val="20"/>
              </w:rPr>
            </w:pPr>
          </w:p>
        </w:tc>
      </w:tr>
      <w:tr w:rsidR="00C00613" w:rsidRPr="00C00613" w14:paraId="26FF2DB7" w14:textId="77777777" w:rsidTr="00C00613">
        <w:tc>
          <w:tcPr>
            <w:tcW w:w="0" w:type="auto"/>
            <w:hideMark/>
          </w:tcPr>
          <w:p w14:paraId="177BB17F" w14:textId="77777777" w:rsidR="00D66CE0" w:rsidRPr="00C00613" w:rsidRDefault="00D66CE0" w:rsidP="00954E22">
            <w:pPr>
              <w:pStyle w:val="NoSpacing"/>
              <w:rPr>
                <w:sz w:val="20"/>
                <w:szCs w:val="20"/>
              </w:rPr>
            </w:pPr>
            <w:r w:rsidRPr="00C00613">
              <w:rPr>
                <w:sz w:val="20"/>
                <w:szCs w:val="20"/>
              </w:rPr>
              <w:t>Industry relatedness</w:t>
            </w:r>
          </w:p>
        </w:tc>
        <w:tc>
          <w:tcPr>
            <w:tcW w:w="0" w:type="auto"/>
            <w:hideMark/>
          </w:tcPr>
          <w:p w14:paraId="7F550397" w14:textId="77777777" w:rsidR="00D66CE0" w:rsidRPr="00C00613" w:rsidRDefault="00D66CE0" w:rsidP="00954E22">
            <w:pPr>
              <w:pStyle w:val="NoSpacing"/>
              <w:rPr>
                <w:sz w:val="20"/>
                <w:szCs w:val="20"/>
              </w:rPr>
            </w:pPr>
            <w:r w:rsidRPr="00C00613">
              <w:rPr>
                <w:sz w:val="20"/>
                <w:szCs w:val="20"/>
              </w:rPr>
              <w:t>− 0.06</w:t>
            </w:r>
          </w:p>
        </w:tc>
        <w:tc>
          <w:tcPr>
            <w:tcW w:w="0" w:type="auto"/>
            <w:hideMark/>
          </w:tcPr>
          <w:p w14:paraId="7B77A95E" w14:textId="77777777" w:rsidR="00D66CE0" w:rsidRPr="00C00613" w:rsidRDefault="00D66CE0" w:rsidP="00954E22">
            <w:pPr>
              <w:pStyle w:val="NoSpacing"/>
              <w:rPr>
                <w:sz w:val="20"/>
                <w:szCs w:val="20"/>
              </w:rPr>
            </w:pPr>
            <w:r w:rsidRPr="00C00613">
              <w:rPr>
                <w:sz w:val="20"/>
                <w:szCs w:val="20"/>
              </w:rPr>
              <w:t>(0.11)</w:t>
            </w:r>
          </w:p>
        </w:tc>
        <w:tc>
          <w:tcPr>
            <w:tcW w:w="0" w:type="auto"/>
            <w:hideMark/>
          </w:tcPr>
          <w:p w14:paraId="38A9828B" w14:textId="77777777" w:rsidR="00D66CE0" w:rsidRPr="00C00613" w:rsidRDefault="00D66CE0" w:rsidP="00954E22">
            <w:pPr>
              <w:pStyle w:val="NoSpacing"/>
              <w:rPr>
                <w:sz w:val="20"/>
                <w:szCs w:val="20"/>
              </w:rPr>
            </w:pPr>
            <w:r w:rsidRPr="00C00613">
              <w:rPr>
                <w:sz w:val="20"/>
                <w:szCs w:val="20"/>
              </w:rPr>
              <w:t>0.07</w:t>
            </w:r>
          </w:p>
        </w:tc>
        <w:tc>
          <w:tcPr>
            <w:tcW w:w="0" w:type="auto"/>
            <w:hideMark/>
          </w:tcPr>
          <w:p w14:paraId="5A01F107" w14:textId="77777777" w:rsidR="00D66CE0" w:rsidRPr="00C00613" w:rsidRDefault="00D66CE0" w:rsidP="00954E22">
            <w:pPr>
              <w:pStyle w:val="NoSpacing"/>
              <w:rPr>
                <w:sz w:val="20"/>
                <w:szCs w:val="20"/>
              </w:rPr>
            </w:pPr>
            <w:r w:rsidRPr="00C00613">
              <w:rPr>
                <w:sz w:val="20"/>
                <w:szCs w:val="20"/>
              </w:rPr>
              <w:t>(0.10)</w:t>
            </w:r>
          </w:p>
        </w:tc>
        <w:tc>
          <w:tcPr>
            <w:tcW w:w="0" w:type="auto"/>
            <w:hideMark/>
          </w:tcPr>
          <w:p w14:paraId="17886DEA" w14:textId="77777777" w:rsidR="00D66CE0" w:rsidRPr="00C00613" w:rsidRDefault="00D66CE0" w:rsidP="00954E22">
            <w:pPr>
              <w:pStyle w:val="NoSpacing"/>
              <w:rPr>
                <w:sz w:val="20"/>
                <w:szCs w:val="20"/>
              </w:rPr>
            </w:pPr>
            <w:r w:rsidRPr="00C00613">
              <w:rPr>
                <w:sz w:val="20"/>
                <w:szCs w:val="20"/>
              </w:rPr>
              <w:t>− 0.27†</w:t>
            </w:r>
          </w:p>
        </w:tc>
        <w:tc>
          <w:tcPr>
            <w:tcW w:w="0" w:type="auto"/>
            <w:hideMark/>
          </w:tcPr>
          <w:p w14:paraId="67ED71B6" w14:textId="77777777" w:rsidR="00D66CE0" w:rsidRPr="00C00613" w:rsidRDefault="00D66CE0" w:rsidP="00954E22">
            <w:pPr>
              <w:pStyle w:val="NoSpacing"/>
              <w:rPr>
                <w:sz w:val="20"/>
                <w:szCs w:val="20"/>
              </w:rPr>
            </w:pPr>
            <w:r w:rsidRPr="00C00613">
              <w:rPr>
                <w:sz w:val="20"/>
                <w:szCs w:val="20"/>
              </w:rPr>
              <w:t>(0.18)</w:t>
            </w:r>
          </w:p>
        </w:tc>
        <w:tc>
          <w:tcPr>
            <w:tcW w:w="0" w:type="auto"/>
            <w:hideMark/>
          </w:tcPr>
          <w:p w14:paraId="1B304CCE" w14:textId="77777777" w:rsidR="00D66CE0" w:rsidRPr="00C00613" w:rsidRDefault="00D66CE0" w:rsidP="00954E22">
            <w:pPr>
              <w:pStyle w:val="NoSpacing"/>
              <w:rPr>
                <w:sz w:val="20"/>
                <w:szCs w:val="20"/>
              </w:rPr>
            </w:pPr>
          </w:p>
        </w:tc>
      </w:tr>
      <w:tr w:rsidR="00C00613" w:rsidRPr="00C00613" w14:paraId="26C90E03" w14:textId="77777777" w:rsidTr="00C00613">
        <w:tc>
          <w:tcPr>
            <w:tcW w:w="0" w:type="auto"/>
            <w:hideMark/>
          </w:tcPr>
          <w:p w14:paraId="268985C5" w14:textId="77777777" w:rsidR="00D66CE0" w:rsidRPr="00C00613" w:rsidRDefault="00D66CE0" w:rsidP="00954E22">
            <w:pPr>
              <w:pStyle w:val="NoSpacing"/>
              <w:rPr>
                <w:sz w:val="20"/>
                <w:szCs w:val="20"/>
              </w:rPr>
            </w:pPr>
            <w:r w:rsidRPr="00C00613">
              <w:rPr>
                <w:sz w:val="20"/>
                <w:szCs w:val="20"/>
              </w:rPr>
              <w:t>Tobin's q</w:t>
            </w:r>
          </w:p>
        </w:tc>
        <w:tc>
          <w:tcPr>
            <w:tcW w:w="0" w:type="auto"/>
            <w:hideMark/>
          </w:tcPr>
          <w:p w14:paraId="04DDAA91" w14:textId="35D8689F" w:rsidR="00D66CE0" w:rsidRPr="00C00613" w:rsidRDefault="00D66CE0" w:rsidP="00954E22">
            <w:pPr>
              <w:pStyle w:val="NoSpacing"/>
              <w:rPr>
                <w:sz w:val="20"/>
                <w:szCs w:val="20"/>
              </w:rPr>
            </w:pPr>
            <w:r w:rsidRPr="00C00613">
              <w:rPr>
                <w:sz w:val="20"/>
                <w:szCs w:val="20"/>
              </w:rPr>
              <w:t>0.55**</w:t>
            </w:r>
          </w:p>
        </w:tc>
        <w:tc>
          <w:tcPr>
            <w:tcW w:w="0" w:type="auto"/>
            <w:hideMark/>
          </w:tcPr>
          <w:p w14:paraId="46E5218A" w14:textId="77777777" w:rsidR="00D66CE0" w:rsidRPr="00C00613" w:rsidRDefault="00D66CE0" w:rsidP="00954E22">
            <w:pPr>
              <w:pStyle w:val="NoSpacing"/>
              <w:rPr>
                <w:sz w:val="20"/>
                <w:szCs w:val="20"/>
              </w:rPr>
            </w:pPr>
            <w:r w:rsidRPr="00C00613">
              <w:rPr>
                <w:sz w:val="20"/>
                <w:szCs w:val="20"/>
              </w:rPr>
              <w:t>(0.22)</w:t>
            </w:r>
          </w:p>
        </w:tc>
        <w:tc>
          <w:tcPr>
            <w:tcW w:w="0" w:type="auto"/>
            <w:hideMark/>
          </w:tcPr>
          <w:p w14:paraId="5F44930F" w14:textId="0B05768D" w:rsidR="00D66CE0" w:rsidRPr="00C00613" w:rsidRDefault="00D66CE0" w:rsidP="00954E22">
            <w:pPr>
              <w:pStyle w:val="NoSpacing"/>
              <w:rPr>
                <w:sz w:val="20"/>
                <w:szCs w:val="20"/>
              </w:rPr>
            </w:pPr>
            <w:r w:rsidRPr="00C00613">
              <w:rPr>
                <w:sz w:val="20"/>
                <w:szCs w:val="20"/>
              </w:rPr>
              <w:t>0.49*</w:t>
            </w:r>
          </w:p>
        </w:tc>
        <w:tc>
          <w:tcPr>
            <w:tcW w:w="0" w:type="auto"/>
            <w:hideMark/>
          </w:tcPr>
          <w:p w14:paraId="64CA7DD0" w14:textId="77777777" w:rsidR="00D66CE0" w:rsidRPr="00C00613" w:rsidRDefault="00D66CE0" w:rsidP="00954E22">
            <w:pPr>
              <w:pStyle w:val="NoSpacing"/>
              <w:rPr>
                <w:sz w:val="20"/>
                <w:szCs w:val="20"/>
              </w:rPr>
            </w:pPr>
            <w:r w:rsidRPr="00C00613">
              <w:rPr>
                <w:sz w:val="20"/>
                <w:szCs w:val="20"/>
              </w:rPr>
              <w:t>(0.21)</w:t>
            </w:r>
          </w:p>
        </w:tc>
        <w:tc>
          <w:tcPr>
            <w:tcW w:w="0" w:type="auto"/>
            <w:hideMark/>
          </w:tcPr>
          <w:p w14:paraId="47498CD3" w14:textId="698EA197" w:rsidR="00D66CE0" w:rsidRPr="00C00613" w:rsidRDefault="00D66CE0" w:rsidP="00954E22">
            <w:pPr>
              <w:pStyle w:val="NoSpacing"/>
              <w:rPr>
                <w:sz w:val="20"/>
                <w:szCs w:val="20"/>
              </w:rPr>
            </w:pPr>
            <w:r w:rsidRPr="00C00613">
              <w:rPr>
                <w:sz w:val="20"/>
                <w:szCs w:val="20"/>
              </w:rPr>
              <w:t>0.83*</w:t>
            </w:r>
          </w:p>
        </w:tc>
        <w:tc>
          <w:tcPr>
            <w:tcW w:w="0" w:type="auto"/>
            <w:hideMark/>
          </w:tcPr>
          <w:p w14:paraId="6BAC4295" w14:textId="77777777" w:rsidR="00D66CE0" w:rsidRPr="00C00613" w:rsidRDefault="00D66CE0" w:rsidP="00954E22">
            <w:pPr>
              <w:pStyle w:val="NoSpacing"/>
              <w:rPr>
                <w:sz w:val="20"/>
                <w:szCs w:val="20"/>
              </w:rPr>
            </w:pPr>
            <w:r w:rsidRPr="00C00613">
              <w:rPr>
                <w:sz w:val="20"/>
                <w:szCs w:val="20"/>
              </w:rPr>
              <w:t>(0.45)</w:t>
            </w:r>
          </w:p>
        </w:tc>
        <w:tc>
          <w:tcPr>
            <w:tcW w:w="0" w:type="auto"/>
            <w:hideMark/>
          </w:tcPr>
          <w:p w14:paraId="4A83365B" w14:textId="77777777" w:rsidR="00D66CE0" w:rsidRPr="00C00613" w:rsidRDefault="00D66CE0" w:rsidP="00954E22">
            <w:pPr>
              <w:pStyle w:val="NoSpacing"/>
              <w:rPr>
                <w:sz w:val="20"/>
                <w:szCs w:val="20"/>
              </w:rPr>
            </w:pPr>
          </w:p>
        </w:tc>
      </w:tr>
      <w:tr w:rsidR="00C00613" w:rsidRPr="00C00613" w14:paraId="5C2E303B" w14:textId="77777777" w:rsidTr="00C00613">
        <w:tc>
          <w:tcPr>
            <w:tcW w:w="0" w:type="auto"/>
            <w:hideMark/>
          </w:tcPr>
          <w:p w14:paraId="0A2B5179" w14:textId="77777777" w:rsidR="00D66CE0" w:rsidRPr="00C00613" w:rsidRDefault="00D66CE0" w:rsidP="00954E22">
            <w:pPr>
              <w:pStyle w:val="NoSpacing"/>
              <w:rPr>
                <w:sz w:val="20"/>
                <w:szCs w:val="20"/>
              </w:rPr>
            </w:pPr>
            <w:r w:rsidRPr="00C00613">
              <w:rPr>
                <w:sz w:val="20"/>
                <w:szCs w:val="20"/>
              </w:rPr>
              <w:t>Sales growth</w:t>
            </w:r>
          </w:p>
        </w:tc>
        <w:tc>
          <w:tcPr>
            <w:tcW w:w="0" w:type="auto"/>
            <w:hideMark/>
          </w:tcPr>
          <w:p w14:paraId="3AE15444" w14:textId="77777777" w:rsidR="00D66CE0" w:rsidRPr="00C00613" w:rsidRDefault="00D66CE0" w:rsidP="00954E22">
            <w:pPr>
              <w:pStyle w:val="NoSpacing"/>
              <w:rPr>
                <w:sz w:val="20"/>
                <w:szCs w:val="20"/>
              </w:rPr>
            </w:pPr>
            <w:r w:rsidRPr="00C00613">
              <w:rPr>
                <w:sz w:val="20"/>
                <w:szCs w:val="20"/>
              </w:rPr>
              <w:t>0.01</w:t>
            </w:r>
          </w:p>
        </w:tc>
        <w:tc>
          <w:tcPr>
            <w:tcW w:w="0" w:type="auto"/>
            <w:hideMark/>
          </w:tcPr>
          <w:p w14:paraId="716A8F37" w14:textId="77777777" w:rsidR="00D66CE0" w:rsidRPr="00C00613" w:rsidRDefault="00D66CE0" w:rsidP="00954E22">
            <w:pPr>
              <w:pStyle w:val="NoSpacing"/>
              <w:rPr>
                <w:sz w:val="20"/>
                <w:szCs w:val="20"/>
              </w:rPr>
            </w:pPr>
            <w:r w:rsidRPr="00C00613">
              <w:rPr>
                <w:sz w:val="20"/>
                <w:szCs w:val="20"/>
              </w:rPr>
              <w:t>(0.04)</w:t>
            </w:r>
          </w:p>
        </w:tc>
        <w:tc>
          <w:tcPr>
            <w:tcW w:w="0" w:type="auto"/>
            <w:hideMark/>
          </w:tcPr>
          <w:p w14:paraId="20051B02" w14:textId="1E84CA54" w:rsidR="00D66CE0" w:rsidRPr="00C00613" w:rsidRDefault="00D66CE0" w:rsidP="00954E22">
            <w:pPr>
              <w:pStyle w:val="NoSpacing"/>
              <w:rPr>
                <w:sz w:val="20"/>
                <w:szCs w:val="20"/>
              </w:rPr>
            </w:pPr>
            <w:r w:rsidRPr="00C00613">
              <w:rPr>
                <w:sz w:val="20"/>
                <w:szCs w:val="20"/>
              </w:rPr>
              <w:t>0.31**</w:t>
            </w:r>
          </w:p>
        </w:tc>
        <w:tc>
          <w:tcPr>
            <w:tcW w:w="0" w:type="auto"/>
            <w:hideMark/>
          </w:tcPr>
          <w:p w14:paraId="7EE9D019" w14:textId="77777777" w:rsidR="00D66CE0" w:rsidRPr="00C00613" w:rsidRDefault="00D66CE0" w:rsidP="00954E22">
            <w:pPr>
              <w:pStyle w:val="NoSpacing"/>
              <w:rPr>
                <w:sz w:val="20"/>
                <w:szCs w:val="20"/>
              </w:rPr>
            </w:pPr>
            <w:r w:rsidRPr="00C00613">
              <w:rPr>
                <w:sz w:val="20"/>
                <w:szCs w:val="20"/>
              </w:rPr>
              <w:t>(0.04)</w:t>
            </w:r>
          </w:p>
        </w:tc>
        <w:tc>
          <w:tcPr>
            <w:tcW w:w="0" w:type="auto"/>
            <w:hideMark/>
          </w:tcPr>
          <w:p w14:paraId="6AE14E02" w14:textId="7AA210C3" w:rsidR="00D66CE0" w:rsidRPr="00C00613" w:rsidRDefault="00D66CE0" w:rsidP="00954E22">
            <w:pPr>
              <w:pStyle w:val="NoSpacing"/>
              <w:rPr>
                <w:sz w:val="20"/>
                <w:szCs w:val="20"/>
              </w:rPr>
            </w:pPr>
            <w:r w:rsidRPr="00C00613">
              <w:rPr>
                <w:sz w:val="20"/>
                <w:szCs w:val="20"/>
              </w:rPr>
              <w:t>− 0.13*</w:t>
            </w:r>
          </w:p>
        </w:tc>
        <w:tc>
          <w:tcPr>
            <w:tcW w:w="0" w:type="auto"/>
            <w:hideMark/>
          </w:tcPr>
          <w:p w14:paraId="607A978A" w14:textId="77777777" w:rsidR="00D66CE0" w:rsidRPr="00C00613" w:rsidRDefault="00D66CE0" w:rsidP="00954E22">
            <w:pPr>
              <w:pStyle w:val="NoSpacing"/>
              <w:rPr>
                <w:sz w:val="20"/>
                <w:szCs w:val="20"/>
              </w:rPr>
            </w:pPr>
            <w:r w:rsidRPr="00C00613">
              <w:rPr>
                <w:sz w:val="20"/>
                <w:szCs w:val="20"/>
              </w:rPr>
              <w:t>(0.08)</w:t>
            </w:r>
          </w:p>
        </w:tc>
        <w:tc>
          <w:tcPr>
            <w:tcW w:w="0" w:type="auto"/>
            <w:hideMark/>
          </w:tcPr>
          <w:p w14:paraId="5A1469DD" w14:textId="77777777" w:rsidR="00D66CE0" w:rsidRPr="00C00613" w:rsidRDefault="00D66CE0" w:rsidP="00954E22">
            <w:pPr>
              <w:pStyle w:val="NoSpacing"/>
              <w:rPr>
                <w:sz w:val="20"/>
                <w:szCs w:val="20"/>
              </w:rPr>
            </w:pPr>
          </w:p>
        </w:tc>
      </w:tr>
      <w:tr w:rsidR="00C00613" w:rsidRPr="00C00613" w14:paraId="514554CE" w14:textId="77777777" w:rsidTr="00C00613">
        <w:tc>
          <w:tcPr>
            <w:tcW w:w="0" w:type="auto"/>
            <w:hideMark/>
          </w:tcPr>
          <w:p w14:paraId="72FD2551" w14:textId="77777777" w:rsidR="00D66CE0" w:rsidRPr="00C00613" w:rsidRDefault="00D66CE0" w:rsidP="00954E22">
            <w:pPr>
              <w:pStyle w:val="NoSpacing"/>
              <w:rPr>
                <w:sz w:val="20"/>
                <w:szCs w:val="20"/>
              </w:rPr>
            </w:pPr>
            <w:r w:rsidRPr="00C00613">
              <w:rPr>
                <w:sz w:val="20"/>
                <w:szCs w:val="20"/>
              </w:rPr>
              <w:t>Employee growth</w:t>
            </w:r>
          </w:p>
        </w:tc>
        <w:tc>
          <w:tcPr>
            <w:tcW w:w="0" w:type="auto"/>
            <w:hideMark/>
          </w:tcPr>
          <w:p w14:paraId="748D851D" w14:textId="5FC43266" w:rsidR="00D66CE0" w:rsidRPr="00C00613" w:rsidRDefault="00D66CE0" w:rsidP="00954E22">
            <w:pPr>
              <w:pStyle w:val="NoSpacing"/>
              <w:rPr>
                <w:sz w:val="20"/>
                <w:szCs w:val="20"/>
              </w:rPr>
            </w:pPr>
            <w:r w:rsidRPr="00C00613">
              <w:rPr>
                <w:sz w:val="20"/>
                <w:szCs w:val="20"/>
              </w:rPr>
              <w:t>− 0.08*</w:t>
            </w:r>
          </w:p>
        </w:tc>
        <w:tc>
          <w:tcPr>
            <w:tcW w:w="0" w:type="auto"/>
            <w:hideMark/>
          </w:tcPr>
          <w:p w14:paraId="7438B0ED" w14:textId="77777777" w:rsidR="00D66CE0" w:rsidRPr="00C00613" w:rsidRDefault="00D66CE0" w:rsidP="00954E22">
            <w:pPr>
              <w:pStyle w:val="NoSpacing"/>
              <w:rPr>
                <w:sz w:val="20"/>
                <w:szCs w:val="20"/>
              </w:rPr>
            </w:pPr>
            <w:r w:rsidRPr="00C00613">
              <w:rPr>
                <w:sz w:val="20"/>
                <w:szCs w:val="20"/>
              </w:rPr>
              <w:t>(0.04)</w:t>
            </w:r>
          </w:p>
        </w:tc>
        <w:tc>
          <w:tcPr>
            <w:tcW w:w="0" w:type="auto"/>
            <w:hideMark/>
          </w:tcPr>
          <w:p w14:paraId="3DE87CFE" w14:textId="3F22A644" w:rsidR="00D66CE0" w:rsidRPr="00C00613" w:rsidRDefault="00D66CE0" w:rsidP="00954E22">
            <w:pPr>
              <w:pStyle w:val="NoSpacing"/>
              <w:rPr>
                <w:sz w:val="20"/>
                <w:szCs w:val="20"/>
              </w:rPr>
            </w:pPr>
            <w:r w:rsidRPr="00C00613">
              <w:rPr>
                <w:sz w:val="20"/>
                <w:szCs w:val="20"/>
              </w:rPr>
              <w:t>− 0.08*</w:t>
            </w:r>
          </w:p>
        </w:tc>
        <w:tc>
          <w:tcPr>
            <w:tcW w:w="0" w:type="auto"/>
            <w:hideMark/>
          </w:tcPr>
          <w:p w14:paraId="1B0FF0B8" w14:textId="77777777" w:rsidR="00D66CE0" w:rsidRPr="00C00613" w:rsidRDefault="00D66CE0" w:rsidP="00954E22">
            <w:pPr>
              <w:pStyle w:val="NoSpacing"/>
              <w:rPr>
                <w:sz w:val="20"/>
                <w:szCs w:val="20"/>
              </w:rPr>
            </w:pPr>
            <w:r w:rsidRPr="00C00613">
              <w:rPr>
                <w:sz w:val="20"/>
                <w:szCs w:val="20"/>
              </w:rPr>
              <w:t>(0.04)</w:t>
            </w:r>
          </w:p>
        </w:tc>
        <w:tc>
          <w:tcPr>
            <w:tcW w:w="0" w:type="auto"/>
            <w:hideMark/>
          </w:tcPr>
          <w:p w14:paraId="4D929185" w14:textId="77777777" w:rsidR="00D66CE0" w:rsidRPr="00C00613" w:rsidRDefault="00D66CE0" w:rsidP="00954E22">
            <w:pPr>
              <w:pStyle w:val="NoSpacing"/>
              <w:rPr>
                <w:sz w:val="20"/>
                <w:szCs w:val="20"/>
              </w:rPr>
            </w:pPr>
            <w:r w:rsidRPr="00C00613">
              <w:rPr>
                <w:sz w:val="20"/>
                <w:szCs w:val="20"/>
              </w:rPr>
              <w:t>0.07</w:t>
            </w:r>
          </w:p>
        </w:tc>
        <w:tc>
          <w:tcPr>
            <w:tcW w:w="0" w:type="auto"/>
            <w:hideMark/>
          </w:tcPr>
          <w:p w14:paraId="0AE56A85" w14:textId="77777777" w:rsidR="00D66CE0" w:rsidRPr="00C00613" w:rsidRDefault="00D66CE0" w:rsidP="00954E22">
            <w:pPr>
              <w:pStyle w:val="NoSpacing"/>
              <w:rPr>
                <w:sz w:val="20"/>
                <w:szCs w:val="20"/>
              </w:rPr>
            </w:pPr>
            <w:r w:rsidRPr="00C00613">
              <w:rPr>
                <w:sz w:val="20"/>
                <w:szCs w:val="20"/>
              </w:rPr>
              <w:t>(0.08)</w:t>
            </w:r>
          </w:p>
        </w:tc>
        <w:tc>
          <w:tcPr>
            <w:tcW w:w="0" w:type="auto"/>
            <w:hideMark/>
          </w:tcPr>
          <w:p w14:paraId="1E342392" w14:textId="77777777" w:rsidR="00D66CE0" w:rsidRPr="00C00613" w:rsidRDefault="00D66CE0" w:rsidP="00954E22">
            <w:pPr>
              <w:pStyle w:val="NoSpacing"/>
              <w:rPr>
                <w:sz w:val="20"/>
                <w:szCs w:val="20"/>
              </w:rPr>
            </w:pPr>
          </w:p>
        </w:tc>
      </w:tr>
      <w:tr w:rsidR="00C00613" w:rsidRPr="00C00613" w14:paraId="21053F1B" w14:textId="77777777" w:rsidTr="00C00613">
        <w:tc>
          <w:tcPr>
            <w:tcW w:w="0" w:type="auto"/>
            <w:hideMark/>
          </w:tcPr>
          <w:p w14:paraId="6BD34896" w14:textId="77777777" w:rsidR="00D66CE0" w:rsidRPr="00C00613" w:rsidRDefault="00D66CE0" w:rsidP="00954E22">
            <w:pPr>
              <w:pStyle w:val="NoSpacing"/>
              <w:rPr>
                <w:sz w:val="20"/>
                <w:szCs w:val="20"/>
              </w:rPr>
            </w:pPr>
            <w:r w:rsidRPr="00C00613">
              <w:rPr>
                <w:sz w:val="20"/>
                <w:szCs w:val="20"/>
              </w:rPr>
              <w:t>Capital intensity</w:t>
            </w:r>
          </w:p>
        </w:tc>
        <w:tc>
          <w:tcPr>
            <w:tcW w:w="0" w:type="auto"/>
            <w:hideMark/>
          </w:tcPr>
          <w:p w14:paraId="239495F5" w14:textId="05241FE3" w:rsidR="00D66CE0" w:rsidRPr="00C00613" w:rsidRDefault="00D66CE0" w:rsidP="00954E22">
            <w:pPr>
              <w:pStyle w:val="NoSpacing"/>
              <w:rPr>
                <w:sz w:val="20"/>
                <w:szCs w:val="20"/>
              </w:rPr>
            </w:pPr>
            <w:r w:rsidRPr="00C00613">
              <w:rPr>
                <w:sz w:val="20"/>
                <w:szCs w:val="20"/>
              </w:rPr>
              <w:t>0.39**</w:t>
            </w:r>
          </w:p>
        </w:tc>
        <w:tc>
          <w:tcPr>
            <w:tcW w:w="0" w:type="auto"/>
            <w:hideMark/>
          </w:tcPr>
          <w:p w14:paraId="1649AE66" w14:textId="77777777" w:rsidR="00D66CE0" w:rsidRPr="00C00613" w:rsidRDefault="00D66CE0" w:rsidP="00954E22">
            <w:pPr>
              <w:pStyle w:val="NoSpacing"/>
              <w:rPr>
                <w:sz w:val="20"/>
                <w:szCs w:val="20"/>
              </w:rPr>
            </w:pPr>
            <w:r w:rsidRPr="00C00613">
              <w:rPr>
                <w:sz w:val="20"/>
                <w:szCs w:val="20"/>
              </w:rPr>
              <w:t>(0.16)</w:t>
            </w:r>
          </w:p>
        </w:tc>
        <w:tc>
          <w:tcPr>
            <w:tcW w:w="0" w:type="auto"/>
            <w:hideMark/>
          </w:tcPr>
          <w:p w14:paraId="23B44317" w14:textId="77777777" w:rsidR="00D66CE0" w:rsidRPr="00C00613" w:rsidRDefault="00D66CE0" w:rsidP="00954E22">
            <w:pPr>
              <w:pStyle w:val="NoSpacing"/>
              <w:rPr>
                <w:sz w:val="20"/>
                <w:szCs w:val="20"/>
              </w:rPr>
            </w:pPr>
            <w:r w:rsidRPr="00C00613">
              <w:rPr>
                <w:sz w:val="20"/>
                <w:szCs w:val="20"/>
              </w:rPr>
              <w:t>0.24†</w:t>
            </w:r>
          </w:p>
        </w:tc>
        <w:tc>
          <w:tcPr>
            <w:tcW w:w="0" w:type="auto"/>
            <w:hideMark/>
          </w:tcPr>
          <w:p w14:paraId="557EA07F" w14:textId="77777777" w:rsidR="00D66CE0" w:rsidRPr="00C00613" w:rsidRDefault="00D66CE0" w:rsidP="00954E22">
            <w:pPr>
              <w:pStyle w:val="NoSpacing"/>
              <w:rPr>
                <w:sz w:val="20"/>
                <w:szCs w:val="20"/>
              </w:rPr>
            </w:pPr>
            <w:r w:rsidRPr="00C00613">
              <w:rPr>
                <w:sz w:val="20"/>
                <w:szCs w:val="20"/>
              </w:rPr>
              <w:t>(0.15)</w:t>
            </w:r>
          </w:p>
        </w:tc>
        <w:tc>
          <w:tcPr>
            <w:tcW w:w="0" w:type="auto"/>
            <w:hideMark/>
          </w:tcPr>
          <w:p w14:paraId="75E00B7D" w14:textId="77777777" w:rsidR="00D66CE0" w:rsidRPr="00C00613" w:rsidRDefault="00D66CE0" w:rsidP="00954E22">
            <w:pPr>
              <w:pStyle w:val="NoSpacing"/>
              <w:rPr>
                <w:sz w:val="20"/>
                <w:szCs w:val="20"/>
              </w:rPr>
            </w:pPr>
            <w:r w:rsidRPr="00C00613">
              <w:rPr>
                <w:sz w:val="20"/>
                <w:szCs w:val="20"/>
              </w:rPr>
              <w:t>− 0.16</w:t>
            </w:r>
          </w:p>
        </w:tc>
        <w:tc>
          <w:tcPr>
            <w:tcW w:w="0" w:type="auto"/>
            <w:hideMark/>
          </w:tcPr>
          <w:p w14:paraId="2F25B512" w14:textId="77777777" w:rsidR="00D66CE0" w:rsidRPr="00C00613" w:rsidRDefault="00D66CE0" w:rsidP="00954E22">
            <w:pPr>
              <w:pStyle w:val="NoSpacing"/>
              <w:rPr>
                <w:sz w:val="20"/>
                <w:szCs w:val="20"/>
              </w:rPr>
            </w:pPr>
            <w:r w:rsidRPr="00C00613">
              <w:rPr>
                <w:sz w:val="20"/>
                <w:szCs w:val="20"/>
              </w:rPr>
              <w:t>(0.32)</w:t>
            </w:r>
          </w:p>
        </w:tc>
        <w:tc>
          <w:tcPr>
            <w:tcW w:w="0" w:type="auto"/>
            <w:hideMark/>
          </w:tcPr>
          <w:p w14:paraId="54A0345A" w14:textId="77777777" w:rsidR="00D66CE0" w:rsidRPr="00C00613" w:rsidRDefault="00D66CE0" w:rsidP="00954E22">
            <w:pPr>
              <w:pStyle w:val="NoSpacing"/>
              <w:rPr>
                <w:sz w:val="20"/>
                <w:szCs w:val="20"/>
              </w:rPr>
            </w:pPr>
          </w:p>
        </w:tc>
      </w:tr>
      <w:tr w:rsidR="00C00613" w:rsidRPr="00C00613" w14:paraId="5F6FFA92" w14:textId="77777777" w:rsidTr="00C00613">
        <w:tc>
          <w:tcPr>
            <w:tcW w:w="0" w:type="auto"/>
            <w:hideMark/>
          </w:tcPr>
          <w:p w14:paraId="6152C38D" w14:textId="77777777" w:rsidR="00D66CE0" w:rsidRPr="00C00613" w:rsidRDefault="00D66CE0" w:rsidP="00954E22">
            <w:pPr>
              <w:pStyle w:val="NoSpacing"/>
              <w:rPr>
                <w:sz w:val="20"/>
                <w:szCs w:val="20"/>
              </w:rPr>
            </w:pPr>
            <w:r w:rsidRPr="00C00613">
              <w:rPr>
                <w:sz w:val="20"/>
                <w:szCs w:val="20"/>
              </w:rPr>
              <w:t>Asset turnover</w:t>
            </w:r>
          </w:p>
        </w:tc>
        <w:tc>
          <w:tcPr>
            <w:tcW w:w="0" w:type="auto"/>
            <w:hideMark/>
          </w:tcPr>
          <w:p w14:paraId="3F24E2C5" w14:textId="41726D85" w:rsidR="00D66CE0" w:rsidRPr="00C00613" w:rsidRDefault="00D66CE0" w:rsidP="00954E22">
            <w:pPr>
              <w:pStyle w:val="NoSpacing"/>
              <w:rPr>
                <w:sz w:val="20"/>
                <w:szCs w:val="20"/>
              </w:rPr>
            </w:pPr>
            <w:r w:rsidRPr="00C00613">
              <w:rPr>
                <w:sz w:val="20"/>
                <w:szCs w:val="20"/>
              </w:rPr>
              <w:t>− 0.21**</w:t>
            </w:r>
          </w:p>
        </w:tc>
        <w:tc>
          <w:tcPr>
            <w:tcW w:w="0" w:type="auto"/>
            <w:hideMark/>
          </w:tcPr>
          <w:p w14:paraId="051C84A6" w14:textId="77777777" w:rsidR="00D66CE0" w:rsidRPr="00C00613" w:rsidRDefault="00D66CE0" w:rsidP="00954E22">
            <w:pPr>
              <w:pStyle w:val="NoSpacing"/>
              <w:rPr>
                <w:sz w:val="20"/>
                <w:szCs w:val="20"/>
              </w:rPr>
            </w:pPr>
            <w:r w:rsidRPr="00C00613">
              <w:rPr>
                <w:sz w:val="20"/>
                <w:szCs w:val="20"/>
              </w:rPr>
              <w:t>(0.08)</w:t>
            </w:r>
          </w:p>
        </w:tc>
        <w:tc>
          <w:tcPr>
            <w:tcW w:w="0" w:type="auto"/>
            <w:hideMark/>
          </w:tcPr>
          <w:p w14:paraId="3219890E" w14:textId="77777777" w:rsidR="00D66CE0" w:rsidRPr="00C00613" w:rsidRDefault="00D66CE0" w:rsidP="00954E22">
            <w:pPr>
              <w:pStyle w:val="NoSpacing"/>
              <w:rPr>
                <w:sz w:val="20"/>
                <w:szCs w:val="20"/>
              </w:rPr>
            </w:pPr>
            <w:r w:rsidRPr="00C00613">
              <w:rPr>
                <w:sz w:val="20"/>
                <w:szCs w:val="20"/>
              </w:rPr>
              <w:t>− 0.04</w:t>
            </w:r>
          </w:p>
        </w:tc>
        <w:tc>
          <w:tcPr>
            <w:tcW w:w="0" w:type="auto"/>
            <w:hideMark/>
          </w:tcPr>
          <w:p w14:paraId="18ABB322" w14:textId="77777777" w:rsidR="00D66CE0" w:rsidRPr="00C00613" w:rsidRDefault="00D66CE0" w:rsidP="00954E22">
            <w:pPr>
              <w:pStyle w:val="NoSpacing"/>
              <w:rPr>
                <w:sz w:val="20"/>
                <w:szCs w:val="20"/>
              </w:rPr>
            </w:pPr>
            <w:r w:rsidRPr="00C00613">
              <w:rPr>
                <w:sz w:val="20"/>
                <w:szCs w:val="20"/>
              </w:rPr>
              <w:t>(0.05)</w:t>
            </w:r>
          </w:p>
        </w:tc>
        <w:tc>
          <w:tcPr>
            <w:tcW w:w="0" w:type="auto"/>
            <w:hideMark/>
          </w:tcPr>
          <w:p w14:paraId="0E03D90D" w14:textId="77777777" w:rsidR="00D66CE0" w:rsidRPr="00C00613" w:rsidRDefault="00D66CE0" w:rsidP="00954E22">
            <w:pPr>
              <w:pStyle w:val="NoSpacing"/>
              <w:rPr>
                <w:sz w:val="20"/>
                <w:szCs w:val="20"/>
              </w:rPr>
            </w:pPr>
            <w:r w:rsidRPr="00C00613">
              <w:rPr>
                <w:sz w:val="20"/>
                <w:szCs w:val="20"/>
              </w:rPr>
              <w:t>− 0.19†</w:t>
            </w:r>
          </w:p>
        </w:tc>
        <w:tc>
          <w:tcPr>
            <w:tcW w:w="0" w:type="auto"/>
            <w:hideMark/>
          </w:tcPr>
          <w:p w14:paraId="44AA75F4" w14:textId="77777777" w:rsidR="00D66CE0" w:rsidRPr="00C00613" w:rsidRDefault="00D66CE0" w:rsidP="00954E22">
            <w:pPr>
              <w:pStyle w:val="NoSpacing"/>
              <w:rPr>
                <w:sz w:val="20"/>
                <w:szCs w:val="20"/>
              </w:rPr>
            </w:pPr>
            <w:r w:rsidRPr="00C00613">
              <w:rPr>
                <w:sz w:val="20"/>
                <w:szCs w:val="20"/>
              </w:rPr>
              <w:t>(0.12)</w:t>
            </w:r>
          </w:p>
        </w:tc>
        <w:tc>
          <w:tcPr>
            <w:tcW w:w="0" w:type="auto"/>
            <w:hideMark/>
          </w:tcPr>
          <w:p w14:paraId="5A7BEE40" w14:textId="77777777" w:rsidR="00D66CE0" w:rsidRPr="00C00613" w:rsidRDefault="00D66CE0" w:rsidP="00954E22">
            <w:pPr>
              <w:pStyle w:val="NoSpacing"/>
              <w:rPr>
                <w:sz w:val="20"/>
                <w:szCs w:val="20"/>
              </w:rPr>
            </w:pPr>
          </w:p>
        </w:tc>
      </w:tr>
      <w:tr w:rsidR="00C00613" w:rsidRPr="00C00613" w14:paraId="02707E84" w14:textId="77777777" w:rsidTr="00C00613">
        <w:tc>
          <w:tcPr>
            <w:tcW w:w="0" w:type="auto"/>
            <w:hideMark/>
          </w:tcPr>
          <w:p w14:paraId="65EC8D67" w14:textId="77777777" w:rsidR="00D66CE0" w:rsidRPr="00C00613" w:rsidRDefault="00D66CE0" w:rsidP="00954E22">
            <w:pPr>
              <w:pStyle w:val="NoSpacing"/>
              <w:rPr>
                <w:sz w:val="20"/>
                <w:szCs w:val="20"/>
              </w:rPr>
            </w:pPr>
            <w:r w:rsidRPr="00C00613">
              <w:rPr>
                <w:sz w:val="20"/>
                <w:szCs w:val="20"/>
              </w:rPr>
              <w:t>Number of acquisitions in wave</w:t>
            </w:r>
          </w:p>
        </w:tc>
        <w:tc>
          <w:tcPr>
            <w:tcW w:w="0" w:type="auto"/>
            <w:hideMark/>
          </w:tcPr>
          <w:p w14:paraId="3EF98481" w14:textId="10CDDB27" w:rsidR="00D66CE0" w:rsidRPr="00C00613" w:rsidRDefault="00D66CE0" w:rsidP="00954E22">
            <w:pPr>
              <w:pStyle w:val="NoSpacing"/>
              <w:rPr>
                <w:sz w:val="20"/>
                <w:szCs w:val="20"/>
              </w:rPr>
            </w:pPr>
            <w:r w:rsidRPr="00C00613">
              <w:rPr>
                <w:sz w:val="20"/>
                <w:szCs w:val="20"/>
              </w:rPr>
              <w:t>− 0.03**</w:t>
            </w:r>
          </w:p>
        </w:tc>
        <w:tc>
          <w:tcPr>
            <w:tcW w:w="0" w:type="auto"/>
            <w:hideMark/>
          </w:tcPr>
          <w:p w14:paraId="055D2BC6" w14:textId="77777777" w:rsidR="00D66CE0" w:rsidRPr="00C00613" w:rsidRDefault="00D66CE0" w:rsidP="00954E22">
            <w:pPr>
              <w:pStyle w:val="NoSpacing"/>
              <w:rPr>
                <w:sz w:val="20"/>
                <w:szCs w:val="20"/>
              </w:rPr>
            </w:pPr>
            <w:r w:rsidRPr="00C00613">
              <w:rPr>
                <w:sz w:val="20"/>
                <w:szCs w:val="20"/>
              </w:rPr>
              <w:t>(0.01)</w:t>
            </w:r>
          </w:p>
        </w:tc>
        <w:tc>
          <w:tcPr>
            <w:tcW w:w="0" w:type="auto"/>
            <w:hideMark/>
          </w:tcPr>
          <w:p w14:paraId="6264F56A" w14:textId="1D8C35DE" w:rsidR="00D66CE0" w:rsidRPr="00C00613" w:rsidRDefault="00D66CE0" w:rsidP="00954E22">
            <w:pPr>
              <w:pStyle w:val="NoSpacing"/>
              <w:rPr>
                <w:sz w:val="20"/>
                <w:szCs w:val="20"/>
              </w:rPr>
            </w:pPr>
            <w:r w:rsidRPr="00C00613">
              <w:rPr>
                <w:sz w:val="20"/>
                <w:szCs w:val="20"/>
              </w:rPr>
              <w:t>− 0.02**</w:t>
            </w:r>
          </w:p>
        </w:tc>
        <w:tc>
          <w:tcPr>
            <w:tcW w:w="0" w:type="auto"/>
            <w:hideMark/>
          </w:tcPr>
          <w:p w14:paraId="5627BCF9" w14:textId="77777777" w:rsidR="00D66CE0" w:rsidRPr="00C00613" w:rsidRDefault="00D66CE0" w:rsidP="00954E22">
            <w:pPr>
              <w:pStyle w:val="NoSpacing"/>
              <w:rPr>
                <w:sz w:val="20"/>
                <w:szCs w:val="20"/>
              </w:rPr>
            </w:pPr>
            <w:r w:rsidRPr="00C00613">
              <w:rPr>
                <w:sz w:val="20"/>
                <w:szCs w:val="20"/>
              </w:rPr>
              <w:t>(0.01)</w:t>
            </w:r>
          </w:p>
        </w:tc>
        <w:tc>
          <w:tcPr>
            <w:tcW w:w="0" w:type="auto"/>
            <w:hideMark/>
          </w:tcPr>
          <w:p w14:paraId="4D8971A6" w14:textId="5C2CABD7" w:rsidR="00D66CE0" w:rsidRPr="00C00613" w:rsidRDefault="00D66CE0" w:rsidP="00954E22">
            <w:pPr>
              <w:pStyle w:val="NoSpacing"/>
              <w:rPr>
                <w:sz w:val="20"/>
                <w:szCs w:val="20"/>
              </w:rPr>
            </w:pPr>
            <w:r w:rsidRPr="00C00613">
              <w:rPr>
                <w:sz w:val="20"/>
                <w:szCs w:val="20"/>
              </w:rPr>
              <w:t>− 0.12**</w:t>
            </w:r>
          </w:p>
        </w:tc>
        <w:tc>
          <w:tcPr>
            <w:tcW w:w="0" w:type="auto"/>
            <w:hideMark/>
          </w:tcPr>
          <w:p w14:paraId="2CD9DB4D" w14:textId="77777777" w:rsidR="00D66CE0" w:rsidRPr="00C00613" w:rsidRDefault="00D66CE0" w:rsidP="00954E22">
            <w:pPr>
              <w:pStyle w:val="NoSpacing"/>
              <w:rPr>
                <w:sz w:val="20"/>
                <w:szCs w:val="20"/>
              </w:rPr>
            </w:pPr>
            <w:r w:rsidRPr="00C00613">
              <w:rPr>
                <w:sz w:val="20"/>
                <w:szCs w:val="20"/>
              </w:rPr>
              <w:t>(0.02)</w:t>
            </w:r>
          </w:p>
        </w:tc>
        <w:tc>
          <w:tcPr>
            <w:tcW w:w="0" w:type="auto"/>
            <w:hideMark/>
          </w:tcPr>
          <w:p w14:paraId="3CBEE553" w14:textId="77777777" w:rsidR="00D66CE0" w:rsidRPr="00C00613" w:rsidRDefault="00D66CE0" w:rsidP="00954E22">
            <w:pPr>
              <w:pStyle w:val="NoSpacing"/>
              <w:rPr>
                <w:sz w:val="20"/>
                <w:szCs w:val="20"/>
              </w:rPr>
            </w:pPr>
          </w:p>
        </w:tc>
      </w:tr>
      <w:tr w:rsidR="00C00613" w:rsidRPr="00C00613" w14:paraId="6CB82C76" w14:textId="77777777" w:rsidTr="00C00613">
        <w:tc>
          <w:tcPr>
            <w:tcW w:w="0" w:type="auto"/>
            <w:hideMark/>
          </w:tcPr>
          <w:p w14:paraId="30B24DDE" w14:textId="77777777" w:rsidR="00D66CE0" w:rsidRPr="00C00613" w:rsidRDefault="00D66CE0" w:rsidP="00954E22">
            <w:pPr>
              <w:pStyle w:val="NoSpacing"/>
              <w:rPr>
                <w:sz w:val="20"/>
                <w:szCs w:val="20"/>
              </w:rPr>
            </w:pPr>
            <w:r w:rsidRPr="00C00613">
              <w:rPr>
                <w:sz w:val="20"/>
                <w:szCs w:val="20"/>
              </w:rPr>
              <w:t>Strategic orientation of the firm</w:t>
            </w:r>
          </w:p>
        </w:tc>
        <w:tc>
          <w:tcPr>
            <w:tcW w:w="0" w:type="auto"/>
            <w:hideMark/>
          </w:tcPr>
          <w:p w14:paraId="4362152B" w14:textId="77777777" w:rsidR="00D66CE0" w:rsidRPr="00C00613" w:rsidRDefault="00D66CE0" w:rsidP="00954E22">
            <w:pPr>
              <w:pStyle w:val="NoSpacing"/>
              <w:rPr>
                <w:sz w:val="20"/>
                <w:szCs w:val="20"/>
              </w:rPr>
            </w:pPr>
          </w:p>
        </w:tc>
        <w:tc>
          <w:tcPr>
            <w:tcW w:w="0" w:type="auto"/>
            <w:hideMark/>
          </w:tcPr>
          <w:p w14:paraId="24D2E319" w14:textId="77777777" w:rsidR="00D66CE0" w:rsidRPr="00C00613" w:rsidRDefault="00D66CE0" w:rsidP="00954E22">
            <w:pPr>
              <w:pStyle w:val="NoSpacing"/>
              <w:rPr>
                <w:sz w:val="20"/>
                <w:szCs w:val="20"/>
              </w:rPr>
            </w:pPr>
          </w:p>
        </w:tc>
        <w:tc>
          <w:tcPr>
            <w:tcW w:w="0" w:type="auto"/>
            <w:hideMark/>
          </w:tcPr>
          <w:p w14:paraId="495EECB4" w14:textId="77777777" w:rsidR="00D66CE0" w:rsidRPr="00C00613" w:rsidRDefault="00D66CE0" w:rsidP="00954E22">
            <w:pPr>
              <w:pStyle w:val="NoSpacing"/>
              <w:rPr>
                <w:sz w:val="20"/>
                <w:szCs w:val="20"/>
              </w:rPr>
            </w:pPr>
          </w:p>
        </w:tc>
        <w:tc>
          <w:tcPr>
            <w:tcW w:w="0" w:type="auto"/>
            <w:hideMark/>
          </w:tcPr>
          <w:p w14:paraId="59AB9F30" w14:textId="77777777" w:rsidR="00D66CE0" w:rsidRPr="00C00613" w:rsidRDefault="00D66CE0" w:rsidP="00954E22">
            <w:pPr>
              <w:pStyle w:val="NoSpacing"/>
              <w:rPr>
                <w:sz w:val="20"/>
                <w:szCs w:val="20"/>
              </w:rPr>
            </w:pPr>
          </w:p>
        </w:tc>
        <w:tc>
          <w:tcPr>
            <w:tcW w:w="0" w:type="auto"/>
            <w:hideMark/>
          </w:tcPr>
          <w:p w14:paraId="2806E090" w14:textId="77777777" w:rsidR="00D66CE0" w:rsidRPr="00C00613" w:rsidRDefault="00D66CE0" w:rsidP="00954E22">
            <w:pPr>
              <w:pStyle w:val="NoSpacing"/>
              <w:rPr>
                <w:sz w:val="20"/>
                <w:szCs w:val="20"/>
              </w:rPr>
            </w:pPr>
          </w:p>
        </w:tc>
        <w:tc>
          <w:tcPr>
            <w:tcW w:w="0" w:type="auto"/>
            <w:hideMark/>
          </w:tcPr>
          <w:p w14:paraId="2AE1ABE9" w14:textId="77777777" w:rsidR="00D66CE0" w:rsidRPr="00C00613" w:rsidRDefault="00D66CE0" w:rsidP="00954E22">
            <w:pPr>
              <w:pStyle w:val="NoSpacing"/>
              <w:rPr>
                <w:sz w:val="20"/>
                <w:szCs w:val="20"/>
              </w:rPr>
            </w:pPr>
          </w:p>
        </w:tc>
        <w:tc>
          <w:tcPr>
            <w:tcW w:w="0" w:type="auto"/>
            <w:hideMark/>
          </w:tcPr>
          <w:p w14:paraId="2E8CDAF1" w14:textId="77777777" w:rsidR="00D66CE0" w:rsidRPr="00C00613" w:rsidRDefault="00D66CE0" w:rsidP="00954E22">
            <w:pPr>
              <w:pStyle w:val="NoSpacing"/>
              <w:rPr>
                <w:sz w:val="20"/>
                <w:szCs w:val="20"/>
              </w:rPr>
            </w:pPr>
          </w:p>
        </w:tc>
      </w:tr>
      <w:tr w:rsidR="00C00613" w:rsidRPr="00C00613" w14:paraId="37421713" w14:textId="77777777" w:rsidTr="00C00613">
        <w:tc>
          <w:tcPr>
            <w:tcW w:w="0" w:type="auto"/>
            <w:hideMark/>
          </w:tcPr>
          <w:p w14:paraId="708E8DB2" w14:textId="77777777" w:rsidR="00D66CE0" w:rsidRPr="00C00613" w:rsidRDefault="00D66CE0" w:rsidP="00954E22">
            <w:pPr>
              <w:pStyle w:val="NoSpacing"/>
              <w:rPr>
                <w:sz w:val="20"/>
                <w:szCs w:val="20"/>
              </w:rPr>
            </w:pPr>
            <w:r w:rsidRPr="00C00613">
              <w:rPr>
                <w:sz w:val="20"/>
                <w:szCs w:val="20"/>
              </w:rPr>
              <w:t>Technology and marketing intensity</w:t>
            </w:r>
          </w:p>
        </w:tc>
        <w:tc>
          <w:tcPr>
            <w:tcW w:w="0" w:type="auto"/>
            <w:hideMark/>
          </w:tcPr>
          <w:p w14:paraId="27DED5FC" w14:textId="4E0DE4C2" w:rsidR="00D66CE0" w:rsidRPr="00C00613" w:rsidRDefault="00D66CE0" w:rsidP="00954E22">
            <w:pPr>
              <w:pStyle w:val="NoSpacing"/>
              <w:rPr>
                <w:sz w:val="20"/>
                <w:szCs w:val="20"/>
              </w:rPr>
            </w:pPr>
            <w:r w:rsidRPr="00C00613">
              <w:rPr>
                <w:sz w:val="20"/>
                <w:szCs w:val="20"/>
              </w:rPr>
              <w:t>− 1.86**</w:t>
            </w:r>
          </w:p>
        </w:tc>
        <w:tc>
          <w:tcPr>
            <w:tcW w:w="0" w:type="auto"/>
            <w:hideMark/>
          </w:tcPr>
          <w:p w14:paraId="2AC3E2D0" w14:textId="77777777" w:rsidR="00D66CE0" w:rsidRPr="00C00613" w:rsidRDefault="00D66CE0" w:rsidP="00954E22">
            <w:pPr>
              <w:pStyle w:val="NoSpacing"/>
              <w:rPr>
                <w:sz w:val="20"/>
                <w:szCs w:val="20"/>
              </w:rPr>
            </w:pPr>
            <w:r w:rsidRPr="00C00613">
              <w:rPr>
                <w:sz w:val="20"/>
                <w:szCs w:val="20"/>
              </w:rPr>
              <w:t>(0.36)</w:t>
            </w:r>
          </w:p>
        </w:tc>
        <w:tc>
          <w:tcPr>
            <w:tcW w:w="0" w:type="auto"/>
            <w:hideMark/>
          </w:tcPr>
          <w:p w14:paraId="37E11D3B" w14:textId="7366CEBD" w:rsidR="00D66CE0" w:rsidRPr="00C00613" w:rsidRDefault="00D66CE0" w:rsidP="00954E22">
            <w:pPr>
              <w:pStyle w:val="NoSpacing"/>
              <w:rPr>
                <w:sz w:val="20"/>
                <w:szCs w:val="20"/>
              </w:rPr>
            </w:pPr>
            <w:r w:rsidRPr="00C00613">
              <w:rPr>
                <w:sz w:val="20"/>
                <w:szCs w:val="20"/>
              </w:rPr>
              <w:t>− 1.71**</w:t>
            </w:r>
          </w:p>
        </w:tc>
        <w:tc>
          <w:tcPr>
            <w:tcW w:w="0" w:type="auto"/>
            <w:hideMark/>
          </w:tcPr>
          <w:p w14:paraId="522B27D7" w14:textId="77777777" w:rsidR="00D66CE0" w:rsidRPr="00C00613" w:rsidRDefault="00D66CE0" w:rsidP="00954E22">
            <w:pPr>
              <w:pStyle w:val="NoSpacing"/>
              <w:rPr>
                <w:sz w:val="20"/>
                <w:szCs w:val="20"/>
              </w:rPr>
            </w:pPr>
            <w:r w:rsidRPr="00C00613">
              <w:rPr>
                <w:sz w:val="20"/>
                <w:szCs w:val="20"/>
              </w:rPr>
              <w:t>(0.33)</w:t>
            </w:r>
          </w:p>
        </w:tc>
        <w:tc>
          <w:tcPr>
            <w:tcW w:w="0" w:type="auto"/>
            <w:hideMark/>
          </w:tcPr>
          <w:p w14:paraId="5CA440EA" w14:textId="672CBBCA" w:rsidR="00D66CE0" w:rsidRPr="00C00613" w:rsidRDefault="00D66CE0" w:rsidP="00954E22">
            <w:pPr>
              <w:pStyle w:val="NoSpacing"/>
              <w:rPr>
                <w:sz w:val="20"/>
                <w:szCs w:val="20"/>
              </w:rPr>
            </w:pPr>
            <w:r w:rsidRPr="00C00613">
              <w:rPr>
                <w:sz w:val="20"/>
                <w:szCs w:val="20"/>
              </w:rPr>
              <w:t>− 3.90**</w:t>
            </w:r>
          </w:p>
        </w:tc>
        <w:tc>
          <w:tcPr>
            <w:tcW w:w="0" w:type="auto"/>
            <w:hideMark/>
          </w:tcPr>
          <w:p w14:paraId="245B3ABC" w14:textId="77777777" w:rsidR="00D66CE0" w:rsidRPr="00C00613" w:rsidRDefault="00D66CE0" w:rsidP="00954E22">
            <w:pPr>
              <w:pStyle w:val="NoSpacing"/>
              <w:rPr>
                <w:sz w:val="20"/>
                <w:szCs w:val="20"/>
              </w:rPr>
            </w:pPr>
            <w:r w:rsidRPr="00C00613">
              <w:rPr>
                <w:sz w:val="20"/>
                <w:szCs w:val="20"/>
              </w:rPr>
              <w:t>(0.80)</w:t>
            </w:r>
          </w:p>
        </w:tc>
        <w:tc>
          <w:tcPr>
            <w:tcW w:w="0" w:type="auto"/>
            <w:hideMark/>
          </w:tcPr>
          <w:p w14:paraId="5AE8FD16" w14:textId="77777777" w:rsidR="00D66CE0" w:rsidRPr="00C00613" w:rsidRDefault="00D66CE0" w:rsidP="00954E22">
            <w:pPr>
              <w:pStyle w:val="NoSpacing"/>
              <w:rPr>
                <w:sz w:val="20"/>
                <w:szCs w:val="20"/>
              </w:rPr>
            </w:pPr>
            <w:r w:rsidRPr="00C00613">
              <w:rPr>
                <w:sz w:val="20"/>
                <w:szCs w:val="20"/>
              </w:rPr>
              <w:t>H1: Higher levels lead to earlier wave position.</w:t>
            </w:r>
          </w:p>
        </w:tc>
      </w:tr>
      <w:tr w:rsidR="00C00613" w:rsidRPr="00C00613" w14:paraId="759BA720" w14:textId="77777777" w:rsidTr="00C00613">
        <w:tc>
          <w:tcPr>
            <w:tcW w:w="0" w:type="auto"/>
            <w:hideMark/>
          </w:tcPr>
          <w:p w14:paraId="7D7C04D2" w14:textId="77777777" w:rsidR="00D66CE0" w:rsidRPr="00C00613" w:rsidRDefault="00D66CE0" w:rsidP="00954E22">
            <w:pPr>
              <w:pStyle w:val="NoSpacing"/>
              <w:rPr>
                <w:sz w:val="20"/>
                <w:szCs w:val="20"/>
              </w:rPr>
            </w:pPr>
            <w:r w:rsidRPr="00C00613">
              <w:rPr>
                <w:sz w:val="20"/>
                <w:szCs w:val="20"/>
              </w:rPr>
              <w:t>Firm structural elements</w:t>
            </w:r>
          </w:p>
        </w:tc>
        <w:tc>
          <w:tcPr>
            <w:tcW w:w="0" w:type="auto"/>
            <w:hideMark/>
          </w:tcPr>
          <w:p w14:paraId="19D1F316" w14:textId="77777777" w:rsidR="00D66CE0" w:rsidRPr="00C00613" w:rsidRDefault="00D66CE0" w:rsidP="00954E22">
            <w:pPr>
              <w:pStyle w:val="NoSpacing"/>
              <w:rPr>
                <w:sz w:val="20"/>
                <w:szCs w:val="20"/>
              </w:rPr>
            </w:pPr>
          </w:p>
        </w:tc>
        <w:tc>
          <w:tcPr>
            <w:tcW w:w="0" w:type="auto"/>
            <w:hideMark/>
          </w:tcPr>
          <w:p w14:paraId="26676424" w14:textId="77777777" w:rsidR="00D66CE0" w:rsidRPr="00C00613" w:rsidRDefault="00D66CE0" w:rsidP="00954E22">
            <w:pPr>
              <w:pStyle w:val="NoSpacing"/>
              <w:rPr>
                <w:sz w:val="20"/>
                <w:szCs w:val="20"/>
              </w:rPr>
            </w:pPr>
          </w:p>
        </w:tc>
        <w:tc>
          <w:tcPr>
            <w:tcW w:w="0" w:type="auto"/>
            <w:hideMark/>
          </w:tcPr>
          <w:p w14:paraId="6779880D" w14:textId="77777777" w:rsidR="00D66CE0" w:rsidRPr="00C00613" w:rsidRDefault="00D66CE0" w:rsidP="00954E22">
            <w:pPr>
              <w:pStyle w:val="NoSpacing"/>
              <w:rPr>
                <w:sz w:val="20"/>
                <w:szCs w:val="20"/>
              </w:rPr>
            </w:pPr>
          </w:p>
        </w:tc>
        <w:tc>
          <w:tcPr>
            <w:tcW w:w="0" w:type="auto"/>
            <w:hideMark/>
          </w:tcPr>
          <w:p w14:paraId="3C6545CC" w14:textId="77777777" w:rsidR="00D66CE0" w:rsidRPr="00C00613" w:rsidRDefault="00D66CE0" w:rsidP="00954E22">
            <w:pPr>
              <w:pStyle w:val="NoSpacing"/>
              <w:rPr>
                <w:sz w:val="20"/>
                <w:szCs w:val="20"/>
              </w:rPr>
            </w:pPr>
          </w:p>
        </w:tc>
        <w:tc>
          <w:tcPr>
            <w:tcW w:w="0" w:type="auto"/>
            <w:hideMark/>
          </w:tcPr>
          <w:p w14:paraId="14336C3E" w14:textId="77777777" w:rsidR="00D66CE0" w:rsidRPr="00C00613" w:rsidRDefault="00D66CE0" w:rsidP="00954E22">
            <w:pPr>
              <w:pStyle w:val="NoSpacing"/>
              <w:rPr>
                <w:sz w:val="20"/>
                <w:szCs w:val="20"/>
              </w:rPr>
            </w:pPr>
          </w:p>
        </w:tc>
        <w:tc>
          <w:tcPr>
            <w:tcW w:w="0" w:type="auto"/>
            <w:hideMark/>
          </w:tcPr>
          <w:p w14:paraId="13CC44CB" w14:textId="77777777" w:rsidR="00D66CE0" w:rsidRPr="00C00613" w:rsidRDefault="00D66CE0" w:rsidP="00954E22">
            <w:pPr>
              <w:pStyle w:val="NoSpacing"/>
              <w:rPr>
                <w:sz w:val="20"/>
                <w:szCs w:val="20"/>
              </w:rPr>
            </w:pPr>
          </w:p>
        </w:tc>
        <w:tc>
          <w:tcPr>
            <w:tcW w:w="0" w:type="auto"/>
            <w:hideMark/>
          </w:tcPr>
          <w:p w14:paraId="1E77D10D" w14:textId="77777777" w:rsidR="00D66CE0" w:rsidRPr="00C00613" w:rsidRDefault="00D66CE0" w:rsidP="00954E22">
            <w:pPr>
              <w:pStyle w:val="NoSpacing"/>
              <w:rPr>
                <w:sz w:val="20"/>
                <w:szCs w:val="20"/>
              </w:rPr>
            </w:pPr>
          </w:p>
        </w:tc>
      </w:tr>
      <w:tr w:rsidR="00C00613" w:rsidRPr="00C00613" w14:paraId="14CA0D1B" w14:textId="77777777" w:rsidTr="00C00613">
        <w:tc>
          <w:tcPr>
            <w:tcW w:w="0" w:type="auto"/>
            <w:hideMark/>
          </w:tcPr>
          <w:p w14:paraId="6F677ACC" w14:textId="77777777" w:rsidR="00D66CE0" w:rsidRPr="00C00613" w:rsidRDefault="00D66CE0" w:rsidP="00954E22">
            <w:pPr>
              <w:pStyle w:val="NoSpacing"/>
              <w:rPr>
                <w:sz w:val="20"/>
                <w:szCs w:val="20"/>
              </w:rPr>
            </w:pPr>
            <w:r w:rsidRPr="00C00613">
              <w:rPr>
                <w:sz w:val="20"/>
                <w:szCs w:val="20"/>
              </w:rPr>
              <w:t>Firm size</w:t>
            </w:r>
          </w:p>
        </w:tc>
        <w:tc>
          <w:tcPr>
            <w:tcW w:w="0" w:type="auto"/>
            <w:hideMark/>
          </w:tcPr>
          <w:p w14:paraId="6FDECDD5" w14:textId="7906A9DF" w:rsidR="00D66CE0" w:rsidRPr="00C00613" w:rsidRDefault="00D66CE0" w:rsidP="00954E22">
            <w:pPr>
              <w:pStyle w:val="NoSpacing"/>
              <w:rPr>
                <w:sz w:val="20"/>
                <w:szCs w:val="20"/>
              </w:rPr>
            </w:pPr>
            <w:r w:rsidRPr="00C00613">
              <w:rPr>
                <w:sz w:val="20"/>
                <w:szCs w:val="20"/>
              </w:rPr>
              <w:t>0.34**</w:t>
            </w:r>
          </w:p>
        </w:tc>
        <w:tc>
          <w:tcPr>
            <w:tcW w:w="0" w:type="auto"/>
            <w:hideMark/>
          </w:tcPr>
          <w:p w14:paraId="518B499B" w14:textId="77777777" w:rsidR="00D66CE0" w:rsidRPr="00C00613" w:rsidRDefault="00D66CE0" w:rsidP="00954E22">
            <w:pPr>
              <w:pStyle w:val="NoSpacing"/>
              <w:rPr>
                <w:sz w:val="20"/>
                <w:szCs w:val="20"/>
              </w:rPr>
            </w:pPr>
            <w:r w:rsidRPr="00C00613">
              <w:rPr>
                <w:sz w:val="20"/>
                <w:szCs w:val="20"/>
              </w:rPr>
              <w:t>(0.06)</w:t>
            </w:r>
          </w:p>
        </w:tc>
        <w:tc>
          <w:tcPr>
            <w:tcW w:w="0" w:type="auto"/>
            <w:hideMark/>
          </w:tcPr>
          <w:p w14:paraId="6793A86E" w14:textId="7FC07CE7" w:rsidR="00D66CE0" w:rsidRPr="00C00613" w:rsidRDefault="00D66CE0" w:rsidP="00954E22">
            <w:pPr>
              <w:pStyle w:val="NoSpacing"/>
              <w:rPr>
                <w:sz w:val="20"/>
                <w:szCs w:val="20"/>
              </w:rPr>
            </w:pPr>
            <w:r w:rsidRPr="00C00613">
              <w:rPr>
                <w:sz w:val="20"/>
                <w:szCs w:val="20"/>
              </w:rPr>
              <w:t>0.30**</w:t>
            </w:r>
          </w:p>
        </w:tc>
        <w:tc>
          <w:tcPr>
            <w:tcW w:w="0" w:type="auto"/>
            <w:hideMark/>
          </w:tcPr>
          <w:p w14:paraId="26B17E19" w14:textId="77777777" w:rsidR="00D66CE0" w:rsidRPr="00C00613" w:rsidRDefault="00D66CE0" w:rsidP="00954E22">
            <w:pPr>
              <w:pStyle w:val="NoSpacing"/>
              <w:rPr>
                <w:sz w:val="20"/>
                <w:szCs w:val="20"/>
              </w:rPr>
            </w:pPr>
            <w:r w:rsidRPr="00C00613">
              <w:rPr>
                <w:sz w:val="20"/>
                <w:szCs w:val="20"/>
              </w:rPr>
              <w:t>(0.06)</w:t>
            </w:r>
          </w:p>
        </w:tc>
        <w:tc>
          <w:tcPr>
            <w:tcW w:w="0" w:type="auto"/>
            <w:hideMark/>
          </w:tcPr>
          <w:p w14:paraId="023F3B69" w14:textId="77777777" w:rsidR="00D66CE0" w:rsidRPr="00C00613" w:rsidRDefault="00D66CE0" w:rsidP="00954E22">
            <w:pPr>
              <w:pStyle w:val="NoSpacing"/>
              <w:rPr>
                <w:sz w:val="20"/>
                <w:szCs w:val="20"/>
              </w:rPr>
            </w:pPr>
            <w:r w:rsidRPr="00C00613">
              <w:rPr>
                <w:sz w:val="20"/>
                <w:szCs w:val="20"/>
              </w:rPr>
              <w:t>0.16†</w:t>
            </w:r>
          </w:p>
        </w:tc>
        <w:tc>
          <w:tcPr>
            <w:tcW w:w="0" w:type="auto"/>
            <w:hideMark/>
          </w:tcPr>
          <w:p w14:paraId="4ED6D2B5" w14:textId="77777777" w:rsidR="00D66CE0" w:rsidRPr="00C00613" w:rsidRDefault="00D66CE0" w:rsidP="00954E22">
            <w:pPr>
              <w:pStyle w:val="NoSpacing"/>
              <w:rPr>
                <w:sz w:val="20"/>
                <w:szCs w:val="20"/>
              </w:rPr>
            </w:pPr>
            <w:r w:rsidRPr="00C00613">
              <w:rPr>
                <w:sz w:val="20"/>
                <w:szCs w:val="20"/>
              </w:rPr>
              <w:t>(0.11)</w:t>
            </w:r>
          </w:p>
        </w:tc>
        <w:tc>
          <w:tcPr>
            <w:tcW w:w="0" w:type="auto"/>
            <w:hideMark/>
          </w:tcPr>
          <w:p w14:paraId="225E4000" w14:textId="77777777" w:rsidR="00D66CE0" w:rsidRPr="00C00613" w:rsidRDefault="00D66CE0" w:rsidP="00954E22">
            <w:pPr>
              <w:pStyle w:val="NoSpacing"/>
              <w:rPr>
                <w:sz w:val="20"/>
                <w:szCs w:val="20"/>
              </w:rPr>
            </w:pPr>
            <w:r w:rsidRPr="00C00613">
              <w:rPr>
                <w:sz w:val="20"/>
                <w:szCs w:val="20"/>
              </w:rPr>
              <w:t>H2: Larger firms will act later in the wave.</w:t>
            </w:r>
          </w:p>
        </w:tc>
      </w:tr>
      <w:tr w:rsidR="00C00613" w:rsidRPr="00C00613" w14:paraId="60B191A7" w14:textId="77777777" w:rsidTr="00C00613">
        <w:tc>
          <w:tcPr>
            <w:tcW w:w="0" w:type="auto"/>
            <w:hideMark/>
          </w:tcPr>
          <w:p w14:paraId="266574C4" w14:textId="77777777" w:rsidR="00D66CE0" w:rsidRPr="00C00613" w:rsidRDefault="00D66CE0" w:rsidP="00954E22">
            <w:pPr>
              <w:pStyle w:val="NoSpacing"/>
              <w:rPr>
                <w:sz w:val="20"/>
                <w:szCs w:val="20"/>
              </w:rPr>
            </w:pPr>
            <w:r w:rsidRPr="00C00613">
              <w:rPr>
                <w:sz w:val="20"/>
                <w:szCs w:val="20"/>
              </w:rPr>
              <w:t>Level of diversification</w:t>
            </w:r>
          </w:p>
        </w:tc>
        <w:tc>
          <w:tcPr>
            <w:tcW w:w="0" w:type="auto"/>
            <w:hideMark/>
          </w:tcPr>
          <w:p w14:paraId="1D3D4046" w14:textId="33F116DE" w:rsidR="00D66CE0" w:rsidRPr="00C00613" w:rsidRDefault="00D66CE0" w:rsidP="00954E22">
            <w:pPr>
              <w:pStyle w:val="NoSpacing"/>
              <w:rPr>
                <w:sz w:val="20"/>
                <w:szCs w:val="20"/>
              </w:rPr>
            </w:pPr>
            <w:r w:rsidRPr="00C00613">
              <w:rPr>
                <w:sz w:val="20"/>
                <w:szCs w:val="20"/>
              </w:rPr>
              <w:t>0.20**</w:t>
            </w:r>
          </w:p>
        </w:tc>
        <w:tc>
          <w:tcPr>
            <w:tcW w:w="0" w:type="auto"/>
            <w:hideMark/>
          </w:tcPr>
          <w:p w14:paraId="51D77254" w14:textId="77777777" w:rsidR="00D66CE0" w:rsidRPr="00C00613" w:rsidRDefault="00D66CE0" w:rsidP="00954E22">
            <w:pPr>
              <w:pStyle w:val="NoSpacing"/>
              <w:rPr>
                <w:sz w:val="20"/>
                <w:szCs w:val="20"/>
              </w:rPr>
            </w:pPr>
            <w:r w:rsidRPr="00C00613">
              <w:rPr>
                <w:sz w:val="20"/>
                <w:szCs w:val="20"/>
              </w:rPr>
              <w:t>(0.05)</w:t>
            </w:r>
          </w:p>
        </w:tc>
        <w:tc>
          <w:tcPr>
            <w:tcW w:w="0" w:type="auto"/>
            <w:hideMark/>
          </w:tcPr>
          <w:p w14:paraId="5149E37F" w14:textId="7DE405C5" w:rsidR="00D66CE0" w:rsidRPr="00C00613" w:rsidRDefault="00D66CE0" w:rsidP="00954E22">
            <w:pPr>
              <w:pStyle w:val="NoSpacing"/>
              <w:rPr>
                <w:sz w:val="20"/>
                <w:szCs w:val="20"/>
              </w:rPr>
            </w:pPr>
            <w:r w:rsidRPr="00C00613">
              <w:rPr>
                <w:sz w:val="20"/>
                <w:szCs w:val="20"/>
              </w:rPr>
              <w:t>0.22**</w:t>
            </w:r>
          </w:p>
        </w:tc>
        <w:tc>
          <w:tcPr>
            <w:tcW w:w="0" w:type="auto"/>
            <w:hideMark/>
          </w:tcPr>
          <w:p w14:paraId="1AA956F5" w14:textId="77777777" w:rsidR="00D66CE0" w:rsidRPr="00C00613" w:rsidRDefault="00D66CE0" w:rsidP="00954E22">
            <w:pPr>
              <w:pStyle w:val="NoSpacing"/>
              <w:rPr>
                <w:sz w:val="20"/>
                <w:szCs w:val="20"/>
              </w:rPr>
            </w:pPr>
            <w:r w:rsidRPr="00C00613">
              <w:rPr>
                <w:sz w:val="20"/>
                <w:szCs w:val="20"/>
              </w:rPr>
              <w:t>(0.04)</w:t>
            </w:r>
          </w:p>
        </w:tc>
        <w:tc>
          <w:tcPr>
            <w:tcW w:w="0" w:type="auto"/>
            <w:hideMark/>
          </w:tcPr>
          <w:p w14:paraId="6D79A3FB" w14:textId="32F516D5" w:rsidR="00D66CE0" w:rsidRPr="00C00613" w:rsidRDefault="00D66CE0" w:rsidP="00954E22">
            <w:pPr>
              <w:pStyle w:val="NoSpacing"/>
              <w:rPr>
                <w:sz w:val="20"/>
                <w:szCs w:val="20"/>
              </w:rPr>
            </w:pPr>
            <w:r w:rsidRPr="00C00613">
              <w:rPr>
                <w:sz w:val="20"/>
                <w:szCs w:val="20"/>
              </w:rPr>
              <w:t>0.20**</w:t>
            </w:r>
          </w:p>
        </w:tc>
        <w:tc>
          <w:tcPr>
            <w:tcW w:w="0" w:type="auto"/>
            <w:hideMark/>
          </w:tcPr>
          <w:p w14:paraId="6E94D01D" w14:textId="77777777" w:rsidR="00D66CE0" w:rsidRPr="00C00613" w:rsidRDefault="00D66CE0" w:rsidP="00954E22">
            <w:pPr>
              <w:pStyle w:val="NoSpacing"/>
              <w:rPr>
                <w:sz w:val="20"/>
                <w:szCs w:val="20"/>
              </w:rPr>
            </w:pPr>
            <w:r w:rsidRPr="00C00613">
              <w:rPr>
                <w:sz w:val="20"/>
                <w:szCs w:val="20"/>
              </w:rPr>
              <w:t>(0.08)</w:t>
            </w:r>
          </w:p>
        </w:tc>
        <w:tc>
          <w:tcPr>
            <w:tcW w:w="0" w:type="auto"/>
            <w:hideMark/>
          </w:tcPr>
          <w:p w14:paraId="5E00D328" w14:textId="77777777" w:rsidR="00D66CE0" w:rsidRPr="00C00613" w:rsidRDefault="00D66CE0" w:rsidP="00954E22">
            <w:pPr>
              <w:pStyle w:val="NoSpacing"/>
              <w:rPr>
                <w:sz w:val="20"/>
                <w:szCs w:val="20"/>
              </w:rPr>
            </w:pPr>
            <w:r w:rsidRPr="00C00613">
              <w:rPr>
                <w:sz w:val="20"/>
                <w:szCs w:val="20"/>
              </w:rPr>
              <w:t>H3: More diversified firms will act later in wave.</w:t>
            </w:r>
          </w:p>
        </w:tc>
      </w:tr>
      <w:tr w:rsidR="00C00613" w:rsidRPr="00C00613" w14:paraId="006B7D5E" w14:textId="77777777" w:rsidTr="00C00613">
        <w:tc>
          <w:tcPr>
            <w:tcW w:w="0" w:type="auto"/>
            <w:hideMark/>
          </w:tcPr>
          <w:p w14:paraId="172D91A2" w14:textId="77777777" w:rsidR="00D66CE0" w:rsidRPr="00C00613" w:rsidRDefault="00D66CE0" w:rsidP="00954E22">
            <w:pPr>
              <w:pStyle w:val="NoSpacing"/>
              <w:rPr>
                <w:sz w:val="20"/>
                <w:szCs w:val="20"/>
              </w:rPr>
            </w:pPr>
            <w:r w:rsidRPr="00C00613">
              <w:rPr>
                <w:sz w:val="20"/>
                <w:szCs w:val="20"/>
              </w:rPr>
              <w:t>Firm resource endowments</w:t>
            </w:r>
          </w:p>
        </w:tc>
        <w:tc>
          <w:tcPr>
            <w:tcW w:w="0" w:type="auto"/>
            <w:hideMark/>
          </w:tcPr>
          <w:p w14:paraId="4A389EC9" w14:textId="77777777" w:rsidR="00D66CE0" w:rsidRPr="00C00613" w:rsidRDefault="00D66CE0" w:rsidP="00954E22">
            <w:pPr>
              <w:pStyle w:val="NoSpacing"/>
              <w:rPr>
                <w:sz w:val="20"/>
                <w:szCs w:val="20"/>
              </w:rPr>
            </w:pPr>
          </w:p>
        </w:tc>
        <w:tc>
          <w:tcPr>
            <w:tcW w:w="0" w:type="auto"/>
            <w:hideMark/>
          </w:tcPr>
          <w:p w14:paraId="793061ED" w14:textId="77777777" w:rsidR="00D66CE0" w:rsidRPr="00C00613" w:rsidRDefault="00D66CE0" w:rsidP="00954E22">
            <w:pPr>
              <w:pStyle w:val="NoSpacing"/>
              <w:rPr>
                <w:sz w:val="20"/>
                <w:szCs w:val="20"/>
              </w:rPr>
            </w:pPr>
          </w:p>
        </w:tc>
        <w:tc>
          <w:tcPr>
            <w:tcW w:w="0" w:type="auto"/>
            <w:hideMark/>
          </w:tcPr>
          <w:p w14:paraId="5029CA4A" w14:textId="77777777" w:rsidR="00D66CE0" w:rsidRPr="00C00613" w:rsidRDefault="00D66CE0" w:rsidP="00954E22">
            <w:pPr>
              <w:pStyle w:val="NoSpacing"/>
              <w:rPr>
                <w:sz w:val="20"/>
                <w:szCs w:val="20"/>
              </w:rPr>
            </w:pPr>
          </w:p>
        </w:tc>
        <w:tc>
          <w:tcPr>
            <w:tcW w:w="0" w:type="auto"/>
            <w:hideMark/>
          </w:tcPr>
          <w:p w14:paraId="6E426933" w14:textId="77777777" w:rsidR="00D66CE0" w:rsidRPr="00C00613" w:rsidRDefault="00D66CE0" w:rsidP="00954E22">
            <w:pPr>
              <w:pStyle w:val="NoSpacing"/>
              <w:rPr>
                <w:sz w:val="20"/>
                <w:szCs w:val="20"/>
              </w:rPr>
            </w:pPr>
          </w:p>
        </w:tc>
        <w:tc>
          <w:tcPr>
            <w:tcW w:w="0" w:type="auto"/>
            <w:hideMark/>
          </w:tcPr>
          <w:p w14:paraId="04CAAE16" w14:textId="77777777" w:rsidR="00D66CE0" w:rsidRPr="00C00613" w:rsidRDefault="00D66CE0" w:rsidP="00954E22">
            <w:pPr>
              <w:pStyle w:val="NoSpacing"/>
              <w:rPr>
                <w:sz w:val="20"/>
                <w:szCs w:val="20"/>
              </w:rPr>
            </w:pPr>
          </w:p>
        </w:tc>
        <w:tc>
          <w:tcPr>
            <w:tcW w:w="0" w:type="auto"/>
            <w:hideMark/>
          </w:tcPr>
          <w:p w14:paraId="6E852C79" w14:textId="77777777" w:rsidR="00D66CE0" w:rsidRPr="00C00613" w:rsidRDefault="00D66CE0" w:rsidP="00954E22">
            <w:pPr>
              <w:pStyle w:val="NoSpacing"/>
              <w:rPr>
                <w:sz w:val="20"/>
                <w:szCs w:val="20"/>
              </w:rPr>
            </w:pPr>
          </w:p>
        </w:tc>
        <w:tc>
          <w:tcPr>
            <w:tcW w:w="0" w:type="auto"/>
            <w:hideMark/>
          </w:tcPr>
          <w:p w14:paraId="06081DCA" w14:textId="77777777" w:rsidR="00D66CE0" w:rsidRPr="00C00613" w:rsidRDefault="00D66CE0" w:rsidP="00954E22">
            <w:pPr>
              <w:pStyle w:val="NoSpacing"/>
              <w:rPr>
                <w:sz w:val="20"/>
                <w:szCs w:val="20"/>
              </w:rPr>
            </w:pPr>
          </w:p>
        </w:tc>
      </w:tr>
      <w:tr w:rsidR="00C00613" w:rsidRPr="00C00613" w14:paraId="58605826" w14:textId="77777777" w:rsidTr="00C00613">
        <w:tc>
          <w:tcPr>
            <w:tcW w:w="0" w:type="auto"/>
            <w:hideMark/>
          </w:tcPr>
          <w:p w14:paraId="36B52E5B" w14:textId="77777777" w:rsidR="00D66CE0" w:rsidRPr="00C00613" w:rsidRDefault="00D66CE0" w:rsidP="00954E22">
            <w:pPr>
              <w:pStyle w:val="NoSpacing"/>
              <w:rPr>
                <w:sz w:val="20"/>
                <w:szCs w:val="20"/>
              </w:rPr>
            </w:pPr>
            <w:r w:rsidRPr="00C00613">
              <w:rPr>
                <w:sz w:val="20"/>
                <w:szCs w:val="20"/>
              </w:rPr>
              <w:t>Debt/Equity (inverse of slack resources)</w:t>
            </w:r>
          </w:p>
        </w:tc>
        <w:tc>
          <w:tcPr>
            <w:tcW w:w="0" w:type="auto"/>
            <w:hideMark/>
          </w:tcPr>
          <w:p w14:paraId="5FC01D2B" w14:textId="137EA941" w:rsidR="00D66CE0" w:rsidRPr="00C00613" w:rsidRDefault="00D66CE0" w:rsidP="00954E22">
            <w:pPr>
              <w:pStyle w:val="NoSpacing"/>
              <w:rPr>
                <w:sz w:val="20"/>
                <w:szCs w:val="20"/>
              </w:rPr>
            </w:pPr>
            <w:r w:rsidRPr="00C00613">
              <w:rPr>
                <w:sz w:val="20"/>
                <w:szCs w:val="20"/>
              </w:rPr>
              <w:t>0.25**</w:t>
            </w:r>
          </w:p>
        </w:tc>
        <w:tc>
          <w:tcPr>
            <w:tcW w:w="0" w:type="auto"/>
            <w:hideMark/>
          </w:tcPr>
          <w:p w14:paraId="682BE431" w14:textId="77777777" w:rsidR="00D66CE0" w:rsidRPr="00C00613" w:rsidRDefault="00D66CE0" w:rsidP="00954E22">
            <w:pPr>
              <w:pStyle w:val="NoSpacing"/>
              <w:rPr>
                <w:sz w:val="20"/>
                <w:szCs w:val="20"/>
              </w:rPr>
            </w:pPr>
            <w:r w:rsidRPr="00C00613">
              <w:rPr>
                <w:sz w:val="20"/>
                <w:szCs w:val="20"/>
              </w:rPr>
              <w:t>(0.06)</w:t>
            </w:r>
          </w:p>
        </w:tc>
        <w:tc>
          <w:tcPr>
            <w:tcW w:w="0" w:type="auto"/>
            <w:hideMark/>
          </w:tcPr>
          <w:p w14:paraId="76DE2961" w14:textId="0F79203A" w:rsidR="00D66CE0" w:rsidRPr="00C00613" w:rsidRDefault="00D66CE0" w:rsidP="00954E22">
            <w:pPr>
              <w:pStyle w:val="NoSpacing"/>
              <w:rPr>
                <w:sz w:val="20"/>
                <w:szCs w:val="20"/>
              </w:rPr>
            </w:pPr>
            <w:r w:rsidRPr="00C00613">
              <w:rPr>
                <w:sz w:val="20"/>
                <w:szCs w:val="20"/>
              </w:rPr>
              <w:t>0.27**</w:t>
            </w:r>
          </w:p>
        </w:tc>
        <w:tc>
          <w:tcPr>
            <w:tcW w:w="0" w:type="auto"/>
            <w:hideMark/>
          </w:tcPr>
          <w:p w14:paraId="43E65890" w14:textId="77777777" w:rsidR="00D66CE0" w:rsidRPr="00C00613" w:rsidRDefault="00D66CE0" w:rsidP="00954E22">
            <w:pPr>
              <w:pStyle w:val="NoSpacing"/>
              <w:rPr>
                <w:sz w:val="20"/>
                <w:szCs w:val="20"/>
              </w:rPr>
            </w:pPr>
            <w:r w:rsidRPr="00C00613">
              <w:rPr>
                <w:sz w:val="20"/>
                <w:szCs w:val="20"/>
              </w:rPr>
              <w:t>(0.06)</w:t>
            </w:r>
          </w:p>
        </w:tc>
        <w:tc>
          <w:tcPr>
            <w:tcW w:w="0" w:type="auto"/>
            <w:hideMark/>
          </w:tcPr>
          <w:p w14:paraId="76E05C8F" w14:textId="5628B3DD" w:rsidR="00D66CE0" w:rsidRPr="00C00613" w:rsidRDefault="00D66CE0" w:rsidP="00954E22">
            <w:pPr>
              <w:pStyle w:val="NoSpacing"/>
              <w:rPr>
                <w:sz w:val="20"/>
                <w:szCs w:val="20"/>
              </w:rPr>
            </w:pPr>
            <w:r w:rsidRPr="00C00613">
              <w:rPr>
                <w:sz w:val="20"/>
                <w:szCs w:val="20"/>
              </w:rPr>
              <w:t>0.19*</w:t>
            </w:r>
          </w:p>
        </w:tc>
        <w:tc>
          <w:tcPr>
            <w:tcW w:w="0" w:type="auto"/>
            <w:hideMark/>
          </w:tcPr>
          <w:p w14:paraId="184BC865" w14:textId="77777777" w:rsidR="00D66CE0" w:rsidRPr="00C00613" w:rsidRDefault="00D66CE0" w:rsidP="00954E22">
            <w:pPr>
              <w:pStyle w:val="NoSpacing"/>
              <w:rPr>
                <w:sz w:val="20"/>
                <w:szCs w:val="20"/>
              </w:rPr>
            </w:pPr>
            <w:r w:rsidRPr="00C00613">
              <w:rPr>
                <w:sz w:val="20"/>
                <w:szCs w:val="20"/>
              </w:rPr>
              <w:t>(0.11)</w:t>
            </w:r>
          </w:p>
        </w:tc>
        <w:tc>
          <w:tcPr>
            <w:tcW w:w="0" w:type="auto"/>
            <w:hideMark/>
          </w:tcPr>
          <w:p w14:paraId="2E539AA4" w14:textId="77777777" w:rsidR="00D66CE0" w:rsidRPr="00C00613" w:rsidRDefault="00D66CE0" w:rsidP="00954E22">
            <w:pPr>
              <w:pStyle w:val="NoSpacing"/>
              <w:rPr>
                <w:sz w:val="20"/>
                <w:szCs w:val="20"/>
              </w:rPr>
            </w:pPr>
            <w:r w:rsidRPr="00C00613">
              <w:rPr>
                <w:sz w:val="20"/>
                <w:szCs w:val="20"/>
              </w:rPr>
              <w:t>H4: Higher D/E firms will act later in wave.</w:t>
            </w:r>
          </w:p>
        </w:tc>
      </w:tr>
      <w:tr w:rsidR="00C00613" w:rsidRPr="00C00613" w14:paraId="47073616" w14:textId="77777777" w:rsidTr="00C00613">
        <w:tc>
          <w:tcPr>
            <w:tcW w:w="0" w:type="auto"/>
            <w:hideMark/>
          </w:tcPr>
          <w:p w14:paraId="03228A17" w14:textId="77777777" w:rsidR="00D66CE0" w:rsidRPr="00C00613" w:rsidRDefault="00D66CE0" w:rsidP="00954E22">
            <w:pPr>
              <w:pStyle w:val="NoSpacing"/>
              <w:rPr>
                <w:sz w:val="20"/>
                <w:szCs w:val="20"/>
              </w:rPr>
            </w:pPr>
            <w:r w:rsidRPr="00C00613">
              <w:rPr>
                <w:sz w:val="20"/>
                <w:szCs w:val="20"/>
              </w:rPr>
              <w:t>Free cash flow</w:t>
            </w:r>
          </w:p>
        </w:tc>
        <w:tc>
          <w:tcPr>
            <w:tcW w:w="0" w:type="auto"/>
            <w:hideMark/>
          </w:tcPr>
          <w:p w14:paraId="5F18577D" w14:textId="105A3FCA" w:rsidR="00D66CE0" w:rsidRPr="00C00613" w:rsidRDefault="00D66CE0" w:rsidP="00954E22">
            <w:pPr>
              <w:pStyle w:val="NoSpacing"/>
              <w:rPr>
                <w:sz w:val="20"/>
                <w:szCs w:val="20"/>
              </w:rPr>
            </w:pPr>
            <w:r w:rsidRPr="00C00613">
              <w:rPr>
                <w:sz w:val="20"/>
                <w:szCs w:val="20"/>
              </w:rPr>
              <w:t>− 0.52*</w:t>
            </w:r>
          </w:p>
        </w:tc>
        <w:tc>
          <w:tcPr>
            <w:tcW w:w="0" w:type="auto"/>
            <w:hideMark/>
          </w:tcPr>
          <w:p w14:paraId="43E14D06" w14:textId="77777777" w:rsidR="00D66CE0" w:rsidRPr="00C00613" w:rsidRDefault="00D66CE0" w:rsidP="00954E22">
            <w:pPr>
              <w:pStyle w:val="NoSpacing"/>
              <w:rPr>
                <w:sz w:val="20"/>
                <w:szCs w:val="20"/>
              </w:rPr>
            </w:pPr>
            <w:r w:rsidRPr="00C00613">
              <w:rPr>
                <w:sz w:val="20"/>
                <w:szCs w:val="20"/>
              </w:rPr>
              <w:t>(0.27)</w:t>
            </w:r>
          </w:p>
        </w:tc>
        <w:tc>
          <w:tcPr>
            <w:tcW w:w="0" w:type="auto"/>
            <w:hideMark/>
          </w:tcPr>
          <w:p w14:paraId="3554BE44" w14:textId="6F1E646C" w:rsidR="00D66CE0" w:rsidRPr="00C00613" w:rsidRDefault="00D66CE0" w:rsidP="00954E22">
            <w:pPr>
              <w:pStyle w:val="NoSpacing"/>
              <w:rPr>
                <w:sz w:val="20"/>
                <w:szCs w:val="20"/>
              </w:rPr>
            </w:pPr>
            <w:r w:rsidRPr="00C00613">
              <w:rPr>
                <w:sz w:val="20"/>
                <w:szCs w:val="20"/>
              </w:rPr>
              <w:t>− 0.46*</w:t>
            </w:r>
          </w:p>
        </w:tc>
        <w:tc>
          <w:tcPr>
            <w:tcW w:w="0" w:type="auto"/>
            <w:hideMark/>
          </w:tcPr>
          <w:p w14:paraId="0F13FD70" w14:textId="77777777" w:rsidR="00D66CE0" w:rsidRPr="00C00613" w:rsidRDefault="00D66CE0" w:rsidP="00954E22">
            <w:pPr>
              <w:pStyle w:val="NoSpacing"/>
              <w:rPr>
                <w:sz w:val="20"/>
                <w:szCs w:val="20"/>
              </w:rPr>
            </w:pPr>
            <w:r w:rsidRPr="00C00613">
              <w:rPr>
                <w:sz w:val="20"/>
                <w:szCs w:val="20"/>
              </w:rPr>
              <w:t>(0.26)</w:t>
            </w:r>
          </w:p>
        </w:tc>
        <w:tc>
          <w:tcPr>
            <w:tcW w:w="0" w:type="auto"/>
            <w:hideMark/>
          </w:tcPr>
          <w:p w14:paraId="0CEE7726" w14:textId="169A236D" w:rsidR="00D66CE0" w:rsidRPr="00C00613" w:rsidRDefault="00D66CE0" w:rsidP="00954E22">
            <w:pPr>
              <w:pStyle w:val="NoSpacing"/>
              <w:rPr>
                <w:sz w:val="20"/>
                <w:szCs w:val="20"/>
              </w:rPr>
            </w:pPr>
            <w:r w:rsidRPr="00C00613">
              <w:rPr>
                <w:sz w:val="20"/>
                <w:szCs w:val="20"/>
              </w:rPr>
              <w:t>− 0.55*</w:t>
            </w:r>
          </w:p>
        </w:tc>
        <w:tc>
          <w:tcPr>
            <w:tcW w:w="0" w:type="auto"/>
            <w:hideMark/>
          </w:tcPr>
          <w:p w14:paraId="335DAEE4" w14:textId="77777777" w:rsidR="00D66CE0" w:rsidRPr="00C00613" w:rsidRDefault="00D66CE0" w:rsidP="00954E22">
            <w:pPr>
              <w:pStyle w:val="NoSpacing"/>
              <w:rPr>
                <w:sz w:val="20"/>
                <w:szCs w:val="20"/>
              </w:rPr>
            </w:pPr>
            <w:r w:rsidRPr="00C00613">
              <w:rPr>
                <w:sz w:val="20"/>
                <w:szCs w:val="20"/>
              </w:rPr>
              <w:t>(0.28)</w:t>
            </w:r>
          </w:p>
        </w:tc>
        <w:tc>
          <w:tcPr>
            <w:tcW w:w="0" w:type="auto"/>
            <w:hideMark/>
          </w:tcPr>
          <w:p w14:paraId="2C0B429C" w14:textId="77777777" w:rsidR="00D66CE0" w:rsidRPr="00C00613" w:rsidRDefault="00D66CE0" w:rsidP="00954E22">
            <w:pPr>
              <w:pStyle w:val="NoSpacing"/>
              <w:rPr>
                <w:sz w:val="20"/>
                <w:szCs w:val="20"/>
              </w:rPr>
            </w:pPr>
            <w:r w:rsidRPr="00C00613">
              <w:rPr>
                <w:sz w:val="20"/>
                <w:szCs w:val="20"/>
              </w:rPr>
              <w:t>H4: Greater free cash flow leads to earlier action.</w:t>
            </w:r>
          </w:p>
        </w:tc>
      </w:tr>
      <w:tr w:rsidR="00C00613" w:rsidRPr="00C00613" w14:paraId="59E306EF" w14:textId="77777777" w:rsidTr="00C00613">
        <w:tc>
          <w:tcPr>
            <w:tcW w:w="0" w:type="auto"/>
            <w:hideMark/>
          </w:tcPr>
          <w:p w14:paraId="7AB2B48B" w14:textId="77777777" w:rsidR="00D66CE0" w:rsidRPr="00C00613" w:rsidRDefault="00D66CE0" w:rsidP="00954E22">
            <w:pPr>
              <w:pStyle w:val="NoSpacing"/>
              <w:rPr>
                <w:sz w:val="20"/>
                <w:szCs w:val="20"/>
              </w:rPr>
            </w:pPr>
            <w:r w:rsidRPr="00C00613">
              <w:rPr>
                <w:sz w:val="20"/>
                <w:szCs w:val="20"/>
              </w:rPr>
              <w:t>Prior firm performance</w:t>
            </w:r>
          </w:p>
        </w:tc>
        <w:tc>
          <w:tcPr>
            <w:tcW w:w="0" w:type="auto"/>
            <w:hideMark/>
          </w:tcPr>
          <w:p w14:paraId="34C52E6F" w14:textId="7B100023" w:rsidR="00D66CE0" w:rsidRPr="00C00613" w:rsidRDefault="00D66CE0" w:rsidP="00954E22">
            <w:pPr>
              <w:pStyle w:val="NoSpacing"/>
              <w:rPr>
                <w:sz w:val="20"/>
                <w:szCs w:val="20"/>
              </w:rPr>
            </w:pPr>
            <w:r w:rsidRPr="00C00613">
              <w:rPr>
                <w:sz w:val="20"/>
                <w:szCs w:val="20"/>
              </w:rPr>
              <w:t>− 0.37**</w:t>
            </w:r>
          </w:p>
        </w:tc>
        <w:tc>
          <w:tcPr>
            <w:tcW w:w="0" w:type="auto"/>
            <w:hideMark/>
          </w:tcPr>
          <w:p w14:paraId="0B932E92" w14:textId="77777777" w:rsidR="00D66CE0" w:rsidRPr="00C00613" w:rsidRDefault="00D66CE0" w:rsidP="00954E22">
            <w:pPr>
              <w:pStyle w:val="NoSpacing"/>
              <w:rPr>
                <w:sz w:val="20"/>
                <w:szCs w:val="20"/>
              </w:rPr>
            </w:pPr>
            <w:r w:rsidRPr="00C00613">
              <w:rPr>
                <w:sz w:val="20"/>
                <w:szCs w:val="20"/>
              </w:rPr>
              <w:t>(0.07)</w:t>
            </w:r>
          </w:p>
        </w:tc>
        <w:tc>
          <w:tcPr>
            <w:tcW w:w="0" w:type="auto"/>
            <w:hideMark/>
          </w:tcPr>
          <w:p w14:paraId="286E4D24" w14:textId="67EE1AC1" w:rsidR="00D66CE0" w:rsidRPr="00C00613" w:rsidRDefault="00D66CE0" w:rsidP="00954E22">
            <w:pPr>
              <w:pStyle w:val="NoSpacing"/>
              <w:rPr>
                <w:sz w:val="20"/>
                <w:szCs w:val="20"/>
              </w:rPr>
            </w:pPr>
            <w:r w:rsidRPr="00C00613">
              <w:rPr>
                <w:sz w:val="20"/>
                <w:szCs w:val="20"/>
              </w:rPr>
              <w:t>− 0.31**</w:t>
            </w:r>
          </w:p>
        </w:tc>
        <w:tc>
          <w:tcPr>
            <w:tcW w:w="0" w:type="auto"/>
            <w:hideMark/>
          </w:tcPr>
          <w:p w14:paraId="2A92171A" w14:textId="77777777" w:rsidR="00D66CE0" w:rsidRPr="00C00613" w:rsidRDefault="00D66CE0" w:rsidP="00954E22">
            <w:pPr>
              <w:pStyle w:val="NoSpacing"/>
              <w:rPr>
                <w:sz w:val="20"/>
                <w:szCs w:val="20"/>
              </w:rPr>
            </w:pPr>
            <w:r w:rsidRPr="00C00613">
              <w:rPr>
                <w:sz w:val="20"/>
                <w:szCs w:val="20"/>
              </w:rPr>
              <w:t>(0.06)</w:t>
            </w:r>
          </w:p>
        </w:tc>
        <w:tc>
          <w:tcPr>
            <w:tcW w:w="0" w:type="auto"/>
            <w:hideMark/>
          </w:tcPr>
          <w:p w14:paraId="418CFCB0" w14:textId="40F08165" w:rsidR="00D66CE0" w:rsidRPr="00C00613" w:rsidRDefault="00D66CE0" w:rsidP="00954E22">
            <w:pPr>
              <w:pStyle w:val="NoSpacing"/>
              <w:rPr>
                <w:sz w:val="20"/>
                <w:szCs w:val="20"/>
              </w:rPr>
            </w:pPr>
            <w:r w:rsidRPr="00C00613">
              <w:rPr>
                <w:sz w:val="20"/>
                <w:szCs w:val="20"/>
              </w:rPr>
              <w:t>− 0.70**</w:t>
            </w:r>
          </w:p>
        </w:tc>
        <w:tc>
          <w:tcPr>
            <w:tcW w:w="0" w:type="auto"/>
            <w:hideMark/>
          </w:tcPr>
          <w:p w14:paraId="58C6C746" w14:textId="77777777" w:rsidR="00D66CE0" w:rsidRPr="00C00613" w:rsidRDefault="00D66CE0" w:rsidP="00954E22">
            <w:pPr>
              <w:pStyle w:val="NoSpacing"/>
              <w:rPr>
                <w:sz w:val="20"/>
                <w:szCs w:val="20"/>
              </w:rPr>
            </w:pPr>
            <w:r w:rsidRPr="00C00613">
              <w:rPr>
                <w:sz w:val="20"/>
                <w:szCs w:val="20"/>
              </w:rPr>
              <w:t>(0.16)</w:t>
            </w:r>
          </w:p>
        </w:tc>
        <w:tc>
          <w:tcPr>
            <w:tcW w:w="0" w:type="auto"/>
            <w:hideMark/>
          </w:tcPr>
          <w:p w14:paraId="5CD7B260" w14:textId="77777777" w:rsidR="00D66CE0" w:rsidRPr="00C00613" w:rsidRDefault="00D66CE0" w:rsidP="00954E22">
            <w:pPr>
              <w:pStyle w:val="NoSpacing"/>
              <w:rPr>
                <w:sz w:val="20"/>
                <w:szCs w:val="20"/>
              </w:rPr>
            </w:pPr>
            <w:r w:rsidRPr="00C00613">
              <w:rPr>
                <w:sz w:val="20"/>
                <w:szCs w:val="20"/>
              </w:rPr>
              <w:t>H5: Higher performing firms act earlier in wave.</w:t>
            </w:r>
          </w:p>
        </w:tc>
      </w:tr>
      <w:tr w:rsidR="00C00613" w:rsidRPr="00C00613" w14:paraId="0434DFBA" w14:textId="77777777" w:rsidTr="00C00613">
        <w:tc>
          <w:tcPr>
            <w:tcW w:w="0" w:type="auto"/>
            <w:hideMark/>
          </w:tcPr>
          <w:p w14:paraId="758DD48A" w14:textId="77777777" w:rsidR="00C00613" w:rsidRPr="00C00613" w:rsidRDefault="00C00613" w:rsidP="00954E22">
            <w:pPr>
              <w:pStyle w:val="NoSpacing"/>
              <w:rPr>
                <w:sz w:val="20"/>
                <w:szCs w:val="20"/>
              </w:rPr>
            </w:pPr>
            <w:r w:rsidRPr="00C00613">
              <w:rPr>
                <w:sz w:val="20"/>
                <w:szCs w:val="20"/>
              </w:rPr>
              <w:t>R</w:t>
            </w:r>
            <w:r w:rsidRPr="00C00613">
              <w:rPr>
                <w:sz w:val="20"/>
                <w:szCs w:val="20"/>
                <w:vertAlign w:val="superscript"/>
              </w:rPr>
              <w:t>2</w:t>
            </w:r>
          </w:p>
        </w:tc>
        <w:tc>
          <w:tcPr>
            <w:tcW w:w="0" w:type="auto"/>
            <w:hideMark/>
          </w:tcPr>
          <w:p w14:paraId="561C3207" w14:textId="77777777" w:rsidR="00C00613" w:rsidRPr="00C00613" w:rsidRDefault="00C00613" w:rsidP="00954E22">
            <w:pPr>
              <w:pStyle w:val="NoSpacing"/>
              <w:rPr>
                <w:sz w:val="20"/>
                <w:szCs w:val="20"/>
              </w:rPr>
            </w:pPr>
            <w:r w:rsidRPr="00C00613">
              <w:rPr>
                <w:sz w:val="20"/>
                <w:szCs w:val="20"/>
              </w:rPr>
              <w:t>0.11</w:t>
            </w:r>
          </w:p>
        </w:tc>
        <w:tc>
          <w:tcPr>
            <w:tcW w:w="0" w:type="auto"/>
          </w:tcPr>
          <w:p w14:paraId="5D1FAA8B" w14:textId="337978CD" w:rsidR="00C00613" w:rsidRPr="00C00613" w:rsidRDefault="00C00613" w:rsidP="00954E22">
            <w:pPr>
              <w:pStyle w:val="NoSpacing"/>
              <w:rPr>
                <w:sz w:val="20"/>
                <w:szCs w:val="20"/>
              </w:rPr>
            </w:pPr>
          </w:p>
        </w:tc>
        <w:tc>
          <w:tcPr>
            <w:tcW w:w="0" w:type="auto"/>
            <w:hideMark/>
          </w:tcPr>
          <w:p w14:paraId="22DE6C71" w14:textId="77777777" w:rsidR="00C00613" w:rsidRPr="00C00613" w:rsidRDefault="00C00613" w:rsidP="00954E22">
            <w:pPr>
              <w:pStyle w:val="NoSpacing"/>
              <w:rPr>
                <w:sz w:val="20"/>
                <w:szCs w:val="20"/>
              </w:rPr>
            </w:pPr>
          </w:p>
        </w:tc>
        <w:tc>
          <w:tcPr>
            <w:tcW w:w="0" w:type="auto"/>
            <w:hideMark/>
          </w:tcPr>
          <w:p w14:paraId="49F2EBA4" w14:textId="77777777" w:rsidR="00C00613" w:rsidRPr="00C00613" w:rsidRDefault="00C00613" w:rsidP="00954E22">
            <w:pPr>
              <w:pStyle w:val="NoSpacing"/>
              <w:rPr>
                <w:sz w:val="20"/>
                <w:szCs w:val="20"/>
              </w:rPr>
            </w:pPr>
          </w:p>
        </w:tc>
        <w:tc>
          <w:tcPr>
            <w:tcW w:w="0" w:type="auto"/>
            <w:hideMark/>
          </w:tcPr>
          <w:p w14:paraId="71AF5EC0" w14:textId="77777777" w:rsidR="00C00613" w:rsidRPr="00C00613" w:rsidRDefault="00C00613" w:rsidP="00954E22">
            <w:pPr>
              <w:pStyle w:val="NoSpacing"/>
              <w:rPr>
                <w:sz w:val="20"/>
                <w:szCs w:val="20"/>
              </w:rPr>
            </w:pPr>
            <w:r w:rsidRPr="00C00613">
              <w:rPr>
                <w:sz w:val="20"/>
                <w:szCs w:val="20"/>
              </w:rPr>
              <w:t>0.14</w:t>
            </w:r>
          </w:p>
        </w:tc>
        <w:tc>
          <w:tcPr>
            <w:tcW w:w="0" w:type="auto"/>
          </w:tcPr>
          <w:p w14:paraId="0746BC16" w14:textId="5EB570A5" w:rsidR="00C00613" w:rsidRPr="00C00613" w:rsidRDefault="00C00613" w:rsidP="00954E22">
            <w:pPr>
              <w:pStyle w:val="NoSpacing"/>
              <w:rPr>
                <w:sz w:val="20"/>
                <w:szCs w:val="20"/>
              </w:rPr>
            </w:pPr>
          </w:p>
        </w:tc>
        <w:tc>
          <w:tcPr>
            <w:tcW w:w="0" w:type="auto"/>
            <w:hideMark/>
          </w:tcPr>
          <w:p w14:paraId="3FAA52BC" w14:textId="77777777" w:rsidR="00C00613" w:rsidRPr="00C00613" w:rsidRDefault="00C00613" w:rsidP="00954E22">
            <w:pPr>
              <w:pStyle w:val="NoSpacing"/>
              <w:rPr>
                <w:sz w:val="20"/>
                <w:szCs w:val="20"/>
              </w:rPr>
            </w:pPr>
          </w:p>
        </w:tc>
      </w:tr>
      <w:tr w:rsidR="00C00613" w:rsidRPr="00C00613" w14:paraId="2E5D64A7" w14:textId="77777777" w:rsidTr="00C00613">
        <w:tc>
          <w:tcPr>
            <w:tcW w:w="0" w:type="auto"/>
            <w:hideMark/>
          </w:tcPr>
          <w:p w14:paraId="7B77857C" w14:textId="77777777" w:rsidR="00C00613" w:rsidRPr="00C00613" w:rsidRDefault="00C00613" w:rsidP="00954E22">
            <w:pPr>
              <w:pStyle w:val="NoSpacing"/>
              <w:rPr>
                <w:sz w:val="20"/>
                <w:szCs w:val="20"/>
              </w:rPr>
            </w:pPr>
            <w:r w:rsidRPr="00C00613">
              <w:rPr>
                <w:sz w:val="20"/>
                <w:szCs w:val="20"/>
              </w:rPr>
              <w:t>F</w:t>
            </w:r>
          </w:p>
        </w:tc>
        <w:tc>
          <w:tcPr>
            <w:tcW w:w="0" w:type="auto"/>
            <w:hideMark/>
          </w:tcPr>
          <w:p w14:paraId="1343B610" w14:textId="77777777" w:rsidR="00C00613" w:rsidRPr="00C00613" w:rsidRDefault="00C00613" w:rsidP="00954E22">
            <w:pPr>
              <w:pStyle w:val="NoSpacing"/>
              <w:rPr>
                <w:sz w:val="20"/>
                <w:szCs w:val="20"/>
              </w:rPr>
            </w:pPr>
            <w:r w:rsidRPr="00C00613">
              <w:rPr>
                <w:sz w:val="20"/>
                <w:szCs w:val="20"/>
              </w:rPr>
              <w:t>542.11**</w:t>
            </w:r>
          </w:p>
        </w:tc>
        <w:tc>
          <w:tcPr>
            <w:tcW w:w="0" w:type="auto"/>
          </w:tcPr>
          <w:p w14:paraId="3348D89D" w14:textId="2329BCFB" w:rsidR="00C00613" w:rsidRPr="00C00613" w:rsidRDefault="00C00613" w:rsidP="00954E22">
            <w:pPr>
              <w:pStyle w:val="NoSpacing"/>
              <w:rPr>
                <w:sz w:val="20"/>
                <w:szCs w:val="20"/>
              </w:rPr>
            </w:pPr>
          </w:p>
        </w:tc>
        <w:tc>
          <w:tcPr>
            <w:tcW w:w="0" w:type="auto"/>
            <w:hideMark/>
          </w:tcPr>
          <w:p w14:paraId="0CAACE8A" w14:textId="77777777" w:rsidR="00C00613" w:rsidRPr="00C00613" w:rsidRDefault="00C00613" w:rsidP="00954E22">
            <w:pPr>
              <w:pStyle w:val="NoSpacing"/>
              <w:rPr>
                <w:sz w:val="20"/>
                <w:szCs w:val="20"/>
              </w:rPr>
            </w:pPr>
          </w:p>
        </w:tc>
        <w:tc>
          <w:tcPr>
            <w:tcW w:w="0" w:type="auto"/>
            <w:hideMark/>
          </w:tcPr>
          <w:p w14:paraId="0FC22CE6" w14:textId="77777777" w:rsidR="00C00613" w:rsidRPr="00C00613" w:rsidRDefault="00C00613" w:rsidP="00954E22">
            <w:pPr>
              <w:pStyle w:val="NoSpacing"/>
              <w:rPr>
                <w:sz w:val="20"/>
                <w:szCs w:val="20"/>
              </w:rPr>
            </w:pPr>
          </w:p>
        </w:tc>
        <w:tc>
          <w:tcPr>
            <w:tcW w:w="0" w:type="auto"/>
            <w:hideMark/>
          </w:tcPr>
          <w:p w14:paraId="18300FA4" w14:textId="77777777" w:rsidR="00C00613" w:rsidRPr="00C00613" w:rsidRDefault="00C00613" w:rsidP="00954E22">
            <w:pPr>
              <w:pStyle w:val="NoSpacing"/>
              <w:rPr>
                <w:sz w:val="20"/>
                <w:szCs w:val="20"/>
              </w:rPr>
            </w:pPr>
            <w:r w:rsidRPr="00C00613">
              <w:rPr>
                <w:sz w:val="20"/>
                <w:szCs w:val="20"/>
              </w:rPr>
              <w:t>154.94**</w:t>
            </w:r>
          </w:p>
        </w:tc>
        <w:tc>
          <w:tcPr>
            <w:tcW w:w="0" w:type="auto"/>
          </w:tcPr>
          <w:p w14:paraId="27411FD7" w14:textId="54B3FE4F" w:rsidR="00C00613" w:rsidRPr="00C00613" w:rsidRDefault="00C00613" w:rsidP="00954E22">
            <w:pPr>
              <w:pStyle w:val="NoSpacing"/>
              <w:rPr>
                <w:sz w:val="20"/>
                <w:szCs w:val="20"/>
              </w:rPr>
            </w:pPr>
          </w:p>
        </w:tc>
        <w:tc>
          <w:tcPr>
            <w:tcW w:w="0" w:type="auto"/>
            <w:hideMark/>
          </w:tcPr>
          <w:p w14:paraId="086F3BFF" w14:textId="77777777" w:rsidR="00C00613" w:rsidRPr="00C00613" w:rsidRDefault="00C00613" w:rsidP="00954E22">
            <w:pPr>
              <w:pStyle w:val="NoSpacing"/>
              <w:rPr>
                <w:sz w:val="20"/>
                <w:szCs w:val="20"/>
              </w:rPr>
            </w:pPr>
          </w:p>
        </w:tc>
      </w:tr>
      <w:tr w:rsidR="00C00613" w:rsidRPr="00C00613" w14:paraId="7DE7C3CE" w14:textId="77777777" w:rsidTr="00C00613">
        <w:tc>
          <w:tcPr>
            <w:tcW w:w="0" w:type="auto"/>
            <w:hideMark/>
          </w:tcPr>
          <w:p w14:paraId="4FEB2B4A" w14:textId="77777777" w:rsidR="00C00613" w:rsidRPr="00C00613" w:rsidRDefault="00C00613" w:rsidP="00954E22">
            <w:pPr>
              <w:pStyle w:val="NoSpacing"/>
              <w:rPr>
                <w:sz w:val="20"/>
                <w:szCs w:val="20"/>
              </w:rPr>
            </w:pPr>
            <w:r w:rsidRPr="00C00613">
              <w:rPr>
                <w:sz w:val="20"/>
                <w:szCs w:val="20"/>
              </w:rPr>
              <w:t>N</w:t>
            </w:r>
          </w:p>
        </w:tc>
        <w:tc>
          <w:tcPr>
            <w:tcW w:w="0" w:type="auto"/>
            <w:hideMark/>
          </w:tcPr>
          <w:p w14:paraId="4F1CD094" w14:textId="77777777" w:rsidR="00C00613" w:rsidRPr="00C00613" w:rsidRDefault="00C00613" w:rsidP="00954E22">
            <w:pPr>
              <w:pStyle w:val="NoSpacing"/>
              <w:rPr>
                <w:sz w:val="20"/>
                <w:szCs w:val="20"/>
              </w:rPr>
            </w:pPr>
            <w:r w:rsidRPr="00C00613">
              <w:rPr>
                <w:sz w:val="20"/>
                <w:szCs w:val="20"/>
              </w:rPr>
              <w:t>2315</w:t>
            </w:r>
          </w:p>
        </w:tc>
        <w:tc>
          <w:tcPr>
            <w:tcW w:w="0" w:type="auto"/>
          </w:tcPr>
          <w:p w14:paraId="0BE8A0CF" w14:textId="73A2FEFB" w:rsidR="00C00613" w:rsidRPr="00C00613" w:rsidRDefault="00C00613" w:rsidP="00954E22">
            <w:pPr>
              <w:pStyle w:val="NoSpacing"/>
              <w:rPr>
                <w:sz w:val="20"/>
                <w:szCs w:val="20"/>
              </w:rPr>
            </w:pPr>
          </w:p>
        </w:tc>
        <w:tc>
          <w:tcPr>
            <w:tcW w:w="0" w:type="auto"/>
            <w:hideMark/>
          </w:tcPr>
          <w:p w14:paraId="528F51BA" w14:textId="77777777" w:rsidR="00C00613" w:rsidRPr="00C00613" w:rsidRDefault="00C00613" w:rsidP="00954E22">
            <w:pPr>
              <w:pStyle w:val="NoSpacing"/>
              <w:rPr>
                <w:sz w:val="20"/>
                <w:szCs w:val="20"/>
              </w:rPr>
            </w:pPr>
            <w:r w:rsidRPr="00C00613">
              <w:rPr>
                <w:sz w:val="20"/>
                <w:szCs w:val="20"/>
              </w:rPr>
              <w:t>2315</w:t>
            </w:r>
          </w:p>
        </w:tc>
        <w:tc>
          <w:tcPr>
            <w:tcW w:w="0" w:type="auto"/>
          </w:tcPr>
          <w:p w14:paraId="766DE064" w14:textId="53893A53" w:rsidR="00C00613" w:rsidRPr="00C00613" w:rsidRDefault="00C00613" w:rsidP="00954E22">
            <w:pPr>
              <w:pStyle w:val="NoSpacing"/>
              <w:rPr>
                <w:sz w:val="20"/>
                <w:szCs w:val="20"/>
              </w:rPr>
            </w:pPr>
          </w:p>
        </w:tc>
        <w:tc>
          <w:tcPr>
            <w:tcW w:w="0" w:type="auto"/>
            <w:hideMark/>
          </w:tcPr>
          <w:p w14:paraId="3C187098" w14:textId="77777777" w:rsidR="00C00613" w:rsidRPr="00C00613" w:rsidRDefault="00C00613" w:rsidP="00954E22">
            <w:pPr>
              <w:pStyle w:val="NoSpacing"/>
              <w:rPr>
                <w:sz w:val="20"/>
                <w:szCs w:val="20"/>
              </w:rPr>
            </w:pPr>
            <w:r w:rsidRPr="00C00613">
              <w:rPr>
                <w:sz w:val="20"/>
                <w:szCs w:val="20"/>
              </w:rPr>
              <w:t>897</w:t>
            </w:r>
          </w:p>
        </w:tc>
        <w:tc>
          <w:tcPr>
            <w:tcW w:w="0" w:type="auto"/>
          </w:tcPr>
          <w:p w14:paraId="70464932" w14:textId="69780303" w:rsidR="00C00613" w:rsidRPr="00C00613" w:rsidRDefault="00C00613" w:rsidP="00954E22">
            <w:pPr>
              <w:pStyle w:val="NoSpacing"/>
              <w:rPr>
                <w:sz w:val="20"/>
                <w:szCs w:val="20"/>
              </w:rPr>
            </w:pPr>
          </w:p>
        </w:tc>
        <w:tc>
          <w:tcPr>
            <w:tcW w:w="0" w:type="auto"/>
            <w:hideMark/>
          </w:tcPr>
          <w:p w14:paraId="53730085" w14:textId="77777777" w:rsidR="00C00613" w:rsidRPr="00C00613" w:rsidRDefault="00C00613" w:rsidP="00954E22">
            <w:pPr>
              <w:pStyle w:val="NoSpacing"/>
              <w:rPr>
                <w:sz w:val="20"/>
                <w:szCs w:val="20"/>
              </w:rPr>
            </w:pPr>
          </w:p>
        </w:tc>
      </w:tr>
    </w:tbl>
    <w:p w14:paraId="04A6041B" w14:textId="250BA522" w:rsidR="00D66CE0" w:rsidRPr="00D66CE0" w:rsidRDefault="00D66CE0" w:rsidP="00731498">
      <w:r w:rsidRPr="00D66CE0">
        <w:t xml:space="preserve">† </w:t>
      </w:r>
      <m:oMath>
        <m:r>
          <w:rPr>
            <w:rFonts w:ascii="Cambria Math" w:hAnsi="Cambria Math"/>
          </w:rPr>
          <m:t>p &lt; 0.10</m:t>
        </m:r>
      </m:oMath>
      <w:r w:rsidRPr="00D66CE0">
        <w:t>,</w:t>
      </w:r>
      <w:r w:rsidR="00731498">
        <w:t xml:space="preserve"> </w:t>
      </w:r>
      <w:r w:rsidRPr="00D66CE0">
        <w:t>* </w:t>
      </w:r>
      <m:oMath>
        <m:r>
          <w:rPr>
            <w:rFonts w:ascii="Cambria Math" w:hAnsi="Cambria Math"/>
          </w:rPr>
          <m:t>p &lt; 0.05</m:t>
        </m:r>
      </m:oMath>
      <w:r w:rsidRPr="00D66CE0">
        <w:t>,</w:t>
      </w:r>
      <w:r w:rsidR="00731498">
        <w:t xml:space="preserve"> </w:t>
      </w:r>
      <w:r w:rsidRPr="00D66CE0">
        <w:t>** </w:t>
      </w:r>
      <m:oMath>
        <m:r>
          <w:rPr>
            <w:rFonts w:ascii="Cambria Math" w:hAnsi="Cambria Math"/>
          </w:rPr>
          <m:t>p &lt; 0.01</m:t>
        </m:r>
      </m:oMath>
      <w:r w:rsidRPr="00D66CE0">
        <w:t>, one-tailed tests. For simplicity of presentation, we do not report the industry intercepts for any of the models.</w:t>
      </w:r>
    </w:p>
    <w:p w14:paraId="6038C480" w14:textId="77777777" w:rsidR="00731498" w:rsidRDefault="00731498" w:rsidP="00D66CE0">
      <w:pPr>
        <w:sectPr w:rsidR="00731498" w:rsidSect="00EF7553">
          <w:pgSz w:w="15840" w:h="12240" w:orient="landscape"/>
          <w:pgMar w:top="1080" w:right="1080" w:bottom="1080" w:left="1080" w:header="720" w:footer="720" w:gutter="0"/>
          <w:cols w:space="720"/>
          <w:docGrid w:linePitch="360"/>
        </w:sectPr>
      </w:pPr>
    </w:p>
    <w:p w14:paraId="6FF83947" w14:textId="542EB4C7" w:rsidR="00D66CE0" w:rsidRPr="00D66CE0" w:rsidRDefault="00D66CE0" w:rsidP="00D66CE0">
      <w:r w:rsidRPr="00D66CE0">
        <w:lastRenderedPageBreak/>
        <w:t xml:space="preserve">Overall, the results show significant support for our hypotheses. First, a firm's strategic orientation appears to have a significant influence on its positioning within the acquisition wave. In line with Hypothesis 1, we find a negative relationship between technology and marketing intensity and temporal action within the wave </w:t>
      </w:r>
      <m:oMath>
        <m:r>
          <w:rPr>
            <w:rFonts w:ascii="Cambria Math" w:hAnsi="Cambria Math"/>
          </w:rPr>
          <m:t>(p &lt; 0.01)</m:t>
        </m:r>
      </m:oMath>
      <w:r w:rsidRPr="00D66CE0">
        <w:t>. This finding suggests that firms that invest heavily in R&amp;D and advertising act earlier in the acquisition wave. Similarly, faster growing firms tend to move earlier in the wave.</w:t>
      </w:r>
    </w:p>
    <w:p w14:paraId="20BA3ED9" w14:textId="5AF985AA" w:rsidR="00D66CE0" w:rsidRPr="00D66CE0" w:rsidRDefault="00D66CE0" w:rsidP="00D66CE0">
      <w:r w:rsidRPr="00D66CE0">
        <w:t xml:space="preserve">We also find strong evidence that the structural elements of the firm influence the timing of its involvement within an acquisition wave. Supporting Hypothesis 2, the positive and significant relationship </w:t>
      </w:r>
      <m:oMath>
        <m:r>
          <w:rPr>
            <w:rFonts w:ascii="Cambria Math" w:hAnsi="Cambria Math"/>
          </w:rPr>
          <m:t>(p &lt; 0.01)</m:t>
        </m:r>
      </m:oMath>
      <w:r w:rsidRPr="00D66CE0">
        <w:t xml:space="preserve"> between firm size and temporal action in the wave indicates that smaller firms tend to acquire earlier in the acquisition wave than larger firms. In line with Hypothesis 3, the positive and significant finding for the level of diversification </w:t>
      </w:r>
      <m:oMath>
        <m:r>
          <w:rPr>
            <w:rFonts w:ascii="Cambria Math" w:hAnsi="Cambria Math"/>
          </w:rPr>
          <m:t>(p &lt; 0.01)</m:t>
        </m:r>
      </m:oMath>
      <w:r w:rsidRPr="00D66CE0">
        <w:t xml:space="preserve"> indicates that more diversified firms act later in the acquisition wave. In a supplemental analysis, we found that the effect for level of diversification was only significant for related acquisitions. This is consistent with the idea that high levels of diversification reduce managers' awareness of and willingness to exploit opportunities within their existing markets.</w:t>
      </w:r>
    </w:p>
    <w:p w14:paraId="2409CD98" w14:textId="49F18960" w:rsidR="00D66CE0" w:rsidRPr="00D66CE0" w:rsidRDefault="00D66CE0" w:rsidP="00D66CE0">
      <w:r w:rsidRPr="00D66CE0">
        <w:t>Finally, the results support our contention that the resources of a firm influence its timing within acquisition waves. The results from Table </w:t>
      </w:r>
      <w:r w:rsidRPr="00D66CE0">
        <w:rPr>
          <w:b/>
          <w:bCs/>
        </w:rPr>
        <w:t>3</w:t>
      </w:r>
      <w:r w:rsidRPr="00D66CE0">
        <w:t xml:space="preserve"> reveal a positive and significant relationship </w:t>
      </w:r>
      <m:oMath>
        <m:r>
          <w:rPr>
            <w:rFonts w:ascii="Cambria Math" w:hAnsi="Cambria Math"/>
          </w:rPr>
          <m:t>(p &lt; 0.01)</m:t>
        </m:r>
      </m:oMath>
      <w:r w:rsidRPr="00D66CE0">
        <w:t xml:space="preserve"> between a firm's debt/equity ratio and acquisition position within the merger wave, as well as a negative relationship between free cash flow and action timing </w:t>
      </w:r>
      <m:oMath>
        <m:r>
          <w:rPr>
            <w:rFonts w:ascii="Cambria Math" w:hAnsi="Cambria Math"/>
          </w:rPr>
          <m:t>(p &lt; 0.01)</m:t>
        </m:r>
      </m:oMath>
      <w:r w:rsidRPr="00D66CE0">
        <w:t xml:space="preserve">. This suggests that firms with higher levels of slack resources (those with low debt/equity ratios, and high free cash flow) tend to acquire firms earlier in the acquisition wave. Therefore, Hypothesis 4 was supported. Finally, we find a negative relationship between prior firm performance and action timing </w:t>
      </w:r>
      <m:oMath>
        <m:r>
          <w:rPr>
            <w:rFonts w:ascii="Cambria Math" w:hAnsi="Cambria Math"/>
          </w:rPr>
          <m:t>(p &lt; 0.01)</m:t>
        </m:r>
      </m:oMath>
      <w:r w:rsidRPr="00D66CE0">
        <w:t>, indicating that better performing firms tend to act earlier in the acquisition wave. This finding provides support for Hypothesis 5.</w:t>
      </w:r>
      <w:r w:rsidRPr="00982113">
        <w:rPr>
          <w:b/>
          <w:bCs/>
          <w:vertAlign w:val="superscript"/>
        </w:rPr>
        <w:t>7</w:t>
      </w:r>
    </w:p>
    <w:p w14:paraId="272113FE" w14:textId="77777777" w:rsidR="00D66CE0" w:rsidRPr="0024282A" w:rsidRDefault="00D66CE0" w:rsidP="0024282A">
      <w:pPr>
        <w:pStyle w:val="Heading1"/>
      </w:pPr>
      <w:r w:rsidRPr="0024282A">
        <w:t>Discussion and Conclusion</w:t>
      </w:r>
    </w:p>
    <w:p w14:paraId="3B08AD99" w14:textId="4A51FD1D" w:rsidR="00D66CE0" w:rsidRPr="00D66CE0" w:rsidRDefault="00D66CE0" w:rsidP="00D66CE0">
      <w:r w:rsidRPr="00D66CE0">
        <w:t>We explored firm-level factors associated with the timing of firm entry into merger waves. In contrast to prior strategic management work that has examined </w:t>
      </w:r>
      <w:r w:rsidRPr="00D66CE0">
        <w:rPr>
          <w:i/>
          <w:iCs/>
        </w:rPr>
        <w:t>consequences</w:t>
      </w:r>
      <w:r w:rsidRPr="00D66CE0">
        <w:t> of a firm's timing of action within a wave (e.g., Carow </w:t>
      </w:r>
      <w:r w:rsidRPr="00D66CE0">
        <w:rPr>
          <w:i/>
          <w:iCs/>
        </w:rPr>
        <w:t>et al.</w:t>
      </w:r>
      <w:r w:rsidRPr="00D66CE0">
        <w:t>, </w:t>
      </w:r>
      <w:r w:rsidRPr="00D66CE0">
        <w:rPr>
          <w:b/>
          <w:bCs/>
        </w:rPr>
        <w:t>2004</w:t>
      </w:r>
      <w:r w:rsidRPr="00D66CE0">
        <w:t>), we focused on </w:t>
      </w:r>
      <w:r w:rsidRPr="00D66CE0">
        <w:rPr>
          <w:i/>
          <w:iCs/>
        </w:rPr>
        <w:t>causes</w:t>
      </w:r>
      <w:r w:rsidRPr="00D66CE0">
        <w:t xml:space="preserve"> that influence the timing of firm entry into a merger wave. Drawing on a competitive </w:t>
      </w:r>
      <w:proofErr w:type="gramStart"/>
      <w:r w:rsidRPr="00D66CE0">
        <w:t>dynamics</w:t>
      </w:r>
      <w:proofErr w:type="gramEnd"/>
      <w:r w:rsidRPr="00D66CE0">
        <w:t xml:space="preserve"> framework, we argued that leaders within these waves will have different strategic orientations, structural characteristics, and resource endowments that lead to their early position and that separate them from later movers that respond to leaders (Chen, </w:t>
      </w:r>
      <w:r w:rsidRPr="00D66CE0">
        <w:rPr>
          <w:b/>
          <w:bCs/>
        </w:rPr>
        <w:t>1996</w:t>
      </w:r>
      <w:r w:rsidRPr="00D66CE0">
        <w:t>). Our results provided considerable support for our hypotheses and are consistent with an AMC perspective in which early as compared to late movers in merger waves have greater </w:t>
      </w:r>
      <w:r w:rsidRPr="00D66CE0">
        <w:rPr>
          <w:i/>
          <w:iCs/>
        </w:rPr>
        <w:t>awareness</w:t>
      </w:r>
      <w:r w:rsidRPr="00D66CE0">
        <w:t> of their environment, increased </w:t>
      </w:r>
      <w:r w:rsidRPr="00D66CE0">
        <w:rPr>
          <w:i/>
          <w:iCs/>
        </w:rPr>
        <w:t>motivation</w:t>
      </w:r>
      <w:r w:rsidRPr="00D66CE0">
        <w:t> to act, and superior </w:t>
      </w:r>
      <w:r w:rsidRPr="00D66CE0">
        <w:rPr>
          <w:i/>
          <w:iCs/>
        </w:rPr>
        <w:t>capability</w:t>
      </w:r>
      <w:r w:rsidRPr="00D66CE0">
        <w:t xml:space="preserve"> to </w:t>
      </w:r>
      <w:proofErr w:type="gramStart"/>
      <w:r w:rsidRPr="00D66CE0">
        <w:t>take action</w:t>
      </w:r>
      <w:proofErr w:type="gramEnd"/>
      <w:r w:rsidRPr="00D66CE0">
        <w:t>.</w:t>
      </w:r>
    </w:p>
    <w:p w14:paraId="56F89482" w14:textId="2836D04E" w:rsidR="00D66CE0" w:rsidRPr="00D66CE0" w:rsidRDefault="00D66CE0" w:rsidP="00D66CE0">
      <w:r w:rsidRPr="00D66CE0">
        <w:t>We found that a firm's strategic orientation was related to position in a merger wave. Specifically, we found that early movers had higher R&amp;D and advertising intensity, suggesting that a technology and marketing focus leads to early action. These results are consistent with the notion that a strategic focus on technology and marketing amplifies the degree to which a firm has an external focus, which increases the likelihood that a firm will act early in a merger wave. These results are also consistent with the idea that investments in technology and marketing motivate a firm to strive to differentiate itself from its competitors and take a market leadership position (Zahra and Covin, </w:t>
      </w:r>
      <w:r w:rsidRPr="00D66CE0">
        <w:rPr>
          <w:b/>
          <w:bCs/>
        </w:rPr>
        <w:t>1993</w:t>
      </w:r>
      <w:r w:rsidRPr="00D66CE0">
        <w:t>). Such firms tend to have a risk-tolerant culture that makes it more likely that they will take aggressive action (Zahra and Covin, </w:t>
      </w:r>
      <w:r w:rsidRPr="00D66CE0">
        <w:rPr>
          <w:b/>
          <w:bCs/>
        </w:rPr>
        <w:t>1993</w:t>
      </w:r>
      <w:r w:rsidRPr="00D66CE0">
        <w:t>).</w:t>
      </w:r>
    </w:p>
    <w:p w14:paraId="19661579" w14:textId="3FA43A28" w:rsidR="00D66CE0" w:rsidRPr="00D66CE0" w:rsidRDefault="00D66CE0" w:rsidP="00D66CE0">
      <w:r w:rsidRPr="00D66CE0">
        <w:t>A firm's structure was also shown to influence position within a wave. Specifically, early movers were found to be smaller, which suggests that they are more likely to explore (</w:t>
      </w:r>
      <w:proofErr w:type="gramStart"/>
      <w:r w:rsidRPr="00D66CE0">
        <w:t>March,</w:t>
      </w:r>
      <w:proofErr w:type="gramEnd"/>
      <w:r w:rsidRPr="00D66CE0">
        <w:t> </w:t>
      </w:r>
      <w:r w:rsidRPr="00D66CE0">
        <w:rPr>
          <w:b/>
          <w:bCs/>
        </w:rPr>
        <w:t>1991</w:t>
      </w:r>
      <w:r w:rsidRPr="00D66CE0">
        <w:t xml:space="preserve">). Smaller firms are also more vulnerable and less insulated from the external environment, and, hence, they may have a greater need than larger rivals to act aggressively in the market and to challenge the status quo by initiating competitive actions </w:t>
      </w:r>
      <w:r w:rsidRPr="00D66CE0">
        <w:lastRenderedPageBreak/>
        <w:t>(Chen and Hambrick, </w:t>
      </w:r>
      <w:r w:rsidRPr="00D66CE0">
        <w:rPr>
          <w:b/>
          <w:bCs/>
        </w:rPr>
        <w:t>1995</w:t>
      </w:r>
      <w:r w:rsidRPr="00D66CE0">
        <w:t>). In addition, such firms appear to be more motivated than large firms to initiate competitive moves (Chen and Hambrick, </w:t>
      </w:r>
      <w:r w:rsidRPr="00D66CE0">
        <w:rPr>
          <w:b/>
          <w:bCs/>
        </w:rPr>
        <w:t>1995</w:t>
      </w:r>
      <w:r w:rsidRPr="00D66CE0">
        <w:t>). Moreover, early movers were also less diversified. As a result, such firms likely search more for alternatives than more bureaucratic firms do. Based on a more complex structure, diversified firms with a corporate layer are protected from competition, and so would be more likely to move slower than more focused firms. Additionally, in diversified firms there occurs a significant bargaining over resources within the corporate layer among business units, which may inhibit the speed to respond to competitive challenge (Liebeskind, </w:t>
      </w:r>
      <w:r w:rsidRPr="00D66CE0">
        <w:rPr>
          <w:b/>
          <w:bCs/>
        </w:rPr>
        <w:t>2000</w:t>
      </w:r>
      <w:r w:rsidRPr="00D66CE0">
        <w:t>).</w:t>
      </w:r>
    </w:p>
    <w:p w14:paraId="7C52790D" w14:textId="121CA58A" w:rsidR="00D66CE0" w:rsidRPr="00D66CE0" w:rsidRDefault="00D66CE0" w:rsidP="00D66CE0">
      <w:r w:rsidRPr="00D66CE0">
        <w:t xml:space="preserve">Finally, resources affect when firms enter merger waves. We found that firms with higher slack moved earlier in waves. This finding is consistent with the notion that firms with large pools of liquid resources deploy them in opportunity-focused investments, as it allows firms to take advantage of emergent opportunities (Cyert and </w:t>
      </w:r>
      <w:proofErr w:type="gramStart"/>
      <w:r w:rsidRPr="00D66CE0">
        <w:t>March,</w:t>
      </w:r>
      <w:proofErr w:type="gramEnd"/>
      <w:r w:rsidRPr="00D66CE0">
        <w:t> </w:t>
      </w:r>
      <w:r w:rsidRPr="00D66CE0">
        <w:rPr>
          <w:b/>
          <w:bCs/>
        </w:rPr>
        <w:t>1963</w:t>
      </w:r>
      <w:r w:rsidRPr="00D66CE0">
        <w:t>). Consistent with our finding, slack has been associated with firms carrying out more competitive moves (Young </w:t>
      </w:r>
      <w:r w:rsidRPr="00D66CE0">
        <w:rPr>
          <w:i/>
          <w:iCs/>
        </w:rPr>
        <w:t>et al.</w:t>
      </w:r>
      <w:r w:rsidRPr="00D66CE0">
        <w:t>, </w:t>
      </w:r>
      <w:r w:rsidRPr="00D66CE0">
        <w:rPr>
          <w:b/>
          <w:bCs/>
        </w:rPr>
        <w:t>1996</w:t>
      </w:r>
      <w:r w:rsidRPr="00D66CE0">
        <w:t>), initiating strategic change (Bourgeois, </w:t>
      </w:r>
      <w:r w:rsidRPr="00D66CE0">
        <w:rPr>
          <w:b/>
          <w:bCs/>
        </w:rPr>
        <w:t>1981</w:t>
      </w:r>
      <w:r w:rsidRPr="00D66CE0">
        <w:t>), and following an aggressive pattern of competitive actions (Ferrier, </w:t>
      </w:r>
      <w:r w:rsidRPr="00D66CE0">
        <w:rPr>
          <w:b/>
          <w:bCs/>
        </w:rPr>
        <w:t>2001</w:t>
      </w:r>
      <w:r w:rsidRPr="00D66CE0">
        <w:t>). Early movers were also shown to have solid performance, which suggests these firms have a strong capability to act as their performance leads to strong credit ratings, reputation within the investment community, and easier access to capital and debt markets than weaker performers, which allows them to raise the resources necessary to finance acquisitions early in waves. Overall, then, this study provides greater understanding of strategic, structural, and resource determinants of firm actions in industry merger waves, as we elaborate upon firm-level factors that help predict the temporal action within acquisition waves.</w:t>
      </w:r>
    </w:p>
    <w:p w14:paraId="02FAED79" w14:textId="11159520" w:rsidR="00D66CE0" w:rsidRPr="00D66CE0" w:rsidRDefault="00D66CE0" w:rsidP="00D66CE0">
      <w:r w:rsidRPr="00D66CE0">
        <w:t>We also contend that this study extends the competitive dynamics perspective by specifically relating it to the timing of discrete, large-scale strategic actions. Hence, we have applied competitive dynamics principles more directly to major strategic choices than in prior work. Moreover, although competitors attend and respond to one another's moves (e.g., Schumpeter, </w:t>
      </w:r>
      <w:r w:rsidRPr="00D66CE0">
        <w:rPr>
          <w:b/>
          <w:bCs/>
        </w:rPr>
        <w:t>1934</w:t>
      </w:r>
      <w:r w:rsidRPr="00D66CE0">
        <w:t>), much of competitive dynamics research has focused on the dyadic nature of interfirm rivalry (e.g., Ferrier, Smith, and Grimm, </w:t>
      </w:r>
      <w:r w:rsidRPr="00D66CE0">
        <w:rPr>
          <w:b/>
          <w:bCs/>
        </w:rPr>
        <w:t>1999</w:t>
      </w:r>
      <w:r w:rsidRPr="00D66CE0">
        <w:t>; Ferrier, </w:t>
      </w:r>
      <w:r w:rsidRPr="00D66CE0">
        <w:rPr>
          <w:b/>
          <w:bCs/>
        </w:rPr>
        <w:t>2001</w:t>
      </w:r>
      <w:r w:rsidRPr="00D66CE0">
        <w:t>). Our study refocuses competitive dynamics work back to its original conceptualization, as our view is consistent with the interdependent nature of competition found in the Austrian school (e.g., Schumpeter, </w:t>
      </w:r>
      <w:r w:rsidRPr="00D66CE0">
        <w:rPr>
          <w:b/>
          <w:bCs/>
        </w:rPr>
        <w:t>1934</w:t>
      </w:r>
      <w:r w:rsidRPr="00D66CE0">
        <w:t>) in which competitors become aware of one another's actions and react accordingly (Hsieh and Chen, </w:t>
      </w:r>
      <w:r w:rsidRPr="00D66CE0">
        <w:rPr>
          <w:b/>
          <w:bCs/>
        </w:rPr>
        <w:t>2010</w:t>
      </w:r>
      <w:r w:rsidRPr="00D66CE0">
        <w:t xml:space="preserve">). Emerging competitive dynamics research acknowledges the interdependent nature of the entire population of firms within industries and notes that as the actions from an increasing number of rivals' increase, remaining firms are compelled to </w:t>
      </w:r>
      <w:proofErr w:type="gramStart"/>
      <w:r w:rsidRPr="00D66CE0">
        <w:t>take action</w:t>
      </w:r>
      <w:proofErr w:type="gramEnd"/>
      <w:r w:rsidRPr="00D66CE0">
        <w:t xml:space="preserve"> in response to mounting competitive tension (Hsieh and Chen, </w:t>
      </w:r>
      <w:r w:rsidRPr="00D66CE0">
        <w:rPr>
          <w:b/>
          <w:bCs/>
        </w:rPr>
        <w:t>2010</w:t>
      </w:r>
      <w:r w:rsidRPr="00D66CE0">
        <w:t>). Thus, our findings, as well as this emerging work, suggest that competitive dynamics is an underutilized framework that can be applied beyond specific dyadic settings to broader industry settings to effectively explore multiple rival actions and firm responses, and we encourage future competitive dynamics work to continue to explore the aggregate impact of the actions of multiple rivals.</w:t>
      </w:r>
    </w:p>
    <w:p w14:paraId="6F74F746" w14:textId="608F1D56" w:rsidR="00D66CE0" w:rsidRPr="00D66CE0" w:rsidRDefault="00D66CE0" w:rsidP="00D66CE0">
      <w:r w:rsidRPr="00D66CE0">
        <w:t>The results of this study have obvious practical implications for managers seeking to exploit early mover advantages within acquisitions waves. We know from prior work, that early movers in acquisition waves outperform later movers (McNamara </w:t>
      </w:r>
      <w:r w:rsidRPr="00D66CE0">
        <w:rPr>
          <w:i/>
          <w:iCs/>
        </w:rPr>
        <w:t>et al.</w:t>
      </w:r>
      <w:r w:rsidRPr="00D66CE0">
        <w:t>, </w:t>
      </w:r>
      <w:r w:rsidRPr="00D66CE0">
        <w:rPr>
          <w:b/>
          <w:bCs/>
        </w:rPr>
        <w:t>2008</w:t>
      </w:r>
      <w:r w:rsidRPr="00D66CE0">
        <w:t xml:space="preserve">); hence, firm characteristics and resources that lead to early action within waves potentially have beneficial firm effects. We advise firms with superior AMC characteristics to attempt early movement in waves because they have more of the skills needed to carry out acquisitions early in waves when acquisition performance tends to be strongest. Our findings should encourage smaller, more nimble players with simpler structures that have invested in technological and market awareness to move early, especially when they have access to appropriate funding (i.e., slack). Conversely, we also advise firms without superior AMC characteristics either to develop such skills and motivation or simply to stay out of waves—as firms without strong AMC characteristics tend to act later in waves when performance turns negative. We realize that many of the firm characteristics we examined are difficult to change (e.g., strategy, structure), so even if firms want to increase their AMC, they may only be able to do so in limited ways (e.g., increase external </w:t>
      </w:r>
      <w:r w:rsidRPr="00D66CE0">
        <w:lastRenderedPageBreak/>
        <w:t>awareness with greater R&amp;D intensity and advertising intensity, and move with sufficient slack resources). Still, given the high costs of failed acquisitions later in waves, it seems more prudent not to acquire rather than to acquire later in the waves.</w:t>
      </w:r>
    </w:p>
    <w:p w14:paraId="753F1ABC" w14:textId="77777777" w:rsidR="00D66CE0" w:rsidRPr="00D66CE0" w:rsidRDefault="00D66CE0" w:rsidP="0024282A">
      <w:pPr>
        <w:pStyle w:val="Heading2"/>
      </w:pPr>
      <w:r w:rsidRPr="00D66CE0">
        <w:t>Limitations and future directions</w:t>
      </w:r>
    </w:p>
    <w:p w14:paraId="10F19B35" w14:textId="77777777" w:rsidR="00D66CE0" w:rsidRPr="00D66CE0" w:rsidRDefault="00D66CE0" w:rsidP="00D66CE0">
      <w:r w:rsidRPr="00D66CE0">
        <w:t>We see opportunities to further develop the lines of inquiry in understanding merger waves. While we examined early and late movers in waves, exploring the influences of capabilities and resources that distinguish participation and nonparticipation within merger waves also seems worthwhile. That is, while our results were consistent with the notion that high AMC firms tend to move earlier than low AMC firms in merger waves, our study does not clarify the characteristics of non-movers. Logically, we would assume that non-movers likely have less motivation to enter waves than wave participants; however, we do not know why they are less motivated. For example, as stated earlier, there are financial advantages in not moving late within waves, and if nonparticipants contemplated moving but were aware that remaining opportunities were potentially unfruitful, such an ability to assess a possible acquisition and resist the pressure to move within a wave would be a financially beneficial skill worth exploring both for strategy scholars and practitioners.</w:t>
      </w:r>
    </w:p>
    <w:p w14:paraId="1FDBEBF0" w14:textId="77777777" w:rsidR="00D66CE0" w:rsidRPr="00D66CE0" w:rsidRDefault="00D66CE0" w:rsidP="00D66CE0">
      <w:r w:rsidRPr="00D66CE0">
        <w:t>We should also note that although this was the first study to predict acquisition timing within a merger wave, we only predicted main effects. Future work would benefit by exploring more nuanced findings that could be provided by exploring interaction effects with our main effects variables. Additionally, although we did include various industry-, firm-, and acquisition-level control variables, it may be that we have not controlled for the broadest possible set of variables that could affect a firm's temporal positioning within the wave. For example, future research could examine whether and how the macroeconomic factors that contribute to the initiation of an acquisition wave moderate the factors that influence the timing of firm participation in the wave. Therefore, we encourage future research to look for additional variables that could influence the timing of firm action within waves.</w:t>
      </w:r>
    </w:p>
    <w:p w14:paraId="52F72C0E" w14:textId="77777777" w:rsidR="00D66CE0" w:rsidRPr="00D66CE0" w:rsidRDefault="00D66CE0" w:rsidP="00D66CE0">
      <w:r w:rsidRPr="00D66CE0">
        <w:t xml:space="preserve">In addition, we suggest that multiple methods be used to increase the insight into both leader and follower characteristics as well as to provide additional insight into industry merger wave patterns. We used a large, archival sample to examine our research question, which had the advantage of generating broadly generalizable results. However, we encourage the use of more fine-grained research methodologies, such as interviews and survey methodology that may make it possible to develop a more nuanced cognitive assessment of how and when leaders and followers gather (e.g., scanning, experimenting), process (e.g., adaptability and speed), filter, and apply information that helps them decide whether and when to move within merger waves. That is, while we speculate that our firm characteristics drive the awareness, motivation, and capabilities of firms that, in turn, influence firm timing within acquisition waves, using an archival approach, we are unable to directly measure awareness, motivation, or capability to </w:t>
      </w:r>
      <w:proofErr w:type="gramStart"/>
      <w:r w:rsidRPr="00D66CE0">
        <w:t>take action</w:t>
      </w:r>
      <w:proofErr w:type="gramEnd"/>
      <w:r w:rsidRPr="00D66CE0">
        <w:t>. Similarly, we are unable to directly measure the ‘competitive tension’ firms' face. Hence, we encourage future work to use other approaches to directly examine AMC of firms as well as the perceptions in the firm regarding competitive tension within its markets. Thus, we see ample opportunity for future researchers to extend our understanding of the factors that influence participants in merger waves, the decision processes of leaders and followers within such waves, and post-merger wave activity such as divestitures that are a reaction to merger waves. Such work also has the potential to further develop theory on competitive dynamics.</w:t>
      </w:r>
    </w:p>
    <w:p w14:paraId="6F61F511" w14:textId="77777777" w:rsidR="00D66CE0" w:rsidRPr="00D66CE0" w:rsidRDefault="00D66CE0" w:rsidP="00D66CE0">
      <w:r w:rsidRPr="00D66CE0">
        <w:t xml:space="preserve">Finally, our results lend further confidence to the competitive dynamics notion that firm characteristics and resources predict early mover actions and follower responses in the context of merger waves. Importantly, we believe the competitive dynamics predictions set forth in this paper will also apply to other contexts in which firms are interdependent. Since waves are periods of heightened activity that are triggered by the actions of early movers (which are often associated with innovation) and the imitative responses of later movers, we </w:t>
      </w:r>
      <w:r w:rsidRPr="00D66CE0">
        <w:lastRenderedPageBreak/>
        <w:t xml:space="preserve">expect to see this form of interdependence in many forms of strategically relevant actions. For example, we anticipate that waves occur in such contexts as management fads, technology trajectories, new product introductions, and compensation practices, which all appear to be characterized by early mover action, and later mover reaction. Therefore, waves appear to be prevalent but under-researched, and our findings should encourage other strategic management researchers to apply the competitive dynamics framework to other large-scale strategic events that take the form of waves </w:t>
      </w:r>
      <w:proofErr w:type="gramStart"/>
      <w:r w:rsidRPr="00D66CE0">
        <w:t>in an attempt to</w:t>
      </w:r>
      <w:proofErr w:type="gramEnd"/>
      <w:r w:rsidRPr="00D66CE0">
        <w:t xml:space="preserve"> more fully understand the interdependent nature of competition.</w:t>
      </w:r>
    </w:p>
    <w:p w14:paraId="1C03812B" w14:textId="77777777" w:rsidR="00D66CE0" w:rsidRPr="0024282A" w:rsidRDefault="00D66CE0" w:rsidP="0024282A">
      <w:pPr>
        <w:pStyle w:val="Heading1"/>
      </w:pPr>
      <w:r w:rsidRPr="0024282A">
        <w:t>Acknowledgements</w:t>
      </w:r>
    </w:p>
    <w:p w14:paraId="4D7F08FD" w14:textId="7AECBF91" w:rsidR="00D66CE0" w:rsidRDefault="00D66CE0" w:rsidP="00D66CE0">
      <w:r w:rsidRPr="00D66CE0">
        <w:t>We thank Ken Smith, Hun Lee, Margaret Hughes-Morgan, and Philip Bromiley for commenting on earlier drafts of our work.</w:t>
      </w:r>
    </w:p>
    <w:p w14:paraId="677E0E4A" w14:textId="36144F56" w:rsidR="00D66CE0" w:rsidRPr="00D66CE0" w:rsidRDefault="002128A7" w:rsidP="00D66CE0">
      <w:pPr>
        <w:pStyle w:val="Heading1"/>
      </w:pPr>
      <w:r>
        <w:t>Notes</w:t>
      </w:r>
    </w:p>
    <w:p w14:paraId="3F2A2559" w14:textId="6147387C" w:rsidR="00D66CE0" w:rsidRPr="00D66CE0" w:rsidRDefault="00D66CE0" w:rsidP="002128A7">
      <w:pPr>
        <w:pStyle w:val="NoSpacing"/>
        <w:ind w:left="720" w:hanging="720"/>
      </w:pPr>
      <w:r w:rsidRPr="00D66CE0">
        <w:t xml:space="preserve">1 Within the competitive-dynamics perspective, ‘action’ is a specific and detectable competitive move initiated by a firm to improve its relative competitive position, while a ‘response’ is a clear-cut and discernible counteraction taken by a competing firm </w:t>
      </w:r>
      <w:proofErr w:type="gramStart"/>
      <w:r w:rsidRPr="00D66CE0">
        <w:t>with regard to</w:t>
      </w:r>
      <w:proofErr w:type="gramEnd"/>
      <w:r w:rsidRPr="00D66CE0">
        <w:t xml:space="preserve"> one or more competitors to defend or improve its position (Smith </w:t>
      </w:r>
      <w:r w:rsidRPr="00D66CE0">
        <w:rPr>
          <w:i/>
          <w:iCs/>
        </w:rPr>
        <w:t>et al.</w:t>
      </w:r>
      <w:r w:rsidRPr="00D66CE0">
        <w:t>, 1991). </w:t>
      </w:r>
    </w:p>
    <w:p w14:paraId="4EE7A19F" w14:textId="2A2F59E2" w:rsidR="00D66CE0" w:rsidRPr="00D66CE0" w:rsidRDefault="00D66CE0" w:rsidP="002128A7">
      <w:pPr>
        <w:pStyle w:val="NoSpacing"/>
        <w:ind w:left="720" w:hanging="720"/>
      </w:pPr>
      <w:r w:rsidRPr="00D66CE0">
        <w:t>2 We limited our sample to firms with at least $ 10M in both total assets and sales. This is consistent with prior research (e.g., McGahan and Porter, 1997) and is logical in this setting since actions by extremely small firms are unlikely to trigger a reaction by larger firms in the market. </w:t>
      </w:r>
    </w:p>
    <w:p w14:paraId="273025E2" w14:textId="167F555C" w:rsidR="00D66CE0" w:rsidRPr="00D66CE0" w:rsidRDefault="00D66CE0" w:rsidP="002128A7">
      <w:pPr>
        <w:pStyle w:val="NoSpacing"/>
        <w:ind w:left="720" w:hanging="720"/>
      </w:pPr>
      <w:r w:rsidRPr="00D66CE0">
        <w:t>3 We studied only firms that entered the acquisition wave. Non-acquirers were not studied. </w:t>
      </w:r>
    </w:p>
    <w:p w14:paraId="7D2A0FC3" w14:textId="4F874C55" w:rsidR="00D66CE0" w:rsidRPr="00D66CE0" w:rsidRDefault="00D66CE0" w:rsidP="002128A7">
      <w:pPr>
        <w:pStyle w:val="NoSpacing"/>
        <w:ind w:left="720" w:hanging="720"/>
      </w:pPr>
      <w:r w:rsidRPr="00D66CE0">
        <w:t xml:space="preserve">4 To </w:t>
      </w:r>
      <w:proofErr w:type="gramStart"/>
      <w:r w:rsidRPr="00D66CE0">
        <w:t>insure</w:t>
      </w:r>
      <w:proofErr w:type="gramEnd"/>
      <w:r w:rsidRPr="00D66CE0">
        <w:t xml:space="preserve"> that our results were not driven by a small set of extremely large firms, we also conducted three additional analyses in which we removed firms that were above size cutoffs of $ 25B, $ 10B, and $ 1B in sales. The results for firm size were consistent in these analyses with the one presented here. </w:t>
      </w:r>
    </w:p>
    <w:p w14:paraId="51ABA2AD" w14:textId="14F16390" w:rsidR="00D66CE0" w:rsidRPr="00D66CE0" w:rsidRDefault="00D66CE0" w:rsidP="002128A7">
      <w:pPr>
        <w:pStyle w:val="NoSpacing"/>
        <w:ind w:left="720" w:hanging="720"/>
      </w:pPr>
      <w:r w:rsidRPr="00D66CE0">
        <w:t>5 As a robustness check, we also used an industry adjusted ROA value for prior firm performance. The results from that analysis are consistent with those reported here. </w:t>
      </w:r>
    </w:p>
    <w:p w14:paraId="408CA3FC" w14:textId="04F5838A" w:rsidR="00D66CE0" w:rsidRPr="00D66CE0" w:rsidRDefault="00D66CE0" w:rsidP="002128A7">
      <w:pPr>
        <w:pStyle w:val="NoSpacing"/>
        <w:ind w:left="720" w:hanging="720"/>
      </w:pPr>
      <w:r w:rsidRPr="00D66CE0">
        <w:t xml:space="preserve">6 To ensure that our results were not being driven by outliers, we </w:t>
      </w:r>
      <w:proofErr w:type="spellStart"/>
      <w:r w:rsidRPr="00D66CE0">
        <w:t>Winsorized</w:t>
      </w:r>
      <w:proofErr w:type="spellEnd"/>
      <w:r w:rsidRPr="00D66CE0">
        <w:t xml:space="preserve"> our independent variables using a 99 percent </w:t>
      </w:r>
      <w:proofErr w:type="spellStart"/>
      <w:r w:rsidRPr="00D66CE0">
        <w:t>Winsorization</w:t>
      </w:r>
      <w:proofErr w:type="spellEnd"/>
      <w:r w:rsidRPr="00D66CE0">
        <w:t xml:space="preserve"> value. </w:t>
      </w:r>
    </w:p>
    <w:p w14:paraId="2FA44D3D" w14:textId="7BBC1E8B" w:rsidR="00D66CE0" w:rsidRDefault="00D66CE0" w:rsidP="002128A7">
      <w:pPr>
        <w:pStyle w:val="NoSpacing"/>
        <w:ind w:left="720" w:hanging="720"/>
      </w:pPr>
      <w:r w:rsidRPr="00D66CE0">
        <w:t xml:space="preserve">7 We also conducted a supplemental analysis in which we used slack and performance measures from the year before the beginning of the acquisition wave. The results from that analysis are </w:t>
      </w:r>
      <w:proofErr w:type="gramStart"/>
      <w:r w:rsidRPr="00D66CE0">
        <w:t>similar to</w:t>
      </w:r>
      <w:proofErr w:type="gramEnd"/>
      <w:r w:rsidRPr="00D66CE0">
        <w:t xml:space="preserve"> those reported here and are available from the authors upon request.</w:t>
      </w:r>
    </w:p>
    <w:p w14:paraId="5E1FA4B4" w14:textId="77777777" w:rsidR="002128A7" w:rsidRDefault="002128A7" w:rsidP="00D66CE0"/>
    <w:p w14:paraId="3D736FEE" w14:textId="226B910E" w:rsidR="00295FC6" w:rsidRDefault="002128A7" w:rsidP="002128A7">
      <w:pPr>
        <w:pStyle w:val="Heading1"/>
      </w:pPr>
      <w:r>
        <w:t>References</w:t>
      </w:r>
    </w:p>
    <w:p w14:paraId="68C52BFB" w14:textId="77777777" w:rsidR="002128A7" w:rsidRPr="002128A7" w:rsidRDefault="002128A7" w:rsidP="00415AFF">
      <w:pPr>
        <w:pStyle w:val="NoSpacing"/>
        <w:ind w:left="720" w:hanging="720"/>
      </w:pPr>
      <w:r w:rsidRPr="002128A7">
        <w:t>Adler PS, </w:t>
      </w:r>
      <w:proofErr w:type="spellStart"/>
      <w:r w:rsidRPr="002128A7">
        <w:t>Borys</w:t>
      </w:r>
      <w:proofErr w:type="spellEnd"/>
      <w:r w:rsidRPr="002128A7">
        <w:t xml:space="preserve"> B. 1996. Two types of bureaucracy: enabling and coercive. </w:t>
      </w:r>
      <w:r w:rsidRPr="002128A7">
        <w:rPr>
          <w:i/>
          <w:iCs/>
        </w:rPr>
        <w:t>Administrative Science Quarterly</w:t>
      </w:r>
      <w:r w:rsidRPr="002128A7">
        <w:t> </w:t>
      </w:r>
      <w:r w:rsidRPr="002128A7">
        <w:rPr>
          <w:b/>
          <w:bCs/>
        </w:rPr>
        <w:t>41</w:t>
      </w:r>
      <w:r w:rsidRPr="002128A7">
        <w:t>: 61–89.</w:t>
      </w:r>
    </w:p>
    <w:p w14:paraId="677FFD77" w14:textId="77777777" w:rsidR="002128A7" w:rsidRPr="002128A7" w:rsidRDefault="002128A7" w:rsidP="00415AFF">
      <w:pPr>
        <w:pStyle w:val="NoSpacing"/>
        <w:ind w:left="720" w:hanging="720"/>
      </w:pPr>
      <w:r w:rsidRPr="002128A7">
        <w:t>Aldrich H, Auster E. 1986. Even dwarfs started small: liabilities of age and size and their strategic implications. In </w:t>
      </w:r>
      <w:r w:rsidRPr="002128A7">
        <w:rPr>
          <w:i/>
          <w:iCs/>
        </w:rPr>
        <w:t>Research in Organizational Behavior</w:t>
      </w:r>
      <w:r w:rsidRPr="002128A7">
        <w:t>, </w:t>
      </w:r>
      <w:proofErr w:type="spellStart"/>
      <w:r w:rsidRPr="002128A7">
        <w:t>Staw</w:t>
      </w:r>
      <w:proofErr w:type="spellEnd"/>
      <w:r w:rsidRPr="002128A7">
        <w:t xml:space="preserve"> BM, Cummings LL (eds). JAI Press: Greenwich, CT; 165–198.</w:t>
      </w:r>
    </w:p>
    <w:p w14:paraId="085BB1DE" w14:textId="77777777" w:rsidR="002128A7" w:rsidRPr="002128A7" w:rsidRDefault="002128A7" w:rsidP="00415AFF">
      <w:pPr>
        <w:pStyle w:val="NoSpacing"/>
        <w:ind w:left="720" w:hanging="720"/>
      </w:pPr>
      <w:r w:rsidRPr="002128A7">
        <w:t>Andrade G, Mitchell M, Stafford E. 2001. New evidence and perspectives on mergers. </w:t>
      </w:r>
      <w:r w:rsidRPr="002128A7">
        <w:rPr>
          <w:i/>
          <w:iCs/>
        </w:rPr>
        <w:t>Journal of Economic Perspectives</w:t>
      </w:r>
      <w:r w:rsidRPr="002128A7">
        <w:t> </w:t>
      </w:r>
      <w:r w:rsidRPr="002128A7">
        <w:rPr>
          <w:b/>
          <w:bCs/>
        </w:rPr>
        <w:t>15</w:t>
      </w:r>
      <w:r w:rsidRPr="002128A7">
        <w:t>: 103–120.</w:t>
      </w:r>
    </w:p>
    <w:p w14:paraId="2084542D" w14:textId="77777777" w:rsidR="002128A7" w:rsidRPr="002128A7" w:rsidRDefault="002128A7" w:rsidP="00415AFF">
      <w:pPr>
        <w:pStyle w:val="NoSpacing"/>
        <w:ind w:left="720" w:hanging="720"/>
      </w:pPr>
      <w:proofErr w:type="spellStart"/>
      <w:r w:rsidRPr="002128A7">
        <w:t>Audia</w:t>
      </w:r>
      <w:proofErr w:type="spellEnd"/>
      <w:r w:rsidRPr="002128A7">
        <w:t xml:space="preserve"> PG, </w:t>
      </w:r>
      <w:proofErr w:type="spellStart"/>
      <w:r w:rsidRPr="002128A7">
        <w:t>Greve</w:t>
      </w:r>
      <w:proofErr w:type="spellEnd"/>
      <w:r w:rsidRPr="002128A7">
        <w:t xml:space="preserve"> HR. 2006. Less likely to </w:t>
      </w:r>
      <w:proofErr w:type="gramStart"/>
      <w:r w:rsidRPr="002128A7">
        <w:t>fail:</w:t>
      </w:r>
      <w:proofErr w:type="gramEnd"/>
      <w:r w:rsidRPr="002128A7">
        <w:t xml:space="preserve"> performance, firm size, and factory expansion in the shipbuilding industry. </w:t>
      </w:r>
      <w:r w:rsidRPr="002128A7">
        <w:rPr>
          <w:i/>
          <w:iCs/>
        </w:rPr>
        <w:t>Management Science</w:t>
      </w:r>
      <w:r w:rsidRPr="002128A7">
        <w:t> </w:t>
      </w:r>
      <w:r w:rsidRPr="002128A7">
        <w:rPr>
          <w:b/>
          <w:bCs/>
        </w:rPr>
        <w:t>52</w:t>
      </w:r>
      <w:r w:rsidRPr="002128A7">
        <w:t>: 83–94.</w:t>
      </w:r>
    </w:p>
    <w:p w14:paraId="3B95DE2F" w14:textId="77777777" w:rsidR="002128A7" w:rsidRPr="002128A7" w:rsidRDefault="002128A7" w:rsidP="00415AFF">
      <w:pPr>
        <w:pStyle w:val="NoSpacing"/>
        <w:ind w:left="720" w:hanging="720"/>
      </w:pPr>
      <w:r w:rsidRPr="002128A7">
        <w:t>Banerjee A, Eckard EWJ. 2001. Why regulate insider trading? Evidence from the first great merger wave (1897–1903). </w:t>
      </w:r>
      <w:r w:rsidRPr="002128A7">
        <w:rPr>
          <w:i/>
          <w:iCs/>
        </w:rPr>
        <w:t>American Economic Review</w:t>
      </w:r>
      <w:r w:rsidRPr="002128A7">
        <w:t> </w:t>
      </w:r>
      <w:r w:rsidRPr="002128A7">
        <w:rPr>
          <w:b/>
          <w:bCs/>
        </w:rPr>
        <w:t>91</w:t>
      </w:r>
      <w:r w:rsidRPr="002128A7">
        <w:t>: 1329–1349.</w:t>
      </w:r>
    </w:p>
    <w:p w14:paraId="75573EBA" w14:textId="77777777" w:rsidR="002128A7" w:rsidRPr="002128A7" w:rsidRDefault="002128A7" w:rsidP="00415AFF">
      <w:pPr>
        <w:pStyle w:val="NoSpacing"/>
        <w:ind w:left="720" w:hanging="720"/>
      </w:pPr>
      <w:r w:rsidRPr="002128A7">
        <w:t>Barney J. 1991. Firm resources and sustained competitive advantage. </w:t>
      </w:r>
      <w:r w:rsidRPr="002128A7">
        <w:rPr>
          <w:i/>
          <w:iCs/>
        </w:rPr>
        <w:t>Journal of Management</w:t>
      </w:r>
      <w:r w:rsidRPr="002128A7">
        <w:t> </w:t>
      </w:r>
      <w:r w:rsidRPr="002128A7">
        <w:rPr>
          <w:b/>
          <w:bCs/>
        </w:rPr>
        <w:t>17</w:t>
      </w:r>
      <w:r w:rsidRPr="002128A7">
        <w:t>(1): 99–120.</w:t>
      </w:r>
    </w:p>
    <w:p w14:paraId="56A82B92" w14:textId="77777777" w:rsidR="002128A7" w:rsidRPr="002128A7" w:rsidRDefault="002128A7" w:rsidP="00415AFF">
      <w:pPr>
        <w:pStyle w:val="NoSpacing"/>
        <w:ind w:left="720" w:hanging="720"/>
      </w:pPr>
      <w:r w:rsidRPr="002128A7">
        <w:t>Berry H. 2006. Leaders, laggards, and the pursuit of foreign knowledge. </w:t>
      </w:r>
      <w:r w:rsidRPr="002128A7">
        <w:rPr>
          <w:i/>
          <w:iCs/>
        </w:rPr>
        <w:t>Strategic Management Journal</w:t>
      </w:r>
      <w:r w:rsidRPr="002128A7">
        <w:t> </w:t>
      </w:r>
      <w:r w:rsidRPr="002128A7">
        <w:rPr>
          <w:b/>
          <w:bCs/>
        </w:rPr>
        <w:t>27</w:t>
      </w:r>
      <w:r w:rsidRPr="002128A7">
        <w:t>(2): 151–168.</w:t>
      </w:r>
    </w:p>
    <w:p w14:paraId="6897D739" w14:textId="77777777" w:rsidR="002128A7" w:rsidRPr="002128A7" w:rsidRDefault="002128A7" w:rsidP="00415AFF">
      <w:pPr>
        <w:pStyle w:val="NoSpacing"/>
        <w:ind w:left="720" w:hanging="720"/>
      </w:pPr>
      <w:r w:rsidRPr="002128A7">
        <w:lastRenderedPageBreak/>
        <w:t>Bethel JE, </w:t>
      </w:r>
      <w:proofErr w:type="spellStart"/>
      <w:r w:rsidRPr="002128A7">
        <w:t>Liebeskind</w:t>
      </w:r>
      <w:proofErr w:type="spellEnd"/>
      <w:r w:rsidRPr="002128A7">
        <w:t xml:space="preserve"> JP. 1998. Diversification and the legal organization of the firm. </w:t>
      </w:r>
      <w:r w:rsidRPr="002128A7">
        <w:rPr>
          <w:i/>
          <w:iCs/>
        </w:rPr>
        <w:t>Organization Science</w:t>
      </w:r>
      <w:r w:rsidRPr="002128A7">
        <w:t> </w:t>
      </w:r>
      <w:r w:rsidRPr="002128A7">
        <w:rPr>
          <w:b/>
          <w:bCs/>
        </w:rPr>
        <w:t>9</w:t>
      </w:r>
      <w:r w:rsidRPr="002128A7">
        <w:t>: 49–67.</w:t>
      </w:r>
    </w:p>
    <w:p w14:paraId="4338B26F" w14:textId="77777777" w:rsidR="002128A7" w:rsidRPr="002128A7" w:rsidRDefault="002128A7" w:rsidP="00415AFF">
      <w:pPr>
        <w:pStyle w:val="NoSpacing"/>
        <w:ind w:left="720" w:hanging="720"/>
      </w:pPr>
      <w:r w:rsidRPr="002128A7">
        <w:t>Bourgeois LJ. 1981. On the measurement of organizational slack. </w:t>
      </w:r>
      <w:r w:rsidRPr="002128A7">
        <w:rPr>
          <w:i/>
          <w:iCs/>
        </w:rPr>
        <w:t>Academy of Management Review</w:t>
      </w:r>
      <w:r w:rsidRPr="002128A7">
        <w:t> </w:t>
      </w:r>
      <w:r w:rsidRPr="002128A7">
        <w:rPr>
          <w:b/>
          <w:bCs/>
        </w:rPr>
        <w:t>6</w:t>
      </w:r>
      <w:r w:rsidRPr="002128A7">
        <w:t>: 29–39.</w:t>
      </w:r>
    </w:p>
    <w:p w14:paraId="451396F5" w14:textId="77777777" w:rsidR="002128A7" w:rsidRPr="002128A7" w:rsidRDefault="002128A7" w:rsidP="00415AFF">
      <w:pPr>
        <w:pStyle w:val="NoSpacing"/>
        <w:ind w:left="720" w:hanging="720"/>
      </w:pPr>
      <w:proofErr w:type="spellStart"/>
      <w:r w:rsidRPr="002128A7">
        <w:t>Carow</w:t>
      </w:r>
      <w:proofErr w:type="spellEnd"/>
      <w:r w:rsidRPr="002128A7">
        <w:t xml:space="preserve"> K, Heron R, Saxton T. 2004. Do early birds get the returns? An empirical investigation of early-mover advantages in acquisitions. </w:t>
      </w:r>
      <w:r w:rsidRPr="002128A7">
        <w:rPr>
          <w:i/>
          <w:iCs/>
        </w:rPr>
        <w:t>Strategic Management Journal</w:t>
      </w:r>
      <w:r w:rsidRPr="002128A7">
        <w:t> </w:t>
      </w:r>
      <w:r w:rsidRPr="002128A7">
        <w:rPr>
          <w:b/>
          <w:bCs/>
        </w:rPr>
        <w:t>25</w:t>
      </w:r>
      <w:r w:rsidRPr="002128A7">
        <w:t>(6): 563–585.</w:t>
      </w:r>
    </w:p>
    <w:p w14:paraId="7390876E" w14:textId="77777777" w:rsidR="002128A7" w:rsidRPr="002128A7" w:rsidRDefault="002128A7" w:rsidP="00415AFF">
      <w:pPr>
        <w:pStyle w:val="NoSpacing"/>
        <w:ind w:left="720" w:hanging="720"/>
      </w:pPr>
      <w:proofErr w:type="spellStart"/>
      <w:r w:rsidRPr="002128A7">
        <w:t>Chaindler</w:t>
      </w:r>
      <w:proofErr w:type="spellEnd"/>
      <w:r w:rsidRPr="002128A7">
        <w:t xml:space="preserve"> AD. 1962. </w:t>
      </w:r>
      <w:r w:rsidRPr="002128A7">
        <w:rPr>
          <w:i/>
          <w:iCs/>
        </w:rPr>
        <w:t>Strategy and Structure: Chapters in the History of Industrial Enterprise</w:t>
      </w:r>
      <w:r w:rsidRPr="002128A7">
        <w:t>. MIT Press: Cambridge, MA.</w:t>
      </w:r>
    </w:p>
    <w:p w14:paraId="7EB223DD" w14:textId="77777777" w:rsidR="002128A7" w:rsidRPr="002128A7" w:rsidRDefault="002128A7" w:rsidP="00415AFF">
      <w:pPr>
        <w:pStyle w:val="NoSpacing"/>
        <w:ind w:left="720" w:hanging="720"/>
      </w:pPr>
      <w:r w:rsidRPr="002128A7">
        <w:t>Chen M-J. 1996. Competitor analysis and interfirm rivalry: toward a theoretical integration. </w:t>
      </w:r>
      <w:r w:rsidRPr="002128A7">
        <w:rPr>
          <w:i/>
          <w:iCs/>
        </w:rPr>
        <w:t>Academy of Management Review</w:t>
      </w:r>
      <w:r w:rsidRPr="002128A7">
        <w:t> </w:t>
      </w:r>
      <w:r w:rsidRPr="002128A7">
        <w:rPr>
          <w:b/>
          <w:bCs/>
        </w:rPr>
        <w:t>21</w:t>
      </w:r>
      <w:r w:rsidRPr="002128A7">
        <w:t>(1): 100–134.</w:t>
      </w:r>
    </w:p>
    <w:p w14:paraId="6C7F1FF2" w14:textId="77777777" w:rsidR="002128A7" w:rsidRPr="002128A7" w:rsidRDefault="002128A7" w:rsidP="00415AFF">
      <w:pPr>
        <w:pStyle w:val="NoSpacing"/>
        <w:ind w:left="720" w:hanging="720"/>
      </w:pPr>
      <w:r w:rsidRPr="002128A7">
        <w:t>Chen M-J, Hambrick DC. 1995. Speed, stealth, and selective attack: how small firms differ from large firms in competitive behavior. </w:t>
      </w:r>
      <w:r w:rsidRPr="002128A7">
        <w:rPr>
          <w:i/>
          <w:iCs/>
        </w:rPr>
        <w:t>Academy of Management Journal</w:t>
      </w:r>
      <w:r w:rsidRPr="002128A7">
        <w:t> </w:t>
      </w:r>
      <w:r w:rsidRPr="002128A7">
        <w:rPr>
          <w:b/>
          <w:bCs/>
        </w:rPr>
        <w:t>38</w:t>
      </w:r>
      <w:r w:rsidRPr="002128A7">
        <w:t>: 453–482.</w:t>
      </w:r>
    </w:p>
    <w:p w14:paraId="7725F731" w14:textId="77777777" w:rsidR="002128A7" w:rsidRPr="002128A7" w:rsidRDefault="002128A7" w:rsidP="00415AFF">
      <w:pPr>
        <w:pStyle w:val="NoSpacing"/>
        <w:ind w:left="720" w:hanging="720"/>
      </w:pPr>
      <w:r w:rsidRPr="002128A7">
        <w:t>Chen M-J, MacMillan IC. 1992. </w:t>
      </w:r>
      <w:proofErr w:type="gramStart"/>
      <w:r w:rsidRPr="002128A7">
        <w:t>Non-response</w:t>
      </w:r>
      <w:proofErr w:type="gramEnd"/>
      <w:r w:rsidRPr="002128A7">
        <w:t xml:space="preserve"> and delayed response to competitive moves: the roles of competitor dependence and action irreversibility. </w:t>
      </w:r>
      <w:r w:rsidRPr="002128A7">
        <w:rPr>
          <w:i/>
          <w:iCs/>
        </w:rPr>
        <w:t>Academy of Management Journal,</w:t>
      </w:r>
      <w:r w:rsidRPr="002128A7">
        <w:t> </w:t>
      </w:r>
      <w:r w:rsidRPr="002128A7">
        <w:rPr>
          <w:b/>
          <w:bCs/>
        </w:rPr>
        <w:t>35</w:t>
      </w:r>
      <w:r w:rsidRPr="002128A7">
        <w:t>: 539–570.</w:t>
      </w:r>
    </w:p>
    <w:p w14:paraId="51521A37" w14:textId="77777777" w:rsidR="002128A7" w:rsidRPr="002128A7" w:rsidRDefault="002128A7" w:rsidP="00415AFF">
      <w:pPr>
        <w:pStyle w:val="NoSpacing"/>
        <w:ind w:left="720" w:hanging="720"/>
      </w:pPr>
      <w:r w:rsidRPr="002128A7">
        <w:t>Chen M-J, Su K, Tsai W. 2007. Competitive tension: the awareness-motivation-capability perspective. </w:t>
      </w:r>
      <w:r w:rsidRPr="002128A7">
        <w:rPr>
          <w:i/>
          <w:iCs/>
        </w:rPr>
        <w:t>Academy of Management Journal</w:t>
      </w:r>
      <w:r w:rsidRPr="002128A7">
        <w:t> </w:t>
      </w:r>
      <w:r w:rsidRPr="002128A7">
        <w:rPr>
          <w:b/>
          <w:bCs/>
        </w:rPr>
        <w:t>50</w:t>
      </w:r>
      <w:r w:rsidRPr="002128A7">
        <w:t>: 101–118.</w:t>
      </w:r>
    </w:p>
    <w:p w14:paraId="6EC5BC05" w14:textId="77777777" w:rsidR="002128A7" w:rsidRPr="002128A7" w:rsidRDefault="002128A7" w:rsidP="00415AFF">
      <w:pPr>
        <w:pStyle w:val="NoSpacing"/>
        <w:ind w:left="720" w:hanging="720"/>
      </w:pPr>
      <w:r w:rsidRPr="002128A7">
        <w:t xml:space="preserve">Chen M-J, Venkataraman S, Black S, MacMillan IC. 2002. The role of </w:t>
      </w:r>
      <w:proofErr w:type="spellStart"/>
      <w:r w:rsidRPr="002128A7">
        <w:t>irreversibilities</w:t>
      </w:r>
      <w:proofErr w:type="spellEnd"/>
      <w:r w:rsidRPr="002128A7">
        <w:t xml:space="preserve"> in competitive interaction: behavioral considerations from organization theory. </w:t>
      </w:r>
      <w:r w:rsidRPr="002128A7">
        <w:rPr>
          <w:i/>
          <w:iCs/>
        </w:rPr>
        <w:t>Managerial and Decision Economics</w:t>
      </w:r>
      <w:r w:rsidRPr="002128A7">
        <w:t> </w:t>
      </w:r>
      <w:r w:rsidRPr="002128A7">
        <w:rPr>
          <w:b/>
          <w:bCs/>
        </w:rPr>
        <w:t>23</w:t>
      </w:r>
      <w:r w:rsidRPr="002128A7">
        <w:t>: 187–207.</w:t>
      </w:r>
    </w:p>
    <w:p w14:paraId="31AA5839" w14:textId="77777777" w:rsidR="002128A7" w:rsidRPr="002128A7" w:rsidRDefault="002128A7" w:rsidP="00415AFF">
      <w:pPr>
        <w:pStyle w:val="NoSpacing"/>
        <w:ind w:left="720" w:hanging="720"/>
      </w:pPr>
      <w:proofErr w:type="spellStart"/>
      <w:r w:rsidRPr="002128A7">
        <w:t>Cyert</w:t>
      </w:r>
      <w:proofErr w:type="spellEnd"/>
      <w:r w:rsidRPr="002128A7">
        <w:t xml:space="preserve"> RM, March JG. 1963. </w:t>
      </w:r>
      <w:r w:rsidRPr="002128A7">
        <w:rPr>
          <w:i/>
          <w:iCs/>
        </w:rPr>
        <w:t>A Behavioral Theory of the Firm</w:t>
      </w:r>
      <w:r w:rsidRPr="002128A7">
        <w:t>. Prentice-Hall: Englewood Cliffs, NJ.</w:t>
      </w:r>
    </w:p>
    <w:p w14:paraId="07E95EDF" w14:textId="77777777" w:rsidR="002128A7" w:rsidRPr="002128A7" w:rsidRDefault="002128A7" w:rsidP="00415AFF">
      <w:pPr>
        <w:pStyle w:val="NoSpacing"/>
        <w:ind w:left="720" w:hanging="720"/>
      </w:pPr>
      <w:r w:rsidRPr="002128A7">
        <w:t>Donaldson L. 2003. </w:t>
      </w:r>
      <w:r w:rsidRPr="002128A7">
        <w:rPr>
          <w:i/>
          <w:iCs/>
        </w:rPr>
        <w:t>The Contingency Theory of Organizations.</w:t>
      </w:r>
      <w:r w:rsidRPr="002128A7">
        <w:t> Sage: Thousand Oaks, CA.</w:t>
      </w:r>
    </w:p>
    <w:p w14:paraId="776AF044" w14:textId="77777777" w:rsidR="002128A7" w:rsidRPr="002128A7" w:rsidRDefault="002128A7" w:rsidP="00415AFF">
      <w:pPr>
        <w:pStyle w:val="NoSpacing"/>
        <w:ind w:left="720" w:hanging="720"/>
      </w:pPr>
      <w:r w:rsidRPr="002128A7">
        <w:t>Ferrier WJ. 2001. Navigating the competitive landscape: the drivers and consequences of competitive aggressiveness. </w:t>
      </w:r>
      <w:r w:rsidRPr="002128A7">
        <w:rPr>
          <w:i/>
          <w:iCs/>
        </w:rPr>
        <w:t>Academy of Management Journal</w:t>
      </w:r>
      <w:r w:rsidRPr="002128A7">
        <w:t> </w:t>
      </w:r>
      <w:r w:rsidRPr="002128A7">
        <w:rPr>
          <w:b/>
          <w:bCs/>
        </w:rPr>
        <w:t>44</w:t>
      </w:r>
      <w:r w:rsidRPr="002128A7">
        <w:t>(4): 858–877.</w:t>
      </w:r>
    </w:p>
    <w:p w14:paraId="2A04F47A" w14:textId="77777777" w:rsidR="002128A7" w:rsidRPr="002128A7" w:rsidRDefault="002128A7" w:rsidP="00415AFF">
      <w:pPr>
        <w:pStyle w:val="NoSpacing"/>
        <w:ind w:left="720" w:hanging="720"/>
      </w:pPr>
      <w:r w:rsidRPr="002128A7">
        <w:t>Ferrier WJ, Smith KG, Grimm CM. 1999. The role of competitive action in market share erosion and industry dethronement: a study of industry leaders and challengers. </w:t>
      </w:r>
      <w:r w:rsidRPr="002128A7">
        <w:rPr>
          <w:i/>
          <w:iCs/>
        </w:rPr>
        <w:t>Academy of Management Journal</w:t>
      </w:r>
      <w:r w:rsidRPr="002128A7">
        <w:t> </w:t>
      </w:r>
      <w:r w:rsidRPr="002128A7">
        <w:rPr>
          <w:b/>
          <w:bCs/>
        </w:rPr>
        <w:t>42</w:t>
      </w:r>
      <w:r w:rsidRPr="002128A7">
        <w:t>: 372–388.</w:t>
      </w:r>
    </w:p>
    <w:p w14:paraId="45C68C75" w14:textId="77777777" w:rsidR="002128A7" w:rsidRPr="002128A7" w:rsidRDefault="002128A7" w:rsidP="00415AFF">
      <w:pPr>
        <w:pStyle w:val="NoSpacing"/>
        <w:ind w:left="720" w:hanging="720"/>
      </w:pPr>
      <w:proofErr w:type="spellStart"/>
      <w:r w:rsidRPr="002128A7">
        <w:t>Fombrun</w:t>
      </w:r>
      <w:proofErr w:type="spellEnd"/>
      <w:r w:rsidRPr="002128A7">
        <w:t xml:space="preserve"> CJ, Ginsberg A. 1990. Shifting gears: enabling change in corporate aggressiveness. </w:t>
      </w:r>
      <w:r w:rsidRPr="002128A7">
        <w:rPr>
          <w:i/>
          <w:iCs/>
        </w:rPr>
        <w:t>Strategic Management Journal</w:t>
      </w:r>
      <w:r w:rsidRPr="002128A7">
        <w:t> </w:t>
      </w:r>
      <w:r w:rsidRPr="002128A7">
        <w:rPr>
          <w:b/>
          <w:bCs/>
        </w:rPr>
        <w:t>11</w:t>
      </w:r>
      <w:r w:rsidRPr="002128A7">
        <w:t>(4): 297–308.</w:t>
      </w:r>
    </w:p>
    <w:p w14:paraId="474C0608" w14:textId="77777777" w:rsidR="002128A7" w:rsidRPr="002128A7" w:rsidRDefault="002128A7" w:rsidP="00415AFF">
      <w:pPr>
        <w:pStyle w:val="NoSpacing"/>
        <w:ind w:left="720" w:hanging="720"/>
      </w:pPr>
      <w:proofErr w:type="spellStart"/>
      <w:r w:rsidRPr="002128A7">
        <w:t>Fombrun</w:t>
      </w:r>
      <w:proofErr w:type="spellEnd"/>
      <w:r w:rsidRPr="002128A7">
        <w:t xml:space="preserve"> CJ, Shanley M. 1990. What's in a name? Reputation building and corporate strategy. </w:t>
      </w:r>
      <w:r w:rsidRPr="002128A7">
        <w:rPr>
          <w:i/>
          <w:iCs/>
        </w:rPr>
        <w:t>Academy of Management Journal</w:t>
      </w:r>
      <w:r w:rsidRPr="002128A7">
        <w:t> </w:t>
      </w:r>
      <w:r w:rsidRPr="002128A7">
        <w:rPr>
          <w:b/>
          <w:bCs/>
        </w:rPr>
        <w:t>33</w:t>
      </w:r>
      <w:r w:rsidRPr="002128A7">
        <w:t>(2): 233–258.</w:t>
      </w:r>
    </w:p>
    <w:p w14:paraId="1B83738B" w14:textId="77777777" w:rsidR="002128A7" w:rsidRPr="002128A7" w:rsidRDefault="002128A7" w:rsidP="00415AFF">
      <w:pPr>
        <w:pStyle w:val="NoSpacing"/>
        <w:ind w:left="720" w:hanging="720"/>
      </w:pPr>
      <w:r w:rsidRPr="002128A7">
        <w:t>Galbraith J. 1977. </w:t>
      </w:r>
      <w:r w:rsidRPr="002128A7">
        <w:rPr>
          <w:i/>
          <w:iCs/>
        </w:rPr>
        <w:t>Organization Design</w:t>
      </w:r>
      <w:r w:rsidRPr="002128A7">
        <w:t>. Addison-Wesley: Reading, MA.</w:t>
      </w:r>
    </w:p>
    <w:p w14:paraId="641631A9" w14:textId="77777777" w:rsidR="002128A7" w:rsidRPr="002128A7" w:rsidRDefault="002128A7" w:rsidP="00415AFF">
      <w:pPr>
        <w:pStyle w:val="NoSpacing"/>
        <w:ind w:left="720" w:hanging="720"/>
      </w:pPr>
      <w:r w:rsidRPr="002128A7">
        <w:t>Harford J. 2005. What drives merger waves? </w:t>
      </w:r>
      <w:r w:rsidRPr="002128A7">
        <w:rPr>
          <w:i/>
          <w:iCs/>
        </w:rPr>
        <w:t>Journal of Financial Economics</w:t>
      </w:r>
      <w:r w:rsidRPr="002128A7">
        <w:t> </w:t>
      </w:r>
      <w:r w:rsidRPr="002128A7">
        <w:rPr>
          <w:b/>
          <w:bCs/>
        </w:rPr>
        <w:t>77</w:t>
      </w:r>
      <w:r w:rsidRPr="002128A7">
        <w:t>: 529–560.</w:t>
      </w:r>
    </w:p>
    <w:p w14:paraId="2CC7F89A" w14:textId="77777777" w:rsidR="002128A7" w:rsidRPr="002128A7" w:rsidRDefault="002128A7" w:rsidP="00415AFF">
      <w:pPr>
        <w:pStyle w:val="NoSpacing"/>
        <w:ind w:left="720" w:hanging="720"/>
      </w:pPr>
      <w:proofErr w:type="spellStart"/>
      <w:r w:rsidRPr="002128A7">
        <w:t>Haunschild</w:t>
      </w:r>
      <w:proofErr w:type="spellEnd"/>
      <w:r w:rsidRPr="002128A7">
        <w:t xml:space="preserve"> PR. 1993. Interorganizational imitation: the impact of interlocks on corporate acquisition activity. </w:t>
      </w:r>
      <w:r w:rsidRPr="002128A7">
        <w:rPr>
          <w:i/>
          <w:iCs/>
        </w:rPr>
        <w:t>Administrative Science Quarterly</w:t>
      </w:r>
      <w:r w:rsidRPr="002128A7">
        <w:t>, </w:t>
      </w:r>
      <w:r w:rsidRPr="002128A7">
        <w:rPr>
          <w:b/>
          <w:bCs/>
        </w:rPr>
        <w:t>38</w:t>
      </w:r>
      <w:r w:rsidRPr="002128A7">
        <w:t>: 564–592.</w:t>
      </w:r>
    </w:p>
    <w:p w14:paraId="1FBEFED9" w14:textId="77777777" w:rsidR="002128A7" w:rsidRPr="002128A7" w:rsidRDefault="002128A7" w:rsidP="00415AFF">
      <w:pPr>
        <w:pStyle w:val="NoSpacing"/>
        <w:ind w:left="720" w:hanging="720"/>
      </w:pPr>
      <w:proofErr w:type="spellStart"/>
      <w:r w:rsidRPr="002128A7">
        <w:t>Haveman</w:t>
      </w:r>
      <w:proofErr w:type="spellEnd"/>
      <w:r w:rsidRPr="002128A7">
        <w:t xml:space="preserve"> H. 1993a. Follow the leader: mimetic isomorphism and entry into new markets. </w:t>
      </w:r>
      <w:r w:rsidRPr="002128A7">
        <w:rPr>
          <w:i/>
          <w:iCs/>
        </w:rPr>
        <w:t>Administrative Science Quarterly</w:t>
      </w:r>
      <w:r w:rsidRPr="002128A7">
        <w:t> </w:t>
      </w:r>
      <w:r w:rsidRPr="002128A7">
        <w:rPr>
          <w:b/>
          <w:bCs/>
        </w:rPr>
        <w:t>38</w:t>
      </w:r>
      <w:r w:rsidRPr="002128A7">
        <w:t>: 593–627.</w:t>
      </w:r>
    </w:p>
    <w:p w14:paraId="24E944FD" w14:textId="77777777" w:rsidR="002128A7" w:rsidRPr="002128A7" w:rsidRDefault="002128A7" w:rsidP="00415AFF">
      <w:pPr>
        <w:pStyle w:val="NoSpacing"/>
        <w:ind w:left="720" w:hanging="720"/>
      </w:pPr>
      <w:proofErr w:type="spellStart"/>
      <w:r w:rsidRPr="002128A7">
        <w:t>Haveman</w:t>
      </w:r>
      <w:proofErr w:type="spellEnd"/>
      <w:r w:rsidRPr="002128A7">
        <w:t xml:space="preserve"> H. 1993b. Organizational size and change: diversification in the savings and loan industry after deregulation. </w:t>
      </w:r>
      <w:r w:rsidRPr="002128A7">
        <w:rPr>
          <w:i/>
          <w:iCs/>
        </w:rPr>
        <w:t>Administrative Science Quarterly</w:t>
      </w:r>
      <w:r w:rsidRPr="002128A7">
        <w:t> </w:t>
      </w:r>
      <w:r w:rsidRPr="002128A7">
        <w:rPr>
          <w:b/>
          <w:bCs/>
        </w:rPr>
        <w:t>38</w:t>
      </w:r>
      <w:r w:rsidRPr="002128A7">
        <w:t>(1): 20–50.</w:t>
      </w:r>
    </w:p>
    <w:p w14:paraId="71B36BC4" w14:textId="77777777" w:rsidR="002128A7" w:rsidRPr="002128A7" w:rsidRDefault="002128A7" w:rsidP="00415AFF">
      <w:pPr>
        <w:pStyle w:val="NoSpacing"/>
        <w:ind w:left="720" w:hanging="720"/>
      </w:pPr>
      <w:proofErr w:type="spellStart"/>
      <w:r w:rsidRPr="002128A7">
        <w:t>Hitt</w:t>
      </w:r>
      <w:proofErr w:type="spellEnd"/>
      <w:r w:rsidRPr="002128A7">
        <w:t xml:space="preserve"> MA, </w:t>
      </w:r>
      <w:proofErr w:type="spellStart"/>
      <w:r w:rsidRPr="002128A7">
        <w:t>Hoskisson</w:t>
      </w:r>
      <w:proofErr w:type="spellEnd"/>
      <w:r w:rsidRPr="002128A7">
        <w:t xml:space="preserve"> RE, Ireland RD. 1990. Mergers and acquisitions and managerial commitment to innovation in M-form firms. </w:t>
      </w:r>
      <w:r w:rsidRPr="002128A7">
        <w:rPr>
          <w:i/>
          <w:iCs/>
        </w:rPr>
        <w:t>Strategic Management Journal</w:t>
      </w:r>
      <w:r w:rsidRPr="002128A7">
        <w:t>, Summer Special Issue </w:t>
      </w:r>
      <w:r w:rsidRPr="002128A7">
        <w:rPr>
          <w:b/>
          <w:bCs/>
        </w:rPr>
        <w:t>11</w:t>
      </w:r>
      <w:r w:rsidRPr="002128A7">
        <w:t>: 29–47.</w:t>
      </w:r>
    </w:p>
    <w:p w14:paraId="54B82AAF" w14:textId="77777777" w:rsidR="002128A7" w:rsidRPr="002128A7" w:rsidRDefault="002128A7" w:rsidP="00415AFF">
      <w:pPr>
        <w:pStyle w:val="NoSpacing"/>
        <w:ind w:left="720" w:hanging="720"/>
      </w:pPr>
      <w:proofErr w:type="spellStart"/>
      <w:r w:rsidRPr="002128A7">
        <w:t>Hoskisson</w:t>
      </w:r>
      <w:proofErr w:type="spellEnd"/>
      <w:r w:rsidRPr="002128A7">
        <w:t xml:space="preserve"> RE, </w:t>
      </w:r>
      <w:proofErr w:type="spellStart"/>
      <w:r w:rsidRPr="002128A7">
        <w:t>Hitt</w:t>
      </w:r>
      <w:proofErr w:type="spellEnd"/>
      <w:r w:rsidRPr="002128A7">
        <w:t xml:space="preserve"> MA, Hill CW. 1991. Managerial risk taking in diversified firms: an evolutionary perspective. </w:t>
      </w:r>
      <w:r w:rsidRPr="002128A7">
        <w:rPr>
          <w:i/>
          <w:iCs/>
        </w:rPr>
        <w:t>Organization Science</w:t>
      </w:r>
      <w:r w:rsidRPr="002128A7">
        <w:t> </w:t>
      </w:r>
      <w:r w:rsidRPr="002128A7">
        <w:rPr>
          <w:b/>
          <w:bCs/>
        </w:rPr>
        <w:t>2</w:t>
      </w:r>
      <w:r w:rsidRPr="002128A7">
        <w:t>: 296–313.</w:t>
      </w:r>
    </w:p>
    <w:p w14:paraId="159F01FC" w14:textId="77777777" w:rsidR="002128A7" w:rsidRPr="002128A7" w:rsidRDefault="002128A7" w:rsidP="00415AFF">
      <w:pPr>
        <w:pStyle w:val="NoSpacing"/>
        <w:ind w:left="720" w:hanging="720"/>
      </w:pPr>
      <w:r w:rsidRPr="002128A7">
        <w:t xml:space="preserve">Hsieh K, Chen M-J. 2010. Responding to </w:t>
      </w:r>
      <w:proofErr w:type="gramStart"/>
      <w:r w:rsidRPr="002128A7">
        <w:t>rivals</w:t>
      </w:r>
      <w:proofErr w:type="gramEnd"/>
      <w:r w:rsidRPr="002128A7">
        <w:t xml:space="preserve"> actions: beyond dyadic conceptualization of interfirm rivalry. </w:t>
      </w:r>
      <w:r w:rsidRPr="002128A7">
        <w:rPr>
          <w:i/>
          <w:iCs/>
        </w:rPr>
        <w:t>Academy of Management Annual Meeting Proceedings.</w:t>
      </w:r>
      <w:r w:rsidRPr="002128A7">
        <w:t> Montreal, Canada, 6–10 August.</w:t>
      </w:r>
    </w:p>
    <w:p w14:paraId="1A36B299" w14:textId="77777777" w:rsidR="002128A7" w:rsidRPr="002128A7" w:rsidRDefault="002128A7" w:rsidP="00415AFF">
      <w:pPr>
        <w:pStyle w:val="NoSpacing"/>
        <w:ind w:left="720" w:hanging="720"/>
      </w:pPr>
      <w:r w:rsidRPr="002128A7">
        <w:t xml:space="preserve">Jensen M, Murphy K. 1990. Performance </w:t>
      </w:r>
      <w:proofErr w:type="gramStart"/>
      <w:r w:rsidRPr="002128A7">
        <w:t>pay</w:t>
      </w:r>
      <w:proofErr w:type="gramEnd"/>
      <w:r w:rsidRPr="002128A7">
        <w:t xml:space="preserve"> and top managerial incentives. </w:t>
      </w:r>
      <w:r w:rsidRPr="002128A7">
        <w:rPr>
          <w:i/>
          <w:iCs/>
        </w:rPr>
        <w:t>Journal of Political Economy</w:t>
      </w:r>
      <w:r w:rsidRPr="002128A7">
        <w:t> </w:t>
      </w:r>
      <w:r w:rsidRPr="002128A7">
        <w:rPr>
          <w:b/>
          <w:bCs/>
        </w:rPr>
        <w:t>98</w:t>
      </w:r>
      <w:r w:rsidRPr="002128A7">
        <w:t>: 225–264.</w:t>
      </w:r>
    </w:p>
    <w:p w14:paraId="09670067" w14:textId="77777777" w:rsidR="002128A7" w:rsidRPr="002128A7" w:rsidRDefault="002128A7" w:rsidP="00415AFF">
      <w:pPr>
        <w:pStyle w:val="NoSpacing"/>
        <w:ind w:left="720" w:hanging="720"/>
      </w:pPr>
      <w:r w:rsidRPr="002128A7">
        <w:t>Jovanovic B, Rousseau P. 2002. The Q-theory of mergers. </w:t>
      </w:r>
      <w:r w:rsidRPr="002128A7">
        <w:rPr>
          <w:i/>
          <w:iCs/>
        </w:rPr>
        <w:t>American Economic Review</w:t>
      </w:r>
      <w:r w:rsidRPr="002128A7">
        <w:t> </w:t>
      </w:r>
      <w:r w:rsidRPr="002128A7">
        <w:rPr>
          <w:b/>
          <w:bCs/>
        </w:rPr>
        <w:t>92</w:t>
      </w:r>
      <w:r w:rsidRPr="002128A7">
        <w:t>: 198–204.</w:t>
      </w:r>
    </w:p>
    <w:p w14:paraId="105505B8" w14:textId="77777777" w:rsidR="002128A7" w:rsidRPr="002128A7" w:rsidRDefault="002128A7" w:rsidP="00415AFF">
      <w:pPr>
        <w:pStyle w:val="NoSpacing"/>
        <w:ind w:left="720" w:hanging="720"/>
      </w:pPr>
      <w:proofErr w:type="spellStart"/>
      <w:r w:rsidRPr="002128A7">
        <w:t>Kraatz</w:t>
      </w:r>
      <w:proofErr w:type="spellEnd"/>
      <w:r w:rsidRPr="002128A7">
        <w:t xml:space="preserve"> MS, Zajac EJ. 2001. How organizational resources affect strategic change and performance in turbulent environments: theory and evidence. </w:t>
      </w:r>
      <w:r w:rsidRPr="002128A7">
        <w:rPr>
          <w:i/>
          <w:iCs/>
        </w:rPr>
        <w:t>Organization Science</w:t>
      </w:r>
      <w:r w:rsidRPr="002128A7">
        <w:t> </w:t>
      </w:r>
      <w:r w:rsidRPr="002128A7">
        <w:rPr>
          <w:b/>
          <w:bCs/>
        </w:rPr>
        <w:t>12</w:t>
      </w:r>
      <w:r w:rsidRPr="002128A7">
        <w:t>: 632–657.</w:t>
      </w:r>
    </w:p>
    <w:p w14:paraId="442EE65E" w14:textId="77777777" w:rsidR="002128A7" w:rsidRPr="002128A7" w:rsidRDefault="002128A7" w:rsidP="00415AFF">
      <w:pPr>
        <w:pStyle w:val="NoSpacing"/>
        <w:ind w:left="720" w:hanging="720"/>
      </w:pPr>
      <w:proofErr w:type="spellStart"/>
      <w:r w:rsidRPr="002128A7">
        <w:t>Leeth</w:t>
      </w:r>
      <w:proofErr w:type="spellEnd"/>
      <w:r w:rsidRPr="002128A7">
        <w:t xml:space="preserve"> J, Borg J. 2000. The impact of takeovers on shareholder wealth during the 1920s merger wave. </w:t>
      </w:r>
      <w:r w:rsidRPr="002128A7">
        <w:rPr>
          <w:i/>
          <w:iCs/>
        </w:rPr>
        <w:t>Journal of Financial and Quantitative Analysis</w:t>
      </w:r>
      <w:r w:rsidRPr="002128A7">
        <w:t> </w:t>
      </w:r>
      <w:r w:rsidRPr="002128A7">
        <w:rPr>
          <w:b/>
          <w:bCs/>
        </w:rPr>
        <w:t>35</w:t>
      </w:r>
      <w:r w:rsidRPr="002128A7">
        <w:t>: 217–238.</w:t>
      </w:r>
    </w:p>
    <w:p w14:paraId="373E3743" w14:textId="77777777" w:rsidR="002128A7" w:rsidRPr="002128A7" w:rsidRDefault="002128A7" w:rsidP="00415AFF">
      <w:pPr>
        <w:pStyle w:val="NoSpacing"/>
        <w:ind w:left="720" w:hanging="720"/>
      </w:pPr>
      <w:r w:rsidRPr="002128A7">
        <w:lastRenderedPageBreak/>
        <w:t>Levinthal DA, March JG. 1993. The myopia of learning. </w:t>
      </w:r>
      <w:r w:rsidRPr="002128A7">
        <w:rPr>
          <w:i/>
          <w:iCs/>
        </w:rPr>
        <w:t>Strategic Management Journal</w:t>
      </w:r>
      <w:r w:rsidRPr="002128A7">
        <w:t>, Winter Special Issue </w:t>
      </w:r>
      <w:r w:rsidRPr="002128A7">
        <w:rPr>
          <w:b/>
          <w:bCs/>
        </w:rPr>
        <w:t>14</w:t>
      </w:r>
      <w:r w:rsidRPr="002128A7">
        <w:t>: 95–112.</w:t>
      </w:r>
    </w:p>
    <w:p w14:paraId="2F409E6E" w14:textId="77777777" w:rsidR="002128A7" w:rsidRPr="002128A7" w:rsidRDefault="002128A7" w:rsidP="00415AFF">
      <w:pPr>
        <w:pStyle w:val="NoSpacing"/>
        <w:ind w:left="720" w:hanging="720"/>
      </w:pPr>
      <w:r w:rsidRPr="002128A7">
        <w:t>Lieberman M, Montgomery DB. 1988. First-mover advantages. </w:t>
      </w:r>
      <w:r w:rsidRPr="002128A7">
        <w:rPr>
          <w:i/>
          <w:iCs/>
        </w:rPr>
        <w:t>Strategic Management Journal</w:t>
      </w:r>
      <w:r w:rsidRPr="002128A7">
        <w:t>, Summer Special Issue </w:t>
      </w:r>
      <w:r w:rsidRPr="002128A7">
        <w:rPr>
          <w:b/>
          <w:bCs/>
        </w:rPr>
        <w:t>9</w:t>
      </w:r>
      <w:r w:rsidRPr="002128A7">
        <w:t>: 41–58.</w:t>
      </w:r>
    </w:p>
    <w:p w14:paraId="7B194F96" w14:textId="77777777" w:rsidR="002128A7" w:rsidRPr="002128A7" w:rsidRDefault="002128A7" w:rsidP="00415AFF">
      <w:pPr>
        <w:pStyle w:val="NoSpacing"/>
        <w:ind w:left="720" w:hanging="720"/>
      </w:pPr>
      <w:proofErr w:type="spellStart"/>
      <w:r w:rsidRPr="002128A7">
        <w:t>Liebeskind</w:t>
      </w:r>
      <w:proofErr w:type="spellEnd"/>
      <w:r w:rsidRPr="002128A7">
        <w:t xml:space="preserve"> JP. 2000. Internal capital markets: benefits, costs, and organizational arrangements. </w:t>
      </w:r>
      <w:r w:rsidRPr="002128A7">
        <w:rPr>
          <w:i/>
          <w:iCs/>
        </w:rPr>
        <w:t>Organization Science</w:t>
      </w:r>
      <w:r w:rsidRPr="002128A7">
        <w:t> </w:t>
      </w:r>
      <w:r w:rsidRPr="002128A7">
        <w:rPr>
          <w:b/>
          <w:bCs/>
        </w:rPr>
        <w:t>11</w:t>
      </w:r>
      <w:r w:rsidRPr="002128A7">
        <w:t>: 79–92.</w:t>
      </w:r>
    </w:p>
    <w:p w14:paraId="0392293E" w14:textId="77777777" w:rsidR="002128A7" w:rsidRPr="002128A7" w:rsidRDefault="002128A7" w:rsidP="00415AFF">
      <w:pPr>
        <w:pStyle w:val="NoSpacing"/>
        <w:ind w:left="720" w:hanging="720"/>
      </w:pPr>
      <w:r w:rsidRPr="002128A7">
        <w:t>March JG. 1981. Decision making perspective—decisions in organizations and theories of choice. In </w:t>
      </w:r>
      <w:r w:rsidRPr="002128A7">
        <w:rPr>
          <w:i/>
          <w:iCs/>
        </w:rPr>
        <w:t>Perspectives on Organization Design and Behavior</w:t>
      </w:r>
      <w:r w:rsidRPr="002128A7">
        <w:t>, Van de Ven AH, Joyce WF (eds). Wiley: New York; 205–248.</w:t>
      </w:r>
    </w:p>
    <w:p w14:paraId="0460562F" w14:textId="77777777" w:rsidR="002128A7" w:rsidRPr="002128A7" w:rsidRDefault="002128A7" w:rsidP="00415AFF">
      <w:pPr>
        <w:pStyle w:val="NoSpacing"/>
        <w:ind w:left="720" w:hanging="720"/>
      </w:pPr>
      <w:r w:rsidRPr="002128A7">
        <w:t>March JG. 1991. Exploration and exploitation in organizational learning. </w:t>
      </w:r>
      <w:r w:rsidRPr="002128A7">
        <w:rPr>
          <w:i/>
          <w:iCs/>
        </w:rPr>
        <w:t>Organization Science</w:t>
      </w:r>
      <w:r w:rsidRPr="002128A7">
        <w:t> </w:t>
      </w:r>
      <w:r w:rsidRPr="002128A7">
        <w:rPr>
          <w:b/>
          <w:bCs/>
        </w:rPr>
        <w:t>2</w:t>
      </w:r>
      <w:r w:rsidRPr="002128A7">
        <w:t>: 71–87.</w:t>
      </w:r>
    </w:p>
    <w:p w14:paraId="167E7799" w14:textId="77777777" w:rsidR="002128A7" w:rsidRPr="002128A7" w:rsidRDefault="002128A7" w:rsidP="00415AFF">
      <w:pPr>
        <w:pStyle w:val="NoSpacing"/>
        <w:ind w:left="720" w:hanging="720"/>
      </w:pPr>
      <w:r w:rsidRPr="002128A7">
        <w:t>Martynova M, </w:t>
      </w:r>
      <w:proofErr w:type="spellStart"/>
      <w:r w:rsidRPr="002128A7">
        <w:t>Renneboog</w:t>
      </w:r>
      <w:proofErr w:type="spellEnd"/>
      <w:r w:rsidRPr="002128A7">
        <w:t xml:space="preserve"> L. 2008. A century of corporate takeovers: what have we learned and where do we stand? </w:t>
      </w:r>
      <w:r w:rsidRPr="002128A7">
        <w:rPr>
          <w:i/>
          <w:iCs/>
        </w:rPr>
        <w:t>Journal of Banking and Finance</w:t>
      </w:r>
      <w:r w:rsidRPr="002128A7">
        <w:t> </w:t>
      </w:r>
      <w:r w:rsidRPr="002128A7">
        <w:rPr>
          <w:b/>
          <w:bCs/>
        </w:rPr>
        <w:t>32</w:t>
      </w:r>
      <w:r w:rsidRPr="002128A7">
        <w:t>: 2148–2177.</w:t>
      </w:r>
    </w:p>
    <w:p w14:paraId="13F85B80" w14:textId="77777777" w:rsidR="002128A7" w:rsidRPr="002128A7" w:rsidRDefault="002128A7" w:rsidP="00415AFF">
      <w:pPr>
        <w:pStyle w:val="NoSpacing"/>
        <w:ind w:left="720" w:hanging="720"/>
      </w:pPr>
      <w:proofErr w:type="spellStart"/>
      <w:r w:rsidRPr="002128A7">
        <w:t>Matsusaka</w:t>
      </w:r>
      <w:proofErr w:type="spellEnd"/>
      <w:r w:rsidRPr="002128A7">
        <w:t xml:space="preserve"> JG. 1993. Takeover motives during the conglomerate merger wave. </w:t>
      </w:r>
      <w:r w:rsidRPr="002128A7">
        <w:rPr>
          <w:i/>
          <w:iCs/>
        </w:rPr>
        <w:t>RAND Journal of Economics</w:t>
      </w:r>
      <w:r w:rsidRPr="002128A7">
        <w:t> </w:t>
      </w:r>
      <w:r w:rsidRPr="002128A7">
        <w:rPr>
          <w:b/>
          <w:bCs/>
        </w:rPr>
        <w:t>24</w:t>
      </w:r>
      <w:r w:rsidRPr="002128A7">
        <w:t>(3): 357–379.</w:t>
      </w:r>
    </w:p>
    <w:p w14:paraId="1FB1B49D" w14:textId="77777777" w:rsidR="002128A7" w:rsidRPr="002128A7" w:rsidRDefault="002128A7" w:rsidP="00415AFF">
      <w:pPr>
        <w:pStyle w:val="NoSpacing"/>
        <w:ind w:left="720" w:hanging="720"/>
      </w:pPr>
      <w:r w:rsidRPr="002128A7">
        <w:t>Mauri AJ, Michaels MP. 1998. Firm and industry effects within strategic management: an empirical examination. </w:t>
      </w:r>
      <w:r w:rsidRPr="002128A7">
        <w:rPr>
          <w:i/>
          <w:iCs/>
        </w:rPr>
        <w:t>Strategic Management Journal</w:t>
      </w:r>
      <w:r w:rsidRPr="002128A7">
        <w:t> </w:t>
      </w:r>
      <w:r w:rsidRPr="002128A7">
        <w:rPr>
          <w:b/>
          <w:bCs/>
        </w:rPr>
        <w:t>19</w:t>
      </w:r>
      <w:r w:rsidRPr="002128A7">
        <w:t>(3): 211–219.</w:t>
      </w:r>
    </w:p>
    <w:p w14:paraId="3CB6A691" w14:textId="77777777" w:rsidR="002128A7" w:rsidRPr="002128A7" w:rsidRDefault="002128A7" w:rsidP="00415AFF">
      <w:pPr>
        <w:pStyle w:val="NoSpacing"/>
        <w:ind w:left="720" w:hanging="720"/>
      </w:pPr>
      <w:r w:rsidRPr="002128A7">
        <w:t>McGahan AM, Porter ME. 1997. How much does industry matter, really? </w:t>
      </w:r>
      <w:r w:rsidRPr="002128A7">
        <w:rPr>
          <w:i/>
          <w:iCs/>
        </w:rPr>
        <w:t>Strategic Management Journal,</w:t>
      </w:r>
      <w:r w:rsidRPr="002128A7">
        <w:t> Summer Special Issue </w:t>
      </w:r>
      <w:r w:rsidRPr="002128A7">
        <w:rPr>
          <w:b/>
          <w:bCs/>
        </w:rPr>
        <w:t>18</w:t>
      </w:r>
      <w:r w:rsidRPr="002128A7">
        <w:t>: 15–30.</w:t>
      </w:r>
    </w:p>
    <w:p w14:paraId="75F23B62" w14:textId="77777777" w:rsidR="002128A7" w:rsidRPr="002128A7" w:rsidRDefault="002128A7" w:rsidP="00415AFF">
      <w:pPr>
        <w:pStyle w:val="NoSpacing"/>
        <w:ind w:left="720" w:hanging="720"/>
      </w:pPr>
      <w:r w:rsidRPr="002128A7">
        <w:t>McNamara G, </w:t>
      </w:r>
      <w:proofErr w:type="spellStart"/>
      <w:r w:rsidRPr="002128A7">
        <w:t>Haleblian</w:t>
      </w:r>
      <w:proofErr w:type="spellEnd"/>
      <w:r w:rsidRPr="002128A7">
        <w:t xml:space="preserve"> J, Dykes B. 2008. The performance implications of participating in an acquisition wave: early mover advantages, bandwagon effects, and the moderating influence of industry characteristics and acquirer tactics. </w:t>
      </w:r>
      <w:r w:rsidRPr="002128A7">
        <w:rPr>
          <w:i/>
          <w:iCs/>
        </w:rPr>
        <w:t>Academy of Management Journal</w:t>
      </w:r>
      <w:r w:rsidRPr="002128A7">
        <w:t> </w:t>
      </w:r>
      <w:r w:rsidRPr="002128A7">
        <w:rPr>
          <w:b/>
          <w:bCs/>
        </w:rPr>
        <w:t>51</w:t>
      </w:r>
      <w:r w:rsidRPr="002128A7">
        <w:t>(1): 113–130.</w:t>
      </w:r>
    </w:p>
    <w:p w14:paraId="02B1FC17" w14:textId="77777777" w:rsidR="002128A7" w:rsidRPr="002128A7" w:rsidRDefault="002128A7" w:rsidP="00415AFF">
      <w:pPr>
        <w:pStyle w:val="NoSpacing"/>
        <w:ind w:left="720" w:hanging="720"/>
      </w:pPr>
      <w:r w:rsidRPr="002128A7">
        <w:t>Merton RK. 1957. Bureaucratic structure and personality. In </w:t>
      </w:r>
      <w:r w:rsidRPr="002128A7">
        <w:rPr>
          <w:i/>
          <w:iCs/>
        </w:rPr>
        <w:t>Classic Readings in Organizational Behavior (Volume 30)</w:t>
      </w:r>
      <w:r w:rsidRPr="002128A7">
        <w:t>, Ott JS (ed). Wadsworth: Belmont, CA; 377–344.</w:t>
      </w:r>
    </w:p>
    <w:p w14:paraId="602D54B6" w14:textId="77777777" w:rsidR="002128A7" w:rsidRPr="002128A7" w:rsidRDefault="002128A7" w:rsidP="00415AFF">
      <w:pPr>
        <w:pStyle w:val="NoSpacing"/>
        <w:ind w:left="720" w:hanging="720"/>
      </w:pPr>
      <w:r w:rsidRPr="002128A7">
        <w:t>Merton RK. 1968. Bureaucratic structure and personality. In </w:t>
      </w:r>
      <w:r w:rsidRPr="002128A7">
        <w:rPr>
          <w:i/>
          <w:iCs/>
        </w:rPr>
        <w:t>Social Theory and Social Structure</w:t>
      </w:r>
      <w:r w:rsidRPr="002128A7">
        <w:t>, Free Press: New York; 249–260.</w:t>
      </w:r>
    </w:p>
    <w:p w14:paraId="18F00D0C" w14:textId="77777777" w:rsidR="002128A7" w:rsidRPr="002128A7" w:rsidRDefault="002128A7" w:rsidP="00415AFF">
      <w:pPr>
        <w:pStyle w:val="NoSpacing"/>
        <w:ind w:left="720" w:hanging="720"/>
      </w:pPr>
      <w:r w:rsidRPr="002128A7">
        <w:t>Meyer AD. 1982. Adapting to environmental jolts. </w:t>
      </w:r>
      <w:r w:rsidRPr="002128A7">
        <w:rPr>
          <w:i/>
          <w:iCs/>
        </w:rPr>
        <w:t>Administrative Science Quarterly</w:t>
      </w:r>
      <w:r w:rsidRPr="002128A7">
        <w:t> </w:t>
      </w:r>
      <w:r w:rsidRPr="002128A7">
        <w:rPr>
          <w:b/>
          <w:bCs/>
        </w:rPr>
        <w:t>27</w:t>
      </w:r>
      <w:r w:rsidRPr="002128A7">
        <w:t>(4): 515.</w:t>
      </w:r>
    </w:p>
    <w:p w14:paraId="18750EDF" w14:textId="77777777" w:rsidR="002128A7" w:rsidRPr="002128A7" w:rsidRDefault="002128A7" w:rsidP="00415AFF">
      <w:pPr>
        <w:pStyle w:val="NoSpacing"/>
        <w:ind w:left="720" w:hanging="720"/>
      </w:pPr>
      <w:r w:rsidRPr="002128A7">
        <w:t>Miller D. 1986. Configurations of strategy and structure: towards a synthesis. </w:t>
      </w:r>
      <w:r w:rsidRPr="002128A7">
        <w:rPr>
          <w:i/>
          <w:iCs/>
        </w:rPr>
        <w:t>Strategic Management Journal</w:t>
      </w:r>
      <w:r w:rsidRPr="002128A7">
        <w:t> </w:t>
      </w:r>
      <w:r w:rsidRPr="002128A7">
        <w:rPr>
          <w:b/>
          <w:bCs/>
        </w:rPr>
        <w:t>7</w:t>
      </w:r>
      <w:r w:rsidRPr="002128A7">
        <w:t>(3): 233–249.</w:t>
      </w:r>
    </w:p>
    <w:p w14:paraId="67D6EB72" w14:textId="77777777" w:rsidR="002128A7" w:rsidRPr="002128A7" w:rsidRDefault="002128A7" w:rsidP="00415AFF">
      <w:pPr>
        <w:pStyle w:val="NoSpacing"/>
        <w:ind w:left="720" w:hanging="720"/>
      </w:pPr>
      <w:r w:rsidRPr="002128A7">
        <w:t>Miller D. 1988. Relating Porter's business strategies to environment and structure: analysis and performance implications. </w:t>
      </w:r>
      <w:r w:rsidRPr="002128A7">
        <w:rPr>
          <w:i/>
          <w:iCs/>
        </w:rPr>
        <w:t>Academy of Management Journal</w:t>
      </w:r>
      <w:r w:rsidRPr="002128A7">
        <w:t> </w:t>
      </w:r>
      <w:r w:rsidRPr="002128A7">
        <w:rPr>
          <w:b/>
          <w:bCs/>
        </w:rPr>
        <w:t>31</w:t>
      </w:r>
      <w:r w:rsidRPr="002128A7">
        <w:t>: 280–308.</w:t>
      </w:r>
    </w:p>
    <w:p w14:paraId="72DE150B" w14:textId="77777777" w:rsidR="002128A7" w:rsidRPr="002128A7" w:rsidRDefault="002128A7" w:rsidP="00415AFF">
      <w:pPr>
        <w:pStyle w:val="NoSpacing"/>
        <w:ind w:left="720" w:hanging="720"/>
      </w:pPr>
      <w:r w:rsidRPr="002128A7">
        <w:t>Miller D, Chen M-J. 1994. Sources and consequences of competitive inertia: a study of the U.S. airline industry. </w:t>
      </w:r>
      <w:r w:rsidRPr="002128A7">
        <w:rPr>
          <w:i/>
          <w:iCs/>
        </w:rPr>
        <w:t>Administrative Science Quarterly</w:t>
      </w:r>
      <w:r w:rsidRPr="002128A7">
        <w:t> </w:t>
      </w:r>
      <w:r w:rsidRPr="002128A7">
        <w:rPr>
          <w:b/>
          <w:bCs/>
        </w:rPr>
        <w:t>39</w:t>
      </w:r>
      <w:r w:rsidRPr="002128A7">
        <w:t>: 1–23.</w:t>
      </w:r>
    </w:p>
    <w:p w14:paraId="6C7466A6" w14:textId="77777777" w:rsidR="002128A7" w:rsidRPr="002128A7" w:rsidRDefault="002128A7" w:rsidP="00415AFF">
      <w:pPr>
        <w:pStyle w:val="NoSpacing"/>
        <w:ind w:left="720" w:hanging="720"/>
      </w:pPr>
      <w:r w:rsidRPr="002128A7">
        <w:t>Miller D, Chen M-J. 1996. The simplicity of competitive repertoires: an empirical analysis. </w:t>
      </w:r>
      <w:r w:rsidRPr="002128A7">
        <w:rPr>
          <w:i/>
          <w:iCs/>
        </w:rPr>
        <w:t>Strategic Management Journal</w:t>
      </w:r>
      <w:r w:rsidRPr="002128A7">
        <w:t> </w:t>
      </w:r>
      <w:r w:rsidRPr="002128A7">
        <w:rPr>
          <w:b/>
          <w:bCs/>
        </w:rPr>
        <w:t>17</w:t>
      </w:r>
      <w:r w:rsidRPr="002128A7">
        <w:t>(6): 419–439.</w:t>
      </w:r>
    </w:p>
    <w:p w14:paraId="466D7337" w14:textId="77777777" w:rsidR="002128A7" w:rsidRPr="002128A7" w:rsidRDefault="002128A7" w:rsidP="00415AFF">
      <w:pPr>
        <w:pStyle w:val="NoSpacing"/>
        <w:ind w:left="720" w:hanging="720"/>
      </w:pPr>
      <w:r w:rsidRPr="002128A7">
        <w:t>Mitchell ML, </w:t>
      </w:r>
      <w:proofErr w:type="spellStart"/>
      <w:r w:rsidRPr="002128A7">
        <w:t>Mulherin</w:t>
      </w:r>
      <w:proofErr w:type="spellEnd"/>
      <w:r w:rsidRPr="002128A7">
        <w:t xml:space="preserve"> JH. 1996. The impact of industry shocks on takeover and restructuring activity. </w:t>
      </w:r>
      <w:r w:rsidRPr="002128A7">
        <w:rPr>
          <w:i/>
          <w:iCs/>
        </w:rPr>
        <w:t>Journal of Financial Economics</w:t>
      </w:r>
      <w:r w:rsidRPr="002128A7">
        <w:t> </w:t>
      </w:r>
      <w:r w:rsidRPr="002128A7">
        <w:rPr>
          <w:b/>
          <w:bCs/>
        </w:rPr>
        <w:t>41</w:t>
      </w:r>
      <w:r w:rsidRPr="002128A7">
        <w:t>: 193–229.</w:t>
      </w:r>
    </w:p>
    <w:p w14:paraId="78D11E92" w14:textId="77777777" w:rsidR="002128A7" w:rsidRPr="002128A7" w:rsidRDefault="002128A7" w:rsidP="00415AFF">
      <w:pPr>
        <w:pStyle w:val="NoSpacing"/>
        <w:ind w:left="720" w:hanging="720"/>
      </w:pPr>
      <w:r w:rsidRPr="002128A7">
        <w:t>Moeller SB, </w:t>
      </w:r>
      <w:proofErr w:type="spellStart"/>
      <w:r w:rsidRPr="002128A7">
        <w:t>Schlingemann</w:t>
      </w:r>
      <w:proofErr w:type="spellEnd"/>
      <w:r w:rsidRPr="002128A7">
        <w:t xml:space="preserve"> FP, </w:t>
      </w:r>
      <w:proofErr w:type="spellStart"/>
      <w:r w:rsidRPr="002128A7">
        <w:t>Stulz</w:t>
      </w:r>
      <w:proofErr w:type="spellEnd"/>
      <w:r w:rsidRPr="002128A7">
        <w:t xml:space="preserve"> RM. 2005. Wealth destruction on a massive scale? A study of </w:t>
      </w:r>
      <w:proofErr w:type="gramStart"/>
      <w:r w:rsidRPr="002128A7">
        <w:t>acquiring-firm</w:t>
      </w:r>
      <w:proofErr w:type="gramEnd"/>
      <w:r w:rsidRPr="002128A7">
        <w:t xml:space="preserve"> returns in the recent merger wave. </w:t>
      </w:r>
      <w:r w:rsidRPr="002128A7">
        <w:rPr>
          <w:i/>
          <w:iCs/>
        </w:rPr>
        <w:t>Journal of Finance</w:t>
      </w:r>
      <w:r w:rsidRPr="002128A7">
        <w:t> </w:t>
      </w:r>
      <w:r w:rsidRPr="002128A7">
        <w:rPr>
          <w:b/>
          <w:bCs/>
        </w:rPr>
        <w:t>60</w:t>
      </w:r>
      <w:r w:rsidRPr="002128A7">
        <w:t>: 757–782.</w:t>
      </w:r>
    </w:p>
    <w:p w14:paraId="463C1EBC" w14:textId="77777777" w:rsidR="002128A7" w:rsidRPr="002128A7" w:rsidRDefault="002128A7" w:rsidP="00415AFF">
      <w:pPr>
        <w:pStyle w:val="NoSpacing"/>
        <w:ind w:left="720" w:hanging="720"/>
      </w:pPr>
      <w:proofErr w:type="spellStart"/>
      <w:r w:rsidRPr="002128A7">
        <w:t>Mulherin</w:t>
      </w:r>
      <w:proofErr w:type="spellEnd"/>
      <w:r w:rsidRPr="002128A7">
        <w:t xml:space="preserve"> JH, Boone AL. 2000. Comparing acquisitions and divestitures. </w:t>
      </w:r>
      <w:r w:rsidRPr="002128A7">
        <w:rPr>
          <w:i/>
          <w:iCs/>
        </w:rPr>
        <w:t>Journal of Corporate Finance</w:t>
      </w:r>
      <w:r w:rsidRPr="002128A7">
        <w:t> </w:t>
      </w:r>
      <w:r w:rsidRPr="002128A7">
        <w:rPr>
          <w:b/>
          <w:bCs/>
        </w:rPr>
        <w:t>6</w:t>
      </w:r>
      <w:r w:rsidRPr="002128A7">
        <w:t>: 117–139.</w:t>
      </w:r>
    </w:p>
    <w:p w14:paraId="79ACA715" w14:textId="77777777" w:rsidR="002128A7" w:rsidRPr="002128A7" w:rsidRDefault="002128A7" w:rsidP="00415AFF">
      <w:pPr>
        <w:pStyle w:val="NoSpacing"/>
        <w:ind w:left="720" w:hanging="720"/>
      </w:pPr>
      <w:proofErr w:type="spellStart"/>
      <w:r w:rsidRPr="002128A7">
        <w:t>Nohria</w:t>
      </w:r>
      <w:proofErr w:type="spellEnd"/>
      <w:r w:rsidRPr="002128A7">
        <w:t xml:space="preserve"> N, Gulati R. 1996. Is slack good or bad for innovation? </w:t>
      </w:r>
      <w:r w:rsidRPr="002128A7">
        <w:rPr>
          <w:i/>
          <w:iCs/>
        </w:rPr>
        <w:t>Academy of Management Journal</w:t>
      </w:r>
      <w:r w:rsidRPr="002128A7">
        <w:t> </w:t>
      </w:r>
      <w:r w:rsidRPr="002128A7">
        <w:rPr>
          <w:b/>
          <w:bCs/>
        </w:rPr>
        <w:t>39</w:t>
      </w:r>
      <w:r w:rsidRPr="002128A7">
        <w:t>(5): 1245–1264.</w:t>
      </w:r>
    </w:p>
    <w:p w14:paraId="6BFE08BF" w14:textId="77777777" w:rsidR="002128A7" w:rsidRPr="002128A7" w:rsidRDefault="002128A7" w:rsidP="00415AFF">
      <w:pPr>
        <w:pStyle w:val="NoSpacing"/>
        <w:ind w:left="720" w:hanging="720"/>
      </w:pPr>
      <w:r w:rsidRPr="002128A7">
        <w:t>Ocasio W. 1997. Towards an attention-based view of the firm. </w:t>
      </w:r>
      <w:r w:rsidRPr="002128A7">
        <w:rPr>
          <w:i/>
          <w:iCs/>
        </w:rPr>
        <w:t>Strategic Management Journal</w:t>
      </w:r>
      <w:r w:rsidRPr="002128A7">
        <w:t>, Summer Special Issue </w:t>
      </w:r>
      <w:r w:rsidRPr="002128A7">
        <w:rPr>
          <w:b/>
          <w:bCs/>
        </w:rPr>
        <w:t>18</w:t>
      </w:r>
      <w:r w:rsidRPr="002128A7">
        <w:t>: 187–206.</w:t>
      </w:r>
    </w:p>
    <w:p w14:paraId="70D1B04C" w14:textId="77777777" w:rsidR="002128A7" w:rsidRPr="002128A7" w:rsidRDefault="002128A7" w:rsidP="00415AFF">
      <w:pPr>
        <w:pStyle w:val="NoSpacing"/>
        <w:ind w:left="720" w:hanging="720"/>
      </w:pPr>
      <w:r w:rsidRPr="002128A7">
        <w:t>Palepu K. 1985. Diversification strategy, profit performance and the entropy measure. </w:t>
      </w:r>
      <w:r w:rsidRPr="002128A7">
        <w:rPr>
          <w:i/>
          <w:iCs/>
        </w:rPr>
        <w:t>Strategic Management Journal</w:t>
      </w:r>
      <w:r w:rsidRPr="002128A7">
        <w:t> </w:t>
      </w:r>
      <w:r w:rsidRPr="002128A7">
        <w:rPr>
          <w:b/>
          <w:bCs/>
        </w:rPr>
        <w:t>6</w:t>
      </w:r>
      <w:r w:rsidRPr="002128A7">
        <w:t>(3): 239–255.</w:t>
      </w:r>
    </w:p>
    <w:p w14:paraId="4128741B" w14:textId="77777777" w:rsidR="002128A7" w:rsidRPr="002128A7" w:rsidRDefault="002128A7" w:rsidP="00415AFF">
      <w:pPr>
        <w:pStyle w:val="NoSpacing"/>
        <w:ind w:left="720" w:hanging="720"/>
      </w:pPr>
      <w:r w:rsidRPr="002128A7">
        <w:t>Pettigrew AM. 1992. The character and significance of strategy process research. </w:t>
      </w:r>
      <w:r w:rsidRPr="002128A7">
        <w:rPr>
          <w:i/>
          <w:iCs/>
        </w:rPr>
        <w:t>Strategic Management Journal</w:t>
      </w:r>
      <w:r w:rsidRPr="002128A7">
        <w:t>, Winter Special Issue </w:t>
      </w:r>
      <w:r w:rsidRPr="002128A7">
        <w:rPr>
          <w:b/>
          <w:bCs/>
        </w:rPr>
        <w:t>13</w:t>
      </w:r>
      <w:r w:rsidRPr="002128A7">
        <w:t>: 5–16.</w:t>
      </w:r>
    </w:p>
    <w:p w14:paraId="049F97A1" w14:textId="77777777" w:rsidR="002128A7" w:rsidRPr="002128A7" w:rsidRDefault="002128A7" w:rsidP="00415AFF">
      <w:pPr>
        <w:pStyle w:val="NoSpacing"/>
        <w:ind w:left="720" w:hanging="720"/>
      </w:pPr>
      <w:proofErr w:type="spellStart"/>
      <w:r w:rsidRPr="002128A7">
        <w:t>Polonchek</w:t>
      </w:r>
      <w:proofErr w:type="spellEnd"/>
      <w:r w:rsidRPr="002128A7">
        <w:t xml:space="preserve"> J, </w:t>
      </w:r>
      <w:proofErr w:type="spellStart"/>
      <w:r w:rsidRPr="002128A7">
        <w:t>Sushka</w:t>
      </w:r>
      <w:proofErr w:type="spellEnd"/>
      <w:r w:rsidRPr="002128A7">
        <w:t xml:space="preserve"> ME. 1987. The impact of financial and economic conditions on aggregate merger activity. </w:t>
      </w:r>
      <w:r w:rsidRPr="002128A7">
        <w:rPr>
          <w:i/>
          <w:iCs/>
        </w:rPr>
        <w:t>Managerial and Decision Economics</w:t>
      </w:r>
      <w:r w:rsidRPr="002128A7">
        <w:t> </w:t>
      </w:r>
      <w:r w:rsidRPr="002128A7">
        <w:rPr>
          <w:b/>
          <w:bCs/>
        </w:rPr>
        <w:t>8</w:t>
      </w:r>
      <w:r w:rsidRPr="002128A7">
        <w:t>: 113–119.</w:t>
      </w:r>
    </w:p>
    <w:p w14:paraId="08F28AD5" w14:textId="77777777" w:rsidR="002128A7" w:rsidRPr="002128A7" w:rsidRDefault="002128A7" w:rsidP="00415AFF">
      <w:pPr>
        <w:pStyle w:val="NoSpacing"/>
        <w:ind w:left="720" w:hanging="720"/>
      </w:pPr>
      <w:r w:rsidRPr="002128A7">
        <w:t>Porter ME. 1980. </w:t>
      </w:r>
      <w:r w:rsidRPr="002128A7">
        <w:rPr>
          <w:i/>
          <w:iCs/>
        </w:rPr>
        <w:t>Competitive Strategy Techniques for Analyzing Industries and Competitors</w:t>
      </w:r>
      <w:r w:rsidRPr="002128A7">
        <w:t>. Free Press: New York.</w:t>
      </w:r>
    </w:p>
    <w:p w14:paraId="26B15D06" w14:textId="77777777" w:rsidR="002128A7" w:rsidRPr="002128A7" w:rsidRDefault="002128A7" w:rsidP="00415AFF">
      <w:pPr>
        <w:pStyle w:val="NoSpacing"/>
        <w:ind w:left="720" w:hanging="720"/>
      </w:pPr>
      <w:r w:rsidRPr="002128A7">
        <w:lastRenderedPageBreak/>
        <w:t>Qui LD, Zhou W. 2007. Merger waves: a model of endogenous mergers. </w:t>
      </w:r>
      <w:r w:rsidRPr="002128A7">
        <w:rPr>
          <w:i/>
          <w:iCs/>
        </w:rPr>
        <w:t>RAND Journal of Economics</w:t>
      </w:r>
      <w:r w:rsidRPr="002128A7">
        <w:t> </w:t>
      </w:r>
      <w:r w:rsidRPr="002128A7">
        <w:rPr>
          <w:b/>
          <w:bCs/>
        </w:rPr>
        <w:t>38</w:t>
      </w:r>
      <w:r w:rsidRPr="002128A7">
        <w:t>: 214–226.</w:t>
      </w:r>
    </w:p>
    <w:p w14:paraId="2E80219D" w14:textId="77777777" w:rsidR="002128A7" w:rsidRPr="002128A7" w:rsidRDefault="002128A7" w:rsidP="00415AFF">
      <w:pPr>
        <w:pStyle w:val="NoSpacing"/>
        <w:ind w:left="720" w:hanging="720"/>
      </w:pPr>
      <w:r w:rsidRPr="002128A7">
        <w:t>Rhodes-</w:t>
      </w:r>
      <w:proofErr w:type="spellStart"/>
      <w:r w:rsidRPr="002128A7">
        <w:t>Kropf</w:t>
      </w:r>
      <w:proofErr w:type="spellEnd"/>
      <w:r w:rsidRPr="002128A7">
        <w:t xml:space="preserve"> M, Robinson D, Viswanathan S. 2005. Valuation waves and merger activity: the empirical evidence. </w:t>
      </w:r>
      <w:r w:rsidRPr="002128A7">
        <w:rPr>
          <w:i/>
          <w:iCs/>
        </w:rPr>
        <w:t>Journal of Financial Economics</w:t>
      </w:r>
      <w:r w:rsidRPr="002128A7">
        <w:t> </w:t>
      </w:r>
      <w:r w:rsidRPr="002128A7">
        <w:rPr>
          <w:b/>
          <w:bCs/>
        </w:rPr>
        <w:t>77</w:t>
      </w:r>
      <w:r w:rsidRPr="002128A7">
        <w:t>: 561–603.</w:t>
      </w:r>
    </w:p>
    <w:p w14:paraId="1329DF43" w14:textId="77777777" w:rsidR="002128A7" w:rsidRPr="002128A7" w:rsidRDefault="002128A7" w:rsidP="00415AFF">
      <w:pPr>
        <w:pStyle w:val="NoSpacing"/>
        <w:ind w:left="720" w:hanging="720"/>
      </w:pPr>
      <w:r w:rsidRPr="002128A7">
        <w:t>Rhodes-</w:t>
      </w:r>
      <w:proofErr w:type="spellStart"/>
      <w:r w:rsidRPr="002128A7">
        <w:t>Kropf</w:t>
      </w:r>
      <w:proofErr w:type="spellEnd"/>
      <w:r w:rsidRPr="002128A7">
        <w:t xml:space="preserve"> M, Viswanathan S. 2004. Market valuation and merger waves. </w:t>
      </w:r>
      <w:r w:rsidRPr="002128A7">
        <w:rPr>
          <w:i/>
          <w:iCs/>
        </w:rPr>
        <w:t>Journal of Finance</w:t>
      </w:r>
      <w:r w:rsidRPr="002128A7">
        <w:t> </w:t>
      </w:r>
      <w:r w:rsidRPr="002128A7">
        <w:rPr>
          <w:b/>
          <w:bCs/>
        </w:rPr>
        <w:t>59</w:t>
      </w:r>
      <w:r w:rsidRPr="002128A7">
        <w:t>(6): 2685–2718.</w:t>
      </w:r>
    </w:p>
    <w:p w14:paraId="2C0800AE" w14:textId="77777777" w:rsidR="002128A7" w:rsidRPr="002128A7" w:rsidRDefault="002128A7" w:rsidP="00415AFF">
      <w:pPr>
        <w:pStyle w:val="NoSpacing"/>
        <w:ind w:left="720" w:hanging="720"/>
      </w:pPr>
      <w:r w:rsidRPr="002128A7">
        <w:t xml:space="preserve">Robinson WL, Chiang J. 2002. Product development strategies for established market pioneers, early </w:t>
      </w:r>
      <w:proofErr w:type="gramStart"/>
      <w:r w:rsidRPr="002128A7">
        <w:t>followers</w:t>
      </w:r>
      <w:proofErr w:type="gramEnd"/>
      <w:r w:rsidRPr="002128A7">
        <w:t xml:space="preserve"> and late entrants. </w:t>
      </w:r>
      <w:r w:rsidRPr="002128A7">
        <w:rPr>
          <w:i/>
          <w:iCs/>
        </w:rPr>
        <w:t>Strategic Management Journal</w:t>
      </w:r>
      <w:r w:rsidRPr="002128A7">
        <w:t> </w:t>
      </w:r>
      <w:r w:rsidRPr="002128A7">
        <w:rPr>
          <w:b/>
          <w:bCs/>
        </w:rPr>
        <w:t>23</w:t>
      </w:r>
      <w:r w:rsidRPr="002128A7">
        <w:t>(9): 855–866.</w:t>
      </w:r>
    </w:p>
    <w:p w14:paraId="3991DE6E" w14:textId="77777777" w:rsidR="002128A7" w:rsidRPr="002128A7" w:rsidRDefault="002128A7" w:rsidP="00415AFF">
      <w:pPr>
        <w:pStyle w:val="NoSpacing"/>
        <w:ind w:left="720" w:hanging="720"/>
      </w:pPr>
      <w:r w:rsidRPr="002128A7">
        <w:t>Rothaermel FT, Deeds D. 2004. Exploration and exploitation alliances in biotechnology: a system of new product development. </w:t>
      </w:r>
      <w:r w:rsidRPr="002128A7">
        <w:rPr>
          <w:i/>
          <w:iCs/>
        </w:rPr>
        <w:t>Strategic Management Journal</w:t>
      </w:r>
      <w:r w:rsidRPr="002128A7">
        <w:t> </w:t>
      </w:r>
      <w:r w:rsidRPr="002128A7">
        <w:rPr>
          <w:b/>
          <w:bCs/>
        </w:rPr>
        <w:t>25</w:t>
      </w:r>
      <w:r w:rsidRPr="002128A7">
        <w:t>(3): 201–221.</w:t>
      </w:r>
    </w:p>
    <w:p w14:paraId="54FE833B" w14:textId="77777777" w:rsidR="002128A7" w:rsidRPr="002128A7" w:rsidRDefault="002128A7" w:rsidP="00415AFF">
      <w:pPr>
        <w:pStyle w:val="NoSpacing"/>
        <w:ind w:left="720" w:hanging="720"/>
      </w:pPr>
      <w:proofErr w:type="spellStart"/>
      <w:r w:rsidRPr="002128A7">
        <w:t>Schoenecker</w:t>
      </w:r>
      <w:proofErr w:type="spellEnd"/>
      <w:r w:rsidRPr="002128A7">
        <w:t xml:space="preserve"> T, Cooper AC. 1998. The role of firm resources and organizational attributes in determining entry timing: a cross-industry study. </w:t>
      </w:r>
      <w:r w:rsidRPr="002128A7">
        <w:rPr>
          <w:i/>
          <w:iCs/>
        </w:rPr>
        <w:t>Strategic Management Journal</w:t>
      </w:r>
      <w:r w:rsidRPr="002128A7">
        <w:t> </w:t>
      </w:r>
      <w:r w:rsidRPr="002128A7">
        <w:rPr>
          <w:b/>
          <w:bCs/>
        </w:rPr>
        <w:t>19</w:t>
      </w:r>
      <w:r w:rsidRPr="002128A7">
        <w:t>(12): 1127–1143.</w:t>
      </w:r>
    </w:p>
    <w:p w14:paraId="0BE6DECB" w14:textId="77777777" w:rsidR="002128A7" w:rsidRPr="002128A7" w:rsidRDefault="002128A7" w:rsidP="00415AFF">
      <w:pPr>
        <w:pStyle w:val="NoSpacing"/>
        <w:ind w:left="720" w:hanging="720"/>
      </w:pPr>
      <w:r w:rsidRPr="002128A7">
        <w:t>Schumpeter JA. 1934. </w:t>
      </w:r>
      <w:r w:rsidRPr="002128A7">
        <w:rPr>
          <w:i/>
          <w:iCs/>
        </w:rPr>
        <w:t>The Theory of Economic Development.</w:t>
      </w:r>
      <w:r w:rsidRPr="002128A7">
        <w:t> Harvard University Press: Cambridge, MA.</w:t>
      </w:r>
    </w:p>
    <w:p w14:paraId="4B533B16" w14:textId="77777777" w:rsidR="002128A7" w:rsidRPr="002128A7" w:rsidRDefault="002128A7" w:rsidP="00415AFF">
      <w:pPr>
        <w:pStyle w:val="NoSpacing"/>
        <w:ind w:left="720" w:hanging="720"/>
      </w:pPr>
      <w:r w:rsidRPr="002128A7">
        <w:t>Schumpeter JA. 1942. </w:t>
      </w:r>
      <w:r w:rsidRPr="002128A7">
        <w:rPr>
          <w:i/>
          <w:iCs/>
        </w:rPr>
        <w:t>Capitalism, Socialism and Democracy</w:t>
      </w:r>
      <w:r w:rsidRPr="002128A7">
        <w:t>. Harper &amp; Brothers: New York.</w:t>
      </w:r>
    </w:p>
    <w:p w14:paraId="73986838" w14:textId="77777777" w:rsidR="002128A7" w:rsidRPr="002128A7" w:rsidRDefault="002128A7" w:rsidP="00415AFF">
      <w:pPr>
        <w:pStyle w:val="NoSpacing"/>
        <w:ind w:left="720" w:hanging="720"/>
      </w:pPr>
      <w:r w:rsidRPr="002128A7">
        <w:t>Shleifer A, </w:t>
      </w:r>
      <w:proofErr w:type="spellStart"/>
      <w:r w:rsidRPr="002128A7">
        <w:t>Vishny</w:t>
      </w:r>
      <w:proofErr w:type="spellEnd"/>
      <w:r w:rsidRPr="002128A7">
        <w:t xml:space="preserve"> RW. 2003. Stock market driven acquisitions. </w:t>
      </w:r>
      <w:r w:rsidRPr="002128A7">
        <w:rPr>
          <w:i/>
          <w:iCs/>
        </w:rPr>
        <w:t>Journal of Financial Economics</w:t>
      </w:r>
      <w:r w:rsidRPr="002128A7">
        <w:t> </w:t>
      </w:r>
      <w:r w:rsidRPr="002128A7">
        <w:rPr>
          <w:b/>
          <w:bCs/>
        </w:rPr>
        <w:t>70</w:t>
      </w:r>
      <w:r w:rsidRPr="002128A7">
        <w:t>: 295–312.</w:t>
      </w:r>
    </w:p>
    <w:p w14:paraId="7A87B2C3" w14:textId="77777777" w:rsidR="002128A7" w:rsidRPr="002128A7" w:rsidRDefault="002128A7" w:rsidP="00415AFF">
      <w:pPr>
        <w:pStyle w:val="NoSpacing"/>
        <w:ind w:left="720" w:hanging="720"/>
      </w:pPr>
      <w:r w:rsidRPr="002128A7">
        <w:t>Singh JV. 1986. Performance, slack, and risk taking in organizational decision making. </w:t>
      </w:r>
      <w:r w:rsidRPr="002128A7">
        <w:rPr>
          <w:i/>
          <w:iCs/>
        </w:rPr>
        <w:t>Academy of Management Journal</w:t>
      </w:r>
      <w:r w:rsidRPr="002128A7">
        <w:t> </w:t>
      </w:r>
      <w:r w:rsidRPr="002128A7">
        <w:rPr>
          <w:b/>
          <w:bCs/>
        </w:rPr>
        <w:t>29</w:t>
      </w:r>
      <w:r w:rsidRPr="002128A7">
        <w:t>: 562–585.</w:t>
      </w:r>
    </w:p>
    <w:p w14:paraId="6FE6C21F" w14:textId="77777777" w:rsidR="002128A7" w:rsidRPr="002128A7" w:rsidRDefault="002128A7" w:rsidP="00415AFF">
      <w:pPr>
        <w:pStyle w:val="NoSpacing"/>
        <w:ind w:left="720" w:hanging="720"/>
      </w:pPr>
      <w:r w:rsidRPr="002128A7">
        <w:t>Smith KG, Ferrier WJ, </w:t>
      </w:r>
      <w:proofErr w:type="spellStart"/>
      <w:r w:rsidRPr="002128A7">
        <w:t>Ndofor</w:t>
      </w:r>
      <w:proofErr w:type="spellEnd"/>
      <w:r w:rsidRPr="002128A7">
        <w:t xml:space="preserve"> H. 2001. Competitive dynamics research: critique and future directions. In </w:t>
      </w:r>
      <w:r w:rsidRPr="002128A7">
        <w:rPr>
          <w:i/>
          <w:iCs/>
        </w:rPr>
        <w:t>Handbook of Strategic Management</w:t>
      </w:r>
      <w:r w:rsidRPr="002128A7">
        <w:t>, </w:t>
      </w:r>
      <w:proofErr w:type="spellStart"/>
      <w:r w:rsidRPr="002128A7">
        <w:t>Hitt</w:t>
      </w:r>
      <w:proofErr w:type="spellEnd"/>
      <w:r w:rsidRPr="002128A7">
        <w:t xml:space="preserve"> MA, Freeman E, Harrison JR (eds). Blackwell: Oxford, UK; 315–361.</w:t>
      </w:r>
    </w:p>
    <w:p w14:paraId="03F2A6A3" w14:textId="77777777" w:rsidR="002128A7" w:rsidRPr="002128A7" w:rsidRDefault="002128A7" w:rsidP="00415AFF">
      <w:pPr>
        <w:pStyle w:val="NoSpacing"/>
        <w:ind w:left="720" w:hanging="720"/>
      </w:pPr>
      <w:r w:rsidRPr="002128A7">
        <w:t xml:space="preserve">Smith KG, Grimm CM. 1987. Environmental variation, strategic </w:t>
      </w:r>
      <w:proofErr w:type="gramStart"/>
      <w:r w:rsidRPr="002128A7">
        <w:t>change</w:t>
      </w:r>
      <w:proofErr w:type="gramEnd"/>
      <w:r w:rsidRPr="002128A7">
        <w:t xml:space="preserve"> and firm performance: a study of railroad deregulation. </w:t>
      </w:r>
      <w:r w:rsidRPr="002128A7">
        <w:rPr>
          <w:i/>
          <w:iCs/>
        </w:rPr>
        <w:t>Strategic Management Journal</w:t>
      </w:r>
      <w:r w:rsidRPr="002128A7">
        <w:t> </w:t>
      </w:r>
      <w:r w:rsidRPr="002128A7">
        <w:rPr>
          <w:b/>
          <w:bCs/>
        </w:rPr>
        <w:t>8</w:t>
      </w:r>
      <w:r w:rsidRPr="002128A7">
        <w:t>(4): 363–376.</w:t>
      </w:r>
    </w:p>
    <w:p w14:paraId="12FD7EE4" w14:textId="77777777" w:rsidR="002128A7" w:rsidRPr="002128A7" w:rsidRDefault="002128A7" w:rsidP="00415AFF">
      <w:pPr>
        <w:pStyle w:val="NoSpacing"/>
        <w:ind w:left="720" w:hanging="720"/>
      </w:pPr>
      <w:r w:rsidRPr="002128A7">
        <w:t>Smith KG, Grimm CM, Gannon MJ, Chen MJ. 1991. Organizational information processing. competitive responses and performance in the U.S. domestic airline industry. </w:t>
      </w:r>
      <w:r w:rsidRPr="002128A7">
        <w:rPr>
          <w:i/>
          <w:iCs/>
        </w:rPr>
        <w:t>Academy of Management Journal</w:t>
      </w:r>
      <w:r w:rsidRPr="002128A7">
        <w:t> </w:t>
      </w:r>
      <w:r w:rsidRPr="002128A7">
        <w:rPr>
          <w:b/>
          <w:bCs/>
        </w:rPr>
        <w:t>34</w:t>
      </w:r>
      <w:r w:rsidRPr="002128A7">
        <w:t>(1): 60–85.</w:t>
      </w:r>
    </w:p>
    <w:p w14:paraId="02E2F1C6" w14:textId="77777777" w:rsidR="002128A7" w:rsidRPr="002128A7" w:rsidRDefault="002128A7" w:rsidP="00415AFF">
      <w:pPr>
        <w:pStyle w:val="NoSpacing"/>
        <w:ind w:left="720" w:hanging="720"/>
      </w:pPr>
      <w:r w:rsidRPr="002128A7">
        <w:t>Spanos YE, </w:t>
      </w:r>
      <w:proofErr w:type="spellStart"/>
      <w:r w:rsidRPr="002128A7">
        <w:t>Zaralis</w:t>
      </w:r>
      <w:proofErr w:type="spellEnd"/>
      <w:r w:rsidRPr="002128A7">
        <w:t xml:space="preserve"> G, </w:t>
      </w:r>
      <w:proofErr w:type="spellStart"/>
      <w:r w:rsidRPr="002128A7">
        <w:t>Lioukas</w:t>
      </w:r>
      <w:proofErr w:type="spellEnd"/>
      <w:r w:rsidRPr="002128A7">
        <w:t xml:space="preserve"> S. 2004. Strategy and industry effects on profitability: evidence from Greece. </w:t>
      </w:r>
      <w:r w:rsidRPr="002128A7">
        <w:rPr>
          <w:i/>
          <w:iCs/>
        </w:rPr>
        <w:t>Strategic Management Journal</w:t>
      </w:r>
      <w:r w:rsidRPr="002128A7">
        <w:t> </w:t>
      </w:r>
      <w:r w:rsidRPr="002128A7">
        <w:rPr>
          <w:b/>
          <w:bCs/>
        </w:rPr>
        <w:t>25</w:t>
      </w:r>
      <w:r w:rsidRPr="002128A7">
        <w:t>(2): 139–165.</w:t>
      </w:r>
    </w:p>
    <w:p w14:paraId="60DB68DB" w14:textId="77777777" w:rsidR="002128A7" w:rsidRPr="002128A7" w:rsidRDefault="002128A7" w:rsidP="00415AFF">
      <w:pPr>
        <w:pStyle w:val="NoSpacing"/>
        <w:ind w:left="720" w:hanging="720"/>
      </w:pPr>
      <w:r w:rsidRPr="002128A7">
        <w:t>Stearns LB, Allan KD. 1996. Economic behavior in institutional environments: the corporate merger wave of the 1980s. </w:t>
      </w:r>
      <w:r w:rsidRPr="002128A7">
        <w:rPr>
          <w:i/>
          <w:iCs/>
        </w:rPr>
        <w:t>American Sociological Review</w:t>
      </w:r>
      <w:r w:rsidRPr="002128A7">
        <w:t> </w:t>
      </w:r>
      <w:r w:rsidRPr="002128A7">
        <w:rPr>
          <w:b/>
          <w:bCs/>
        </w:rPr>
        <w:t>61</w:t>
      </w:r>
      <w:r w:rsidRPr="002128A7">
        <w:t>: 699–718.</w:t>
      </w:r>
    </w:p>
    <w:p w14:paraId="671B486F" w14:textId="77777777" w:rsidR="002128A7" w:rsidRPr="002128A7" w:rsidRDefault="002128A7" w:rsidP="00415AFF">
      <w:pPr>
        <w:pStyle w:val="NoSpacing"/>
        <w:ind w:left="720" w:hanging="720"/>
      </w:pPr>
      <w:r w:rsidRPr="002128A7">
        <w:t>Williamson O. 1996. </w:t>
      </w:r>
      <w:r w:rsidRPr="002128A7">
        <w:rPr>
          <w:i/>
          <w:iCs/>
        </w:rPr>
        <w:t>The Mechanisms of Governance</w:t>
      </w:r>
      <w:r w:rsidRPr="002128A7">
        <w:t>. Oxford University Press: New York.</w:t>
      </w:r>
    </w:p>
    <w:p w14:paraId="2811F66B" w14:textId="77777777" w:rsidR="002128A7" w:rsidRPr="002128A7" w:rsidRDefault="002128A7" w:rsidP="00415AFF">
      <w:pPr>
        <w:pStyle w:val="NoSpacing"/>
        <w:ind w:left="720" w:hanging="720"/>
      </w:pPr>
      <w:r w:rsidRPr="002128A7">
        <w:t>Young G, Smith KG, Grimm CM. 1996. Austrian and industrial organization perspective on firm-level competitive activity and performance. </w:t>
      </w:r>
      <w:r w:rsidRPr="002128A7">
        <w:rPr>
          <w:i/>
          <w:iCs/>
        </w:rPr>
        <w:t>Organization Science</w:t>
      </w:r>
      <w:r w:rsidRPr="002128A7">
        <w:t> </w:t>
      </w:r>
      <w:r w:rsidRPr="002128A7">
        <w:rPr>
          <w:b/>
          <w:bCs/>
        </w:rPr>
        <w:t>7</w:t>
      </w:r>
      <w:r w:rsidRPr="002128A7">
        <w:t>: 243–254.</w:t>
      </w:r>
    </w:p>
    <w:p w14:paraId="00B979FE" w14:textId="77777777" w:rsidR="002128A7" w:rsidRPr="002128A7" w:rsidRDefault="002128A7" w:rsidP="00415AFF">
      <w:pPr>
        <w:pStyle w:val="NoSpacing"/>
        <w:ind w:left="720" w:hanging="720"/>
      </w:pPr>
      <w:r w:rsidRPr="002128A7">
        <w:t>Zahra SA, </w:t>
      </w:r>
      <w:proofErr w:type="spellStart"/>
      <w:r w:rsidRPr="002128A7">
        <w:t>Covin</w:t>
      </w:r>
      <w:proofErr w:type="spellEnd"/>
      <w:r w:rsidRPr="002128A7">
        <w:t xml:space="preserve"> JG. 1993. Business strategy, technology policy and firm performance. </w:t>
      </w:r>
      <w:r w:rsidRPr="002128A7">
        <w:rPr>
          <w:i/>
          <w:iCs/>
        </w:rPr>
        <w:t>Strategic Management Journal</w:t>
      </w:r>
      <w:r w:rsidRPr="002128A7">
        <w:t> </w:t>
      </w:r>
      <w:r w:rsidRPr="002128A7">
        <w:rPr>
          <w:b/>
          <w:bCs/>
        </w:rPr>
        <w:t>14</w:t>
      </w:r>
      <w:r w:rsidRPr="002128A7">
        <w:t>(6): 451–478.</w:t>
      </w:r>
    </w:p>
    <w:p w14:paraId="424F0F58" w14:textId="77777777" w:rsidR="002128A7" w:rsidRPr="00D121D1" w:rsidRDefault="002128A7" w:rsidP="00415AFF">
      <w:pPr>
        <w:pStyle w:val="NoSpacing"/>
        <w:ind w:left="720" w:hanging="720"/>
      </w:pPr>
    </w:p>
    <w:sectPr w:rsidR="002128A7" w:rsidRPr="00D121D1" w:rsidSect="00731498">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CC3C02"/>
    <w:multiLevelType w:val="multilevel"/>
    <w:tmpl w:val="9C722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B792E88"/>
    <w:multiLevelType w:val="multilevel"/>
    <w:tmpl w:val="A61E4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FA85003"/>
    <w:multiLevelType w:val="multilevel"/>
    <w:tmpl w:val="7E6216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95460878">
    <w:abstractNumId w:val="1"/>
  </w:num>
  <w:num w:numId="2" w16cid:durableId="693307466">
    <w:abstractNumId w:val="0"/>
  </w:num>
  <w:num w:numId="3" w16cid:durableId="19200139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cumentProtection w:edit="readOnly" w:formatting="1" w:enforcement="1" w:cryptProviderType="rsaAES" w:cryptAlgorithmClass="hash" w:cryptAlgorithmType="typeAny" w:cryptAlgorithmSid="14" w:cryptSpinCount="100000" w:hash="0z9pqOGuXLid/ZRKIB5O6x6m1ctxdm/FROVBTh4+hHLrfEwE6YfbSXtOibSapUoN1HTfApsTpPtoLKzn3XOg5A==" w:salt="a+lUdA12TJ5L4tAV6CDO9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5F44"/>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8F9"/>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092F"/>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128A7"/>
    <w:rsid w:val="00224240"/>
    <w:rsid w:val="00226FA2"/>
    <w:rsid w:val="0024134B"/>
    <w:rsid w:val="0024282A"/>
    <w:rsid w:val="00251132"/>
    <w:rsid w:val="002535DF"/>
    <w:rsid w:val="002558EB"/>
    <w:rsid w:val="00255B43"/>
    <w:rsid w:val="00255BDC"/>
    <w:rsid w:val="00255BEA"/>
    <w:rsid w:val="00261125"/>
    <w:rsid w:val="00261403"/>
    <w:rsid w:val="00261F59"/>
    <w:rsid w:val="00272AF4"/>
    <w:rsid w:val="00276C06"/>
    <w:rsid w:val="00280198"/>
    <w:rsid w:val="00282094"/>
    <w:rsid w:val="002843BC"/>
    <w:rsid w:val="00284A84"/>
    <w:rsid w:val="0029129F"/>
    <w:rsid w:val="00295FC6"/>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073A4"/>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14591"/>
    <w:rsid w:val="00415AFF"/>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75E9"/>
    <w:rsid w:val="00520368"/>
    <w:rsid w:val="005212C6"/>
    <w:rsid w:val="0052658A"/>
    <w:rsid w:val="00533270"/>
    <w:rsid w:val="00540146"/>
    <w:rsid w:val="00543C22"/>
    <w:rsid w:val="0054405B"/>
    <w:rsid w:val="0054567F"/>
    <w:rsid w:val="00546B44"/>
    <w:rsid w:val="00550356"/>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693"/>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1498"/>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0AE"/>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0CAF"/>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6AE8"/>
    <w:rsid w:val="00927998"/>
    <w:rsid w:val="00932185"/>
    <w:rsid w:val="009346E4"/>
    <w:rsid w:val="00935F23"/>
    <w:rsid w:val="00936E01"/>
    <w:rsid w:val="009372D8"/>
    <w:rsid w:val="00937D12"/>
    <w:rsid w:val="00940ED2"/>
    <w:rsid w:val="00946997"/>
    <w:rsid w:val="0094737A"/>
    <w:rsid w:val="00950094"/>
    <w:rsid w:val="0095139E"/>
    <w:rsid w:val="00951536"/>
    <w:rsid w:val="00952B32"/>
    <w:rsid w:val="00952C61"/>
    <w:rsid w:val="00954B3E"/>
    <w:rsid w:val="00954E22"/>
    <w:rsid w:val="009554A6"/>
    <w:rsid w:val="00956FEB"/>
    <w:rsid w:val="009650D5"/>
    <w:rsid w:val="0096535F"/>
    <w:rsid w:val="00965F35"/>
    <w:rsid w:val="00966500"/>
    <w:rsid w:val="009729A3"/>
    <w:rsid w:val="009732A9"/>
    <w:rsid w:val="00977C0E"/>
    <w:rsid w:val="00977F1D"/>
    <w:rsid w:val="00982113"/>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36E66"/>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93D"/>
    <w:rsid w:val="00AA541E"/>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0F5B"/>
    <w:rsid w:val="00BF6ECD"/>
    <w:rsid w:val="00BF790B"/>
    <w:rsid w:val="00C00613"/>
    <w:rsid w:val="00C01E67"/>
    <w:rsid w:val="00C05302"/>
    <w:rsid w:val="00C06B6B"/>
    <w:rsid w:val="00C06F37"/>
    <w:rsid w:val="00C0799A"/>
    <w:rsid w:val="00C13438"/>
    <w:rsid w:val="00C170FF"/>
    <w:rsid w:val="00C173E1"/>
    <w:rsid w:val="00C2019E"/>
    <w:rsid w:val="00C27AEF"/>
    <w:rsid w:val="00C3110E"/>
    <w:rsid w:val="00C3466C"/>
    <w:rsid w:val="00C355FF"/>
    <w:rsid w:val="00C36ABC"/>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21D1"/>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0926"/>
    <w:rsid w:val="00D65A57"/>
    <w:rsid w:val="00D66306"/>
    <w:rsid w:val="00D66B18"/>
    <w:rsid w:val="00D66CE0"/>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0CC3"/>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EF7553"/>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541E"/>
  </w:style>
  <w:style w:type="paragraph" w:styleId="Heading1">
    <w:name w:val="heading 1"/>
    <w:basedOn w:val="Normal"/>
    <w:next w:val="Normal"/>
    <w:link w:val="Heading1Char"/>
    <w:uiPriority w:val="9"/>
    <w:qFormat/>
    <w:rsid w:val="00AA541E"/>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AA541E"/>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AA541E"/>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AA541E"/>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AA541E"/>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AA541E"/>
    <w:pPr>
      <w:keepNext/>
      <w:keepLines/>
      <w:spacing w:before="40" w:after="0"/>
      <w:outlineLvl w:val="5"/>
    </w:pPr>
  </w:style>
  <w:style w:type="paragraph" w:styleId="Heading7">
    <w:name w:val="heading 7"/>
    <w:basedOn w:val="Normal"/>
    <w:next w:val="Normal"/>
    <w:link w:val="Heading7Char"/>
    <w:uiPriority w:val="9"/>
    <w:semiHidden/>
    <w:unhideWhenUsed/>
    <w:qFormat/>
    <w:rsid w:val="00AA541E"/>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A541E"/>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AA541E"/>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A541E"/>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AA541E"/>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AA541E"/>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AA541E"/>
    <w:rPr>
      <w:i/>
      <w:iCs/>
    </w:rPr>
  </w:style>
  <w:style w:type="character" w:customStyle="1" w:styleId="Heading5Char">
    <w:name w:val="Heading 5 Char"/>
    <w:basedOn w:val="DefaultParagraphFont"/>
    <w:link w:val="Heading5"/>
    <w:uiPriority w:val="9"/>
    <w:semiHidden/>
    <w:rsid w:val="00AA541E"/>
    <w:rPr>
      <w:color w:val="404040" w:themeColor="text1" w:themeTint="BF"/>
    </w:rPr>
  </w:style>
  <w:style w:type="character" w:customStyle="1" w:styleId="Heading6Char">
    <w:name w:val="Heading 6 Char"/>
    <w:basedOn w:val="DefaultParagraphFont"/>
    <w:link w:val="Heading6"/>
    <w:uiPriority w:val="9"/>
    <w:semiHidden/>
    <w:rsid w:val="00AA541E"/>
  </w:style>
  <w:style w:type="character" w:customStyle="1" w:styleId="Heading7Char">
    <w:name w:val="Heading 7 Char"/>
    <w:basedOn w:val="DefaultParagraphFont"/>
    <w:link w:val="Heading7"/>
    <w:uiPriority w:val="9"/>
    <w:semiHidden/>
    <w:rsid w:val="00AA541E"/>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A541E"/>
    <w:rPr>
      <w:color w:val="262626" w:themeColor="text1" w:themeTint="D9"/>
      <w:sz w:val="21"/>
      <w:szCs w:val="21"/>
    </w:rPr>
  </w:style>
  <w:style w:type="character" w:customStyle="1" w:styleId="Heading9Char">
    <w:name w:val="Heading 9 Char"/>
    <w:basedOn w:val="DefaultParagraphFont"/>
    <w:link w:val="Heading9"/>
    <w:uiPriority w:val="9"/>
    <w:semiHidden/>
    <w:rsid w:val="00AA541E"/>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AA541E"/>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AA541E"/>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AA541E"/>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AA541E"/>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AA541E"/>
    <w:rPr>
      <w:color w:val="5A5A5A" w:themeColor="text1" w:themeTint="A5"/>
      <w:spacing w:val="15"/>
    </w:rPr>
  </w:style>
  <w:style w:type="character" w:styleId="Strong">
    <w:name w:val="Strong"/>
    <w:basedOn w:val="DefaultParagraphFont"/>
    <w:uiPriority w:val="22"/>
    <w:qFormat/>
    <w:rsid w:val="00AA541E"/>
    <w:rPr>
      <w:b/>
      <w:bCs/>
      <w:color w:val="auto"/>
    </w:rPr>
  </w:style>
  <w:style w:type="character" w:styleId="Emphasis">
    <w:name w:val="Emphasis"/>
    <w:basedOn w:val="DefaultParagraphFont"/>
    <w:uiPriority w:val="20"/>
    <w:qFormat/>
    <w:rsid w:val="00AA541E"/>
    <w:rPr>
      <w:i/>
      <w:iCs/>
      <w:color w:val="auto"/>
    </w:rPr>
  </w:style>
  <w:style w:type="paragraph" w:styleId="NoSpacing">
    <w:name w:val="No Spacing"/>
    <w:uiPriority w:val="1"/>
    <w:qFormat/>
    <w:rsid w:val="00AA541E"/>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AA541E"/>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AA541E"/>
    <w:rPr>
      <w:i/>
      <w:iCs/>
      <w:color w:val="404040" w:themeColor="text1" w:themeTint="BF"/>
    </w:rPr>
  </w:style>
  <w:style w:type="paragraph" w:styleId="IntenseQuote">
    <w:name w:val="Intense Quote"/>
    <w:basedOn w:val="Normal"/>
    <w:next w:val="Normal"/>
    <w:link w:val="IntenseQuoteChar"/>
    <w:uiPriority w:val="30"/>
    <w:qFormat/>
    <w:rsid w:val="00AA541E"/>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AA541E"/>
    <w:rPr>
      <w:i/>
      <w:iCs/>
      <w:color w:val="404040" w:themeColor="text1" w:themeTint="BF"/>
    </w:rPr>
  </w:style>
  <w:style w:type="character" w:styleId="SubtleEmphasis">
    <w:name w:val="Subtle Emphasis"/>
    <w:basedOn w:val="DefaultParagraphFont"/>
    <w:uiPriority w:val="19"/>
    <w:qFormat/>
    <w:rsid w:val="00AA541E"/>
    <w:rPr>
      <w:i/>
      <w:iCs/>
      <w:color w:val="404040" w:themeColor="text1" w:themeTint="BF"/>
    </w:rPr>
  </w:style>
  <w:style w:type="character" w:styleId="IntenseEmphasis">
    <w:name w:val="Intense Emphasis"/>
    <w:basedOn w:val="DefaultParagraphFont"/>
    <w:uiPriority w:val="21"/>
    <w:qFormat/>
    <w:rsid w:val="00AA541E"/>
    <w:rPr>
      <w:b/>
      <w:bCs/>
      <w:i/>
      <w:iCs/>
      <w:color w:val="auto"/>
    </w:rPr>
  </w:style>
  <w:style w:type="character" w:styleId="SubtleReference">
    <w:name w:val="Subtle Reference"/>
    <w:basedOn w:val="DefaultParagraphFont"/>
    <w:uiPriority w:val="31"/>
    <w:qFormat/>
    <w:rsid w:val="00AA541E"/>
    <w:rPr>
      <w:smallCaps/>
      <w:color w:val="404040" w:themeColor="text1" w:themeTint="BF"/>
    </w:rPr>
  </w:style>
  <w:style w:type="character" w:styleId="IntenseReference">
    <w:name w:val="Intense Reference"/>
    <w:basedOn w:val="DefaultParagraphFont"/>
    <w:uiPriority w:val="32"/>
    <w:qFormat/>
    <w:rsid w:val="00AA541E"/>
    <w:rPr>
      <w:b/>
      <w:bCs/>
      <w:smallCaps/>
      <w:color w:val="404040" w:themeColor="text1" w:themeTint="BF"/>
      <w:spacing w:val="5"/>
    </w:rPr>
  </w:style>
  <w:style w:type="character" w:styleId="BookTitle">
    <w:name w:val="Book Title"/>
    <w:basedOn w:val="DefaultParagraphFont"/>
    <w:uiPriority w:val="33"/>
    <w:qFormat/>
    <w:rsid w:val="00AA541E"/>
    <w:rPr>
      <w:b/>
      <w:bCs/>
      <w:i/>
      <w:iCs/>
      <w:spacing w:val="5"/>
    </w:rPr>
  </w:style>
  <w:style w:type="paragraph" w:styleId="TOCHeading">
    <w:name w:val="TOC Heading"/>
    <w:basedOn w:val="Heading1"/>
    <w:next w:val="Normal"/>
    <w:uiPriority w:val="39"/>
    <w:semiHidden/>
    <w:unhideWhenUsed/>
    <w:qFormat/>
    <w:rsid w:val="00AA541E"/>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D66CE0"/>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D66CE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66CE0"/>
    <w:rPr>
      <w:color w:val="0000FF"/>
      <w:u w:val="single"/>
    </w:rPr>
  </w:style>
  <w:style w:type="character" w:styleId="FollowedHyperlink">
    <w:name w:val="FollowedHyperlink"/>
    <w:basedOn w:val="DefaultParagraphFont"/>
    <w:uiPriority w:val="99"/>
    <w:semiHidden/>
    <w:unhideWhenUsed/>
    <w:rsid w:val="00D66CE0"/>
    <w:rPr>
      <w:color w:val="800080"/>
      <w:u w:val="single"/>
    </w:rPr>
  </w:style>
  <w:style w:type="character" w:customStyle="1" w:styleId="table-captionlabel">
    <w:name w:val="table-caption__label"/>
    <w:basedOn w:val="DefaultParagraphFont"/>
    <w:rsid w:val="00D66CE0"/>
  </w:style>
  <w:style w:type="paragraph" w:customStyle="1" w:styleId="footnotepopupitem">
    <w:name w:val="footnotepopup__item"/>
    <w:basedOn w:val="Normal"/>
    <w:rsid w:val="00D66CE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66CE0"/>
  </w:style>
  <w:style w:type="character" w:styleId="UnresolvedMention">
    <w:name w:val="Unresolved Mention"/>
    <w:basedOn w:val="DefaultParagraphFont"/>
    <w:uiPriority w:val="99"/>
    <w:semiHidden/>
    <w:unhideWhenUsed/>
    <w:rsid w:val="00D66CE0"/>
    <w:rPr>
      <w:color w:val="605E5C"/>
      <w:shd w:val="clear" w:color="auto" w:fill="E1DFDD"/>
    </w:rPr>
  </w:style>
  <w:style w:type="paragraph" w:customStyle="1" w:styleId="rlist">
    <w:name w:val="rlist"/>
    <w:basedOn w:val="Normal"/>
    <w:rsid w:val="002128A7"/>
    <w:pPr>
      <w:spacing w:before="100" w:beforeAutospacing="1" w:after="100" w:afterAutospacing="1" w:line="240" w:lineRule="auto"/>
    </w:pPr>
    <w:rPr>
      <w:rFonts w:ascii="Times New Roman" w:eastAsia="Times New Roman" w:hAnsi="Times New Roman" w:cs="Times New Roman"/>
      <w:sz w:val="24"/>
      <w:szCs w:val="24"/>
    </w:rPr>
  </w:style>
  <w:style w:type="character" w:styleId="HTMLCite">
    <w:name w:val="HTML Cite"/>
    <w:basedOn w:val="DefaultParagraphFont"/>
    <w:uiPriority w:val="99"/>
    <w:semiHidden/>
    <w:unhideWhenUsed/>
    <w:rsid w:val="002128A7"/>
    <w:rPr>
      <w:i/>
      <w:iCs/>
    </w:rPr>
  </w:style>
  <w:style w:type="character" w:customStyle="1" w:styleId="author">
    <w:name w:val="author"/>
    <w:basedOn w:val="DefaultParagraphFont"/>
    <w:rsid w:val="002128A7"/>
  </w:style>
  <w:style w:type="character" w:customStyle="1" w:styleId="pubyear">
    <w:name w:val="pubyear"/>
    <w:basedOn w:val="DefaultParagraphFont"/>
    <w:rsid w:val="002128A7"/>
  </w:style>
  <w:style w:type="character" w:customStyle="1" w:styleId="articletitle">
    <w:name w:val="articletitle"/>
    <w:basedOn w:val="DefaultParagraphFont"/>
    <w:rsid w:val="002128A7"/>
  </w:style>
  <w:style w:type="character" w:customStyle="1" w:styleId="journaltitle">
    <w:name w:val="journaltitle"/>
    <w:basedOn w:val="DefaultParagraphFont"/>
    <w:rsid w:val="002128A7"/>
  </w:style>
  <w:style w:type="character" w:customStyle="1" w:styleId="vol">
    <w:name w:val="vol"/>
    <w:basedOn w:val="DefaultParagraphFont"/>
    <w:rsid w:val="002128A7"/>
  </w:style>
  <w:style w:type="character" w:customStyle="1" w:styleId="pagefirst">
    <w:name w:val="pagefirst"/>
    <w:basedOn w:val="DefaultParagraphFont"/>
    <w:rsid w:val="002128A7"/>
  </w:style>
  <w:style w:type="character" w:customStyle="1" w:styleId="pagelast">
    <w:name w:val="pagelast"/>
    <w:basedOn w:val="DefaultParagraphFont"/>
    <w:rsid w:val="002128A7"/>
  </w:style>
  <w:style w:type="character" w:customStyle="1" w:styleId="openurl">
    <w:name w:val="openurl"/>
    <w:basedOn w:val="DefaultParagraphFont"/>
    <w:rsid w:val="002128A7"/>
  </w:style>
  <w:style w:type="character" w:customStyle="1" w:styleId="chaptertitle">
    <w:name w:val="chaptertitle"/>
    <w:basedOn w:val="DefaultParagraphFont"/>
    <w:rsid w:val="002128A7"/>
  </w:style>
  <w:style w:type="character" w:customStyle="1" w:styleId="booktitle0">
    <w:name w:val="booktitle"/>
    <w:basedOn w:val="DefaultParagraphFont"/>
    <w:rsid w:val="002128A7"/>
  </w:style>
  <w:style w:type="character" w:customStyle="1" w:styleId="editor">
    <w:name w:val="editor"/>
    <w:basedOn w:val="DefaultParagraphFont"/>
    <w:rsid w:val="002128A7"/>
  </w:style>
  <w:style w:type="character" w:customStyle="1" w:styleId="publisherlocation">
    <w:name w:val="publisherlocation"/>
    <w:basedOn w:val="DefaultParagraphFont"/>
    <w:rsid w:val="002128A7"/>
  </w:style>
  <w:style w:type="character" w:customStyle="1" w:styleId="citedissue">
    <w:name w:val="citedissue"/>
    <w:basedOn w:val="DefaultParagraphFont"/>
    <w:rsid w:val="002128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064011">
      <w:bodyDiv w:val="1"/>
      <w:marLeft w:val="0"/>
      <w:marRight w:val="0"/>
      <w:marTop w:val="0"/>
      <w:marBottom w:val="0"/>
      <w:divBdr>
        <w:top w:val="none" w:sz="0" w:space="0" w:color="auto"/>
        <w:left w:val="none" w:sz="0" w:space="0" w:color="auto"/>
        <w:bottom w:val="none" w:sz="0" w:space="0" w:color="auto"/>
        <w:right w:val="none" w:sz="0" w:space="0" w:color="auto"/>
      </w:divBdr>
    </w:div>
    <w:div w:id="397674602">
      <w:bodyDiv w:val="1"/>
      <w:marLeft w:val="0"/>
      <w:marRight w:val="0"/>
      <w:marTop w:val="0"/>
      <w:marBottom w:val="0"/>
      <w:divBdr>
        <w:top w:val="none" w:sz="0" w:space="0" w:color="auto"/>
        <w:left w:val="none" w:sz="0" w:space="0" w:color="auto"/>
        <w:bottom w:val="none" w:sz="0" w:space="0" w:color="auto"/>
        <w:right w:val="none" w:sz="0" w:space="0" w:color="auto"/>
      </w:divBdr>
      <w:divsChild>
        <w:div w:id="524758600">
          <w:marLeft w:val="0"/>
          <w:marRight w:val="0"/>
          <w:marTop w:val="0"/>
          <w:marBottom w:val="0"/>
          <w:divBdr>
            <w:top w:val="none" w:sz="0" w:space="0" w:color="auto"/>
            <w:left w:val="none" w:sz="0" w:space="0" w:color="auto"/>
            <w:bottom w:val="none" w:sz="0" w:space="0" w:color="auto"/>
            <w:right w:val="none" w:sz="0" w:space="0" w:color="auto"/>
          </w:divBdr>
          <w:divsChild>
            <w:div w:id="51124994">
              <w:marLeft w:val="0"/>
              <w:marRight w:val="0"/>
              <w:marTop w:val="0"/>
              <w:marBottom w:val="0"/>
              <w:divBdr>
                <w:top w:val="none" w:sz="0" w:space="0" w:color="auto"/>
                <w:left w:val="none" w:sz="0" w:space="0" w:color="auto"/>
                <w:bottom w:val="none" w:sz="0" w:space="0" w:color="auto"/>
                <w:right w:val="none" w:sz="0" w:space="0" w:color="auto"/>
              </w:divBdr>
            </w:div>
          </w:divsChild>
        </w:div>
        <w:div w:id="1902253718">
          <w:marLeft w:val="0"/>
          <w:marRight w:val="0"/>
          <w:marTop w:val="0"/>
          <w:marBottom w:val="0"/>
          <w:divBdr>
            <w:top w:val="none" w:sz="0" w:space="0" w:color="auto"/>
            <w:left w:val="none" w:sz="0" w:space="0" w:color="auto"/>
            <w:bottom w:val="none" w:sz="0" w:space="0" w:color="auto"/>
            <w:right w:val="none" w:sz="0" w:space="0" w:color="auto"/>
          </w:divBdr>
          <w:divsChild>
            <w:div w:id="80836336">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364252276">
          <w:marLeft w:val="0"/>
          <w:marRight w:val="0"/>
          <w:marTop w:val="0"/>
          <w:marBottom w:val="0"/>
          <w:divBdr>
            <w:top w:val="none" w:sz="0" w:space="0" w:color="auto"/>
            <w:left w:val="none" w:sz="0" w:space="0" w:color="auto"/>
            <w:bottom w:val="none" w:sz="0" w:space="0" w:color="auto"/>
            <w:right w:val="none" w:sz="0" w:space="0" w:color="auto"/>
          </w:divBdr>
          <w:divsChild>
            <w:div w:id="208882841">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87239381">
          <w:marLeft w:val="0"/>
          <w:marRight w:val="0"/>
          <w:marTop w:val="0"/>
          <w:marBottom w:val="0"/>
          <w:divBdr>
            <w:top w:val="none" w:sz="0" w:space="0" w:color="auto"/>
            <w:left w:val="none" w:sz="0" w:space="0" w:color="auto"/>
            <w:bottom w:val="none" w:sz="0" w:space="0" w:color="auto"/>
            <w:right w:val="none" w:sz="0" w:space="0" w:color="auto"/>
          </w:divBdr>
          <w:divsChild>
            <w:div w:id="146558413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113625466">
          <w:marLeft w:val="0"/>
          <w:marRight w:val="0"/>
          <w:marTop w:val="0"/>
          <w:marBottom w:val="0"/>
          <w:divBdr>
            <w:top w:val="none" w:sz="0" w:space="0" w:color="auto"/>
            <w:left w:val="none" w:sz="0" w:space="0" w:color="auto"/>
            <w:bottom w:val="none" w:sz="0" w:space="0" w:color="auto"/>
            <w:right w:val="none" w:sz="0" w:space="0" w:color="auto"/>
          </w:divBdr>
          <w:divsChild>
            <w:div w:id="1406997131">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021883023">
          <w:marLeft w:val="0"/>
          <w:marRight w:val="0"/>
          <w:marTop w:val="0"/>
          <w:marBottom w:val="0"/>
          <w:divBdr>
            <w:top w:val="none" w:sz="0" w:space="0" w:color="auto"/>
            <w:left w:val="none" w:sz="0" w:space="0" w:color="auto"/>
            <w:bottom w:val="none" w:sz="0" w:space="0" w:color="auto"/>
            <w:right w:val="none" w:sz="0" w:space="0" w:color="auto"/>
          </w:divBdr>
          <w:divsChild>
            <w:div w:id="100042531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52969784">
          <w:marLeft w:val="0"/>
          <w:marRight w:val="0"/>
          <w:marTop w:val="0"/>
          <w:marBottom w:val="0"/>
          <w:divBdr>
            <w:top w:val="none" w:sz="0" w:space="0" w:color="auto"/>
            <w:left w:val="none" w:sz="0" w:space="0" w:color="auto"/>
            <w:bottom w:val="none" w:sz="0" w:space="0" w:color="auto"/>
            <w:right w:val="none" w:sz="0" w:space="0" w:color="auto"/>
          </w:divBdr>
          <w:divsChild>
            <w:div w:id="877014239">
              <w:marLeft w:val="0"/>
              <w:marRight w:val="0"/>
              <w:marTop w:val="0"/>
              <w:marBottom w:val="0"/>
              <w:divBdr>
                <w:top w:val="none" w:sz="0" w:space="0" w:color="auto"/>
                <w:left w:val="none" w:sz="0" w:space="0" w:color="auto"/>
                <w:bottom w:val="none" w:sz="0" w:space="0" w:color="auto"/>
                <w:right w:val="none" w:sz="0" w:space="0" w:color="auto"/>
              </w:divBdr>
            </w:div>
          </w:divsChild>
        </w:div>
        <w:div w:id="371460374">
          <w:marLeft w:val="0"/>
          <w:marRight w:val="0"/>
          <w:marTop w:val="0"/>
          <w:marBottom w:val="0"/>
          <w:divBdr>
            <w:top w:val="none" w:sz="0" w:space="0" w:color="auto"/>
            <w:left w:val="none" w:sz="0" w:space="0" w:color="auto"/>
            <w:bottom w:val="none" w:sz="0" w:space="0" w:color="auto"/>
            <w:right w:val="none" w:sz="0" w:space="0" w:color="auto"/>
          </w:divBdr>
          <w:divsChild>
            <w:div w:id="152380641">
              <w:marLeft w:val="0"/>
              <w:marRight w:val="0"/>
              <w:marTop w:val="0"/>
              <w:marBottom w:val="0"/>
              <w:divBdr>
                <w:top w:val="none" w:sz="0" w:space="0" w:color="auto"/>
                <w:left w:val="none" w:sz="0" w:space="0" w:color="auto"/>
                <w:bottom w:val="none" w:sz="0" w:space="0" w:color="auto"/>
                <w:right w:val="none" w:sz="0" w:space="0" w:color="auto"/>
              </w:divBdr>
            </w:div>
            <w:div w:id="807939119">
              <w:marLeft w:val="0"/>
              <w:marRight w:val="0"/>
              <w:marTop w:val="0"/>
              <w:marBottom w:val="0"/>
              <w:divBdr>
                <w:top w:val="none" w:sz="0" w:space="0" w:color="auto"/>
                <w:left w:val="none" w:sz="0" w:space="0" w:color="auto"/>
                <w:bottom w:val="none" w:sz="0" w:space="0" w:color="auto"/>
                <w:right w:val="none" w:sz="0" w:space="0" w:color="auto"/>
              </w:divBdr>
            </w:div>
          </w:divsChild>
        </w:div>
        <w:div w:id="2131894193">
          <w:marLeft w:val="0"/>
          <w:marRight w:val="0"/>
          <w:marTop w:val="0"/>
          <w:marBottom w:val="0"/>
          <w:divBdr>
            <w:top w:val="none" w:sz="0" w:space="0" w:color="auto"/>
            <w:left w:val="none" w:sz="0" w:space="0" w:color="auto"/>
            <w:bottom w:val="none" w:sz="0" w:space="0" w:color="auto"/>
            <w:right w:val="none" w:sz="0" w:space="0" w:color="auto"/>
          </w:divBdr>
          <w:divsChild>
            <w:div w:id="1776292016">
              <w:marLeft w:val="0"/>
              <w:marRight w:val="0"/>
              <w:marTop w:val="0"/>
              <w:marBottom w:val="0"/>
              <w:divBdr>
                <w:top w:val="none" w:sz="0" w:space="0" w:color="auto"/>
                <w:left w:val="none" w:sz="0" w:space="0" w:color="auto"/>
                <w:bottom w:val="none" w:sz="0" w:space="0" w:color="auto"/>
                <w:right w:val="none" w:sz="0" w:space="0" w:color="auto"/>
              </w:divBdr>
            </w:div>
            <w:div w:id="2053185121">
              <w:marLeft w:val="0"/>
              <w:marRight w:val="0"/>
              <w:marTop w:val="0"/>
              <w:marBottom w:val="0"/>
              <w:divBdr>
                <w:top w:val="none" w:sz="0" w:space="0" w:color="auto"/>
                <w:left w:val="none" w:sz="0" w:space="0" w:color="auto"/>
                <w:bottom w:val="none" w:sz="0" w:space="0" w:color="auto"/>
                <w:right w:val="none" w:sz="0" w:space="0" w:color="auto"/>
              </w:divBdr>
            </w:div>
          </w:divsChild>
        </w:div>
        <w:div w:id="1717199616">
          <w:marLeft w:val="0"/>
          <w:marRight w:val="0"/>
          <w:marTop w:val="0"/>
          <w:marBottom w:val="0"/>
          <w:divBdr>
            <w:top w:val="none" w:sz="0" w:space="0" w:color="auto"/>
            <w:left w:val="none" w:sz="0" w:space="0" w:color="auto"/>
            <w:bottom w:val="none" w:sz="0" w:space="0" w:color="auto"/>
            <w:right w:val="none" w:sz="0" w:space="0" w:color="auto"/>
          </w:divBdr>
        </w:div>
      </w:divsChild>
    </w:div>
    <w:div w:id="685865658">
      <w:bodyDiv w:val="1"/>
      <w:marLeft w:val="0"/>
      <w:marRight w:val="0"/>
      <w:marTop w:val="0"/>
      <w:marBottom w:val="0"/>
      <w:divBdr>
        <w:top w:val="none" w:sz="0" w:space="0" w:color="auto"/>
        <w:left w:val="none" w:sz="0" w:space="0" w:color="auto"/>
        <w:bottom w:val="none" w:sz="0" w:space="0" w:color="auto"/>
        <w:right w:val="none" w:sz="0" w:space="0" w:color="auto"/>
      </w:divBdr>
      <w:divsChild>
        <w:div w:id="198903351">
          <w:marLeft w:val="0"/>
          <w:marRight w:val="0"/>
          <w:marTop w:val="0"/>
          <w:marBottom w:val="0"/>
          <w:divBdr>
            <w:top w:val="none" w:sz="0" w:space="0" w:color="auto"/>
            <w:left w:val="none" w:sz="0" w:space="0" w:color="auto"/>
            <w:bottom w:val="none" w:sz="0" w:space="0" w:color="auto"/>
            <w:right w:val="none" w:sz="0" w:space="0" w:color="auto"/>
          </w:divBdr>
          <w:divsChild>
            <w:div w:id="1162238279">
              <w:marLeft w:val="0"/>
              <w:marRight w:val="0"/>
              <w:marTop w:val="0"/>
              <w:marBottom w:val="0"/>
              <w:divBdr>
                <w:top w:val="none" w:sz="0" w:space="0" w:color="auto"/>
                <w:left w:val="none" w:sz="0" w:space="0" w:color="auto"/>
                <w:bottom w:val="none" w:sz="0" w:space="0" w:color="auto"/>
                <w:right w:val="none" w:sz="0" w:space="0" w:color="auto"/>
              </w:divBdr>
              <w:divsChild>
                <w:div w:id="1269847795">
                  <w:marLeft w:val="0"/>
                  <w:marRight w:val="0"/>
                  <w:marTop w:val="0"/>
                  <w:marBottom w:val="0"/>
                  <w:divBdr>
                    <w:top w:val="none" w:sz="0" w:space="0" w:color="auto"/>
                    <w:left w:val="none" w:sz="0" w:space="0" w:color="auto"/>
                    <w:bottom w:val="none" w:sz="0" w:space="0" w:color="auto"/>
                    <w:right w:val="none" w:sz="0" w:space="0" w:color="auto"/>
                  </w:divBdr>
                  <w:divsChild>
                    <w:div w:id="901938981">
                      <w:marLeft w:val="0"/>
                      <w:marRight w:val="0"/>
                      <w:marTop w:val="0"/>
                      <w:marBottom w:val="0"/>
                      <w:divBdr>
                        <w:top w:val="none" w:sz="0" w:space="0" w:color="auto"/>
                        <w:left w:val="none" w:sz="0" w:space="0" w:color="auto"/>
                        <w:bottom w:val="none" w:sz="0" w:space="0" w:color="auto"/>
                        <w:right w:val="none" w:sz="0" w:space="0" w:color="auto"/>
                      </w:divBdr>
                      <w:divsChild>
                        <w:div w:id="1114514839">
                          <w:marLeft w:val="0"/>
                          <w:marRight w:val="0"/>
                          <w:marTop w:val="0"/>
                          <w:marBottom w:val="0"/>
                          <w:divBdr>
                            <w:top w:val="none" w:sz="0" w:space="0" w:color="auto"/>
                            <w:left w:val="none" w:sz="0" w:space="0" w:color="auto"/>
                            <w:bottom w:val="none" w:sz="0" w:space="0" w:color="auto"/>
                            <w:right w:val="none" w:sz="0" w:space="0" w:color="auto"/>
                          </w:divBdr>
                          <w:divsChild>
                            <w:div w:id="1441337714">
                              <w:marLeft w:val="0"/>
                              <w:marRight w:val="0"/>
                              <w:marTop w:val="0"/>
                              <w:marBottom w:val="0"/>
                              <w:divBdr>
                                <w:top w:val="none" w:sz="0" w:space="0" w:color="auto"/>
                                <w:left w:val="none" w:sz="0" w:space="0" w:color="auto"/>
                                <w:bottom w:val="none" w:sz="0" w:space="0" w:color="auto"/>
                                <w:right w:val="none" w:sz="0" w:space="0" w:color="auto"/>
                              </w:divBdr>
                            </w:div>
                          </w:divsChild>
                        </w:div>
                        <w:div w:id="2144929074">
                          <w:marLeft w:val="0"/>
                          <w:marRight w:val="0"/>
                          <w:marTop w:val="0"/>
                          <w:marBottom w:val="0"/>
                          <w:divBdr>
                            <w:top w:val="none" w:sz="0" w:space="0" w:color="auto"/>
                            <w:left w:val="none" w:sz="0" w:space="0" w:color="auto"/>
                            <w:bottom w:val="none" w:sz="0" w:space="0" w:color="auto"/>
                            <w:right w:val="none" w:sz="0" w:space="0" w:color="auto"/>
                          </w:divBdr>
                          <w:divsChild>
                            <w:div w:id="705524771">
                              <w:marLeft w:val="0"/>
                              <w:marRight w:val="0"/>
                              <w:marTop w:val="0"/>
                              <w:marBottom w:val="0"/>
                              <w:divBdr>
                                <w:top w:val="none" w:sz="0" w:space="0" w:color="auto"/>
                                <w:left w:val="none" w:sz="0" w:space="0" w:color="auto"/>
                                <w:bottom w:val="none" w:sz="0" w:space="0" w:color="auto"/>
                                <w:right w:val="none" w:sz="0" w:space="0" w:color="auto"/>
                              </w:divBdr>
                            </w:div>
                          </w:divsChild>
                        </w:div>
                        <w:div w:id="285694670">
                          <w:marLeft w:val="0"/>
                          <w:marRight w:val="0"/>
                          <w:marTop w:val="0"/>
                          <w:marBottom w:val="0"/>
                          <w:divBdr>
                            <w:top w:val="none" w:sz="0" w:space="0" w:color="auto"/>
                            <w:left w:val="none" w:sz="0" w:space="0" w:color="auto"/>
                            <w:bottom w:val="none" w:sz="0" w:space="0" w:color="auto"/>
                            <w:right w:val="none" w:sz="0" w:space="0" w:color="auto"/>
                          </w:divBdr>
                          <w:divsChild>
                            <w:div w:id="1652906875">
                              <w:marLeft w:val="0"/>
                              <w:marRight w:val="0"/>
                              <w:marTop w:val="0"/>
                              <w:marBottom w:val="0"/>
                              <w:divBdr>
                                <w:top w:val="none" w:sz="0" w:space="0" w:color="auto"/>
                                <w:left w:val="none" w:sz="0" w:space="0" w:color="auto"/>
                                <w:bottom w:val="none" w:sz="0" w:space="0" w:color="auto"/>
                                <w:right w:val="none" w:sz="0" w:space="0" w:color="auto"/>
                              </w:divBdr>
                            </w:div>
                          </w:divsChild>
                        </w:div>
                        <w:div w:id="878476448">
                          <w:marLeft w:val="0"/>
                          <w:marRight w:val="0"/>
                          <w:marTop w:val="0"/>
                          <w:marBottom w:val="0"/>
                          <w:divBdr>
                            <w:top w:val="none" w:sz="0" w:space="0" w:color="auto"/>
                            <w:left w:val="none" w:sz="0" w:space="0" w:color="auto"/>
                            <w:bottom w:val="none" w:sz="0" w:space="0" w:color="auto"/>
                            <w:right w:val="none" w:sz="0" w:space="0" w:color="auto"/>
                          </w:divBdr>
                          <w:divsChild>
                            <w:div w:id="718363939">
                              <w:marLeft w:val="0"/>
                              <w:marRight w:val="0"/>
                              <w:marTop w:val="0"/>
                              <w:marBottom w:val="0"/>
                              <w:divBdr>
                                <w:top w:val="none" w:sz="0" w:space="0" w:color="auto"/>
                                <w:left w:val="none" w:sz="0" w:space="0" w:color="auto"/>
                                <w:bottom w:val="none" w:sz="0" w:space="0" w:color="auto"/>
                                <w:right w:val="none" w:sz="0" w:space="0" w:color="auto"/>
                              </w:divBdr>
                            </w:div>
                          </w:divsChild>
                        </w:div>
                        <w:div w:id="1002853862">
                          <w:marLeft w:val="0"/>
                          <w:marRight w:val="0"/>
                          <w:marTop w:val="0"/>
                          <w:marBottom w:val="0"/>
                          <w:divBdr>
                            <w:top w:val="none" w:sz="0" w:space="0" w:color="auto"/>
                            <w:left w:val="none" w:sz="0" w:space="0" w:color="auto"/>
                            <w:bottom w:val="none" w:sz="0" w:space="0" w:color="auto"/>
                            <w:right w:val="none" w:sz="0" w:space="0" w:color="auto"/>
                          </w:divBdr>
                          <w:divsChild>
                            <w:div w:id="642544329">
                              <w:marLeft w:val="0"/>
                              <w:marRight w:val="0"/>
                              <w:marTop w:val="0"/>
                              <w:marBottom w:val="0"/>
                              <w:divBdr>
                                <w:top w:val="none" w:sz="0" w:space="0" w:color="auto"/>
                                <w:left w:val="none" w:sz="0" w:space="0" w:color="auto"/>
                                <w:bottom w:val="none" w:sz="0" w:space="0" w:color="auto"/>
                                <w:right w:val="none" w:sz="0" w:space="0" w:color="auto"/>
                              </w:divBdr>
                            </w:div>
                          </w:divsChild>
                        </w:div>
                        <w:div w:id="908225908">
                          <w:marLeft w:val="0"/>
                          <w:marRight w:val="0"/>
                          <w:marTop w:val="0"/>
                          <w:marBottom w:val="0"/>
                          <w:divBdr>
                            <w:top w:val="none" w:sz="0" w:space="0" w:color="auto"/>
                            <w:left w:val="none" w:sz="0" w:space="0" w:color="auto"/>
                            <w:bottom w:val="none" w:sz="0" w:space="0" w:color="auto"/>
                            <w:right w:val="none" w:sz="0" w:space="0" w:color="auto"/>
                          </w:divBdr>
                          <w:divsChild>
                            <w:div w:id="89931108">
                              <w:marLeft w:val="0"/>
                              <w:marRight w:val="0"/>
                              <w:marTop w:val="0"/>
                              <w:marBottom w:val="0"/>
                              <w:divBdr>
                                <w:top w:val="none" w:sz="0" w:space="0" w:color="auto"/>
                                <w:left w:val="none" w:sz="0" w:space="0" w:color="auto"/>
                                <w:bottom w:val="none" w:sz="0" w:space="0" w:color="auto"/>
                                <w:right w:val="none" w:sz="0" w:space="0" w:color="auto"/>
                              </w:divBdr>
                            </w:div>
                          </w:divsChild>
                        </w:div>
                        <w:div w:id="826167457">
                          <w:marLeft w:val="0"/>
                          <w:marRight w:val="0"/>
                          <w:marTop w:val="0"/>
                          <w:marBottom w:val="0"/>
                          <w:divBdr>
                            <w:top w:val="none" w:sz="0" w:space="0" w:color="auto"/>
                            <w:left w:val="none" w:sz="0" w:space="0" w:color="auto"/>
                            <w:bottom w:val="none" w:sz="0" w:space="0" w:color="auto"/>
                            <w:right w:val="none" w:sz="0" w:space="0" w:color="auto"/>
                          </w:divBdr>
                          <w:divsChild>
                            <w:div w:id="701512022">
                              <w:marLeft w:val="0"/>
                              <w:marRight w:val="0"/>
                              <w:marTop w:val="0"/>
                              <w:marBottom w:val="0"/>
                              <w:divBdr>
                                <w:top w:val="none" w:sz="0" w:space="0" w:color="auto"/>
                                <w:left w:val="none" w:sz="0" w:space="0" w:color="auto"/>
                                <w:bottom w:val="none" w:sz="0" w:space="0" w:color="auto"/>
                                <w:right w:val="none" w:sz="0" w:space="0" w:color="auto"/>
                              </w:divBdr>
                            </w:div>
                          </w:divsChild>
                        </w:div>
                        <w:div w:id="28067557">
                          <w:marLeft w:val="0"/>
                          <w:marRight w:val="0"/>
                          <w:marTop w:val="0"/>
                          <w:marBottom w:val="0"/>
                          <w:divBdr>
                            <w:top w:val="none" w:sz="0" w:space="0" w:color="auto"/>
                            <w:left w:val="none" w:sz="0" w:space="0" w:color="auto"/>
                            <w:bottom w:val="none" w:sz="0" w:space="0" w:color="auto"/>
                            <w:right w:val="none" w:sz="0" w:space="0" w:color="auto"/>
                          </w:divBdr>
                          <w:divsChild>
                            <w:div w:id="1610429310">
                              <w:marLeft w:val="0"/>
                              <w:marRight w:val="0"/>
                              <w:marTop w:val="0"/>
                              <w:marBottom w:val="0"/>
                              <w:divBdr>
                                <w:top w:val="none" w:sz="0" w:space="0" w:color="auto"/>
                                <w:left w:val="none" w:sz="0" w:space="0" w:color="auto"/>
                                <w:bottom w:val="none" w:sz="0" w:space="0" w:color="auto"/>
                                <w:right w:val="none" w:sz="0" w:space="0" w:color="auto"/>
                              </w:divBdr>
                            </w:div>
                          </w:divsChild>
                        </w:div>
                        <w:div w:id="1918857932">
                          <w:marLeft w:val="0"/>
                          <w:marRight w:val="0"/>
                          <w:marTop w:val="0"/>
                          <w:marBottom w:val="0"/>
                          <w:divBdr>
                            <w:top w:val="none" w:sz="0" w:space="0" w:color="auto"/>
                            <w:left w:val="none" w:sz="0" w:space="0" w:color="auto"/>
                            <w:bottom w:val="none" w:sz="0" w:space="0" w:color="auto"/>
                            <w:right w:val="none" w:sz="0" w:space="0" w:color="auto"/>
                          </w:divBdr>
                          <w:divsChild>
                            <w:div w:id="1440100739">
                              <w:marLeft w:val="0"/>
                              <w:marRight w:val="0"/>
                              <w:marTop w:val="0"/>
                              <w:marBottom w:val="0"/>
                              <w:divBdr>
                                <w:top w:val="none" w:sz="0" w:space="0" w:color="auto"/>
                                <w:left w:val="none" w:sz="0" w:space="0" w:color="auto"/>
                                <w:bottom w:val="none" w:sz="0" w:space="0" w:color="auto"/>
                                <w:right w:val="none" w:sz="0" w:space="0" w:color="auto"/>
                              </w:divBdr>
                            </w:div>
                          </w:divsChild>
                        </w:div>
                        <w:div w:id="1585988088">
                          <w:marLeft w:val="0"/>
                          <w:marRight w:val="0"/>
                          <w:marTop w:val="0"/>
                          <w:marBottom w:val="0"/>
                          <w:divBdr>
                            <w:top w:val="none" w:sz="0" w:space="0" w:color="auto"/>
                            <w:left w:val="none" w:sz="0" w:space="0" w:color="auto"/>
                            <w:bottom w:val="none" w:sz="0" w:space="0" w:color="auto"/>
                            <w:right w:val="none" w:sz="0" w:space="0" w:color="auto"/>
                          </w:divBdr>
                          <w:divsChild>
                            <w:div w:id="647200219">
                              <w:marLeft w:val="0"/>
                              <w:marRight w:val="0"/>
                              <w:marTop w:val="0"/>
                              <w:marBottom w:val="0"/>
                              <w:divBdr>
                                <w:top w:val="none" w:sz="0" w:space="0" w:color="auto"/>
                                <w:left w:val="none" w:sz="0" w:space="0" w:color="auto"/>
                                <w:bottom w:val="none" w:sz="0" w:space="0" w:color="auto"/>
                                <w:right w:val="none" w:sz="0" w:space="0" w:color="auto"/>
                              </w:divBdr>
                            </w:div>
                          </w:divsChild>
                        </w:div>
                        <w:div w:id="82454353">
                          <w:marLeft w:val="0"/>
                          <w:marRight w:val="0"/>
                          <w:marTop w:val="0"/>
                          <w:marBottom w:val="0"/>
                          <w:divBdr>
                            <w:top w:val="none" w:sz="0" w:space="0" w:color="auto"/>
                            <w:left w:val="none" w:sz="0" w:space="0" w:color="auto"/>
                            <w:bottom w:val="none" w:sz="0" w:space="0" w:color="auto"/>
                            <w:right w:val="none" w:sz="0" w:space="0" w:color="auto"/>
                          </w:divBdr>
                          <w:divsChild>
                            <w:div w:id="1741370649">
                              <w:marLeft w:val="0"/>
                              <w:marRight w:val="0"/>
                              <w:marTop w:val="0"/>
                              <w:marBottom w:val="0"/>
                              <w:divBdr>
                                <w:top w:val="none" w:sz="0" w:space="0" w:color="auto"/>
                                <w:left w:val="none" w:sz="0" w:space="0" w:color="auto"/>
                                <w:bottom w:val="none" w:sz="0" w:space="0" w:color="auto"/>
                                <w:right w:val="none" w:sz="0" w:space="0" w:color="auto"/>
                              </w:divBdr>
                            </w:div>
                          </w:divsChild>
                        </w:div>
                        <w:div w:id="1103497325">
                          <w:marLeft w:val="0"/>
                          <w:marRight w:val="0"/>
                          <w:marTop w:val="0"/>
                          <w:marBottom w:val="0"/>
                          <w:divBdr>
                            <w:top w:val="none" w:sz="0" w:space="0" w:color="auto"/>
                            <w:left w:val="none" w:sz="0" w:space="0" w:color="auto"/>
                            <w:bottom w:val="none" w:sz="0" w:space="0" w:color="auto"/>
                            <w:right w:val="none" w:sz="0" w:space="0" w:color="auto"/>
                          </w:divBdr>
                          <w:divsChild>
                            <w:div w:id="1848515634">
                              <w:marLeft w:val="0"/>
                              <w:marRight w:val="0"/>
                              <w:marTop w:val="0"/>
                              <w:marBottom w:val="0"/>
                              <w:divBdr>
                                <w:top w:val="none" w:sz="0" w:space="0" w:color="auto"/>
                                <w:left w:val="none" w:sz="0" w:space="0" w:color="auto"/>
                                <w:bottom w:val="none" w:sz="0" w:space="0" w:color="auto"/>
                                <w:right w:val="none" w:sz="0" w:space="0" w:color="auto"/>
                              </w:divBdr>
                            </w:div>
                          </w:divsChild>
                        </w:div>
                        <w:div w:id="1878392937">
                          <w:marLeft w:val="0"/>
                          <w:marRight w:val="0"/>
                          <w:marTop w:val="0"/>
                          <w:marBottom w:val="0"/>
                          <w:divBdr>
                            <w:top w:val="none" w:sz="0" w:space="0" w:color="auto"/>
                            <w:left w:val="none" w:sz="0" w:space="0" w:color="auto"/>
                            <w:bottom w:val="none" w:sz="0" w:space="0" w:color="auto"/>
                            <w:right w:val="none" w:sz="0" w:space="0" w:color="auto"/>
                          </w:divBdr>
                          <w:divsChild>
                            <w:div w:id="1052920620">
                              <w:marLeft w:val="0"/>
                              <w:marRight w:val="0"/>
                              <w:marTop w:val="0"/>
                              <w:marBottom w:val="0"/>
                              <w:divBdr>
                                <w:top w:val="none" w:sz="0" w:space="0" w:color="auto"/>
                                <w:left w:val="none" w:sz="0" w:space="0" w:color="auto"/>
                                <w:bottom w:val="none" w:sz="0" w:space="0" w:color="auto"/>
                                <w:right w:val="none" w:sz="0" w:space="0" w:color="auto"/>
                              </w:divBdr>
                            </w:div>
                          </w:divsChild>
                        </w:div>
                        <w:div w:id="1250038309">
                          <w:marLeft w:val="0"/>
                          <w:marRight w:val="0"/>
                          <w:marTop w:val="0"/>
                          <w:marBottom w:val="0"/>
                          <w:divBdr>
                            <w:top w:val="none" w:sz="0" w:space="0" w:color="auto"/>
                            <w:left w:val="none" w:sz="0" w:space="0" w:color="auto"/>
                            <w:bottom w:val="none" w:sz="0" w:space="0" w:color="auto"/>
                            <w:right w:val="none" w:sz="0" w:space="0" w:color="auto"/>
                          </w:divBdr>
                          <w:divsChild>
                            <w:div w:id="1451365426">
                              <w:marLeft w:val="0"/>
                              <w:marRight w:val="0"/>
                              <w:marTop w:val="0"/>
                              <w:marBottom w:val="0"/>
                              <w:divBdr>
                                <w:top w:val="none" w:sz="0" w:space="0" w:color="auto"/>
                                <w:left w:val="none" w:sz="0" w:space="0" w:color="auto"/>
                                <w:bottom w:val="none" w:sz="0" w:space="0" w:color="auto"/>
                                <w:right w:val="none" w:sz="0" w:space="0" w:color="auto"/>
                              </w:divBdr>
                            </w:div>
                          </w:divsChild>
                        </w:div>
                        <w:div w:id="727261659">
                          <w:marLeft w:val="0"/>
                          <w:marRight w:val="0"/>
                          <w:marTop w:val="0"/>
                          <w:marBottom w:val="0"/>
                          <w:divBdr>
                            <w:top w:val="none" w:sz="0" w:space="0" w:color="auto"/>
                            <w:left w:val="none" w:sz="0" w:space="0" w:color="auto"/>
                            <w:bottom w:val="none" w:sz="0" w:space="0" w:color="auto"/>
                            <w:right w:val="none" w:sz="0" w:space="0" w:color="auto"/>
                          </w:divBdr>
                          <w:divsChild>
                            <w:div w:id="807548202">
                              <w:marLeft w:val="0"/>
                              <w:marRight w:val="0"/>
                              <w:marTop w:val="0"/>
                              <w:marBottom w:val="0"/>
                              <w:divBdr>
                                <w:top w:val="none" w:sz="0" w:space="0" w:color="auto"/>
                                <w:left w:val="none" w:sz="0" w:space="0" w:color="auto"/>
                                <w:bottom w:val="none" w:sz="0" w:space="0" w:color="auto"/>
                                <w:right w:val="none" w:sz="0" w:space="0" w:color="auto"/>
                              </w:divBdr>
                            </w:div>
                          </w:divsChild>
                        </w:div>
                        <w:div w:id="685863435">
                          <w:marLeft w:val="0"/>
                          <w:marRight w:val="0"/>
                          <w:marTop w:val="0"/>
                          <w:marBottom w:val="0"/>
                          <w:divBdr>
                            <w:top w:val="none" w:sz="0" w:space="0" w:color="auto"/>
                            <w:left w:val="none" w:sz="0" w:space="0" w:color="auto"/>
                            <w:bottom w:val="none" w:sz="0" w:space="0" w:color="auto"/>
                            <w:right w:val="none" w:sz="0" w:space="0" w:color="auto"/>
                          </w:divBdr>
                          <w:divsChild>
                            <w:div w:id="1384136623">
                              <w:marLeft w:val="0"/>
                              <w:marRight w:val="0"/>
                              <w:marTop w:val="0"/>
                              <w:marBottom w:val="0"/>
                              <w:divBdr>
                                <w:top w:val="none" w:sz="0" w:space="0" w:color="auto"/>
                                <w:left w:val="none" w:sz="0" w:space="0" w:color="auto"/>
                                <w:bottom w:val="none" w:sz="0" w:space="0" w:color="auto"/>
                                <w:right w:val="none" w:sz="0" w:space="0" w:color="auto"/>
                              </w:divBdr>
                            </w:div>
                          </w:divsChild>
                        </w:div>
                        <w:div w:id="1734351658">
                          <w:marLeft w:val="0"/>
                          <w:marRight w:val="0"/>
                          <w:marTop w:val="0"/>
                          <w:marBottom w:val="0"/>
                          <w:divBdr>
                            <w:top w:val="none" w:sz="0" w:space="0" w:color="auto"/>
                            <w:left w:val="none" w:sz="0" w:space="0" w:color="auto"/>
                            <w:bottom w:val="none" w:sz="0" w:space="0" w:color="auto"/>
                            <w:right w:val="none" w:sz="0" w:space="0" w:color="auto"/>
                          </w:divBdr>
                          <w:divsChild>
                            <w:div w:id="689339153">
                              <w:marLeft w:val="0"/>
                              <w:marRight w:val="0"/>
                              <w:marTop w:val="0"/>
                              <w:marBottom w:val="0"/>
                              <w:divBdr>
                                <w:top w:val="none" w:sz="0" w:space="0" w:color="auto"/>
                                <w:left w:val="none" w:sz="0" w:space="0" w:color="auto"/>
                                <w:bottom w:val="none" w:sz="0" w:space="0" w:color="auto"/>
                                <w:right w:val="none" w:sz="0" w:space="0" w:color="auto"/>
                              </w:divBdr>
                            </w:div>
                          </w:divsChild>
                        </w:div>
                        <w:div w:id="835191543">
                          <w:marLeft w:val="0"/>
                          <w:marRight w:val="0"/>
                          <w:marTop w:val="0"/>
                          <w:marBottom w:val="0"/>
                          <w:divBdr>
                            <w:top w:val="none" w:sz="0" w:space="0" w:color="auto"/>
                            <w:left w:val="none" w:sz="0" w:space="0" w:color="auto"/>
                            <w:bottom w:val="none" w:sz="0" w:space="0" w:color="auto"/>
                            <w:right w:val="none" w:sz="0" w:space="0" w:color="auto"/>
                          </w:divBdr>
                          <w:divsChild>
                            <w:div w:id="803431826">
                              <w:marLeft w:val="0"/>
                              <w:marRight w:val="0"/>
                              <w:marTop w:val="0"/>
                              <w:marBottom w:val="0"/>
                              <w:divBdr>
                                <w:top w:val="none" w:sz="0" w:space="0" w:color="auto"/>
                                <w:left w:val="none" w:sz="0" w:space="0" w:color="auto"/>
                                <w:bottom w:val="none" w:sz="0" w:space="0" w:color="auto"/>
                                <w:right w:val="none" w:sz="0" w:space="0" w:color="auto"/>
                              </w:divBdr>
                            </w:div>
                          </w:divsChild>
                        </w:div>
                        <w:div w:id="687877279">
                          <w:marLeft w:val="0"/>
                          <w:marRight w:val="0"/>
                          <w:marTop w:val="0"/>
                          <w:marBottom w:val="0"/>
                          <w:divBdr>
                            <w:top w:val="none" w:sz="0" w:space="0" w:color="auto"/>
                            <w:left w:val="none" w:sz="0" w:space="0" w:color="auto"/>
                            <w:bottom w:val="none" w:sz="0" w:space="0" w:color="auto"/>
                            <w:right w:val="none" w:sz="0" w:space="0" w:color="auto"/>
                          </w:divBdr>
                          <w:divsChild>
                            <w:div w:id="862792211">
                              <w:marLeft w:val="0"/>
                              <w:marRight w:val="0"/>
                              <w:marTop w:val="0"/>
                              <w:marBottom w:val="0"/>
                              <w:divBdr>
                                <w:top w:val="none" w:sz="0" w:space="0" w:color="auto"/>
                                <w:left w:val="none" w:sz="0" w:space="0" w:color="auto"/>
                                <w:bottom w:val="none" w:sz="0" w:space="0" w:color="auto"/>
                                <w:right w:val="none" w:sz="0" w:space="0" w:color="auto"/>
                              </w:divBdr>
                            </w:div>
                          </w:divsChild>
                        </w:div>
                        <w:div w:id="1837530494">
                          <w:marLeft w:val="0"/>
                          <w:marRight w:val="0"/>
                          <w:marTop w:val="0"/>
                          <w:marBottom w:val="0"/>
                          <w:divBdr>
                            <w:top w:val="none" w:sz="0" w:space="0" w:color="auto"/>
                            <w:left w:val="none" w:sz="0" w:space="0" w:color="auto"/>
                            <w:bottom w:val="none" w:sz="0" w:space="0" w:color="auto"/>
                            <w:right w:val="none" w:sz="0" w:space="0" w:color="auto"/>
                          </w:divBdr>
                          <w:divsChild>
                            <w:div w:id="1797142271">
                              <w:marLeft w:val="0"/>
                              <w:marRight w:val="0"/>
                              <w:marTop w:val="0"/>
                              <w:marBottom w:val="0"/>
                              <w:divBdr>
                                <w:top w:val="none" w:sz="0" w:space="0" w:color="auto"/>
                                <w:left w:val="none" w:sz="0" w:space="0" w:color="auto"/>
                                <w:bottom w:val="none" w:sz="0" w:space="0" w:color="auto"/>
                                <w:right w:val="none" w:sz="0" w:space="0" w:color="auto"/>
                              </w:divBdr>
                            </w:div>
                          </w:divsChild>
                        </w:div>
                        <w:div w:id="1222247997">
                          <w:marLeft w:val="0"/>
                          <w:marRight w:val="0"/>
                          <w:marTop w:val="0"/>
                          <w:marBottom w:val="0"/>
                          <w:divBdr>
                            <w:top w:val="none" w:sz="0" w:space="0" w:color="auto"/>
                            <w:left w:val="none" w:sz="0" w:space="0" w:color="auto"/>
                            <w:bottom w:val="none" w:sz="0" w:space="0" w:color="auto"/>
                            <w:right w:val="none" w:sz="0" w:space="0" w:color="auto"/>
                          </w:divBdr>
                          <w:divsChild>
                            <w:div w:id="166091601">
                              <w:marLeft w:val="0"/>
                              <w:marRight w:val="0"/>
                              <w:marTop w:val="0"/>
                              <w:marBottom w:val="0"/>
                              <w:divBdr>
                                <w:top w:val="none" w:sz="0" w:space="0" w:color="auto"/>
                                <w:left w:val="none" w:sz="0" w:space="0" w:color="auto"/>
                                <w:bottom w:val="none" w:sz="0" w:space="0" w:color="auto"/>
                                <w:right w:val="none" w:sz="0" w:space="0" w:color="auto"/>
                              </w:divBdr>
                            </w:div>
                          </w:divsChild>
                        </w:div>
                        <w:div w:id="68774939">
                          <w:marLeft w:val="0"/>
                          <w:marRight w:val="0"/>
                          <w:marTop w:val="0"/>
                          <w:marBottom w:val="0"/>
                          <w:divBdr>
                            <w:top w:val="none" w:sz="0" w:space="0" w:color="auto"/>
                            <w:left w:val="none" w:sz="0" w:space="0" w:color="auto"/>
                            <w:bottom w:val="none" w:sz="0" w:space="0" w:color="auto"/>
                            <w:right w:val="none" w:sz="0" w:space="0" w:color="auto"/>
                          </w:divBdr>
                          <w:divsChild>
                            <w:div w:id="1341157394">
                              <w:marLeft w:val="0"/>
                              <w:marRight w:val="0"/>
                              <w:marTop w:val="0"/>
                              <w:marBottom w:val="0"/>
                              <w:divBdr>
                                <w:top w:val="none" w:sz="0" w:space="0" w:color="auto"/>
                                <w:left w:val="none" w:sz="0" w:space="0" w:color="auto"/>
                                <w:bottom w:val="none" w:sz="0" w:space="0" w:color="auto"/>
                                <w:right w:val="none" w:sz="0" w:space="0" w:color="auto"/>
                              </w:divBdr>
                            </w:div>
                          </w:divsChild>
                        </w:div>
                        <w:div w:id="1058280568">
                          <w:marLeft w:val="0"/>
                          <w:marRight w:val="0"/>
                          <w:marTop w:val="0"/>
                          <w:marBottom w:val="0"/>
                          <w:divBdr>
                            <w:top w:val="none" w:sz="0" w:space="0" w:color="auto"/>
                            <w:left w:val="none" w:sz="0" w:space="0" w:color="auto"/>
                            <w:bottom w:val="none" w:sz="0" w:space="0" w:color="auto"/>
                            <w:right w:val="none" w:sz="0" w:space="0" w:color="auto"/>
                          </w:divBdr>
                          <w:divsChild>
                            <w:div w:id="1904244933">
                              <w:marLeft w:val="0"/>
                              <w:marRight w:val="0"/>
                              <w:marTop w:val="0"/>
                              <w:marBottom w:val="0"/>
                              <w:divBdr>
                                <w:top w:val="none" w:sz="0" w:space="0" w:color="auto"/>
                                <w:left w:val="none" w:sz="0" w:space="0" w:color="auto"/>
                                <w:bottom w:val="none" w:sz="0" w:space="0" w:color="auto"/>
                                <w:right w:val="none" w:sz="0" w:space="0" w:color="auto"/>
                              </w:divBdr>
                            </w:div>
                          </w:divsChild>
                        </w:div>
                        <w:div w:id="1985812094">
                          <w:marLeft w:val="0"/>
                          <w:marRight w:val="0"/>
                          <w:marTop w:val="0"/>
                          <w:marBottom w:val="0"/>
                          <w:divBdr>
                            <w:top w:val="none" w:sz="0" w:space="0" w:color="auto"/>
                            <w:left w:val="none" w:sz="0" w:space="0" w:color="auto"/>
                            <w:bottom w:val="none" w:sz="0" w:space="0" w:color="auto"/>
                            <w:right w:val="none" w:sz="0" w:space="0" w:color="auto"/>
                          </w:divBdr>
                          <w:divsChild>
                            <w:div w:id="1054351779">
                              <w:marLeft w:val="0"/>
                              <w:marRight w:val="0"/>
                              <w:marTop w:val="0"/>
                              <w:marBottom w:val="0"/>
                              <w:divBdr>
                                <w:top w:val="none" w:sz="0" w:space="0" w:color="auto"/>
                                <w:left w:val="none" w:sz="0" w:space="0" w:color="auto"/>
                                <w:bottom w:val="none" w:sz="0" w:space="0" w:color="auto"/>
                                <w:right w:val="none" w:sz="0" w:space="0" w:color="auto"/>
                              </w:divBdr>
                            </w:div>
                          </w:divsChild>
                        </w:div>
                        <w:div w:id="1675179615">
                          <w:marLeft w:val="0"/>
                          <w:marRight w:val="0"/>
                          <w:marTop w:val="0"/>
                          <w:marBottom w:val="0"/>
                          <w:divBdr>
                            <w:top w:val="none" w:sz="0" w:space="0" w:color="auto"/>
                            <w:left w:val="none" w:sz="0" w:space="0" w:color="auto"/>
                            <w:bottom w:val="none" w:sz="0" w:space="0" w:color="auto"/>
                            <w:right w:val="none" w:sz="0" w:space="0" w:color="auto"/>
                          </w:divBdr>
                          <w:divsChild>
                            <w:div w:id="1806968734">
                              <w:marLeft w:val="0"/>
                              <w:marRight w:val="0"/>
                              <w:marTop w:val="0"/>
                              <w:marBottom w:val="0"/>
                              <w:divBdr>
                                <w:top w:val="none" w:sz="0" w:space="0" w:color="auto"/>
                                <w:left w:val="none" w:sz="0" w:space="0" w:color="auto"/>
                                <w:bottom w:val="none" w:sz="0" w:space="0" w:color="auto"/>
                                <w:right w:val="none" w:sz="0" w:space="0" w:color="auto"/>
                              </w:divBdr>
                            </w:div>
                          </w:divsChild>
                        </w:div>
                        <w:div w:id="40054597">
                          <w:marLeft w:val="0"/>
                          <w:marRight w:val="0"/>
                          <w:marTop w:val="0"/>
                          <w:marBottom w:val="0"/>
                          <w:divBdr>
                            <w:top w:val="none" w:sz="0" w:space="0" w:color="auto"/>
                            <w:left w:val="none" w:sz="0" w:space="0" w:color="auto"/>
                            <w:bottom w:val="none" w:sz="0" w:space="0" w:color="auto"/>
                            <w:right w:val="none" w:sz="0" w:space="0" w:color="auto"/>
                          </w:divBdr>
                          <w:divsChild>
                            <w:div w:id="31737534">
                              <w:marLeft w:val="0"/>
                              <w:marRight w:val="0"/>
                              <w:marTop w:val="0"/>
                              <w:marBottom w:val="0"/>
                              <w:divBdr>
                                <w:top w:val="none" w:sz="0" w:space="0" w:color="auto"/>
                                <w:left w:val="none" w:sz="0" w:space="0" w:color="auto"/>
                                <w:bottom w:val="none" w:sz="0" w:space="0" w:color="auto"/>
                                <w:right w:val="none" w:sz="0" w:space="0" w:color="auto"/>
                              </w:divBdr>
                            </w:div>
                          </w:divsChild>
                        </w:div>
                        <w:div w:id="467213096">
                          <w:marLeft w:val="0"/>
                          <w:marRight w:val="0"/>
                          <w:marTop w:val="0"/>
                          <w:marBottom w:val="0"/>
                          <w:divBdr>
                            <w:top w:val="none" w:sz="0" w:space="0" w:color="auto"/>
                            <w:left w:val="none" w:sz="0" w:space="0" w:color="auto"/>
                            <w:bottom w:val="none" w:sz="0" w:space="0" w:color="auto"/>
                            <w:right w:val="none" w:sz="0" w:space="0" w:color="auto"/>
                          </w:divBdr>
                          <w:divsChild>
                            <w:div w:id="1867595991">
                              <w:marLeft w:val="0"/>
                              <w:marRight w:val="0"/>
                              <w:marTop w:val="0"/>
                              <w:marBottom w:val="0"/>
                              <w:divBdr>
                                <w:top w:val="none" w:sz="0" w:space="0" w:color="auto"/>
                                <w:left w:val="none" w:sz="0" w:space="0" w:color="auto"/>
                                <w:bottom w:val="none" w:sz="0" w:space="0" w:color="auto"/>
                                <w:right w:val="none" w:sz="0" w:space="0" w:color="auto"/>
                              </w:divBdr>
                            </w:div>
                          </w:divsChild>
                        </w:div>
                        <w:div w:id="1074202631">
                          <w:marLeft w:val="0"/>
                          <w:marRight w:val="0"/>
                          <w:marTop w:val="0"/>
                          <w:marBottom w:val="0"/>
                          <w:divBdr>
                            <w:top w:val="none" w:sz="0" w:space="0" w:color="auto"/>
                            <w:left w:val="none" w:sz="0" w:space="0" w:color="auto"/>
                            <w:bottom w:val="none" w:sz="0" w:space="0" w:color="auto"/>
                            <w:right w:val="none" w:sz="0" w:space="0" w:color="auto"/>
                          </w:divBdr>
                          <w:divsChild>
                            <w:div w:id="1613828983">
                              <w:marLeft w:val="0"/>
                              <w:marRight w:val="0"/>
                              <w:marTop w:val="0"/>
                              <w:marBottom w:val="0"/>
                              <w:divBdr>
                                <w:top w:val="none" w:sz="0" w:space="0" w:color="auto"/>
                                <w:left w:val="none" w:sz="0" w:space="0" w:color="auto"/>
                                <w:bottom w:val="none" w:sz="0" w:space="0" w:color="auto"/>
                                <w:right w:val="none" w:sz="0" w:space="0" w:color="auto"/>
                              </w:divBdr>
                            </w:div>
                          </w:divsChild>
                        </w:div>
                        <w:div w:id="1470591470">
                          <w:marLeft w:val="0"/>
                          <w:marRight w:val="0"/>
                          <w:marTop w:val="0"/>
                          <w:marBottom w:val="0"/>
                          <w:divBdr>
                            <w:top w:val="none" w:sz="0" w:space="0" w:color="auto"/>
                            <w:left w:val="none" w:sz="0" w:space="0" w:color="auto"/>
                            <w:bottom w:val="none" w:sz="0" w:space="0" w:color="auto"/>
                            <w:right w:val="none" w:sz="0" w:space="0" w:color="auto"/>
                          </w:divBdr>
                          <w:divsChild>
                            <w:div w:id="264072172">
                              <w:marLeft w:val="0"/>
                              <w:marRight w:val="0"/>
                              <w:marTop w:val="0"/>
                              <w:marBottom w:val="0"/>
                              <w:divBdr>
                                <w:top w:val="none" w:sz="0" w:space="0" w:color="auto"/>
                                <w:left w:val="none" w:sz="0" w:space="0" w:color="auto"/>
                                <w:bottom w:val="none" w:sz="0" w:space="0" w:color="auto"/>
                                <w:right w:val="none" w:sz="0" w:space="0" w:color="auto"/>
                              </w:divBdr>
                            </w:div>
                          </w:divsChild>
                        </w:div>
                        <w:div w:id="497384002">
                          <w:marLeft w:val="0"/>
                          <w:marRight w:val="0"/>
                          <w:marTop w:val="0"/>
                          <w:marBottom w:val="0"/>
                          <w:divBdr>
                            <w:top w:val="none" w:sz="0" w:space="0" w:color="auto"/>
                            <w:left w:val="none" w:sz="0" w:space="0" w:color="auto"/>
                            <w:bottom w:val="none" w:sz="0" w:space="0" w:color="auto"/>
                            <w:right w:val="none" w:sz="0" w:space="0" w:color="auto"/>
                          </w:divBdr>
                          <w:divsChild>
                            <w:div w:id="1643581912">
                              <w:marLeft w:val="0"/>
                              <w:marRight w:val="0"/>
                              <w:marTop w:val="0"/>
                              <w:marBottom w:val="0"/>
                              <w:divBdr>
                                <w:top w:val="none" w:sz="0" w:space="0" w:color="auto"/>
                                <w:left w:val="none" w:sz="0" w:space="0" w:color="auto"/>
                                <w:bottom w:val="none" w:sz="0" w:space="0" w:color="auto"/>
                                <w:right w:val="none" w:sz="0" w:space="0" w:color="auto"/>
                              </w:divBdr>
                            </w:div>
                          </w:divsChild>
                        </w:div>
                        <w:div w:id="577252435">
                          <w:marLeft w:val="0"/>
                          <w:marRight w:val="0"/>
                          <w:marTop w:val="0"/>
                          <w:marBottom w:val="0"/>
                          <w:divBdr>
                            <w:top w:val="none" w:sz="0" w:space="0" w:color="auto"/>
                            <w:left w:val="none" w:sz="0" w:space="0" w:color="auto"/>
                            <w:bottom w:val="none" w:sz="0" w:space="0" w:color="auto"/>
                            <w:right w:val="none" w:sz="0" w:space="0" w:color="auto"/>
                          </w:divBdr>
                          <w:divsChild>
                            <w:div w:id="1956280276">
                              <w:marLeft w:val="0"/>
                              <w:marRight w:val="0"/>
                              <w:marTop w:val="0"/>
                              <w:marBottom w:val="0"/>
                              <w:divBdr>
                                <w:top w:val="none" w:sz="0" w:space="0" w:color="auto"/>
                                <w:left w:val="none" w:sz="0" w:space="0" w:color="auto"/>
                                <w:bottom w:val="none" w:sz="0" w:space="0" w:color="auto"/>
                                <w:right w:val="none" w:sz="0" w:space="0" w:color="auto"/>
                              </w:divBdr>
                            </w:div>
                          </w:divsChild>
                        </w:div>
                        <w:div w:id="1468818567">
                          <w:marLeft w:val="0"/>
                          <w:marRight w:val="0"/>
                          <w:marTop w:val="0"/>
                          <w:marBottom w:val="0"/>
                          <w:divBdr>
                            <w:top w:val="none" w:sz="0" w:space="0" w:color="auto"/>
                            <w:left w:val="none" w:sz="0" w:space="0" w:color="auto"/>
                            <w:bottom w:val="none" w:sz="0" w:space="0" w:color="auto"/>
                            <w:right w:val="none" w:sz="0" w:space="0" w:color="auto"/>
                          </w:divBdr>
                          <w:divsChild>
                            <w:div w:id="1921451881">
                              <w:marLeft w:val="0"/>
                              <w:marRight w:val="0"/>
                              <w:marTop w:val="0"/>
                              <w:marBottom w:val="0"/>
                              <w:divBdr>
                                <w:top w:val="none" w:sz="0" w:space="0" w:color="auto"/>
                                <w:left w:val="none" w:sz="0" w:space="0" w:color="auto"/>
                                <w:bottom w:val="none" w:sz="0" w:space="0" w:color="auto"/>
                                <w:right w:val="none" w:sz="0" w:space="0" w:color="auto"/>
                              </w:divBdr>
                            </w:div>
                          </w:divsChild>
                        </w:div>
                        <w:div w:id="744886176">
                          <w:marLeft w:val="0"/>
                          <w:marRight w:val="0"/>
                          <w:marTop w:val="0"/>
                          <w:marBottom w:val="0"/>
                          <w:divBdr>
                            <w:top w:val="none" w:sz="0" w:space="0" w:color="auto"/>
                            <w:left w:val="none" w:sz="0" w:space="0" w:color="auto"/>
                            <w:bottom w:val="none" w:sz="0" w:space="0" w:color="auto"/>
                            <w:right w:val="none" w:sz="0" w:space="0" w:color="auto"/>
                          </w:divBdr>
                          <w:divsChild>
                            <w:div w:id="1094744877">
                              <w:marLeft w:val="0"/>
                              <w:marRight w:val="0"/>
                              <w:marTop w:val="0"/>
                              <w:marBottom w:val="0"/>
                              <w:divBdr>
                                <w:top w:val="none" w:sz="0" w:space="0" w:color="auto"/>
                                <w:left w:val="none" w:sz="0" w:space="0" w:color="auto"/>
                                <w:bottom w:val="none" w:sz="0" w:space="0" w:color="auto"/>
                                <w:right w:val="none" w:sz="0" w:space="0" w:color="auto"/>
                              </w:divBdr>
                            </w:div>
                          </w:divsChild>
                        </w:div>
                        <w:div w:id="1823539614">
                          <w:marLeft w:val="0"/>
                          <w:marRight w:val="0"/>
                          <w:marTop w:val="0"/>
                          <w:marBottom w:val="0"/>
                          <w:divBdr>
                            <w:top w:val="none" w:sz="0" w:space="0" w:color="auto"/>
                            <w:left w:val="none" w:sz="0" w:space="0" w:color="auto"/>
                            <w:bottom w:val="none" w:sz="0" w:space="0" w:color="auto"/>
                            <w:right w:val="none" w:sz="0" w:space="0" w:color="auto"/>
                          </w:divBdr>
                          <w:divsChild>
                            <w:div w:id="1932229864">
                              <w:marLeft w:val="0"/>
                              <w:marRight w:val="0"/>
                              <w:marTop w:val="0"/>
                              <w:marBottom w:val="0"/>
                              <w:divBdr>
                                <w:top w:val="none" w:sz="0" w:space="0" w:color="auto"/>
                                <w:left w:val="none" w:sz="0" w:space="0" w:color="auto"/>
                                <w:bottom w:val="none" w:sz="0" w:space="0" w:color="auto"/>
                                <w:right w:val="none" w:sz="0" w:space="0" w:color="auto"/>
                              </w:divBdr>
                            </w:div>
                          </w:divsChild>
                        </w:div>
                        <w:div w:id="591935004">
                          <w:marLeft w:val="0"/>
                          <w:marRight w:val="0"/>
                          <w:marTop w:val="0"/>
                          <w:marBottom w:val="0"/>
                          <w:divBdr>
                            <w:top w:val="none" w:sz="0" w:space="0" w:color="auto"/>
                            <w:left w:val="none" w:sz="0" w:space="0" w:color="auto"/>
                            <w:bottom w:val="none" w:sz="0" w:space="0" w:color="auto"/>
                            <w:right w:val="none" w:sz="0" w:space="0" w:color="auto"/>
                          </w:divBdr>
                          <w:divsChild>
                            <w:div w:id="522208952">
                              <w:marLeft w:val="0"/>
                              <w:marRight w:val="0"/>
                              <w:marTop w:val="0"/>
                              <w:marBottom w:val="0"/>
                              <w:divBdr>
                                <w:top w:val="none" w:sz="0" w:space="0" w:color="auto"/>
                                <w:left w:val="none" w:sz="0" w:space="0" w:color="auto"/>
                                <w:bottom w:val="none" w:sz="0" w:space="0" w:color="auto"/>
                                <w:right w:val="none" w:sz="0" w:space="0" w:color="auto"/>
                              </w:divBdr>
                            </w:div>
                          </w:divsChild>
                        </w:div>
                        <w:div w:id="447626510">
                          <w:marLeft w:val="0"/>
                          <w:marRight w:val="0"/>
                          <w:marTop w:val="0"/>
                          <w:marBottom w:val="0"/>
                          <w:divBdr>
                            <w:top w:val="none" w:sz="0" w:space="0" w:color="auto"/>
                            <w:left w:val="none" w:sz="0" w:space="0" w:color="auto"/>
                            <w:bottom w:val="none" w:sz="0" w:space="0" w:color="auto"/>
                            <w:right w:val="none" w:sz="0" w:space="0" w:color="auto"/>
                          </w:divBdr>
                          <w:divsChild>
                            <w:div w:id="1897280333">
                              <w:marLeft w:val="0"/>
                              <w:marRight w:val="0"/>
                              <w:marTop w:val="0"/>
                              <w:marBottom w:val="0"/>
                              <w:divBdr>
                                <w:top w:val="none" w:sz="0" w:space="0" w:color="auto"/>
                                <w:left w:val="none" w:sz="0" w:space="0" w:color="auto"/>
                                <w:bottom w:val="none" w:sz="0" w:space="0" w:color="auto"/>
                                <w:right w:val="none" w:sz="0" w:space="0" w:color="auto"/>
                              </w:divBdr>
                            </w:div>
                          </w:divsChild>
                        </w:div>
                        <w:div w:id="796527402">
                          <w:marLeft w:val="0"/>
                          <w:marRight w:val="0"/>
                          <w:marTop w:val="0"/>
                          <w:marBottom w:val="0"/>
                          <w:divBdr>
                            <w:top w:val="none" w:sz="0" w:space="0" w:color="auto"/>
                            <w:left w:val="none" w:sz="0" w:space="0" w:color="auto"/>
                            <w:bottom w:val="none" w:sz="0" w:space="0" w:color="auto"/>
                            <w:right w:val="none" w:sz="0" w:space="0" w:color="auto"/>
                          </w:divBdr>
                          <w:divsChild>
                            <w:div w:id="1393043950">
                              <w:marLeft w:val="0"/>
                              <w:marRight w:val="0"/>
                              <w:marTop w:val="0"/>
                              <w:marBottom w:val="0"/>
                              <w:divBdr>
                                <w:top w:val="none" w:sz="0" w:space="0" w:color="auto"/>
                                <w:left w:val="none" w:sz="0" w:space="0" w:color="auto"/>
                                <w:bottom w:val="none" w:sz="0" w:space="0" w:color="auto"/>
                                <w:right w:val="none" w:sz="0" w:space="0" w:color="auto"/>
                              </w:divBdr>
                            </w:div>
                          </w:divsChild>
                        </w:div>
                        <w:div w:id="1225752186">
                          <w:marLeft w:val="0"/>
                          <w:marRight w:val="0"/>
                          <w:marTop w:val="0"/>
                          <w:marBottom w:val="0"/>
                          <w:divBdr>
                            <w:top w:val="none" w:sz="0" w:space="0" w:color="auto"/>
                            <w:left w:val="none" w:sz="0" w:space="0" w:color="auto"/>
                            <w:bottom w:val="none" w:sz="0" w:space="0" w:color="auto"/>
                            <w:right w:val="none" w:sz="0" w:space="0" w:color="auto"/>
                          </w:divBdr>
                          <w:divsChild>
                            <w:div w:id="1337538219">
                              <w:marLeft w:val="0"/>
                              <w:marRight w:val="0"/>
                              <w:marTop w:val="0"/>
                              <w:marBottom w:val="0"/>
                              <w:divBdr>
                                <w:top w:val="none" w:sz="0" w:space="0" w:color="auto"/>
                                <w:left w:val="none" w:sz="0" w:space="0" w:color="auto"/>
                                <w:bottom w:val="none" w:sz="0" w:space="0" w:color="auto"/>
                                <w:right w:val="none" w:sz="0" w:space="0" w:color="auto"/>
                              </w:divBdr>
                            </w:div>
                          </w:divsChild>
                        </w:div>
                        <w:div w:id="1408110653">
                          <w:marLeft w:val="0"/>
                          <w:marRight w:val="0"/>
                          <w:marTop w:val="0"/>
                          <w:marBottom w:val="0"/>
                          <w:divBdr>
                            <w:top w:val="none" w:sz="0" w:space="0" w:color="auto"/>
                            <w:left w:val="none" w:sz="0" w:space="0" w:color="auto"/>
                            <w:bottom w:val="none" w:sz="0" w:space="0" w:color="auto"/>
                            <w:right w:val="none" w:sz="0" w:space="0" w:color="auto"/>
                          </w:divBdr>
                          <w:divsChild>
                            <w:div w:id="1305281632">
                              <w:marLeft w:val="0"/>
                              <w:marRight w:val="0"/>
                              <w:marTop w:val="0"/>
                              <w:marBottom w:val="0"/>
                              <w:divBdr>
                                <w:top w:val="none" w:sz="0" w:space="0" w:color="auto"/>
                                <w:left w:val="none" w:sz="0" w:space="0" w:color="auto"/>
                                <w:bottom w:val="none" w:sz="0" w:space="0" w:color="auto"/>
                                <w:right w:val="none" w:sz="0" w:space="0" w:color="auto"/>
                              </w:divBdr>
                            </w:div>
                          </w:divsChild>
                        </w:div>
                        <w:div w:id="480582324">
                          <w:marLeft w:val="0"/>
                          <w:marRight w:val="0"/>
                          <w:marTop w:val="0"/>
                          <w:marBottom w:val="0"/>
                          <w:divBdr>
                            <w:top w:val="none" w:sz="0" w:space="0" w:color="auto"/>
                            <w:left w:val="none" w:sz="0" w:space="0" w:color="auto"/>
                            <w:bottom w:val="none" w:sz="0" w:space="0" w:color="auto"/>
                            <w:right w:val="none" w:sz="0" w:space="0" w:color="auto"/>
                          </w:divBdr>
                          <w:divsChild>
                            <w:div w:id="125516641">
                              <w:marLeft w:val="0"/>
                              <w:marRight w:val="0"/>
                              <w:marTop w:val="0"/>
                              <w:marBottom w:val="0"/>
                              <w:divBdr>
                                <w:top w:val="none" w:sz="0" w:space="0" w:color="auto"/>
                                <w:left w:val="none" w:sz="0" w:space="0" w:color="auto"/>
                                <w:bottom w:val="none" w:sz="0" w:space="0" w:color="auto"/>
                                <w:right w:val="none" w:sz="0" w:space="0" w:color="auto"/>
                              </w:divBdr>
                            </w:div>
                          </w:divsChild>
                        </w:div>
                        <w:div w:id="1001857391">
                          <w:marLeft w:val="0"/>
                          <w:marRight w:val="0"/>
                          <w:marTop w:val="0"/>
                          <w:marBottom w:val="0"/>
                          <w:divBdr>
                            <w:top w:val="none" w:sz="0" w:space="0" w:color="auto"/>
                            <w:left w:val="none" w:sz="0" w:space="0" w:color="auto"/>
                            <w:bottom w:val="none" w:sz="0" w:space="0" w:color="auto"/>
                            <w:right w:val="none" w:sz="0" w:space="0" w:color="auto"/>
                          </w:divBdr>
                          <w:divsChild>
                            <w:div w:id="154611894">
                              <w:marLeft w:val="0"/>
                              <w:marRight w:val="0"/>
                              <w:marTop w:val="0"/>
                              <w:marBottom w:val="0"/>
                              <w:divBdr>
                                <w:top w:val="none" w:sz="0" w:space="0" w:color="auto"/>
                                <w:left w:val="none" w:sz="0" w:space="0" w:color="auto"/>
                                <w:bottom w:val="none" w:sz="0" w:space="0" w:color="auto"/>
                                <w:right w:val="none" w:sz="0" w:space="0" w:color="auto"/>
                              </w:divBdr>
                            </w:div>
                          </w:divsChild>
                        </w:div>
                        <w:div w:id="783772044">
                          <w:marLeft w:val="0"/>
                          <w:marRight w:val="0"/>
                          <w:marTop w:val="0"/>
                          <w:marBottom w:val="0"/>
                          <w:divBdr>
                            <w:top w:val="none" w:sz="0" w:space="0" w:color="auto"/>
                            <w:left w:val="none" w:sz="0" w:space="0" w:color="auto"/>
                            <w:bottom w:val="none" w:sz="0" w:space="0" w:color="auto"/>
                            <w:right w:val="none" w:sz="0" w:space="0" w:color="auto"/>
                          </w:divBdr>
                          <w:divsChild>
                            <w:div w:id="801726358">
                              <w:marLeft w:val="0"/>
                              <w:marRight w:val="0"/>
                              <w:marTop w:val="0"/>
                              <w:marBottom w:val="0"/>
                              <w:divBdr>
                                <w:top w:val="none" w:sz="0" w:space="0" w:color="auto"/>
                                <w:left w:val="none" w:sz="0" w:space="0" w:color="auto"/>
                                <w:bottom w:val="none" w:sz="0" w:space="0" w:color="auto"/>
                                <w:right w:val="none" w:sz="0" w:space="0" w:color="auto"/>
                              </w:divBdr>
                            </w:div>
                          </w:divsChild>
                        </w:div>
                        <w:div w:id="1506359549">
                          <w:marLeft w:val="0"/>
                          <w:marRight w:val="0"/>
                          <w:marTop w:val="0"/>
                          <w:marBottom w:val="0"/>
                          <w:divBdr>
                            <w:top w:val="none" w:sz="0" w:space="0" w:color="auto"/>
                            <w:left w:val="none" w:sz="0" w:space="0" w:color="auto"/>
                            <w:bottom w:val="none" w:sz="0" w:space="0" w:color="auto"/>
                            <w:right w:val="none" w:sz="0" w:space="0" w:color="auto"/>
                          </w:divBdr>
                          <w:divsChild>
                            <w:div w:id="1154416756">
                              <w:marLeft w:val="0"/>
                              <w:marRight w:val="0"/>
                              <w:marTop w:val="0"/>
                              <w:marBottom w:val="0"/>
                              <w:divBdr>
                                <w:top w:val="none" w:sz="0" w:space="0" w:color="auto"/>
                                <w:left w:val="none" w:sz="0" w:space="0" w:color="auto"/>
                                <w:bottom w:val="none" w:sz="0" w:space="0" w:color="auto"/>
                                <w:right w:val="none" w:sz="0" w:space="0" w:color="auto"/>
                              </w:divBdr>
                            </w:div>
                          </w:divsChild>
                        </w:div>
                        <w:div w:id="1484002243">
                          <w:marLeft w:val="0"/>
                          <w:marRight w:val="0"/>
                          <w:marTop w:val="0"/>
                          <w:marBottom w:val="0"/>
                          <w:divBdr>
                            <w:top w:val="none" w:sz="0" w:space="0" w:color="auto"/>
                            <w:left w:val="none" w:sz="0" w:space="0" w:color="auto"/>
                            <w:bottom w:val="none" w:sz="0" w:space="0" w:color="auto"/>
                            <w:right w:val="none" w:sz="0" w:space="0" w:color="auto"/>
                          </w:divBdr>
                          <w:divsChild>
                            <w:div w:id="1574699227">
                              <w:marLeft w:val="0"/>
                              <w:marRight w:val="0"/>
                              <w:marTop w:val="0"/>
                              <w:marBottom w:val="0"/>
                              <w:divBdr>
                                <w:top w:val="none" w:sz="0" w:space="0" w:color="auto"/>
                                <w:left w:val="none" w:sz="0" w:space="0" w:color="auto"/>
                                <w:bottom w:val="none" w:sz="0" w:space="0" w:color="auto"/>
                                <w:right w:val="none" w:sz="0" w:space="0" w:color="auto"/>
                              </w:divBdr>
                            </w:div>
                          </w:divsChild>
                        </w:div>
                        <w:div w:id="1362701628">
                          <w:marLeft w:val="0"/>
                          <w:marRight w:val="0"/>
                          <w:marTop w:val="0"/>
                          <w:marBottom w:val="0"/>
                          <w:divBdr>
                            <w:top w:val="none" w:sz="0" w:space="0" w:color="auto"/>
                            <w:left w:val="none" w:sz="0" w:space="0" w:color="auto"/>
                            <w:bottom w:val="none" w:sz="0" w:space="0" w:color="auto"/>
                            <w:right w:val="none" w:sz="0" w:space="0" w:color="auto"/>
                          </w:divBdr>
                          <w:divsChild>
                            <w:div w:id="745609970">
                              <w:marLeft w:val="0"/>
                              <w:marRight w:val="0"/>
                              <w:marTop w:val="0"/>
                              <w:marBottom w:val="0"/>
                              <w:divBdr>
                                <w:top w:val="none" w:sz="0" w:space="0" w:color="auto"/>
                                <w:left w:val="none" w:sz="0" w:space="0" w:color="auto"/>
                                <w:bottom w:val="none" w:sz="0" w:space="0" w:color="auto"/>
                                <w:right w:val="none" w:sz="0" w:space="0" w:color="auto"/>
                              </w:divBdr>
                            </w:div>
                          </w:divsChild>
                        </w:div>
                        <w:div w:id="288829064">
                          <w:marLeft w:val="0"/>
                          <w:marRight w:val="0"/>
                          <w:marTop w:val="0"/>
                          <w:marBottom w:val="0"/>
                          <w:divBdr>
                            <w:top w:val="none" w:sz="0" w:space="0" w:color="auto"/>
                            <w:left w:val="none" w:sz="0" w:space="0" w:color="auto"/>
                            <w:bottom w:val="none" w:sz="0" w:space="0" w:color="auto"/>
                            <w:right w:val="none" w:sz="0" w:space="0" w:color="auto"/>
                          </w:divBdr>
                          <w:divsChild>
                            <w:div w:id="1994289440">
                              <w:marLeft w:val="0"/>
                              <w:marRight w:val="0"/>
                              <w:marTop w:val="0"/>
                              <w:marBottom w:val="0"/>
                              <w:divBdr>
                                <w:top w:val="none" w:sz="0" w:space="0" w:color="auto"/>
                                <w:left w:val="none" w:sz="0" w:space="0" w:color="auto"/>
                                <w:bottom w:val="none" w:sz="0" w:space="0" w:color="auto"/>
                                <w:right w:val="none" w:sz="0" w:space="0" w:color="auto"/>
                              </w:divBdr>
                            </w:div>
                          </w:divsChild>
                        </w:div>
                        <w:div w:id="745806445">
                          <w:marLeft w:val="0"/>
                          <w:marRight w:val="0"/>
                          <w:marTop w:val="0"/>
                          <w:marBottom w:val="0"/>
                          <w:divBdr>
                            <w:top w:val="none" w:sz="0" w:space="0" w:color="auto"/>
                            <w:left w:val="none" w:sz="0" w:space="0" w:color="auto"/>
                            <w:bottom w:val="none" w:sz="0" w:space="0" w:color="auto"/>
                            <w:right w:val="none" w:sz="0" w:space="0" w:color="auto"/>
                          </w:divBdr>
                          <w:divsChild>
                            <w:div w:id="727076784">
                              <w:marLeft w:val="0"/>
                              <w:marRight w:val="0"/>
                              <w:marTop w:val="0"/>
                              <w:marBottom w:val="0"/>
                              <w:divBdr>
                                <w:top w:val="none" w:sz="0" w:space="0" w:color="auto"/>
                                <w:left w:val="none" w:sz="0" w:space="0" w:color="auto"/>
                                <w:bottom w:val="none" w:sz="0" w:space="0" w:color="auto"/>
                                <w:right w:val="none" w:sz="0" w:space="0" w:color="auto"/>
                              </w:divBdr>
                            </w:div>
                          </w:divsChild>
                        </w:div>
                        <w:div w:id="272633569">
                          <w:marLeft w:val="0"/>
                          <w:marRight w:val="0"/>
                          <w:marTop w:val="0"/>
                          <w:marBottom w:val="0"/>
                          <w:divBdr>
                            <w:top w:val="none" w:sz="0" w:space="0" w:color="auto"/>
                            <w:left w:val="none" w:sz="0" w:space="0" w:color="auto"/>
                            <w:bottom w:val="none" w:sz="0" w:space="0" w:color="auto"/>
                            <w:right w:val="none" w:sz="0" w:space="0" w:color="auto"/>
                          </w:divBdr>
                          <w:divsChild>
                            <w:div w:id="1210188597">
                              <w:marLeft w:val="0"/>
                              <w:marRight w:val="0"/>
                              <w:marTop w:val="0"/>
                              <w:marBottom w:val="0"/>
                              <w:divBdr>
                                <w:top w:val="none" w:sz="0" w:space="0" w:color="auto"/>
                                <w:left w:val="none" w:sz="0" w:space="0" w:color="auto"/>
                                <w:bottom w:val="none" w:sz="0" w:space="0" w:color="auto"/>
                                <w:right w:val="none" w:sz="0" w:space="0" w:color="auto"/>
                              </w:divBdr>
                            </w:div>
                          </w:divsChild>
                        </w:div>
                        <w:div w:id="642081430">
                          <w:marLeft w:val="0"/>
                          <w:marRight w:val="0"/>
                          <w:marTop w:val="0"/>
                          <w:marBottom w:val="0"/>
                          <w:divBdr>
                            <w:top w:val="none" w:sz="0" w:space="0" w:color="auto"/>
                            <w:left w:val="none" w:sz="0" w:space="0" w:color="auto"/>
                            <w:bottom w:val="none" w:sz="0" w:space="0" w:color="auto"/>
                            <w:right w:val="none" w:sz="0" w:space="0" w:color="auto"/>
                          </w:divBdr>
                          <w:divsChild>
                            <w:div w:id="1646809632">
                              <w:marLeft w:val="0"/>
                              <w:marRight w:val="0"/>
                              <w:marTop w:val="0"/>
                              <w:marBottom w:val="0"/>
                              <w:divBdr>
                                <w:top w:val="none" w:sz="0" w:space="0" w:color="auto"/>
                                <w:left w:val="none" w:sz="0" w:space="0" w:color="auto"/>
                                <w:bottom w:val="none" w:sz="0" w:space="0" w:color="auto"/>
                                <w:right w:val="none" w:sz="0" w:space="0" w:color="auto"/>
                              </w:divBdr>
                            </w:div>
                          </w:divsChild>
                        </w:div>
                        <w:div w:id="1370301030">
                          <w:marLeft w:val="0"/>
                          <w:marRight w:val="0"/>
                          <w:marTop w:val="0"/>
                          <w:marBottom w:val="0"/>
                          <w:divBdr>
                            <w:top w:val="none" w:sz="0" w:space="0" w:color="auto"/>
                            <w:left w:val="none" w:sz="0" w:space="0" w:color="auto"/>
                            <w:bottom w:val="none" w:sz="0" w:space="0" w:color="auto"/>
                            <w:right w:val="none" w:sz="0" w:space="0" w:color="auto"/>
                          </w:divBdr>
                          <w:divsChild>
                            <w:div w:id="1192458330">
                              <w:marLeft w:val="0"/>
                              <w:marRight w:val="0"/>
                              <w:marTop w:val="0"/>
                              <w:marBottom w:val="0"/>
                              <w:divBdr>
                                <w:top w:val="none" w:sz="0" w:space="0" w:color="auto"/>
                                <w:left w:val="none" w:sz="0" w:space="0" w:color="auto"/>
                                <w:bottom w:val="none" w:sz="0" w:space="0" w:color="auto"/>
                                <w:right w:val="none" w:sz="0" w:space="0" w:color="auto"/>
                              </w:divBdr>
                            </w:div>
                          </w:divsChild>
                        </w:div>
                        <w:div w:id="2059233435">
                          <w:marLeft w:val="0"/>
                          <w:marRight w:val="0"/>
                          <w:marTop w:val="0"/>
                          <w:marBottom w:val="0"/>
                          <w:divBdr>
                            <w:top w:val="none" w:sz="0" w:space="0" w:color="auto"/>
                            <w:left w:val="none" w:sz="0" w:space="0" w:color="auto"/>
                            <w:bottom w:val="none" w:sz="0" w:space="0" w:color="auto"/>
                            <w:right w:val="none" w:sz="0" w:space="0" w:color="auto"/>
                          </w:divBdr>
                          <w:divsChild>
                            <w:div w:id="765729096">
                              <w:marLeft w:val="0"/>
                              <w:marRight w:val="0"/>
                              <w:marTop w:val="0"/>
                              <w:marBottom w:val="0"/>
                              <w:divBdr>
                                <w:top w:val="none" w:sz="0" w:space="0" w:color="auto"/>
                                <w:left w:val="none" w:sz="0" w:space="0" w:color="auto"/>
                                <w:bottom w:val="none" w:sz="0" w:space="0" w:color="auto"/>
                                <w:right w:val="none" w:sz="0" w:space="0" w:color="auto"/>
                              </w:divBdr>
                            </w:div>
                          </w:divsChild>
                        </w:div>
                        <w:div w:id="772212837">
                          <w:marLeft w:val="0"/>
                          <w:marRight w:val="0"/>
                          <w:marTop w:val="0"/>
                          <w:marBottom w:val="0"/>
                          <w:divBdr>
                            <w:top w:val="none" w:sz="0" w:space="0" w:color="auto"/>
                            <w:left w:val="none" w:sz="0" w:space="0" w:color="auto"/>
                            <w:bottom w:val="none" w:sz="0" w:space="0" w:color="auto"/>
                            <w:right w:val="none" w:sz="0" w:space="0" w:color="auto"/>
                          </w:divBdr>
                          <w:divsChild>
                            <w:div w:id="436364803">
                              <w:marLeft w:val="0"/>
                              <w:marRight w:val="0"/>
                              <w:marTop w:val="0"/>
                              <w:marBottom w:val="0"/>
                              <w:divBdr>
                                <w:top w:val="none" w:sz="0" w:space="0" w:color="auto"/>
                                <w:left w:val="none" w:sz="0" w:space="0" w:color="auto"/>
                                <w:bottom w:val="none" w:sz="0" w:space="0" w:color="auto"/>
                                <w:right w:val="none" w:sz="0" w:space="0" w:color="auto"/>
                              </w:divBdr>
                            </w:div>
                          </w:divsChild>
                        </w:div>
                        <w:div w:id="50229240">
                          <w:marLeft w:val="0"/>
                          <w:marRight w:val="0"/>
                          <w:marTop w:val="0"/>
                          <w:marBottom w:val="0"/>
                          <w:divBdr>
                            <w:top w:val="none" w:sz="0" w:space="0" w:color="auto"/>
                            <w:left w:val="none" w:sz="0" w:space="0" w:color="auto"/>
                            <w:bottom w:val="none" w:sz="0" w:space="0" w:color="auto"/>
                            <w:right w:val="none" w:sz="0" w:space="0" w:color="auto"/>
                          </w:divBdr>
                          <w:divsChild>
                            <w:div w:id="378820524">
                              <w:marLeft w:val="0"/>
                              <w:marRight w:val="0"/>
                              <w:marTop w:val="0"/>
                              <w:marBottom w:val="0"/>
                              <w:divBdr>
                                <w:top w:val="none" w:sz="0" w:space="0" w:color="auto"/>
                                <w:left w:val="none" w:sz="0" w:space="0" w:color="auto"/>
                                <w:bottom w:val="none" w:sz="0" w:space="0" w:color="auto"/>
                                <w:right w:val="none" w:sz="0" w:space="0" w:color="auto"/>
                              </w:divBdr>
                            </w:div>
                          </w:divsChild>
                        </w:div>
                        <w:div w:id="742072657">
                          <w:marLeft w:val="0"/>
                          <w:marRight w:val="0"/>
                          <w:marTop w:val="0"/>
                          <w:marBottom w:val="0"/>
                          <w:divBdr>
                            <w:top w:val="none" w:sz="0" w:space="0" w:color="auto"/>
                            <w:left w:val="none" w:sz="0" w:space="0" w:color="auto"/>
                            <w:bottom w:val="none" w:sz="0" w:space="0" w:color="auto"/>
                            <w:right w:val="none" w:sz="0" w:space="0" w:color="auto"/>
                          </w:divBdr>
                          <w:divsChild>
                            <w:div w:id="928662160">
                              <w:marLeft w:val="0"/>
                              <w:marRight w:val="0"/>
                              <w:marTop w:val="0"/>
                              <w:marBottom w:val="0"/>
                              <w:divBdr>
                                <w:top w:val="none" w:sz="0" w:space="0" w:color="auto"/>
                                <w:left w:val="none" w:sz="0" w:space="0" w:color="auto"/>
                                <w:bottom w:val="none" w:sz="0" w:space="0" w:color="auto"/>
                                <w:right w:val="none" w:sz="0" w:space="0" w:color="auto"/>
                              </w:divBdr>
                            </w:div>
                          </w:divsChild>
                        </w:div>
                        <w:div w:id="1612013289">
                          <w:marLeft w:val="0"/>
                          <w:marRight w:val="0"/>
                          <w:marTop w:val="0"/>
                          <w:marBottom w:val="0"/>
                          <w:divBdr>
                            <w:top w:val="none" w:sz="0" w:space="0" w:color="auto"/>
                            <w:left w:val="none" w:sz="0" w:space="0" w:color="auto"/>
                            <w:bottom w:val="none" w:sz="0" w:space="0" w:color="auto"/>
                            <w:right w:val="none" w:sz="0" w:space="0" w:color="auto"/>
                          </w:divBdr>
                          <w:divsChild>
                            <w:div w:id="882211661">
                              <w:marLeft w:val="0"/>
                              <w:marRight w:val="0"/>
                              <w:marTop w:val="0"/>
                              <w:marBottom w:val="0"/>
                              <w:divBdr>
                                <w:top w:val="none" w:sz="0" w:space="0" w:color="auto"/>
                                <w:left w:val="none" w:sz="0" w:space="0" w:color="auto"/>
                                <w:bottom w:val="none" w:sz="0" w:space="0" w:color="auto"/>
                                <w:right w:val="none" w:sz="0" w:space="0" w:color="auto"/>
                              </w:divBdr>
                            </w:div>
                          </w:divsChild>
                        </w:div>
                        <w:div w:id="1980958016">
                          <w:marLeft w:val="0"/>
                          <w:marRight w:val="0"/>
                          <w:marTop w:val="0"/>
                          <w:marBottom w:val="0"/>
                          <w:divBdr>
                            <w:top w:val="none" w:sz="0" w:space="0" w:color="auto"/>
                            <w:left w:val="none" w:sz="0" w:space="0" w:color="auto"/>
                            <w:bottom w:val="none" w:sz="0" w:space="0" w:color="auto"/>
                            <w:right w:val="none" w:sz="0" w:space="0" w:color="auto"/>
                          </w:divBdr>
                          <w:divsChild>
                            <w:div w:id="1080906037">
                              <w:marLeft w:val="0"/>
                              <w:marRight w:val="0"/>
                              <w:marTop w:val="0"/>
                              <w:marBottom w:val="0"/>
                              <w:divBdr>
                                <w:top w:val="none" w:sz="0" w:space="0" w:color="auto"/>
                                <w:left w:val="none" w:sz="0" w:space="0" w:color="auto"/>
                                <w:bottom w:val="none" w:sz="0" w:space="0" w:color="auto"/>
                                <w:right w:val="none" w:sz="0" w:space="0" w:color="auto"/>
                              </w:divBdr>
                            </w:div>
                          </w:divsChild>
                        </w:div>
                        <w:div w:id="1401564151">
                          <w:marLeft w:val="0"/>
                          <w:marRight w:val="0"/>
                          <w:marTop w:val="0"/>
                          <w:marBottom w:val="0"/>
                          <w:divBdr>
                            <w:top w:val="none" w:sz="0" w:space="0" w:color="auto"/>
                            <w:left w:val="none" w:sz="0" w:space="0" w:color="auto"/>
                            <w:bottom w:val="none" w:sz="0" w:space="0" w:color="auto"/>
                            <w:right w:val="none" w:sz="0" w:space="0" w:color="auto"/>
                          </w:divBdr>
                          <w:divsChild>
                            <w:div w:id="1609578765">
                              <w:marLeft w:val="0"/>
                              <w:marRight w:val="0"/>
                              <w:marTop w:val="0"/>
                              <w:marBottom w:val="0"/>
                              <w:divBdr>
                                <w:top w:val="none" w:sz="0" w:space="0" w:color="auto"/>
                                <w:left w:val="none" w:sz="0" w:space="0" w:color="auto"/>
                                <w:bottom w:val="none" w:sz="0" w:space="0" w:color="auto"/>
                                <w:right w:val="none" w:sz="0" w:space="0" w:color="auto"/>
                              </w:divBdr>
                            </w:div>
                          </w:divsChild>
                        </w:div>
                        <w:div w:id="1582373221">
                          <w:marLeft w:val="0"/>
                          <w:marRight w:val="0"/>
                          <w:marTop w:val="0"/>
                          <w:marBottom w:val="0"/>
                          <w:divBdr>
                            <w:top w:val="none" w:sz="0" w:space="0" w:color="auto"/>
                            <w:left w:val="none" w:sz="0" w:space="0" w:color="auto"/>
                            <w:bottom w:val="none" w:sz="0" w:space="0" w:color="auto"/>
                            <w:right w:val="none" w:sz="0" w:space="0" w:color="auto"/>
                          </w:divBdr>
                          <w:divsChild>
                            <w:div w:id="844322461">
                              <w:marLeft w:val="0"/>
                              <w:marRight w:val="0"/>
                              <w:marTop w:val="0"/>
                              <w:marBottom w:val="0"/>
                              <w:divBdr>
                                <w:top w:val="none" w:sz="0" w:space="0" w:color="auto"/>
                                <w:left w:val="none" w:sz="0" w:space="0" w:color="auto"/>
                                <w:bottom w:val="none" w:sz="0" w:space="0" w:color="auto"/>
                                <w:right w:val="none" w:sz="0" w:space="0" w:color="auto"/>
                              </w:divBdr>
                            </w:div>
                          </w:divsChild>
                        </w:div>
                        <w:div w:id="887034086">
                          <w:marLeft w:val="0"/>
                          <w:marRight w:val="0"/>
                          <w:marTop w:val="0"/>
                          <w:marBottom w:val="0"/>
                          <w:divBdr>
                            <w:top w:val="none" w:sz="0" w:space="0" w:color="auto"/>
                            <w:left w:val="none" w:sz="0" w:space="0" w:color="auto"/>
                            <w:bottom w:val="none" w:sz="0" w:space="0" w:color="auto"/>
                            <w:right w:val="none" w:sz="0" w:space="0" w:color="auto"/>
                          </w:divBdr>
                          <w:divsChild>
                            <w:div w:id="974985779">
                              <w:marLeft w:val="0"/>
                              <w:marRight w:val="0"/>
                              <w:marTop w:val="0"/>
                              <w:marBottom w:val="0"/>
                              <w:divBdr>
                                <w:top w:val="none" w:sz="0" w:space="0" w:color="auto"/>
                                <w:left w:val="none" w:sz="0" w:space="0" w:color="auto"/>
                                <w:bottom w:val="none" w:sz="0" w:space="0" w:color="auto"/>
                                <w:right w:val="none" w:sz="0" w:space="0" w:color="auto"/>
                              </w:divBdr>
                            </w:div>
                          </w:divsChild>
                        </w:div>
                        <w:div w:id="1617982749">
                          <w:marLeft w:val="0"/>
                          <w:marRight w:val="0"/>
                          <w:marTop w:val="0"/>
                          <w:marBottom w:val="0"/>
                          <w:divBdr>
                            <w:top w:val="none" w:sz="0" w:space="0" w:color="auto"/>
                            <w:left w:val="none" w:sz="0" w:space="0" w:color="auto"/>
                            <w:bottom w:val="none" w:sz="0" w:space="0" w:color="auto"/>
                            <w:right w:val="none" w:sz="0" w:space="0" w:color="auto"/>
                          </w:divBdr>
                          <w:divsChild>
                            <w:div w:id="1397894063">
                              <w:marLeft w:val="0"/>
                              <w:marRight w:val="0"/>
                              <w:marTop w:val="0"/>
                              <w:marBottom w:val="0"/>
                              <w:divBdr>
                                <w:top w:val="none" w:sz="0" w:space="0" w:color="auto"/>
                                <w:left w:val="none" w:sz="0" w:space="0" w:color="auto"/>
                                <w:bottom w:val="none" w:sz="0" w:space="0" w:color="auto"/>
                                <w:right w:val="none" w:sz="0" w:space="0" w:color="auto"/>
                              </w:divBdr>
                            </w:div>
                          </w:divsChild>
                        </w:div>
                        <w:div w:id="560943769">
                          <w:marLeft w:val="0"/>
                          <w:marRight w:val="0"/>
                          <w:marTop w:val="0"/>
                          <w:marBottom w:val="0"/>
                          <w:divBdr>
                            <w:top w:val="none" w:sz="0" w:space="0" w:color="auto"/>
                            <w:left w:val="none" w:sz="0" w:space="0" w:color="auto"/>
                            <w:bottom w:val="none" w:sz="0" w:space="0" w:color="auto"/>
                            <w:right w:val="none" w:sz="0" w:space="0" w:color="auto"/>
                          </w:divBdr>
                          <w:divsChild>
                            <w:div w:id="278534093">
                              <w:marLeft w:val="0"/>
                              <w:marRight w:val="0"/>
                              <w:marTop w:val="0"/>
                              <w:marBottom w:val="0"/>
                              <w:divBdr>
                                <w:top w:val="none" w:sz="0" w:space="0" w:color="auto"/>
                                <w:left w:val="none" w:sz="0" w:space="0" w:color="auto"/>
                                <w:bottom w:val="none" w:sz="0" w:space="0" w:color="auto"/>
                                <w:right w:val="none" w:sz="0" w:space="0" w:color="auto"/>
                              </w:divBdr>
                            </w:div>
                          </w:divsChild>
                        </w:div>
                        <w:div w:id="120267061">
                          <w:marLeft w:val="0"/>
                          <w:marRight w:val="0"/>
                          <w:marTop w:val="0"/>
                          <w:marBottom w:val="0"/>
                          <w:divBdr>
                            <w:top w:val="none" w:sz="0" w:space="0" w:color="auto"/>
                            <w:left w:val="none" w:sz="0" w:space="0" w:color="auto"/>
                            <w:bottom w:val="none" w:sz="0" w:space="0" w:color="auto"/>
                            <w:right w:val="none" w:sz="0" w:space="0" w:color="auto"/>
                          </w:divBdr>
                          <w:divsChild>
                            <w:div w:id="1681273790">
                              <w:marLeft w:val="0"/>
                              <w:marRight w:val="0"/>
                              <w:marTop w:val="0"/>
                              <w:marBottom w:val="0"/>
                              <w:divBdr>
                                <w:top w:val="none" w:sz="0" w:space="0" w:color="auto"/>
                                <w:left w:val="none" w:sz="0" w:space="0" w:color="auto"/>
                                <w:bottom w:val="none" w:sz="0" w:space="0" w:color="auto"/>
                                <w:right w:val="none" w:sz="0" w:space="0" w:color="auto"/>
                              </w:divBdr>
                            </w:div>
                          </w:divsChild>
                        </w:div>
                        <w:div w:id="1155025663">
                          <w:marLeft w:val="0"/>
                          <w:marRight w:val="0"/>
                          <w:marTop w:val="0"/>
                          <w:marBottom w:val="0"/>
                          <w:divBdr>
                            <w:top w:val="none" w:sz="0" w:space="0" w:color="auto"/>
                            <w:left w:val="none" w:sz="0" w:space="0" w:color="auto"/>
                            <w:bottom w:val="none" w:sz="0" w:space="0" w:color="auto"/>
                            <w:right w:val="none" w:sz="0" w:space="0" w:color="auto"/>
                          </w:divBdr>
                          <w:divsChild>
                            <w:div w:id="1969580311">
                              <w:marLeft w:val="0"/>
                              <w:marRight w:val="0"/>
                              <w:marTop w:val="0"/>
                              <w:marBottom w:val="0"/>
                              <w:divBdr>
                                <w:top w:val="none" w:sz="0" w:space="0" w:color="auto"/>
                                <w:left w:val="none" w:sz="0" w:space="0" w:color="auto"/>
                                <w:bottom w:val="none" w:sz="0" w:space="0" w:color="auto"/>
                                <w:right w:val="none" w:sz="0" w:space="0" w:color="auto"/>
                              </w:divBdr>
                            </w:div>
                          </w:divsChild>
                        </w:div>
                        <w:div w:id="1845241411">
                          <w:marLeft w:val="0"/>
                          <w:marRight w:val="0"/>
                          <w:marTop w:val="0"/>
                          <w:marBottom w:val="0"/>
                          <w:divBdr>
                            <w:top w:val="none" w:sz="0" w:space="0" w:color="auto"/>
                            <w:left w:val="none" w:sz="0" w:space="0" w:color="auto"/>
                            <w:bottom w:val="none" w:sz="0" w:space="0" w:color="auto"/>
                            <w:right w:val="none" w:sz="0" w:space="0" w:color="auto"/>
                          </w:divBdr>
                          <w:divsChild>
                            <w:div w:id="602569105">
                              <w:marLeft w:val="0"/>
                              <w:marRight w:val="0"/>
                              <w:marTop w:val="0"/>
                              <w:marBottom w:val="0"/>
                              <w:divBdr>
                                <w:top w:val="none" w:sz="0" w:space="0" w:color="auto"/>
                                <w:left w:val="none" w:sz="0" w:space="0" w:color="auto"/>
                                <w:bottom w:val="none" w:sz="0" w:space="0" w:color="auto"/>
                                <w:right w:val="none" w:sz="0" w:space="0" w:color="auto"/>
                              </w:divBdr>
                            </w:div>
                          </w:divsChild>
                        </w:div>
                        <w:div w:id="457187407">
                          <w:marLeft w:val="0"/>
                          <w:marRight w:val="0"/>
                          <w:marTop w:val="0"/>
                          <w:marBottom w:val="0"/>
                          <w:divBdr>
                            <w:top w:val="none" w:sz="0" w:space="0" w:color="auto"/>
                            <w:left w:val="none" w:sz="0" w:space="0" w:color="auto"/>
                            <w:bottom w:val="none" w:sz="0" w:space="0" w:color="auto"/>
                            <w:right w:val="none" w:sz="0" w:space="0" w:color="auto"/>
                          </w:divBdr>
                          <w:divsChild>
                            <w:div w:id="2051686368">
                              <w:marLeft w:val="0"/>
                              <w:marRight w:val="0"/>
                              <w:marTop w:val="0"/>
                              <w:marBottom w:val="0"/>
                              <w:divBdr>
                                <w:top w:val="none" w:sz="0" w:space="0" w:color="auto"/>
                                <w:left w:val="none" w:sz="0" w:space="0" w:color="auto"/>
                                <w:bottom w:val="none" w:sz="0" w:space="0" w:color="auto"/>
                                <w:right w:val="none" w:sz="0" w:space="0" w:color="auto"/>
                              </w:divBdr>
                            </w:div>
                          </w:divsChild>
                        </w:div>
                        <w:div w:id="817572181">
                          <w:marLeft w:val="0"/>
                          <w:marRight w:val="0"/>
                          <w:marTop w:val="0"/>
                          <w:marBottom w:val="0"/>
                          <w:divBdr>
                            <w:top w:val="none" w:sz="0" w:space="0" w:color="auto"/>
                            <w:left w:val="none" w:sz="0" w:space="0" w:color="auto"/>
                            <w:bottom w:val="none" w:sz="0" w:space="0" w:color="auto"/>
                            <w:right w:val="none" w:sz="0" w:space="0" w:color="auto"/>
                          </w:divBdr>
                          <w:divsChild>
                            <w:div w:id="59645221">
                              <w:marLeft w:val="0"/>
                              <w:marRight w:val="0"/>
                              <w:marTop w:val="0"/>
                              <w:marBottom w:val="0"/>
                              <w:divBdr>
                                <w:top w:val="none" w:sz="0" w:space="0" w:color="auto"/>
                                <w:left w:val="none" w:sz="0" w:space="0" w:color="auto"/>
                                <w:bottom w:val="none" w:sz="0" w:space="0" w:color="auto"/>
                                <w:right w:val="none" w:sz="0" w:space="0" w:color="auto"/>
                              </w:divBdr>
                            </w:div>
                          </w:divsChild>
                        </w:div>
                        <w:div w:id="178353140">
                          <w:marLeft w:val="0"/>
                          <w:marRight w:val="0"/>
                          <w:marTop w:val="0"/>
                          <w:marBottom w:val="0"/>
                          <w:divBdr>
                            <w:top w:val="none" w:sz="0" w:space="0" w:color="auto"/>
                            <w:left w:val="none" w:sz="0" w:space="0" w:color="auto"/>
                            <w:bottom w:val="none" w:sz="0" w:space="0" w:color="auto"/>
                            <w:right w:val="none" w:sz="0" w:space="0" w:color="auto"/>
                          </w:divBdr>
                          <w:divsChild>
                            <w:div w:id="942998482">
                              <w:marLeft w:val="0"/>
                              <w:marRight w:val="0"/>
                              <w:marTop w:val="0"/>
                              <w:marBottom w:val="0"/>
                              <w:divBdr>
                                <w:top w:val="none" w:sz="0" w:space="0" w:color="auto"/>
                                <w:left w:val="none" w:sz="0" w:space="0" w:color="auto"/>
                                <w:bottom w:val="none" w:sz="0" w:space="0" w:color="auto"/>
                                <w:right w:val="none" w:sz="0" w:space="0" w:color="auto"/>
                              </w:divBdr>
                            </w:div>
                          </w:divsChild>
                        </w:div>
                        <w:div w:id="1805849315">
                          <w:marLeft w:val="0"/>
                          <w:marRight w:val="0"/>
                          <w:marTop w:val="0"/>
                          <w:marBottom w:val="0"/>
                          <w:divBdr>
                            <w:top w:val="none" w:sz="0" w:space="0" w:color="auto"/>
                            <w:left w:val="none" w:sz="0" w:space="0" w:color="auto"/>
                            <w:bottom w:val="none" w:sz="0" w:space="0" w:color="auto"/>
                            <w:right w:val="none" w:sz="0" w:space="0" w:color="auto"/>
                          </w:divBdr>
                          <w:divsChild>
                            <w:div w:id="2075002469">
                              <w:marLeft w:val="0"/>
                              <w:marRight w:val="0"/>
                              <w:marTop w:val="0"/>
                              <w:marBottom w:val="0"/>
                              <w:divBdr>
                                <w:top w:val="none" w:sz="0" w:space="0" w:color="auto"/>
                                <w:left w:val="none" w:sz="0" w:space="0" w:color="auto"/>
                                <w:bottom w:val="none" w:sz="0" w:space="0" w:color="auto"/>
                                <w:right w:val="none" w:sz="0" w:space="0" w:color="auto"/>
                              </w:divBdr>
                            </w:div>
                          </w:divsChild>
                        </w:div>
                        <w:div w:id="367143222">
                          <w:marLeft w:val="0"/>
                          <w:marRight w:val="0"/>
                          <w:marTop w:val="0"/>
                          <w:marBottom w:val="0"/>
                          <w:divBdr>
                            <w:top w:val="none" w:sz="0" w:space="0" w:color="auto"/>
                            <w:left w:val="none" w:sz="0" w:space="0" w:color="auto"/>
                            <w:bottom w:val="none" w:sz="0" w:space="0" w:color="auto"/>
                            <w:right w:val="none" w:sz="0" w:space="0" w:color="auto"/>
                          </w:divBdr>
                          <w:divsChild>
                            <w:div w:id="697895964">
                              <w:marLeft w:val="0"/>
                              <w:marRight w:val="0"/>
                              <w:marTop w:val="0"/>
                              <w:marBottom w:val="0"/>
                              <w:divBdr>
                                <w:top w:val="none" w:sz="0" w:space="0" w:color="auto"/>
                                <w:left w:val="none" w:sz="0" w:space="0" w:color="auto"/>
                                <w:bottom w:val="none" w:sz="0" w:space="0" w:color="auto"/>
                                <w:right w:val="none" w:sz="0" w:space="0" w:color="auto"/>
                              </w:divBdr>
                            </w:div>
                          </w:divsChild>
                        </w:div>
                        <w:div w:id="1281765169">
                          <w:marLeft w:val="0"/>
                          <w:marRight w:val="0"/>
                          <w:marTop w:val="0"/>
                          <w:marBottom w:val="0"/>
                          <w:divBdr>
                            <w:top w:val="none" w:sz="0" w:space="0" w:color="auto"/>
                            <w:left w:val="none" w:sz="0" w:space="0" w:color="auto"/>
                            <w:bottom w:val="none" w:sz="0" w:space="0" w:color="auto"/>
                            <w:right w:val="none" w:sz="0" w:space="0" w:color="auto"/>
                          </w:divBdr>
                          <w:divsChild>
                            <w:div w:id="132064187">
                              <w:marLeft w:val="0"/>
                              <w:marRight w:val="0"/>
                              <w:marTop w:val="0"/>
                              <w:marBottom w:val="0"/>
                              <w:divBdr>
                                <w:top w:val="none" w:sz="0" w:space="0" w:color="auto"/>
                                <w:left w:val="none" w:sz="0" w:space="0" w:color="auto"/>
                                <w:bottom w:val="none" w:sz="0" w:space="0" w:color="auto"/>
                                <w:right w:val="none" w:sz="0" w:space="0" w:color="auto"/>
                              </w:divBdr>
                            </w:div>
                          </w:divsChild>
                        </w:div>
                        <w:div w:id="1439446212">
                          <w:marLeft w:val="0"/>
                          <w:marRight w:val="0"/>
                          <w:marTop w:val="0"/>
                          <w:marBottom w:val="0"/>
                          <w:divBdr>
                            <w:top w:val="none" w:sz="0" w:space="0" w:color="auto"/>
                            <w:left w:val="none" w:sz="0" w:space="0" w:color="auto"/>
                            <w:bottom w:val="none" w:sz="0" w:space="0" w:color="auto"/>
                            <w:right w:val="none" w:sz="0" w:space="0" w:color="auto"/>
                          </w:divBdr>
                          <w:divsChild>
                            <w:div w:id="1953783667">
                              <w:marLeft w:val="0"/>
                              <w:marRight w:val="0"/>
                              <w:marTop w:val="0"/>
                              <w:marBottom w:val="0"/>
                              <w:divBdr>
                                <w:top w:val="none" w:sz="0" w:space="0" w:color="auto"/>
                                <w:left w:val="none" w:sz="0" w:space="0" w:color="auto"/>
                                <w:bottom w:val="none" w:sz="0" w:space="0" w:color="auto"/>
                                <w:right w:val="none" w:sz="0" w:space="0" w:color="auto"/>
                              </w:divBdr>
                            </w:div>
                          </w:divsChild>
                        </w:div>
                        <w:div w:id="857545591">
                          <w:marLeft w:val="0"/>
                          <w:marRight w:val="0"/>
                          <w:marTop w:val="0"/>
                          <w:marBottom w:val="0"/>
                          <w:divBdr>
                            <w:top w:val="none" w:sz="0" w:space="0" w:color="auto"/>
                            <w:left w:val="none" w:sz="0" w:space="0" w:color="auto"/>
                            <w:bottom w:val="none" w:sz="0" w:space="0" w:color="auto"/>
                            <w:right w:val="none" w:sz="0" w:space="0" w:color="auto"/>
                          </w:divBdr>
                          <w:divsChild>
                            <w:div w:id="1647660676">
                              <w:marLeft w:val="0"/>
                              <w:marRight w:val="0"/>
                              <w:marTop w:val="0"/>
                              <w:marBottom w:val="0"/>
                              <w:divBdr>
                                <w:top w:val="none" w:sz="0" w:space="0" w:color="auto"/>
                                <w:left w:val="none" w:sz="0" w:space="0" w:color="auto"/>
                                <w:bottom w:val="none" w:sz="0" w:space="0" w:color="auto"/>
                                <w:right w:val="none" w:sz="0" w:space="0" w:color="auto"/>
                              </w:divBdr>
                            </w:div>
                          </w:divsChild>
                        </w:div>
                        <w:div w:id="37122146">
                          <w:marLeft w:val="0"/>
                          <w:marRight w:val="0"/>
                          <w:marTop w:val="0"/>
                          <w:marBottom w:val="0"/>
                          <w:divBdr>
                            <w:top w:val="none" w:sz="0" w:space="0" w:color="auto"/>
                            <w:left w:val="none" w:sz="0" w:space="0" w:color="auto"/>
                            <w:bottom w:val="none" w:sz="0" w:space="0" w:color="auto"/>
                            <w:right w:val="none" w:sz="0" w:space="0" w:color="auto"/>
                          </w:divBdr>
                          <w:divsChild>
                            <w:div w:id="697780146">
                              <w:marLeft w:val="0"/>
                              <w:marRight w:val="0"/>
                              <w:marTop w:val="0"/>
                              <w:marBottom w:val="0"/>
                              <w:divBdr>
                                <w:top w:val="none" w:sz="0" w:space="0" w:color="auto"/>
                                <w:left w:val="none" w:sz="0" w:space="0" w:color="auto"/>
                                <w:bottom w:val="none" w:sz="0" w:space="0" w:color="auto"/>
                                <w:right w:val="none" w:sz="0" w:space="0" w:color="auto"/>
                              </w:divBdr>
                            </w:div>
                          </w:divsChild>
                        </w:div>
                        <w:div w:id="890507582">
                          <w:marLeft w:val="0"/>
                          <w:marRight w:val="0"/>
                          <w:marTop w:val="0"/>
                          <w:marBottom w:val="0"/>
                          <w:divBdr>
                            <w:top w:val="none" w:sz="0" w:space="0" w:color="auto"/>
                            <w:left w:val="none" w:sz="0" w:space="0" w:color="auto"/>
                            <w:bottom w:val="none" w:sz="0" w:space="0" w:color="auto"/>
                            <w:right w:val="none" w:sz="0" w:space="0" w:color="auto"/>
                          </w:divBdr>
                          <w:divsChild>
                            <w:div w:id="409618398">
                              <w:marLeft w:val="0"/>
                              <w:marRight w:val="0"/>
                              <w:marTop w:val="0"/>
                              <w:marBottom w:val="0"/>
                              <w:divBdr>
                                <w:top w:val="none" w:sz="0" w:space="0" w:color="auto"/>
                                <w:left w:val="none" w:sz="0" w:space="0" w:color="auto"/>
                                <w:bottom w:val="none" w:sz="0" w:space="0" w:color="auto"/>
                                <w:right w:val="none" w:sz="0" w:space="0" w:color="auto"/>
                              </w:divBdr>
                            </w:div>
                          </w:divsChild>
                        </w:div>
                        <w:div w:id="539364423">
                          <w:marLeft w:val="0"/>
                          <w:marRight w:val="0"/>
                          <w:marTop w:val="0"/>
                          <w:marBottom w:val="0"/>
                          <w:divBdr>
                            <w:top w:val="none" w:sz="0" w:space="0" w:color="auto"/>
                            <w:left w:val="none" w:sz="0" w:space="0" w:color="auto"/>
                            <w:bottom w:val="none" w:sz="0" w:space="0" w:color="auto"/>
                            <w:right w:val="none" w:sz="0" w:space="0" w:color="auto"/>
                          </w:divBdr>
                          <w:divsChild>
                            <w:div w:id="210071480">
                              <w:marLeft w:val="0"/>
                              <w:marRight w:val="0"/>
                              <w:marTop w:val="0"/>
                              <w:marBottom w:val="0"/>
                              <w:divBdr>
                                <w:top w:val="none" w:sz="0" w:space="0" w:color="auto"/>
                                <w:left w:val="none" w:sz="0" w:space="0" w:color="auto"/>
                                <w:bottom w:val="none" w:sz="0" w:space="0" w:color="auto"/>
                                <w:right w:val="none" w:sz="0" w:space="0" w:color="auto"/>
                              </w:divBdr>
                            </w:div>
                          </w:divsChild>
                        </w:div>
                        <w:div w:id="1194924445">
                          <w:marLeft w:val="0"/>
                          <w:marRight w:val="0"/>
                          <w:marTop w:val="0"/>
                          <w:marBottom w:val="0"/>
                          <w:divBdr>
                            <w:top w:val="none" w:sz="0" w:space="0" w:color="auto"/>
                            <w:left w:val="none" w:sz="0" w:space="0" w:color="auto"/>
                            <w:bottom w:val="none" w:sz="0" w:space="0" w:color="auto"/>
                            <w:right w:val="none" w:sz="0" w:space="0" w:color="auto"/>
                          </w:divBdr>
                          <w:divsChild>
                            <w:div w:id="216280756">
                              <w:marLeft w:val="0"/>
                              <w:marRight w:val="0"/>
                              <w:marTop w:val="0"/>
                              <w:marBottom w:val="0"/>
                              <w:divBdr>
                                <w:top w:val="none" w:sz="0" w:space="0" w:color="auto"/>
                                <w:left w:val="none" w:sz="0" w:space="0" w:color="auto"/>
                                <w:bottom w:val="none" w:sz="0" w:space="0" w:color="auto"/>
                                <w:right w:val="none" w:sz="0" w:space="0" w:color="auto"/>
                              </w:divBdr>
                            </w:div>
                          </w:divsChild>
                        </w:div>
                        <w:div w:id="125322501">
                          <w:marLeft w:val="0"/>
                          <w:marRight w:val="0"/>
                          <w:marTop w:val="0"/>
                          <w:marBottom w:val="0"/>
                          <w:divBdr>
                            <w:top w:val="none" w:sz="0" w:space="0" w:color="auto"/>
                            <w:left w:val="none" w:sz="0" w:space="0" w:color="auto"/>
                            <w:bottom w:val="none" w:sz="0" w:space="0" w:color="auto"/>
                            <w:right w:val="none" w:sz="0" w:space="0" w:color="auto"/>
                          </w:divBdr>
                          <w:divsChild>
                            <w:div w:id="518666497">
                              <w:marLeft w:val="0"/>
                              <w:marRight w:val="0"/>
                              <w:marTop w:val="0"/>
                              <w:marBottom w:val="0"/>
                              <w:divBdr>
                                <w:top w:val="none" w:sz="0" w:space="0" w:color="auto"/>
                                <w:left w:val="none" w:sz="0" w:space="0" w:color="auto"/>
                                <w:bottom w:val="none" w:sz="0" w:space="0" w:color="auto"/>
                                <w:right w:val="none" w:sz="0" w:space="0" w:color="auto"/>
                              </w:divBdr>
                            </w:div>
                          </w:divsChild>
                        </w:div>
                        <w:div w:id="1749888635">
                          <w:marLeft w:val="0"/>
                          <w:marRight w:val="0"/>
                          <w:marTop w:val="0"/>
                          <w:marBottom w:val="0"/>
                          <w:divBdr>
                            <w:top w:val="none" w:sz="0" w:space="0" w:color="auto"/>
                            <w:left w:val="none" w:sz="0" w:space="0" w:color="auto"/>
                            <w:bottom w:val="none" w:sz="0" w:space="0" w:color="auto"/>
                            <w:right w:val="none" w:sz="0" w:space="0" w:color="auto"/>
                          </w:divBdr>
                          <w:divsChild>
                            <w:div w:id="1938830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epublications.marquette.edu/" TargetMode="External"/><Relationship Id="rId4" Type="http://schemas.openxmlformats.org/officeDocument/2006/relationships/customXml" Target="../customXml/item4.xml"/><Relationship Id="rId9" Type="http://schemas.openxmlformats.org/officeDocument/2006/relationships/hyperlink" Target="https://doi.org/10.1002/smj.196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10E49D0-69E4-4E84-A094-4C69E0AED0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20</Pages>
  <Words>10293</Words>
  <Characters>58675</Characters>
  <Application>Microsoft Office Word</Application>
  <DocSecurity>8</DocSecurity>
  <Lines>488</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23</cp:revision>
  <dcterms:created xsi:type="dcterms:W3CDTF">2022-08-18T18:12:00Z</dcterms:created>
  <dcterms:modified xsi:type="dcterms:W3CDTF">2022-08-26T18:19:00Z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