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7B64D" w14:textId="77777777" w:rsidR="007D6942" w:rsidRDefault="007D6942" w:rsidP="00E82933">
      <w:pPr>
        <w:pStyle w:val="NoSpacing"/>
        <w:jc w:val="center"/>
        <w:rPr>
          <w:b/>
          <w:szCs w:val="24"/>
        </w:rPr>
      </w:pPr>
      <w:bookmarkStart w:id="0" w:name="_GoBack"/>
      <w:bookmarkEnd w:id="0"/>
      <w:r>
        <w:rPr>
          <w:b/>
          <w:szCs w:val="24"/>
        </w:rPr>
        <w:t>‘But Who Will Bell the Cat?’: Deschamps, Brinton, Langland,</w:t>
      </w:r>
    </w:p>
    <w:p w14:paraId="0C99A987" w14:textId="77777777" w:rsidR="007D6942" w:rsidRDefault="007D6942" w:rsidP="00E82933">
      <w:pPr>
        <w:pStyle w:val="NoSpacing"/>
        <w:jc w:val="center"/>
        <w:rPr>
          <w:b/>
          <w:szCs w:val="24"/>
        </w:rPr>
      </w:pPr>
      <w:r>
        <w:rPr>
          <w:b/>
          <w:szCs w:val="24"/>
        </w:rPr>
        <w:t xml:space="preserve"> and the Hundred Years War </w:t>
      </w:r>
    </w:p>
    <w:p w14:paraId="7E0955C3" w14:textId="77777777" w:rsidR="008619C8" w:rsidRDefault="008619C8" w:rsidP="00E82933">
      <w:pPr>
        <w:pStyle w:val="NoSpacing"/>
        <w:jc w:val="center"/>
        <w:rPr>
          <w:b/>
          <w:szCs w:val="24"/>
        </w:rPr>
      </w:pPr>
    </w:p>
    <w:p w14:paraId="472C231C" w14:textId="77777777" w:rsidR="008619C8" w:rsidRPr="008619C8" w:rsidRDefault="008619C8" w:rsidP="00E82933">
      <w:pPr>
        <w:pStyle w:val="NoSpacing"/>
        <w:jc w:val="center"/>
        <w:rPr>
          <w:szCs w:val="24"/>
        </w:rPr>
      </w:pPr>
      <w:r w:rsidRPr="008619C8">
        <w:rPr>
          <w:szCs w:val="24"/>
        </w:rPr>
        <w:t>Elizaveta Strakhov</w:t>
      </w:r>
    </w:p>
    <w:p w14:paraId="034BBA06" w14:textId="77777777" w:rsidR="00E82933" w:rsidRDefault="00E82933" w:rsidP="00E82933"/>
    <w:p w14:paraId="0B2C2B49" w14:textId="77777777" w:rsidR="008525E2" w:rsidRDefault="005C6341" w:rsidP="008525E2">
      <w:pPr>
        <w:ind w:firstLine="720"/>
      </w:pPr>
      <w:r>
        <w:t>Surprisingly little work has been done on William Langland and contemporary responses to the Hundred Years War: surprising n</w:t>
      </w:r>
      <w:r w:rsidR="0003306D">
        <w:t xml:space="preserve">ot in the least </w:t>
      </w:r>
      <w:r w:rsidR="008525E2">
        <w:t>because this war</w:t>
      </w:r>
      <w:r w:rsidR="0003306D">
        <w:t xml:space="preserve"> was a</w:t>
      </w:r>
      <w:r>
        <w:t xml:space="preserve"> dominant international political conflict over th</w:t>
      </w:r>
      <w:r w:rsidR="0003306D">
        <w:t>e course of the poet’s lifetime</w:t>
      </w:r>
      <w:r>
        <w:t xml:space="preserve"> </w:t>
      </w:r>
      <w:r w:rsidR="008525E2">
        <w:t>and</w:t>
      </w:r>
      <w:r w:rsidR="002907EC">
        <w:t xml:space="preserve"> because Langland</w:t>
      </w:r>
      <w:r>
        <w:t xml:space="preserve"> openly references the famous Treaty of </w:t>
      </w:r>
      <w:proofErr w:type="spellStart"/>
      <w:r>
        <w:t>Brétigny</w:t>
      </w:r>
      <w:proofErr w:type="spellEnd"/>
      <w:r>
        <w:t xml:space="preserve"> in the </w:t>
      </w:r>
      <w:r w:rsidR="006958FA">
        <w:t xml:space="preserve">continuation of the </w:t>
      </w:r>
      <w:proofErr w:type="spellStart"/>
      <w:r>
        <w:t>Meed</w:t>
      </w:r>
      <w:proofErr w:type="spellEnd"/>
      <w:r>
        <w:t xml:space="preserve"> episode</w:t>
      </w:r>
      <w:r w:rsidR="008B57F9">
        <w:t xml:space="preserve"> in Passus III. </w:t>
      </w:r>
      <w:r w:rsidR="004F21AE">
        <w:t xml:space="preserve">In that passus, </w:t>
      </w:r>
      <w:proofErr w:type="spellStart"/>
      <w:r w:rsidR="004F21AE">
        <w:t>Me</w:t>
      </w:r>
      <w:r w:rsidR="002907EC">
        <w:t>e</w:t>
      </w:r>
      <w:r w:rsidR="004F21AE">
        <w:t>d</w:t>
      </w:r>
      <w:proofErr w:type="spellEnd"/>
      <w:r w:rsidR="002907EC">
        <w:t xml:space="preserve"> invokes the Treaty as part of her defense of </w:t>
      </w:r>
      <w:proofErr w:type="spellStart"/>
      <w:r w:rsidR="002907EC">
        <w:t>meed</w:t>
      </w:r>
      <w:proofErr w:type="spellEnd"/>
      <w:r w:rsidR="002907EC">
        <w:t>, and its centrality to good administrative rule, before t</w:t>
      </w:r>
      <w:r w:rsidR="004F21AE">
        <w:t>he king at Westminster. S</w:t>
      </w:r>
      <w:r w:rsidR="002907EC">
        <w:t xml:space="preserve">he accuses Conscience </w:t>
      </w:r>
      <w:r w:rsidR="004F21AE">
        <w:t xml:space="preserve">of having demurred from battle for fear of a </w:t>
      </w:r>
      <w:r w:rsidR="003A5BE1">
        <w:t>‘</w:t>
      </w:r>
      <w:proofErr w:type="spellStart"/>
      <w:r w:rsidR="003A5BE1">
        <w:t>dym</w:t>
      </w:r>
      <w:proofErr w:type="spellEnd"/>
      <w:r w:rsidR="003A5BE1">
        <w:t xml:space="preserve"> </w:t>
      </w:r>
      <w:proofErr w:type="spellStart"/>
      <w:r w:rsidR="003A5BE1">
        <w:t>cloude</w:t>
      </w:r>
      <w:proofErr w:type="spellEnd"/>
      <w:r w:rsidR="003A5BE1">
        <w:t>’</w:t>
      </w:r>
      <w:r w:rsidR="003273E1">
        <w:t xml:space="preserve"> (B. 3. 193), which has been understood as a topic</w:t>
      </w:r>
      <w:r w:rsidR="003A5BE1">
        <w:t>al allusion to the so-called ‘Black Monday’</w:t>
      </w:r>
      <w:r w:rsidR="003273E1">
        <w:t xml:space="preserve"> </w:t>
      </w:r>
      <w:r w:rsidR="008525E2">
        <w:t>storm</w:t>
      </w:r>
      <w:r w:rsidR="003E5267" w:rsidRPr="00F769C1">
        <w:t xml:space="preserve"> </w:t>
      </w:r>
      <w:r w:rsidR="004F21AE" w:rsidRPr="00F769C1">
        <w:t xml:space="preserve">that beset Edward III’s troops </w:t>
      </w:r>
      <w:r w:rsidR="005E7AF9" w:rsidRPr="00F769C1">
        <w:t>at Chartres</w:t>
      </w:r>
      <w:r w:rsidR="003273E1" w:rsidRPr="00F769C1">
        <w:t xml:space="preserve"> on </w:t>
      </w:r>
      <w:r w:rsidR="00F769C1" w:rsidRPr="00F769C1">
        <w:t>April 13</w:t>
      </w:r>
      <w:r w:rsidR="003273E1" w:rsidRPr="00F769C1">
        <w:t>, 1360</w:t>
      </w:r>
      <w:r w:rsidR="003E5267">
        <w:t xml:space="preserve">, just before </w:t>
      </w:r>
      <w:r w:rsidR="003273E1">
        <w:t>the</w:t>
      </w:r>
      <w:r w:rsidR="00043D40">
        <w:t xml:space="preserve"> signing of the</w:t>
      </w:r>
      <w:r w:rsidR="003273E1">
        <w:t xml:space="preserve"> Treaty of </w:t>
      </w:r>
      <w:proofErr w:type="spellStart"/>
      <w:r w:rsidR="003273E1">
        <w:t>Brétigny</w:t>
      </w:r>
      <w:proofErr w:type="spellEnd"/>
      <w:r w:rsidR="008525E2">
        <w:t xml:space="preserve">, much remarked upon by contemporary </w:t>
      </w:r>
      <w:r w:rsidR="008525E2" w:rsidRPr="00F769C1">
        <w:t>chroniclers</w:t>
      </w:r>
      <w:r w:rsidR="004F21AE">
        <w:t>.</w:t>
      </w:r>
      <w:r w:rsidR="004F21AE">
        <w:rPr>
          <w:rStyle w:val="FootnoteReference"/>
        </w:rPr>
        <w:footnoteReference w:id="1"/>
      </w:r>
      <w:r w:rsidR="003273E1">
        <w:t xml:space="preserve"> </w:t>
      </w:r>
      <w:proofErr w:type="spellStart"/>
      <w:r w:rsidR="00095862">
        <w:t>Meed</w:t>
      </w:r>
      <w:proofErr w:type="spellEnd"/>
      <w:r w:rsidR="00095862">
        <w:t xml:space="preserve"> goes on to accuse Conscience of having pe</w:t>
      </w:r>
      <w:r w:rsidR="003A5BE1">
        <w:t>rsuaded the king ‘</w:t>
      </w:r>
      <w:r w:rsidR="00095862">
        <w:t xml:space="preserve">to </w:t>
      </w:r>
      <w:proofErr w:type="spellStart"/>
      <w:r w:rsidR="00236E5D">
        <w:t>leven</w:t>
      </w:r>
      <w:proofErr w:type="spellEnd"/>
      <w:r w:rsidR="00962EF3">
        <w:t xml:space="preserve"> h</w:t>
      </w:r>
      <w:r w:rsidR="003A5BE1">
        <w:t xml:space="preserve">is </w:t>
      </w:r>
      <w:proofErr w:type="spellStart"/>
      <w:r w:rsidR="003A5BE1">
        <w:t>lordshipe</w:t>
      </w:r>
      <w:proofErr w:type="spellEnd"/>
      <w:r w:rsidR="003A5BE1">
        <w:t xml:space="preserve"> for a </w:t>
      </w:r>
      <w:proofErr w:type="spellStart"/>
      <w:r w:rsidR="003A5BE1">
        <w:t>litel</w:t>
      </w:r>
      <w:proofErr w:type="spellEnd"/>
      <w:r w:rsidR="003A5BE1">
        <w:t xml:space="preserve"> silver’</w:t>
      </w:r>
      <w:r w:rsidR="00962EF3">
        <w:t xml:space="preserve"> (B. </w:t>
      </w:r>
      <w:r w:rsidR="00236E5D">
        <w:t>3. 207) and, far more unambiguously in the C</w:t>
      </w:r>
      <w:r w:rsidR="003A5BE1">
        <w:t>-text, of having counseled him ‘</w:t>
      </w:r>
      <w:r w:rsidR="00236E5D">
        <w:t xml:space="preserve">to </w:t>
      </w:r>
      <w:proofErr w:type="spellStart"/>
      <w:r w:rsidR="00236E5D">
        <w:t>leten</w:t>
      </w:r>
      <w:proofErr w:type="spellEnd"/>
      <w:r w:rsidR="00236E5D">
        <w:t xml:space="preserve"> | In his </w:t>
      </w:r>
      <w:proofErr w:type="spellStart"/>
      <w:r w:rsidR="00236E5D">
        <w:t>enemyes</w:t>
      </w:r>
      <w:proofErr w:type="spellEnd"/>
      <w:r w:rsidR="003A5BE1">
        <w:t xml:space="preserve"> </w:t>
      </w:r>
      <w:proofErr w:type="spellStart"/>
      <w:r w:rsidR="003A5BE1">
        <w:t>handes</w:t>
      </w:r>
      <w:proofErr w:type="spellEnd"/>
      <w:r w:rsidR="003A5BE1">
        <w:t xml:space="preserve"> his heritage of </w:t>
      </w:r>
      <w:proofErr w:type="spellStart"/>
      <w:r w:rsidR="003A5BE1">
        <w:t>Fraunce</w:t>
      </w:r>
      <w:proofErr w:type="spellEnd"/>
      <w:r w:rsidR="003A5BE1">
        <w:t>’</w:t>
      </w:r>
      <w:r w:rsidR="00236E5D">
        <w:t xml:space="preserve"> (C. 3. 242-43), a direct reference to the terms of the Treaty of </w:t>
      </w:r>
      <w:proofErr w:type="spellStart"/>
      <w:r w:rsidR="00236E5D">
        <w:t>Brétigny</w:t>
      </w:r>
      <w:proofErr w:type="spellEnd"/>
      <w:r w:rsidR="005F2557">
        <w:t>, in whi</w:t>
      </w:r>
      <w:r w:rsidR="00043D40">
        <w:t>ch Edward renounced his claim to</w:t>
      </w:r>
      <w:r w:rsidR="005F2557">
        <w:t xml:space="preserve"> the French throne</w:t>
      </w:r>
      <w:r w:rsidR="00236E5D">
        <w:t>.</w:t>
      </w:r>
      <w:r w:rsidR="00236E5D">
        <w:rPr>
          <w:rStyle w:val="FootnoteReference"/>
        </w:rPr>
        <w:footnoteReference w:id="2"/>
      </w:r>
      <w:r w:rsidR="00B5089B">
        <w:t xml:space="preserve"> </w:t>
      </w:r>
      <w:proofErr w:type="spellStart"/>
      <w:r w:rsidR="008525E2">
        <w:t>Meed</w:t>
      </w:r>
      <w:proofErr w:type="spellEnd"/>
      <w:r w:rsidR="008525E2">
        <w:t xml:space="preserve"> thus</w:t>
      </w:r>
      <w:r w:rsidR="00B5089B">
        <w:t xml:space="preserve"> </w:t>
      </w:r>
      <w:r w:rsidR="008525E2">
        <w:t xml:space="preserve">denounces </w:t>
      </w:r>
      <w:r w:rsidR="00B5089B">
        <w:t>the terms of the treaty as unprofitable to Edward III an</w:t>
      </w:r>
      <w:r w:rsidR="003A5BE1">
        <w:t xml:space="preserve">d </w:t>
      </w:r>
      <w:r w:rsidR="008525E2">
        <w:t>claims</w:t>
      </w:r>
      <w:r w:rsidR="003A5BE1">
        <w:t xml:space="preserve"> that</w:t>
      </w:r>
      <w:r w:rsidR="008525E2">
        <w:t xml:space="preserve">, </w:t>
      </w:r>
      <w:r w:rsidR="003A5BE1">
        <w:t>had she been ‘</w:t>
      </w:r>
      <w:proofErr w:type="spellStart"/>
      <w:r w:rsidR="003A5BE1">
        <w:t>marchal</w:t>
      </w:r>
      <w:proofErr w:type="spellEnd"/>
      <w:r w:rsidR="003A5BE1">
        <w:t xml:space="preserve"> of his men’ (B.3.201; C adds ‘</w:t>
      </w:r>
      <w:r w:rsidR="00B5089B">
        <w:t xml:space="preserve">in </w:t>
      </w:r>
      <w:proofErr w:type="spellStart"/>
      <w:r w:rsidR="00B5089B">
        <w:t>F</w:t>
      </w:r>
      <w:r w:rsidR="003A5BE1">
        <w:t>raunce</w:t>
      </w:r>
      <w:proofErr w:type="spellEnd"/>
      <w:r w:rsidR="003A5BE1">
        <w:t>’,</w:t>
      </w:r>
      <w:r w:rsidR="00B5089B">
        <w:t xml:space="preserve"> 3</w:t>
      </w:r>
      <w:r w:rsidR="008525E2">
        <w:t>. 258),</w:t>
      </w:r>
      <w:r w:rsidR="003A5BE1">
        <w:t xml:space="preserve"> Edward would have been ‘</w:t>
      </w:r>
      <w:r w:rsidR="00B5089B">
        <w:t>lord of th</w:t>
      </w:r>
      <w:r w:rsidR="003A5BE1">
        <w:t xml:space="preserve">at </w:t>
      </w:r>
      <w:proofErr w:type="spellStart"/>
      <w:r w:rsidR="003A5BE1">
        <w:t>lond</w:t>
      </w:r>
      <w:proofErr w:type="spellEnd"/>
      <w:r w:rsidR="003A5BE1">
        <w:t xml:space="preserve"> in </w:t>
      </w:r>
      <w:proofErr w:type="spellStart"/>
      <w:r w:rsidR="00CA2BF0">
        <w:t>lengthe</w:t>
      </w:r>
      <w:proofErr w:type="spellEnd"/>
      <w:r w:rsidR="00CA2BF0">
        <w:t xml:space="preserve"> and in </w:t>
      </w:r>
      <w:proofErr w:type="spellStart"/>
      <w:r w:rsidR="00CA2BF0">
        <w:t>brede</w:t>
      </w:r>
      <w:proofErr w:type="spellEnd"/>
      <w:r w:rsidR="00CA2BF0">
        <w:t>’ (B. 3. 203</w:t>
      </w:r>
      <w:r w:rsidR="00B5089B">
        <w:t>)</w:t>
      </w:r>
      <w:r w:rsidR="008525E2">
        <w:t xml:space="preserve">. </w:t>
      </w:r>
    </w:p>
    <w:p w14:paraId="38853E5A" w14:textId="77777777" w:rsidR="005F2557" w:rsidRDefault="008525E2" w:rsidP="008525E2">
      <w:pPr>
        <w:ind w:firstLine="720"/>
      </w:pPr>
      <w:r>
        <w:t xml:space="preserve">According to Denise Baker, </w:t>
      </w:r>
      <w:proofErr w:type="spellStart"/>
      <w:r>
        <w:t>Meed’s</w:t>
      </w:r>
      <w:proofErr w:type="spellEnd"/>
      <w:r>
        <w:t xml:space="preserve"> arguments</w:t>
      </w:r>
      <w:r w:rsidR="00B5089B">
        <w:t xml:space="preserve"> echo contemporary </w:t>
      </w:r>
      <w:r w:rsidR="003743D4">
        <w:t>backlash to</w:t>
      </w:r>
      <w:r w:rsidR="00B5089B">
        <w:t xml:space="preserve"> the Treaty of </w:t>
      </w:r>
      <w:proofErr w:type="spellStart"/>
      <w:r w:rsidR="00B5089B">
        <w:t>Brétigny</w:t>
      </w:r>
      <w:proofErr w:type="spellEnd"/>
      <w:r w:rsidR="00B5089B">
        <w:t xml:space="preserve"> in </w:t>
      </w:r>
      <w:r w:rsidR="002171FC">
        <w:t xml:space="preserve">the </w:t>
      </w:r>
      <w:r w:rsidR="00B5089B" w:rsidRPr="00A314B1">
        <w:rPr>
          <w:i/>
        </w:rPr>
        <w:t xml:space="preserve">Prophecy of John </w:t>
      </w:r>
      <w:proofErr w:type="spellStart"/>
      <w:r w:rsidR="00B5089B" w:rsidRPr="00A314B1">
        <w:rPr>
          <w:i/>
        </w:rPr>
        <w:t>Bridlington</w:t>
      </w:r>
      <w:proofErr w:type="spellEnd"/>
      <w:r w:rsidR="00B5089B">
        <w:t xml:space="preserve">, in the </w:t>
      </w:r>
      <w:proofErr w:type="spellStart"/>
      <w:r w:rsidR="00B5089B" w:rsidRPr="00A314B1">
        <w:rPr>
          <w:i/>
        </w:rPr>
        <w:t>Anonimalle</w:t>
      </w:r>
      <w:proofErr w:type="spellEnd"/>
      <w:r w:rsidR="00B5089B" w:rsidRPr="00A314B1">
        <w:rPr>
          <w:i/>
        </w:rPr>
        <w:t xml:space="preserve"> Chronicle</w:t>
      </w:r>
      <w:r w:rsidR="00A314B1">
        <w:t xml:space="preserve">, and in Thomas Gray’s </w:t>
      </w:r>
      <w:proofErr w:type="spellStart"/>
      <w:r w:rsidR="00A314B1" w:rsidRPr="00A314B1">
        <w:rPr>
          <w:i/>
        </w:rPr>
        <w:t>Scalacronica</w:t>
      </w:r>
      <w:proofErr w:type="spellEnd"/>
      <w:r w:rsidR="00A314B1">
        <w:t>.</w:t>
      </w:r>
      <w:r w:rsidR="00A314B1">
        <w:rPr>
          <w:rStyle w:val="FootnoteReference"/>
        </w:rPr>
        <w:footnoteReference w:id="3"/>
      </w:r>
      <w:r w:rsidR="00A314B1">
        <w:t xml:space="preserve"> </w:t>
      </w:r>
      <w:proofErr w:type="spellStart"/>
      <w:r w:rsidR="00A314B1">
        <w:t>Meed’s</w:t>
      </w:r>
      <w:proofErr w:type="spellEnd"/>
      <w:r w:rsidR="00A314B1">
        <w:t xml:space="preserve"> further characterization of Conscience as a pillager based out of Calais (B.3.195-6), Baker suggests, speaks to widespread </w:t>
      </w:r>
      <w:r w:rsidR="003743D4">
        <w:t xml:space="preserve">English </w:t>
      </w:r>
      <w:r w:rsidR="00A314B1">
        <w:t>criti</w:t>
      </w:r>
      <w:r w:rsidR="005F2557">
        <w:t xml:space="preserve">que of </w:t>
      </w:r>
      <w:proofErr w:type="spellStart"/>
      <w:r w:rsidR="005F2557">
        <w:t>che</w:t>
      </w:r>
      <w:r w:rsidR="00A314B1">
        <w:t>vauchée</w:t>
      </w:r>
      <w:proofErr w:type="spellEnd"/>
      <w:r w:rsidR="005F2557">
        <w:t xml:space="preserve"> tactics</w:t>
      </w:r>
      <w:r w:rsidR="00A314B1">
        <w:t>, in which</w:t>
      </w:r>
      <w:r w:rsidR="005F2557">
        <w:t xml:space="preserve"> English</w:t>
      </w:r>
      <w:r w:rsidR="00A314B1">
        <w:t xml:space="preserve"> soldiers plunder</w:t>
      </w:r>
      <w:r w:rsidR="00043D40">
        <w:t>ed</w:t>
      </w:r>
      <w:r w:rsidR="00A314B1">
        <w:t xml:space="preserve"> the French countryside </w:t>
      </w:r>
      <w:r w:rsidR="00043D40">
        <w:t>and took</w:t>
      </w:r>
      <w:r w:rsidR="00A314B1">
        <w:t xml:space="preserve"> prisoners for exorbitant ransom.</w:t>
      </w:r>
      <w:r w:rsidR="00A314B1">
        <w:rPr>
          <w:rStyle w:val="FootnoteReference"/>
        </w:rPr>
        <w:footnoteReference w:id="4"/>
      </w:r>
      <w:r w:rsidR="005F2557">
        <w:t xml:space="preserve"> </w:t>
      </w:r>
      <w:r w:rsidR="003743D4">
        <w:t xml:space="preserve">Baker thus proposes that Langland’s political concerns extend beyond England’s domestic difficulties into the wider arena of England’s </w:t>
      </w:r>
      <w:r w:rsidR="005F2557">
        <w:t xml:space="preserve">war </w:t>
      </w:r>
      <w:r w:rsidR="003743D4">
        <w:t xml:space="preserve">campaigns on the Continent. In what follows, I would like to press on the notion </w:t>
      </w:r>
      <w:r w:rsidR="003E5267">
        <w:t xml:space="preserve">of Langland as a poet invested </w:t>
      </w:r>
      <w:r w:rsidR="003743D4">
        <w:t xml:space="preserve">in cross-Channel wartime affairs by </w:t>
      </w:r>
      <w:r w:rsidR="001A70B8">
        <w:t>reading him in</w:t>
      </w:r>
      <w:r w:rsidR="003743D4">
        <w:t xml:space="preserve"> the context of </w:t>
      </w:r>
      <w:r w:rsidR="003E5267">
        <w:t>a</w:t>
      </w:r>
      <w:r w:rsidR="001A70B8">
        <w:t>nother</w:t>
      </w:r>
      <w:r w:rsidR="003E5267">
        <w:t xml:space="preserve"> </w:t>
      </w:r>
      <w:r w:rsidR="003743D4">
        <w:t>contemporary</w:t>
      </w:r>
      <w:r w:rsidR="003E5267">
        <w:t xml:space="preserve"> </w:t>
      </w:r>
      <w:r w:rsidR="003743D4">
        <w:t xml:space="preserve">literary </w:t>
      </w:r>
      <w:r w:rsidR="003E5267">
        <w:t>response</w:t>
      </w:r>
      <w:r w:rsidR="005F2557">
        <w:t xml:space="preserve"> to the </w:t>
      </w:r>
      <w:r w:rsidR="003E5267">
        <w:t>Hundred Years War</w:t>
      </w:r>
      <w:r w:rsidR="003A5BE1">
        <w:t>, this one originating on the Continent</w:t>
      </w:r>
      <w:r w:rsidR="001A70B8">
        <w:t xml:space="preserve">. </w:t>
      </w:r>
    </w:p>
    <w:p w14:paraId="6AB5E151" w14:textId="77777777" w:rsidR="003743D4" w:rsidRDefault="009A5B65" w:rsidP="003E5267">
      <w:pPr>
        <w:ind w:firstLine="720"/>
      </w:pPr>
      <w:r>
        <w:t xml:space="preserve">In addition to </w:t>
      </w:r>
      <w:proofErr w:type="spellStart"/>
      <w:r w:rsidR="00F2663A">
        <w:t>Meed</w:t>
      </w:r>
      <w:r>
        <w:t>’s</w:t>
      </w:r>
      <w:proofErr w:type="spellEnd"/>
      <w:r>
        <w:t xml:space="preserve"> self-defense in Passus 3, Langland pointedly mentions France within a political context elsewhere: in the famous episode of the </w:t>
      </w:r>
      <w:r w:rsidR="003A5BE1">
        <w:t xml:space="preserve">Rodent </w:t>
      </w:r>
      <w:r>
        <w:t xml:space="preserve">Parliament </w:t>
      </w:r>
      <w:r w:rsidR="001A70B8">
        <w:t>from the Prologue</w:t>
      </w:r>
      <w:r>
        <w:t xml:space="preserve">, in which the rodents entertain the notion of belling the cat </w:t>
      </w:r>
      <w:r w:rsidR="0018422D">
        <w:t xml:space="preserve">so </w:t>
      </w:r>
      <w:r>
        <w:t xml:space="preserve">that they can be better prepared for </w:t>
      </w:r>
      <w:r w:rsidR="001A70B8">
        <w:t>its</w:t>
      </w:r>
      <w:r>
        <w:t xml:space="preserve"> unexpected attacks. Scholars have tended to analyze this scene as concerned with exclusively insular English politics, specifically the </w:t>
      </w:r>
      <w:r w:rsidR="0018422D">
        <w:t xml:space="preserve">rise of John of Gaunt in the final years of </w:t>
      </w:r>
      <w:r w:rsidR="0018422D">
        <w:lastRenderedPageBreak/>
        <w:t xml:space="preserve">Edward’s reign and the </w:t>
      </w:r>
      <w:r>
        <w:t>Good Parliament of 1376</w:t>
      </w:r>
      <w:r w:rsidR="00932215">
        <w:t xml:space="preserve">. The episode’s reliance on the popular animal fable of </w:t>
      </w:r>
      <w:r w:rsidR="003A5BE1">
        <w:t>‘</w:t>
      </w:r>
      <w:r w:rsidR="00932215">
        <w:t>belling the cat</w:t>
      </w:r>
      <w:r w:rsidR="003A5BE1">
        <w:t>’</w:t>
      </w:r>
      <w:r w:rsidR="005F2557">
        <w:t xml:space="preserve"> has been </w:t>
      </w:r>
      <w:r w:rsidR="00932215">
        <w:t>connected with Thomas Brinton’s use of the same fable in his sermon of May 18, 1376 while the</w:t>
      </w:r>
      <w:r w:rsidR="00742F24">
        <w:t xml:space="preserve"> Good Parliament was in session</w:t>
      </w:r>
      <w:r w:rsidR="003239B5">
        <w:t xml:space="preserve">. </w:t>
      </w:r>
      <w:r w:rsidR="008525E2">
        <w:t>Yet there is also another</w:t>
      </w:r>
      <w:r w:rsidR="001A70B8">
        <w:t xml:space="preserve"> feature</w:t>
      </w:r>
      <w:r w:rsidR="00B92C02">
        <w:t xml:space="preserve"> in common</w:t>
      </w:r>
      <w:r w:rsidR="003239B5">
        <w:t xml:space="preserve"> </w:t>
      </w:r>
      <w:r w:rsidR="00B92C02">
        <w:t>between Langland’s Prologue and</w:t>
      </w:r>
      <w:r w:rsidR="003239B5">
        <w:t xml:space="preserve"> Brinton’s sermon </w:t>
      </w:r>
      <w:r w:rsidR="00B92C02">
        <w:t>th</w:t>
      </w:r>
      <w:r w:rsidR="008525E2">
        <w:t>at has received less attention: namely, that</w:t>
      </w:r>
      <w:r w:rsidR="00B92C02">
        <w:t xml:space="preserve"> </w:t>
      </w:r>
      <w:r w:rsidR="00B92C02" w:rsidRPr="0003306D">
        <w:rPr>
          <w:i/>
        </w:rPr>
        <w:t>both</w:t>
      </w:r>
      <w:r w:rsidR="00B92C02">
        <w:t xml:space="preserve"> make pointed references</w:t>
      </w:r>
      <w:r w:rsidR="0003306D">
        <w:t xml:space="preserve"> to </w:t>
      </w:r>
      <w:r w:rsidR="008525E2">
        <w:t>Anglo-French political relations</w:t>
      </w:r>
      <w:r w:rsidR="0003306D">
        <w:t xml:space="preserve"> in </w:t>
      </w:r>
      <w:r w:rsidR="008525E2">
        <w:t>their use of</w:t>
      </w:r>
      <w:r w:rsidR="0003306D">
        <w:t xml:space="preserve"> this</w:t>
      </w:r>
      <w:r w:rsidR="00B92C02">
        <w:t xml:space="preserve"> animal fable</w:t>
      </w:r>
      <w:r w:rsidR="003239B5">
        <w:t xml:space="preserve">. </w:t>
      </w:r>
      <w:r w:rsidR="008525E2">
        <w:t>Moreover, t</w:t>
      </w:r>
      <w:r w:rsidR="001A70B8">
        <w:t>here</w:t>
      </w:r>
      <w:r w:rsidR="003239B5">
        <w:t xml:space="preserve"> is</w:t>
      </w:r>
      <w:r w:rsidR="001A70B8">
        <w:t xml:space="preserve"> yet</w:t>
      </w:r>
      <w:r w:rsidR="003239B5">
        <w:t xml:space="preserve"> </w:t>
      </w:r>
      <w:r w:rsidR="003E5267">
        <w:t xml:space="preserve">a third </w:t>
      </w:r>
      <w:r w:rsidR="003239B5">
        <w:t>a</w:t>
      </w:r>
      <w:r w:rsidR="003A5BE1">
        <w:t>uthor who employs the fable of ‘belling the cat’</w:t>
      </w:r>
      <w:r w:rsidR="008525E2">
        <w:t xml:space="preserve"> in explicit reference to the Hundred Years War</w:t>
      </w:r>
      <w:r w:rsidR="001A70B8">
        <w:t>: the French poet Eustache Deschamps.</w:t>
      </w:r>
      <w:r w:rsidR="005F2557">
        <w:t xml:space="preserve"> All three figures </w:t>
      </w:r>
      <w:r w:rsidR="00043D40">
        <w:t>are writing in the late 1370s-1380s</w:t>
      </w:r>
      <w:r w:rsidR="00355A85">
        <w:t>, and</w:t>
      </w:r>
      <w:r w:rsidR="008525E2">
        <w:t>, as I will show,</w:t>
      </w:r>
      <w:r w:rsidR="005F2557">
        <w:t xml:space="preserve"> all three </w:t>
      </w:r>
      <w:r w:rsidR="0003306D">
        <w:t>use the same fable to discuss</w:t>
      </w:r>
      <w:r w:rsidR="00355A85">
        <w:t xml:space="preserve"> cross-Channel political concerns</w:t>
      </w:r>
      <w:r w:rsidR="0003306D">
        <w:t xml:space="preserve"> </w:t>
      </w:r>
      <w:r w:rsidR="008525E2">
        <w:t>despite the fact that t</w:t>
      </w:r>
      <w:r w:rsidR="00355A85">
        <w:t>heir available literary sou</w:t>
      </w:r>
      <w:r w:rsidR="00AA68E8">
        <w:t>rces for this particular fable</w:t>
      </w:r>
      <w:r w:rsidR="00355A85">
        <w:t xml:space="preserve"> tend to apply to </w:t>
      </w:r>
      <w:r w:rsidR="00AA68E8">
        <w:t>politics</w:t>
      </w:r>
      <w:r w:rsidR="00355A85">
        <w:t xml:space="preserve"> but in the loosest sense or else pertain specifically to clerical, rather than governme</w:t>
      </w:r>
      <w:r w:rsidR="00AA68E8">
        <w:t>ntal abuses</w:t>
      </w:r>
      <w:r w:rsidR="0003306D">
        <w:t>.</w:t>
      </w:r>
    </w:p>
    <w:p w14:paraId="5E91E127" w14:textId="77777777" w:rsidR="00AA68E8" w:rsidRDefault="0018422D" w:rsidP="00355A85">
      <w:pPr>
        <w:ind w:firstLine="720"/>
      </w:pPr>
      <w:r>
        <w:t>M</w:t>
      </w:r>
      <w:r w:rsidR="00355A85">
        <w:t xml:space="preserve">y aim here is not </w:t>
      </w:r>
      <w:r w:rsidR="00E82933">
        <w:t>to argue that Deschamps and Langland</w:t>
      </w:r>
      <w:r w:rsidR="003E5267">
        <w:t>, or Deschamps and Brinton,</w:t>
      </w:r>
      <w:r w:rsidR="00E82933">
        <w:t xml:space="preserve"> had any </w:t>
      </w:r>
      <w:r w:rsidR="00355A85">
        <w:t>kind of direct communication, an enticing but ultimately unsustainable conclusion</w:t>
      </w:r>
      <w:r w:rsidR="00E82933">
        <w:t>. That Deschamps is certainly aware of English literary culture is evidenced by his infamous address to Chaucer</w:t>
      </w:r>
      <w:r w:rsidR="001A70B8">
        <w:t>, in which</w:t>
      </w:r>
      <w:r w:rsidR="00E82933">
        <w:t xml:space="preserve"> he</w:t>
      </w:r>
      <w:r w:rsidR="003A5BE1">
        <w:t xml:space="preserve"> calls him a ‘</w:t>
      </w:r>
      <w:r w:rsidR="00974C15">
        <w:t xml:space="preserve">grant </w:t>
      </w:r>
      <w:proofErr w:type="spellStart"/>
      <w:r w:rsidR="00974C15">
        <w:t>translateur</w:t>
      </w:r>
      <w:proofErr w:type="spellEnd"/>
      <w:r w:rsidR="003A5BE1">
        <w:t>’</w:t>
      </w:r>
      <w:r w:rsidR="00E82933">
        <w:t>.</w:t>
      </w:r>
      <w:r w:rsidR="00E82933">
        <w:rPr>
          <w:rStyle w:val="FootnoteReference"/>
        </w:rPr>
        <w:footnoteReference w:id="5"/>
      </w:r>
      <w:r w:rsidR="00E82933">
        <w:t xml:space="preserve"> </w:t>
      </w:r>
      <w:r w:rsidR="007A510A">
        <w:t>That said</w:t>
      </w:r>
      <w:r w:rsidR="00E82933">
        <w:t>, there i</w:t>
      </w:r>
      <w:r w:rsidR="001A70B8">
        <w:t>s no evidence to suggest that Deschamps</w:t>
      </w:r>
      <w:r w:rsidR="00E82933">
        <w:t xml:space="preserve"> knew English well enough to read in it, save a few heavily Gallicized words that he places into the mouths of some taunting English soldiers in Calais.</w:t>
      </w:r>
      <w:r w:rsidR="00E82933">
        <w:rPr>
          <w:rStyle w:val="FootnoteReference"/>
        </w:rPr>
        <w:footnoteReference w:id="6"/>
      </w:r>
      <w:r w:rsidR="00E82933">
        <w:t xml:space="preserve"> Rather, my aim is simply to ruffle some ri</w:t>
      </w:r>
      <w:r w:rsidR="007A510A">
        <w:t>gidly nationalist categories. As the paucity of scholarly material on Langland and the Hundred Years War suggests, we</w:t>
      </w:r>
      <w:r w:rsidR="00E82933">
        <w:t xml:space="preserve"> </w:t>
      </w:r>
      <w:r w:rsidR="00181132">
        <w:t>do not tend to read</w:t>
      </w:r>
      <w:r w:rsidR="00E82933">
        <w:t xml:space="preserve"> Langland as a poet with much interest in the political climate beyond his own native England</w:t>
      </w:r>
      <w:r w:rsidR="00181132">
        <w:t xml:space="preserve">. Deschamps </w:t>
      </w:r>
      <w:r w:rsidR="003A5BE1">
        <w:t>too, with the exception of his ‘</w:t>
      </w:r>
      <w:r w:rsidR="00181132">
        <w:t>B</w:t>
      </w:r>
      <w:r w:rsidR="003A5BE1">
        <w:t>allade to Chaucer’</w:t>
      </w:r>
      <w:r w:rsidR="00181132">
        <w:t>, tends to be read within a Continental French context, alongside his fellow French contemporaries.</w:t>
      </w:r>
      <w:r w:rsidR="00944709">
        <w:rPr>
          <w:rStyle w:val="FootnoteReference"/>
        </w:rPr>
        <w:footnoteReference w:id="7"/>
      </w:r>
      <w:r w:rsidR="00181132">
        <w:t xml:space="preserve"> There is also the obvious issue of literary form: </w:t>
      </w:r>
      <w:r w:rsidR="00E82933">
        <w:t xml:space="preserve">if Brinton and Langland </w:t>
      </w:r>
      <w:r w:rsidR="00181132">
        <w:t xml:space="preserve">can make sense together </w:t>
      </w:r>
      <w:r w:rsidR="00753E3F">
        <w:t>as</w:t>
      </w:r>
      <w:r w:rsidR="00E82933">
        <w:t xml:space="preserve"> an English preacher and an English author</w:t>
      </w:r>
      <w:r w:rsidR="00753E3F">
        <w:t xml:space="preserve"> </w:t>
      </w:r>
      <w:r w:rsidR="00E82933">
        <w:t>deeply investe</w:t>
      </w:r>
      <w:r w:rsidR="00753E3F">
        <w:t xml:space="preserve">d in </w:t>
      </w:r>
      <w:r w:rsidR="00E82933">
        <w:t>homiletic and devotional poetics, then Deschamps</w:t>
      </w:r>
      <w:r w:rsidR="00181132">
        <w:t>, whose</w:t>
      </w:r>
      <w:r w:rsidR="003A5BE1">
        <w:t xml:space="preserve"> immense</w:t>
      </w:r>
      <w:r w:rsidR="00181132">
        <w:t xml:space="preserve"> literary output </w:t>
      </w:r>
      <w:r w:rsidR="00AA68E8">
        <w:t>largely consists of</w:t>
      </w:r>
      <w:r w:rsidR="00181132">
        <w:t xml:space="preserve"> the popular French short-form lyric</w:t>
      </w:r>
      <w:r w:rsidR="00AA68E8">
        <w:t>s</w:t>
      </w:r>
      <w:r w:rsidR="00181132">
        <w:t xml:space="preserve"> known as the </w:t>
      </w:r>
      <w:proofErr w:type="spellStart"/>
      <w:r w:rsidR="00181132" w:rsidRPr="00974C15">
        <w:rPr>
          <w:i/>
        </w:rPr>
        <w:t>formes</w:t>
      </w:r>
      <w:proofErr w:type="spellEnd"/>
      <w:r w:rsidR="00181132" w:rsidRPr="00974C15">
        <w:rPr>
          <w:i/>
        </w:rPr>
        <w:t xml:space="preserve"> fixes</w:t>
      </w:r>
      <w:r w:rsidR="001A70B8">
        <w:t xml:space="preserve"> </w:t>
      </w:r>
      <w:r w:rsidR="00820035">
        <w:t>treating</w:t>
      </w:r>
      <w:r w:rsidR="001A70B8">
        <w:t xml:space="preserve"> cou</w:t>
      </w:r>
      <w:r w:rsidR="00820035">
        <w:t>r</w:t>
      </w:r>
      <w:r w:rsidR="001A70B8">
        <w:t>tly and political themes</w:t>
      </w:r>
      <w:r w:rsidR="00181132">
        <w:t>,</w:t>
      </w:r>
      <w:r w:rsidR="00E82933">
        <w:t xml:space="preserve"> </w:t>
      </w:r>
      <w:r w:rsidR="00181132">
        <w:t xml:space="preserve">certainly </w:t>
      </w:r>
      <w:r w:rsidR="00753E3F">
        <w:t>emerges as</w:t>
      </w:r>
      <w:r w:rsidR="00181132">
        <w:t xml:space="preserve"> the odd man out. The presence of the same animal fable in similar contexts </w:t>
      </w:r>
      <w:r w:rsidR="003A5BE1">
        <w:t xml:space="preserve">but </w:t>
      </w:r>
      <w:r w:rsidR="00974C15">
        <w:t xml:space="preserve">in </w:t>
      </w:r>
      <w:r w:rsidR="0003306D">
        <w:t xml:space="preserve">the work of </w:t>
      </w:r>
      <w:r w:rsidR="00974C15">
        <w:t xml:space="preserve">three </w:t>
      </w:r>
      <w:r w:rsidR="00753E3F">
        <w:t>very different</w:t>
      </w:r>
      <w:r w:rsidR="00974C15">
        <w:t xml:space="preserve"> authors</w:t>
      </w:r>
      <w:r w:rsidR="00181132">
        <w:t xml:space="preserve"> is thus</w:t>
      </w:r>
      <w:r w:rsidR="00974C15">
        <w:t xml:space="preserve"> all the more</w:t>
      </w:r>
      <w:r w:rsidR="00181132">
        <w:t xml:space="preserve"> deserving of our attention. </w:t>
      </w:r>
      <w:r w:rsidR="00742F24">
        <w:t>It</w:t>
      </w:r>
      <w:r w:rsidR="00974C15">
        <w:t xml:space="preserve"> </w:t>
      </w:r>
      <w:r w:rsidR="00FB3EAE">
        <w:t>shows</w:t>
      </w:r>
      <w:r w:rsidR="00974C15">
        <w:t xml:space="preserve"> us that poets as </w:t>
      </w:r>
      <w:r w:rsidR="00753E3F">
        <w:t>disparate</w:t>
      </w:r>
      <w:r w:rsidR="00181132">
        <w:t xml:space="preserve"> as Langland and Deschamps are</w:t>
      </w:r>
      <w:r w:rsidR="00742F24">
        <w:t>, nevertheless, contemporaries in the truest sense of the term, evidently</w:t>
      </w:r>
      <w:r w:rsidR="00181132">
        <w:t xml:space="preserve"> reading the same texts and putting them to similar political uses.</w:t>
      </w:r>
      <w:r w:rsidR="00AA68E8">
        <w:t xml:space="preserve"> Indeed, it</w:t>
      </w:r>
      <w:r w:rsidR="00753E3F">
        <w:t xml:space="preserve"> </w:t>
      </w:r>
      <w:r w:rsidR="00FB3EAE">
        <w:t>shows</w:t>
      </w:r>
      <w:r w:rsidR="00AA68E8">
        <w:t xml:space="preserve"> us that the Hundred Years War</w:t>
      </w:r>
      <w:r w:rsidR="00B44068">
        <w:t xml:space="preserve"> in fact </w:t>
      </w:r>
      <w:r w:rsidR="00AA68E8">
        <w:t xml:space="preserve">produces a shared literary culture. </w:t>
      </w:r>
    </w:p>
    <w:p w14:paraId="1D777142" w14:textId="77777777" w:rsidR="00181132" w:rsidRDefault="00181132" w:rsidP="004F18E9"/>
    <w:p w14:paraId="0A40AD86" w14:textId="77777777" w:rsidR="004F18E9" w:rsidRPr="004F18E9" w:rsidRDefault="004F18E9" w:rsidP="004F18E9">
      <w:pPr>
        <w:rPr>
          <w:b/>
        </w:rPr>
      </w:pPr>
      <w:r w:rsidRPr="004F18E9">
        <w:rPr>
          <w:b/>
        </w:rPr>
        <w:t xml:space="preserve">I. Medieval Sources for the “Belling the Cat” Fable </w:t>
      </w:r>
    </w:p>
    <w:p w14:paraId="6E4D9829" w14:textId="77777777" w:rsidR="004F18E9" w:rsidRDefault="004F18E9" w:rsidP="004F18E9"/>
    <w:p w14:paraId="31D35CB9" w14:textId="77777777" w:rsidR="00C01ECC" w:rsidRDefault="003A5BE1" w:rsidP="004F18E9">
      <w:pPr>
        <w:ind w:firstLine="720"/>
      </w:pPr>
      <w:r>
        <w:t>While the fable of ‘belling the cat’</w:t>
      </w:r>
      <w:r w:rsidR="004F18E9">
        <w:t xml:space="preserve"> was widely known in late medieval England as well as in France, its available sources offer but general moralistic applications rather than the specific brand of topicality demonstrated by Langland, Brinton, and Deschamps. The fable’s most </w:t>
      </w:r>
      <w:r w:rsidR="009B0801">
        <w:t>popular</w:t>
      </w:r>
      <w:r w:rsidR="004F18E9">
        <w:t xml:space="preserve"> source is a</w:t>
      </w:r>
      <w:r w:rsidR="00466DEB">
        <w:t xml:space="preserve"> late-twelfth century</w:t>
      </w:r>
      <w:r w:rsidR="004F18E9">
        <w:t xml:space="preserve"> Latin verse rendering of the </w:t>
      </w:r>
      <w:proofErr w:type="spellStart"/>
      <w:r w:rsidR="004F18E9">
        <w:t>Aesopic</w:t>
      </w:r>
      <w:proofErr w:type="spellEnd"/>
      <w:r w:rsidR="004F18E9">
        <w:t xml:space="preserve"> fables, known alternately a</w:t>
      </w:r>
      <w:r>
        <w:t>s the ‘</w:t>
      </w:r>
      <w:r w:rsidR="004F18E9">
        <w:t>Esopus</w:t>
      </w:r>
      <w:r>
        <w:t>’, ‘</w:t>
      </w:r>
      <w:proofErr w:type="spellStart"/>
      <w:r w:rsidR="004F18E9">
        <w:t>Y</w:t>
      </w:r>
      <w:r w:rsidR="00B92C02">
        <w:t>sopet</w:t>
      </w:r>
      <w:proofErr w:type="spellEnd"/>
      <w:r>
        <w:t>’, the ‘</w:t>
      </w:r>
      <w:r w:rsidR="00B92C02">
        <w:t>verse Romulus</w:t>
      </w:r>
      <w:r>
        <w:t>’,</w:t>
      </w:r>
      <w:r w:rsidR="00B92C02">
        <w:t xml:space="preserve"> </w:t>
      </w:r>
      <w:r>
        <w:t>the ‘</w:t>
      </w:r>
      <w:proofErr w:type="spellStart"/>
      <w:r w:rsidR="004F18E9">
        <w:t>Anonymus</w:t>
      </w:r>
      <w:proofErr w:type="spellEnd"/>
      <w:r w:rsidR="004F18E9">
        <w:t xml:space="preserve"> </w:t>
      </w:r>
      <w:proofErr w:type="spellStart"/>
      <w:r w:rsidR="004F18E9">
        <w:t>Neveleti</w:t>
      </w:r>
      <w:proofErr w:type="spellEnd"/>
      <w:r>
        <w:t>’</w:t>
      </w:r>
      <w:r w:rsidR="00194ECF">
        <w:t>,</w:t>
      </w:r>
      <w:r w:rsidR="00E9417A">
        <w:t xml:space="preserve"> </w:t>
      </w:r>
      <w:r>
        <w:t xml:space="preserve">or the </w:t>
      </w:r>
      <w:r w:rsidR="002101FE">
        <w:lastRenderedPageBreak/>
        <w:t>‘</w:t>
      </w:r>
      <w:r w:rsidR="00B92C02">
        <w:t>Pseudo-</w:t>
      </w:r>
      <w:proofErr w:type="spellStart"/>
      <w:r w:rsidR="00B92C02" w:rsidRPr="00E630E2">
        <w:t>Gualterus</w:t>
      </w:r>
      <w:proofErr w:type="spellEnd"/>
      <w:r w:rsidR="00B92C02" w:rsidRPr="00E630E2">
        <w:t xml:space="preserve"> </w:t>
      </w:r>
      <w:proofErr w:type="spellStart"/>
      <w:r w:rsidR="00B92C02" w:rsidRPr="00E630E2">
        <w:t>Anglicus</w:t>
      </w:r>
      <w:proofErr w:type="spellEnd"/>
      <w:r w:rsidR="002101FE">
        <w:t>’,</w:t>
      </w:r>
      <w:r w:rsidR="00B92C02" w:rsidRPr="00E630E2">
        <w:t xml:space="preserve"> </w:t>
      </w:r>
      <w:r w:rsidR="00466DEB" w:rsidRPr="00E630E2">
        <w:t>and</w:t>
      </w:r>
      <w:r w:rsidR="00A164B2">
        <w:t xml:space="preserve"> </w:t>
      </w:r>
      <w:r w:rsidR="00953EA2">
        <w:t xml:space="preserve">it </w:t>
      </w:r>
      <w:r w:rsidR="00E9417A">
        <w:t xml:space="preserve">is </w:t>
      </w:r>
      <w:r w:rsidR="00194ECF">
        <w:t xml:space="preserve">extant in </w:t>
      </w:r>
      <w:r w:rsidR="00371929" w:rsidRPr="00371929">
        <w:t>over 200</w:t>
      </w:r>
      <w:r w:rsidR="004F18E9" w:rsidRPr="00371929">
        <w:t xml:space="preserve"> manuscripts</w:t>
      </w:r>
      <w:r w:rsidR="00466DEB">
        <w:t>.</w:t>
      </w:r>
      <w:r w:rsidR="00466DEB">
        <w:rPr>
          <w:rStyle w:val="FootnoteReference"/>
        </w:rPr>
        <w:footnoteReference w:id="8"/>
      </w:r>
      <w:r w:rsidR="005E5DA8">
        <w:t xml:space="preserve"> It</w:t>
      </w:r>
      <w:r w:rsidR="00A164B2">
        <w:t xml:space="preserve"> was</w:t>
      </w:r>
      <w:r w:rsidR="00466DEB">
        <w:t xml:space="preserve"> </w:t>
      </w:r>
      <w:r w:rsidR="004F18E9">
        <w:t>translated into French</w:t>
      </w:r>
      <w:r w:rsidR="005E5DA8">
        <w:t xml:space="preserve"> in the fourteenth century</w:t>
      </w:r>
      <w:r w:rsidR="00604CAC">
        <w:t xml:space="preserve"> by an anonymous author who dedicates </w:t>
      </w:r>
      <w:r w:rsidR="002101FE">
        <w:t>his</w:t>
      </w:r>
      <w:r w:rsidR="00604CAC">
        <w:t xml:space="preserve"> </w:t>
      </w:r>
      <w:r w:rsidR="002101FE">
        <w:t>text</w:t>
      </w:r>
      <w:r w:rsidR="00604CAC">
        <w:t xml:space="preserve"> to Jeanne of Burgundy and Bonne of Luxembourg,</w:t>
      </w:r>
      <w:r w:rsidR="004F18E9">
        <w:t xml:space="preserve"> </w:t>
      </w:r>
      <w:r w:rsidR="00604CAC">
        <w:t>as well as into Middle High German by Ulrich Boner</w:t>
      </w:r>
      <w:r w:rsidR="004F18E9">
        <w:t>.</w:t>
      </w:r>
      <w:r w:rsidR="00466DEB">
        <w:rPr>
          <w:rStyle w:val="FootnoteReference"/>
        </w:rPr>
        <w:footnoteReference w:id="9"/>
      </w:r>
      <w:r w:rsidR="004F18E9">
        <w:t xml:space="preserve"> </w:t>
      </w:r>
      <w:r w:rsidR="00C01ECC">
        <w:t xml:space="preserve">In this </w:t>
      </w:r>
      <w:r w:rsidR="00395040">
        <w:t xml:space="preserve">Latin verse </w:t>
      </w:r>
      <w:r w:rsidR="00C01ECC">
        <w:t>version</w:t>
      </w:r>
      <w:r w:rsidR="002101FE">
        <w:t>, the mice hold a ‘</w:t>
      </w:r>
      <w:proofErr w:type="spellStart"/>
      <w:r w:rsidR="002101FE">
        <w:t>concilium</w:t>
      </w:r>
      <w:proofErr w:type="spellEnd"/>
      <w:r w:rsidR="002101FE">
        <w:t>’</w:t>
      </w:r>
      <w:r w:rsidR="005E5DA8">
        <w:t xml:space="preserve"> (</w:t>
      </w:r>
      <w:r w:rsidR="002101FE">
        <w:t>‘</w:t>
      </w:r>
      <w:proofErr w:type="spellStart"/>
      <w:r w:rsidR="002101FE">
        <w:t>parlement</w:t>
      </w:r>
      <w:proofErr w:type="spellEnd"/>
      <w:r w:rsidR="002101FE">
        <w:t>’</w:t>
      </w:r>
      <w:r w:rsidR="00C01ECC">
        <w:t xml:space="preserve"> in the French translation</w:t>
      </w:r>
      <w:r w:rsidR="005E5DA8">
        <w:t>)</w:t>
      </w:r>
      <w:r w:rsidR="00C01ECC">
        <w:t xml:space="preserve"> and decide to bell the cat to protect themselves.</w:t>
      </w:r>
      <w:r w:rsidR="00417C21">
        <w:rPr>
          <w:rStyle w:val="FootnoteReference"/>
        </w:rPr>
        <w:footnoteReference w:id="10"/>
      </w:r>
      <w:r w:rsidR="00417C21">
        <w:t xml:space="preserve"> </w:t>
      </w:r>
      <w:r w:rsidR="00C01ECC">
        <w:t xml:space="preserve">Pleased with their plan, they leave the assembly and are met </w:t>
      </w:r>
      <w:r w:rsidR="00395040">
        <w:t>by</w:t>
      </w:r>
      <w:r w:rsidR="00C01ECC">
        <w:t xml:space="preserve"> a wise, old mouse, </w:t>
      </w:r>
      <w:r w:rsidR="005E5DA8">
        <w:t>who asks for a report of the proceedings</w:t>
      </w:r>
      <w:r w:rsidR="00C01ECC">
        <w:t xml:space="preserve">. </w:t>
      </w:r>
      <w:r w:rsidR="00395040">
        <w:t>The wise mouse</w:t>
      </w:r>
      <w:r w:rsidR="00C01ECC">
        <w:t xml:space="preserve"> </w:t>
      </w:r>
      <w:r w:rsidR="005E5DA8">
        <w:t xml:space="preserve">then </w:t>
      </w:r>
      <w:r w:rsidR="00B92C02">
        <w:t>wonders</w:t>
      </w:r>
      <w:r w:rsidR="005E5DA8">
        <w:t xml:space="preserve"> </w:t>
      </w:r>
      <w:r w:rsidR="00C01ECC">
        <w:t xml:space="preserve">who, specifically, will be the one to bell the cat, and </w:t>
      </w:r>
      <w:r w:rsidR="00C01ECC" w:rsidRPr="00E630E2">
        <w:t xml:space="preserve">no one steps forward. The fable’s moral warns against passing laws which are then </w:t>
      </w:r>
      <w:r w:rsidR="009B0801" w:rsidRPr="00E630E2">
        <w:t>never executed</w:t>
      </w:r>
      <w:r w:rsidR="00417C21" w:rsidRPr="00E630E2">
        <w:t>.</w:t>
      </w:r>
      <w:r w:rsidR="00417C21">
        <w:t xml:space="preserve"> </w:t>
      </w:r>
    </w:p>
    <w:p w14:paraId="1498FA8E" w14:textId="77777777" w:rsidR="00A47D28" w:rsidRDefault="00417C21" w:rsidP="005E5DA8">
      <w:pPr>
        <w:ind w:firstLine="720"/>
      </w:pPr>
      <w:r>
        <w:t xml:space="preserve">The </w:t>
      </w:r>
      <w:proofErr w:type="spellStart"/>
      <w:r w:rsidRPr="00B84F3C">
        <w:rPr>
          <w:i/>
        </w:rPr>
        <w:t>Parabolae</w:t>
      </w:r>
      <w:proofErr w:type="spellEnd"/>
      <w:r>
        <w:t xml:space="preserve"> of the English preacher </w:t>
      </w:r>
      <w:proofErr w:type="spellStart"/>
      <w:r>
        <w:t>Odo</w:t>
      </w:r>
      <w:proofErr w:type="spellEnd"/>
      <w:r>
        <w:t xml:space="preserve"> of Cheriton, composed after 1225, have an almost identical version of the </w:t>
      </w:r>
      <w:r w:rsidR="004F18E9">
        <w:t>fable</w:t>
      </w:r>
      <w:r>
        <w:t>.</w:t>
      </w:r>
      <w:r w:rsidR="004F18E9">
        <w:t xml:space="preserve"> </w:t>
      </w:r>
      <w:r>
        <w:t>In this version</w:t>
      </w:r>
      <w:r w:rsidR="005D2678">
        <w:t>,</w:t>
      </w:r>
      <w:r w:rsidR="004F18E9">
        <w:t xml:space="preserve"> </w:t>
      </w:r>
      <w:r w:rsidR="00B81FB0">
        <w:t xml:space="preserve">however, </w:t>
      </w:r>
      <w:r w:rsidR="004F18E9">
        <w:t xml:space="preserve">the rodents’ </w:t>
      </w:r>
      <w:r w:rsidR="005E5DA8">
        <w:t>assembly</w:t>
      </w:r>
      <w:r w:rsidR="004F18E9">
        <w:t xml:space="preserve"> is allegorized </w:t>
      </w:r>
      <w:r w:rsidR="005D2678">
        <w:t>in the context of clerical</w:t>
      </w:r>
      <w:r w:rsidR="00B81FB0">
        <w:t>, rather than governmental</w:t>
      </w:r>
      <w:r w:rsidR="005D2678">
        <w:t xml:space="preserve"> abuses: clerks and monks, </w:t>
      </w:r>
      <w:proofErr w:type="spellStart"/>
      <w:r w:rsidR="005D2678">
        <w:t>Odo</w:t>
      </w:r>
      <w:proofErr w:type="spellEnd"/>
      <w:r w:rsidR="005D2678">
        <w:t xml:space="preserve"> tells us, decide to oppose an unsatisfactory bishop, prior, or abbot, but when it comes to </w:t>
      </w:r>
      <w:r w:rsidR="005E5DA8">
        <w:t>determining</w:t>
      </w:r>
      <w:r w:rsidR="005D2678">
        <w:t xml:space="preserve"> who will actually </w:t>
      </w:r>
      <w:r w:rsidR="00871D9C">
        <w:t>voice the grievances</w:t>
      </w:r>
      <w:r w:rsidR="005D2678">
        <w:t>, no o</w:t>
      </w:r>
      <w:r w:rsidR="002101FE">
        <w:t>ne is willing to come forward, ‘</w:t>
      </w:r>
      <w:r w:rsidR="005D2678">
        <w:t xml:space="preserve">et sic minores </w:t>
      </w:r>
      <w:proofErr w:type="spellStart"/>
      <w:r w:rsidR="005D2678">
        <w:t>permi</w:t>
      </w:r>
      <w:r w:rsidR="002101FE">
        <w:t>ttunt</w:t>
      </w:r>
      <w:proofErr w:type="spellEnd"/>
      <w:r w:rsidR="002101FE">
        <w:t xml:space="preserve"> </w:t>
      </w:r>
      <w:proofErr w:type="spellStart"/>
      <w:r w:rsidR="002101FE">
        <w:t>maiores</w:t>
      </w:r>
      <w:proofErr w:type="spellEnd"/>
      <w:r w:rsidR="002101FE">
        <w:t xml:space="preserve"> </w:t>
      </w:r>
      <w:proofErr w:type="spellStart"/>
      <w:r w:rsidR="002101FE">
        <w:t>uiuere</w:t>
      </w:r>
      <w:proofErr w:type="spellEnd"/>
      <w:r w:rsidR="002101FE">
        <w:t xml:space="preserve"> et </w:t>
      </w:r>
      <w:proofErr w:type="spellStart"/>
      <w:r w:rsidR="002101FE">
        <w:t>preesse</w:t>
      </w:r>
      <w:proofErr w:type="spellEnd"/>
      <w:r w:rsidR="002101FE">
        <w:t>’</w:t>
      </w:r>
      <w:r w:rsidR="005D2678">
        <w:t xml:space="preserve"> (and </w:t>
      </w:r>
      <w:r w:rsidR="00975142">
        <w:t>it is thus that men of lower station allow those higher up to live on and prevail over them</w:t>
      </w:r>
      <w:r w:rsidR="005D2678">
        <w:t>)</w:t>
      </w:r>
      <w:r w:rsidR="004F18E9">
        <w:t>.</w:t>
      </w:r>
      <w:r w:rsidR="004F18E9">
        <w:rPr>
          <w:rStyle w:val="FootnoteReference"/>
        </w:rPr>
        <w:footnoteReference w:id="11"/>
      </w:r>
      <w:r w:rsidR="004F18E9">
        <w:t xml:space="preserve"> </w:t>
      </w:r>
      <w:r w:rsidR="00871D9C">
        <w:t>A similar version</w:t>
      </w:r>
      <w:r w:rsidR="00395040">
        <w:t xml:space="preserve"> is found, in a slightly </w:t>
      </w:r>
      <w:r w:rsidR="00395040" w:rsidRPr="002171FC">
        <w:t>expanded treatmen</w:t>
      </w:r>
      <w:r w:rsidR="00871D9C" w:rsidRPr="002171FC">
        <w:t>t</w:t>
      </w:r>
      <w:r w:rsidR="004F18E9" w:rsidRPr="002171FC">
        <w:t xml:space="preserve">, in the </w:t>
      </w:r>
      <w:r w:rsidR="00871D9C" w:rsidRPr="002171FC">
        <w:rPr>
          <w:i/>
        </w:rPr>
        <w:t xml:space="preserve">Summa </w:t>
      </w:r>
      <w:proofErr w:type="spellStart"/>
      <w:r w:rsidR="00871D9C" w:rsidRPr="002171FC">
        <w:rPr>
          <w:i/>
        </w:rPr>
        <w:t>Praedicantium</w:t>
      </w:r>
      <w:proofErr w:type="spellEnd"/>
      <w:r w:rsidR="00871D9C" w:rsidRPr="002171FC">
        <w:t xml:space="preserve">, a </w:t>
      </w:r>
      <w:r w:rsidR="004F18E9" w:rsidRPr="002171FC">
        <w:t>compendium for preachers</w:t>
      </w:r>
      <w:r w:rsidR="00871D9C" w:rsidRPr="002171FC">
        <w:t xml:space="preserve"> composed by</w:t>
      </w:r>
      <w:r w:rsidR="004F18E9">
        <w:t xml:space="preserve"> </w:t>
      </w:r>
      <w:r w:rsidR="004F18E9" w:rsidRPr="002171FC">
        <w:t>John Bromyard, an English Dominican friar o</w:t>
      </w:r>
      <w:r w:rsidR="00395040" w:rsidRPr="002171FC">
        <w:t>f the early fourteenth century, where the moral also refers to</w:t>
      </w:r>
      <w:r w:rsidR="000B33AD">
        <w:t xml:space="preserve"> the</w:t>
      </w:r>
      <w:r w:rsidR="00395040" w:rsidRPr="002171FC">
        <w:t xml:space="preserve"> </w:t>
      </w:r>
      <w:r w:rsidR="002171FC" w:rsidRPr="002171FC">
        <w:t>uselessness of</w:t>
      </w:r>
      <w:r w:rsidR="000B33AD">
        <w:t xml:space="preserve"> projected but</w:t>
      </w:r>
      <w:r w:rsidR="002171FC" w:rsidRPr="002171FC">
        <w:t xml:space="preserve"> unexecuted counsel</w:t>
      </w:r>
      <w:r w:rsidR="00395040" w:rsidRPr="002171FC">
        <w:t>.</w:t>
      </w:r>
      <w:r w:rsidR="00871D9C" w:rsidRPr="002171FC">
        <w:rPr>
          <w:rStyle w:val="FootnoteReference"/>
        </w:rPr>
        <w:footnoteReference w:id="12"/>
      </w:r>
      <w:r w:rsidR="00395040" w:rsidRPr="002171FC">
        <w:t xml:space="preserve"> </w:t>
      </w:r>
      <w:r w:rsidR="005E5DA8" w:rsidRPr="002171FC">
        <w:t>The fable</w:t>
      </w:r>
      <w:r w:rsidR="00B81FB0" w:rsidRPr="002171FC">
        <w:t xml:space="preserve"> al</w:t>
      </w:r>
      <w:r w:rsidR="005E5DA8" w:rsidRPr="002171FC">
        <w:t>so</w:t>
      </w:r>
      <w:r w:rsidR="00344C64" w:rsidRPr="002171FC">
        <w:t xml:space="preserve"> occurs in</w:t>
      </w:r>
      <w:r w:rsidR="004F18E9" w:rsidRPr="002171FC">
        <w:t xml:space="preserve"> the </w:t>
      </w:r>
      <w:proofErr w:type="spellStart"/>
      <w:r w:rsidR="004F18E9" w:rsidRPr="002171FC">
        <w:rPr>
          <w:i/>
        </w:rPr>
        <w:t>Dialogus</w:t>
      </w:r>
      <w:proofErr w:type="spellEnd"/>
      <w:r w:rsidR="004F18E9" w:rsidRPr="00C53521">
        <w:rPr>
          <w:i/>
        </w:rPr>
        <w:t xml:space="preserve"> </w:t>
      </w:r>
      <w:proofErr w:type="spellStart"/>
      <w:r w:rsidR="004F18E9" w:rsidRPr="00C53521">
        <w:rPr>
          <w:i/>
        </w:rPr>
        <w:t>Creaturarum</w:t>
      </w:r>
      <w:proofErr w:type="spellEnd"/>
      <w:r w:rsidR="004F18E9">
        <w:t xml:space="preserve">, another Latin animal fable collection of the late fourteenth century, in which the </w:t>
      </w:r>
      <w:r w:rsidR="004F18E9" w:rsidRPr="00F00F06">
        <w:t xml:space="preserve">moral </w:t>
      </w:r>
      <w:r w:rsidR="000B33AD">
        <w:t xml:space="preserve">to the fable, in a version similar to the others, </w:t>
      </w:r>
      <w:r w:rsidR="00344C64" w:rsidRPr="00F00F06">
        <w:t>urges l</w:t>
      </w:r>
      <w:r w:rsidR="000B33AD">
        <w:t>ess talk and more direct action</w:t>
      </w:r>
      <w:r w:rsidR="004F18E9">
        <w:t>.</w:t>
      </w:r>
      <w:r w:rsidR="004F18E9">
        <w:rPr>
          <w:rStyle w:val="FootnoteReference"/>
        </w:rPr>
        <w:footnoteReference w:id="13"/>
      </w:r>
      <w:r w:rsidR="004F18E9">
        <w:t xml:space="preserve"> </w:t>
      </w:r>
    </w:p>
    <w:p w14:paraId="4BD0C8CA" w14:textId="77777777" w:rsidR="00871D9C" w:rsidRDefault="006C6301" w:rsidP="00871D9C">
      <w:pPr>
        <w:ind w:firstLine="720"/>
      </w:pPr>
      <w:r>
        <w:t>T</w:t>
      </w:r>
      <w:r w:rsidR="00871D9C">
        <w:t xml:space="preserve">he English Franciscan Nicholas </w:t>
      </w:r>
      <w:proofErr w:type="spellStart"/>
      <w:r w:rsidR="00871D9C">
        <w:t>Bozon’s</w:t>
      </w:r>
      <w:proofErr w:type="spellEnd"/>
      <w:r w:rsidR="00871D9C">
        <w:t xml:space="preserve"> rendition from the early fourteenth century, composed in macaronic Anglo-French</w:t>
      </w:r>
      <w:r>
        <w:t>, is the only one to have a slightly different version</w:t>
      </w:r>
      <w:r w:rsidR="00871D9C">
        <w:t>. It runs alon</w:t>
      </w:r>
      <w:r w:rsidR="002101FE">
        <w:t>g much the same lines, but the ‘who will bell the cat?’</w:t>
      </w:r>
      <w:r w:rsidR="00871D9C">
        <w:t xml:space="preserve"> question is generalized, rather than placed into t</w:t>
      </w:r>
      <w:r w:rsidR="006A3A89">
        <w:t xml:space="preserve">he mouth of a single rodent, and </w:t>
      </w:r>
      <w:r w:rsidR="00871D9C">
        <w:t>the creatures have an additional reason for be</w:t>
      </w:r>
      <w:r w:rsidR="002101FE">
        <w:t>lling</w:t>
      </w:r>
      <w:r w:rsidR="00871D9C">
        <w:t xml:space="preserve">: they intend </w:t>
      </w:r>
      <w:r w:rsidR="005E5DA8">
        <w:t xml:space="preserve">by it </w:t>
      </w:r>
      <w:r w:rsidR="000B33AD">
        <w:t xml:space="preserve">also to honor the feline, here </w:t>
      </w:r>
      <w:r w:rsidR="002101FE">
        <w:t>named ‘</w:t>
      </w:r>
      <w:r w:rsidR="005E5DA8">
        <w:t xml:space="preserve">Sir </w:t>
      </w:r>
      <w:proofErr w:type="spellStart"/>
      <w:r w:rsidR="005E5DA8">
        <w:t>Badde</w:t>
      </w:r>
      <w:proofErr w:type="spellEnd"/>
      <w:r w:rsidR="002101FE">
        <w:t>’</w:t>
      </w:r>
      <w:r w:rsidR="00A97841">
        <w:t>.</w:t>
      </w:r>
      <w:r w:rsidR="00BC75DD">
        <w:t xml:space="preserve"> </w:t>
      </w:r>
      <w:proofErr w:type="spellStart"/>
      <w:r w:rsidR="006A3A89">
        <w:t>Bozon</w:t>
      </w:r>
      <w:proofErr w:type="spellEnd"/>
      <w:r w:rsidR="006A3A89">
        <w:t xml:space="preserve"> </w:t>
      </w:r>
      <w:r w:rsidR="005E5DA8">
        <w:t>goes on to add</w:t>
      </w:r>
      <w:r w:rsidR="006A3A89">
        <w:t xml:space="preserve"> that, as a result of the rode</w:t>
      </w:r>
      <w:r w:rsidR="00B81FB0">
        <w:t>nts’ inaction, the cat continues</w:t>
      </w:r>
      <w:r w:rsidR="006A3A89">
        <w:t xml:space="preserve"> to terrorize</w:t>
      </w:r>
      <w:r w:rsidR="005E5DA8">
        <w:t xml:space="preserve"> them</w:t>
      </w:r>
      <w:r w:rsidR="006A3A89">
        <w:t xml:space="preserve">. </w:t>
      </w:r>
      <w:proofErr w:type="spellStart"/>
      <w:r w:rsidR="006A3A89">
        <w:t>Bozon’s</w:t>
      </w:r>
      <w:proofErr w:type="spellEnd"/>
      <w:r w:rsidR="006A3A89">
        <w:t xml:space="preserve"> version thus expresses the same idea as the other versions but </w:t>
      </w:r>
      <w:r w:rsidR="005E5DA8">
        <w:t>underscores</w:t>
      </w:r>
      <w:r w:rsidR="006A3A89">
        <w:t xml:space="preserve"> that the feline is ultimately unstoppable. </w:t>
      </w:r>
      <w:proofErr w:type="spellStart"/>
      <w:r w:rsidR="0003306D">
        <w:t>Bozon</w:t>
      </w:r>
      <w:proofErr w:type="spellEnd"/>
      <w:r w:rsidR="00F00F06">
        <w:t xml:space="preserve"> has his </w:t>
      </w:r>
      <w:r w:rsidR="00DA2653">
        <w:t>fab</w:t>
      </w:r>
      <w:r w:rsidR="002101FE">
        <w:t>le occur in a section entitled ‘</w:t>
      </w:r>
      <w:r w:rsidR="00DA2653">
        <w:t xml:space="preserve">contra </w:t>
      </w:r>
      <w:proofErr w:type="spellStart"/>
      <w:r w:rsidR="00DA2653">
        <w:t>pu</w:t>
      </w:r>
      <w:r w:rsidR="002101FE">
        <w:t>sillamines</w:t>
      </w:r>
      <w:proofErr w:type="spellEnd"/>
      <w:r w:rsidR="002101FE">
        <w:t xml:space="preserve"> </w:t>
      </w:r>
      <w:proofErr w:type="spellStart"/>
      <w:r w:rsidR="002101FE">
        <w:t>subditos</w:t>
      </w:r>
      <w:proofErr w:type="spellEnd"/>
      <w:r w:rsidR="002101FE">
        <w:t xml:space="preserve"> et </w:t>
      </w:r>
      <w:proofErr w:type="spellStart"/>
      <w:r w:rsidR="002101FE">
        <w:t>prelatos</w:t>
      </w:r>
      <w:proofErr w:type="spellEnd"/>
      <w:r w:rsidR="002101FE">
        <w:t>’</w:t>
      </w:r>
      <w:r w:rsidR="00DA2653">
        <w:t xml:space="preserve"> (against </w:t>
      </w:r>
      <w:r w:rsidR="002101FE">
        <w:t>cowardly subjects and prelates)</w:t>
      </w:r>
      <w:r w:rsidR="00DA2653">
        <w:t>.</w:t>
      </w:r>
      <w:r w:rsidR="000B33AD">
        <w:rPr>
          <w:rStyle w:val="FootnoteReference"/>
        </w:rPr>
        <w:footnoteReference w:id="14"/>
      </w:r>
      <w:r w:rsidR="009175BE">
        <w:t xml:space="preserve"> </w:t>
      </w:r>
    </w:p>
    <w:p w14:paraId="23B3D7DC" w14:textId="77777777" w:rsidR="006E0332" w:rsidRDefault="00953EA2" w:rsidP="000B33AD">
      <w:pPr>
        <w:ind w:firstLine="720"/>
      </w:pPr>
      <w:r>
        <w:t>These are</w:t>
      </w:r>
      <w:r w:rsidR="004F18E9">
        <w:t xml:space="preserve"> the</w:t>
      </w:r>
      <w:r>
        <w:t xml:space="preserve"> known</w:t>
      </w:r>
      <w:r w:rsidR="004F18E9">
        <w:t xml:space="preserve"> sources and analogues for the fable that would have been available to La</w:t>
      </w:r>
      <w:r w:rsidR="005B6B8B">
        <w:t>ngla</w:t>
      </w:r>
      <w:r w:rsidR="005E5DA8">
        <w:t xml:space="preserve">nd, Brinton, and Deschamps. </w:t>
      </w:r>
      <w:proofErr w:type="spellStart"/>
      <w:r w:rsidR="005B6B8B">
        <w:t>Bozon’s</w:t>
      </w:r>
      <w:proofErr w:type="spellEnd"/>
      <w:r w:rsidR="005B6B8B">
        <w:t xml:space="preserve"> Anglo-French text is the outlier among them, while the rest seem to be </w:t>
      </w:r>
      <w:r w:rsidR="002101FE">
        <w:t>adaptations of the Latin verse ‘Esopus’</w:t>
      </w:r>
      <w:r w:rsidR="005B6B8B">
        <w:t xml:space="preserve"> tradition. It is interesting to note that three of these sources </w:t>
      </w:r>
      <w:r w:rsidR="005E5DA8">
        <w:t>were authored by English figures</w:t>
      </w:r>
      <w:r w:rsidR="005B6B8B">
        <w:t xml:space="preserve">: </w:t>
      </w:r>
      <w:proofErr w:type="spellStart"/>
      <w:r w:rsidR="005B6B8B">
        <w:t>Odo</w:t>
      </w:r>
      <w:proofErr w:type="spellEnd"/>
      <w:r w:rsidR="005B6B8B">
        <w:t xml:space="preserve">, </w:t>
      </w:r>
      <w:proofErr w:type="spellStart"/>
      <w:r w:rsidR="005B6B8B">
        <w:t>Bozon</w:t>
      </w:r>
      <w:proofErr w:type="spellEnd"/>
      <w:r w:rsidR="005B6B8B">
        <w:t xml:space="preserve">, and Bromyard. In each of these versions, however, the moral is not applying to any topical political event, though a tradition of applying it to issues of clerical and governmental abuses is evident. The choices of </w:t>
      </w:r>
      <w:r w:rsidR="008B09A9">
        <w:t>Deschamps, Brinton, and Langland</w:t>
      </w:r>
      <w:r w:rsidR="005B6B8B">
        <w:t xml:space="preserve"> to us</w:t>
      </w:r>
      <w:r w:rsidR="005E5DA8">
        <w:t>e the fable topically thus seem</w:t>
      </w:r>
      <w:r w:rsidR="005B6B8B">
        <w:t xml:space="preserve"> to be lying primarily with them. </w:t>
      </w:r>
    </w:p>
    <w:p w14:paraId="456CCAAB" w14:textId="77777777" w:rsidR="00AA7AA4" w:rsidRDefault="00AA7AA4" w:rsidP="000B33AD">
      <w:pPr>
        <w:ind w:firstLine="720"/>
      </w:pPr>
    </w:p>
    <w:p w14:paraId="79A7E15A" w14:textId="77777777" w:rsidR="006E0332" w:rsidRPr="000422B3" w:rsidRDefault="00FB3EAE" w:rsidP="006E0332">
      <w:pPr>
        <w:rPr>
          <w:b/>
        </w:rPr>
      </w:pPr>
      <w:r>
        <w:rPr>
          <w:b/>
        </w:rPr>
        <w:lastRenderedPageBreak/>
        <w:t>I</w:t>
      </w:r>
      <w:r w:rsidR="006E0332">
        <w:rPr>
          <w:b/>
        </w:rPr>
        <w:t>I</w:t>
      </w:r>
      <w:r w:rsidR="004F0CE4">
        <w:rPr>
          <w:b/>
        </w:rPr>
        <w:t xml:space="preserve">. Deschamps’s “Merveilleux </w:t>
      </w:r>
      <w:proofErr w:type="spellStart"/>
      <w:r w:rsidR="004F0CE4">
        <w:rPr>
          <w:b/>
        </w:rPr>
        <w:t>Parlement</w:t>
      </w:r>
      <w:proofErr w:type="spellEnd"/>
      <w:r w:rsidR="004F0CE4">
        <w:rPr>
          <w:b/>
        </w:rPr>
        <w:t xml:space="preserve">” and Crossing the Channel </w:t>
      </w:r>
    </w:p>
    <w:p w14:paraId="387D34BA" w14:textId="77777777" w:rsidR="006E0332" w:rsidRDefault="006E0332" w:rsidP="006E0332"/>
    <w:p w14:paraId="365CA74D" w14:textId="77777777" w:rsidR="002C4D43" w:rsidRDefault="002101FE" w:rsidP="002C4D43">
      <w:pPr>
        <w:ind w:firstLine="720"/>
      </w:pPr>
      <w:r>
        <w:t>Of our</w:t>
      </w:r>
      <w:r w:rsidR="008B09A9">
        <w:t xml:space="preserve"> three</w:t>
      </w:r>
      <w:r>
        <w:t xml:space="preserve"> authors</w:t>
      </w:r>
      <w:r w:rsidR="008B09A9">
        <w:t xml:space="preserve">, Deschamps’s use of the fable is the one that most immediately announces its connection to cross-Channel wartime concerns. </w:t>
      </w:r>
      <w:r w:rsidR="008B3238">
        <w:t>Ballade 58</w:t>
      </w:r>
      <w:r w:rsidR="002C4D43">
        <w:t xml:space="preserve"> gives the fable in </w:t>
      </w:r>
      <w:r w:rsidR="008B09A9">
        <w:t>a ver</w:t>
      </w:r>
      <w:r>
        <w:t>sion consistent with the Latin ‘</w:t>
      </w:r>
      <w:r w:rsidR="008B09A9">
        <w:t>Esopus</w:t>
      </w:r>
      <w:r>
        <w:t>’</w:t>
      </w:r>
      <w:r w:rsidR="002C4D43">
        <w:t>,</w:t>
      </w:r>
      <w:r>
        <w:t xml:space="preserve"> in which Deschamps’ mice hold a ‘</w:t>
      </w:r>
      <w:r w:rsidR="002C4D43">
        <w:t>merveilleu</w:t>
      </w:r>
      <w:r>
        <w:t xml:space="preserve">x </w:t>
      </w:r>
      <w:proofErr w:type="spellStart"/>
      <w:r>
        <w:t>parlement</w:t>
      </w:r>
      <w:proofErr w:type="spellEnd"/>
      <w:r>
        <w:t>’</w:t>
      </w:r>
      <w:r w:rsidR="002C4D43">
        <w:t xml:space="preserve"> (l. 2); the</w:t>
      </w:r>
      <w:r>
        <w:t xml:space="preserve"> refrain to the whole lyric is ‘qui </w:t>
      </w:r>
      <w:proofErr w:type="spellStart"/>
      <w:r>
        <w:t>pendra</w:t>
      </w:r>
      <w:proofErr w:type="spellEnd"/>
      <w:r>
        <w:t xml:space="preserve"> la </w:t>
      </w:r>
      <w:proofErr w:type="spellStart"/>
      <w:r>
        <w:t>sonnette</w:t>
      </w:r>
      <w:proofErr w:type="spellEnd"/>
      <w:r>
        <w:t xml:space="preserve"> au chat’</w:t>
      </w:r>
      <w:r w:rsidR="002C4D43">
        <w:t xml:space="preserve"> (who will bell the cat). The ballade conclude</w:t>
      </w:r>
      <w:r>
        <w:t>s with an envoy addressed to a ‘prince’</w:t>
      </w:r>
      <w:r w:rsidR="002C4D43">
        <w:t xml:space="preserve"> about the importance of executing counsel</w:t>
      </w:r>
      <w:r w:rsidR="006E0332">
        <w:t>.</w:t>
      </w:r>
      <w:r w:rsidR="006E0332">
        <w:rPr>
          <w:rStyle w:val="FootnoteReference"/>
        </w:rPr>
        <w:footnoteReference w:id="15"/>
      </w:r>
      <w:r w:rsidR="006E0332">
        <w:t xml:space="preserve"> </w:t>
      </w:r>
      <w:r w:rsidR="002C4D43">
        <w:t xml:space="preserve">Deschamps develops the same </w:t>
      </w:r>
      <w:r w:rsidR="000B33AD">
        <w:t>idea</w:t>
      </w:r>
      <w:r w:rsidR="002C4D43">
        <w:t xml:space="preserve"> more fully in </w:t>
      </w:r>
      <w:r w:rsidR="008B3238">
        <w:t>Ballade 1085</w:t>
      </w:r>
      <w:r w:rsidR="002C4D43">
        <w:t xml:space="preserve">, </w:t>
      </w:r>
      <w:r>
        <w:t>also ending with an envoy to a ‘</w:t>
      </w:r>
      <w:r w:rsidR="002C4D43">
        <w:t>prince</w:t>
      </w:r>
      <w:r>
        <w:t>’,</w:t>
      </w:r>
      <w:r w:rsidR="002C4D43">
        <w:t xml:space="preserve"> in which he references belling the cat in passing as an allegory for his larger meaning.</w:t>
      </w:r>
      <w:r w:rsidR="002C4D43">
        <w:rPr>
          <w:rStyle w:val="FootnoteReference"/>
        </w:rPr>
        <w:footnoteReference w:id="16"/>
      </w:r>
      <w:r w:rsidR="002C4D43">
        <w:t xml:space="preserve"> These two treatments demonstrate Deschamps’ </w:t>
      </w:r>
      <w:r w:rsidR="00101A56">
        <w:t xml:space="preserve">familiarity with the interpretation of the fable as a call to action, observable </w:t>
      </w:r>
      <w:r>
        <w:t>in the Latin ‘Esopus’,</w:t>
      </w:r>
      <w:r w:rsidR="00101A56">
        <w:t xml:space="preserve"> </w:t>
      </w:r>
      <w:r>
        <w:t xml:space="preserve">its French translation, as well as in </w:t>
      </w:r>
      <w:proofErr w:type="spellStart"/>
      <w:r w:rsidR="00101A56">
        <w:t>Odo</w:t>
      </w:r>
      <w:proofErr w:type="spellEnd"/>
      <w:r w:rsidR="00101A56">
        <w:t xml:space="preserve">, Bromyard, and the </w:t>
      </w:r>
      <w:proofErr w:type="spellStart"/>
      <w:r w:rsidR="00101A56" w:rsidRPr="00101A56">
        <w:rPr>
          <w:i/>
        </w:rPr>
        <w:t>Dialogus</w:t>
      </w:r>
      <w:proofErr w:type="spellEnd"/>
      <w:r w:rsidR="00101A56" w:rsidRPr="00101A56">
        <w:rPr>
          <w:i/>
        </w:rPr>
        <w:t xml:space="preserve"> </w:t>
      </w:r>
      <w:proofErr w:type="spellStart"/>
      <w:r w:rsidR="00101A56" w:rsidRPr="00101A56">
        <w:rPr>
          <w:i/>
        </w:rPr>
        <w:t>Creaturarum</w:t>
      </w:r>
      <w:proofErr w:type="spellEnd"/>
      <w:r w:rsidR="00101A56">
        <w:t xml:space="preserve">. </w:t>
      </w:r>
    </w:p>
    <w:p w14:paraId="1B8B05BF" w14:textId="77777777" w:rsidR="008B3238" w:rsidRDefault="00101A56" w:rsidP="007163C9">
      <w:pPr>
        <w:ind w:firstLine="720"/>
      </w:pPr>
      <w:r>
        <w:t>Deschamps also, however, allude</w:t>
      </w:r>
      <w:r w:rsidR="002101FE">
        <w:t>s</w:t>
      </w:r>
      <w:r>
        <w:t xml:space="preserve"> to the fable indirectly in one of his political beast allegories that forms part of a larger cluster of war lyrics, in which Deschamps </w:t>
      </w:r>
      <w:r w:rsidR="000B33AD">
        <w:t>calls upon</w:t>
      </w:r>
      <w:r w:rsidR="008B3238">
        <w:t xml:space="preserve"> the French to cross the Channel in order to conquer </w:t>
      </w:r>
      <w:r w:rsidR="00EE00CE">
        <w:t>England</w:t>
      </w:r>
      <w:r w:rsidR="008B3238">
        <w:t xml:space="preserve"> and finally bring an end to the interminable war.</w:t>
      </w:r>
      <w:r w:rsidR="008B3238">
        <w:rPr>
          <w:rStyle w:val="FootnoteReference"/>
        </w:rPr>
        <w:footnoteReference w:id="17"/>
      </w:r>
      <w:r w:rsidR="008B3238">
        <w:t xml:space="preserve"> </w:t>
      </w:r>
      <w:r w:rsidR="0005479A">
        <w:t>In Ballade 1145, Deschamps exhorts the French not to balk before the threat of wind and frost (l. 5) and not to tarry any longer because waiting to fight in bad weather only increases fear in the heart of the soldiers. As he su</w:t>
      </w:r>
      <w:r w:rsidR="002101FE">
        <w:t>mmarizes in a punning refrain: ‘</w:t>
      </w:r>
      <w:r w:rsidR="0005479A">
        <w:t xml:space="preserve">Vaillant </w:t>
      </w:r>
      <w:proofErr w:type="spellStart"/>
      <w:r w:rsidR="0005479A">
        <w:t>cuer</w:t>
      </w:r>
      <w:proofErr w:type="spellEnd"/>
      <w:r w:rsidR="0005479A">
        <w:t xml:space="preserve"> </w:t>
      </w:r>
      <w:proofErr w:type="spellStart"/>
      <w:r w:rsidR="002101FE">
        <w:t>puet</w:t>
      </w:r>
      <w:proofErr w:type="spellEnd"/>
      <w:r w:rsidR="002101FE">
        <w:t xml:space="preserve"> </w:t>
      </w:r>
      <w:proofErr w:type="spellStart"/>
      <w:r w:rsidR="002101FE">
        <w:t>en</w:t>
      </w:r>
      <w:proofErr w:type="spellEnd"/>
      <w:r w:rsidR="002101FE">
        <w:t xml:space="preserve"> </w:t>
      </w:r>
      <w:proofErr w:type="spellStart"/>
      <w:r w:rsidR="002101FE">
        <w:t>tous</w:t>
      </w:r>
      <w:proofErr w:type="spellEnd"/>
      <w:r w:rsidR="002101FE">
        <w:t xml:space="preserve"> temps faire guerre’</w:t>
      </w:r>
      <w:r w:rsidR="0005479A">
        <w:t xml:space="preserve"> (a brave heart can wage war in all times/any kind of weather).</w:t>
      </w:r>
      <w:r w:rsidR="0005479A">
        <w:rPr>
          <w:rStyle w:val="FootnoteReference"/>
        </w:rPr>
        <w:footnoteReference w:id="18"/>
      </w:r>
      <w:r w:rsidR="0005479A">
        <w:t xml:space="preserve"> </w:t>
      </w:r>
      <w:r w:rsidR="003F6610">
        <w:t>In Ballade 253, meanwhile, Deschamps dramatizes Caesar’s invasion of Gaul, in which he has Caesar predict that c</w:t>
      </w:r>
      <w:r w:rsidR="000B33AD">
        <w:t xml:space="preserve">onquest will be easy because, </w:t>
      </w:r>
      <w:r w:rsidR="00D5595A">
        <w:t>as Caesar</w:t>
      </w:r>
      <w:r w:rsidR="003F6610">
        <w:t xml:space="preserve"> says in what </w:t>
      </w:r>
      <w:r w:rsidR="002101FE">
        <w:t>becomes the ballade’s refrain, ‘</w:t>
      </w:r>
      <w:r w:rsidR="003F6610">
        <w:t>Fran</w:t>
      </w:r>
      <w:r w:rsidR="003F6610">
        <w:rPr>
          <w:rFonts w:cs="Times New Roman"/>
        </w:rPr>
        <w:t>ç</w:t>
      </w:r>
      <w:r w:rsidR="003F6610">
        <w:t xml:space="preserve">ois </w:t>
      </w:r>
      <w:proofErr w:type="spellStart"/>
      <w:r w:rsidR="002101FE">
        <w:t>perdent</w:t>
      </w:r>
      <w:proofErr w:type="spellEnd"/>
      <w:r w:rsidR="002101FE">
        <w:t xml:space="preserve"> </w:t>
      </w:r>
      <w:proofErr w:type="spellStart"/>
      <w:r w:rsidR="002101FE">
        <w:t>leur</w:t>
      </w:r>
      <w:proofErr w:type="spellEnd"/>
      <w:r w:rsidR="002101FE">
        <w:t xml:space="preserve"> temps a </w:t>
      </w:r>
      <w:proofErr w:type="spellStart"/>
      <w:r w:rsidR="002101FE">
        <w:t>conseiller</w:t>
      </w:r>
      <w:proofErr w:type="spellEnd"/>
      <w:r w:rsidR="002101FE">
        <w:t>’</w:t>
      </w:r>
      <w:r w:rsidR="003F6610">
        <w:t xml:space="preserve"> (The French lose time in holding council). Caesar goes on to add that the French not </w:t>
      </w:r>
      <w:r w:rsidR="002101FE">
        <w:t>only debate in council too much, but they also</w:t>
      </w:r>
      <w:r w:rsidR="003F6610">
        <w:t xml:space="preserve"> do not put their deliberations </w:t>
      </w:r>
      <w:r w:rsidR="00EE00CE">
        <w:t>to</w:t>
      </w:r>
      <w:r w:rsidR="003F6610">
        <w:t xml:space="preserve"> any kind of action (ll. 15-16); thus, Deschamps warns, Gaul wa</w:t>
      </w:r>
      <w:r w:rsidR="002101FE">
        <w:t>s lost to Rome, for lack of an ‘</w:t>
      </w:r>
      <w:proofErr w:type="spellStart"/>
      <w:r w:rsidR="003F6610">
        <w:t>executeu</w:t>
      </w:r>
      <w:r w:rsidR="002101FE">
        <w:t>r</w:t>
      </w:r>
      <w:proofErr w:type="spellEnd"/>
      <w:r w:rsidR="002101FE">
        <w:t>’</w:t>
      </w:r>
      <w:r w:rsidR="003F6610">
        <w:t xml:space="preserve"> (l. 22: executor).</w:t>
      </w:r>
      <w:r w:rsidR="003F6610">
        <w:rPr>
          <w:rStyle w:val="FootnoteReference"/>
        </w:rPr>
        <w:footnoteReference w:id="19"/>
      </w:r>
      <w:r w:rsidR="00102E51">
        <w:t xml:space="preserve"> </w:t>
      </w:r>
    </w:p>
    <w:p w14:paraId="3F6842E2" w14:textId="77777777" w:rsidR="006E0332" w:rsidRDefault="00102E51" w:rsidP="00EE00CE">
      <w:pPr>
        <w:ind w:firstLine="720"/>
      </w:pPr>
      <w:r>
        <w:t>These themes, and their relevance to our subject, come to a head in Ballades 1059 and 1060, both beast allegor</w:t>
      </w:r>
      <w:r w:rsidR="00D5595A">
        <w:t>ies. In Ballade</w:t>
      </w:r>
      <w:r>
        <w:t xml:space="preserve"> 1059, the lion (representing France) orders his animal subjects to attack the leopard (England), but each animal </w:t>
      </w:r>
      <w:r w:rsidR="002101FE">
        <w:t xml:space="preserve">then </w:t>
      </w:r>
      <w:r>
        <w:t xml:space="preserve">offers a different reason for holding off on the attack: it is already winter (ll. 9-10), </w:t>
      </w:r>
      <w:r w:rsidR="0003306D">
        <w:t xml:space="preserve">the </w:t>
      </w:r>
      <w:r>
        <w:t>ships are dangerous (l. 12), there are not enough provisions (l. 13) or funds (l. 14). In the envoy, Deschamps exhorts the lion to provide his ar</w:t>
      </w:r>
      <w:r w:rsidR="0003306D">
        <w:t>mies with what they need for a successful</w:t>
      </w:r>
      <w:r>
        <w:t xml:space="preserve"> campaign.</w:t>
      </w:r>
      <w:r w:rsidR="00EE00CE">
        <w:rPr>
          <w:rStyle w:val="FootnoteReference"/>
        </w:rPr>
        <w:footnoteReference w:id="20"/>
      </w:r>
      <w:r w:rsidR="00D5595A">
        <w:t xml:space="preserve"> In Ballade</w:t>
      </w:r>
      <w:r>
        <w:t xml:space="preserve"> 1060,</w:t>
      </w:r>
      <w:r w:rsidR="006E0332">
        <w:t xml:space="preserve"> two sentries </w:t>
      </w:r>
      <w:r>
        <w:t>are looking</w:t>
      </w:r>
      <w:r w:rsidR="006E0332">
        <w:t xml:space="preserve"> down on a line of ten thousand rats and mice, huddled on the beach, gazing out over the water.</w:t>
      </w:r>
      <w:r w:rsidR="006E0332">
        <w:rPr>
          <w:rStyle w:val="FootnoteReference"/>
        </w:rPr>
        <w:footnoteReference w:id="21"/>
      </w:r>
      <w:r w:rsidR="006E0332">
        <w:t xml:space="preserve"> The sentries remark, with amazement, that the rats and mice, who </w:t>
      </w:r>
      <w:r w:rsidR="002F14FD">
        <w:t>usually</w:t>
      </w:r>
      <w:r w:rsidR="006E0332">
        <w:t xml:space="preserve"> fearlessly </w:t>
      </w:r>
      <w:r w:rsidR="002F14FD">
        <w:t>eat and</w:t>
      </w:r>
      <w:r w:rsidR="006E0332">
        <w:t xml:space="preserve"> pillage everything they find, are trembling with fear and refusing to swim. The sentries posit that the rodents’ demurral must be due </w:t>
      </w:r>
      <w:r w:rsidR="00D5595A">
        <w:t xml:space="preserve">to </w:t>
      </w:r>
      <w:r w:rsidR="006E0332">
        <w:t>the lack of provisions on their s</w:t>
      </w:r>
      <w:r w:rsidR="00EE00CE">
        <w:t xml:space="preserve">hips and the approach of winter. I.S. Laurie reads this whole cluster as a response to the failed plans for invading England from across the Channel in the seaside town of </w:t>
      </w:r>
      <w:proofErr w:type="spellStart"/>
      <w:r w:rsidR="00EE00CE">
        <w:t>Sluys</w:t>
      </w:r>
      <w:proofErr w:type="spellEnd"/>
      <w:r w:rsidR="00EE00CE">
        <w:t>. This was a campaign planned in 1385 and again in 1386, but it was plagued both times by lengthy delays and had to be abandoned due to loss of provisions and the approach of winter.</w:t>
      </w:r>
      <w:r w:rsidR="00EE00CE">
        <w:rPr>
          <w:rStyle w:val="FootnoteReference"/>
        </w:rPr>
        <w:footnoteReference w:id="22"/>
      </w:r>
      <w:r w:rsidR="00EE00CE">
        <w:t xml:space="preserve"> In such a way, Laurie argue</w:t>
      </w:r>
      <w:r w:rsidR="002F14FD">
        <w:t xml:space="preserve">s, </w:t>
      </w:r>
      <w:r w:rsidR="002F14FD">
        <w:lastRenderedPageBreak/>
        <w:t>Deschamps’ rendition of the ‘belling the cat’</w:t>
      </w:r>
      <w:r w:rsidR="00EE00CE">
        <w:t xml:space="preserve"> fable is </w:t>
      </w:r>
      <w:r w:rsidR="006E0332">
        <w:t xml:space="preserve">to be </w:t>
      </w:r>
      <w:r w:rsidR="00EE00CE">
        <w:t>understood in the context of this</w:t>
      </w:r>
      <w:r w:rsidR="006E0332">
        <w:t xml:space="preserve"> failed </w:t>
      </w:r>
      <w:proofErr w:type="spellStart"/>
      <w:r w:rsidR="006E0332">
        <w:t>Sluys</w:t>
      </w:r>
      <w:proofErr w:type="spellEnd"/>
      <w:r w:rsidR="006E0332">
        <w:t xml:space="preserve"> expedition, which would make </w:t>
      </w:r>
      <w:r w:rsidR="00D5595A">
        <w:t>Deschamps’ cat t</w:t>
      </w:r>
      <w:r w:rsidR="006E0332">
        <w:t>he king of England.</w:t>
      </w:r>
      <w:r w:rsidR="006E0332">
        <w:rPr>
          <w:rStyle w:val="FootnoteReference"/>
        </w:rPr>
        <w:footnoteReference w:id="23"/>
      </w:r>
      <w:r w:rsidR="00EE00CE">
        <w:t xml:space="preserve"> </w:t>
      </w:r>
    </w:p>
    <w:p w14:paraId="1DDAB16B" w14:textId="77777777" w:rsidR="00CD240C" w:rsidRDefault="00EE00CE" w:rsidP="004F18E9">
      <w:r>
        <w:tab/>
      </w:r>
      <w:r w:rsidR="00CD240C">
        <w:t>Deschamps is particularly troubled, throughout the cluster, by the failure of Charles VI, the figure behind his unnamed ‘prince’ and ‘lion’, to take decisive action</w:t>
      </w:r>
      <w:r w:rsidR="002C1CFF">
        <w:t>. Deschamps wants Charles VI to launch</w:t>
      </w:r>
      <w:r w:rsidR="00CD240C">
        <w:t xml:space="preserve"> a focused attack on English soil </w:t>
      </w:r>
      <w:r w:rsidR="002C1CFF">
        <w:t>in order to shift</w:t>
      </w:r>
      <w:r w:rsidR="00CD240C">
        <w:t xml:space="preserve"> the theater of war, which was taking place entirely on the Continent.</w:t>
      </w:r>
      <w:r w:rsidR="00CD240C">
        <w:rPr>
          <w:rStyle w:val="FootnoteReference"/>
        </w:rPr>
        <w:footnoteReference w:id="24"/>
      </w:r>
      <w:r w:rsidR="00CD240C">
        <w:t xml:space="preserve"> </w:t>
      </w:r>
      <w:r>
        <w:t xml:space="preserve">Deschamps thus offers the fable a </w:t>
      </w:r>
      <w:r w:rsidR="00CD240C">
        <w:t>readily</w:t>
      </w:r>
      <w:r>
        <w:t xml:space="preserve"> topical application, in which </w:t>
      </w:r>
      <w:r w:rsidR="00CD240C">
        <w:t>its</w:t>
      </w:r>
      <w:r>
        <w:t xml:space="preserve"> broader moral of </w:t>
      </w:r>
      <w:r w:rsidR="002F14FD">
        <w:t>taking direct action</w:t>
      </w:r>
      <w:r>
        <w:t xml:space="preserve"> is linked to France’s failure to execute a </w:t>
      </w:r>
      <w:r w:rsidR="002F14FD">
        <w:t xml:space="preserve">planned </w:t>
      </w:r>
      <w:r>
        <w:t xml:space="preserve">naval </w:t>
      </w:r>
      <w:r w:rsidR="00407A59">
        <w:t>invasion</w:t>
      </w:r>
      <w:r>
        <w:t xml:space="preserve"> that would, in Deschamps’ opinion, finally bring the lengthy war to its much desired </w:t>
      </w:r>
      <w:r w:rsidR="002F14FD">
        <w:t>conclusion</w:t>
      </w:r>
      <w:r>
        <w:t xml:space="preserve">. </w:t>
      </w:r>
    </w:p>
    <w:p w14:paraId="69D51D20" w14:textId="77777777" w:rsidR="00CD240C" w:rsidRDefault="00CD240C" w:rsidP="004F18E9"/>
    <w:p w14:paraId="2FCB4ADD" w14:textId="77777777" w:rsidR="009B0801" w:rsidRPr="00CD240C" w:rsidRDefault="009B0801" w:rsidP="004F18E9">
      <w:r w:rsidRPr="009B0801">
        <w:rPr>
          <w:b/>
        </w:rPr>
        <w:t>II</w:t>
      </w:r>
      <w:r w:rsidR="00FB3EAE">
        <w:rPr>
          <w:b/>
        </w:rPr>
        <w:t>I</w:t>
      </w:r>
      <w:r w:rsidRPr="009B0801">
        <w:rPr>
          <w:b/>
        </w:rPr>
        <w:t>. Langland’s Rodent Parliament</w:t>
      </w:r>
      <w:r w:rsidR="00901AFE">
        <w:rPr>
          <w:b/>
        </w:rPr>
        <w:t>, Thomas Brinton, and the Good Parliament of 1376</w:t>
      </w:r>
      <w:r w:rsidRPr="009B0801">
        <w:rPr>
          <w:b/>
        </w:rPr>
        <w:t xml:space="preserve"> </w:t>
      </w:r>
    </w:p>
    <w:p w14:paraId="2503CBE4" w14:textId="77777777" w:rsidR="00181132" w:rsidRDefault="00181132" w:rsidP="00355A85">
      <w:pPr>
        <w:ind w:firstLine="720"/>
      </w:pPr>
    </w:p>
    <w:p w14:paraId="1DB1A7DF" w14:textId="77777777" w:rsidR="0002561D" w:rsidRDefault="00CC4EC7" w:rsidP="0002561D">
      <w:pPr>
        <w:ind w:firstLine="720"/>
      </w:pPr>
      <w:r>
        <w:t>Langland’s topical use of the Rodent Parliament closely tracks with that of Thomas Brinton, Bishop of Rochester, who used it in a sermon delivered on May 18, 1376, while the Good Parliament was in session.</w:t>
      </w:r>
      <w:r>
        <w:rPr>
          <w:rStyle w:val="FootnoteReference"/>
        </w:rPr>
        <w:footnoteReference w:id="25"/>
      </w:r>
      <w:r>
        <w:t xml:space="preserve"> In his sermon, Brinton </w:t>
      </w:r>
      <w:r w:rsidR="009670D8">
        <w:t xml:space="preserve">laments Parliament’s practice of identifying legal misconduct and corruption but failing to execute measures to punish malefactors and </w:t>
      </w:r>
      <w:r w:rsidR="00CD240C">
        <w:t xml:space="preserve">to </w:t>
      </w:r>
      <w:r w:rsidR="009670D8">
        <w:t>cease abuses.</w:t>
      </w:r>
      <w:r w:rsidR="009670D8">
        <w:rPr>
          <w:rStyle w:val="FootnoteReference"/>
        </w:rPr>
        <w:footnoteReference w:id="26"/>
      </w:r>
      <w:r w:rsidR="009670D8">
        <w:t xml:space="preserve"> Brinton goes on to caution Parliament to avoid com</w:t>
      </w:r>
      <w:r w:rsidR="00BF27A9">
        <w:t>porting itself like the fabled ‘</w:t>
      </w:r>
      <w:r w:rsidR="009670D8">
        <w:t>parliament of rats and mice</w:t>
      </w:r>
      <w:r w:rsidR="00BF27A9">
        <w:t xml:space="preserve">’ and retells the fable in </w:t>
      </w:r>
      <w:r w:rsidR="00CD240C">
        <w:t>a</w:t>
      </w:r>
      <w:r w:rsidR="00BF27A9">
        <w:t xml:space="preserve"> </w:t>
      </w:r>
      <w:r w:rsidR="00F74688">
        <w:t>version con</w:t>
      </w:r>
      <w:r w:rsidR="00BF27A9">
        <w:t>sistent with that of the Latin ‘Esopus’</w:t>
      </w:r>
      <w:r w:rsidR="00F74688">
        <w:t>.</w:t>
      </w:r>
      <w:r w:rsidR="00F74688">
        <w:rPr>
          <w:rStyle w:val="FootnoteReference"/>
        </w:rPr>
        <w:footnoteReference w:id="27"/>
      </w:r>
      <w:r w:rsidR="00F74688">
        <w:t xml:space="preserve"> </w:t>
      </w:r>
      <w:r w:rsidR="009C0D39">
        <w:t xml:space="preserve">Brinton subsequently remarks on the parlous state of the realm, in which the king is in financial trouble while being governed by corrupt </w:t>
      </w:r>
      <w:r w:rsidR="006E0332">
        <w:t>counselors</w:t>
      </w:r>
      <w:r w:rsidR="009C0D39">
        <w:t xml:space="preserve"> who have illegall</w:t>
      </w:r>
      <w:r w:rsidR="00BF27A9">
        <w:t>y enriched themselves and in which ‘</w:t>
      </w:r>
      <w:r w:rsidR="009C0D39">
        <w:t>the keys of the kingdom should hang at the girdle of one woman</w:t>
      </w:r>
      <w:r w:rsidR="00BF27A9">
        <w:t>’.</w:t>
      </w:r>
      <w:r w:rsidR="009C0D39">
        <w:rPr>
          <w:rStyle w:val="FootnoteReference"/>
        </w:rPr>
        <w:footnoteReference w:id="28"/>
      </w:r>
      <w:r w:rsidR="009C0D39">
        <w:t xml:space="preserve"> His sermon is thus understood to</w:t>
      </w:r>
      <w:r w:rsidR="000D315B">
        <w:t xml:space="preserve"> be a direct exhortation</w:t>
      </w:r>
      <w:r w:rsidR="009C0D39">
        <w:t xml:space="preserve"> to the Good Parliament of 1376, </w:t>
      </w:r>
      <w:r w:rsidR="00AD7771">
        <w:t>at which the Commons had</w:t>
      </w:r>
      <w:r w:rsidR="000D315B">
        <w:t>,</w:t>
      </w:r>
      <w:r w:rsidR="00AD7771">
        <w:t xml:space="preserve"> </w:t>
      </w:r>
      <w:r w:rsidR="006E0332">
        <w:t>not a week</w:t>
      </w:r>
      <w:r w:rsidR="000D315B">
        <w:t xml:space="preserve"> before Brinton’s sermon, protested taxation, denounced Edward III’s advisory circle on charges of corruption, accused </w:t>
      </w:r>
      <w:r w:rsidR="005872EE">
        <w:t>William</w:t>
      </w:r>
      <w:r w:rsidR="000D315B">
        <w:t xml:space="preserve"> Latimer and Richard Lyons of war profiteering, and vilified Alice </w:t>
      </w:r>
      <w:proofErr w:type="spellStart"/>
      <w:r w:rsidR="000D315B">
        <w:t>Perrers</w:t>
      </w:r>
      <w:proofErr w:type="spellEnd"/>
      <w:r w:rsidR="000D315B">
        <w:t xml:space="preserve"> for accepting bribes.</w:t>
      </w:r>
      <w:r w:rsidR="000D315B">
        <w:rPr>
          <w:rStyle w:val="FootnoteReference"/>
        </w:rPr>
        <w:footnoteReference w:id="29"/>
      </w:r>
      <w:r w:rsidR="0002561D">
        <w:t xml:space="preserve"> </w:t>
      </w:r>
      <w:r w:rsidR="004C7C65">
        <w:t xml:space="preserve">Brinton </w:t>
      </w:r>
      <w:r w:rsidR="00485DCF">
        <w:t>was himself involved in</w:t>
      </w:r>
      <w:r w:rsidR="00CD240C">
        <w:t xml:space="preserve"> the Good Parliament: </w:t>
      </w:r>
      <w:r w:rsidR="004C7C65">
        <w:t xml:space="preserve">the </w:t>
      </w:r>
      <w:r w:rsidR="00485DCF" w:rsidRPr="00485DCF">
        <w:t>Parliament Rolls</w:t>
      </w:r>
      <w:r w:rsidR="00485DCF">
        <w:t xml:space="preserve"> list</w:t>
      </w:r>
      <w:r w:rsidR="00BF27A9">
        <w:t xml:space="preserve"> ‘</w:t>
      </w:r>
      <w:proofErr w:type="spellStart"/>
      <w:r w:rsidR="00873C5B">
        <w:t>L’e</w:t>
      </w:r>
      <w:r w:rsidR="00A11965" w:rsidRPr="00AD31BC">
        <w:t>vesq</w:t>
      </w:r>
      <w:r w:rsidR="00485DCF">
        <w:t>e</w:t>
      </w:r>
      <w:proofErr w:type="spellEnd"/>
      <w:r w:rsidR="00BF27A9">
        <w:t xml:space="preserve"> de </w:t>
      </w:r>
      <w:proofErr w:type="spellStart"/>
      <w:r w:rsidR="00BF27A9">
        <w:t>Roucestre</w:t>
      </w:r>
      <w:proofErr w:type="spellEnd"/>
      <w:r w:rsidR="00BF27A9">
        <w:t>’</w:t>
      </w:r>
      <w:r w:rsidR="00A11965">
        <w:t xml:space="preserve"> as </w:t>
      </w:r>
      <w:r w:rsidR="00485DCF">
        <w:t>a trier of petitions</w:t>
      </w:r>
      <w:r w:rsidR="00A11965">
        <w:t>.</w:t>
      </w:r>
      <w:r w:rsidR="00A11965">
        <w:rPr>
          <w:rStyle w:val="FootnoteReference"/>
        </w:rPr>
        <w:footnoteReference w:id="30"/>
      </w:r>
    </w:p>
    <w:p w14:paraId="4381D8C6" w14:textId="77777777" w:rsidR="00C07699" w:rsidRDefault="00BF27A9" w:rsidP="00F61BD5">
      <w:pPr>
        <w:ind w:firstLine="720"/>
      </w:pPr>
      <w:r>
        <w:t>Langland’s rendering of the ‘belling the cat’</w:t>
      </w:r>
      <w:r w:rsidR="00B06F13">
        <w:t xml:space="preserve"> fable is substantially different from that of Brinton</w:t>
      </w:r>
      <w:r w:rsidR="006E0332">
        <w:t>,</w:t>
      </w:r>
      <w:r w:rsidR="00A97841">
        <w:t xml:space="preserve"> as well as of Deschamps </w:t>
      </w:r>
      <w:r w:rsidR="00B06F13">
        <w:t xml:space="preserve">and the other available sources for the fable, </w:t>
      </w:r>
      <w:r w:rsidR="00B92C02">
        <w:t>though</w:t>
      </w:r>
      <w:r w:rsidR="00B06F13">
        <w:t xml:space="preserve"> it </w:t>
      </w:r>
      <w:r w:rsidR="006E0332">
        <w:t xml:space="preserve">too, like Brinton’s version, is </w:t>
      </w:r>
      <w:r w:rsidR="00AD7771">
        <w:t xml:space="preserve">evidently </w:t>
      </w:r>
      <w:r w:rsidR="00B06F13">
        <w:t xml:space="preserve">treating the </w:t>
      </w:r>
      <w:r w:rsidR="00B92C02">
        <w:t xml:space="preserve">events of the Good Parliament of 1376. </w:t>
      </w:r>
      <w:r w:rsidR="00C07699">
        <w:t xml:space="preserve">Langland’s Rodent Parliament episode is significantly </w:t>
      </w:r>
      <w:r w:rsidR="003557FC">
        <w:t xml:space="preserve">more extensive and features more figurative language, particularly in its </w:t>
      </w:r>
      <w:r w:rsidR="00C07699">
        <w:t>emphatic</w:t>
      </w:r>
      <w:r w:rsidR="003557FC">
        <w:t xml:space="preserve"> description of the cat’s vicious</w:t>
      </w:r>
      <w:r w:rsidR="00C07699">
        <w:t>ly callous</w:t>
      </w:r>
      <w:r w:rsidR="003557FC">
        <w:t xml:space="preserve"> </w:t>
      </w:r>
      <w:r w:rsidR="00C07699">
        <w:t>torment of the rodents</w:t>
      </w:r>
      <w:r w:rsidR="00A97841">
        <w:t xml:space="preserve"> (B. </w:t>
      </w:r>
      <w:proofErr w:type="spellStart"/>
      <w:r w:rsidR="00A97841">
        <w:t>Plg</w:t>
      </w:r>
      <w:proofErr w:type="spellEnd"/>
      <w:r w:rsidR="00A97841">
        <w:t>. 149-55</w:t>
      </w:r>
      <w:r w:rsidR="003557FC">
        <w:t xml:space="preserve">). </w:t>
      </w:r>
      <w:r w:rsidR="0025109A">
        <w:t>Again</w:t>
      </w:r>
      <w:r w:rsidR="00C07699">
        <w:t>,</w:t>
      </w:r>
      <w:r w:rsidR="0025109A">
        <w:t xml:space="preserve"> as elsewhere,</w:t>
      </w:r>
      <w:r w:rsidR="00C07699">
        <w:t xml:space="preserve"> no rodent dares come forward to bell the cat, but the inaction is generalized, as in </w:t>
      </w:r>
      <w:proofErr w:type="spellStart"/>
      <w:r w:rsidR="00C07699">
        <w:t>Bozon’s</w:t>
      </w:r>
      <w:proofErr w:type="spellEnd"/>
      <w:r w:rsidR="00C07699">
        <w:t xml:space="preserve"> version. </w:t>
      </w:r>
      <w:r w:rsidR="003557FC">
        <w:t>The</w:t>
      </w:r>
      <w:r w:rsidR="00C07699">
        <w:t>re is a lone,</w:t>
      </w:r>
      <w:r w:rsidR="003557FC">
        <w:t xml:space="preserve"> final speaker in the episode, </w:t>
      </w:r>
      <w:r w:rsidR="00C07699">
        <w:t>a</w:t>
      </w:r>
      <w:r>
        <w:t xml:space="preserve"> mouse ‘</w:t>
      </w:r>
      <w:r w:rsidR="003557FC">
        <w:t xml:space="preserve">that much good </w:t>
      </w:r>
      <w:proofErr w:type="spellStart"/>
      <w:r w:rsidR="003557FC">
        <w:t>kouthe</w:t>
      </w:r>
      <w:proofErr w:type="spellEnd"/>
      <w:r w:rsidR="003557FC">
        <w:t>, a</w:t>
      </w:r>
      <w:r w:rsidR="00A97841">
        <w:t xml:space="preserve">s me </w:t>
      </w:r>
      <w:proofErr w:type="spellStart"/>
      <w:r w:rsidR="00A97841">
        <w:t>tho</w:t>
      </w:r>
      <w:proofErr w:type="spellEnd"/>
      <w:r w:rsidR="00A97841">
        <w:t xml:space="preserve"> </w:t>
      </w:r>
      <w:proofErr w:type="spellStart"/>
      <w:r w:rsidR="00A97841">
        <w:t>though</w:t>
      </w:r>
      <w:r>
        <w:t>te</w:t>
      </w:r>
      <w:proofErr w:type="spellEnd"/>
      <w:r>
        <w:t>’</w:t>
      </w:r>
      <w:r w:rsidR="00A97841">
        <w:t xml:space="preserve"> (B. </w:t>
      </w:r>
      <w:proofErr w:type="spellStart"/>
      <w:r w:rsidR="00A97841">
        <w:t>Plg</w:t>
      </w:r>
      <w:proofErr w:type="spellEnd"/>
      <w:r w:rsidR="00A97841">
        <w:t>. 182</w:t>
      </w:r>
      <w:r w:rsidR="003557FC">
        <w:t xml:space="preserve">), </w:t>
      </w:r>
      <w:r w:rsidR="00A97841">
        <w:t>but its advice to the other rodents</w:t>
      </w:r>
      <w:r w:rsidR="00C07699">
        <w:t xml:space="preserve"> is markedly different</w:t>
      </w:r>
      <w:r w:rsidR="0025109A">
        <w:t xml:space="preserve"> from the discourse of the wise old mouse in the other sources</w:t>
      </w:r>
      <w:r w:rsidR="00C07699">
        <w:t>. Rather than chide the rodents for failing to bell the cat, Langland’s mouse instead admonishes them for the</w:t>
      </w:r>
      <w:r w:rsidR="00E13849">
        <w:t xml:space="preserve">ir folly in attempting to do so: even if you get rid of one cat, </w:t>
      </w:r>
      <w:r>
        <w:t>more will come</w:t>
      </w:r>
      <w:r w:rsidR="00E13849">
        <w:t xml:space="preserve">, the mouse says; it is </w:t>
      </w:r>
      <w:r w:rsidR="001113AD">
        <w:lastRenderedPageBreak/>
        <w:t xml:space="preserve">therefore </w:t>
      </w:r>
      <w:r w:rsidR="00E13849">
        <w:t xml:space="preserve">better to </w:t>
      </w:r>
      <w:r w:rsidR="0022404D">
        <w:t>maintain</w:t>
      </w:r>
      <w:r w:rsidR="00E13849">
        <w:t xml:space="preserve"> the present situation and </w:t>
      </w:r>
      <w:r w:rsidR="006E0332">
        <w:t xml:space="preserve">to let the cat snack on </w:t>
      </w:r>
      <w:r w:rsidR="00E13849">
        <w:t>rabbits, rather than risk incurring his displeasure</w:t>
      </w:r>
      <w:r w:rsidR="001113AD">
        <w:t xml:space="preserve">, particularly since the </w:t>
      </w:r>
      <w:r w:rsidR="00F61BD5">
        <w:t>rodents</w:t>
      </w:r>
      <w:r w:rsidR="001113AD">
        <w:t xml:space="preserve"> are unable to self-govern anyways (B. </w:t>
      </w:r>
      <w:proofErr w:type="spellStart"/>
      <w:r w:rsidR="0010694B">
        <w:t>Plg</w:t>
      </w:r>
      <w:proofErr w:type="spellEnd"/>
      <w:r w:rsidR="0010694B">
        <w:t>. 185-201</w:t>
      </w:r>
      <w:r w:rsidR="001113AD">
        <w:t xml:space="preserve">). </w:t>
      </w:r>
    </w:p>
    <w:p w14:paraId="6765F7B3" w14:textId="77777777" w:rsidR="00AD7771" w:rsidRDefault="00F61BD5" w:rsidP="00F61BD5">
      <w:pPr>
        <w:ind w:firstLine="720"/>
      </w:pPr>
      <w:r>
        <w:t xml:space="preserve">Scholars have tended to agree that Brinton must be Langland’s most </w:t>
      </w:r>
      <w:r w:rsidR="0022404D">
        <w:t>immediate</w:t>
      </w:r>
      <w:r>
        <w:t xml:space="preserve"> source for using the fable in this context.</w:t>
      </w:r>
      <w:r>
        <w:rPr>
          <w:rStyle w:val="FootnoteReference"/>
        </w:rPr>
        <w:footnoteReference w:id="31"/>
      </w:r>
      <w:r>
        <w:t xml:space="preserve"> Ralph Hanna, however, points out that, im</w:t>
      </w:r>
      <w:r w:rsidR="00BF27A9">
        <w:t>mediately after retelling the ‘</w:t>
      </w:r>
      <w:r>
        <w:t>bellin</w:t>
      </w:r>
      <w:r w:rsidR="0095286F">
        <w:t>g</w:t>
      </w:r>
      <w:r w:rsidR="00BF27A9">
        <w:t xml:space="preserve"> the cat’</w:t>
      </w:r>
      <w:r w:rsidR="0095286F">
        <w:t xml:space="preserve"> fable, Brinton offers the </w:t>
      </w:r>
      <w:r w:rsidR="00BF27A9">
        <w:t>advice</w:t>
      </w:r>
      <w:r w:rsidR="0095286F">
        <w:t xml:space="preserve"> </w:t>
      </w:r>
      <w:r w:rsidR="00BF27A9">
        <w:t>‘</w:t>
      </w:r>
      <w:proofErr w:type="spellStart"/>
      <w:r w:rsidR="00BF27A9">
        <w:t>Benefac</w:t>
      </w:r>
      <w:proofErr w:type="spellEnd"/>
      <w:r w:rsidR="00BF27A9">
        <w:t xml:space="preserve"> et bene </w:t>
      </w:r>
      <w:proofErr w:type="spellStart"/>
      <w:r w:rsidR="00BF27A9">
        <w:t>habe</w:t>
      </w:r>
      <w:proofErr w:type="spellEnd"/>
      <w:r w:rsidR="00BF27A9">
        <w:t>’</w:t>
      </w:r>
      <w:r>
        <w:t xml:space="preserve"> (do well and have well), the very same phrase </w:t>
      </w:r>
      <w:r w:rsidR="00BF27A9">
        <w:t>given</w:t>
      </w:r>
      <w:r>
        <w:t xml:space="preserve"> by the priest </w:t>
      </w:r>
      <w:r w:rsidR="00BF27A9">
        <w:t xml:space="preserve">to Piers as a </w:t>
      </w:r>
      <w:proofErr w:type="spellStart"/>
      <w:r w:rsidR="00BF27A9">
        <w:t>vernacularization</w:t>
      </w:r>
      <w:proofErr w:type="spellEnd"/>
      <w:r w:rsidR="00BF27A9">
        <w:t xml:space="preserve"> of what is wri</w:t>
      </w:r>
      <w:r w:rsidR="004F0997">
        <w:t>tten on the Pardon (B.7. 112</w:t>
      </w:r>
      <w:r w:rsidR="00BF27A9">
        <w:t>). ‘</w:t>
      </w:r>
      <w:proofErr w:type="spellStart"/>
      <w:r>
        <w:t>Benefac</w:t>
      </w:r>
      <w:proofErr w:type="spellEnd"/>
      <w:r>
        <w:t xml:space="preserve"> et bene </w:t>
      </w:r>
      <w:proofErr w:type="spellStart"/>
      <w:r>
        <w:t>habe</w:t>
      </w:r>
      <w:proofErr w:type="spellEnd"/>
      <w:r w:rsidR="00BF27A9">
        <w:t>’,</w:t>
      </w:r>
      <w:r w:rsidR="006E0332">
        <w:t xml:space="preserve"> </w:t>
      </w:r>
      <w:r>
        <w:t>Hanna argues, is an uncommon formulation, appearing otherwise only in London, British Library, MS Egerton 613, a thirteenth-century devotional tract; he thus suggests that Brinton may have picked up the fable from reading Langland, rather than the other way around.</w:t>
      </w:r>
      <w:r>
        <w:rPr>
          <w:rStyle w:val="FootnoteReference"/>
        </w:rPr>
        <w:footnoteReference w:id="32"/>
      </w:r>
      <w:r>
        <w:t xml:space="preserve"> </w:t>
      </w:r>
    </w:p>
    <w:p w14:paraId="4DDC6AB7" w14:textId="77777777" w:rsidR="00F61BD5" w:rsidRDefault="00F61BD5" w:rsidP="00AD7771">
      <w:pPr>
        <w:ind w:firstLine="720"/>
      </w:pPr>
      <w:r>
        <w:t xml:space="preserve">Brinton’s rendering, </w:t>
      </w:r>
      <w:r w:rsidR="00AD7771">
        <w:t>moreover</w:t>
      </w:r>
      <w:r>
        <w:t xml:space="preserve">, as we can see, owes </w:t>
      </w:r>
      <w:r w:rsidR="0025109A">
        <w:t xml:space="preserve">a clear </w:t>
      </w:r>
      <w:r>
        <w:t xml:space="preserve">literary debt </w:t>
      </w:r>
      <w:r w:rsidR="00BF27A9">
        <w:t>to the Latin ‘Esopus’</w:t>
      </w:r>
      <w:r w:rsidR="00CD240C">
        <w:t xml:space="preserve">. That of Langland </w:t>
      </w:r>
      <w:r w:rsidR="009175BE">
        <w:t>seems to be</w:t>
      </w:r>
      <w:r w:rsidR="008D7DDC">
        <w:t xml:space="preserve"> a more hybrid product. On the one hand</w:t>
      </w:r>
      <w:r w:rsidR="00070D13">
        <w:t>, the presence of the lone</w:t>
      </w:r>
      <w:r w:rsidR="008D7DDC">
        <w:t xml:space="preserve"> mouse at the end recalls th</w:t>
      </w:r>
      <w:r w:rsidR="00070D13">
        <w:t>e wise</w:t>
      </w:r>
      <w:r w:rsidR="00BF27A9">
        <w:t xml:space="preserve"> old mouse of the Latin ‘Esopus’</w:t>
      </w:r>
      <w:r w:rsidR="00C209C3">
        <w:t>. The lone mouse’s defeatist p</w:t>
      </w:r>
      <w:r w:rsidR="00AD7771">
        <w:t xml:space="preserve">osition, however, </w:t>
      </w:r>
      <w:r w:rsidR="00EE211B">
        <w:t>rather</w:t>
      </w:r>
      <w:r w:rsidR="00AD7771">
        <w:t xml:space="preserve"> </w:t>
      </w:r>
      <w:r w:rsidR="0025109A">
        <w:t>echoes</w:t>
      </w:r>
      <w:r w:rsidR="00C209C3">
        <w:t xml:space="preserve"> the pessimistic outlook of </w:t>
      </w:r>
      <w:proofErr w:type="spellStart"/>
      <w:r w:rsidR="00C209C3">
        <w:t>Bozon’s</w:t>
      </w:r>
      <w:proofErr w:type="spellEnd"/>
      <w:r w:rsidR="00C209C3">
        <w:t xml:space="preserve"> rendition. Elizabeth </w:t>
      </w:r>
      <w:proofErr w:type="spellStart"/>
      <w:r w:rsidR="00C209C3">
        <w:t>Orsten</w:t>
      </w:r>
      <w:proofErr w:type="spellEnd"/>
      <w:r w:rsidR="00C209C3">
        <w:t xml:space="preserve"> has already noted that Langland’s rodents’ association of the belled collar they intend to put on the c</w:t>
      </w:r>
      <w:r w:rsidR="00BF27A9">
        <w:t>at with the Londoners who wear ‘</w:t>
      </w:r>
      <w:proofErr w:type="spellStart"/>
      <w:r w:rsidR="00C209C3">
        <w:t>be</w:t>
      </w:r>
      <w:r w:rsidR="00BF27A9">
        <w:t>ighes</w:t>
      </w:r>
      <w:proofErr w:type="spellEnd"/>
      <w:r w:rsidR="00BF27A9">
        <w:t xml:space="preserve"> </w:t>
      </w:r>
      <w:proofErr w:type="spellStart"/>
      <w:r w:rsidR="00BF27A9">
        <w:t>ful</w:t>
      </w:r>
      <w:proofErr w:type="spellEnd"/>
      <w:r w:rsidR="00BF27A9">
        <w:t xml:space="preserve"> </w:t>
      </w:r>
      <w:proofErr w:type="spellStart"/>
      <w:r w:rsidR="00BF27A9">
        <w:t>brighte</w:t>
      </w:r>
      <w:proofErr w:type="spellEnd"/>
      <w:r w:rsidR="00BF27A9">
        <w:t>’</w:t>
      </w:r>
      <w:r w:rsidR="00C209C3">
        <w:t xml:space="preserve"> (</w:t>
      </w:r>
      <w:proofErr w:type="spellStart"/>
      <w:r w:rsidR="00C209C3">
        <w:t>B.</w:t>
      </w:r>
      <w:r w:rsidR="004F0997">
        <w:t>Plg</w:t>
      </w:r>
      <w:proofErr w:type="spellEnd"/>
      <w:r w:rsidR="004F0997">
        <w:t>.</w:t>
      </w:r>
      <w:r w:rsidR="00C209C3">
        <w:t xml:space="preserve"> 161) speaks to </w:t>
      </w:r>
      <w:proofErr w:type="spellStart"/>
      <w:r w:rsidR="00C209C3">
        <w:t>Bozon’s</w:t>
      </w:r>
      <w:proofErr w:type="spellEnd"/>
      <w:r w:rsidR="00C209C3">
        <w:t xml:space="preserve"> m</w:t>
      </w:r>
      <w:r w:rsidR="00070D13">
        <w:t>ice who want to honor the cat with</w:t>
      </w:r>
      <w:r w:rsidR="00C209C3">
        <w:t xml:space="preserve"> their collar, which suggests that it is intended to be fancy and decorative.</w:t>
      </w:r>
      <w:r w:rsidR="00C209C3">
        <w:rPr>
          <w:rStyle w:val="FootnoteReference"/>
        </w:rPr>
        <w:footnoteReference w:id="33"/>
      </w:r>
      <w:r w:rsidR="009175BE">
        <w:t xml:space="preserve"> But</w:t>
      </w:r>
      <w:r w:rsidR="00C209C3">
        <w:t xml:space="preserve"> </w:t>
      </w:r>
      <w:proofErr w:type="spellStart"/>
      <w:r w:rsidR="00C209C3">
        <w:t>Bozon’s</w:t>
      </w:r>
      <w:proofErr w:type="spellEnd"/>
      <w:r w:rsidR="00C209C3">
        <w:t xml:space="preserve"> </w:t>
      </w:r>
      <w:r w:rsidR="009175BE">
        <w:t>moral also c</w:t>
      </w:r>
      <w:r w:rsidR="00BF27A9">
        <w:t>oncludes in the following way: ‘</w:t>
      </w:r>
      <w:proofErr w:type="spellStart"/>
      <w:r w:rsidR="009175BE">
        <w:t>Auxint</w:t>
      </w:r>
      <w:proofErr w:type="spellEnd"/>
      <w:r w:rsidR="009175BE">
        <w:t xml:space="preserve"> </w:t>
      </w:r>
      <w:proofErr w:type="spellStart"/>
      <w:r w:rsidR="009175BE">
        <w:t>plusurs</w:t>
      </w:r>
      <w:proofErr w:type="spellEnd"/>
      <w:r w:rsidR="009175BE">
        <w:t xml:space="preserve"> </w:t>
      </w:r>
      <w:proofErr w:type="spellStart"/>
      <w:r w:rsidR="009175BE">
        <w:t>en</w:t>
      </w:r>
      <w:proofErr w:type="spellEnd"/>
      <w:r w:rsidR="009175BE">
        <w:t xml:space="preserve"> </w:t>
      </w:r>
      <w:proofErr w:type="spellStart"/>
      <w:r w:rsidR="009175BE">
        <w:t>compaignie</w:t>
      </w:r>
      <w:proofErr w:type="spellEnd"/>
      <w:r w:rsidR="009175BE">
        <w:t xml:space="preserve"> </w:t>
      </w:r>
      <w:proofErr w:type="spellStart"/>
      <w:r w:rsidR="009175BE">
        <w:t>promettent</w:t>
      </w:r>
      <w:proofErr w:type="spellEnd"/>
      <w:r w:rsidR="009175BE">
        <w:t xml:space="preserve"> de amender les </w:t>
      </w:r>
      <w:proofErr w:type="spellStart"/>
      <w:r w:rsidR="009175BE">
        <w:t>outragez</w:t>
      </w:r>
      <w:proofErr w:type="spellEnd"/>
      <w:r w:rsidR="009175BE">
        <w:t xml:space="preserve"> des </w:t>
      </w:r>
      <w:proofErr w:type="spellStart"/>
      <w:r w:rsidR="009175BE">
        <w:t>sovereynz</w:t>
      </w:r>
      <w:proofErr w:type="spellEnd"/>
      <w:r w:rsidR="009175BE">
        <w:t xml:space="preserve">, </w:t>
      </w:r>
      <w:proofErr w:type="spellStart"/>
      <w:r w:rsidR="009175BE">
        <w:t>mès</w:t>
      </w:r>
      <w:proofErr w:type="spellEnd"/>
      <w:r w:rsidR="009175BE">
        <w:t xml:space="preserve"> quant </w:t>
      </w:r>
      <w:proofErr w:type="spellStart"/>
      <w:r w:rsidR="009175BE">
        <w:t>veient</w:t>
      </w:r>
      <w:proofErr w:type="spellEnd"/>
      <w:r w:rsidR="009175BE">
        <w:t xml:space="preserve"> </w:t>
      </w:r>
      <w:proofErr w:type="spellStart"/>
      <w:r w:rsidR="009175BE">
        <w:t>lur</w:t>
      </w:r>
      <w:proofErr w:type="spellEnd"/>
      <w:r w:rsidR="009175BE">
        <w:t xml:space="preserve"> presence, </w:t>
      </w:r>
      <w:proofErr w:type="spellStart"/>
      <w:r w:rsidR="009175BE">
        <w:t>Clym</w:t>
      </w:r>
      <w:proofErr w:type="spellEnd"/>
      <w:r w:rsidR="009175BE">
        <w:t xml:space="preserve">! clam! cat </w:t>
      </w:r>
      <w:proofErr w:type="spellStart"/>
      <w:r w:rsidR="009175BE">
        <w:t>lep</w:t>
      </w:r>
      <w:proofErr w:type="spellEnd"/>
      <w:r w:rsidR="009175BE">
        <w:t xml:space="preserve"> over dam! </w:t>
      </w:r>
      <w:proofErr w:type="spellStart"/>
      <w:r w:rsidR="009175BE">
        <w:t>Tac</w:t>
      </w:r>
      <w:r w:rsidR="00BF27A9">
        <w:t>he</w:t>
      </w:r>
      <w:proofErr w:type="spellEnd"/>
      <w:r w:rsidR="00BF27A9">
        <w:t xml:space="preserve">, </w:t>
      </w:r>
      <w:proofErr w:type="spellStart"/>
      <w:r w:rsidR="00BF27A9">
        <w:t>tache</w:t>
      </w:r>
      <w:proofErr w:type="spellEnd"/>
      <w:r w:rsidR="00BF27A9">
        <w:t xml:space="preserve">! </w:t>
      </w:r>
      <w:proofErr w:type="spellStart"/>
      <w:r w:rsidR="00BF27A9">
        <w:t>vuyle</w:t>
      </w:r>
      <w:proofErr w:type="spellEnd"/>
      <w:r w:rsidR="00BF27A9">
        <w:t xml:space="preserve"> vivre </w:t>
      </w:r>
      <w:proofErr w:type="spellStart"/>
      <w:r w:rsidR="00BF27A9">
        <w:t>en</w:t>
      </w:r>
      <w:proofErr w:type="spellEnd"/>
      <w:r w:rsidR="00BF27A9">
        <w:t xml:space="preserve"> </w:t>
      </w:r>
      <w:proofErr w:type="spellStart"/>
      <w:r w:rsidR="00BF27A9">
        <w:t>pache</w:t>
      </w:r>
      <w:proofErr w:type="spellEnd"/>
      <w:r w:rsidR="00BF27A9">
        <w:t>’</w:t>
      </w:r>
      <w:r w:rsidR="009175BE">
        <w:t xml:space="preserve"> (Thus many together promise to correct the excesses of sovereigns, but when they stand before them, </w:t>
      </w:r>
      <w:proofErr w:type="spellStart"/>
      <w:r w:rsidR="009175BE">
        <w:t>Clym</w:t>
      </w:r>
      <w:proofErr w:type="spellEnd"/>
      <w:r w:rsidR="009175BE">
        <w:t>! clam! the cat leaps over the dam! Quiet, quiet! I wish to live in peace).</w:t>
      </w:r>
      <w:r w:rsidR="009175BE">
        <w:rPr>
          <w:rStyle w:val="FootnoteReference"/>
        </w:rPr>
        <w:footnoteReference w:id="34"/>
      </w:r>
      <w:r w:rsidR="009175BE">
        <w:t xml:space="preserve"> The source of the final line </w:t>
      </w:r>
      <w:r w:rsidR="006E0332">
        <w:t>is the</w:t>
      </w:r>
      <w:r w:rsidR="0025109A">
        <w:t xml:space="preserve"> common</w:t>
      </w:r>
      <w:r w:rsidR="00E97C38">
        <w:t xml:space="preserve"> Latin proverb ‘</w:t>
      </w:r>
      <w:proofErr w:type="spellStart"/>
      <w:r w:rsidR="009175BE">
        <w:t>audi</w:t>
      </w:r>
      <w:proofErr w:type="spellEnd"/>
      <w:r w:rsidR="009175BE">
        <w:t>, vide,</w:t>
      </w:r>
      <w:r w:rsidR="00E97C38">
        <w:t xml:space="preserve"> </w:t>
      </w:r>
      <w:proofErr w:type="spellStart"/>
      <w:r w:rsidR="00E97C38">
        <w:t>tace</w:t>
      </w:r>
      <w:proofErr w:type="spellEnd"/>
      <w:r w:rsidR="00E97C38">
        <w:t xml:space="preserve">, </w:t>
      </w:r>
      <w:proofErr w:type="spellStart"/>
      <w:r w:rsidR="00E97C38">
        <w:t>si</w:t>
      </w:r>
      <w:proofErr w:type="spellEnd"/>
      <w:r w:rsidR="00E97C38">
        <w:t xml:space="preserve"> </w:t>
      </w:r>
      <w:proofErr w:type="spellStart"/>
      <w:r w:rsidR="00E97C38">
        <w:t>tu</w:t>
      </w:r>
      <w:proofErr w:type="spellEnd"/>
      <w:r w:rsidR="00E97C38">
        <w:t xml:space="preserve"> vis vivere in pace’</w:t>
      </w:r>
      <w:r w:rsidR="009175BE">
        <w:t xml:space="preserve"> (listen, look, be quiet, if you want to live in peace).</w:t>
      </w:r>
      <w:r w:rsidR="009175BE">
        <w:rPr>
          <w:rStyle w:val="FootnoteReference"/>
        </w:rPr>
        <w:footnoteReference w:id="35"/>
      </w:r>
      <w:r w:rsidR="009175BE">
        <w:t xml:space="preserve"> </w:t>
      </w:r>
      <w:proofErr w:type="spellStart"/>
      <w:r w:rsidR="009175BE">
        <w:t>Bozon’s</w:t>
      </w:r>
      <w:proofErr w:type="spellEnd"/>
      <w:r w:rsidR="009175BE">
        <w:t xml:space="preserve"> fable thus seems to be actively counseling inaction since any attempt to curb the cat only incites it to further aggressive attack, the sudden nature of which is underscored</w:t>
      </w:r>
      <w:r w:rsidR="0025109A">
        <w:t xml:space="preserve"> visually</w:t>
      </w:r>
      <w:r w:rsidR="009175BE">
        <w:t xml:space="preserve"> by the unexpected insertion of Middle English into the Anglo-French. In this way, </w:t>
      </w:r>
      <w:proofErr w:type="spellStart"/>
      <w:r w:rsidR="009175BE">
        <w:t>Bozon’s</w:t>
      </w:r>
      <w:proofErr w:type="spellEnd"/>
      <w:r w:rsidR="009175BE">
        <w:t xml:space="preserve"> moral resonates with Langland’s mouse’s insistence on the cat’s relentlessness. </w:t>
      </w:r>
      <w:proofErr w:type="spellStart"/>
      <w:r w:rsidR="009175BE">
        <w:t>Bozon’s</w:t>
      </w:r>
      <w:proofErr w:type="spellEnd"/>
      <w:r w:rsidR="009175BE">
        <w:t xml:space="preserve"> use of linguistic code-switching, moreover, as well as his </w:t>
      </w:r>
      <w:proofErr w:type="spellStart"/>
      <w:r w:rsidR="009175BE">
        <w:t>vernacularization</w:t>
      </w:r>
      <w:proofErr w:type="spellEnd"/>
      <w:r w:rsidR="009175BE">
        <w:t xml:space="preserve"> of</w:t>
      </w:r>
      <w:r w:rsidR="004C19D3">
        <w:t xml:space="preserve"> a Latin proverb</w:t>
      </w:r>
      <w:r w:rsidR="006E0332">
        <w:t>,</w:t>
      </w:r>
      <w:r w:rsidR="004C19D3">
        <w:t xml:space="preserve"> further speak</w:t>
      </w:r>
      <w:r w:rsidR="006E0332">
        <w:t>s</w:t>
      </w:r>
      <w:r w:rsidR="004C19D3">
        <w:t xml:space="preserve"> </w:t>
      </w:r>
      <w:r w:rsidR="009175BE">
        <w:t xml:space="preserve">to Langland’s own similar textual practices throughout </w:t>
      </w:r>
      <w:r w:rsidR="009175BE" w:rsidRPr="009175BE">
        <w:rPr>
          <w:i/>
        </w:rPr>
        <w:t>Piers Plowman</w:t>
      </w:r>
      <w:r w:rsidR="00AD7771">
        <w:t xml:space="preserve">, </w:t>
      </w:r>
      <w:r w:rsidR="00775839">
        <w:t>pointing to</w:t>
      </w:r>
      <w:r w:rsidR="00AD7771">
        <w:t xml:space="preserve"> a</w:t>
      </w:r>
      <w:r w:rsidR="00775839">
        <w:t xml:space="preserve"> </w:t>
      </w:r>
      <w:r w:rsidR="0025109A">
        <w:t xml:space="preserve">possible </w:t>
      </w:r>
      <w:r w:rsidR="00775839">
        <w:t>formal</w:t>
      </w:r>
      <w:r w:rsidR="00AD7771">
        <w:t xml:space="preserve"> affinity between the two authors. Such echoes between Langland and </w:t>
      </w:r>
      <w:proofErr w:type="spellStart"/>
      <w:r w:rsidR="00AD7771">
        <w:t>Bozon</w:t>
      </w:r>
      <w:proofErr w:type="spellEnd"/>
      <w:r w:rsidR="00AD7771">
        <w:t xml:space="preserve"> </w:t>
      </w:r>
      <w:r w:rsidR="00775839">
        <w:t>suggest</w:t>
      </w:r>
      <w:r w:rsidR="00AD7771">
        <w:t xml:space="preserve"> that we might</w:t>
      </w:r>
      <w:r w:rsidR="00957517">
        <w:t xml:space="preserve">, in the future, </w:t>
      </w:r>
      <w:r w:rsidR="0095286F">
        <w:t xml:space="preserve">look to the Anglo-French </w:t>
      </w:r>
      <w:r w:rsidR="00957517">
        <w:t xml:space="preserve">homiletic literary tradition in England </w:t>
      </w:r>
      <w:r w:rsidR="006E0332">
        <w:t>for</w:t>
      </w:r>
      <w:r w:rsidR="00957517">
        <w:t xml:space="preserve"> potential sources and analogues </w:t>
      </w:r>
      <w:r w:rsidR="006E0332">
        <w:t>to</w:t>
      </w:r>
      <w:r w:rsidR="00957517">
        <w:t xml:space="preserve"> Langland’s project. </w:t>
      </w:r>
    </w:p>
    <w:p w14:paraId="1BF6BC69" w14:textId="77777777" w:rsidR="001F0C2F" w:rsidRDefault="00775839" w:rsidP="00AD7771">
      <w:pPr>
        <w:ind w:firstLine="720"/>
      </w:pPr>
      <w:r>
        <w:t xml:space="preserve">Uniquely, however, Langland’s fable does not simply advocate inaction before overweening sovereigns: his mouse also claims that the rodents would be wholly unable to </w:t>
      </w:r>
      <w:r w:rsidR="006E0332">
        <w:t>govern</w:t>
      </w:r>
      <w:r>
        <w:t xml:space="preserve"> t</w:t>
      </w:r>
      <w:r w:rsidR="0025109A">
        <w:t>hemselves. The sharp critique in</w:t>
      </w:r>
      <w:r>
        <w:t xml:space="preserve"> this statement has invited several interpretations concerning the real object of the mouse’s displeasure and the extent to which the mouse </w:t>
      </w:r>
      <w:r w:rsidR="006E0332">
        <w:t>ought to</w:t>
      </w:r>
      <w:r>
        <w:t xml:space="preserve"> be </w:t>
      </w:r>
      <w:r w:rsidR="009E365B">
        <w:t>read</w:t>
      </w:r>
      <w:r>
        <w:t xml:space="preserve"> as </w:t>
      </w:r>
      <w:r w:rsidR="009E365B">
        <w:t>voicing Langland’s own opinions</w:t>
      </w:r>
      <w:r>
        <w:t>.</w:t>
      </w:r>
      <w:r w:rsidR="009E365B">
        <w:t xml:space="preserve"> Bernard </w:t>
      </w:r>
      <w:proofErr w:type="spellStart"/>
      <w:r w:rsidR="009E365B">
        <w:t>Huppé</w:t>
      </w:r>
      <w:proofErr w:type="spellEnd"/>
      <w:r w:rsidR="009E365B">
        <w:t xml:space="preserve"> reads the Rodent Parliament as an ironic commentary: the rodents’ efforts speak to the events of the Good Parliament of 1376, by the end of which the Commons had </w:t>
      </w:r>
      <w:r w:rsidR="005872EE">
        <w:t>William</w:t>
      </w:r>
      <w:r w:rsidR="009E365B">
        <w:t xml:space="preserve"> Latimer and Richard Lyons imprisoned and Alice </w:t>
      </w:r>
      <w:proofErr w:type="spellStart"/>
      <w:r w:rsidR="009E365B">
        <w:lastRenderedPageBreak/>
        <w:t>Perrers</w:t>
      </w:r>
      <w:proofErr w:type="spellEnd"/>
      <w:r w:rsidR="009E365B">
        <w:t xml:space="preserve"> banished from court, but these decisions were swiftly overturned by John of Gaunt</w:t>
      </w:r>
      <w:r w:rsidR="00AC2F46">
        <w:t xml:space="preserve"> (Langland’s cat)</w:t>
      </w:r>
      <w:r w:rsidR="009E365B">
        <w:t xml:space="preserve"> and his supporters at the </w:t>
      </w:r>
      <w:r w:rsidR="00BB5E70">
        <w:t>Hilary</w:t>
      </w:r>
      <w:r w:rsidR="009E365B">
        <w:t xml:space="preserve"> Parliament </w:t>
      </w:r>
      <w:r w:rsidR="00AC2F46">
        <w:t xml:space="preserve">of 1377, which also saw the </w:t>
      </w:r>
      <w:r w:rsidR="0095286F">
        <w:t>detainment</w:t>
      </w:r>
      <w:r w:rsidR="00AC2F46">
        <w:t xml:space="preserve"> of Peter de la Mare, Spea</w:t>
      </w:r>
      <w:r w:rsidR="0012149E">
        <w:t>ker of the Commons (Langland’s ‘</w:t>
      </w:r>
      <w:proofErr w:type="spellStart"/>
      <w:r w:rsidR="00AC2F46">
        <w:t>raton</w:t>
      </w:r>
      <w:proofErr w:type="spellEnd"/>
      <w:r w:rsidR="00AC2F46">
        <w:t xml:space="preserve"> of </w:t>
      </w:r>
      <w:proofErr w:type="spellStart"/>
      <w:r w:rsidR="00AC2F46">
        <w:t>renoun</w:t>
      </w:r>
      <w:proofErr w:type="spellEnd"/>
      <w:r w:rsidR="0012149E">
        <w:t>’,</w:t>
      </w:r>
      <w:r w:rsidR="00AC2F46">
        <w:t xml:space="preserve"> who proposes belling the cat in B. 158-74).</w:t>
      </w:r>
      <w:r w:rsidR="00AC2F46">
        <w:rPr>
          <w:rStyle w:val="FootnoteReference"/>
        </w:rPr>
        <w:footnoteReference w:id="36"/>
      </w:r>
      <w:r w:rsidR="00AC2F46">
        <w:t xml:space="preserve"> </w:t>
      </w:r>
      <w:proofErr w:type="spellStart"/>
      <w:r w:rsidR="00AC2F46">
        <w:t>Orsten</w:t>
      </w:r>
      <w:proofErr w:type="spellEnd"/>
      <w:r w:rsidR="00AC2F46">
        <w:t xml:space="preserve"> agrees with the topical application of the fable, but reads its workings somewhat differently. </w:t>
      </w:r>
      <w:r w:rsidR="00F53B95">
        <w:t xml:space="preserve">She also </w:t>
      </w:r>
      <w:r w:rsidR="00224145">
        <w:t>sees</w:t>
      </w:r>
      <w:r w:rsidR="00F53B95">
        <w:t xml:space="preserve"> the belling of the cat as </w:t>
      </w:r>
      <w:r w:rsidR="00224145">
        <w:t>allegorizing</w:t>
      </w:r>
      <w:r w:rsidR="00F53B95">
        <w:t xml:space="preserve"> the Good Parliament of 1376, but the mouse, she claims, is not intended to represent Langland’s own views on parliament; rather, the mouse, in counseling cowardly inaction, i</w:t>
      </w:r>
      <w:r w:rsidR="0012149E">
        <w:t>s a ‘</w:t>
      </w:r>
      <w:r w:rsidR="00F53B95">
        <w:t>Gau</w:t>
      </w:r>
      <w:r w:rsidR="001F0C2F">
        <w:t>nt-figure, out-</w:t>
      </w:r>
      <w:proofErr w:type="spellStart"/>
      <w:r w:rsidR="001F0C2F">
        <w:t>Gaunting</w:t>
      </w:r>
      <w:proofErr w:type="spellEnd"/>
      <w:r w:rsidR="001F0C2F">
        <w:t xml:space="preserve"> himself</w:t>
      </w:r>
      <w:r w:rsidR="0012149E">
        <w:t>’</w:t>
      </w:r>
      <w:r w:rsidR="001F0C2F">
        <w:t>.</w:t>
      </w:r>
      <w:r w:rsidR="00F53B95">
        <w:t xml:space="preserve"> </w:t>
      </w:r>
      <w:r w:rsidR="001F0C2F">
        <w:t>The mouse thus</w:t>
      </w:r>
      <w:r w:rsidR="00F53B95">
        <w:t xml:space="preserve"> emblematizes the actions of the </w:t>
      </w:r>
      <w:r w:rsidR="0095286F">
        <w:t>Hilary</w:t>
      </w:r>
      <w:r w:rsidR="00F53B95">
        <w:t xml:space="preserve"> Parliament of 1377 that </w:t>
      </w:r>
      <w:r w:rsidR="0012149E">
        <w:t>conceded before</w:t>
      </w:r>
      <w:r w:rsidR="00F53B95">
        <w:t xml:space="preserve"> </w:t>
      </w:r>
      <w:proofErr w:type="spellStart"/>
      <w:r w:rsidR="00F53B95">
        <w:t>Gaunt’s</w:t>
      </w:r>
      <w:proofErr w:type="spellEnd"/>
      <w:r w:rsidR="00F53B95">
        <w:t xml:space="preserve"> authority and undid all the previous year’s efforts.</w:t>
      </w:r>
      <w:r w:rsidR="00F53B95">
        <w:rPr>
          <w:rStyle w:val="FootnoteReference"/>
        </w:rPr>
        <w:footnoteReference w:id="37"/>
      </w:r>
      <w:r w:rsidR="00F53B95">
        <w:t xml:space="preserve"> </w:t>
      </w:r>
      <w:r w:rsidR="00F544CD">
        <w:t>Anna Baldwin, by contrast, understands the mouse as exemplary of Langland’s ant</w:t>
      </w:r>
      <w:r w:rsidR="0012149E">
        <w:t>i-parliamentarian views on the ‘</w:t>
      </w:r>
      <w:r w:rsidR="00F544CD">
        <w:t>inevitability and desirability of absolutism</w:t>
      </w:r>
      <w:r w:rsidR="0012149E">
        <w:t>’</w:t>
      </w:r>
      <w:r w:rsidR="00F544CD">
        <w:t>.</w:t>
      </w:r>
      <w:r w:rsidR="00F544CD">
        <w:rPr>
          <w:rStyle w:val="FootnoteReference"/>
        </w:rPr>
        <w:footnoteReference w:id="38"/>
      </w:r>
      <w:r w:rsidR="00F544CD">
        <w:t xml:space="preserve"> </w:t>
      </w:r>
    </w:p>
    <w:p w14:paraId="63A6B806" w14:textId="77777777" w:rsidR="00957517" w:rsidRDefault="00F53B95" w:rsidP="00AD7771">
      <w:pPr>
        <w:ind w:firstLine="720"/>
      </w:pPr>
      <w:r>
        <w:t>Andrew Galloway agrees with the topical identification of the cat as Gaunt, an</w:t>
      </w:r>
      <w:r w:rsidR="00CD240C">
        <w:t xml:space="preserve">d the kitten as Richard II, </w:t>
      </w:r>
      <w:r>
        <w:t>but he sees it as a more general allegory, a</w:t>
      </w:r>
      <w:r w:rsidR="00B06E3B">
        <w:t>s relevant in 1386 as in 1376, for the potential inadequacy, yet ultimate efficacity of royal power.</w:t>
      </w:r>
      <w:r w:rsidR="00B06E3B">
        <w:rPr>
          <w:rStyle w:val="FootnoteReference"/>
        </w:rPr>
        <w:footnoteReference w:id="39"/>
      </w:r>
      <w:r w:rsidR="00B06E3B">
        <w:t xml:space="preserve"> </w:t>
      </w:r>
      <w:r w:rsidR="00C73697">
        <w:t>Anthony Gross</w:t>
      </w:r>
      <w:r w:rsidR="00E445DD">
        <w:t xml:space="preserve"> and Gwilym Dodd, meanwhile, point </w:t>
      </w:r>
      <w:r w:rsidR="00C73697">
        <w:t>to</w:t>
      </w:r>
      <w:r w:rsidR="00E445DD">
        <w:t xml:space="preserve"> the ample</w:t>
      </w:r>
      <w:r w:rsidR="00CD240C">
        <w:t xml:space="preserve"> evidence for</w:t>
      </w:r>
      <w:r w:rsidR="00C73697">
        <w:t xml:space="preserve"> special interest lobbying, cronyism</w:t>
      </w:r>
      <w:r w:rsidR="00224145">
        <w:t>,</w:t>
      </w:r>
      <w:r w:rsidR="00C73697">
        <w:t xml:space="preserve"> and widespread corruption within the House of Commons during this period</w:t>
      </w:r>
      <w:r w:rsidR="001F0C2F">
        <w:t xml:space="preserve"> and suggest</w:t>
      </w:r>
      <w:r w:rsidR="00E445DD">
        <w:t xml:space="preserve"> that Langland is critiquing the failure of parliament, and especially of the Commons, to act in the actual interest of its constituents during the late 1370s.</w:t>
      </w:r>
      <w:r w:rsidR="00E445DD">
        <w:rPr>
          <w:rStyle w:val="FootnoteReference"/>
        </w:rPr>
        <w:footnoteReference w:id="40"/>
      </w:r>
      <w:r w:rsidR="00E445DD">
        <w:t xml:space="preserve"> Most recently, Nicole </w:t>
      </w:r>
      <w:proofErr w:type="spellStart"/>
      <w:r w:rsidR="00E445DD">
        <w:t>Lassahn</w:t>
      </w:r>
      <w:proofErr w:type="spellEnd"/>
      <w:r w:rsidR="00E445DD">
        <w:t xml:space="preserve"> offers an intriguing reading of the mouse as </w:t>
      </w:r>
      <w:r w:rsidR="0025109A">
        <w:t>adhering to no coherent political position whatsoever and promoting</w:t>
      </w:r>
      <w:r w:rsidR="00E445DD">
        <w:t xml:space="preserve"> a self-serving individualism</w:t>
      </w:r>
      <w:r w:rsidR="0025109A">
        <w:t xml:space="preserve"> that reflects</w:t>
      </w:r>
      <w:r w:rsidR="00E445DD">
        <w:t xml:space="preserve"> the failure of the very notion of representative assembly and the </w:t>
      </w:r>
      <w:proofErr w:type="spellStart"/>
      <w:r w:rsidR="00E445DD">
        <w:t>amortisation</w:t>
      </w:r>
      <w:proofErr w:type="spellEnd"/>
      <w:r w:rsidR="00E445DD">
        <w:t xml:space="preserve"> of the </w:t>
      </w:r>
      <w:r w:rsidR="0025109A">
        <w:t xml:space="preserve">concept of the “common weal” </w:t>
      </w:r>
      <w:r w:rsidR="00224145">
        <w:t>in</w:t>
      </w:r>
      <w:r w:rsidR="0025109A">
        <w:t xml:space="preserve"> </w:t>
      </w:r>
      <w:r w:rsidR="00224145">
        <w:t>the 1370s</w:t>
      </w:r>
      <w:r w:rsidR="0025109A">
        <w:t>.</w:t>
      </w:r>
      <w:r w:rsidR="0025109A">
        <w:rPr>
          <w:rStyle w:val="FootnoteReference"/>
        </w:rPr>
        <w:footnoteReference w:id="41"/>
      </w:r>
      <w:r w:rsidR="0025109A">
        <w:t xml:space="preserve"> </w:t>
      </w:r>
      <w:r w:rsidR="00E445DD">
        <w:t xml:space="preserve"> </w:t>
      </w:r>
    </w:p>
    <w:p w14:paraId="0DEE9AA5" w14:textId="77777777" w:rsidR="00763010" w:rsidRDefault="005F2E43" w:rsidP="00763010">
      <w:pPr>
        <w:ind w:firstLine="720"/>
      </w:pPr>
      <w:r>
        <w:t xml:space="preserve"> T</w:t>
      </w:r>
      <w:r w:rsidR="001F0C2F">
        <w:t xml:space="preserve">hese readings are </w:t>
      </w:r>
      <w:r w:rsidR="0006434F">
        <w:t>illuminating</w:t>
      </w:r>
      <w:r w:rsidR="0095286F">
        <w:t xml:space="preserve"> and exhaustively documented. They all, however, pass over</w:t>
      </w:r>
      <w:r w:rsidR="001F0C2F">
        <w:t xml:space="preserve"> discussion of the </w:t>
      </w:r>
      <w:r w:rsidR="00CD240C">
        <w:t xml:space="preserve">primary </w:t>
      </w:r>
      <w:r w:rsidR="001F0C2F">
        <w:t xml:space="preserve">underlying issue </w:t>
      </w:r>
      <w:r w:rsidR="0095286F">
        <w:t>that</w:t>
      </w:r>
      <w:r w:rsidR="009A78A4">
        <w:t xml:space="preserve">, </w:t>
      </w:r>
      <w:r w:rsidR="0095286F">
        <w:t xml:space="preserve">according to the </w:t>
      </w:r>
      <w:proofErr w:type="spellStart"/>
      <w:r w:rsidR="0095286F" w:rsidRPr="0006434F">
        <w:rPr>
          <w:i/>
        </w:rPr>
        <w:t>Anonimalle</w:t>
      </w:r>
      <w:proofErr w:type="spellEnd"/>
      <w:r w:rsidR="0095286F" w:rsidRPr="0006434F">
        <w:rPr>
          <w:i/>
        </w:rPr>
        <w:t xml:space="preserve"> </w:t>
      </w:r>
      <w:r w:rsidR="0095286F" w:rsidRPr="0095286F">
        <w:rPr>
          <w:i/>
        </w:rPr>
        <w:t>Chronicle</w:t>
      </w:r>
      <w:r w:rsidR="0095286F">
        <w:t xml:space="preserve"> </w:t>
      </w:r>
      <w:r w:rsidR="009A78A4" w:rsidRPr="0095286F">
        <w:t>as</w:t>
      </w:r>
      <w:r w:rsidR="009A78A4">
        <w:t xml:space="preserve"> we will shortly see,</w:t>
      </w:r>
      <w:r w:rsidR="001F0C2F">
        <w:t xml:space="preserve"> </w:t>
      </w:r>
      <w:r w:rsidR="00CD240C">
        <w:t>impelled</w:t>
      </w:r>
      <w:r w:rsidR="001F0C2F">
        <w:t xml:space="preserve"> the Commons to voice their complaints before the Lords and Ga</w:t>
      </w:r>
      <w:r w:rsidR="0095286F">
        <w:t>unt during the Good Parliament</w:t>
      </w:r>
      <w:r w:rsidR="0012149E">
        <w:t xml:space="preserve"> in the first place</w:t>
      </w:r>
      <w:r w:rsidR="001F0C2F">
        <w:t>:</w:t>
      </w:r>
      <w:r w:rsidR="0095286F">
        <w:t xml:space="preserve"> namely,</w:t>
      </w:r>
      <w:r w:rsidR="001F0C2F">
        <w:t xml:space="preserve"> the ongoing war with France. </w:t>
      </w:r>
      <w:r w:rsidR="0006434F">
        <w:t xml:space="preserve">In </w:t>
      </w:r>
      <w:r w:rsidR="0012149E">
        <w:t>omitting any discussion of the Hundred Years War</w:t>
      </w:r>
      <w:r w:rsidR="0006434F">
        <w:t>, these previous readings are symptomatic of Langland studies’ predilection for focusi</w:t>
      </w:r>
      <w:r w:rsidR="009A78A4">
        <w:t>ng on internal English politics</w:t>
      </w:r>
      <w:r w:rsidR="0006434F">
        <w:t>, despite the fact that Langland openly alludes to the war with France in the Rodent Parliament itself. After the rats and mice decide to bell the cat, and even purchase the bell itself, they balk, as in all versions of the fable, but Langland’s word choi</w:t>
      </w:r>
      <w:r w:rsidR="0012149E">
        <w:t>ce for this moment is curious: ‘</w:t>
      </w:r>
      <w:proofErr w:type="spellStart"/>
      <w:r w:rsidR="0006434F">
        <w:t>Ther</w:t>
      </w:r>
      <w:proofErr w:type="spellEnd"/>
      <w:r w:rsidR="0006434F">
        <w:t xml:space="preserve"> ne was </w:t>
      </w:r>
      <w:proofErr w:type="spellStart"/>
      <w:r w:rsidR="0006434F">
        <w:t>raton</w:t>
      </w:r>
      <w:proofErr w:type="spellEnd"/>
      <w:r w:rsidR="0006434F">
        <w:t xml:space="preserve"> in al the route, for </w:t>
      </w:r>
      <w:proofErr w:type="spellStart"/>
      <w:r w:rsidR="0006434F">
        <w:t>al</w:t>
      </w:r>
      <w:proofErr w:type="spellEnd"/>
      <w:r w:rsidR="0006434F">
        <w:t xml:space="preserve"> the </w:t>
      </w:r>
      <w:proofErr w:type="spellStart"/>
      <w:r w:rsidR="0006434F">
        <w:t>reaume</w:t>
      </w:r>
      <w:proofErr w:type="spellEnd"/>
      <w:r w:rsidR="0006434F">
        <w:t xml:space="preserve"> of </w:t>
      </w:r>
      <w:proofErr w:type="spellStart"/>
      <w:r w:rsidR="0006434F">
        <w:t>Fraunce</w:t>
      </w:r>
      <w:proofErr w:type="spellEnd"/>
      <w:r w:rsidR="0006434F">
        <w:t xml:space="preserve">, | That </w:t>
      </w:r>
      <w:proofErr w:type="spellStart"/>
      <w:r w:rsidR="0006434F">
        <w:t>dorste</w:t>
      </w:r>
      <w:proofErr w:type="spellEnd"/>
      <w:r w:rsidR="0006434F">
        <w:t xml:space="preserve"> have bounden the belle </w:t>
      </w:r>
      <w:proofErr w:type="spellStart"/>
      <w:r w:rsidR="0006434F">
        <w:t>aboute</w:t>
      </w:r>
      <w:proofErr w:type="spellEnd"/>
      <w:r w:rsidR="0006434F">
        <w:t xml:space="preserve"> the </w:t>
      </w:r>
      <w:proofErr w:type="spellStart"/>
      <w:r w:rsidR="0006434F">
        <w:t>cattes</w:t>
      </w:r>
      <w:proofErr w:type="spellEnd"/>
      <w:r w:rsidR="0006434F">
        <w:t xml:space="preserve"> </w:t>
      </w:r>
      <w:proofErr w:type="spellStart"/>
      <w:r w:rsidR="0006434F">
        <w:t>nekke</w:t>
      </w:r>
      <w:proofErr w:type="spellEnd"/>
      <w:r w:rsidR="0006434F">
        <w:t xml:space="preserve">, | Ne </w:t>
      </w:r>
      <w:proofErr w:type="spellStart"/>
      <w:r w:rsidR="0006434F">
        <w:t>hangen</w:t>
      </w:r>
      <w:proofErr w:type="spellEnd"/>
      <w:r w:rsidR="0006434F">
        <w:t xml:space="preserve"> it </w:t>
      </w:r>
      <w:proofErr w:type="spellStart"/>
      <w:r w:rsidR="0006434F">
        <w:t>aboute</w:t>
      </w:r>
      <w:proofErr w:type="spellEnd"/>
      <w:r w:rsidR="0006434F">
        <w:t xml:space="preserve"> hi</w:t>
      </w:r>
      <w:r w:rsidR="0012149E">
        <w:t xml:space="preserve">s </w:t>
      </w:r>
      <w:proofErr w:type="spellStart"/>
      <w:r w:rsidR="0012149E">
        <w:t>hals</w:t>
      </w:r>
      <w:proofErr w:type="spellEnd"/>
      <w:r w:rsidR="0012149E">
        <w:t xml:space="preserve"> al </w:t>
      </w:r>
      <w:proofErr w:type="spellStart"/>
      <w:r w:rsidR="0012149E">
        <w:t>Engelond</w:t>
      </w:r>
      <w:proofErr w:type="spellEnd"/>
      <w:r w:rsidR="0012149E">
        <w:t xml:space="preserve"> to </w:t>
      </w:r>
      <w:proofErr w:type="spellStart"/>
      <w:r w:rsidR="0012149E">
        <w:t>wynne</w:t>
      </w:r>
      <w:proofErr w:type="spellEnd"/>
      <w:r w:rsidR="0012149E">
        <w:t xml:space="preserve"> ...’</w:t>
      </w:r>
      <w:r w:rsidR="0006434F">
        <w:t xml:space="preserve"> (B. </w:t>
      </w:r>
      <w:proofErr w:type="spellStart"/>
      <w:r w:rsidR="0006434F">
        <w:t>Plg</w:t>
      </w:r>
      <w:proofErr w:type="spellEnd"/>
      <w:r w:rsidR="0006434F">
        <w:t xml:space="preserve">. 177-79). </w:t>
      </w:r>
      <w:r>
        <w:t xml:space="preserve">The whole episode has ostensibly been treating domestic English politics: the </w:t>
      </w:r>
      <w:r w:rsidR="00763010">
        <w:t>callous cat as Gaunt, the kitten as Rich</w:t>
      </w:r>
      <w:r w:rsidR="00B70773">
        <w:t>ard in his minority, the London</w:t>
      </w:r>
      <w:r w:rsidR="0012149E">
        <w:t>ers with the ‘</w:t>
      </w:r>
      <w:proofErr w:type="spellStart"/>
      <w:r w:rsidR="0012149E">
        <w:t>beighes</w:t>
      </w:r>
      <w:proofErr w:type="spellEnd"/>
      <w:r w:rsidR="0012149E">
        <w:t xml:space="preserve"> </w:t>
      </w:r>
      <w:proofErr w:type="spellStart"/>
      <w:r w:rsidR="0012149E">
        <w:t>ful</w:t>
      </w:r>
      <w:proofErr w:type="spellEnd"/>
      <w:r w:rsidR="0012149E">
        <w:t xml:space="preserve"> </w:t>
      </w:r>
      <w:proofErr w:type="spellStart"/>
      <w:r w:rsidR="0012149E">
        <w:t>brighte</w:t>
      </w:r>
      <w:proofErr w:type="spellEnd"/>
      <w:r w:rsidR="0012149E">
        <w:t>’</w:t>
      </w:r>
      <w:r w:rsidR="00763010">
        <w:t xml:space="preserve"> as </w:t>
      </w:r>
      <w:proofErr w:type="spellStart"/>
      <w:r w:rsidR="00763010">
        <w:t>Gaunt’s</w:t>
      </w:r>
      <w:proofErr w:type="spellEnd"/>
      <w:r w:rsidR="00763010">
        <w:t xml:space="preserve"> retinue with their famous golden SS necklaces.</w:t>
      </w:r>
      <w:r w:rsidR="00763010">
        <w:rPr>
          <w:rStyle w:val="FootnoteReference"/>
        </w:rPr>
        <w:footnoteReference w:id="42"/>
      </w:r>
      <w:r w:rsidR="00763010">
        <w:t xml:space="preserve"> The mention of the “</w:t>
      </w:r>
      <w:proofErr w:type="spellStart"/>
      <w:r w:rsidR="00763010">
        <w:t>reaume</w:t>
      </w:r>
      <w:proofErr w:type="spellEnd"/>
      <w:r w:rsidR="00763010">
        <w:t xml:space="preserve"> of </w:t>
      </w:r>
      <w:proofErr w:type="spellStart"/>
      <w:r w:rsidR="00763010">
        <w:t>Fraunce</w:t>
      </w:r>
      <w:proofErr w:type="spellEnd"/>
      <w:r w:rsidR="00763010">
        <w:t xml:space="preserve">” </w:t>
      </w:r>
      <w:r w:rsidR="0012149E">
        <w:t xml:space="preserve">thus </w:t>
      </w:r>
      <w:r w:rsidR="00763010">
        <w:t>seems</w:t>
      </w:r>
      <w:r w:rsidR="0012149E">
        <w:t xml:space="preserve"> wholly</w:t>
      </w:r>
      <w:r w:rsidR="00763010">
        <w:t xml:space="preserve"> out of place in this insular parliamentary context, particul</w:t>
      </w:r>
      <w:r w:rsidR="0012149E">
        <w:t xml:space="preserve">arly as joined with the phrase ‘al </w:t>
      </w:r>
      <w:proofErr w:type="spellStart"/>
      <w:r w:rsidR="0012149E">
        <w:t>Engelond</w:t>
      </w:r>
      <w:proofErr w:type="spellEnd"/>
      <w:r w:rsidR="0012149E">
        <w:t xml:space="preserve"> to </w:t>
      </w:r>
      <w:proofErr w:type="spellStart"/>
      <w:r w:rsidR="0012149E">
        <w:t>wynne</w:t>
      </w:r>
      <w:proofErr w:type="spellEnd"/>
      <w:r w:rsidR="0012149E">
        <w:t>’</w:t>
      </w:r>
      <w:r w:rsidR="00763010">
        <w:t xml:space="preserve"> with its overtones of wartime conflict and conquest. This moment occurs, we note, at the climax of the animal fable, when the rodents find themselves unable to carry out their plan of belling the cat. </w:t>
      </w:r>
    </w:p>
    <w:p w14:paraId="15AF64F7" w14:textId="77777777" w:rsidR="00763010" w:rsidRPr="00B97027" w:rsidRDefault="00070D13" w:rsidP="00B97027">
      <w:pPr>
        <w:ind w:firstLine="720"/>
        <w:rPr>
          <w:i/>
        </w:rPr>
      </w:pPr>
      <w:r>
        <w:lastRenderedPageBreak/>
        <w:t>T</w:t>
      </w:r>
      <w:r w:rsidR="0006434F">
        <w:t xml:space="preserve">he two lines immediately following </w:t>
      </w:r>
      <w:r w:rsidR="0012149E">
        <w:t>these sudden references to the ‘</w:t>
      </w:r>
      <w:proofErr w:type="spellStart"/>
      <w:r w:rsidR="0006434F">
        <w:t>reaume</w:t>
      </w:r>
      <w:proofErr w:type="spellEnd"/>
      <w:r w:rsidR="0006434F">
        <w:t xml:space="preserve"> of </w:t>
      </w:r>
      <w:proofErr w:type="spellStart"/>
      <w:r w:rsidR="0006434F">
        <w:t>Fraunce</w:t>
      </w:r>
      <w:proofErr w:type="spellEnd"/>
      <w:r w:rsidR="0012149E">
        <w:t>’</w:t>
      </w:r>
      <w:r w:rsidR="00763010">
        <w:t xml:space="preserve"> and to </w:t>
      </w:r>
      <w:r w:rsidR="0022404D">
        <w:t>‘winning’</w:t>
      </w:r>
      <w:r>
        <w:t xml:space="preserve"> England emphasize an underlying cross-Channel subtext only further. They describe </w:t>
      </w:r>
      <w:r w:rsidR="0012149E">
        <w:t>the pusillanimous rodents</w:t>
      </w:r>
      <w:r>
        <w:t>, who</w:t>
      </w:r>
      <w:r w:rsidR="0012149E">
        <w:t xml:space="preserve"> ‘</w:t>
      </w:r>
      <w:proofErr w:type="spellStart"/>
      <w:r w:rsidR="0006434F">
        <w:t>helden</w:t>
      </w:r>
      <w:proofErr w:type="spellEnd"/>
      <w:r w:rsidR="0006434F">
        <w:t xml:space="preserve"> hem </w:t>
      </w:r>
      <w:proofErr w:type="spellStart"/>
      <w:r w:rsidR="0006434F">
        <w:t>unhardy</w:t>
      </w:r>
      <w:proofErr w:type="spellEnd"/>
      <w:r w:rsidR="0006434F">
        <w:t xml:space="preserve"> and </w:t>
      </w:r>
      <w:proofErr w:type="spellStart"/>
      <w:r w:rsidR="0006434F">
        <w:t>hir</w:t>
      </w:r>
      <w:proofErr w:type="spellEnd"/>
      <w:r w:rsidR="0006434F">
        <w:t xml:space="preserve"> </w:t>
      </w:r>
      <w:proofErr w:type="spellStart"/>
      <w:r w:rsidR="0006434F">
        <w:t>conseil</w:t>
      </w:r>
      <w:proofErr w:type="spellEnd"/>
      <w:r w:rsidR="0006434F">
        <w:t xml:space="preserve"> </w:t>
      </w:r>
      <w:proofErr w:type="spellStart"/>
      <w:r w:rsidR="0006434F">
        <w:t>feble</w:t>
      </w:r>
      <w:proofErr w:type="spellEnd"/>
      <w:r w:rsidR="0006434F">
        <w:t xml:space="preserve">, | And </w:t>
      </w:r>
      <w:proofErr w:type="spellStart"/>
      <w:r w:rsidR="0006434F">
        <w:t>leten</w:t>
      </w:r>
      <w:proofErr w:type="spellEnd"/>
      <w:r w:rsidR="0006434F">
        <w:t xml:space="preserve"> hir</w:t>
      </w:r>
      <w:r w:rsidR="00346A29">
        <w:t xml:space="preserve">e </w:t>
      </w:r>
      <w:proofErr w:type="spellStart"/>
      <w:r w:rsidR="00346A29">
        <w:t>labour</w:t>
      </w:r>
      <w:r w:rsidR="0012149E">
        <w:t>e</w:t>
      </w:r>
      <w:proofErr w:type="spellEnd"/>
      <w:r w:rsidR="0012149E">
        <w:t xml:space="preserve"> lost and al hire </w:t>
      </w:r>
      <w:proofErr w:type="spellStart"/>
      <w:r w:rsidR="0012149E">
        <w:t>longe</w:t>
      </w:r>
      <w:proofErr w:type="spellEnd"/>
      <w:r w:rsidR="0012149E">
        <w:t xml:space="preserve"> </w:t>
      </w:r>
      <w:proofErr w:type="spellStart"/>
      <w:r w:rsidR="0012149E">
        <w:t>studie</w:t>
      </w:r>
      <w:proofErr w:type="spellEnd"/>
      <w:r w:rsidR="0012149E">
        <w:t>’</w:t>
      </w:r>
      <w:r w:rsidR="00346A29">
        <w:t xml:space="preserve"> (B. </w:t>
      </w:r>
      <w:proofErr w:type="spellStart"/>
      <w:r w:rsidR="0042015C">
        <w:t>Plg</w:t>
      </w:r>
      <w:proofErr w:type="spellEnd"/>
      <w:r w:rsidR="0042015C">
        <w:t xml:space="preserve">. </w:t>
      </w:r>
      <w:r>
        <w:t>180-81). As Galloway notes, these</w:t>
      </w:r>
      <w:r w:rsidR="009A78A4">
        <w:t xml:space="preserve"> line</w:t>
      </w:r>
      <w:r>
        <w:t>s echo</w:t>
      </w:r>
      <w:r w:rsidR="009A78A4">
        <w:t xml:space="preserve"> a line in French</w:t>
      </w:r>
      <w:r w:rsidR="00973846">
        <w:t xml:space="preserve">, also </w:t>
      </w:r>
      <w:r w:rsidR="00346A29">
        <w:t xml:space="preserve">cited by Chaucer in the </w:t>
      </w:r>
      <w:r w:rsidR="00B97027">
        <w:t>‘</w:t>
      </w:r>
      <w:r w:rsidR="00346A29" w:rsidRPr="00B97027">
        <w:t>Parson’s Tale</w:t>
      </w:r>
      <w:r w:rsidR="00B97027" w:rsidRPr="00B97027">
        <w:t>’</w:t>
      </w:r>
      <w:r w:rsidR="0012149E">
        <w:t>: ‘</w:t>
      </w:r>
      <w:r w:rsidR="0042015C">
        <w:t>[</w:t>
      </w:r>
      <w:r w:rsidR="00346A29">
        <w:t>...</w:t>
      </w:r>
      <w:r w:rsidR="0042015C">
        <w:t>]</w:t>
      </w:r>
      <w:r w:rsidR="00346A29">
        <w:t xml:space="preserve"> well may that man that no good </w:t>
      </w:r>
      <w:proofErr w:type="spellStart"/>
      <w:r w:rsidR="00346A29">
        <w:t>werk</w:t>
      </w:r>
      <w:proofErr w:type="spellEnd"/>
      <w:r w:rsidR="00346A29">
        <w:t xml:space="preserve"> ne </w:t>
      </w:r>
      <w:proofErr w:type="spellStart"/>
      <w:r w:rsidR="00346A29">
        <w:t>dooth</w:t>
      </w:r>
      <w:proofErr w:type="spellEnd"/>
      <w:r w:rsidR="00346A29">
        <w:t xml:space="preserve"> </w:t>
      </w:r>
      <w:proofErr w:type="spellStart"/>
      <w:r w:rsidR="00346A29">
        <w:t>s</w:t>
      </w:r>
      <w:r w:rsidR="0012149E">
        <w:t>ynge</w:t>
      </w:r>
      <w:proofErr w:type="spellEnd"/>
      <w:r w:rsidR="0012149E">
        <w:t xml:space="preserve"> </w:t>
      </w:r>
      <w:proofErr w:type="spellStart"/>
      <w:r w:rsidR="0012149E">
        <w:t>thilke</w:t>
      </w:r>
      <w:proofErr w:type="spellEnd"/>
      <w:r w:rsidR="0012149E">
        <w:t xml:space="preserve"> </w:t>
      </w:r>
      <w:proofErr w:type="spellStart"/>
      <w:r w:rsidR="0012149E">
        <w:t>newe</w:t>
      </w:r>
      <w:proofErr w:type="spellEnd"/>
      <w:r w:rsidR="0012149E">
        <w:t xml:space="preserve"> </w:t>
      </w:r>
      <w:proofErr w:type="spellStart"/>
      <w:r w:rsidR="0012149E">
        <w:t>Frenshe</w:t>
      </w:r>
      <w:proofErr w:type="spellEnd"/>
      <w:r w:rsidR="0012149E">
        <w:t xml:space="preserve"> song, “</w:t>
      </w:r>
      <w:r w:rsidR="00346A29">
        <w:t>Jay tout</w:t>
      </w:r>
      <w:r w:rsidR="0012149E">
        <w:t xml:space="preserve"> perdu mon temps et mon </w:t>
      </w:r>
      <w:proofErr w:type="spellStart"/>
      <w:r w:rsidR="0012149E">
        <w:t>labour</w:t>
      </w:r>
      <w:proofErr w:type="spellEnd"/>
      <w:r w:rsidR="0012149E">
        <w:t xml:space="preserve">” </w:t>
      </w:r>
      <w:r w:rsidR="00346A29">
        <w:t>[I have completely lost my time and my labor]” (</w:t>
      </w:r>
      <w:r w:rsidR="00B97027">
        <w:t>‘</w:t>
      </w:r>
      <w:r w:rsidR="00346A29" w:rsidRPr="00B97027">
        <w:t>Parson’s Tale</w:t>
      </w:r>
      <w:r w:rsidR="00B97027">
        <w:t>’</w:t>
      </w:r>
      <w:r w:rsidR="0042015C">
        <w:t>, l. 247</w:t>
      </w:r>
      <w:r w:rsidR="00346A29">
        <w:t>).</w:t>
      </w:r>
      <w:r w:rsidR="00346A29">
        <w:rPr>
          <w:rStyle w:val="FootnoteReference"/>
        </w:rPr>
        <w:footnoteReference w:id="43"/>
      </w:r>
      <w:r w:rsidR="00346A29">
        <w:t xml:space="preserve"> The wise mouse appears on the scene in the very next line</w:t>
      </w:r>
      <w:r w:rsidR="005F2E43">
        <w:t xml:space="preserve">, its </w:t>
      </w:r>
      <w:r w:rsidR="00763010">
        <w:t>discourse to the other rodents thus</w:t>
      </w:r>
      <w:r w:rsidR="005F2E43">
        <w:t xml:space="preserve"> presaged, in the text, by </w:t>
      </w:r>
      <w:r w:rsidR="0095286F">
        <w:t xml:space="preserve">direct </w:t>
      </w:r>
      <w:r w:rsidR="00763010">
        <w:t xml:space="preserve">invocations of France and </w:t>
      </w:r>
      <w:r w:rsidR="0095286F">
        <w:t>a line that echoes a French song used by an English contemporary of Langland</w:t>
      </w:r>
      <w:r w:rsidR="00763010">
        <w:t xml:space="preserve">. </w:t>
      </w:r>
      <w:r w:rsidR="0022404D">
        <w:t>T</w:t>
      </w:r>
      <w:r w:rsidR="00763010">
        <w:t xml:space="preserve">he </w:t>
      </w:r>
      <w:r w:rsidR="0022404D">
        <w:t>notion</w:t>
      </w:r>
      <w:r w:rsidR="00763010">
        <w:t xml:space="preserve"> of France</w:t>
      </w:r>
      <w:r w:rsidR="0022404D">
        <w:t xml:space="preserve"> thus</w:t>
      </w:r>
      <w:r w:rsidR="00763010">
        <w:t xml:space="preserve"> appears to have something to do with the rodents’ faltering in belling their cat. Mig</w:t>
      </w:r>
      <w:r w:rsidR="00973846">
        <w:t xml:space="preserve">ht the Hundred Years War </w:t>
      </w:r>
      <w:r w:rsidR="00763010">
        <w:t>be what further subtends the anxiety over ineffective parliamentary procedure and administrative dysfun</w:t>
      </w:r>
      <w:r w:rsidR="0012149E">
        <w:t>ction in this rendition of the ‘belling the cat’</w:t>
      </w:r>
      <w:r w:rsidR="00763010">
        <w:t xml:space="preserve"> fable, similar to what we have already seen in Deschamps’ use of the same</w:t>
      </w:r>
      <w:r w:rsidR="00763010" w:rsidRPr="00F1290D">
        <w:t xml:space="preserve">? </w:t>
      </w:r>
    </w:p>
    <w:p w14:paraId="04C113FA" w14:textId="77777777" w:rsidR="00B06F13" w:rsidRDefault="00763010" w:rsidP="00763010">
      <w:pPr>
        <w:ind w:firstLine="720"/>
      </w:pPr>
      <w:r>
        <w:t xml:space="preserve"> </w:t>
      </w:r>
      <w:r w:rsidR="0012149E">
        <w:t>Remarkably, u</w:t>
      </w:r>
      <w:r w:rsidR="00B06F13">
        <w:t xml:space="preserve">nexpected references to French rule </w:t>
      </w:r>
      <w:r>
        <w:t xml:space="preserve">likewise </w:t>
      </w:r>
      <w:r w:rsidR="00B06F13">
        <w:t>come up in Brinton</w:t>
      </w:r>
      <w:r w:rsidR="00973846">
        <w:t xml:space="preserve">’s sermon, which </w:t>
      </w:r>
      <w:r>
        <w:t>had</w:t>
      </w:r>
      <w:r w:rsidR="00973846">
        <w:t xml:space="preserve"> also</w:t>
      </w:r>
      <w:r>
        <w:t xml:space="preserve"> seemed</w:t>
      </w:r>
      <w:r w:rsidR="00B06F13">
        <w:t xml:space="preserve"> to be concerned purely with insular politics and the </w:t>
      </w:r>
      <w:r w:rsidR="008B2F04">
        <w:t xml:space="preserve">threat of Alice </w:t>
      </w:r>
      <w:proofErr w:type="spellStart"/>
      <w:r w:rsidR="008B2F04">
        <w:t>Perrers</w:t>
      </w:r>
      <w:proofErr w:type="spellEnd"/>
      <w:r w:rsidR="008B2F04">
        <w:t xml:space="preserve">. </w:t>
      </w:r>
      <w:r w:rsidR="00EF1BA5">
        <w:t>In describing the corrupt</w:t>
      </w:r>
      <w:r w:rsidR="009A78A4">
        <w:t xml:space="preserve">ing influence of counselors and of </w:t>
      </w:r>
      <w:proofErr w:type="spellStart"/>
      <w:r w:rsidR="009A78A4">
        <w:t>Perrers</w:t>
      </w:r>
      <w:proofErr w:type="spellEnd"/>
      <w:r w:rsidR="009A78A4">
        <w:t xml:space="preserve"> on Edward III</w:t>
      </w:r>
      <w:r w:rsidR="00EF1BA5">
        <w:t>,</w:t>
      </w:r>
      <w:r w:rsidR="00B06F13">
        <w:t xml:space="preserve"> Brinton contrasts the current state of affairs in England </w:t>
      </w:r>
      <w:r w:rsidR="00B06F13" w:rsidRPr="009A78A4">
        <w:t>unfavorably</w:t>
      </w:r>
      <w:r w:rsidR="00B06F13">
        <w:t xml:space="preserve"> with that of France. Brinton bemoans the difficulty of gaining audience with the king</w:t>
      </w:r>
      <w:r w:rsidR="00973846">
        <w:t xml:space="preserve"> and decries the excessive power wielded over the king and his family by exorbitantly wealthy and evil-minded counselors</w:t>
      </w:r>
      <w:r w:rsidR="00B06F13">
        <w:t>. Meanw</w:t>
      </w:r>
      <w:r w:rsidR="0012149E">
        <w:t>hile in France, he points out, ‘</w:t>
      </w:r>
      <w:r w:rsidR="00B06F13">
        <w:t>[t]he king of France grants audience to his people three times a week and personally gives full justice to all who ask for it, while the noblemen of England cannot gain their rights, though they ask for them with all their power</w:t>
      </w:r>
      <w:r w:rsidR="0012149E">
        <w:t>’</w:t>
      </w:r>
      <w:r w:rsidR="00B06F13">
        <w:t>.</w:t>
      </w:r>
      <w:r w:rsidR="00B06F13">
        <w:rPr>
          <w:rStyle w:val="FootnoteReference"/>
        </w:rPr>
        <w:footnoteReference w:id="44"/>
      </w:r>
      <w:r w:rsidR="00B06F13">
        <w:t xml:space="preserve"> Brinton then goes on to contrast – still</w:t>
      </w:r>
      <w:r w:rsidR="00973846">
        <w:t xml:space="preserve"> unfavorably – the governments </w:t>
      </w:r>
      <w:r w:rsidR="00B06F13">
        <w:t xml:space="preserve">of Edward III and Charles </w:t>
      </w:r>
      <w:r w:rsidR="00B06F13" w:rsidRPr="00C47D56">
        <w:t>V</w:t>
      </w:r>
      <w:r w:rsidR="0012149E">
        <w:t>, lamenting: ‘</w:t>
      </w:r>
      <w:r w:rsidR="0042015C">
        <w:t>[</w:t>
      </w:r>
      <w:r w:rsidR="00B06F13">
        <w:t>...</w:t>
      </w:r>
      <w:r w:rsidR="0042015C">
        <w:t>]</w:t>
      </w:r>
      <w:r w:rsidR="00B06F13">
        <w:t xml:space="preserve"> is it a just order when the king of France has for his privy council seventy men chosen from every state of life, by whose advice all difficult matters are settled, while the king of England, though he has prudent and faithful </w:t>
      </w:r>
      <w:proofErr w:type="spellStart"/>
      <w:r w:rsidR="00B06F13">
        <w:t>councillors</w:t>
      </w:r>
      <w:proofErr w:type="spellEnd"/>
      <w:r w:rsidR="00B06F13">
        <w:t xml:space="preserve"> and officials, acts in like difficulties by the council of only one </w:t>
      </w:r>
      <w:r w:rsidR="0042015C">
        <w:t>[</w:t>
      </w:r>
      <w:r w:rsidR="00B06F13">
        <w:t>...</w:t>
      </w:r>
      <w:r w:rsidR="0042015C">
        <w:t>]</w:t>
      </w:r>
      <w:r w:rsidR="00B06F13">
        <w:t>?</w:t>
      </w:r>
      <w:r w:rsidR="0012149E">
        <w:t>’</w:t>
      </w:r>
      <w:r w:rsidR="00B06F13">
        <w:rPr>
          <w:rStyle w:val="FootnoteReference"/>
        </w:rPr>
        <w:footnoteReference w:id="45"/>
      </w:r>
      <w:r w:rsidR="00B06F13">
        <w:t xml:space="preserve"> Brinton’s critique of administrative mismanagement in England is thus being constructed in both of these moments </w:t>
      </w:r>
      <w:r w:rsidR="00B06F13" w:rsidRPr="008B2F04">
        <w:t>against</w:t>
      </w:r>
      <w:r w:rsidR="00B06F13">
        <w:t xml:space="preserve"> contemporary practices in France, so that </w:t>
      </w:r>
      <w:r w:rsidR="0014235A">
        <w:t>his</w:t>
      </w:r>
      <w:r w:rsidR="00B06F13">
        <w:t xml:space="preserve"> discussion of insular politics </w:t>
      </w:r>
      <w:r w:rsidR="0014235A">
        <w:t xml:space="preserve">too </w:t>
      </w:r>
      <w:r w:rsidR="00B06F13">
        <w:t>opens itself up to admit a profound interest in England’s warri</w:t>
      </w:r>
      <w:r w:rsidR="008B2F04">
        <w:t>ng neighbor across the Channel.</w:t>
      </w:r>
    </w:p>
    <w:p w14:paraId="7E2812CB" w14:textId="77777777" w:rsidR="00BC3C0E" w:rsidRPr="002222E2" w:rsidRDefault="0014235A" w:rsidP="002222E2">
      <w:pPr>
        <w:ind w:firstLine="720"/>
      </w:pPr>
      <w:r>
        <w:t xml:space="preserve">I propose then another reading of the mouse’s warning to its fellow rodents concerning the ultimate usefulness of submitting to authority and the inability of the rodents’ to </w:t>
      </w:r>
      <w:r w:rsidR="00973846">
        <w:t>self-</w:t>
      </w:r>
      <w:r>
        <w:t>govern that might make sense of these</w:t>
      </w:r>
      <w:r w:rsidR="00CD240C">
        <w:t xml:space="preserve"> strange</w:t>
      </w:r>
      <w:r>
        <w:t xml:space="preserve"> invocations of France. Langland’s mouse is neither pro-royalist nor anti-parliamentarian: it is simply reminding the other rodents that the </w:t>
      </w:r>
      <w:r w:rsidR="00EE03C5">
        <w:t xml:space="preserve">wartime state of the realm demands a strong ruler, with whose authority the rodents need to comply for the greater good of England </w:t>
      </w:r>
      <w:r w:rsidR="00B70773">
        <w:t>in its</w:t>
      </w:r>
      <w:r w:rsidR="00EE03C5">
        <w:t xml:space="preserve"> ongoing conflict with France. If we accept the topical application of the fable to the events of the Good Parliament of 1376 and the </w:t>
      </w:r>
      <w:r w:rsidR="0095286F">
        <w:t>Hilary</w:t>
      </w:r>
      <w:r w:rsidR="00EE03C5">
        <w:t xml:space="preserve"> Parliament of 1377, t</w:t>
      </w:r>
      <w:r w:rsidR="00B70773">
        <w:t>hen we cannot get away from</w:t>
      </w:r>
      <w:r w:rsidR="0095286F">
        <w:t xml:space="preserve"> the</w:t>
      </w:r>
      <w:r w:rsidR="00B70773">
        <w:t xml:space="preserve"> critical issues, </w:t>
      </w:r>
      <w:r w:rsidR="00CD240C">
        <w:t xml:space="preserve">continuously </w:t>
      </w:r>
      <w:r w:rsidR="00B70773">
        <w:t>voiced</w:t>
      </w:r>
      <w:r w:rsidR="00CD240C">
        <w:t xml:space="preserve"> in parliament in precisely this</w:t>
      </w:r>
      <w:r w:rsidR="00B70773">
        <w:t xml:space="preserve"> period, surrounding the</w:t>
      </w:r>
      <w:r w:rsidR="00EE03C5">
        <w:t xml:space="preserve"> Hundred Years War</w:t>
      </w:r>
      <w:r w:rsidR="00870E5F">
        <w:t xml:space="preserve">. </w:t>
      </w:r>
      <w:r w:rsidR="007F1B5C">
        <w:t xml:space="preserve">The war with France had been going on continuously in favor of the French since 1369, and the early 1370s brought a series of major losses for the English: the naval battle of La Rochelle and the reconquest of Poitou and </w:t>
      </w:r>
      <w:r w:rsidR="007F1B5C">
        <w:lastRenderedPageBreak/>
        <w:t>surrounding areas by Bertrand du Guesclin in 1372</w:t>
      </w:r>
      <w:r w:rsidR="0095286F">
        <w:t>,</w:t>
      </w:r>
      <w:r w:rsidR="007F1B5C">
        <w:t xml:space="preserve"> </w:t>
      </w:r>
      <w:r w:rsidR="00B70773">
        <w:t>as well as</w:t>
      </w:r>
      <w:r w:rsidR="007F1B5C">
        <w:t xml:space="preserve"> the reconquest of tracts of English-controlled Brittany by du</w:t>
      </w:r>
      <w:r w:rsidR="00DD625D">
        <w:t xml:space="preserve"> Guesclin in 1373, which left Saint-</w:t>
      </w:r>
      <w:proofErr w:type="spellStart"/>
      <w:r w:rsidR="007F1B5C">
        <w:t>Sauveur</w:t>
      </w:r>
      <w:proofErr w:type="spellEnd"/>
      <w:r w:rsidR="007F1B5C">
        <w:t xml:space="preserve"> as the dominant English foothold in northwestern France. English attempts to reverse the situation in 1373-74, the main expedition led notably by Gaunt himself, amounted to little and incur</w:t>
      </w:r>
      <w:r w:rsidR="0095286F">
        <w:t>red great losses of manpower. In</w:t>
      </w:r>
      <w:r w:rsidR="007F1B5C">
        <w:t xml:space="preserve"> particular, a</w:t>
      </w:r>
      <w:r w:rsidR="005872EE">
        <w:t xml:space="preserve"> costly</w:t>
      </w:r>
      <w:r w:rsidR="007F1B5C">
        <w:t xml:space="preserve"> 1374 expedition to relieve English forces g</w:t>
      </w:r>
      <w:r w:rsidR="00DD625D">
        <w:t xml:space="preserve">arrisoned at </w:t>
      </w:r>
      <w:proofErr w:type="spellStart"/>
      <w:r w:rsidR="00DD625D">
        <w:t>Bécherel</w:t>
      </w:r>
      <w:proofErr w:type="spellEnd"/>
      <w:r w:rsidR="00DD625D">
        <w:t xml:space="preserve"> and at Saint-</w:t>
      </w:r>
      <w:proofErr w:type="spellStart"/>
      <w:r w:rsidR="007F1B5C">
        <w:t>Sauveur</w:t>
      </w:r>
      <w:proofErr w:type="spellEnd"/>
      <w:r w:rsidR="007F1B5C">
        <w:t xml:space="preserve"> in Normandy was delayed in the winter of 1374-75</w:t>
      </w:r>
      <w:r w:rsidR="00B2442C">
        <w:t xml:space="preserve">, and </w:t>
      </w:r>
      <w:proofErr w:type="spellStart"/>
      <w:r w:rsidR="00B2442C">
        <w:t>Bécherel</w:t>
      </w:r>
      <w:proofErr w:type="spellEnd"/>
      <w:r w:rsidR="00B2442C">
        <w:t xml:space="preserve"> was subsequently lost</w:t>
      </w:r>
      <w:r w:rsidR="00870E5F">
        <w:t>. The Good Parliament itself took place not a month after</w:t>
      </w:r>
      <w:r w:rsidR="00DE067D">
        <w:t xml:space="preserve"> the failur</w:t>
      </w:r>
      <w:r w:rsidR="00C4407E">
        <w:t xml:space="preserve">e of </w:t>
      </w:r>
      <w:r w:rsidR="00870E5F">
        <w:t xml:space="preserve">year-long papal-brokered </w:t>
      </w:r>
      <w:r w:rsidR="00C4407E">
        <w:t>peace talks betwe</w:t>
      </w:r>
      <w:r w:rsidR="00901337">
        <w:t>en England and France at Bruges, which</w:t>
      </w:r>
      <w:r w:rsidR="00870E5F">
        <w:t xml:space="preserve"> resulted in </w:t>
      </w:r>
      <w:r w:rsidR="00CD240C">
        <w:t xml:space="preserve">but </w:t>
      </w:r>
      <w:r w:rsidR="00870E5F">
        <w:t xml:space="preserve">two </w:t>
      </w:r>
      <w:r w:rsidR="007C0091">
        <w:t>brief</w:t>
      </w:r>
      <w:r w:rsidR="00870E5F">
        <w:t xml:space="preserve"> truce agreement</w:t>
      </w:r>
      <w:r w:rsidR="00901337">
        <w:t>s</w:t>
      </w:r>
      <w:r w:rsidR="00870E5F">
        <w:t xml:space="preserve"> and</w:t>
      </w:r>
      <w:r w:rsidR="00B2442C">
        <w:t xml:space="preserve"> further</w:t>
      </w:r>
      <w:r w:rsidR="00870E5F">
        <w:t xml:space="preserve"> involved the</w:t>
      </w:r>
      <w:r w:rsidR="00901337">
        <w:t xml:space="preserve"> </w:t>
      </w:r>
      <w:r w:rsidR="00D41ECD">
        <w:t>sale</w:t>
      </w:r>
      <w:r w:rsidR="00E11C9E">
        <w:t xml:space="preserve"> and surrender</w:t>
      </w:r>
      <w:r w:rsidR="00DD625D">
        <w:t xml:space="preserve"> of Saint-</w:t>
      </w:r>
      <w:proofErr w:type="spellStart"/>
      <w:r w:rsidR="00B70773">
        <w:t>Sauveur</w:t>
      </w:r>
      <w:proofErr w:type="spellEnd"/>
      <w:r w:rsidR="00D41ECD">
        <w:t xml:space="preserve"> to the French in 1375</w:t>
      </w:r>
      <w:r w:rsidR="00E11C9E">
        <w:t xml:space="preserve"> when the truce failed to be observed</w:t>
      </w:r>
      <w:r w:rsidR="00870E5F">
        <w:t>.</w:t>
      </w:r>
      <w:r w:rsidR="00870E5F">
        <w:rPr>
          <w:rStyle w:val="FootnoteReference"/>
        </w:rPr>
        <w:footnoteReference w:id="46"/>
      </w:r>
    </w:p>
    <w:p w14:paraId="6265DFB1" w14:textId="77777777" w:rsidR="00BC3C0E" w:rsidRDefault="00EE03C5" w:rsidP="00E158D9">
      <w:pPr>
        <w:ind w:firstLine="720"/>
      </w:pPr>
      <w:r>
        <w:t xml:space="preserve">Indeed, according to the </w:t>
      </w:r>
      <w:proofErr w:type="spellStart"/>
      <w:r w:rsidRPr="00DE067D">
        <w:rPr>
          <w:i/>
        </w:rPr>
        <w:t>Anonimalle</w:t>
      </w:r>
      <w:proofErr w:type="spellEnd"/>
      <w:r w:rsidRPr="00DE067D">
        <w:rPr>
          <w:i/>
        </w:rPr>
        <w:t xml:space="preserve"> Chronicle</w:t>
      </w:r>
      <w:r>
        <w:t xml:space="preserve">, </w:t>
      </w:r>
      <w:r w:rsidR="00FF5D76">
        <w:t xml:space="preserve">our most comprehensive documentation of the Good Parliament, derived from the account of a possible eyewitness, </w:t>
      </w:r>
      <w:r>
        <w:t>the war was</w:t>
      </w:r>
      <w:r w:rsidR="007654F9">
        <w:t xml:space="preserve"> </w:t>
      </w:r>
      <w:r w:rsidR="0012149E">
        <w:t>everywhere</w:t>
      </w:r>
      <w:r>
        <w:t xml:space="preserve"> central to the Commons’ litany of complaints before the Lords and John of Gaunt.</w:t>
      </w:r>
      <w:r w:rsidR="00FF5D76">
        <w:rPr>
          <w:rStyle w:val="FootnoteReference"/>
        </w:rPr>
        <w:footnoteReference w:id="47"/>
      </w:r>
      <w:r w:rsidR="002222E2">
        <w:t xml:space="preserve"> The </w:t>
      </w:r>
      <w:proofErr w:type="spellStart"/>
      <w:r w:rsidR="00E3702D" w:rsidRPr="00E3702D">
        <w:rPr>
          <w:i/>
        </w:rPr>
        <w:t>Anonimalle</w:t>
      </w:r>
      <w:r w:rsidR="00E3702D">
        <w:t>’s</w:t>
      </w:r>
      <w:proofErr w:type="spellEnd"/>
      <w:r w:rsidR="002222E2">
        <w:t xml:space="preserve"> account of the parliament is immediately preceded by mention of the Bruges talks, whic</w:t>
      </w:r>
      <w:r w:rsidR="0012149E">
        <w:t>h are dismissed as having been ‘</w:t>
      </w:r>
      <w:r w:rsidR="002222E2">
        <w:t>a</w:t>
      </w:r>
      <w:r w:rsidR="0012149E">
        <w:t xml:space="preserve"> excessive </w:t>
      </w:r>
      <w:proofErr w:type="spellStart"/>
      <w:r w:rsidR="0012149E">
        <w:t>costage</w:t>
      </w:r>
      <w:proofErr w:type="spellEnd"/>
      <w:r w:rsidR="0012149E">
        <w:t xml:space="preserve"> </w:t>
      </w:r>
      <w:proofErr w:type="spellStart"/>
      <w:r w:rsidR="0012149E">
        <w:t>saunz</w:t>
      </w:r>
      <w:proofErr w:type="spellEnd"/>
      <w:r w:rsidR="0012149E">
        <w:t xml:space="preserve"> profit’</w:t>
      </w:r>
      <w:r w:rsidR="002222E2">
        <w:t xml:space="preserve"> (at excessive cost without profit).</w:t>
      </w:r>
      <w:r w:rsidR="002222E2">
        <w:rPr>
          <w:rStyle w:val="FootnoteReference"/>
        </w:rPr>
        <w:footnoteReference w:id="48"/>
      </w:r>
      <w:r w:rsidR="00E3702D">
        <w:t xml:space="preserve"> The</w:t>
      </w:r>
      <w:r w:rsidR="00B70773">
        <w:t xml:space="preserve"> </w:t>
      </w:r>
      <w:r w:rsidR="00E3702D">
        <w:t>text</w:t>
      </w:r>
      <w:r w:rsidR="00A2194B">
        <w:t xml:space="preserve"> then details the </w:t>
      </w:r>
      <w:r w:rsidR="00E3702D">
        <w:t xml:space="preserve">very </w:t>
      </w:r>
      <w:r w:rsidR="00E158D9">
        <w:t>first oration</w:t>
      </w:r>
      <w:r w:rsidR="00E3702D">
        <w:t xml:space="preserve"> of the Good Parliament,</w:t>
      </w:r>
      <w:r w:rsidR="00A2194B">
        <w:t xml:space="preserve"> by John </w:t>
      </w:r>
      <w:proofErr w:type="spellStart"/>
      <w:r w:rsidR="00A2194B">
        <w:t>Knyvet</w:t>
      </w:r>
      <w:proofErr w:type="spellEnd"/>
      <w:r w:rsidR="00A2194B">
        <w:t>, Chancellor of England, befor</w:t>
      </w:r>
      <w:r w:rsidR="00E158D9">
        <w:t xml:space="preserve">e both houses and the king, which </w:t>
      </w:r>
      <w:proofErr w:type="spellStart"/>
      <w:r w:rsidR="00E158D9">
        <w:t>Knyvet</w:t>
      </w:r>
      <w:proofErr w:type="spellEnd"/>
      <w:r w:rsidR="00E158D9">
        <w:t xml:space="preserve"> opens by emphasizing that England is in imminent danger from France, Spain, Gascony, Flanders, and Scotland, and he therefor</w:t>
      </w:r>
      <w:r w:rsidR="00B70773">
        <w:t>e asks the king’s help</w:t>
      </w:r>
      <w:r w:rsidR="00E158D9">
        <w:t>.</w:t>
      </w:r>
      <w:r w:rsidR="00A2194B">
        <w:rPr>
          <w:rStyle w:val="FootnoteReference"/>
        </w:rPr>
        <w:footnoteReference w:id="49"/>
      </w:r>
      <w:r w:rsidR="00A2194B">
        <w:t xml:space="preserve"> When the Commons retire to private session, the first </w:t>
      </w:r>
      <w:r w:rsidR="00B70773">
        <w:t>person to speak</w:t>
      </w:r>
      <w:r w:rsidR="00E3702D">
        <w:t xml:space="preserve"> there</w:t>
      </w:r>
      <w:r w:rsidR="00A2194B">
        <w:t xml:space="preserve"> opens his address to the </w:t>
      </w:r>
      <w:r w:rsidR="00B70773">
        <w:t xml:space="preserve">Commons </w:t>
      </w:r>
      <w:r w:rsidR="00A2194B">
        <w:t>assembly by protesting the im</w:t>
      </w:r>
      <w:r w:rsidR="00031F49">
        <w:t xml:space="preserve">position of any more subsidies because </w:t>
      </w:r>
      <w:r w:rsidR="0012149E">
        <w:t>‘</w:t>
      </w:r>
      <w:proofErr w:type="spellStart"/>
      <w:r w:rsidR="00A2194B">
        <w:t>toute</w:t>
      </w:r>
      <w:proofErr w:type="spellEnd"/>
      <w:r w:rsidR="00A2194B">
        <w:t xml:space="preserve"> </w:t>
      </w:r>
      <w:proofErr w:type="spellStart"/>
      <w:r w:rsidR="00A2194B">
        <w:t>qe</w:t>
      </w:r>
      <w:proofErr w:type="spellEnd"/>
      <w:r w:rsidR="00A2194B">
        <w:t xml:space="preserve"> nous </w:t>
      </w:r>
      <w:proofErr w:type="spellStart"/>
      <w:r w:rsidR="00A2194B">
        <w:t>avoms</w:t>
      </w:r>
      <w:proofErr w:type="spellEnd"/>
      <w:r w:rsidR="00A2194B">
        <w:t xml:space="preserve"> done a la guerre</w:t>
      </w:r>
      <w:r w:rsidR="0012149E">
        <w:t xml:space="preserve"> par </w:t>
      </w:r>
      <w:proofErr w:type="spellStart"/>
      <w:r w:rsidR="0012149E">
        <w:t>longe</w:t>
      </w:r>
      <w:proofErr w:type="spellEnd"/>
      <w:r w:rsidR="0012149E">
        <w:t xml:space="preserve"> </w:t>
      </w:r>
      <w:proofErr w:type="spellStart"/>
      <w:r w:rsidR="0012149E">
        <w:t>tenps</w:t>
      </w:r>
      <w:proofErr w:type="spellEnd"/>
      <w:r w:rsidR="0012149E">
        <w:t xml:space="preserve"> </w:t>
      </w:r>
      <w:proofErr w:type="spellStart"/>
      <w:r w:rsidR="0012149E">
        <w:t>avoms</w:t>
      </w:r>
      <w:proofErr w:type="spellEnd"/>
      <w:r w:rsidR="0012149E">
        <w:t xml:space="preserve"> </w:t>
      </w:r>
      <w:proofErr w:type="spellStart"/>
      <w:r w:rsidR="0012149E">
        <w:t>perdeu</w:t>
      </w:r>
      <w:proofErr w:type="spellEnd"/>
      <w:r w:rsidR="0012149E">
        <w:t>’ (</w:t>
      </w:r>
      <w:r w:rsidR="00A2194B">
        <w:t>everything we have given towards the war for a long time, we have lost).</w:t>
      </w:r>
      <w:r w:rsidR="00E158D9">
        <w:rPr>
          <w:rStyle w:val="FootnoteReference"/>
        </w:rPr>
        <w:footnoteReference w:id="50"/>
      </w:r>
      <w:r w:rsidR="00A2194B">
        <w:t xml:space="preserve"> </w:t>
      </w:r>
      <w:r w:rsidR="00E3702D">
        <w:t>The</w:t>
      </w:r>
      <w:r w:rsidR="00B70773">
        <w:t xml:space="preserve"> </w:t>
      </w:r>
      <w:proofErr w:type="spellStart"/>
      <w:r w:rsidR="00B70773" w:rsidRPr="0036093A">
        <w:rPr>
          <w:i/>
        </w:rPr>
        <w:t>Anonimalle</w:t>
      </w:r>
      <w:proofErr w:type="spellEnd"/>
      <w:r w:rsidR="00B70773">
        <w:t xml:space="preserve"> </w:t>
      </w:r>
      <w:r w:rsidR="00E3702D">
        <w:t xml:space="preserve">then </w:t>
      </w:r>
      <w:r w:rsidR="00B70773">
        <w:t xml:space="preserve">has </w:t>
      </w:r>
      <w:r w:rsidR="00E158D9">
        <w:t xml:space="preserve">Peter de la Mare’s first expression of the Commons’ demands before the Lords and Gaunt </w:t>
      </w:r>
      <w:r w:rsidR="00B70773">
        <w:t>begin</w:t>
      </w:r>
      <w:r w:rsidR="00E158D9">
        <w:t xml:space="preserve"> in the following </w:t>
      </w:r>
      <w:r w:rsidR="00CA5943">
        <w:t>manner</w:t>
      </w:r>
      <w:r w:rsidR="00E158D9">
        <w:t xml:space="preserve">: </w:t>
      </w:r>
    </w:p>
    <w:p w14:paraId="79438381" w14:textId="77777777" w:rsidR="00E158D9" w:rsidRDefault="00E158D9" w:rsidP="00E158D9">
      <w:pPr>
        <w:ind w:firstLine="720"/>
      </w:pPr>
    </w:p>
    <w:p w14:paraId="2E18F5E2" w14:textId="77777777" w:rsidR="00E158D9" w:rsidRPr="0012149E" w:rsidRDefault="00347C34" w:rsidP="007654F9">
      <w:pPr>
        <w:ind w:left="720"/>
        <w:rPr>
          <w:sz w:val="20"/>
          <w:szCs w:val="20"/>
        </w:rPr>
      </w:pPr>
      <w:r w:rsidRPr="0012149E">
        <w:rPr>
          <w:sz w:val="20"/>
          <w:szCs w:val="20"/>
        </w:rPr>
        <w:t xml:space="preserve">Et </w:t>
      </w:r>
      <w:proofErr w:type="spellStart"/>
      <w:r w:rsidRPr="0012149E">
        <w:rPr>
          <w:sz w:val="20"/>
          <w:szCs w:val="20"/>
        </w:rPr>
        <w:t>qua</w:t>
      </w:r>
      <w:r w:rsidR="00CA5943">
        <w:rPr>
          <w:sz w:val="20"/>
          <w:szCs w:val="20"/>
        </w:rPr>
        <w:t>u</w:t>
      </w:r>
      <w:r w:rsidRPr="0012149E">
        <w:rPr>
          <w:sz w:val="20"/>
          <w:szCs w:val="20"/>
        </w:rPr>
        <w:t>nt</w:t>
      </w:r>
      <w:proofErr w:type="spellEnd"/>
      <w:r w:rsidRPr="0012149E">
        <w:rPr>
          <w:sz w:val="20"/>
          <w:szCs w:val="20"/>
        </w:rPr>
        <w:t xml:space="preserve"> a </w:t>
      </w:r>
      <w:proofErr w:type="spellStart"/>
      <w:r w:rsidRPr="0012149E">
        <w:rPr>
          <w:sz w:val="20"/>
          <w:szCs w:val="20"/>
        </w:rPr>
        <w:t>nostre</w:t>
      </w:r>
      <w:proofErr w:type="spellEnd"/>
      <w:r w:rsidRPr="0012149E">
        <w:rPr>
          <w:sz w:val="20"/>
          <w:szCs w:val="20"/>
        </w:rPr>
        <w:t xml:space="preserve"> mater nous </w:t>
      </w:r>
      <w:proofErr w:type="spellStart"/>
      <w:r w:rsidRPr="0012149E">
        <w:rPr>
          <w:sz w:val="20"/>
          <w:szCs w:val="20"/>
        </w:rPr>
        <w:t>sumez</w:t>
      </w:r>
      <w:proofErr w:type="spellEnd"/>
      <w:r w:rsidRPr="0012149E">
        <w:rPr>
          <w:sz w:val="20"/>
          <w:szCs w:val="20"/>
        </w:rPr>
        <w:t xml:space="preserve"> </w:t>
      </w:r>
      <w:proofErr w:type="spellStart"/>
      <w:r w:rsidRPr="0012149E">
        <w:rPr>
          <w:sz w:val="20"/>
          <w:szCs w:val="20"/>
        </w:rPr>
        <w:t>avyse</w:t>
      </w:r>
      <w:proofErr w:type="spellEnd"/>
      <w:r w:rsidRPr="0012149E">
        <w:rPr>
          <w:sz w:val="20"/>
          <w:szCs w:val="20"/>
        </w:rPr>
        <w:t xml:space="preserve"> par </w:t>
      </w:r>
      <w:proofErr w:type="spellStart"/>
      <w:r w:rsidRPr="0012149E">
        <w:rPr>
          <w:sz w:val="20"/>
          <w:szCs w:val="20"/>
        </w:rPr>
        <w:t>nostre</w:t>
      </w:r>
      <w:proofErr w:type="spellEnd"/>
      <w:r w:rsidRPr="0012149E">
        <w:rPr>
          <w:sz w:val="20"/>
          <w:szCs w:val="20"/>
        </w:rPr>
        <w:t xml:space="preserve"> </w:t>
      </w:r>
      <w:proofErr w:type="spellStart"/>
      <w:r w:rsidRPr="0012149E">
        <w:rPr>
          <w:sz w:val="20"/>
          <w:szCs w:val="20"/>
        </w:rPr>
        <w:t>conseil</w:t>
      </w:r>
      <w:proofErr w:type="spellEnd"/>
      <w:r w:rsidRPr="0012149E">
        <w:rPr>
          <w:sz w:val="20"/>
          <w:szCs w:val="20"/>
        </w:rPr>
        <w:t xml:space="preserve"> la </w:t>
      </w:r>
      <w:proofErr w:type="spellStart"/>
      <w:r w:rsidRPr="0012149E">
        <w:rPr>
          <w:sz w:val="20"/>
          <w:szCs w:val="20"/>
        </w:rPr>
        <w:t>ou</w:t>
      </w:r>
      <w:proofErr w:type="spellEnd"/>
      <w:r w:rsidRPr="0012149E">
        <w:rPr>
          <w:sz w:val="20"/>
          <w:szCs w:val="20"/>
        </w:rPr>
        <w:t xml:space="preserve"> </w:t>
      </w:r>
      <w:proofErr w:type="spellStart"/>
      <w:r w:rsidRPr="0012149E">
        <w:rPr>
          <w:sz w:val="20"/>
          <w:szCs w:val="20"/>
        </w:rPr>
        <w:t>nostre</w:t>
      </w:r>
      <w:proofErr w:type="spellEnd"/>
      <w:r w:rsidRPr="0012149E">
        <w:rPr>
          <w:sz w:val="20"/>
          <w:szCs w:val="20"/>
        </w:rPr>
        <w:t xml:space="preserve"> </w:t>
      </w:r>
      <w:proofErr w:type="spellStart"/>
      <w:r w:rsidRPr="0012149E">
        <w:rPr>
          <w:sz w:val="20"/>
          <w:szCs w:val="20"/>
        </w:rPr>
        <w:t>seignur</w:t>
      </w:r>
      <w:proofErr w:type="spellEnd"/>
      <w:r w:rsidRPr="0012149E">
        <w:rPr>
          <w:sz w:val="20"/>
          <w:szCs w:val="20"/>
        </w:rPr>
        <w:t xml:space="preserve"> le </w:t>
      </w:r>
      <w:proofErr w:type="spellStart"/>
      <w:r w:rsidRPr="0012149E">
        <w:rPr>
          <w:sz w:val="20"/>
          <w:szCs w:val="20"/>
        </w:rPr>
        <w:t>roy</w:t>
      </w:r>
      <w:proofErr w:type="spellEnd"/>
      <w:r w:rsidRPr="0012149E">
        <w:rPr>
          <w:sz w:val="20"/>
          <w:szCs w:val="20"/>
        </w:rPr>
        <w:t xml:space="preserve"> </w:t>
      </w:r>
      <w:proofErr w:type="spellStart"/>
      <w:r w:rsidRPr="0012149E">
        <w:rPr>
          <w:sz w:val="20"/>
          <w:szCs w:val="20"/>
        </w:rPr>
        <w:t>demaunde</w:t>
      </w:r>
      <w:proofErr w:type="spellEnd"/>
      <w:r w:rsidRPr="0012149E">
        <w:rPr>
          <w:sz w:val="20"/>
          <w:szCs w:val="20"/>
        </w:rPr>
        <w:t xml:space="preserve"> </w:t>
      </w:r>
      <w:proofErr w:type="spellStart"/>
      <w:r w:rsidRPr="0012149E">
        <w:rPr>
          <w:sz w:val="20"/>
          <w:szCs w:val="20"/>
        </w:rPr>
        <w:t>une</w:t>
      </w:r>
      <w:proofErr w:type="spellEnd"/>
      <w:r w:rsidRPr="0012149E">
        <w:rPr>
          <w:sz w:val="20"/>
          <w:szCs w:val="20"/>
        </w:rPr>
        <w:t xml:space="preserve"> </w:t>
      </w:r>
      <w:proofErr w:type="spellStart"/>
      <w:r w:rsidRPr="0012149E">
        <w:rPr>
          <w:sz w:val="20"/>
          <w:szCs w:val="20"/>
        </w:rPr>
        <w:t>disme</w:t>
      </w:r>
      <w:proofErr w:type="spellEnd"/>
      <w:r w:rsidRPr="0012149E">
        <w:rPr>
          <w:sz w:val="20"/>
          <w:szCs w:val="20"/>
        </w:rPr>
        <w:t xml:space="preserve"> et </w:t>
      </w:r>
      <w:proofErr w:type="spellStart"/>
      <w:r w:rsidRPr="0012149E">
        <w:rPr>
          <w:sz w:val="20"/>
          <w:szCs w:val="20"/>
        </w:rPr>
        <w:t>une</w:t>
      </w:r>
      <w:proofErr w:type="spellEnd"/>
      <w:r w:rsidRPr="0012149E">
        <w:rPr>
          <w:sz w:val="20"/>
          <w:szCs w:val="20"/>
        </w:rPr>
        <w:t xml:space="preserve"> </w:t>
      </w:r>
      <w:proofErr w:type="spellStart"/>
      <w:r w:rsidRPr="0012149E">
        <w:rPr>
          <w:sz w:val="20"/>
          <w:szCs w:val="20"/>
        </w:rPr>
        <w:t>quinszime</w:t>
      </w:r>
      <w:proofErr w:type="spellEnd"/>
      <w:r w:rsidRPr="0012149E">
        <w:rPr>
          <w:sz w:val="20"/>
          <w:szCs w:val="20"/>
        </w:rPr>
        <w:t xml:space="preserve"> et le </w:t>
      </w:r>
      <w:proofErr w:type="spellStart"/>
      <w:r w:rsidRPr="0012149E">
        <w:rPr>
          <w:sz w:val="20"/>
          <w:szCs w:val="20"/>
        </w:rPr>
        <w:t>custome</w:t>
      </w:r>
      <w:proofErr w:type="spellEnd"/>
      <w:r w:rsidRPr="0012149E">
        <w:rPr>
          <w:sz w:val="20"/>
          <w:szCs w:val="20"/>
        </w:rPr>
        <w:t xml:space="preserve"> des </w:t>
      </w:r>
      <w:proofErr w:type="spellStart"/>
      <w:r w:rsidRPr="0012149E">
        <w:rPr>
          <w:sz w:val="20"/>
          <w:szCs w:val="20"/>
        </w:rPr>
        <w:t>layns</w:t>
      </w:r>
      <w:proofErr w:type="spellEnd"/>
      <w:r w:rsidRPr="0012149E">
        <w:rPr>
          <w:sz w:val="20"/>
          <w:szCs w:val="20"/>
        </w:rPr>
        <w:t xml:space="preserve"> et des </w:t>
      </w:r>
      <w:proofErr w:type="spellStart"/>
      <w:r w:rsidRPr="0012149E">
        <w:rPr>
          <w:sz w:val="20"/>
          <w:szCs w:val="20"/>
        </w:rPr>
        <w:t>chescune</w:t>
      </w:r>
      <w:proofErr w:type="spellEnd"/>
      <w:r w:rsidRPr="0012149E">
        <w:rPr>
          <w:sz w:val="20"/>
          <w:szCs w:val="20"/>
        </w:rPr>
        <w:t xml:space="preserve"> </w:t>
      </w:r>
      <w:proofErr w:type="spellStart"/>
      <w:r w:rsidRPr="0012149E">
        <w:rPr>
          <w:sz w:val="20"/>
          <w:szCs w:val="20"/>
        </w:rPr>
        <w:t>livere</w:t>
      </w:r>
      <w:proofErr w:type="spellEnd"/>
      <w:r w:rsidRPr="0012149E">
        <w:rPr>
          <w:sz w:val="20"/>
          <w:szCs w:val="20"/>
        </w:rPr>
        <w:t xml:space="preserve"> de </w:t>
      </w:r>
      <w:proofErr w:type="spellStart"/>
      <w:r w:rsidRPr="0012149E">
        <w:rPr>
          <w:sz w:val="20"/>
          <w:szCs w:val="20"/>
        </w:rPr>
        <w:t>marchaundys</w:t>
      </w:r>
      <w:proofErr w:type="spellEnd"/>
      <w:r w:rsidRPr="0012149E">
        <w:rPr>
          <w:sz w:val="20"/>
          <w:szCs w:val="20"/>
        </w:rPr>
        <w:t xml:space="preserve"> xii deniers </w:t>
      </w:r>
      <w:proofErr w:type="spellStart"/>
      <w:r w:rsidRPr="0012149E">
        <w:rPr>
          <w:sz w:val="20"/>
          <w:szCs w:val="20"/>
        </w:rPr>
        <w:t>pur</w:t>
      </w:r>
      <w:proofErr w:type="spellEnd"/>
      <w:r w:rsidRPr="0012149E">
        <w:rPr>
          <w:sz w:val="20"/>
          <w:szCs w:val="20"/>
        </w:rPr>
        <w:t xml:space="preserve"> </w:t>
      </w:r>
      <w:proofErr w:type="spellStart"/>
      <w:r w:rsidRPr="0012149E">
        <w:rPr>
          <w:sz w:val="20"/>
          <w:szCs w:val="20"/>
        </w:rPr>
        <w:t>sa</w:t>
      </w:r>
      <w:proofErr w:type="spellEnd"/>
      <w:r w:rsidRPr="0012149E">
        <w:rPr>
          <w:sz w:val="20"/>
          <w:szCs w:val="20"/>
        </w:rPr>
        <w:t xml:space="preserve"> guerre </w:t>
      </w:r>
      <w:proofErr w:type="spellStart"/>
      <w:r w:rsidRPr="0012149E">
        <w:rPr>
          <w:sz w:val="20"/>
          <w:szCs w:val="20"/>
        </w:rPr>
        <w:t>mayntener</w:t>
      </w:r>
      <w:proofErr w:type="spellEnd"/>
      <w:r w:rsidRPr="0012149E">
        <w:rPr>
          <w:sz w:val="20"/>
          <w:szCs w:val="20"/>
        </w:rPr>
        <w:t xml:space="preserve"> </w:t>
      </w:r>
      <w:proofErr w:type="spellStart"/>
      <w:r w:rsidRPr="0012149E">
        <w:rPr>
          <w:sz w:val="20"/>
          <w:szCs w:val="20"/>
        </w:rPr>
        <w:t>encontre</w:t>
      </w:r>
      <w:proofErr w:type="spellEnd"/>
      <w:r w:rsidRPr="0012149E">
        <w:rPr>
          <w:sz w:val="20"/>
          <w:szCs w:val="20"/>
        </w:rPr>
        <w:t xml:space="preserve"> </w:t>
      </w:r>
      <w:proofErr w:type="spellStart"/>
      <w:r w:rsidRPr="0012149E">
        <w:rPr>
          <w:sz w:val="20"/>
          <w:szCs w:val="20"/>
        </w:rPr>
        <w:t>ses</w:t>
      </w:r>
      <w:proofErr w:type="spellEnd"/>
      <w:r w:rsidRPr="0012149E">
        <w:rPr>
          <w:sz w:val="20"/>
          <w:szCs w:val="20"/>
        </w:rPr>
        <w:t xml:space="preserve"> </w:t>
      </w:r>
      <w:proofErr w:type="spellStart"/>
      <w:r w:rsidRPr="0012149E">
        <w:rPr>
          <w:sz w:val="20"/>
          <w:szCs w:val="20"/>
        </w:rPr>
        <w:t>enemys</w:t>
      </w:r>
      <w:proofErr w:type="spellEnd"/>
      <w:r w:rsidRPr="0012149E">
        <w:rPr>
          <w:sz w:val="20"/>
          <w:szCs w:val="20"/>
        </w:rPr>
        <w:t xml:space="preserve">, nous </w:t>
      </w:r>
      <w:proofErr w:type="spellStart"/>
      <w:r w:rsidRPr="0012149E">
        <w:rPr>
          <w:sz w:val="20"/>
          <w:szCs w:val="20"/>
        </w:rPr>
        <w:t>dioms</w:t>
      </w:r>
      <w:proofErr w:type="spellEnd"/>
      <w:r w:rsidRPr="0012149E">
        <w:rPr>
          <w:sz w:val="20"/>
          <w:szCs w:val="20"/>
        </w:rPr>
        <w:t xml:space="preserve"> </w:t>
      </w:r>
      <w:proofErr w:type="spellStart"/>
      <w:r w:rsidRPr="0012149E">
        <w:rPr>
          <w:sz w:val="20"/>
          <w:szCs w:val="20"/>
        </w:rPr>
        <w:t>qe</w:t>
      </w:r>
      <w:proofErr w:type="spellEnd"/>
      <w:r w:rsidRPr="0012149E">
        <w:rPr>
          <w:sz w:val="20"/>
          <w:szCs w:val="20"/>
        </w:rPr>
        <w:t xml:space="preserve">, </w:t>
      </w:r>
      <w:proofErr w:type="spellStart"/>
      <w:r w:rsidRPr="0012149E">
        <w:rPr>
          <w:sz w:val="20"/>
          <w:szCs w:val="20"/>
        </w:rPr>
        <w:t>sil</w:t>
      </w:r>
      <w:proofErr w:type="spellEnd"/>
      <w:r w:rsidRPr="0012149E">
        <w:rPr>
          <w:sz w:val="20"/>
          <w:szCs w:val="20"/>
        </w:rPr>
        <w:t xml:space="preserve"> </w:t>
      </w:r>
      <w:proofErr w:type="spellStart"/>
      <w:r w:rsidRPr="0012149E">
        <w:rPr>
          <w:sz w:val="20"/>
          <w:szCs w:val="20"/>
        </w:rPr>
        <w:t>fuist</w:t>
      </w:r>
      <w:proofErr w:type="spellEnd"/>
      <w:r w:rsidRPr="0012149E">
        <w:rPr>
          <w:sz w:val="20"/>
          <w:szCs w:val="20"/>
        </w:rPr>
        <w:t xml:space="preserve"> bien </w:t>
      </w:r>
      <w:proofErr w:type="spellStart"/>
      <w:r w:rsidRPr="0012149E">
        <w:rPr>
          <w:sz w:val="20"/>
          <w:szCs w:val="20"/>
        </w:rPr>
        <w:t>governe</w:t>
      </w:r>
      <w:proofErr w:type="spellEnd"/>
      <w:r w:rsidRPr="0012149E">
        <w:rPr>
          <w:sz w:val="20"/>
          <w:szCs w:val="20"/>
        </w:rPr>
        <w:t xml:space="preserve"> od </w:t>
      </w:r>
      <w:proofErr w:type="spellStart"/>
      <w:r w:rsidRPr="0012149E">
        <w:rPr>
          <w:sz w:val="20"/>
          <w:szCs w:val="20"/>
        </w:rPr>
        <w:t>ses</w:t>
      </w:r>
      <w:proofErr w:type="spellEnd"/>
      <w:r w:rsidRPr="0012149E">
        <w:rPr>
          <w:sz w:val="20"/>
          <w:szCs w:val="20"/>
        </w:rPr>
        <w:t xml:space="preserve"> </w:t>
      </w:r>
      <w:proofErr w:type="spellStart"/>
      <w:r w:rsidRPr="0012149E">
        <w:rPr>
          <w:sz w:val="20"/>
          <w:szCs w:val="20"/>
        </w:rPr>
        <w:t>ministres</w:t>
      </w:r>
      <w:proofErr w:type="spellEnd"/>
      <w:r w:rsidRPr="0012149E">
        <w:rPr>
          <w:sz w:val="20"/>
          <w:szCs w:val="20"/>
        </w:rPr>
        <w:t xml:space="preserve"> et </w:t>
      </w:r>
      <w:proofErr w:type="spellStart"/>
      <w:r w:rsidRPr="0012149E">
        <w:rPr>
          <w:sz w:val="20"/>
          <w:szCs w:val="20"/>
        </w:rPr>
        <w:t>soun</w:t>
      </w:r>
      <w:proofErr w:type="spellEnd"/>
      <w:r w:rsidRPr="0012149E">
        <w:rPr>
          <w:sz w:val="20"/>
          <w:szCs w:val="20"/>
        </w:rPr>
        <w:t xml:space="preserve"> </w:t>
      </w:r>
      <w:proofErr w:type="spellStart"/>
      <w:r w:rsidRPr="0012149E">
        <w:rPr>
          <w:sz w:val="20"/>
          <w:szCs w:val="20"/>
        </w:rPr>
        <w:t>tresor</w:t>
      </w:r>
      <w:proofErr w:type="spellEnd"/>
      <w:r w:rsidRPr="0012149E">
        <w:rPr>
          <w:sz w:val="20"/>
          <w:szCs w:val="20"/>
        </w:rPr>
        <w:t xml:space="preserve"> </w:t>
      </w:r>
      <w:proofErr w:type="spellStart"/>
      <w:r w:rsidRPr="0012149E">
        <w:rPr>
          <w:sz w:val="20"/>
          <w:szCs w:val="20"/>
        </w:rPr>
        <w:t>loialment</w:t>
      </w:r>
      <w:proofErr w:type="spellEnd"/>
      <w:r w:rsidRPr="0012149E">
        <w:rPr>
          <w:sz w:val="20"/>
          <w:szCs w:val="20"/>
        </w:rPr>
        <w:t xml:space="preserve"> et </w:t>
      </w:r>
      <w:proofErr w:type="spellStart"/>
      <w:r w:rsidRPr="0012149E">
        <w:rPr>
          <w:sz w:val="20"/>
          <w:szCs w:val="20"/>
        </w:rPr>
        <w:t>saunz</w:t>
      </w:r>
      <w:proofErr w:type="spellEnd"/>
      <w:r w:rsidRPr="0012149E">
        <w:rPr>
          <w:sz w:val="20"/>
          <w:szCs w:val="20"/>
        </w:rPr>
        <w:t xml:space="preserve"> </w:t>
      </w:r>
      <w:proofErr w:type="spellStart"/>
      <w:r w:rsidRPr="0012149E">
        <w:rPr>
          <w:sz w:val="20"/>
          <w:szCs w:val="20"/>
        </w:rPr>
        <w:t>gaste</w:t>
      </w:r>
      <w:proofErr w:type="spellEnd"/>
      <w:r w:rsidRPr="0012149E">
        <w:rPr>
          <w:sz w:val="20"/>
          <w:szCs w:val="20"/>
        </w:rPr>
        <w:t xml:space="preserve"> </w:t>
      </w:r>
      <w:proofErr w:type="spellStart"/>
      <w:r w:rsidRPr="0012149E">
        <w:rPr>
          <w:sz w:val="20"/>
          <w:szCs w:val="20"/>
        </w:rPr>
        <w:t>despendu</w:t>
      </w:r>
      <w:proofErr w:type="spellEnd"/>
      <w:r w:rsidRPr="0012149E">
        <w:rPr>
          <w:sz w:val="20"/>
          <w:szCs w:val="20"/>
        </w:rPr>
        <w:t xml:space="preserve">, ne </w:t>
      </w:r>
      <w:proofErr w:type="spellStart"/>
      <w:r w:rsidRPr="0012149E">
        <w:rPr>
          <w:sz w:val="20"/>
          <w:szCs w:val="20"/>
        </w:rPr>
        <w:t>serroit</w:t>
      </w:r>
      <w:proofErr w:type="spellEnd"/>
      <w:r w:rsidRPr="0012149E">
        <w:rPr>
          <w:sz w:val="20"/>
          <w:szCs w:val="20"/>
        </w:rPr>
        <w:t xml:space="preserve"> </w:t>
      </w:r>
      <w:proofErr w:type="spellStart"/>
      <w:r w:rsidRPr="0012149E">
        <w:rPr>
          <w:sz w:val="20"/>
          <w:szCs w:val="20"/>
        </w:rPr>
        <w:t>poynt</w:t>
      </w:r>
      <w:proofErr w:type="spellEnd"/>
      <w:r w:rsidRPr="0012149E">
        <w:rPr>
          <w:sz w:val="20"/>
          <w:szCs w:val="20"/>
        </w:rPr>
        <w:t xml:space="preserve"> </w:t>
      </w:r>
      <w:proofErr w:type="spellStart"/>
      <w:r w:rsidRPr="0012149E">
        <w:rPr>
          <w:sz w:val="20"/>
          <w:szCs w:val="20"/>
        </w:rPr>
        <w:t>meistre</w:t>
      </w:r>
      <w:proofErr w:type="spellEnd"/>
      <w:r w:rsidRPr="0012149E">
        <w:rPr>
          <w:sz w:val="20"/>
          <w:szCs w:val="20"/>
        </w:rPr>
        <w:t xml:space="preserve"> </w:t>
      </w:r>
      <w:proofErr w:type="spellStart"/>
      <w:r w:rsidRPr="0012149E">
        <w:rPr>
          <w:sz w:val="20"/>
          <w:szCs w:val="20"/>
        </w:rPr>
        <w:t>defair</w:t>
      </w:r>
      <w:proofErr w:type="spellEnd"/>
      <w:r w:rsidRPr="0012149E">
        <w:rPr>
          <w:sz w:val="20"/>
          <w:szCs w:val="20"/>
        </w:rPr>
        <w:t xml:space="preserve"> </w:t>
      </w:r>
      <w:proofErr w:type="spellStart"/>
      <w:r w:rsidRPr="0012149E">
        <w:rPr>
          <w:sz w:val="20"/>
          <w:szCs w:val="20"/>
        </w:rPr>
        <w:t>tiel</w:t>
      </w:r>
      <w:proofErr w:type="spellEnd"/>
      <w:r w:rsidRPr="0012149E">
        <w:rPr>
          <w:sz w:val="20"/>
          <w:szCs w:val="20"/>
        </w:rPr>
        <w:t xml:space="preserve"> </w:t>
      </w:r>
      <w:proofErr w:type="spellStart"/>
      <w:r w:rsidRPr="0012149E">
        <w:rPr>
          <w:sz w:val="20"/>
          <w:szCs w:val="20"/>
        </w:rPr>
        <w:t>chevauns</w:t>
      </w:r>
      <w:proofErr w:type="spellEnd"/>
      <w:r w:rsidR="00B70773" w:rsidRPr="0012149E">
        <w:rPr>
          <w:sz w:val="20"/>
          <w:szCs w:val="20"/>
        </w:rPr>
        <w:t xml:space="preserve"> </w:t>
      </w:r>
      <w:r w:rsidR="00CA5943">
        <w:rPr>
          <w:sz w:val="20"/>
          <w:szCs w:val="20"/>
        </w:rPr>
        <w:t>[</w:t>
      </w:r>
      <w:r w:rsidR="00B70773" w:rsidRPr="0012149E">
        <w:rPr>
          <w:sz w:val="20"/>
          <w:szCs w:val="20"/>
        </w:rPr>
        <w:t>...</w:t>
      </w:r>
      <w:r w:rsidR="00E3702D">
        <w:rPr>
          <w:sz w:val="20"/>
          <w:szCs w:val="20"/>
        </w:rPr>
        <w:t>.</w:t>
      </w:r>
      <w:r w:rsidR="00CA5943">
        <w:rPr>
          <w:sz w:val="20"/>
          <w:szCs w:val="20"/>
        </w:rPr>
        <w:t>]</w:t>
      </w:r>
    </w:p>
    <w:p w14:paraId="0E9DA90F" w14:textId="77777777" w:rsidR="00347C34" w:rsidRPr="0012149E" w:rsidRDefault="00347C34" w:rsidP="00E158D9">
      <w:pPr>
        <w:ind w:firstLine="720"/>
        <w:rPr>
          <w:sz w:val="20"/>
          <w:szCs w:val="20"/>
        </w:rPr>
      </w:pPr>
    </w:p>
    <w:p w14:paraId="516B62A4" w14:textId="77777777" w:rsidR="00347C34" w:rsidRDefault="00CA5943" w:rsidP="00FF5D76">
      <w:pPr>
        <w:ind w:left="720"/>
        <w:rPr>
          <w:sz w:val="20"/>
          <w:szCs w:val="20"/>
        </w:rPr>
      </w:pPr>
      <w:r>
        <w:rPr>
          <w:sz w:val="20"/>
          <w:szCs w:val="20"/>
        </w:rPr>
        <w:t>And as regards</w:t>
      </w:r>
      <w:r w:rsidR="00031F49" w:rsidRPr="0012149E">
        <w:rPr>
          <w:sz w:val="20"/>
          <w:szCs w:val="20"/>
        </w:rPr>
        <w:t xml:space="preserve"> our </w:t>
      </w:r>
      <w:r>
        <w:rPr>
          <w:sz w:val="20"/>
          <w:szCs w:val="20"/>
        </w:rPr>
        <w:t>matter</w:t>
      </w:r>
      <w:r w:rsidR="00031F49" w:rsidRPr="0012149E">
        <w:rPr>
          <w:sz w:val="20"/>
          <w:szCs w:val="20"/>
        </w:rPr>
        <w:t xml:space="preserve"> we have been advised by our counsel that</w:t>
      </w:r>
      <w:r w:rsidR="00B25A6E" w:rsidRPr="0012149E">
        <w:rPr>
          <w:sz w:val="20"/>
          <w:szCs w:val="20"/>
        </w:rPr>
        <w:t>,</w:t>
      </w:r>
      <w:r w:rsidR="00031F49" w:rsidRPr="0012149E">
        <w:rPr>
          <w:sz w:val="20"/>
          <w:szCs w:val="20"/>
        </w:rPr>
        <w:t xml:space="preserve"> </w:t>
      </w:r>
      <w:r w:rsidR="00FF5D76" w:rsidRPr="0012149E">
        <w:rPr>
          <w:sz w:val="20"/>
          <w:szCs w:val="20"/>
        </w:rPr>
        <w:t>where</w:t>
      </w:r>
      <w:r w:rsidR="00031F49" w:rsidRPr="0012149E">
        <w:rPr>
          <w:sz w:val="20"/>
          <w:szCs w:val="20"/>
        </w:rPr>
        <w:t xml:space="preserve"> our lord the king </w:t>
      </w:r>
      <w:r w:rsidR="00FF5D76" w:rsidRPr="0012149E">
        <w:rPr>
          <w:sz w:val="20"/>
          <w:szCs w:val="20"/>
        </w:rPr>
        <w:t>asks fo</w:t>
      </w:r>
      <w:r w:rsidR="0012149E">
        <w:rPr>
          <w:sz w:val="20"/>
          <w:szCs w:val="20"/>
        </w:rPr>
        <w:t>r</w:t>
      </w:r>
      <w:r w:rsidR="00031F49" w:rsidRPr="0012149E">
        <w:rPr>
          <w:sz w:val="20"/>
          <w:szCs w:val="20"/>
        </w:rPr>
        <w:t xml:space="preserve"> </w:t>
      </w:r>
      <w:r w:rsidR="00B25A6E" w:rsidRPr="0012149E">
        <w:rPr>
          <w:sz w:val="20"/>
          <w:szCs w:val="20"/>
        </w:rPr>
        <w:t xml:space="preserve">a tenth and a fifteenth and the tax on wool and twelve pennies from every pound of merchandise to maintain his war against his enemies, we say that, had he </w:t>
      </w:r>
      <w:r w:rsidR="00E8284F">
        <w:rPr>
          <w:sz w:val="20"/>
          <w:szCs w:val="20"/>
        </w:rPr>
        <w:t>been well governed by his counse</w:t>
      </w:r>
      <w:r w:rsidR="00B25A6E" w:rsidRPr="0012149E">
        <w:rPr>
          <w:sz w:val="20"/>
          <w:szCs w:val="20"/>
        </w:rPr>
        <w:t xml:space="preserve">lors and his treasury spent faithfully and not plundered, there </w:t>
      </w:r>
      <w:r w:rsidR="00FF5D76" w:rsidRPr="0012149E">
        <w:rPr>
          <w:sz w:val="20"/>
          <w:szCs w:val="20"/>
        </w:rPr>
        <w:t xml:space="preserve">would be no need at all to make such a loan </w:t>
      </w:r>
      <w:r>
        <w:rPr>
          <w:sz w:val="20"/>
          <w:szCs w:val="20"/>
        </w:rPr>
        <w:t>[</w:t>
      </w:r>
      <w:r w:rsidR="00FF5D76" w:rsidRPr="0012149E">
        <w:rPr>
          <w:sz w:val="20"/>
          <w:szCs w:val="20"/>
        </w:rPr>
        <w:t>...</w:t>
      </w:r>
      <w:r w:rsidR="00E3702D">
        <w:rPr>
          <w:sz w:val="20"/>
          <w:szCs w:val="20"/>
        </w:rPr>
        <w:t>.</w:t>
      </w:r>
      <w:r>
        <w:rPr>
          <w:sz w:val="20"/>
          <w:szCs w:val="20"/>
        </w:rPr>
        <w:t>]</w:t>
      </w:r>
      <w:r>
        <w:rPr>
          <w:rStyle w:val="FootnoteReference"/>
          <w:sz w:val="20"/>
          <w:szCs w:val="20"/>
        </w:rPr>
        <w:footnoteReference w:id="51"/>
      </w:r>
    </w:p>
    <w:p w14:paraId="1FB3FE47" w14:textId="77777777" w:rsidR="00CA5943" w:rsidRPr="0012149E" w:rsidRDefault="00CA5943" w:rsidP="00FF5D76">
      <w:pPr>
        <w:ind w:left="720"/>
        <w:rPr>
          <w:sz w:val="20"/>
          <w:szCs w:val="20"/>
        </w:rPr>
      </w:pPr>
    </w:p>
    <w:p w14:paraId="572EB552" w14:textId="77777777" w:rsidR="006E67DB" w:rsidRDefault="00B70773" w:rsidP="006E67DB">
      <w:r>
        <w:t>The C</w:t>
      </w:r>
      <w:r w:rsidR="00347C34">
        <w:t>ommons went on to center their complaints against Lyons and Latimer on the issues of evading the Calais Staple, war profiteering in Normandy, an</w:t>
      </w:r>
      <w:r w:rsidR="00DD625D">
        <w:t xml:space="preserve">d the losses of </w:t>
      </w:r>
      <w:proofErr w:type="spellStart"/>
      <w:r w:rsidR="00DD625D">
        <w:t>Bécherel</w:t>
      </w:r>
      <w:proofErr w:type="spellEnd"/>
      <w:r w:rsidR="00DD625D">
        <w:t xml:space="preserve"> and Saint-</w:t>
      </w:r>
      <w:proofErr w:type="spellStart"/>
      <w:r w:rsidR="00347C34">
        <w:t>Sauveur</w:t>
      </w:r>
      <w:proofErr w:type="spellEnd"/>
      <w:r w:rsidR="00347C34">
        <w:t>.</w:t>
      </w:r>
      <w:r w:rsidR="00347C34">
        <w:rPr>
          <w:rStyle w:val="FootnoteReference"/>
        </w:rPr>
        <w:footnoteReference w:id="52"/>
      </w:r>
      <w:r w:rsidR="00347C34">
        <w:t xml:space="preserve"> </w:t>
      </w:r>
      <w:r w:rsidR="00DB1884">
        <w:t xml:space="preserve">In this way, the </w:t>
      </w:r>
      <w:proofErr w:type="spellStart"/>
      <w:r w:rsidR="00DB1884" w:rsidRPr="00347C34">
        <w:rPr>
          <w:i/>
        </w:rPr>
        <w:t>Anonimalle</w:t>
      </w:r>
      <w:proofErr w:type="spellEnd"/>
      <w:r w:rsidR="00DB1884" w:rsidRPr="00347C34">
        <w:rPr>
          <w:i/>
        </w:rPr>
        <w:t xml:space="preserve"> Chronic</w:t>
      </w:r>
      <w:r w:rsidR="00DB1884">
        <w:rPr>
          <w:i/>
        </w:rPr>
        <w:t>le</w:t>
      </w:r>
      <w:r w:rsidR="00DB1884">
        <w:t>, our most detailed</w:t>
      </w:r>
      <w:r w:rsidR="00E8284F">
        <w:t xml:space="preserve"> and potentially eyewitness</w:t>
      </w:r>
      <w:r w:rsidR="00DB1884">
        <w:t xml:space="preserve"> source for the Good Parliament, presents the Commons’ accusations as revolving around – and, </w:t>
      </w:r>
      <w:r w:rsidR="00DB1884">
        <w:lastRenderedPageBreak/>
        <w:t>indeed,</w:t>
      </w:r>
      <w:r>
        <w:t xml:space="preserve"> </w:t>
      </w:r>
      <w:r w:rsidR="00DB1884">
        <w:t>directly originating from – immense displeasure with how the English government was going about funding the war effort</w:t>
      </w:r>
      <w:r w:rsidR="0036093A">
        <w:t xml:space="preserve"> and executing military strategy and diplomacy</w:t>
      </w:r>
      <w:r w:rsidR="00DB1884">
        <w:t xml:space="preserve">. </w:t>
      </w:r>
      <w:r w:rsidR="006E67DB">
        <w:t xml:space="preserve">Similarly the Parliament Rolls present the issue of the ongoing war as the third of </w:t>
      </w:r>
      <w:r w:rsidR="00E3702D">
        <w:t xml:space="preserve">the </w:t>
      </w:r>
      <w:r w:rsidR="006E67DB">
        <w:t>three</w:t>
      </w:r>
      <w:r w:rsidR="00E3702D">
        <w:t xml:space="preserve"> main</w:t>
      </w:r>
      <w:r w:rsidR="006E67DB">
        <w:t xml:space="preserve"> reasons for convening parliamentary sessions in 1376.</w:t>
      </w:r>
      <w:r w:rsidR="006E67DB">
        <w:rPr>
          <w:rStyle w:val="FootnoteReference"/>
        </w:rPr>
        <w:footnoteReference w:id="53"/>
      </w:r>
      <w:r w:rsidR="006E67DB">
        <w:t xml:space="preserve"> Like the </w:t>
      </w:r>
      <w:proofErr w:type="spellStart"/>
      <w:r w:rsidR="006E67DB" w:rsidRPr="006E67DB">
        <w:rPr>
          <w:i/>
        </w:rPr>
        <w:t>Anonimalle</w:t>
      </w:r>
      <w:proofErr w:type="spellEnd"/>
      <w:r w:rsidR="006E67DB">
        <w:t>, the Rolls continuously bring up the war in connection with the royal demands for subsidy.</w:t>
      </w:r>
      <w:r w:rsidR="006E67DB">
        <w:rPr>
          <w:rStyle w:val="FootnoteReference"/>
        </w:rPr>
        <w:footnoteReference w:id="54"/>
      </w:r>
      <w:r w:rsidR="006E67DB">
        <w:t xml:space="preserve"> </w:t>
      </w:r>
    </w:p>
    <w:p w14:paraId="35EEE83A" w14:textId="77777777" w:rsidR="007654F9" w:rsidRDefault="00DB1884" w:rsidP="00D57B4F">
      <w:pPr>
        <w:ind w:firstLine="720"/>
      </w:pPr>
      <w:r>
        <w:t xml:space="preserve">Interestingly, Thomas </w:t>
      </w:r>
      <w:proofErr w:type="spellStart"/>
      <w:r>
        <w:t>Walsingham’s</w:t>
      </w:r>
      <w:proofErr w:type="spellEnd"/>
      <w:r>
        <w:t xml:space="preserve"> account in the </w:t>
      </w:r>
      <w:r w:rsidR="00975142">
        <w:rPr>
          <w:i/>
        </w:rPr>
        <w:t>Chronicon</w:t>
      </w:r>
      <w:r w:rsidRPr="00DB1884">
        <w:rPr>
          <w:i/>
        </w:rPr>
        <w:t xml:space="preserve"> </w:t>
      </w:r>
      <w:proofErr w:type="spellStart"/>
      <w:r w:rsidR="00975142">
        <w:rPr>
          <w:i/>
        </w:rPr>
        <w:t>Angliae</w:t>
      </w:r>
      <w:proofErr w:type="spellEnd"/>
      <w:r>
        <w:t xml:space="preserve"> </w:t>
      </w:r>
      <w:r w:rsidR="00E3702D">
        <w:t>appears</w:t>
      </w:r>
      <w:r>
        <w:t xml:space="preserve"> </w:t>
      </w:r>
      <w:r w:rsidR="003B31D2">
        <w:t xml:space="preserve">less </w:t>
      </w:r>
      <w:r>
        <w:t xml:space="preserve">invested in this aspect of the Good Parliament: </w:t>
      </w:r>
      <w:proofErr w:type="spellStart"/>
      <w:r>
        <w:t>Walsingham’s</w:t>
      </w:r>
      <w:proofErr w:type="spellEnd"/>
      <w:r>
        <w:t xml:space="preserve"> rendition of the same events focuses on the</w:t>
      </w:r>
      <w:r w:rsidR="003B31D2">
        <w:t xml:space="preserve"> </w:t>
      </w:r>
      <w:r w:rsidR="00B70773">
        <w:t xml:space="preserve">royal </w:t>
      </w:r>
      <w:r w:rsidR="003B31D2">
        <w:t>request for a</w:t>
      </w:r>
      <w:r>
        <w:t xml:space="preserve"> subsid</w:t>
      </w:r>
      <w:r w:rsidR="003B31D2">
        <w:t>y</w:t>
      </w:r>
      <w:r>
        <w:t xml:space="preserve">, without reference to </w:t>
      </w:r>
      <w:r w:rsidR="003B31D2">
        <w:t>what the subsidy is to be used for</w:t>
      </w:r>
      <w:r>
        <w:t>.</w:t>
      </w:r>
      <w:r w:rsidR="003B31D2">
        <w:rPr>
          <w:rStyle w:val="FootnoteReference"/>
        </w:rPr>
        <w:footnoteReference w:id="55"/>
      </w:r>
      <w:r>
        <w:t xml:space="preserve"> He does, however, have Peter de la Mare state </w:t>
      </w:r>
      <w:r w:rsidR="003B31D2">
        <w:t xml:space="preserve">that the imposition of </w:t>
      </w:r>
      <w:r w:rsidR="00B70773">
        <w:t xml:space="preserve">further </w:t>
      </w:r>
      <w:r w:rsidR="003B31D2">
        <w:t>taxes would</w:t>
      </w:r>
      <w:r w:rsidR="0036093A">
        <w:t xml:space="preserve"> only have been</w:t>
      </w:r>
      <w:r w:rsidR="00E8284F">
        <w:t xml:space="preserve"> acceptable ‘</w:t>
      </w:r>
      <w:proofErr w:type="spellStart"/>
      <w:r w:rsidR="003B31D2">
        <w:t>si</w:t>
      </w:r>
      <w:proofErr w:type="spellEnd"/>
      <w:r w:rsidR="003B31D2">
        <w:t xml:space="preserve"> in </w:t>
      </w:r>
      <w:proofErr w:type="spellStart"/>
      <w:r w:rsidR="003B31D2">
        <w:t>expediensis</w:t>
      </w:r>
      <w:proofErr w:type="spellEnd"/>
      <w:r w:rsidR="003B31D2">
        <w:t xml:space="preserve"> rebus </w:t>
      </w:r>
      <w:proofErr w:type="spellStart"/>
      <w:r w:rsidR="003B31D2">
        <w:t>bellicis</w:t>
      </w:r>
      <w:proofErr w:type="spellEnd"/>
      <w:r w:rsidR="003B31D2">
        <w:t xml:space="preserve"> </w:t>
      </w:r>
      <w:r w:rsidR="005D31C4">
        <w:t>[</w:t>
      </w:r>
      <w:r w:rsidR="003B31D2">
        <w:t>..</w:t>
      </w:r>
      <w:r w:rsidR="00E8284F">
        <w:t>.</w:t>
      </w:r>
      <w:r w:rsidR="005D31C4">
        <w:t>]</w:t>
      </w:r>
      <w:r w:rsidR="00E8284F">
        <w:t xml:space="preserve"> </w:t>
      </w:r>
      <w:proofErr w:type="spellStart"/>
      <w:r w:rsidR="00E8284F">
        <w:t>tanta</w:t>
      </w:r>
      <w:proofErr w:type="spellEnd"/>
      <w:r w:rsidR="00E8284F">
        <w:t xml:space="preserve"> </w:t>
      </w:r>
      <w:proofErr w:type="spellStart"/>
      <w:r w:rsidR="00E8284F">
        <w:t>pecunia</w:t>
      </w:r>
      <w:proofErr w:type="spellEnd"/>
      <w:r w:rsidR="00E8284F">
        <w:t xml:space="preserve"> </w:t>
      </w:r>
      <w:proofErr w:type="spellStart"/>
      <w:r w:rsidR="00E8284F">
        <w:t>fuisset</w:t>
      </w:r>
      <w:proofErr w:type="spellEnd"/>
      <w:r w:rsidR="00E8284F">
        <w:t xml:space="preserve"> </w:t>
      </w:r>
      <w:proofErr w:type="spellStart"/>
      <w:r w:rsidR="00E8284F">
        <w:t>expensa</w:t>
      </w:r>
      <w:proofErr w:type="spellEnd"/>
      <w:r w:rsidR="00E8284F">
        <w:t>’</w:t>
      </w:r>
      <w:r w:rsidR="005D31C4">
        <w:t xml:space="preserve"> (if the money had been spent</w:t>
      </w:r>
      <w:r w:rsidR="00E8284F">
        <w:t xml:space="preserve"> </w:t>
      </w:r>
      <w:r w:rsidR="003B31D2">
        <w:t>in furthering the war effort</w:t>
      </w:r>
      <w:r w:rsidR="005D31C4">
        <w:t xml:space="preserve"> [...]</w:t>
      </w:r>
      <w:r w:rsidR="003B31D2">
        <w:t>).</w:t>
      </w:r>
      <w:r w:rsidR="003B31D2">
        <w:rPr>
          <w:rStyle w:val="FootnoteReference"/>
        </w:rPr>
        <w:footnoteReference w:id="56"/>
      </w:r>
      <w:r w:rsidR="003B31D2">
        <w:t xml:space="preserve"> </w:t>
      </w:r>
      <w:r w:rsidR="003A1F42">
        <w:t>When he gets to</w:t>
      </w:r>
      <w:r w:rsidR="003B31D2">
        <w:t xml:space="preserve"> the death of the Black Prince, </w:t>
      </w:r>
      <w:r w:rsidR="003A1F42">
        <w:t xml:space="preserve">however, </w:t>
      </w:r>
      <w:proofErr w:type="spellStart"/>
      <w:r w:rsidR="003B31D2">
        <w:t>Walsingham’s</w:t>
      </w:r>
      <w:proofErr w:type="spellEnd"/>
      <w:r w:rsidR="003B31D2">
        <w:t xml:space="preserve"> concerns about the Hundred Years War flare: he speaks at some length of Edward’s prowess in battle and </w:t>
      </w:r>
      <w:r w:rsidR="003A1F42">
        <w:t>of the newfound vulnerability</w:t>
      </w:r>
      <w:r w:rsidR="003B31D2">
        <w:t xml:space="preserve"> </w:t>
      </w:r>
      <w:r w:rsidR="003A1F42">
        <w:t>of England</w:t>
      </w:r>
      <w:r w:rsidR="003B31D2">
        <w:t xml:space="preserve"> to</w:t>
      </w:r>
      <w:r w:rsidR="003A1F42">
        <w:t xml:space="preserve"> French</w:t>
      </w:r>
      <w:r w:rsidR="003B31D2">
        <w:t xml:space="preserve"> attack </w:t>
      </w:r>
      <w:r w:rsidR="003A1F42">
        <w:t>in the wake of the Black Prince’s death</w:t>
      </w:r>
      <w:r w:rsidR="003B31D2">
        <w:t>.</w:t>
      </w:r>
      <w:r w:rsidR="003B31D2">
        <w:rPr>
          <w:rStyle w:val="FootnoteReference"/>
        </w:rPr>
        <w:footnoteReference w:id="57"/>
      </w:r>
      <w:r w:rsidR="003B31D2">
        <w:t xml:space="preserve"> The </w:t>
      </w:r>
      <w:r w:rsidR="003B31D2" w:rsidRPr="00B70773">
        <w:rPr>
          <w:i/>
        </w:rPr>
        <w:t>Chronic</w:t>
      </w:r>
      <w:r w:rsidR="003A1F42">
        <w:rPr>
          <w:i/>
        </w:rPr>
        <w:t xml:space="preserve">on </w:t>
      </w:r>
      <w:proofErr w:type="spellStart"/>
      <w:r w:rsidR="003A1F42">
        <w:rPr>
          <w:i/>
        </w:rPr>
        <w:t>Angliae</w:t>
      </w:r>
      <w:proofErr w:type="spellEnd"/>
      <w:r w:rsidR="003B31D2">
        <w:t xml:space="preserve">, then, while it does not adduce the war as central to the Commons’ concerns in the manner of the </w:t>
      </w:r>
      <w:proofErr w:type="spellStart"/>
      <w:r w:rsidR="003B31D2" w:rsidRPr="00D57B4F">
        <w:rPr>
          <w:i/>
        </w:rPr>
        <w:t>Anonimalle</w:t>
      </w:r>
      <w:proofErr w:type="spellEnd"/>
      <w:r w:rsidR="003B31D2" w:rsidRPr="00D57B4F">
        <w:rPr>
          <w:i/>
        </w:rPr>
        <w:t xml:space="preserve"> Chronicl</w:t>
      </w:r>
      <w:r w:rsidR="00D57B4F" w:rsidRPr="00D57B4F">
        <w:rPr>
          <w:i/>
        </w:rPr>
        <w:t>e</w:t>
      </w:r>
      <w:r w:rsidR="00D57B4F">
        <w:t xml:space="preserve">, registers a similar sense of gloom surrounding English </w:t>
      </w:r>
      <w:r w:rsidR="003B31D2">
        <w:t xml:space="preserve">war </w:t>
      </w:r>
      <w:r w:rsidR="00D57B4F">
        <w:t>fortunes in</w:t>
      </w:r>
      <w:r w:rsidR="003B31D2">
        <w:t xml:space="preserve"> </w:t>
      </w:r>
      <w:r w:rsidR="00D57B4F">
        <w:t>1376</w:t>
      </w:r>
      <w:r w:rsidR="003B31D2">
        <w:t xml:space="preserve">. </w:t>
      </w:r>
    </w:p>
    <w:p w14:paraId="294FBFF4" w14:textId="77777777" w:rsidR="002222E2" w:rsidRPr="007E4B76" w:rsidRDefault="007654F9" w:rsidP="00D57B4F">
      <w:pPr>
        <w:ind w:firstLine="720"/>
      </w:pPr>
      <w:r>
        <w:t xml:space="preserve">Brinton’s </w:t>
      </w:r>
      <w:r w:rsidR="003A1F42">
        <w:t xml:space="preserve">own </w:t>
      </w:r>
      <w:r>
        <w:t xml:space="preserve">unexpected inclusion of references to contemporary French rule in his sermon, delivered in response to the Good Parliament at which he </w:t>
      </w:r>
      <w:r w:rsidR="00E3702D">
        <w:t>was</w:t>
      </w:r>
      <w:r>
        <w:t xml:space="preserve"> himself present, is </w:t>
      </w:r>
      <w:r w:rsidR="003A1F42">
        <w:t>a further</w:t>
      </w:r>
      <w:r>
        <w:t xml:space="preserve"> independent textual witness to </w:t>
      </w:r>
      <w:r w:rsidR="003A1F42">
        <w:t xml:space="preserve">the way in which </w:t>
      </w:r>
      <w:r>
        <w:t>French matters</w:t>
      </w:r>
      <w:r w:rsidR="003A1F42">
        <w:t xml:space="preserve"> were</w:t>
      </w:r>
      <w:r>
        <w:t xml:space="preserve"> suffusing the air during parliamentarian deliberations in 1376. </w:t>
      </w:r>
      <w:r w:rsidR="00D57B4F">
        <w:rPr>
          <w:rFonts w:cs="Times New Roman"/>
          <w:szCs w:val="24"/>
          <w:lang w:bidi="ar-SA"/>
        </w:rPr>
        <w:t>Meanwhile, in</w:t>
      </w:r>
      <w:r w:rsidR="002222E2">
        <w:rPr>
          <w:rFonts w:cs="Times New Roman"/>
          <w:szCs w:val="24"/>
          <w:lang w:bidi="ar-SA"/>
        </w:rPr>
        <w:t xml:space="preserve"> the period of time between the Good Parliament and the succeeding </w:t>
      </w:r>
      <w:r w:rsidR="0036093A">
        <w:rPr>
          <w:rFonts w:cs="Times New Roman"/>
          <w:szCs w:val="24"/>
          <w:lang w:bidi="ar-SA"/>
        </w:rPr>
        <w:t>Hilary</w:t>
      </w:r>
      <w:r w:rsidR="002222E2">
        <w:rPr>
          <w:rFonts w:cs="Times New Roman"/>
          <w:szCs w:val="24"/>
          <w:lang w:bidi="ar-SA"/>
        </w:rPr>
        <w:t xml:space="preserve"> Parliament, negotiations for peace at Bruges continued ineffectually amid growing English fears of resumption of war by the French, and the death of Edward III was followed by heavy naval raids along the English coast.</w:t>
      </w:r>
      <w:r w:rsidR="002222E2">
        <w:rPr>
          <w:rStyle w:val="FootnoteReference"/>
          <w:rFonts w:cs="Times New Roman"/>
          <w:szCs w:val="24"/>
          <w:lang w:bidi="ar-SA"/>
        </w:rPr>
        <w:footnoteReference w:id="58"/>
      </w:r>
      <w:r w:rsidR="003A1F42">
        <w:rPr>
          <w:color w:val="FF0000"/>
        </w:rPr>
        <w:t xml:space="preserve"> </w:t>
      </w:r>
    </w:p>
    <w:p w14:paraId="7383C708" w14:textId="77777777" w:rsidR="00E24CC0" w:rsidRDefault="007342B7" w:rsidP="00EE211B">
      <w:pPr>
        <w:ind w:firstLine="720"/>
      </w:pPr>
      <w:r>
        <w:t>I submit therefore that the strangely defeatist position of Langland’s mouse, introduced, we recall, by that se</w:t>
      </w:r>
      <w:r w:rsidR="00E8284F">
        <w:t>emingly random allusion to the ‘</w:t>
      </w:r>
      <w:proofErr w:type="spellStart"/>
      <w:r w:rsidR="00E8284F">
        <w:t>reaume</w:t>
      </w:r>
      <w:proofErr w:type="spellEnd"/>
      <w:r w:rsidR="00E8284F">
        <w:t xml:space="preserve"> of </w:t>
      </w:r>
      <w:proofErr w:type="spellStart"/>
      <w:r w:rsidR="00E8284F">
        <w:t>Fraunce</w:t>
      </w:r>
      <w:proofErr w:type="spellEnd"/>
      <w:r w:rsidR="00E8284F">
        <w:t>’ and to the ‘winning’ of ‘</w:t>
      </w:r>
      <w:r>
        <w:t xml:space="preserve">all </w:t>
      </w:r>
      <w:proofErr w:type="spellStart"/>
      <w:r>
        <w:t>Engelonde</w:t>
      </w:r>
      <w:proofErr w:type="spellEnd"/>
      <w:r w:rsidR="00E8284F">
        <w:t>’,</w:t>
      </w:r>
      <w:r>
        <w:t xml:space="preserve"> might be productively read within this warti</w:t>
      </w:r>
      <w:r w:rsidR="00B70773">
        <w:t>me context, rather than as solely a</w:t>
      </w:r>
      <w:r>
        <w:t xml:space="preserve"> response to domestic parliamentarian politics. Matthew Giancarlo has </w:t>
      </w:r>
      <w:r w:rsidR="003A1F42">
        <w:t xml:space="preserve">already </w:t>
      </w:r>
      <w:r>
        <w:t xml:space="preserve">suggested that we </w:t>
      </w:r>
      <w:r w:rsidR="00E3702D">
        <w:t>understand</w:t>
      </w:r>
      <w:r>
        <w:t xml:space="preserve"> th</w:t>
      </w:r>
      <w:r w:rsidR="00E3702D">
        <w:t xml:space="preserve">e scene of </w:t>
      </w:r>
      <w:proofErr w:type="spellStart"/>
      <w:r w:rsidR="00E3702D">
        <w:t>Meed’s</w:t>
      </w:r>
      <w:proofErr w:type="spellEnd"/>
      <w:r w:rsidR="00E3702D">
        <w:t xml:space="preserve"> trial as no</w:t>
      </w:r>
      <w:r>
        <w:t xml:space="preserve"> typical trial in a court of justice, but specifically a trial enacted before a parliament</w:t>
      </w:r>
      <w:r w:rsidR="00C7720B">
        <w:t>.</w:t>
      </w:r>
      <w:r>
        <w:t xml:space="preserve"> </w:t>
      </w:r>
      <w:r w:rsidR="00C7720B">
        <w:t>Such a setting</w:t>
      </w:r>
      <w:r w:rsidR="006F7E0D">
        <w:t>, Giancarlo argues,</w:t>
      </w:r>
      <w:r>
        <w:t xml:space="preserve"> explain</w:t>
      </w:r>
      <w:r w:rsidR="00C7720B">
        <w:t>s</w:t>
      </w:r>
      <w:r>
        <w:t xml:space="preserve"> why </w:t>
      </w:r>
      <w:proofErr w:type="spellStart"/>
      <w:r>
        <w:t>Meed</w:t>
      </w:r>
      <w:proofErr w:type="spellEnd"/>
      <w:r>
        <w:t xml:space="preserve"> responds with a counter-accusation concerning the Treaty of </w:t>
      </w:r>
      <w:proofErr w:type="spellStart"/>
      <w:r>
        <w:t>Brétigny</w:t>
      </w:r>
      <w:proofErr w:type="spellEnd"/>
      <w:r w:rsidR="007654F9">
        <w:t xml:space="preserve">: because </w:t>
      </w:r>
      <w:r w:rsidR="003A1F42">
        <w:t>argument</w:t>
      </w:r>
      <w:r w:rsidR="00E24CC0">
        <w:t>s</w:t>
      </w:r>
      <w:r w:rsidR="00E3702D">
        <w:t xml:space="preserve"> over decisions</w:t>
      </w:r>
      <w:r w:rsidR="003A1F42">
        <w:t xml:space="preserve"> surrounding the</w:t>
      </w:r>
      <w:r w:rsidR="00C7720B">
        <w:t xml:space="preserve"> Hundred Years War </w:t>
      </w:r>
      <w:r w:rsidR="00E3702D">
        <w:t>heavily preoccupied all</w:t>
      </w:r>
      <w:r w:rsidR="007654F9">
        <w:t xml:space="preserve"> parliamentary debates </w:t>
      </w:r>
      <w:r w:rsidR="00C7720B">
        <w:t>in the late 1370s.</w:t>
      </w:r>
      <w:r w:rsidR="00C7720B">
        <w:rPr>
          <w:rStyle w:val="FootnoteReference"/>
        </w:rPr>
        <w:footnoteReference w:id="59"/>
      </w:r>
      <w:r w:rsidR="007654F9">
        <w:t xml:space="preserve"> </w:t>
      </w:r>
    </w:p>
    <w:p w14:paraId="2177847B" w14:textId="77777777" w:rsidR="00E3702D" w:rsidRDefault="006F7E0D" w:rsidP="00E24CC0">
      <w:pPr>
        <w:ind w:firstLine="720"/>
      </w:pPr>
      <w:r>
        <w:t>Similarly, a</w:t>
      </w:r>
      <w:r w:rsidR="003A1F42">
        <w:t>n overtly</w:t>
      </w:r>
      <w:r w:rsidR="00C7720B">
        <w:t xml:space="preserve"> </w:t>
      </w:r>
      <w:r w:rsidR="00E8284F">
        <w:t>wartime</w:t>
      </w:r>
      <w:r w:rsidR="00C7720B">
        <w:t xml:space="preserve"> context helps explain </w:t>
      </w:r>
      <w:r w:rsidR="00814C79">
        <w:t>several</w:t>
      </w:r>
      <w:r w:rsidR="003A1F42">
        <w:t xml:space="preserve"> points made by Langland’s </w:t>
      </w:r>
      <w:r w:rsidR="00C7720B">
        <w:t xml:space="preserve">mouse: </w:t>
      </w:r>
      <w:r>
        <w:t xml:space="preserve">namely, </w:t>
      </w:r>
      <w:r w:rsidR="00C7720B">
        <w:t xml:space="preserve">the inexplicable reference to </w:t>
      </w:r>
      <w:r w:rsidR="003601A2">
        <w:t xml:space="preserve">the </w:t>
      </w:r>
      <w:r w:rsidR="00C7720B">
        <w:t xml:space="preserve">rabbits that the cat will catch when not attacking rodents; the sudden introduction of the kitten, i.e. Richard II, into the discussion, and the insistence that the rodents are incapable of self-rule. </w:t>
      </w:r>
      <w:r w:rsidR="00814C79">
        <w:t>The mouse is suggesting, quite simply, that while the realm is in danger from outside forces, no attempts ought to be made to rock the boat internally; rather, the cat ought to be left al</w:t>
      </w:r>
      <w:r w:rsidR="002D07B0">
        <w:t xml:space="preserve">one to go after </w:t>
      </w:r>
      <w:r w:rsidR="00E24CC0">
        <w:t>‘</w:t>
      </w:r>
      <w:proofErr w:type="spellStart"/>
      <w:r w:rsidR="00E24CC0">
        <w:t>conynges</w:t>
      </w:r>
      <w:proofErr w:type="spellEnd"/>
      <w:r w:rsidR="00E24CC0">
        <w:t>’ (B.</w:t>
      </w:r>
      <w:r w:rsidR="005D31C4">
        <w:t xml:space="preserve"> </w:t>
      </w:r>
      <w:proofErr w:type="spellStart"/>
      <w:r w:rsidR="005D31C4">
        <w:t>Plg</w:t>
      </w:r>
      <w:proofErr w:type="spellEnd"/>
      <w:r w:rsidR="005D31C4">
        <w:t>.</w:t>
      </w:r>
      <w:r w:rsidR="00E24CC0">
        <w:t xml:space="preserve"> 189)</w:t>
      </w:r>
      <w:r w:rsidR="00134840">
        <w:t>. The identity of the rabbits has caused some speculation among earlier scholars, but i</w:t>
      </w:r>
      <w:r w:rsidR="0002548D">
        <w:t xml:space="preserve">n the 1408 Middle English translation of Vegetius’ </w:t>
      </w:r>
      <w:r w:rsidR="0002548D" w:rsidRPr="0002548D">
        <w:rPr>
          <w:i/>
        </w:rPr>
        <w:t xml:space="preserve">De re </w:t>
      </w:r>
      <w:proofErr w:type="spellStart"/>
      <w:r w:rsidR="0002548D" w:rsidRPr="0002548D">
        <w:rPr>
          <w:i/>
        </w:rPr>
        <w:t>militari</w:t>
      </w:r>
      <w:proofErr w:type="spellEnd"/>
      <w:r w:rsidR="0002548D">
        <w:t xml:space="preserve">, found in Oxford, Bodleian Library, MS </w:t>
      </w:r>
      <w:proofErr w:type="spellStart"/>
      <w:r w:rsidR="0002548D">
        <w:lastRenderedPageBreak/>
        <w:t>Douce</w:t>
      </w:r>
      <w:proofErr w:type="spellEnd"/>
      <w:r w:rsidR="0002548D">
        <w:t xml:space="preserve"> 291 and pos</w:t>
      </w:r>
      <w:r w:rsidR="00E24CC0">
        <w:t>sibly authored by John Walton, ‘</w:t>
      </w:r>
      <w:proofErr w:type="spellStart"/>
      <w:r w:rsidR="00E24CC0">
        <w:t>conynges</w:t>
      </w:r>
      <w:proofErr w:type="spellEnd"/>
      <w:r w:rsidR="00E24CC0">
        <w:t>’</w:t>
      </w:r>
      <w:r w:rsidR="0002548D">
        <w:t xml:space="preserve"> is given </w:t>
      </w:r>
      <w:r w:rsidR="00E24CC0">
        <w:t>on fol. 107r as another term for ‘</w:t>
      </w:r>
      <w:proofErr w:type="spellStart"/>
      <w:r w:rsidR="00E24CC0">
        <w:t>minours</w:t>
      </w:r>
      <w:proofErr w:type="spellEnd"/>
      <w:r w:rsidR="00E24CC0">
        <w:t>’</w:t>
      </w:r>
      <w:r w:rsidR="0002548D">
        <w:t xml:space="preserve"> or soldiers who tunnel into a city or armed fortification</w:t>
      </w:r>
      <w:r w:rsidR="0013763F">
        <w:t>.</w:t>
      </w:r>
      <w:r w:rsidR="0013763F">
        <w:rPr>
          <w:rStyle w:val="FootnoteReference"/>
        </w:rPr>
        <w:footnoteReference w:id="60"/>
      </w:r>
      <w:r w:rsidR="00134840">
        <w:t xml:space="preserve"> I suggest, therefore, that the rabbits are to be understood as none other than French soldiers.</w:t>
      </w:r>
      <w:r w:rsidR="00134840">
        <w:rPr>
          <w:rStyle w:val="FootnoteReference"/>
        </w:rPr>
        <w:footnoteReference w:id="61"/>
      </w:r>
      <w:r w:rsidR="00134840">
        <w:t xml:space="preserve"> </w:t>
      </w:r>
    </w:p>
    <w:p w14:paraId="01221EDB" w14:textId="77777777" w:rsidR="00EE211B" w:rsidRDefault="002D07B0" w:rsidP="00E24CC0">
      <w:pPr>
        <w:ind w:firstLine="720"/>
      </w:pPr>
      <w:r>
        <w:t>Meanwhile, t</w:t>
      </w:r>
      <w:r w:rsidR="00814C79">
        <w:t xml:space="preserve">he unexpected presence of a new feline, unmistakably pointing to Richard II, speaks to </w:t>
      </w:r>
      <w:r w:rsidR="00B70773">
        <w:t xml:space="preserve">the concerns that </w:t>
      </w:r>
      <w:r w:rsidR="00814C79">
        <w:t>we have alrea</w:t>
      </w:r>
      <w:r w:rsidR="00B70773">
        <w:t xml:space="preserve">dy seen in </w:t>
      </w:r>
      <w:proofErr w:type="spellStart"/>
      <w:r w:rsidR="00B70773">
        <w:t>Walsingham’s</w:t>
      </w:r>
      <w:proofErr w:type="spellEnd"/>
      <w:r w:rsidR="00B70773">
        <w:t xml:space="preserve"> account</w:t>
      </w:r>
      <w:r w:rsidR="00814C79">
        <w:t xml:space="preserve"> over what </w:t>
      </w:r>
      <w:r w:rsidR="00E3702D">
        <w:t xml:space="preserve">dire </w:t>
      </w:r>
      <w:r w:rsidR="00814C79">
        <w:t>effect</w:t>
      </w:r>
      <w:r w:rsidR="00E3702D">
        <w:t>s</w:t>
      </w:r>
      <w:r w:rsidR="00814C79">
        <w:t xml:space="preserve"> the death of the Black Prince </w:t>
      </w:r>
      <w:r w:rsidR="0036093A">
        <w:t xml:space="preserve">– </w:t>
      </w:r>
      <w:r w:rsidR="00814C79">
        <w:t>and</w:t>
      </w:r>
      <w:r w:rsidR="0036093A">
        <w:t>, thus,</w:t>
      </w:r>
      <w:r w:rsidR="00E3702D">
        <w:t xml:space="preserve"> the a</w:t>
      </w:r>
      <w:r w:rsidR="00814C79">
        <w:t xml:space="preserve">ccession of a child king </w:t>
      </w:r>
      <w:r w:rsidR="0036093A">
        <w:t xml:space="preserve">– </w:t>
      </w:r>
      <w:r w:rsidR="00814C79">
        <w:t xml:space="preserve">might have on England’s fortunes in the war. </w:t>
      </w:r>
      <w:r w:rsidR="00C249B6">
        <w:t xml:space="preserve">The reprimand concerning the rodents’ self-rule, meanwhile, </w:t>
      </w:r>
      <w:r w:rsidR="00B70773">
        <w:t>echoes</w:t>
      </w:r>
      <w:r w:rsidR="00C249B6">
        <w:t xml:space="preserve"> fears that we have already witnessed in Deschamps’ beast allegories: that a nation at war is dependent for its success on a strong ruler at its head in order to guide it to victory. We recall that the Rodent Parliament episode is introduced by </w:t>
      </w:r>
      <w:r w:rsidR="003601A2">
        <w:t>a</w:t>
      </w:r>
      <w:r w:rsidR="00E8284F">
        <w:t xml:space="preserve"> declaration from the ‘</w:t>
      </w:r>
      <w:proofErr w:type="spellStart"/>
      <w:r w:rsidR="00E8284F">
        <w:t>aungel</w:t>
      </w:r>
      <w:proofErr w:type="spellEnd"/>
      <w:r w:rsidR="00E8284F">
        <w:t xml:space="preserve"> </w:t>
      </w:r>
      <w:proofErr w:type="spellStart"/>
      <w:r w:rsidR="00E8284F">
        <w:t>en</w:t>
      </w:r>
      <w:proofErr w:type="spellEnd"/>
      <w:r w:rsidR="00E8284F">
        <w:t xml:space="preserve"> </w:t>
      </w:r>
      <w:proofErr w:type="spellStart"/>
      <w:r w:rsidR="00E8284F">
        <w:t>heigh</w:t>
      </w:r>
      <w:proofErr w:type="spellEnd"/>
      <w:r w:rsidR="00E8284F">
        <w:t>’ that ‘rex’ comes from ‘</w:t>
      </w:r>
      <w:proofErr w:type="spellStart"/>
      <w:r w:rsidR="00E8284F">
        <w:t>regere</w:t>
      </w:r>
      <w:proofErr w:type="spellEnd"/>
      <w:r w:rsidR="00E8284F">
        <w:t>’</w:t>
      </w:r>
      <w:r w:rsidR="0036093A">
        <w:t xml:space="preserve"> and that unless a king enforce</w:t>
      </w:r>
      <w:r w:rsidR="003601A2">
        <w:t>s</w:t>
      </w:r>
      <w:r w:rsidR="00C249B6">
        <w:t xml:space="preserve"> his laws, he will be king in name only</w:t>
      </w:r>
      <w:r w:rsidR="00E8284F">
        <w:t xml:space="preserve"> (B. 141-42)</w:t>
      </w:r>
      <w:r w:rsidR="00C249B6">
        <w:t xml:space="preserve">. </w:t>
      </w:r>
      <w:r w:rsidR="00E8284F">
        <w:t>Such an</w:t>
      </w:r>
      <w:r w:rsidR="00C249B6">
        <w:t xml:space="preserve"> introduction to the</w:t>
      </w:r>
      <w:r w:rsidR="00E8284F">
        <w:t xml:space="preserve"> rodent</w:t>
      </w:r>
      <w:r w:rsidR="00C249B6">
        <w:t xml:space="preserve"> </w:t>
      </w:r>
      <w:r w:rsidR="00E8284F">
        <w:t>fable</w:t>
      </w:r>
      <w:r w:rsidR="00C249B6">
        <w:t>,</w:t>
      </w:r>
      <w:r w:rsidR="00E8284F">
        <w:t xml:space="preserve"> along with the mouse’s lament ‘</w:t>
      </w:r>
      <w:proofErr w:type="spellStart"/>
      <w:r w:rsidR="00C249B6">
        <w:t>Ther</w:t>
      </w:r>
      <w:proofErr w:type="spellEnd"/>
      <w:r w:rsidR="00C249B6">
        <w:t xml:space="preserve"> the cat is a </w:t>
      </w:r>
      <w:proofErr w:type="spellStart"/>
      <w:r w:rsidR="00C249B6">
        <w:t>kitoun</w:t>
      </w:r>
      <w:proofErr w:type="spellEnd"/>
      <w:r w:rsidR="00C249B6">
        <w:t xml:space="preserve">, the court is </w:t>
      </w:r>
      <w:proofErr w:type="spellStart"/>
      <w:r w:rsidR="00C249B6">
        <w:t>ful</w:t>
      </w:r>
      <w:proofErr w:type="spellEnd"/>
      <w:r w:rsidR="00C249B6">
        <w:t xml:space="preserve"> </w:t>
      </w:r>
      <w:proofErr w:type="spellStart"/>
      <w:r w:rsidR="00C249B6">
        <w:t>elenge</w:t>
      </w:r>
      <w:proofErr w:type="spellEnd"/>
      <w:r w:rsidR="00C249B6">
        <w:t xml:space="preserve"> ... </w:t>
      </w:r>
      <w:proofErr w:type="spellStart"/>
      <w:r w:rsidR="00C249B6">
        <w:t>Ve</w:t>
      </w:r>
      <w:proofErr w:type="spellEnd"/>
      <w:r w:rsidR="00C249B6">
        <w:t xml:space="preserve"> </w:t>
      </w:r>
      <w:proofErr w:type="spellStart"/>
      <w:r w:rsidR="00C249B6">
        <w:t>terre</w:t>
      </w:r>
      <w:proofErr w:type="spellEnd"/>
      <w:r w:rsidR="00C249B6">
        <w:t xml:space="preserve"> </w:t>
      </w:r>
      <w:proofErr w:type="spellStart"/>
      <w:r w:rsidR="00C249B6">
        <w:t>ubi</w:t>
      </w:r>
      <w:proofErr w:type="spellEnd"/>
      <w:r w:rsidR="00C249B6">
        <w:t xml:space="preserve"> </w:t>
      </w:r>
      <w:proofErr w:type="spellStart"/>
      <w:r w:rsidR="00C249B6">
        <w:t>puer</w:t>
      </w:r>
      <w:proofErr w:type="spellEnd"/>
      <w:r w:rsidR="00C249B6">
        <w:t xml:space="preserve"> </w:t>
      </w:r>
      <w:proofErr w:type="spellStart"/>
      <w:r w:rsidR="00C249B6">
        <w:t>est</w:t>
      </w:r>
      <w:proofErr w:type="spellEnd"/>
      <w:r w:rsidR="006F7E0D">
        <w:t xml:space="preserve"> rex! [Woe to the land where a child is king</w:t>
      </w:r>
      <w:r w:rsidR="00E8284F">
        <w:t>: Eccl. 10.16]’ (B. 194-96)</w:t>
      </w:r>
      <w:r w:rsidR="00C249B6">
        <w:t xml:space="preserve"> suggest</w:t>
      </w:r>
      <w:r w:rsidR="00E8284F">
        <w:t xml:space="preserve"> that</w:t>
      </w:r>
      <w:r w:rsidR="00C249B6">
        <w:t xml:space="preserve"> Langland’s primary object of concern here is the strength of royal power at</w:t>
      </w:r>
      <w:r w:rsidR="009A107A">
        <w:t xml:space="preserve"> this </w:t>
      </w:r>
      <w:r w:rsidR="003601A2">
        <w:t>point in time</w:t>
      </w:r>
      <w:r w:rsidR="009A107A">
        <w:t>.</w:t>
      </w:r>
      <w:r w:rsidR="00EE211B">
        <w:t xml:space="preserve"> </w:t>
      </w:r>
    </w:p>
    <w:p w14:paraId="15066591" w14:textId="77777777" w:rsidR="002222E2" w:rsidRDefault="00EE211B" w:rsidP="00EE211B">
      <w:pPr>
        <w:ind w:firstLine="720"/>
      </w:pPr>
      <w:r>
        <w:t>Finally, s</w:t>
      </w:r>
      <w:r w:rsidR="009A107A">
        <w:t>uch a reading also helps explain the mouse’s closing argument</w:t>
      </w:r>
      <w:r w:rsidR="003601A2">
        <w:t xml:space="preserve"> concerning the</w:t>
      </w:r>
      <w:r w:rsidR="00556E2B">
        <w:t xml:space="preserve"> willi</w:t>
      </w:r>
      <w:r w:rsidR="00B70773">
        <w:t>n</w:t>
      </w:r>
      <w:r w:rsidR="00556E2B">
        <w:t>gness to eat costs</w:t>
      </w:r>
      <w:r w:rsidR="00E8284F">
        <w:t>: ‘</w:t>
      </w:r>
      <w:r w:rsidR="009A107A">
        <w:t xml:space="preserve">And though </w:t>
      </w:r>
      <w:r w:rsidR="00556E2B">
        <w:t>it</w:t>
      </w:r>
      <w:r w:rsidR="009A107A">
        <w:t xml:space="preserve"> </w:t>
      </w:r>
      <w:proofErr w:type="spellStart"/>
      <w:r w:rsidR="009A107A">
        <w:t>costned</w:t>
      </w:r>
      <w:proofErr w:type="spellEnd"/>
      <w:r w:rsidR="009A107A">
        <w:t xml:space="preserve"> me </w:t>
      </w:r>
      <w:proofErr w:type="spellStart"/>
      <w:r w:rsidR="009A107A">
        <w:t>catel</w:t>
      </w:r>
      <w:proofErr w:type="spellEnd"/>
      <w:r w:rsidR="009A107A">
        <w:t xml:space="preserve">, </w:t>
      </w:r>
      <w:proofErr w:type="spellStart"/>
      <w:r w:rsidR="009A107A">
        <w:t>biknowen</w:t>
      </w:r>
      <w:proofErr w:type="spellEnd"/>
      <w:r w:rsidR="009A107A">
        <w:t xml:space="preserve"> it </w:t>
      </w:r>
      <w:proofErr w:type="spellStart"/>
      <w:r w:rsidR="009A107A">
        <w:t>nolde</w:t>
      </w:r>
      <w:proofErr w:type="spellEnd"/>
      <w:r w:rsidR="009A107A">
        <w:t xml:space="preserve">, | But </w:t>
      </w:r>
      <w:proofErr w:type="spellStart"/>
      <w:r w:rsidR="009A107A">
        <w:t>suffren</w:t>
      </w:r>
      <w:proofErr w:type="spellEnd"/>
      <w:r w:rsidR="009A107A">
        <w:t xml:space="preserve"> as </w:t>
      </w:r>
      <w:proofErr w:type="spellStart"/>
      <w:r w:rsidR="009A107A">
        <w:t>hymself</w:t>
      </w:r>
      <w:proofErr w:type="spellEnd"/>
      <w:r w:rsidR="009A107A">
        <w:t xml:space="preserve"> </w:t>
      </w:r>
      <w:proofErr w:type="spellStart"/>
      <w:r w:rsidR="009A107A">
        <w:t>wolde</w:t>
      </w:r>
      <w:proofErr w:type="spellEnd"/>
      <w:r w:rsidR="009A107A">
        <w:t xml:space="preserve"> so </w:t>
      </w:r>
      <w:proofErr w:type="spellStart"/>
      <w:r w:rsidR="009A107A">
        <w:t>doon</w:t>
      </w:r>
      <w:proofErr w:type="spellEnd"/>
      <w:r w:rsidR="009A107A">
        <w:t xml:space="preserve"> as </w:t>
      </w:r>
      <w:proofErr w:type="spellStart"/>
      <w:r w:rsidR="009A107A">
        <w:t>hym</w:t>
      </w:r>
      <w:proofErr w:type="spellEnd"/>
      <w:r w:rsidR="009A107A">
        <w:t xml:space="preserve"> </w:t>
      </w:r>
      <w:proofErr w:type="spellStart"/>
      <w:r w:rsidR="009A107A">
        <w:t>liketh</w:t>
      </w:r>
      <w:proofErr w:type="spellEnd"/>
      <w:r w:rsidR="009A107A">
        <w:t xml:space="preserve"> </w:t>
      </w:r>
      <w:r w:rsidR="00973846">
        <w:t>–</w:t>
      </w:r>
      <w:r w:rsidR="009A107A">
        <w:t xml:space="preserve"> | Coupled and unc</w:t>
      </w:r>
      <w:r w:rsidR="00E8284F">
        <w:t xml:space="preserve">oupled to </w:t>
      </w:r>
      <w:proofErr w:type="spellStart"/>
      <w:r w:rsidR="00E8284F">
        <w:t>cacche</w:t>
      </w:r>
      <w:proofErr w:type="spellEnd"/>
      <w:r w:rsidR="00E8284F">
        <w:t xml:space="preserve"> what </w:t>
      </w:r>
      <w:proofErr w:type="spellStart"/>
      <w:r w:rsidR="00E8284F">
        <w:t>thei</w:t>
      </w:r>
      <w:proofErr w:type="spellEnd"/>
      <w:r w:rsidR="00E8284F">
        <w:t xml:space="preserve"> </w:t>
      </w:r>
      <w:proofErr w:type="spellStart"/>
      <w:r w:rsidR="00E8284F">
        <w:t>mowe</w:t>
      </w:r>
      <w:proofErr w:type="spellEnd"/>
      <w:r w:rsidR="00E8284F">
        <w:t>’</w:t>
      </w:r>
      <w:r w:rsidR="009A107A">
        <w:t xml:space="preserve"> (B. 205-07). </w:t>
      </w:r>
      <w:r w:rsidR="00556E2B">
        <w:t xml:space="preserve">The mouse suggests that certain expenses are going to be necessary to let cats go about their business of catching whatever they can. Thus, if the rabbits </w:t>
      </w:r>
      <w:r w:rsidR="00E24CC0">
        <w:t>are</w:t>
      </w:r>
      <w:r w:rsidR="00556E2B">
        <w:t xml:space="preserve"> the French, then the mouse is urging the rodent assembly to assent to the subsidies, despite their oppressive nature, so that the cat can go hunting. </w:t>
      </w:r>
      <w:r w:rsidR="00C249B6">
        <w:t xml:space="preserve">Taken in the context of </w:t>
      </w:r>
      <w:r w:rsidR="007B60B6">
        <w:t>England’s reversal of wartime fortunes in the early 1370s</w:t>
      </w:r>
      <w:r w:rsidR="00C249B6">
        <w:t xml:space="preserve">, </w:t>
      </w:r>
      <w:r w:rsidR="007B60B6">
        <w:t xml:space="preserve">of </w:t>
      </w:r>
      <w:r w:rsidR="00C249B6">
        <w:t>the failure of peace negotiations at Bruges,</w:t>
      </w:r>
      <w:r w:rsidR="007B60B6">
        <w:t xml:space="preserve"> </w:t>
      </w:r>
      <w:r w:rsidR="00E8284F">
        <w:t xml:space="preserve">and </w:t>
      </w:r>
      <w:r w:rsidR="007B60B6">
        <w:t>of</w:t>
      </w:r>
      <w:r w:rsidR="00C249B6">
        <w:t xml:space="preserve"> the </w:t>
      </w:r>
      <w:r w:rsidR="00E8284F">
        <w:t xml:space="preserve">recent </w:t>
      </w:r>
      <w:r w:rsidR="00C249B6">
        <w:t>death</w:t>
      </w:r>
      <w:r w:rsidR="00E8284F">
        <w:t>s</w:t>
      </w:r>
      <w:r w:rsidR="00E3702D">
        <w:t xml:space="preserve"> of Edward the Black </w:t>
      </w:r>
      <w:r w:rsidR="00C249B6">
        <w:t>Prince and of Edward</w:t>
      </w:r>
      <w:r w:rsidR="007B60B6">
        <w:t xml:space="preserve"> III, the </w:t>
      </w:r>
      <w:r w:rsidR="009A107A">
        <w:t>discourse</w:t>
      </w:r>
      <w:r w:rsidR="007B60B6">
        <w:t xml:space="preserve"> of Langland’s mouse reads like a plea for domestic stability as an important safeguard in a period of immense external threat to the futures of the realm. </w:t>
      </w:r>
      <w:r w:rsidR="009A107A">
        <w:t>The rodents, the mouse suggests, have bigger things to worry about than controlling their cat</w:t>
      </w:r>
      <w:r w:rsidR="00556E2B">
        <w:t xml:space="preserve"> and should instead </w:t>
      </w:r>
      <w:r w:rsidR="003601A2">
        <w:t>leave the cat to do what cats do</w:t>
      </w:r>
      <w:r w:rsidR="00556E2B">
        <w:t xml:space="preserve"> best: kill. </w:t>
      </w:r>
    </w:p>
    <w:p w14:paraId="31733362" w14:textId="77777777" w:rsidR="00EE211B" w:rsidRDefault="00EE211B" w:rsidP="00EE211B">
      <w:pPr>
        <w:ind w:firstLine="720"/>
      </w:pPr>
      <w:r>
        <w:t>Reading Langland’s mouse in the context of cross-Channel wartime parliamentary concerns allows us</w:t>
      </w:r>
      <w:r w:rsidR="003601A2">
        <w:t xml:space="preserve"> directly</w:t>
      </w:r>
      <w:r>
        <w:t xml:space="preserve"> to link the invocation of France in the Rodent Parliament with </w:t>
      </w:r>
      <w:proofErr w:type="spellStart"/>
      <w:r>
        <w:t>Meed’s</w:t>
      </w:r>
      <w:proofErr w:type="spellEnd"/>
      <w:r>
        <w:t xml:space="preserve"> discussion of the Treaty of </w:t>
      </w:r>
      <w:proofErr w:type="spellStart"/>
      <w:r>
        <w:t>Brétigny</w:t>
      </w:r>
      <w:proofErr w:type="spellEnd"/>
      <w:r>
        <w:t xml:space="preserve"> in Passus 3. In this way, the topical reference</w:t>
      </w:r>
      <w:r w:rsidR="00790F6F">
        <w:t>s</w:t>
      </w:r>
      <w:r w:rsidR="006F7E0D">
        <w:t xml:space="preserve"> to the Hundred Years War</w:t>
      </w:r>
      <w:r>
        <w:t xml:space="preserve"> </w:t>
      </w:r>
      <w:r w:rsidR="00E3702D">
        <w:t>i</w:t>
      </w:r>
      <w:r>
        <w:t xml:space="preserve">n Passus 3 no longer </w:t>
      </w:r>
      <w:r w:rsidR="00790F6F">
        <w:t>register</w:t>
      </w:r>
      <w:r>
        <w:t xml:space="preserve"> as</w:t>
      </w:r>
      <w:r w:rsidR="003601A2">
        <w:t xml:space="preserve"> unique and</w:t>
      </w:r>
      <w:r>
        <w:t xml:space="preserve"> anomal</w:t>
      </w:r>
      <w:r w:rsidR="003601A2">
        <w:t xml:space="preserve">ous </w:t>
      </w:r>
      <w:r w:rsidR="00790F6F">
        <w:t>but are instead foreshadowed already by</w:t>
      </w:r>
      <w:r>
        <w:t xml:space="preserve"> the Prologue. </w:t>
      </w:r>
      <w:r w:rsidR="007D575C">
        <w:t xml:space="preserve">This clear topical association between the Prologue and Passus 3 </w:t>
      </w:r>
      <w:r w:rsidR="00E8284F">
        <w:t>lends support</w:t>
      </w:r>
      <w:r w:rsidR="007D575C">
        <w:t xml:space="preserve"> to Emily Steiner’s suggestion that the two episodes should be read togeth</w:t>
      </w:r>
      <w:r w:rsidR="00E8284F">
        <w:t>er as both attempting to model ‘</w:t>
      </w:r>
      <w:r w:rsidR="007D575C">
        <w:t>a new</w:t>
      </w:r>
      <w:r w:rsidR="00E8284F">
        <w:t xml:space="preserve"> discourse of political counsel’.</w:t>
      </w:r>
      <w:r w:rsidR="007D575C">
        <w:rPr>
          <w:rStyle w:val="FootnoteReference"/>
        </w:rPr>
        <w:footnoteReference w:id="62"/>
      </w:r>
      <w:r w:rsidR="00BF2795">
        <w:t xml:space="preserve"> This</w:t>
      </w:r>
      <w:r w:rsidR="007D575C">
        <w:t xml:space="preserve"> proximity between the two episodes</w:t>
      </w:r>
      <w:r>
        <w:t xml:space="preserve"> suggests in turn that Langland’s cross-Channel political concerns are not confined to just one place within the poem but play out across its </w:t>
      </w:r>
      <w:r w:rsidR="00790F6F">
        <w:t xml:space="preserve">entire </w:t>
      </w:r>
      <w:r>
        <w:t xml:space="preserve">opening section. </w:t>
      </w:r>
    </w:p>
    <w:p w14:paraId="2B87156D" w14:textId="77777777" w:rsidR="00AB0AAC" w:rsidRDefault="00AB0AAC" w:rsidP="003437BD">
      <w:pPr>
        <w:rPr>
          <w:color w:val="FF0000"/>
        </w:rPr>
      </w:pPr>
    </w:p>
    <w:p w14:paraId="784DB81F" w14:textId="77777777" w:rsidR="00DB153A" w:rsidRPr="002C51D2" w:rsidRDefault="00DB153A" w:rsidP="00DB153A">
      <w:pPr>
        <w:rPr>
          <w:b/>
        </w:rPr>
      </w:pPr>
      <w:r w:rsidRPr="002C51D2">
        <w:rPr>
          <w:b/>
        </w:rPr>
        <w:t>IV.</w:t>
      </w:r>
      <w:r w:rsidR="002C51D2">
        <w:rPr>
          <w:b/>
        </w:rPr>
        <w:t xml:space="preserve"> Conclusion: Bridging the Channel  </w:t>
      </w:r>
    </w:p>
    <w:p w14:paraId="589D6453" w14:textId="77777777" w:rsidR="00DB153A" w:rsidRDefault="00DB153A" w:rsidP="00DB153A">
      <w:pPr>
        <w:rPr>
          <w:color w:val="FF0000"/>
        </w:rPr>
      </w:pPr>
    </w:p>
    <w:p w14:paraId="291EAB55" w14:textId="77777777" w:rsidR="002C51D2" w:rsidRDefault="00CF026C" w:rsidP="00E82933">
      <w:pPr>
        <w:ind w:firstLine="720"/>
      </w:pPr>
      <w:r>
        <w:t>As this discussion ha</w:t>
      </w:r>
      <w:r w:rsidR="00E8284F">
        <w:t>s sought to show, the fable of ‘belling the cat’</w:t>
      </w:r>
      <w:r>
        <w:t xml:space="preserve"> became politically </w:t>
      </w:r>
      <w:r w:rsidR="00E3702D">
        <w:t>expedient</w:t>
      </w:r>
      <w:r>
        <w:t xml:space="preserve"> to figures on both sides of the Channel in responding</w:t>
      </w:r>
      <w:r w:rsidR="00CD2D7D">
        <w:t xml:space="preserve"> to</w:t>
      </w:r>
      <w:r>
        <w:t xml:space="preserve"> the ongoing threat of the </w:t>
      </w:r>
      <w:r>
        <w:lastRenderedPageBreak/>
        <w:t xml:space="preserve">Hundred Years War. Three vastly distinct figures – a French poet working in the Continental </w:t>
      </w:r>
      <w:proofErr w:type="spellStart"/>
      <w:r w:rsidRPr="00CA04AA">
        <w:rPr>
          <w:i/>
        </w:rPr>
        <w:t>formes</w:t>
      </w:r>
      <w:proofErr w:type="spellEnd"/>
      <w:r w:rsidRPr="00CA04AA">
        <w:rPr>
          <w:i/>
        </w:rPr>
        <w:t xml:space="preserve"> fixes</w:t>
      </w:r>
      <w:r>
        <w:t xml:space="preserve"> tradition, an English bishop and preacher, and an English poet working in the Middle English alliterative tradition – all relied on the same animal fable to critique </w:t>
      </w:r>
      <w:r w:rsidR="00CD2D7D">
        <w:t>wartime administration and foreign policy</w:t>
      </w:r>
      <w:r>
        <w:t xml:space="preserve">. </w:t>
      </w:r>
      <w:r w:rsidR="00FD3B81">
        <w:t xml:space="preserve">Despite the </w:t>
      </w:r>
      <w:r w:rsidR="00CD2D7D">
        <w:t xml:space="preserve">vastly </w:t>
      </w:r>
      <w:r w:rsidR="00FD3B81">
        <w:t xml:space="preserve">different contexts in which the three place their fable – a cluster of wartime lyrics, a sermon, and a lengthy allegorical narrative poem – and despite the fable’s sources having little topical application, all </w:t>
      </w:r>
      <w:r w:rsidR="00CD2D7D">
        <w:t xml:space="preserve">three authors use the fable to </w:t>
      </w:r>
      <w:r w:rsidR="00FD3B81">
        <w:t xml:space="preserve">the same end: to demonstrate </w:t>
      </w:r>
      <w:r w:rsidR="00CA04AA">
        <w:t>the</w:t>
      </w:r>
      <w:r w:rsidR="00FD3B81">
        <w:t xml:space="preserve"> failure of their respective governments to act decisively in bringing the war to its much-desired end. </w:t>
      </w:r>
      <w:r w:rsidR="002101FE">
        <w:t>Strikingly, Deschamps and Langland</w:t>
      </w:r>
      <w:r w:rsidR="00CD2D7D">
        <w:t>,</w:t>
      </w:r>
      <w:r w:rsidR="00E8284F">
        <w:t xml:space="preserve"> in particular</w:t>
      </w:r>
      <w:r w:rsidR="00CD2D7D">
        <w:t>,</w:t>
      </w:r>
      <w:r w:rsidR="002101FE">
        <w:t xml:space="preserve"> use the fable to inveigh against identical problems: war campaigns that get bogged down for lack of well-executed governmental spending, revealing that both sides of the Channel shared remarkably similar (and familiar) frustrations concerning </w:t>
      </w:r>
      <w:r w:rsidR="002F14FD">
        <w:t xml:space="preserve">effective rulership, </w:t>
      </w:r>
      <w:r w:rsidR="002101FE">
        <w:t>taxation</w:t>
      </w:r>
      <w:r w:rsidR="002F14FD">
        <w:t>,</w:t>
      </w:r>
      <w:r w:rsidR="00CD2D7D">
        <w:t xml:space="preserve"> and military financing</w:t>
      </w:r>
      <w:r w:rsidR="002101FE">
        <w:t xml:space="preserve">. </w:t>
      </w:r>
    </w:p>
    <w:p w14:paraId="189F93EE" w14:textId="77777777" w:rsidR="00E24CC0" w:rsidRDefault="00FD3B81" w:rsidP="009265E7">
      <w:pPr>
        <w:ind w:firstLine="720"/>
      </w:pPr>
      <w:r>
        <w:t xml:space="preserve">That Langland and Deschamps should both be using the same animal fable </w:t>
      </w:r>
      <w:r w:rsidR="00A523DD">
        <w:t>is</w:t>
      </w:r>
      <w:r>
        <w:t xml:space="preserve"> not, ultimately, </w:t>
      </w:r>
      <w:r w:rsidR="00A523DD">
        <w:t>all that surprising</w:t>
      </w:r>
      <w:r>
        <w:t xml:space="preserve">. </w:t>
      </w:r>
      <w:r w:rsidR="00E8284F">
        <w:t>As the sources for the ‘belling the cat’</w:t>
      </w:r>
      <w:r w:rsidR="00022467">
        <w:t xml:space="preserve"> fable suggest, animal fables were an important feature of the English homiletic tradition, the influence of which is clearly observable in </w:t>
      </w:r>
      <w:r w:rsidR="00022467" w:rsidRPr="00022467">
        <w:rPr>
          <w:i/>
        </w:rPr>
        <w:t>Piers Plowman</w:t>
      </w:r>
      <w:r w:rsidR="00022467">
        <w:t>, and collections of animal fables circulated in Latin and vernacular translations across Western Europe. But</w:t>
      </w:r>
      <w:r w:rsidR="00A523DD">
        <w:t xml:space="preserve"> I would like to suggest, by way of conclusi</w:t>
      </w:r>
      <w:r w:rsidR="00E24CC0">
        <w:t xml:space="preserve">on, that the recurrence of the image of belling the cat </w:t>
      </w:r>
      <w:r w:rsidR="00A523DD">
        <w:t xml:space="preserve">speaks to more than just this </w:t>
      </w:r>
      <w:proofErr w:type="gramStart"/>
      <w:r w:rsidR="00A523DD">
        <w:t>particular fable’s</w:t>
      </w:r>
      <w:proofErr w:type="gramEnd"/>
      <w:r w:rsidR="00A523DD">
        <w:t xml:space="preserve"> popularity. P</w:t>
      </w:r>
      <w:r w:rsidR="00022467">
        <w:t xml:space="preserve">olitical beast allegory is </w:t>
      </w:r>
      <w:r w:rsidR="00E8284F">
        <w:t xml:space="preserve">vitally </w:t>
      </w:r>
      <w:r w:rsidR="00022467">
        <w:t>central to the late med</w:t>
      </w:r>
      <w:r w:rsidR="00BF2795">
        <w:t>ieval French literary tradition</w:t>
      </w:r>
      <w:r w:rsidR="00022467">
        <w:t xml:space="preserve"> in monumental works such as the </w:t>
      </w:r>
      <w:r w:rsidR="00022467" w:rsidRPr="00022467">
        <w:rPr>
          <w:i/>
        </w:rPr>
        <w:t>Roman de Renard</w:t>
      </w:r>
      <w:r w:rsidR="00022467">
        <w:t xml:space="preserve"> and the </w:t>
      </w:r>
      <w:r w:rsidR="00022467" w:rsidRPr="00022467">
        <w:rPr>
          <w:i/>
        </w:rPr>
        <w:t xml:space="preserve">Roman de </w:t>
      </w:r>
      <w:proofErr w:type="spellStart"/>
      <w:r w:rsidR="00022467" w:rsidRPr="00022467">
        <w:rPr>
          <w:i/>
        </w:rPr>
        <w:t>Fauvel</w:t>
      </w:r>
      <w:proofErr w:type="spellEnd"/>
      <w:r w:rsidR="00E8284F">
        <w:t>. Furthermore, i</w:t>
      </w:r>
      <w:r w:rsidR="00022467">
        <w:t xml:space="preserve">n addition to Deschamps and Langland, we find </w:t>
      </w:r>
      <w:r w:rsidR="00BF2795">
        <w:t>important</w:t>
      </w:r>
      <w:r w:rsidR="00022467">
        <w:t xml:space="preserve"> uses of po</w:t>
      </w:r>
      <w:r w:rsidR="00CA04AA">
        <w:t xml:space="preserve">litical beast allegory in the works of their fellow </w:t>
      </w:r>
      <w:r w:rsidR="00022467">
        <w:t xml:space="preserve">English contemporaries, such as Chaucer’s </w:t>
      </w:r>
      <w:r w:rsidR="00B97027">
        <w:t>‘</w:t>
      </w:r>
      <w:r w:rsidR="00022467" w:rsidRPr="00B97027">
        <w:t>Nun’s Priest’s Tale</w:t>
      </w:r>
      <w:r w:rsidR="00B97027">
        <w:t>’</w:t>
      </w:r>
      <w:r w:rsidR="00022467">
        <w:t xml:space="preserve"> and John Gower’s opening to the </w:t>
      </w:r>
      <w:r w:rsidR="00022467" w:rsidRPr="00022467">
        <w:rPr>
          <w:i/>
        </w:rPr>
        <w:t xml:space="preserve">Vox </w:t>
      </w:r>
      <w:proofErr w:type="spellStart"/>
      <w:r w:rsidR="00022467" w:rsidRPr="00022467">
        <w:rPr>
          <w:i/>
        </w:rPr>
        <w:t>Clamantis</w:t>
      </w:r>
      <w:proofErr w:type="spellEnd"/>
      <w:r w:rsidR="00022467">
        <w:t xml:space="preserve">, English contemporaries closely familiar with and </w:t>
      </w:r>
      <w:r w:rsidR="009265E7">
        <w:t xml:space="preserve">heavily borrowing from </w:t>
      </w:r>
      <w:r w:rsidR="00E8284F">
        <w:t xml:space="preserve">the </w:t>
      </w:r>
      <w:r w:rsidR="009265E7">
        <w:t xml:space="preserve">Continental French </w:t>
      </w:r>
      <w:r w:rsidR="00E8284F">
        <w:t>literary</w:t>
      </w:r>
      <w:r w:rsidR="009265E7">
        <w:t xml:space="preserve"> tradition.</w:t>
      </w:r>
      <w:r w:rsidR="009265E7">
        <w:rPr>
          <w:rStyle w:val="FootnoteReference"/>
        </w:rPr>
        <w:footnoteReference w:id="63"/>
      </w:r>
      <w:r w:rsidR="009265E7">
        <w:t xml:space="preserve"> </w:t>
      </w:r>
    </w:p>
    <w:p w14:paraId="3CFABFD8" w14:textId="77777777" w:rsidR="00F24E27" w:rsidRDefault="009265E7" w:rsidP="00B30381">
      <w:pPr>
        <w:ind w:firstLine="720"/>
      </w:pPr>
      <w:r>
        <w:t xml:space="preserve">While the Rodent Parliament is the only instance of animal fable in </w:t>
      </w:r>
      <w:r w:rsidRPr="009265E7">
        <w:rPr>
          <w:i/>
        </w:rPr>
        <w:t>Piers Plowman</w:t>
      </w:r>
      <w:r>
        <w:t>, its presence and resonances with Deschamps’ poetry as well as with the use of animal fable in other</w:t>
      </w:r>
      <w:r w:rsidR="00A523DD">
        <w:t xml:space="preserve"> contemporary</w:t>
      </w:r>
      <w:r>
        <w:t xml:space="preserve"> English poets partaking of cross-Channel literary influence</w:t>
      </w:r>
      <w:r w:rsidR="00E8284F">
        <w:t>s</w:t>
      </w:r>
      <w:r>
        <w:t>, reminds us of the indelible proximity of Middle English and Continental Fren</w:t>
      </w:r>
      <w:r w:rsidR="00CA04AA">
        <w:t>ch literary culture in the late</w:t>
      </w:r>
      <w:r>
        <w:t xml:space="preserve"> medieval period. </w:t>
      </w:r>
      <w:r w:rsidR="00E82933">
        <w:t>It reminds us that our emphasis on nationalis</w:t>
      </w:r>
      <w:r w:rsidR="00A523DD">
        <w:t>t divisions and distinctions – ‘</w:t>
      </w:r>
      <w:r w:rsidR="00E82933">
        <w:t>Langland and the</w:t>
      </w:r>
      <w:r w:rsidR="00A523DD">
        <w:t xml:space="preserve"> French Tradition’</w:t>
      </w:r>
      <w:r w:rsidR="00E82933">
        <w:t xml:space="preserve"> – is important to retain but should not obfuscate for us the porousness of cross-Channel literary culture and, still more importantly, the vast store of knowledge, source material, and cultural capital that both sides of the Channel held</w:t>
      </w:r>
      <w:r w:rsidR="00A523DD">
        <w:t xml:space="preserve"> in common. ‘English’ and ‘French’</w:t>
      </w:r>
      <w:r w:rsidR="00E82933">
        <w:t xml:space="preserve"> are geographical and linguistic categories that do </w:t>
      </w:r>
      <w:r w:rsidR="00E82933" w:rsidRPr="009265E7">
        <w:t>not</w:t>
      </w:r>
      <w:r>
        <w:t>, and cannot,</w:t>
      </w:r>
      <w:r w:rsidR="00E82933">
        <w:t xml:space="preserve"> capture an individual </w:t>
      </w:r>
      <w:r>
        <w:t xml:space="preserve">medieval </w:t>
      </w:r>
      <w:r w:rsidR="00E82933">
        <w:t xml:space="preserve">author in his or her expressive totality. Rather, as we continue to investigate </w:t>
      </w:r>
      <w:r>
        <w:t>the late medieval period</w:t>
      </w:r>
      <w:r w:rsidR="00E82933">
        <w:t xml:space="preserve">, we should </w:t>
      </w:r>
      <w:r>
        <w:t xml:space="preserve">continually bear in mind that, despite its rich diversity, the Latin West also functioned as a multilingual monoculture, in which </w:t>
      </w:r>
      <w:r w:rsidR="00C24BFB">
        <w:t xml:space="preserve">the Continental </w:t>
      </w:r>
      <w:r>
        <w:t>French literary</w:t>
      </w:r>
      <w:r w:rsidR="00C24BFB">
        <w:t xml:space="preserve"> tradition</w:t>
      </w:r>
      <w:r w:rsidR="00A523DD">
        <w:t xml:space="preserve"> in particular</w:t>
      </w:r>
      <w:r>
        <w:t xml:space="preserve"> played an extraordinarily central role. </w:t>
      </w:r>
    </w:p>
    <w:p w14:paraId="7A9E85A6" w14:textId="77777777" w:rsidR="00F24E27" w:rsidRDefault="00F24E27" w:rsidP="008619C8"/>
    <w:p w14:paraId="2E7A3CBF" w14:textId="77777777" w:rsidR="00975142" w:rsidRPr="00F24E27" w:rsidRDefault="00975142" w:rsidP="008619C8">
      <w:r w:rsidRPr="008619C8">
        <w:rPr>
          <w:i/>
          <w:szCs w:val="24"/>
        </w:rPr>
        <w:t xml:space="preserve">Works Cited </w:t>
      </w:r>
    </w:p>
    <w:p w14:paraId="22794694" w14:textId="77777777" w:rsidR="00975142" w:rsidRPr="008619C8" w:rsidRDefault="00975142" w:rsidP="00975142">
      <w:pPr>
        <w:rPr>
          <w:szCs w:val="24"/>
        </w:rPr>
      </w:pPr>
    </w:p>
    <w:p w14:paraId="2195516B" w14:textId="77777777" w:rsidR="002C5C58" w:rsidRDefault="002C5C58" w:rsidP="00975142">
      <w:pPr>
        <w:rPr>
          <w:b/>
          <w:szCs w:val="24"/>
        </w:rPr>
      </w:pPr>
      <w:r>
        <w:rPr>
          <w:b/>
          <w:szCs w:val="24"/>
        </w:rPr>
        <w:t xml:space="preserve">Manuscripts and Archival Sources: </w:t>
      </w:r>
    </w:p>
    <w:p w14:paraId="78612B71" w14:textId="77777777" w:rsidR="002C5C58" w:rsidRDefault="002C5C58" w:rsidP="00975142">
      <w:pPr>
        <w:rPr>
          <w:b/>
          <w:szCs w:val="24"/>
        </w:rPr>
      </w:pPr>
    </w:p>
    <w:p w14:paraId="42CC8962" w14:textId="77777777" w:rsidR="002C5C58" w:rsidRPr="008619C8" w:rsidRDefault="002C5C58" w:rsidP="002C5C58">
      <w:pPr>
        <w:rPr>
          <w:szCs w:val="24"/>
        </w:rPr>
      </w:pPr>
      <w:r w:rsidRPr="008619C8">
        <w:rPr>
          <w:szCs w:val="24"/>
        </w:rPr>
        <w:lastRenderedPageBreak/>
        <w:t>Bromyard,</w:t>
      </w:r>
      <w:r>
        <w:rPr>
          <w:szCs w:val="24"/>
        </w:rPr>
        <w:t xml:space="preserve"> John,</w:t>
      </w:r>
      <w:r w:rsidRPr="008619C8">
        <w:rPr>
          <w:szCs w:val="24"/>
        </w:rPr>
        <w:t xml:space="preserve"> </w:t>
      </w:r>
      <w:r w:rsidRPr="008619C8">
        <w:rPr>
          <w:i/>
          <w:szCs w:val="24"/>
        </w:rPr>
        <w:t xml:space="preserve">Summa </w:t>
      </w:r>
      <w:proofErr w:type="spellStart"/>
      <w:r w:rsidRPr="008619C8">
        <w:rPr>
          <w:i/>
          <w:szCs w:val="24"/>
        </w:rPr>
        <w:t>Praedicantium</w:t>
      </w:r>
      <w:proofErr w:type="spellEnd"/>
      <w:r w:rsidRPr="008619C8">
        <w:rPr>
          <w:i/>
          <w:szCs w:val="24"/>
        </w:rPr>
        <w:t xml:space="preserve"> … Pars </w:t>
      </w:r>
      <w:proofErr w:type="spellStart"/>
      <w:r w:rsidRPr="008619C8">
        <w:rPr>
          <w:i/>
          <w:szCs w:val="24"/>
        </w:rPr>
        <w:t>Secunda</w:t>
      </w:r>
      <w:proofErr w:type="spellEnd"/>
      <w:r w:rsidRPr="008619C8">
        <w:rPr>
          <w:szCs w:val="24"/>
        </w:rPr>
        <w:t xml:space="preserve"> (Venice, 1586) &lt;https://archive.org/details/JohnBromyardSummaPraedicantiumParsSecunda1586&gt; [accessed 4 Sep 2015]</w:t>
      </w:r>
    </w:p>
    <w:p w14:paraId="3BBF4DD7" w14:textId="77777777" w:rsidR="002C5C58" w:rsidRDefault="002C5C58" w:rsidP="00975142">
      <w:pPr>
        <w:rPr>
          <w:b/>
          <w:szCs w:val="24"/>
        </w:rPr>
      </w:pPr>
    </w:p>
    <w:p w14:paraId="351A17C2" w14:textId="77777777" w:rsidR="00975142" w:rsidRPr="008619C8" w:rsidRDefault="00975142" w:rsidP="00975142">
      <w:pPr>
        <w:rPr>
          <w:b/>
          <w:szCs w:val="24"/>
        </w:rPr>
      </w:pPr>
      <w:r w:rsidRPr="008619C8">
        <w:rPr>
          <w:b/>
          <w:szCs w:val="24"/>
        </w:rPr>
        <w:t>Primary Sources:</w:t>
      </w:r>
    </w:p>
    <w:p w14:paraId="450E4179" w14:textId="77777777" w:rsidR="00975142" w:rsidRPr="008619C8" w:rsidRDefault="00975142" w:rsidP="00975142">
      <w:pPr>
        <w:rPr>
          <w:szCs w:val="24"/>
        </w:rPr>
      </w:pPr>
    </w:p>
    <w:p w14:paraId="4EF28A2F" w14:textId="77777777" w:rsidR="00975142" w:rsidRPr="008619C8" w:rsidRDefault="00975142" w:rsidP="00BA748E">
      <w:pPr>
        <w:ind w:left="720" w:hanging="720"/>
        <w:rPr>
          <w:szCs w:val="24"/>
        </w:rPr>
      </w:pPr>
      <w:r w:rsidRPr="008619C8">
        <w:rPr>
          <w:i/>
          <w:szCs w:val="24"/>
        </w:rPr>
        <w:t xml:space="preserve">The </w:t>
      </w:r>
      <w:proofErr w:type="spellStart"/>
      <w:r w:rsidRPr="008619C8">
        <w:rPr>
          <w:i/>
          <w:szCs w:val="24"/>
        </w:rPr>
        <w:t>Anonimalle</w:t>
      </w:r>
      <w:proofErr w:type="spellEnd"/>
      <w:r w:rsidRPr="008619C8">
        <w:rPr>
          <w:i/>
          <w:szCs w:val="24"/>
        </w:rPr>
        <w:t xml:space="preserve"> Chronicle, 1333 to 1381</w:t>
      </w:r>
      <w:r w:rsidRPr="008619C8">
        <w:rPr>
          <w:szCs w:val="24"/>
        </w:rPr>
        <w:t xml:space="preserve">, ed. </w:t>
      </w:r>
      <w:r w:rsidR="008619C8">
        <w:rPr>
          <w:szCs w:val="24"/>
        </w:rPr>
        <w:t xml:space="preserve">by </w:t>
      </w:r>
      <w:r w:rsidRPr="008619C8">
        <w:rPr>
          <w:szCs w:val="24"/>
        </w:rPr>
        <w:t>V.H. Galbraith (Manchester: Man</w:t>
      </w:r>
      <w:r w:rsidR="008619C8" w:rsidRPr="008619C8">
        <w:rPr>
          <w:szCs w:val="24"/>
        </w:rPr>
        <w:t>chester University Press, 1970)</w:t>
      </w:r>
    </w:p>
    <w:p w14:paraId="49AC1500" w14:textId="77777777" w:rsidR="00975142" w:rsidRPr="008619C8" w:rsidRDefault="00975142" w:rsidP="00BA748E">
      <w:pPr>
        <w:ind w:left="720" w:hanging="720"/>
        <w:rPr>
          <w:szCs w:val="24"/>
        </w:rPr>
      </w:pPr>
      <w:proofErr w:type="spellStart"/>
      <w:r w:rsidRPr="008619C8">
        <w:rPr>
          <w:szCs w:val="24"/>
        </w:rPr>
        <w:t>Bozon</w:t>
      </w:r>
      <w:proofErr w:type="spellEnd"/>
      <w:r w:rsidRPr="008619C8">
        <w:rPr>
          <w:szCs w:val="24"/>
        </w:rPr>
        <w:t>,</w:t>
      </w:r>
      <w:r w:rsidR="008619C8">
        <w:rPr>
          <w:szCs w:val="24"/>
        </w:rPr>
        <w:t xml:space="preserve"> Nicole,</w:t>
      </w:r>
      <w:r w:rsidRPr="008619C8">
        <w:rPr>
          <w:szCs w:val="24"/>
        </w:rPr>
        <w:t xml:space="preserve"> </w:t>
      </w:r>
      <w:r w:rsidR="002C5C58">
        <w:rPr>
          <w:i/>
          <w:szCs w:val="24"/>
        </w:rPr>
        <w:t xml:space="preserve">Les </w:t>
      </w:r>
      <w:proofErr w:type="spellStart"/>
      <w:r w:rsidR="002C5C58">
        <w:rPr>
          <w:i/>
          <w:szCs w:val="24"/>
        </w:rPr>
        <w:t>Contes</w:t>
      </w:r>
      <w:proofErr w:type="spellEnd"/>
      <w:r w:rsidR="002C5C58">
        <w:rPr>
          <w:i/>
          <w:szCs w:val="24"/>
        </w:rPr>
        <w:t xml:space="preserve"> </w:t>
      </w:r>
      <w:proofErr w:type="spellStart"/>
      <w:r w:rsidR="002C5C58">
        <w:rPr>
          <w:i/>
          <w:szCs w:val="24"/>
        </w:rPr>
        <w:t>m</w:t>
      </w:r>
      <w:r w:rsidRPr="008619C8">
        <w:rPr>
          <w:i/>
          <w:szCs w:val="24"/>
        </w:rPr>
        <w:t>oralisés</w:t>
      </w:r>
      <w:proofErr w:type="spellEnd"/>
      <w:r w:rsidRPr="008619C8">
        <w:rPr>
          <w:szCs w:val="24"/>
        </w:rPr>
        <w:t xml:space="preserve">, ed. </w:t>
      </w:r>
      <w:r w:rsidR="008619C8">
        <w:rPr>
          <w:szCs w:val="24"/>
        </w:rPr>
        <w:t xml:space="preserve">by </w:t>
      </w:r>
      <w:r w:rsidRPr="008619C8">
        <w:rPr>
          <w:szCs w:val="24"/>
        </w:rPr>
        <w:t>Lucy Smith and Paul Meyer</w:t>
      </w:r>
      <w:r w:rsidR="002C5C58">
        <w:rPr>
          <w:szCs w:val="24"/>
        </w:rPr>
        <w:t xml:space="preserve"> (Paris, 1889</w:t>
      </w:r>
      <w:r w:rsidRPr="008619C8">
        <w:rPr>
          <w:szCs w:val="24"/>
        </w:rPr>
        <w:t>)</w:t>
      </w:r>
    </w:p>
    <w:p w14:paraId="69AE785D" w14:textId="77777777" w:rsidR="00975142" w:rsidRDefault="00975142" w:rsidP="00BA748E">
      <w:pPr>
        <w:ind w:left="720" w:hanging="720"/>
        <w:rPr>
          <w:szCs w:val="24"/>
        </w:rPr>
      </w:pPr>
      <w:r w:rsidRPr="008619C8">
        <w:rPr>
          <w:szCs w:val="24"/>
        </w:rPr>
        <w:t>Deschamps,</w:t>
      </w:r>
      <w:r w:rsidR="008619C8">
        <w:rPr>
          <w:szCs w:val="24"/>
        </w:rPr>
        <w:t xml:space="preserve"> Eustache,</w:t>
      </w:r>
      <w:r w:rsidRPr="008619C8">
        <w:rPr>
          <w:szCs w:val="24"/>
        </w:rPr>
        <w:t xml:space="preserve"> </w:t>
      </w:r>
      <w:proofErr w:type="spellStart"/>
      <w:r w:rsidRPr="008619C8">
        <w:rPr>
          <w:i/>
          <w:szCs w:val="24"/>
        </w:rPr>
        <w:t>Œuvres</w:t>
      </w:r>
      <w:proofErr w:type="spellEnd"/>
      <w:r w:rsidRPr="008619C8">
        <w:rPr>
          <w:i/>
          <w:szCs w:val="24"/>
        </w:rPr>
        <w:t xml:space="preserve"> </w:t>
      </w:r>
      <w:proofErr w:type="spellStart"/>
      <w:r w:rsidRPr="008619C8">
        <w:rPr>
          <w:i/>
          <w:szCs w:val="24"/>
        </w:rPr>
        <w:t>complètes</w:t>
      </w:r>
      <w:proofErr w:type="spellEnd"/>
      <w:r w:rsidRPr="008619C8">
        <w:rPr>
          <w:szCs w:val="24"/>
        </w:rPr>
        <w:t xml:space="preserve">, ed. </w:t>
      </w:r>
      <w:r w:rsidR="008619C8">
        <w:rPr>
          <w:szCs w:val="24"/>
        </w:rPr>
        <w:t xml:space="preserve">by </w:t>
      </w:r>
      <w:r w:rsidRPr="008619C8">
        <w:rPr>
          <w:szCs w:val="24"/>
        </w:rPr>
        <w:t xml:space="preserve">Auguste-H.E. </w:t>
      </w:r>
      <w:proofErr w:type="spellStart"/>
      <w:r w:rsidRPr="008619C8">
        <w:rPr>
          <w:szCs w:val="24"/>
        </w:rPr>
        <w:t>Queux</w:t>
      </w:r>
      <w:proofErr w:type="spellEnd"/>
      <w:r w:rsidRPr="008619C8">
        <w:rPr>
          <w:szCs w:val="24"/>
        </w:rPr>
        <w:t xml:space="preserve"> de St.-Hilaire and Gaston Raynaud, </w:t>
      </w:r>
      <w:proofErr w:type="spellStart"/>
      <w:r w:rsidRPr="008619C8">
        <w:rPr>
          <w:i/>
          <w:szCs w:val="24"/>
        </w:rPr>
        <w:t>Sociéte</w:t>
      </w:r>
      <w:proofErr w:type="spellEnd"/>
      <w:r w:rsidRPr="008619C8">
        <w:rPr>
          <w:i/>
          <w:szCs w:val="24"/>
        </w:rPr>
        <w:t xml:space="preserve"> des </w:t>
      </w:r>
      <w:proofErr w:type="spellStart"/>
      <w:r w:rsidRPr="008619C8">
        <w:rPr>
          <w:i/>
          <w:szCs w:val="24"/>
        </w:rPr>
        <w:t>anciens</w:t>
      </w:r>
      <w:proofErr w:type="spellEnd"/>
      <w:r w:rsidRPr="008619C8">
        <w:rPr>
          <w:i/>
          <w:szCs w:val="24"/>
        </w:rPr>
        <w:t xml:space="preserve"> </w:t>
      </w:r>
      <w:proofErr w:type="spellStart"/>
      <w:r w:rsidRPr="008619C8">
        <w:rPr>
          <w:i/>
          <w:szCs w:val="24"/>
        </w:rPr>
        <w:t>textes</w:t>
      </w:r>
      <w:proofErr w:type="spellEnd"/>
      <w:r w:rsidRPr="008619C8">
        <w:rPr>
          <w:i/>
          <w:szCs w:val="24"/>
        </w:rPr>
        <w:t xml:space="preserve"> </w:t>
      </w:r>
      <w:proofErr w:type="spellStart"/>
      <w:r w:rsidRPr="008619C8">
        <w:rPr>
          <w:i/>
          <w:szCs w:val="24"/>
        </w:rPr>
        <w:t>français</w:t>
      </w:r>
      <w:proofErr w:type="spellEnd"/>
      <w:r w:rsidRPr="008619C8">
        <w:rPr>
          <w:szCs w:val="24"/>
        </w:rPr>
        <w:t xml:space="preserve">, 11 vols (Paris: Firmin-Didot, 1878-1903) </w:t>
      </w:r>
    </w:p>
    <w:p w14:paraId="654C800B" w14:textId="77777777" w:rsidR="00327255" w:rsidRPr="008619C8" w:rsidRDefault="00327255" w:rsidP="00327255">
      <w:pPr>
        <w:ind w:left="720" w:hanging="720"/>
        <w:rPr>
          <w:szCs w:val="24"/>
        </w:rPr>
      </w:pPr>
      <w:proofErr w:type="spellStart"/>
      <w:r w:rsidRPr="008619C8">
        <w:rPr>
          <w:szCs w:val="24"/>
        </w:rPr>
        <w:t>Dicke</w:t>
      </w:r>
      <w:proofErr w:type="spellEnd"/>
      <w:r>
        <w:rPr>
          <w:szCs w:val="24"/>
        </w:rPr>
        <w:t xml:space="preserve">, </w:t>
      </w:r>
      <w:r w:rsidRPr="008619C8">
        <w:rPr>
          <w:szCs w:val="24"/>
        </w:rPr>
        <w:t xml:space="preserve">Gerd and Klaus </w:t>
      </w:r>
      <w:proofErr w:type="spellStart"/>
      <w:r w:rsidRPr="008619C8">
        <w:rPr>
          <w:szCs w:val="24"/>
        </w:rPr>
        <w:t>Grubm</w:t>
      </w:r>
      <w:r w:rsidRPr="008619C8">
        <w:rPr>
          <w:rFonts w:cs="Times New Roman"/>
          <w:szCs w:val="24"/>
        </w:rPr>
        <w:t>ü</w:t>
      </w:r>
      <w:r w:rsidRPr="008619C8">
        <w:rPr>
          <w:szCs w:val="24"/>
        </w:rPr>
        <w:t>ller</w:t>
      </w:r>
      <w:proofErr w:type="spellEnd"/>
      <w:r w:rsidRPr="008619C8">
        <w:rPr>
          <w:szCs w:val="24"/>
        </w:rPr>
        <w:t xml:space="preserve">, </w:t>
      </w:r>
      <w:r w:rsidRPr="008619C8">
        <w:rPr>
          <w:i/>
          <w:szCs w:val="24"/>
        </w:rPr>
        <w:t xml:space="preserve">Die </w:t>
      </w:r>
      <w:proofErr w:type="spellStart"/>
      <w:r w:rsidRPr="008619C8">
        <w:rPr>
          <w:i/>
          <w:szCs w:val="24"/>
        </w:rPr>
        <w:t>Fabeln</w:t>
      </w:r>
      <w:proofErr w:type="spellEnd"/>
      <w:r w:rsidRPr="008619C8">
        <w:rPr>
          <w:i/>
          <w:szCs w:val="24"/>
        </w:rPr>
        <w:t xml:space="preserve"> des </w:t>
      </w:r>
      <w:proofErr w:type="spellStart"/>
      <w:r w:rsidRPr="008619C8">
        <w:rPr>
          <w:i/>
          <w:szCs w:val="24"/>
        </w:rPr>
        <w:t>Mitterlalters</w:t>
      </w:r>
      <w:proofErr w:type="spellEnd"/>
      <w:r w:rsidRPr="008619C8">
        <w:rPr>
          <w:i/>
          <w:szCs w:val="24"/>
        </w:rPr>
        <w:t xml:space="preserve"> und der </w:t>
      </w:r>
      <w:proofErr w:type="spellStart"/>
      <w:r w:rsidRPr="008619C8">
        <w:rPr>
          <w:i/>
          <w:szCs w:val="24"/>
        </w:rPr>
        <w:t>fr</w:t>
      </w:r>
      <w:r w:rsidRPr="008619C8">
        <w:rPr>
          <w:rFonts w:cs="Times New Roman"/>
          <w:i/>
          <w:szCs w:val="24"/>
        </w:rPr>
        <w:t>ü</w:t>
      </w:r>
      <w:r w:rsidRPr="008619C8">
        <w:rPr>
          <w:i/>
          <w:szCs w:val="24"/>
        </w:rPr>
        <w:t>hen</w:t>
      </w:r>
      <w:proofErr w:type="spellEnd"/>
      <w:r w:rsidRPr="008619C8">
        <w:rPr>
          <w:i/>
          <w:szCs w:val="24"/>
        </w:rPr>
        <w:t xml:space="preserve"> </w:t>
      </w:r>
      <w:proofErr w:type="spellStart"/>
      <w:r w:rsidRPr="008619C8">
        <w:rPr>
          <w:i/>
          <w:szCs w:val="24"/>
        </w:rPr>
        <w:t>Neuzeit</w:t>
      </w:r>
      <w:proofErr w:type="spellEnd"/>
      <w:r w:rsidRPr="008619C8">
        <w:rPr>
          <w:szCs w:val="24"/>
        </w:rPr>
        <w:t xml:space="preserve"> (Munich, 1987)</w:t>
      </w:r>
    </w:p>
    <w:p w14:paraId="42D9144A" w14:textId="77777777" w:rsidR="00975142" w:rsidRDefault="00975142" w:rsidP="00BA748E">
      <w:pPr>
        <w:ind w:left="720" w:hanging="720"/>
        <w:rPr>
          <w:szCs w:val="24"/>
        </w:rPr>
      </w:pPr>
      <w:r w:rsidRPr="008619C8">
        <w:rPr>
          <w:i/>
          <w:szCs w:val="24"/>
        </w:rPr>
        <w:t xml:space="preserve">The Fables of </w:t>
      </w:r>
      <w:proofErr w:type="spellStart"/>
      <w:r w:rsidRPr="008619C8">
        <w:rPr>
          <w:i/>
          <w:szCs w:val="24"/>
        </w:rPr>
        <w:t>Odo</w:t>
      </w:r>
      <w:proofErr w:type="spellEnd"/>
      <w:r w:rsidRPr="008619C8">
        <w:rPr>
          <w:i/>
          <w:szCs w:val="24"/>
        </w:rPr>
        <w:t xml:space="preserve"> of Cheriton</w:t>
      </w:r>
      <w:r w:rsidRPr="008619C8">
        <w:rPr>
          <w:szCs w:val="24"/>
        </w:rPr>
        <w:t xml:space="preserve">, ed. </w:t>
      </w:r>
      <w:r w:rsidR="002C5C58">
        <w:rPr>
          <w:szCs w:val="24"/>
        </w:rPr>
        <w:t xml:space="preserve">by </w:t>
      </w:r>
      <w:r w:rsidRPr="008619C8">
        <w:rPr>
          <w:szCs w:val="24"/>
        </w:rPr>
        <w:t>John C. Jacobs (Stanford: St</w:t>
      </w:r>
      <w:r w:rsidR="002C5C58">
        <w:rPr>
          <w:szCs w:val="24"/>
        </w:rPr>
        <w:t>anford University Press, 1985)</w:t>
      </w:r>
    </w:p>
    <w:p w14:paraId="1CEC431C" w14:textId="77777777" w:rsidR="00975142" w:rsidRPr="008619C8" w:rsidRDefault="00975142" w:rsidP="00BA748E">
      <w:pPr>
        <w:ind w:left="720" w:hanging="720"/>
        <w:rPr>
          <w:szCs w:val="24"/>
        </w:rPr>
      </w:pPr>
      <w:r w:rsidRPr="008619C8">
        <w:rPr>
          <w:i/>
          <w:szCs w:val="24"/>
        </w:rPr>
        <w:t xml:space="preserve">Les </w:t>
      </w:r>
      <w:proofErr w:type="spellStart"/>
      <w:r w:rsidRPr="008619C8">
        <w:rPr>
          <w:i/>
          <w:szCs w:val="24"/>
        </w:rPr>
        <w:t>Fabulistes</w:t>
      </w:r>
      <w:proofErr w:type="spellEnd"/>
      <w:r w:rsidRPr="008619C8">
        <w:rPr>
          <w:i/>
          <w:szCs w:val="24"/>
        </w:rPr>
        <w:t xml:space="preserve"> </w:t>
      </w:r>
      <w:proofErr w:type="spellStart"/>
      <w:r w:rsidRPr="008619C8">
        <w:rPr>
          <w:i/>
          <w:szCs w:val="24"/>
        </w:rPr>
        <w:t>latins</w:t>
      </w:r>
      <w:proofErr w:type="spellEnd"/>
      <w:r w:rsidRPr="008619C8">
        <w:rPr>
          <w:i/>
          <w:szCs w:val="24"/>
        </w:rPr>
        <w:t xml:space="preserve"> </w:t>
      </w:r>
      <w:proofErr w:type="spellStart"/>
      <w:r w:rsidRPr="008619C8">
        <w:rPr>
          <w:i/>
          <w:szCs w:val="24"/>
        </w:rPr>
        <w:t>depuis</w:t>
      </w:r>
      <w:proofErr w:type="spellEnd"/>
      <w:r w:rsidRPr="008619C8">
        <w:rPr>
          <w:i/>
          <w:szCs w:val="24"/>
        </w:rPr>
        <w:t xml:space="preserve"> le siècle </w:t>
      </w:r>
      <w:proofErr w:type="spellStart"/>
      <w:r w:rsidRPr="008619C8">
        <w:rPr>
          <w:i/>
          <w:szCs w:val="24"/>
        </w:rPr>
        <w:t>d’Auguste</w:t>
      </w:r>
      <w:proofErr w:type="spellEnd"/>
      <w:r w:rsidRPr="008619C8">
        <w:rPr>
          <w:i/>
          <w:szCs w:val="24"/>
        </w:rPr>
        <w:t xml:space="preserve"> </w:t>
      </w:r>
      <w:proofErr w:type="spellStart"/>
      <w:r w:rsidRPr="008619C8">
        <w:rPr>
          <w:i/>
          <w:szCs w:val="24"/>
        </w:rPr>
        <w:t>jusqu’à</w:t>
      </w:r>
      <w:proofErr w:type="spellEnd"/>
      <w:r w:rsidRPr="008619C8">
        <w:rPr>
          <w:i/>
          <w:szCs w:val="24"/>
        </w:rPr>
        <w:t xml:space="preserve"> la fin du </w:t>
      </w:r>
      <w:proofErr w:type="spellStart"/>
      <w:r w:rsidRPr="008619C8">
        <w:rPr>
          <w:i/>
          <w:szCs w:val="24"/>
        </w:rPr>
        <w:t>Moyen</w:t>
      </w:r>
      <w:proofErr w:type="spellEnd"/>
      <w:r w:rsidRPr="008619C8">
        <w:rPr>
          <w:i/>
          <w:szCs w:val="24"/>
        </w:rPr>
        <w:t xml:space="preserve"> Age</w:t>
      </w:r>
      <w:r w:rsidR="002C5C58">
        <w:rPr>
          <w:szCs w:val="24"/>
        </w:rPr>
        <w:t xml:space="preserve">, ed. by </w:t>
      </w:r>
      <w:r w:rsidR="002C5C58" w:rsidRPr="008619C8">
        <w:rPr>
          <w:szCs w:val="24"/>
        </w:rPr>
        <w:t>Léopold Hervie</w:t>
      </w:r>
      <w:r w:rsidR="002C5C58">
        <w:rPr>
          <w:szCs w:val="24"/>
        </w:rPr>
        <w:t>ux, 5 vols</w:t>
      </w:r>
      <w:r w:rsidRPr="008619C8">
        <w:rPr>
          <w:szCs w:val="24"/>
        </w:rPr>
        <w:t xml:space="preserve"> (Paris: Firmin-Didot, 1893</w:t>
      </w:r>
      <w:r w:rsidR="002C5C58">
        <w:rPr>
          <w:szCs w:val="24"/>
        </w:rPr>
        <w:t>-1899</w:t>
      </w:r>
      <w:r w:rsidRPr="008619C8">
        <w:rPr>
          <w:szCs w:val="24"/>
        </w:rPr>
        <w:t>)</w:t>
      </w:r>
    </w:p>
    <w:p w14:paraId="2ED7560D" w14:textId="77777777" w:rsidR="00134840" w:rsidRPr="00134840" w:rsidRDefault="00134840" w:rsidP="00BA748E">
      <w:pPr>
        <w:ind w:left="720" w:hanging="720"/>
        <w:rPr>
          <w:szCs w:val="24"/>
        </w:rPr>
      </w:pPr>
      <w:r>
        <w:rPr>
          <w:i/>
          <w:szCs w:val="24"/>
        </w:rPr>
        <w:t>The Complete Harley 2253 Manuscript, Volume 2</w:t>
      </w:r>
      <w:r>
        <w:rPr>
          <w:szCs w:val="24"/>
        </w:rPr>
        <w:t>, ed. and trans. by Susanna Greer Fein, Da</w:t>
      </w:r>
      <w:r w:rsidR="00BF2795">
        <w:rPr>
          <w:szCs w:val="24"/>
        </w:rPr>
        <w:t>v</w:t>
      </w:r>
      <w:r>
        <w:rPr>
          <w:szCs w:val="24"/>
        </w:rPr>
        <w:t xml:space="preserve">id </w:t>
      </w:r>
      <w:proofErr w:type="spellStart"/>
      <w:r>
        <w:rPr>
          <w:szCs w:val="24"/>
        </w:rPr>
        <w:t>Raybin</w:t>
      </w:r>
      <w:proofErr w:type="spellEnd"/>
      <w:r>
        <w:rPr>
          <w:szCs w:val="24"/>
        </w:rPr>
        <w:t xml:space="preserve"> and Jan </w:t>
      </w:r>
      <w:proofErr w:type="spellStart"/>
      <w:r>
        <w:rPr>
          <w:szCs w:val="24"/>
        </w:rPr>
        <w:t>Ziolkowski</w:t>
      </w:r>
      <w:proofErr w:type="spellEnd"/>
      <w:r>
        <w:rPr>
          <w:szCs w:val="24"/>
        </w:rPr>
        <w:t xml:space="preserve"> (Kalamazoo, MI: Medieval Institute Publications, 2014) &lt;</w:t>
      </w:r>
      <w:r w:rsidRPr="00134840">
        <w:rPr>
          <w:szCs w:val="24"/>
        </w:rPr>
        <w:t>http://d.lib.rochester.edu/camelot/text/fein-harley2253-volume-2-article-48#81</w:t>
      </w:r>
      <w:r>
        <w:rPr>
          <w:szCs w:val="24"/>
        </w:rPr>
        <w:t>&gt; [accessed 6 Sept 2015]</w:t>
      </w:r>
    </w:p>
    <w:p w14:paraId="160CF223" w14:textId="77777777" w:rsidR="00043D40" w:rsidRDefault="00043D40" w:rsidP="00BA748E">
      <w:pPr>
        <w:ind w:left="720" w:hanging="720"/>
        <w:rPr>
          <w:szCs w:val="24"/>
        </w:rPr>
      </w:pPr>
      <w:r w:rsidRPr="008619C8">
        <w:rPr>
          <w:szCs w:val="24"/>
        </w:rPr>
        <w:t>Langland,</w:t>
      </w:r>
      <w:r w:rsidR="002C5C58">
        <w:rPr>
          <w:szCs w:val="24"/>
        </w:rPr>
        <w:t xml:space="preserve"> William,</w:t>
      </w:r>
      <w:r w:rsidRPr="008619C8">
        <w:rPr>
          <w:szCs w:val="24"/>
        </w:rPr>
        <w:t xml:space="preserve"> </w:t>
      </w:r>
      <w:r w:rsidRPr="002C5C58">
        <w:rPr>
          <w:i/>
          <w:szCs w:val="24"/>
        </w:rPr>
        <w:t xml:space="preserve">Piers Plowman: A </w:t>
      </w:r>
      <w:r w:rsidR="00BF2795">
        <w:rPr>
          <w:i/>
          <w:szCs w:val="24"/>
        </w:rPr>
        <w:t>New Annotated Edition of the C-T</w:t>
      </w:r>
      <w:r w:rsidRPr="002C5C58">
        <w:rPr>
          <w:i/>
          <w:szCs w:val="24"/>
        </w:rPr>
        <w:t>ext</w:t>
      </w:r>
      <w:r w:rsidRPr="008619C8">
        <w:rPr>
          <w:szCs w:val="24"/>
        </w:rPr>
        <w:t xml:space="preserve">, ed. </w:t>
      </w:r>
      <w:r w:rsidR="002C5C58">
        <w:rPr>
          <w:szCs w:val="24"/>
        </w:rPr>
        <w:t xml:space="preserve">by </w:t>
      </w:r>
      <w:r w:rsidRPr="008619C8">
        <w:rPr>
          <w:szCs w:val="24"/>
        </w:rPr>
        <w:t xml:space="preserve">Derek Pearsall (Exeter: University of Exeter Press, 2008). </w:t>
      </w:r>
    </w:p>
    <w:p w14:paraId="09B1F226" w14:textId="77777777" w:rsidR="002C5C58" w:rsidRDefault="002C5C58" w:rsidP="00BA748E">
      <w:pPr>
        <w:ind w:left="720" w:hanging="720"/>
        <w:rPr>
          <w:szCs w:val="24"/>
        </w:rPr>
      </w:pPr>
      <w:r>
        <w:rPr>
          <w:szCs w:val="24"/>
        </w:rPr>
        <w:t>---,</w:t>
      </w:r>
      <w:r w:rsidRPr="008619C8">
        <w:rPr>
          <w:szCs w:val="24"/>
        </w:rPr>
        <w:t xml:space="preserve"> </w:t>
      </w:r>
      <w:r w:rsidRPr="008619C8">
        <w:rPr>
          <w:i/>
          <w:szCs w:val="24"/>
        </w:rPr>
        <w:t>The Vision of Piers Plowman: A Critical Edition of the B-Text Based on Trinity College Cambridge MS B.15.17</w:t>
      </w:r>
      <w:r w:rsidRPr="008619C8">
        <w:rPr>
          <w:szCs w:val="24"/>
        </w:rPr>
        <w:t xml:space="preserve">, ed. </w:t>
      </w:r>
      <w:r>
        <w:rPr>
          <w:szCs w:val="24"/>
        </w:rPr>
        <w:t xml:space="preserve">by </w:t>
      </w:r>
      <w:r w:rsidRPr="008619C8">
        <w:rPr>
          <w:szCs w:val="24"/>
        </w:rPr>
        <w:t>A.V.C. Schmidt</w:t>
      </w:r>
      <w:r>
        <w:rPr>
          <w:szCs w:val="24"/>
        </w:rPr>
        <w:t xml:space="preserve">, rev. </w:t>
      </w:r>
      <w:proofErr w:type="spellStart"/>
      <w:r>
        <w:rPr>
          <w:szCs w:val="24"/>
        </w:rPr>
        <w:t>edn</w:t>
      </w:r>
      <w:proofErr w:type="spellEnd"/>
      <w:r w:rsidRPr="008619C8">
        <w:rPr>
          <w:szCs w:val="24"/>
        </w:rPr>
        <w:t xml:space="preserve"> (London: Everyman, </w:t>
      </w:r>
      <w:r>
        <w:rPr>
          <w:szCs w:val="24"/>
        </w:rPr>
        <w:t>1995)</w:t>
      </w:r>
    </w:p>
    <w:p w14:paraId="0AA34F95" w14:textId="77777777" w:rsidR="009E6282" w:rsidRDefault="009E6282" w:rsidP="00BA748E">
      <w:pPr>
        <w:ind w:left="720" w:hanging="720"/>
        <w:rPr>
          <w:szCs w:val="24"/>
        </w:rPr>
      </w:pPr>
      <w:r w:rsidRPr="009E6282">
        <w:rPr>
          <w:i/>
          <w:szCs w:val="24"/>
        </w:rPr>
        <w:t>The Parliament Rolls of Medieval England, 1275-1504</w:t>
      </w:r>
      <w:r>
        <w:rPr>
          <w:szCs w:val="24"/>
        </w:rPr>
        <w:t>, ed. by Chris Given-Wilson and others, 16 vols (London: National Archives, 2005)</w:t>
      </w:r>
    </w:p>
    <w:p w14:paraId="3630CE50" w14:textId="77777777" w:rsidR="008619C8" w:rsidRPr="008619C8" w:rsidRDefault="002C5C58" w:rsidP="00BA748E">
      <w:pPr>
        <w:ind w:left="720" w:hanging="720"/>
        <w:rPr>
          <w:szCs w:val="24"/>
        </w:rPr>
      </w:pPr>
      <w:r>
        <w:rPr>
          <w:i/>
          <w:szCs w:val="24"/>
        </w:rPr>
        <w:t xml:space="preserve">The </w:t>
      </w:r>
      <w:r w:rsidR="008619C8" w:rsidRPr="008619C8">
        <w:rPr>
          <w:i/>
          <w:szCs w:val="24"/>
        </w:rPr>
        <w:t>Riverside Chaucer</w:t>
      </w:r>
      <w:r w:rsidR="008619C8" w:rsidRPr="008619C8">
        <w:rPr>
          <w:szCs w:val="24"/>
        </w:rPr>
        <w:t xml:space="preserve">, ed. </w:t>
      </w:r>
      <w:r>
        <w:rPr>
          <w:szCs w:val="24"/>
        </w:rPr>
        <w:t>by Larry Benson and others (Oxford: Oxford University Press</w:t>
      </w:r>
      <w:r w:rsidR="008619C8" w:rsidRPr="008619C8">
        <w:rPr>
          <w:szCs w:val="24"/>
        </w:rPr>
        <w:t>, 1987, 3</w:t>
      </w:r>
      <w:r w:rsidR="008619C8" w:rsidRPr="008619C8">
        <w:rPr>
          <w:szCs w:val="24"/>
          <w:vertAlign w:val="superscript"/>
        </w:rPr>
        <w:t>rd</w:t>
      </w:r>
      <w:r w:rsidR="008619C8">
        <w:rPr>
          <w:szCs w:val="24"/>
        </w:rPr>
        <w:t xml:space="preserve"> ed</w:t>
      </w:r>
      <w:r>
        <w:rPr>
          <w:szCs w:val="24"/>
        </w:rPr>
        <w:t>. 2008)</w:t>
      </w:r>
    </w:p>
    <w:p w14:paraId="09679BF9" w14:textId="77777777" w:rsidR="00975142" w:rsidRPr="008619C8" w:rsidRDefault="00975142" w:rsidP="00BA748E">
      <w:pPr>
        <w:ind w:left="720" w:hanging="720"/>
        <w:rPr>
          <w:szCs w:val="24"/>
        </w:rPr>
      </w:pPr>
      <w:r w:rsidRPr="008619C8">
        <w:rPr>
          <w:i/>
          <w:szCs w:val="24"/>
        </w:rPr>
        <w:t>The Sermons of Thomas Brinton, Bishop of Rochester (1373-1389)</w:t>
      </w:r>
      <w:r w:rsidRPr="008619C8">
        <w:rPr>
          <w:szCs w:val="24"/>
        </w:rPr>
        <w:t xml:space="preserve">, ed. </w:t>
      </w:r>
      <w:r w:rsidR="00AA7AA4">
        <w:rPr>
          <w:szCs w:val="24"/>
        </w:rPr>
        <w:t xml:space="preserve">by </w:t>
      </w:r>
      <w:r w:rsidRPr="008619C8">
        <w:rPr>
          <w:szCs w:val="24"/>
        </w:rPr>
        <w:t>Mary Aquinas Devlin</w:t>
      </w:r>
      <w:r w:rsidR="00AA7AA4">
        <w:rPr>
          <w:szCs w:val="24"/>
        </w:rPr>
        <w:t>, 2 vols.</w:t>
      </w:r>
      <w:r w:rsidRPr="008619C8">
        <w:rPr>
          <w:szCs w:val="24"/>
        </w:rPr>
        <w:t xml:space="preserve"> (London: Offices of the Royal H</w:t>
      </w:r>
      <w:r w:rsidR="00AA7AA4">
        <w:rPr>
          <w:szCs w:val="24"/>
        </w:rPr>
        <w:t>istorical Society, 1954)</w:t>
      </w:r>
    </w:p>
    <w:p w14:paraId="66D748D1" w14:textId="77777777" w:rsidR="00975142" w:rsidRDefault="00975142" w:rsidP="00BA748E">
      <w:pPr>
        <w:ind w:left="720" w:hanging="720"/>
        <w:rPr>
          <w:rFonts w:cs="Times New Roman"/>
          <w:color w:val="000000"/>
          <w:szCs w:val="24"/>
          <w:lang w:bidi="ar-SA"/>
        </w:rPr>
      </w:pPr>
      <w:r w:rsidRPr="008619C8">
        <w:rPr>
          <w:rFonts w:cs="Times New Roman"/>
          <w:i/>
          <w:color w:val="000000"/>
          <w:szCs w:val="24"/>
          <w:lang w:bidi="ar-SA"/>
        </w:rPr>
        <w:t xml:space="preserve">The St Albans Chronicle: The </w:t>
      </w:r>
      <w:proofErr w:type="spellStart"/>
      <w:r w:rsidRPr="008619C8">
        <w:rPr>
          <w:rFonts w:cs="Times New Roman"/>
          <w:color w:val="000000"/>
          <w:szCs w:val="24"/>
          <w:lang w:bidi="ar-SA"/>
        </w:rPr>
        <w:t>Chronica</w:t>
      </w:r>
      <w:proofErr w:type="spellEnd"/>
      <w:r w:rsidRPr="008619C8">
        <w:rPr>
          <w:rFonts w:cs="Times New Roman"/>
          <w:color w:val="000000"/>
          <w:szCs w:val="24"/>
          <w:lang w:bidi="ar-SA"/>
        </w:rPr>
        <w:t xml:space="preserve"> </w:t>
      </w:r>
      <w:proofErr w:type="spellStart"/>
      <w:r w:rsidRPr="008619C8">
        <w:rPr>
          <w:rFonts w:cs="Times New Roman"/>
          <w:color w:val="000000"/>
          <w:szCs w:val="24"/>
          <w:lang w:bidi="ar-SA"/>
        </w:rPr>
        <w:t>maiora</w:t>
      </w:r>
      <w:proofErr w:type="spellEnd"/>
      <w:r w:rsidRPr="008619C8">
        <w:rPr>
          <w:rFonts w:cs="Times New Roman"/>
          <w:i/>
          <w:color w:val="000000"/>
          <w:szCs w:val="24"/>
          <w:lang w:bidi="ar-SA"/>
        </w:rPr>
        <w:t xml:space="preserve"> of Thomas </w:t>
      </w:r>
      <w:proofErr w:type="spellStart"/>
      <w:r w:rsidRPr="008619C8">
        <w:rPr>
          <w:rFonts w:cs="Times New Roman"/>
          <w:i/>
          <w:color w:val="000000"/>
          <w:szCs w:val="24"/>
          <w:lang w:bidi="ar-SA"/>
        </w:rPr>
        <w:t>Walsingham</w:t>
      </w:r>
      <w:proofErr w:type="spellEnd"/>
      <w:r w:rsidRPr="008619C8">
        <w:rPr>
          <w:rFonts w:cs="Times New Roman"/>
          <w:color w:val="000000"/>
          <w:szCs w:val="24"/>
          <w:lang w:bidi="ar-SA"/>
        </w:rPr>
        <w:t xml:space="preserve">, ed. and trans. </w:t>
      </w:r>
      <w:r w:rsidR="00AA7AA4">
        <w:rPr>
          <w:rFonts w:cs="Times New Roman"/>
          <w:color w:val="000000"/>
          <w:szCs w:val="24"/>
          <w:lang w:bidi="ar-SA"/>
        </w:rPr>
        <w:t xml:space="preserve">by </w:t>
      </w:r>
      <w:r w:rsidRPr="008619C8">
        <w:rPr>
          <w:rFonts w:cs="Times New Roman"/>
          <w:color w:val="000000"/>
          <w:szCs w:val="24"/>
          <w:lang w:bidi="ar-SA"/>
        </w:rPr>
        <w:t>John Taylor, Wendy R. Childs a</w:t>
      </w:r>
      <w:r w:rsidR="00BF2795">
        <w:rPr>
          <w:rFonts w:cs="Times New Roman"/>
          <w:color w:val="000000"/>
          <w:szCs w:val="24"/>
          <w:lang w:bidi="ar-SA"/>
        </w:rPr>
        <w:t>n</w:t>
      </w:r>
      <w:r w:rsidRPr="008619C8">
        <w:rPr>
          <w:rFonts w:cs="Times New Roman"/>
          <w:color w:val="000000"/>
          <w:szCs w:val="24"/>
          <w:lang w:bidi="ar-SA"/>
        </w:rPr>
        <w:t xml:space="preserve">d Leslie </w:t>
      </w:r>
      <w:proofErr w:type="spellStart"/>
      <w:r w:rsidRPr="008619C8">
        <w:rPr>
          <w:rFonts w:cs="Times New Roman"/>
          <w:color w:val="000000"/>
          <w:szCs w:val="24"/>
          <w:lang w:bidi="ar-SA"/>
        </w:rPr>
        <w:t>Watkiss</w:t>
      </w:r>
      <w:proofErr w:type="spellEnd"/>
      <w:r w:rsidR="00AA7AA4">
        <w:rPr>
          <w:rFonts w:cs="Times New Roman"/>
          <w:color w:val="000000"/>
          <w:szCs w:val="24"/>
          <w:lang w:bidi="ar-SA"/>
        </w:rPr>
        <w:t>, 2 vols.</w:t>
      </w:r>
      <w:r w:rsidRPr="008619C8">
        <w:rPr>
          <w:rFonts w:cs="Times New Roman"/>
          <w:color w:val="000000"/>
          <w:szCs w:val="24"/>
          <w:lang w:bidi="ar-SA"/>
        </w:rPr>
        <w:t xml:space="preserve"> (Oxford: Clarendon Press, 2003). </w:t>
      </w:r>
    </w:p>
    <w:p w14:paraId="6C115DF4" w14:textId="77777777" w:rsidR="00E215DA" w:rsidRDefault="00975142" w:rsidP="00BA748E">
      <w:pPr>
        <w:ind w:left="720" w:hanging="720"/>
        <w:rPr>
          <w:szCs w:val="24"/>
        </w:rPr>
      </w:pPr>
      <w:r w:rsidRPr="008619C8">
        <w:rPr>
          <w:szCs w:val="24"/>
        </w:rPr>
        <w:t>Wenzel,</w:t>
      </w:r>
      <w:r w:rsidR="00AA7AA4">
        <w:rPr>
          <w:szCs w:val="24"/>
        </w:rPr>
        <w:t xml:space="preserve"> Siegfried,</w:t>
      </w:r>
      <w:r w:rsidRPr="008619C8">
        <w:rPr>
          <w:szCs w:val="24"/>
        </w:rPr>
        <w:t xml:space="preserve"> </w:t>
      </w:r>
      <w:r w:rsidRPr="008619C8">
        <w:rPr>
          <w:i/>
          <w:szCs w:val="24"/>
        </w:rPr>
        <w:t>Preaching in the Age of Chaucer: Selected Sermons in Translation</w:t>
      </w:r>
      <w:r w:rsidRPr="008619C8">
        <w:rPr>
          <w:szCs w:val="24"/>
        </w:rPr>
        <w:t xml:space="preserve"> (Washington, DC: The Catholic University </w:t>
      </w:r>
      <w:r w:rsidR="00AA7AA4">
        <w:rPr>
          <w:szCs w:val="24"/>
        </w:rPr>
        <w:t xml:space="preserve">of America Press, 2008) </w:t>
      </w:r>
    </w:p>
    <w:p w14:paraId="714E4649" w14:textId="77777777" w:rsidR="008619C8" w:rsidRPr="008619C8" w:rsidRDefault="008619C8" w:rsidP="00BA748E">
      <w:pPr>
        <w:ind w:left="720" w:hanging="720"/>
        <w:rPr>
          <w:rFonts w:cs="Times New Roman"/>
          <w:color w:val="000000"/>
          <w:szCs w:val="24"/>
          <w:lang w:bidi="ar-SA"/>
        </w:rPr>
      </w:pPr>
      <w:proofErr w:type="spellStart"/>
      <w:r w:rsidRPr="008619C8">
        <w:rPr>
          <w:rFonts w:cs="Times New Roman"/>
          <w:i/>
          <w:color w:val="000000"/>
          <w:szCs w:val="24"/>
          <w:lang w:bidi="ar-SA"/>
        </w:rPr>
        <w:t>Ysopet-Avionnet</w:t>
      </w:r>
      <w:proofErr w:type="spellEnd"/>
      <w:r w:rsidRPr="008619C8">
        <w:rPr>
          <w:rFonts w:cs="Times New Roman"/>
          <w:i/>
          <w:color w:val="000000"/>
          <w:szCs w:val="24"/>
          <w:lang w:bidi="ar-SA"/>
        </w:rPr>
        <w:t>: The Latin and French Texts</w:t>
      </w:r>
      <w:r w:rsidRPr="008619C8">
        <w:rPr>
          <w:rFonts w:cs="Times New Roman"/>
          <w:color w:val="000000"/>
          <w:szCs w:val="24"/>
          <w:lang w:bidi="ar-SA"/>
        </w:rPr>
        <w:t>, ed.</w:t>
      </w:r>
      <w:r w:rsidR="00AA7AA4">
        <w:rPr>
          <w:rFonts w:cs="Times New Roman"/>
          <w:color w:val="000000"/>
          <w:szCs w:val="24"/>
          <w:lang w:bidi="ar-SA"/>
        </w:rPr>
        <w:t xml:space="preserve"> by</w:t>
      </w:r>
      <w:r w:rsidRPr="008619C8">
        <w:rPr>
          <w:rFonts w:cs="Times New Roman"/>
          <w:color w:val="000000"/>
          <w:szCs w:val="24"/>
          <w:lang w:bidi="ar-SA"/>
        </w:rPr>
        <w:t xml:space="preserve"> Kenneth McKenzie and William A. </w:t>
      </w:r>
      <w:proofErr w:type="spellStart"/>
      <w:r w:rsidRPr="008619C8">
        <w:rPr>
          <w:rFonts w:cs="Times New Roman"/>
          <w:color w:val="000000"/>
          <w:szCs w:val="24"/>
          <w:lang w:bidi="ar-SA"/>
        </w:rPr>
        <w:t>Oldfather</w:t>
      </w:r>
      <w:proofErr w:type="spellEnd"/>
      <w:r w:rsidRPr="008619C8">
        <w:rPr>
          <w:rFonts w:cs="Times New Roman"/>
          <w:color w:val="000000"/>
          <w:szCs w:val="24"/>
          <w:lang w:bidi="ar-SA"/>
        </w:rPr>
        <w:t xml:space="preserve"> (University of Illinois, 1919; Johnson Reprint Corporation, 1967)</w:t>
      </w:r>
    </w:p>
    <w:p w14:paraId="62EB470B" w14:textId="77777777" w:rsidR="00975142" w:rsidRPr="008619C8" w:rsidRDefault="00975142" w:rsidP="00975142">
      <w:pPr>
        <w:rPr>
          <w:szCs w:val="24"/>
        </w:rPr>
      </w:pPr>
    </w:p>
    <w:p w14:paraId="771159D1" w14:textId="77777777" w:rsidR="00975142" w:rsidRPr="008619C8" w:rsidRDefault="00975142" w:rsidP="00975142">
      <w:pPr>
        <w:rPr>
          <w:b/>
          <w:szCs w:val="24"/>
        </w:rPr>
      </w:pPr>
      <w:r w:rsidRPr="008619C8">
        <w:rPr>
          <w:b/>
          <w:szCs w:val="24"/>
        </w:rPr>
        <w:t xml:space="preserve">Secondary Studies: </w:t>
      </w:r>
    </w:p>
    <w:p w14:paraId="6FAFAB8C" w14:textId="77777777" w:rsidR="00975142" w:rsidRPr="008619C8" w:rsidRDefault="00975142" w:rsidP="00975142">
      <w:pPr>
        <w:rPr>
          <w:szCs w:val="24"/>
        </w:rPr>
      </w:pPr>
    </w:p>
    <w:p w14:paraId="4155072E" w14:textId="77777777" w:rsidR="00D67C88" w:rsidRDefault="00D67C88" w:rsidP="00BA748E">
      <w:pPr>
        <w:ind w:left="720" w:hanging="720"/>
        <w:rPr>
          <w:szCs w:val="24"/>
        </w:rPr>
      </w:pPr>
      <w:proofErr w:type="spellStart"/>
      <w:r>
        <w:rPr>
          <w:szCs w:val="24"/>
        </w:rPr>
        <w:t>Allman</w:t>
      </w:r>
      <w:r w:rsidR="00CD2D7D">
        <w:rPr>
          <w:szCs w:val="24"/>
        </w:rPr>
        <w:t>d</w:t>
      </w:r>
      <w:proofErr w:type="spellEnd"/>
      <w:r>
        <w:rPr>
          <w:szCs w:val="24"/>
        </w:rPr>
        <w:t xml:space="preserve">, Christopher, </w:t>
      </w:r>
      <w:r w:rsidRPr="00D67C88">
        <w:rPr>
          <w:i/>
          <w:szCs w:val="24"/>
        </w:rPr>
        <w:t>The</w:t>
      </w:r>
      <w:r>
        <w:rPr>
          <w:szCs w:val="24"/>
        </w:rPr>
        <w:t xml:space="preserve"> De Re </w:t>
      </w:r>
      <w:proofErr w:type="spellStart"/>
      <w:r>
        <w:rPr>
          <w:szCs w:val="24"/>
        </w:rPr>
        <w:t>Militari</w:t>
      </w:r>
      <w:proofErr w:type="spellEnd"/>
      <w:r>
        <w:rPr>
          <w:szCs w:val="24"/>
        </w:rPr>
        <w:t xml:space="preserve"> </w:t>
      </w:r>
      <w:r w:rsidRPr="00D67C88">
        <w:rPr>
          <w:i/>
          <w:szCs w:val="24"/>
        </w:rPr>
        <w:t>of Vegetius: The Reception, Transmission, and Legacy of a Roman Text in the Middle Ages</w:t>
      </w:r>
      <w:r>
        <w:rPr>
          <w:szCs w:val="24"/>
        </w:rPr>
        <w:t xml:space="preserve"> (Cambridge: Cambridge University Press, 2011)</w:t>
      </w:r>
    </w:p>
    <w:p w14:paraId="76014A25" w14:textId="77777777" w:rsidR="00975142" w:rsidRPr="008619C8" w:rsidRDefault="00975142" w:rsidP="00BA748E">
      <w:pPr>
        <w:ind w:left="720" w:hanging="720"/>
        <w:rPr>
          <w:szCs w:val="24"/>
        </w:rPr>
      </w:pPr>
      <w:r w:rsidRPr="008619C8">
        <w:rPr>
          <w:szCs w:val="24"/>
        </w:rPr>
        <w:t>Baker,</w:t>
      </w:r>
      <w:r w:rsidR="00AA7AA4">
        <w:rPr>
          <w:szCs w:val="24"/>
        </w:rPr>
        <w:t xml:space="preserve"> Denise N., ‘</w:t>
      </w:r>
      <w:proofErr w:type="spellStart"/>
      <w:r w:rsidRPr="008619C8">
        <w:rPr>
          <w:szCs w:val="24"/>
        </w:rPr>
        <w:t>Meed</w:t>
      </w:r>
      <w:proofErr w:type="spellEnd"/>
      <w:r w:rsidRPr="008619C8">
        <w:rPr>
          <w:szCs w:val="24"/>
        </w:rPr>
        <w:t xml:space="preserve"> and the Economics of Chivalry in </w:t>
      </w:r>
      <w:r w:rsidRPr="008619C8">
        <w:rPr>
          <w:i/>
          <w:szCs w:val="24"/>
        </w:rPr>
        <w:t>Piers Plowman</w:t>
      </w:r>
      <w:r w:rsidR="00AA7AA4">
        <w:rPr>
          <w:szCs w:val="24"/>
        </w:rPr>
        <w:t>’,</w:t>
      </w:r>
      <w:r w:rsidRPr="008619C8">
        <w:rPr>
          <w:szCs w:val="24"/>
        </w:rPr>
        <w:t xml:space="preserve"> in </w:t>
      </w:r>
      <w:r w:rsidRPr="008619C8">
        <w:rPr>
          <w:i/>
          <w:szCs w:val="24"/>
        </w:rPr>
        <w:t>Inscribing the Hundred Years’ War in French and English Cultures</w:t>
      </w:r>
      <w:r w:rsidRPr="008619C8">
        <w:rPr>
          <w:szCs w:val="24"/>
        </w:rPr>
        <w:t>, ed.</w:t>
      </w:r>
      <w:r w:rsidR="00AA7AA4">
        <w:rPr>
          <w:szCs w:val="24"/>
        </w:rPr>
        <w:t xml:space="preserve"> by</w:t>
      </w:r>
      <w:r w:rsidRPr="008619C8">
        <w:rPr>
          <w:szCs w:val="24"/>
        </w:rPr>
        <w:t xml:space="preserve"> Denise N. Baker (New York: SUNY Press, 2000), </w:t>
      </w:r>
      <w:r w:rsidR="00AA7AA4">
        <w:rPr>
          <w:szCs w:val="24"/>
        </w:rPr>
        <w:t xml:space="preserve">pp. </w:t>
      </w:r>
      <w:r w:rsidRPr="008619C8">
        <w:rPr>
          <w:szCs w:val="24"/>
        </w:rPr>
        <w:t>55-72</w:t>
      </w:r>
    </w:p>
    <w:p w14:paraId="2A8676DD" w14:textId="77777777" w:rsidR="00975142" w:rsidRPr="008619C8" w:rsidRDefault="00975142" w:rsidP="00BA748E">
      <w:pPr>
        <w:ind w:left="720" w:hanging="720"/>
        <w:rPr>
          <w:szCs w:val="24"/>
        </w:rPr>
      </w:pPr>
      <w:r w:rsidRPr="008619C8">
        <w:rPr>
          <w:szCs w:val="24"/>
        </w:rPr>
        <w:t xml:space="preserve">Baldwin, </w:t>
      </w:r>
      <w:r w:rsidR="00AA7AA4">
        <w:rPr>
          <w:szCs w:val="24"/>
        </w:rPr>
        <w:t xml:space="preserve">Anna, </w:t>
      </w:r>
      <w:r w:rsidRPr="008619C8">
        <w:rPr>
          <w:i/>
          <w:szCs w:val="24"/>
        </w:rPr>
        <w:t>The Theme of Government in Piers Plowman</w:t>
      </w:r>
      <w:r w:rsidRPr="008619C8">
        <w:rPr>
          <w:szCs w:val="24"/>
        </w:rPr>
        <w:t xml:space="preserve"> (Woodbridge: D.S Brewer, 1981)</w:t>
      </w:r>
    </w:p>
    <w:p w14:paraId="038AB4DC" w14:textId="77777777" w:rsidR="00975142" w:rsidRPr="008619C8" w:rsidRDefault="00975142" w:rsidP="00BA748E">
      <w:pPr>
        <w:ind w:left="720" w:hanging="720"/>
        <w:rPr>
          <w:szCs w:val="24"/>
        </w:rPr>
      </w:pPr>
      <w:r w:rsidRPr="008619C8">
        <w:rPr>
          <w:szCs w:val="24"/>
        </w:rPr>
        <w:lastRenderedPageBreak/>
        <w:t xml:space="preserve">Baum, </w:t>
      </w:r>
      <w:r w:rsidR="00AA7AA4">
        <w:rPr>
          <w:szCs w:val="24"/>
        </w:rPr>
        <w:t>Paul Franklin, ‘</w:t>
      </w:r>
      <w:r w:rsidRPr="008619C8">
        <w:rPr>
          <w:szCs w:val="24"/>
        </w:rPr>
        <w:t>The Fable of Belling the Cat</w:t>
      </w:r>
      <w:r w:rsidR="00AA7AA4">
        <w:rPr>
          <w:szCs w:val="24"/>
        </w:rPr>
        <w:t>’,</w:t>
      </w:r>
      <w:r w:rsidRPr="008619C8">
        <w:rPr>
          <w:szCs w:val="24"/>
        </w:rPr>
        <w:t xml:space="preserve"> </w:t>
      </w:r>
      <w:r w:rsidRPr="008619C8">
        <w:rPr>
          <w:i/>
          <w:szCs w:val="24"/>
        </w:rPr>
        <w:t>Modern Language Notes</w:t>
      </w:r>
      <w:r w:rsidR="00AA7AA4">
        <w:rPr>
          <w:szCs w:val="24"/>
        </w:rPr>
        <w:t xml:space="preserve">, </w:t>
      </w:r>
      <w:r w:rsidRPr="008619C8">
        <w:rPr>
          <w:szCs w:val="24"/>
        </w:rPr>
        <w:t>34.8 (Dec., 1919), 462-70</w:t>
      </w:r>
    </w:p>
    <w:p w14:paraId="7B4914B7" w14:textId="77777777" w:rsidR="00975142" w:rsidRPr="008619C8" w:rsidRDefault="00AA7AA4" w:rsidP="00BA748E">
      <w:pPr>
        <w:ind w:left="720" w:hanging="720"/>
        <w:rPr>
          <w:szCs w:val="24"/>
        </w:rPr>
      </w:pPr>
      <w:r>
        <w:rPr>
          <w:szCs w:val="24"/>
        </w:rPr>
        <w:t xml:space="preserve">Bennett, </w:t>
      </w:r>
      <w:r w:rsidR="00E215DA">
        <w:rPr>
          <w:szCs w:val="24"/>
        </w:rPr>
        <w:t xml:space="preserve">J.A.W., </w:t>
      </w:r>
      <w:r>
        <w:rPr>
          <w:szCs w:val="24"/>
        </w:rPr>
        <w:t>‘</w:t>
      </w:r>
      <w:r w:rsidR="00975142" w:rsidRPr="008619C8">
        <w:rPr>
          <w:szCs w:val="24"/>
        </w:rPr>
        <w:t xml:space="preserve">The Date </w:t>
      </w:r>
      <w:r>
        <w:rPr>
          <w:szCs w:val="24"/>
        </w:rPr>
        <w:t>of the A-Text of Piers Plowman’,</w:t>
      </w:r>
      <w:r w:rsidR="00975142" w:rsidRPr="008619C8">
        <w:rPr>
          <w:szCs w:val="24"/>
        </w:rPr>
        <w:t xml:space="preserve"> </w:t>
      </w:r>
      <w:r w:rsidR="00975142" w:rsidRPr="00AA7AA4">
        <w:rPr>
          <w:i/>
          <w:szCs w:val="24"/>
        </w:rPr>
        <w:t>PMLA</w:t>
      </w:r>
      <w:r>
        <w:rPr>
          <w:szCs w:val="24"/>
        </w:rPr>
        <w:t>,</w:t>
      </w:r>
      <w:r w:rsidR="00975142" w:rsidRPr="008619C8">
        <w:rPr>
          <w:szCs w:val="24"/>
        </w:rPr>
        <w:t xml:space="preserve"> 58. 2 (June, 1943), 566-72</w:t>
      </w:r>
    </w:p>
    <w:p w14:paraId="3DACA48B" w14:textId="77777777" w:rsidR="00975142" w:rsidRPr="008619C8" w:rsidRDefault="00975142" w:rsidP="00BA748E">
      <w:pPr>
        <w:ind w:left="720" w:hanging="720"/>
        <w:rPr>
          <w:szCs w:val="24"/>
        </w:rPr>
      </w:pPr>
      <w:r w:rsidRPr="008619C8">
        <w:rPr>
          <w:szCs w:val="24"/>
        </w:rPr>
        <w:t>Butt,</w:t>
      </w:r>
      <w:r w:rsidR="00E215DA">
        <w:rPr>
          <w:szCs w:val="24"/>
        </w:rPr>
        <w:t xml:space="preserve"> </w:t>
      </w:r>
      <w:r w:rsidR="00E215DA" w:rsidRPr="008619C8">
        <w:rPr>
          <w:szCs w:val="24"/>
        </w:rPr>
        <w:t>Ronald</w:t>
      </w:r>
      <w:r w:rsidR="00E215DA">
        <w:rPr>
          <w:szCs w:val="24"/>
        </w:rPr>
        <w:t>,</w:t>
      </w:r>
      <w:r w:rsidRPr="008619C8">
        <w:rPr>
          <w:szCs w:val="24"/>
        </w:rPr>
        <w:t xml:space="preserve"> </w:t>
      </w:r>
      <w:r w:rsidRPr="008619C8">
        <w:rPr>
          <w:i/>
          <w:szCs w:val="24"/>
        </w:rPr>
        <w:t>A History of Parliament: The Middle Ages</w:t>
      </w:r>
      <w:r w:rsidRPr="008619C8">
        <w:rPr>
          <w:szCs w:val="24"/>
        </w:rPr>
        <w:t xml:space="preserve"> (London: Constable, 1989)</w:t>
      </w:r>
    </w:p>
    <w:p w14:paraId="23315046" w14:textId="77777777" w:rsidR="00975142" w:rsidRPr="008619C8" w:rsidRDefault="00975142" w:rsidP="00BA748E">
      <w:pPr>
        <w:ind w:left="720" w:hanging="720"/>
        <w:rPr>
          <w:szCs w:val="24"/>
        </w:rPr>
      </w:pPr>
      <w:r w:rsidRPr="008619C8">
        <w:rPr>
          <w:szCs w:val="24"/>
        </w:rPr>
        <w:t xml:space="preserve">Butterfield, </w:t>
      </w:r>
      <w:r w:rsidR="00E215DA">
        <w:rPr>
          <w:szCs w:val="24"/>
        </w:rPr>
        <w:t xml:space="preserve">Ardis, </w:t>
      </w:r>
      <w:r w:rsidRPr="008619C8">
        <w:rPr>
          <w:i/>
          <w:szCs w:val="24"/>
        </w:rPr>
        <w:t xml:space="preserve">The Familiar Enemy: Chaucer, Language, and Nation in the Hundred Years War </w:t>
      </w:r>
      <w:r w:rsidRPr="008619C8">
        <w:rPr>
          <w:szCs w:val="24"/>
        </w:rPr>
        <w:t>(Oxford: Oxford University Press, 2009)</w:t>
      </w:r>
    </w:p>
    <w:p w14:paraId="35E156DC" w14:textId="77777777" w:rsidR="00975142" w:rsidRPr="008619C8" w:rsidRDefault="00975142" w:rsidP="00BA748E">
      <w:pPr>
        <w:ind w:left="720" w:hanging="720"/>
        <w:rPr>
          <w:rFonts w:eastAsia="Calibri" w:cs="Times New Roman"/>
          <w:szCs w:val="24"/>
        </w:rPr>
      </w:pPr>
      <w:r w:rsidRPr="008619C8">
        <w:rPr>
          <w:rFonts w:eastAsia="Calibri" w:cs="Times New Roman"/>
          <w:szCs w:val="24"/>
        </w:rPr>
        <w:t>Calin,</w:t>
      </w:r>
      <w:r w:rsidR="00E215DA">
        <w:rPr>
          <w:rFonts w:eastAsia="Calibri" w:cs="Times New Roman"/>
          <w:szCs w:val="24"/>
        </w:rPr>
        <w:t xml:space="preserve"> William, ‘Deschamps’ “Ballade to Chaucer”</w:t>
      </w:r>
      <w:r w:rsidRPr="008619C8">
        <w:rPr>
          <w:rFonts w:eastAsia="Calibri" w:cs="Times New Roman"/>
          <w:szCs w:val="24"/>
        </w:rPr>
        <w:t xml:space="preserve"> Again, or the Dangers of Intertextual Medieval </w:t>
      </w:r>
      <w:proofErr w:type="spellStart"/>
      <w:r w:rsidRPr="008619C8">
        <w:rPr>
          <w:rFonts w:eastAsia="Calibri" w:cs="Times New Roman"/>
          <w:szCs w:val="24"/>
        </w:rPr>
        <w:t>Comparatism</w:t>
      </w:r>
      <w:proofErr w:type="spellEnd"/>
      <w:r w:rsidR="00E215DA">
        <w:rPr>
          <w:rFonts w:eastAsia="Calibri" w:cs="Times New Roman"/>
          <w:szCs w:val="24"/>
        </w:rPr>
        <w:t>’,</w:t>
      </w:r>
      <w:r w:rsidRPr="008619C8">
        <w:rPr>
          <w:rFonts w:eastAsia="Calibri" w:cs="Times New Roman"/>
          <w:szCs w:val="24"/>
        </w:rPr>
        <w:t xml:space="preserve"> in </w:t>
      </w:r>
      <w:r w:rsidRPr="008619C8">
        <w:rPr>
          <w:rFonts w:eastAsia="Calibri" w:cs="Times New Roman"/>
          <w:i/>
          <w:szCs w:val="24"/>
        </w:rPr>
        <w:t>Eustache Deschamps, French Courtier-Poet: His Work and His World</w:t>
      </w:r>
      <w:r w:rsidRPr="008619C8">
        <w:rPr>
          <w:rFonts w:eastAsia="Calibri" w:cs="Times New Roman"/>
          <w:szCs w:val="24"/>
        </w:rPr>
        <w:t xml:space="preserve">, ed. </w:t>
      </w:r>
      <w:r w:rsidR="00E215DA">
        <w:rPr>
          <w:rFonts w:eastAsia="Calibri" w:cs="Times New Roman"/>
          <w:szCs w:val="24"/>
        </w:rPr>
        <w:t xml:space="preserve">by </w:t>
      </w:r>
      <w:r w:rsidRPr="008619C8">
        <w:rPr>
          <w:rFonts w:eastAsia="Calibri" w:cs="Times New Roman"/>
          <w:szCs w:val="24"/>
        </w:rPr>
        <w:t xml:space="preserve">Deborah M. </w:t>
      </w:r>
      <w:proofErr w:type="spellStart"/>
      <w:r w:rsidRPr="008619C8">
        <w:rPr>
          <w:rFonts w:eastAsia="Calibri" w:cs="Times New Roman"/>
          <w:szCs w:val="24"/>
        </w:rPr>
        <w:t>Sinnreich</w:t>
      </w:r>
      <w:proofErr w:type="spellEnd"/>
      <w:r w:rsidRPr="008619C8">
        <w:rPr>
          <w:rFonts w:eastAsia="Calibri" w:cs="Times New Roman"/>
          <w:szCs w:val="24"/>
        </w:rPr>
        <w:t xml:space="preserve">-Levi (New York: AMS Press, 1998), </w:t>
      </w:r>
      <w:r w:rsidR="00E215DA">
        <w:rPr>
          <w:rFonts w:eastAsia="Calibri" w:cs="Times New Roman"/>
          <w:szCs w:val="24"/>
        </w:rPr>
        <w:t xml:space="preserve">pp. </w:t>
      </w:r>
      <w:r w:rsidRPr="008619C8">
        <w:rPr>
          <w:rFonts w:eastAsia="Calibri" w:cs="Times New Roman"/>
          <w:szCs w:val="24"/>
        </w:rPr>
        <w:t>73-83</w:t>
      </w:r>
    </w:p>
    <w:p w14:paraId="20CE1010" w14:textId="77777777" w:rsidR="00975142" w:rsidRPr="008619C8" w:rsidRDefault="00E215DA" w:rsidP="00BA748E">
      <w:pPr>
        <w:ind w:left="720" w:hanging="720"/>
        <w:rPr>
          <w:rFonts w:eastAsia="Calibri" w:cs="Times New Roman"/>
          <w:szCs w:val="24"/>
        </w:rPr>
      </w:pPr>
      <w:r>
        <w:rPr>
          <w:rFonts w:eastAsia="Calibri" w:cs="Times New Roman"/>
          <w:szCs w:val="24"/>
        </w:rPr>
        <w:t>Coleman, Joyce, ‘</w:t>
      </w:r>
      <w:r w:rsidR="00975142" w:rsidRPr="008619C8">
        <w:rPr>
          <w:rFonts w:eastAsia="Calibri" w:cs="Times New Roman"/>
          <w:szCs w:val="24"/>
        </w:rPr>
        <w:t>The Flower, the Leaf, and Philippa of Lancaster</w:t>
      </w:r>
      <w:r>
        <w:rPr>
          <w:rFonts w:eastAsia="Calibri" w:cs="Times New Roman"/>
          <w:szCs w:val="24"/>
        </w:rPr>
        <w:t>’,</w:t>
      </w:r>
      <w:r w:rsidR="00975142" w:rsidRPr="008619C8">
        <w:rPr>
          <w:rFonts w:eastAsia="Calibri" w:cs="Times New Roman"/>
          <w:szCs w:val="24"/>
        </w:rPr>
        <w:t xml:space="preserve"> in </w:t>
      </w:r>
      <w:r w:rsidR="00975142" w:rsidRPr="008619C8">
        <w:rPr>
          <w:rFonts w:eastAsia="Calibri" w:cs="Times New Roman"/>
          <w:i/>
          <w:szCs w:val="24"/>
        </w:rPr>
        <w:t>The Legend of Good Women: Context and Reception</w:t>
      </w:r>
      <w:r w:rsidR="00975142" w:rsidRPr="008619C8">
        <w:rPr>
          <w:rFonts w:eastAsia="Calibri" w:cs="Times New Roman"/>
          <w:szCs w:val="24"/>
        </w:rPr>
        <w:t xml:space="preserve">, ed. </w:t>
      </w:r>
      <w:r>
        <w:rPr>
          <w:rFonts w:eastAsia="Calibri" w:cs="Times New Roman"/>
          <w:szCs w:val="24"/>
        </w:rPr>
        <w:t xml:space="preserve">by </w:t>
      </w:r>
      <w:r w:rsidR="00975142" w:rsidRPr="008619C8">
        <w:rPr>
          <w:rFonts w:eastAsia="Calibri" w:cs="Times New Roman"/>
          <w:szCs w:val="24"/>
        </w:rPr>
        <w:t xml:space="preserve">Carolyn P. Collette (Cambridge: D.S. Brewer, 2006), </w:t>
      </w:r>
      <w:r>
        <w:rPr>
          <w:rFonts w:eastAsia="Calibri" w:cs="Times New Roman"/>
          <w:szCs w:val="24"/>
        </w:rPr>
        <w:t>pp. 33-58</w:t>
      </w:r>
    </w:p>
    <w:p w14:paraId="1C4AFCFF" w14:textId="77777777" w:rsidR="00975142" w:rsidRPr="008619C8" w:rsidRDefault="00327255" w:rsidP="00BA748E">
      <w:pPr>
        <w:ind w:left="720" w:hanging="720"/>
        <w:rPr>
          <w:rFonts w:eastAsia="Times New Roman" w:cs="Times New Roman"/>
          <w:szCs w:val="24"/>
          <w:lang w:bidi="ar-SA"/>
        </w:rPr>
      </w:pPr>
      <w:proofErr w:type="spellStart"/>
      <w:r>
        <w:rPr>
          <w:rFonts w:eastAsia="Times New Roman" w:cs="Times New Roman"/>
          <w:szCs w:val="24"/>
          <w:lang w:bidi="ar-SA"/>
        </w:rPr>
        <w:t>Crépin</w:t>
      </w:r>
      <w:proofErr w:type="spellEnd"/>
      <w:r>
        <w:rPr>
          <w:rFonts w:eastAsia="Times New Roman" w:cs="Times New Roman"/>
          <w:szCs w:val="24"/>
          <w:lang w:bidi="ar-SA"/>
        </w:rPr>
        <w:t>, André,</w:t>
      </w:r>
      <w:r w:rsidR="00E215DA">
        <w:rPr>
          <w:rFonts w:eastAsia="Times New Roman" w:cs="Times New Roman"/>
          <w:szCs w:val="24"/>
          <w:lang w:bidi="ar-SA"/>
        </w:rPr>
        <w:t xml:space="preserve"> ‘</w:t>
      </w:r>
      <w:r w:rsidR="00975142" w:rsidRPr="008619C8">
        <w:rPr>
          <w:rFonts w:eastAsia="Times New Roman" w:cs="Times New Roman"/>
          <w:szCs w:val="24"/>
          <w:lang w:bidi="ar-SA"/>
        </w:rPr>
        <w:t>Chaucer et Deschamps</w:t>
      </w:r>
      <w:r w:rsidR="00E215DA">
        <w:rPr>
          <w:rFonts w:eastAsia="Times New Roman" w:cs="Times New Roman"/>
          <w:szCs w:val="24"/>
          <w:lang w:bidi="ar-SA"/>
        </w:rPr>
        <w:t>’, in</w:t>
      </w:r>
      <w:r w:rsidR="00975142" w:rsidRPr="008619C8">
        <w:rPr>
          <w:rFonts w:eastAsia="Times New Roman" w:cs="Times New Roman"/>
          <w:szCs w:val="24"/>
          <w:lang w:bidi="ar-SA"/>
        </w:rPr>
        <w:t xml:space="preserve"> </w:t>
      </w:r>
      <w:proofErr w:type="spellStart"/>
      <w:r w:rsidR="00975142" w:rsidRPr="008619C8">
        <w:rPr>
          <w:rFonts w:eastAsia="Times New Roman" w:cs="Times New Roman"/>
          <w:i/>
          <w:iCs/>
          <w:szCs w:val="24"/>
          <w:lang w:bidi="ar-SA"/>
        </w:rPr>
        <w:t>Autour</w:t>
      </w:r>
      <w:proofErr w:type="spellEnd"/>
      <w:r w:rsidR="00975142" w:rsidRPr="008619C8">
        <w:rPr>
          <w:rFonts w:eastAsia="Times New Roman" w:cs="Times New Roman"/>
          <w:i/>
          <w:iCs/>
          <w:szCs w:val="24"/>
          <w:lang w:bidi="ar-SA"/>
        </w:rPr>
        <w:t xml:space="preserve"> </w:t>
      </w:r>
      <w:proofErr w:type="spellStart"/>
      <w:r w:rsidR="00975142" w:rsidRPr="008619C8">
        <w:rPr>
          <w:rFonts w:eastAsia="Times New Roman" w:cs="Times New Roman"/>
          <w:i/>
          <w:iCs/>
          <w:szCs w:val="24"/>
          <w:lang w:bidi="ar-SA"/>
        </w:rPr>
        <w:t>d’</w:t>
      </w:r>
      <w:r>
        <w:rPr>
          <w:rFonts w:eastAsia="Times New Roman" w:cs="Times New Roman"/>
          <w:i/>
          <w:iCs/>
          <w:szCs w:val="24"/>
          <w:lang w:bidi="ar-SA"/>
        </w:rPr>
        <w:t>Eustache</w:t>
      </w:r>
      <w:proofErr w:type="spellEnd"/>
      <w:r>
        <w:rPr>
          <w:rFonts w:eastAsia="Times New Roman" w:cs="Times New Roman"/>
          <w:i/>
          <w:iCs/>
          <w:szCs w:val="24"/>
          <w:lang w:bidi="ar-SA"/>
        </w:rPr>
        <w:t xml:space="preserve"> Deschamps, </w:t>
      </w:r>
      <w:proofErr w:type="spellStart"/>
      <w:r>
        <w:rPr>
          <w:rFonts w:eastAsia="Times New Roman" w:cs="Times New Roman"/>
          <w:i/>
          <w:iCs/>
          <w:szCs w:val="24"/>
          <w:lang w:bidi="ar-SA"/>
        </w:rPr>
        <w:t>Actes</w:t>
      </w:r>
      <w:proofErr w:type="spellEnd"/>
      <w:r>
        <w:rPr>
          <w:rFonts w:eastAsia="Times New Roman" w:cs="Times New Roman"/>
          <w:i/>
          <w:iCs/>
          <w:szCs w:val="24"/>
          <w:lang w:bidi="ar-SA"/>
        </w:rPr>
        <w:t xml:space="preserve"> du </w:t>
      </w:r>
      <w:proofErr w:type="spellStart"/>
      <w:r>
        <w:rPr>
          <w:rFonts w:eastAsia="Times New Roman" w:cs="Times New Roman"/>
          <w:i/>
          <w:iCs/>
          <w:szCs w:val="24"/>
          <w:lang w:bidi="ar-SA"/>
        </w:rPr>
        <w:t>Col</w:t>
      </w:r>
      <w:r w:rsidR="00975142" w:rsidRPr="008619C8">
        <w:rPr>
          <w:rFonts w:eastAsia="Times New Roman" w:cs="Times New Roman"/>
          <w:i/>
          <w:iCs/>
          <w:szCs w:val="24"/>
          <w:lang w:bidi="ar-SA"/>
        </w:rPr>
        <w:t>loque</w:t>
      </w:r>
      <w:proofErr w:type="spellEnd"/>
      <w:r w:rsidR="00975142" w:rsidRPr="008619C8">
        <w:rPr>
          <w:rFonts w:eastAsia="Times New Roman" w:cs="Times New Roman"/>
          <w:i/>
          <w:iCs/>
          <w:szCs w:val="24"/>
          <w:lang w:bidi="ar-SA"/>
        </w:rPr>
        <w:t xml:space="preserve"> du Centre </w:t>
      </w:r>
      <w:proofErr w:type="spellStart"/>
      <w:r w:rsidR="00975142" w:rsidRPr="008619C8">
        <w:rPr>
          <w:rFonts w:eastAsia="Times New Roman" w:cs="Times New Roman"/>
          <w:i/>
          <w:iCs/>
          <w:szCs w:val="24"/>
          <w:lang w:bidi="ar-SA"/>
        </w:rPr>
        <w:t>d’Etudes</w:t>
      </w:r>
      <w:proofErr w:type="spellEnd"/>
      <w:r w:rsidR="00975142" w:rsidRPr="008619C8">
        <w:rPr>
          <w:rFonts w:eastAsia="Times New Roman" w:cs="Times New Roman"/>
          <w:i/>
          <w:iCs/>
          <w:szCs w:val="24"/>
          <w:lang w:bidi="ar-SA"/>
        </w:rPr>
        <w:t xml:space="preserve"> </w:t>
      </w:r>
      <w:proofErr w:type="spellStart"/>
      <w:r w:rsidR="00975142" w:rsidRPr="008619C8">
        <w:rPr>
          <w:rFonts w:eastAsia="Times New Roman" w:cs="Times New Roman"/>
          <w:i/>
          <w:iCs/>
          <w:szCs w:val="24"/>
          <w:lang w:bidi="ar-SA"/>
        </w:rPr>
        <w:t>Médiévales</w:t>
      </w:r>
      <w:proofErr w:type="spellEnd"/>
      <w:r w:rsidR="00975142" w:rsidRPr="008619C8">
        <w:rPr>
          <w:rFonts w:eastAsia="Times New Roman" w:cs="Times New Roman"/>
          <w:i/>
          <w:iCs/>
          <w:szCs w:val="24"/>
          <w:lang w:bidi="ar-SA"/>
        </w:rPr>
        <w:t xml:space="preserve"> de </w:t>
      </w:r>
      <w:proofErr w:type="spellStart"/>
      <w:r w:rsidR="00975142" w:rsidRPr="008619C8">
        <w:rPr>
          <w:rFonts w:eastAsia="Times New Roman" w:cs="Times New Roman"/>
          <w:i/>
          <w:iCs/>
          <w:szCs w:val="24"/>
          <w:lang w:bidi="ar-SA"/>
        </w:rPr>
        <w:t>l’Université</w:t>
      </w:r>
      <w:proofErr w:type="spellEnd"/>
      <w:r w:rsidR="00975142" w:rsidRPr="008619C8">
        <w:rPr>
          <w:rFonts w:eastAsia="Times New Roman" w:cs="Times New Roman"/>
          <w:i/>
          <w:iCs/>
          <w:szCs w:val="24"/>
          <w:lang w:bidi="ar-SA"/>
        </w:rPr>
        <w:t xml:space="preserve"> de Picardie-Jules Verne, Amiens, 5–8 </w:t>
      </w:r>
      <w:proofErr w:type="spellStart"/>
      <w:r w:rsidR="00975142" w:rsidRPr="008619C8">
        <w:rPr>
          <w:rFonts w:eastAsia="Times New Roman" w:cs="Times New Roman"/>
          <w:i/>
          <w:iCs/>
          <w:szCs w:val="24"/>
          <w:lang w:bidi="ar-SA"/>
        </w:rPr>
        <w:t>Novembre</w:t>
      </w:r>
      <w:proofErr w:type="spellEnd"/>
      <w:r w:rsidR="00975142" w:rsidRPr="008619C8">
        <w:rPr>
          <w:rFonts w:eastAsia="Times New Roman" w:cs="Times New Roman"/>
          <w:i/>
          <w:iCs/>
          <w:szCs w:val="24"/>
          <w:lang w:bidi="ar-SA"/>
        </w:rPr>
        <w:t xml:space="preserve"> 1998</w:t>
      </w:r>
      <w:r w:rsidR="00E215DA">
        <w:rPr>
          <w:rFonts w:eastAsia="Times New Roman" w:cs="Times New Roman"/>
          <w:szCs w:val="24"/>
          <w:lang w:bidi="ar-SA"/>
        </w:rPr>
        <w:t xml:space="preserve">, ed. by Danielle </w:t>
      </w:r>
      <w:proofErr w:type="spellStart"/>
      <w:r w:rsidR="00E215DA">
        <w:rPr>
          <w:rFonts w:eastAsia="Times New Roman" w:cs="Times New Roman"/>
          <w:szCs w:val="24"/>
          <w:lang w:bidi="ar-SA"/>
        </w:rPr>
        <w:t>Buschinger</w:t>
      </w:r>
      <w:proofErr w:type="spellEnd"/>
      <w:r w:rsidR="00E215DA">
        <w:rPr>
          <w:rFonts w:eastAsia="Times New Roman" w:cs="Times New Roman"/>
          <w:szCs w:val="24"/>
          <w:lang w:bidi="ar-SA"/>
        </w:rPr>
        <w:t xml:space="preserve"> (Amiens: </w:t>
      </w:r>
      <w:proofErr w:type="spellStart"/>
      <w:r w:rsidR="00E215DA">
        <w:rPr>
          <w:rFonts w:eastAsia="Times New Roman" w:cs="Times New Roman"/>
          <w:szCs w:val="24"/>
          <w:lang w:bidi="ar-SA"/>
        </w:rPr>
        <w:t>Université</w:t>
      </w:r>
      <w:proofErr w:type="spellEnd"/>
      <w:r w:rsidR="00E215DA">
        <w:rPr>
          <w:rFonts w:eastAsia="Times New Roman" w:cs="Times New Roman"/>
          <w:szCs w:val="24"/>
          <w:lang w:bidi="ar-SA"/>
        </w:rPr>
        <w:t xml:space="preserve"> de Picardie-Jules Verne, 1999), pp. 37-43</w:t>
      </w:r>
    </w:p>
    <w:p w14:paraId="03D88B8C" w14:textId="77777777" w:rsidR="00975142" w:rsidRPr="008619C8" w:rsidRDefault="00E215DA" w:rsidP="00BA748E">
      <w:pPr>
        <w:ind w:left="720" w:hanging="720"/>
        <w:rPr>
          <w:rFonts w:eastAsia="Times New Roman" w:cs="Times New Roman"/>
          <w:szCs w:val="24"/>
          <w:lang w:bidi="ar-SA"/>
        </w:rPr>
      </w:pPr>
      <w:r>
        <w:rPr>
          <w:szCs w:val="24"/>
        </w:rPr>
        <w:t>Devlin, Mary Aquinas, ‘</w:t>
      </w:r>
      <w:r w:rsidR="00975142" w:rsidRPr="008619C8">
        <w:rPr>
          <w:szCs w:val="24"/>
        </w:rPr>
        <w:t xml:space="preserve">Bishop Thomas Brunton </w:t>
      </w:r>
      <w:r>
        <w:rPr>
          <w:szCs w:val="24"/>
        </w:rPr>
        <w:t xml:space="preserve">and his Sermons’, </w:t>
      </w:r>
      <w:r w:rsidR="00975142" w:rsidRPr="008619C8">
        <w:rPr>
          <w:i/>
          <w:iCs/>
          <w:szCs w:val="24"/>
        </w:rPr>
        <w:t>Speculum</w:t>
      </w:r>
      <w:r>
        <w:rPr>
          <w:iCs/>
          <w:szCs w:val="24"/>
        </w:rPr>
        <w:t>,</w:t>
      </w:r>
      <w:r>
        <w:rPr>
          <w:szCs w:val="24"/>
        </w:rPr>
        <w:t xml:space="preserve"> 14.03 (1939),</w:t>
      </w:r>
      <w:r w:rsidR="00975142" w:rsidRPr="008619C8">
        <w:rPr>
          <w:szCs w:val="24"/>
        </w:rPr>
        <w:t xml:space="preserve"> 324-344.</w:t>
      </w:r>
    </w:p>
    <w:p w14:paraId="256E2339" w14:textId="77777777" w:rsidR="00BA748E" w:rsidRDefault="00975142" w:rsidP="00BA748E">
      <w:pPr>
        <w:ind w:left="720" w:hanging="720"/>
        <w:rPr>
          <w:rFonts w:eastAsia="Times New Roman" w:cs="Times New Roman"/>
          <w:szCs w:val="24"/>
          <w:lang w:bidi="ar-SA"/>
        </w:rPr>
      </w:pPr>
      <w:r w:rsidRPr="008619C8">
        <w:rPr>
          <w:szCs w:val="24"/>
        </w:rPr>
        <w:t xml:space="preserve">Gwilym Dodd, </w:t>
      </w:r>
      <w:r w:rsidR="00150DC8">
        <w:rPr>
          <w:rFonts w:cs="Times New Roman"/>
          <w:color w:val="000000"/>
          <w:szCs w:val="24"/>
          <w:lang w:bidi="ar-SA"/>
        </w:rPr>
        <w:t>‘</w:t>
      </w:r>
      <w:r w:rsidRPr="008619C8">
        <w:rPr>
          <w:rFonts w:cs="Times New Roman"/>
          <w:color w:val="000000"/>
          <w:szCs w:val="24"/>
          <w:lang w:bidi="ar-SA"/>
        </w:rPr>
        <w:t xml:space="preserve">A Parliament Full of Rats? </w:t>
      </w:r>
      <w:r w:rsidRPr="008619C8">
        <w:rPr>
          <w:rFonts w:cs="Times New Roman"/>
          <w:i/>
          <w:iCs/>
          <w:color w:val="000000"/>
          <w:szCs w:val="24"/>
          <w:lang w:bidi="ar-SA"/>
        </w:rPr>
        <w:t>Piers Plowman</w:t>
      </w:r>
      <w:r w:rsidRPr="008619C8">
        <w:rPr>
          <w:rFonts w:cs="Times New Roman"/>
          <w:color w:val="000000"/>
          <w:szCs w:val="24"/>
          <w:lang w:bidi="ar-SA"/>
        </w:rPr>
        <w:t xml:space="preserve"> and the Good Parliament of 1376</w:t>
      </w:r>
      <w:r w:rsidR="00150DC8">
        <w:rPr>
          <w:rFonts w:cs="Times New Roman"/>
          <w:color w:val="000000"/>
          <w:szCs w:val="24"/>
          <w:lang w:bidi="ar-SA"/>
        </w:rPr>
        <w:t>’,</w:t>
      </w:r>
      <w:r w:rsidRPr="008619C8">
        <w:rPr>
          <w:rFonts w:cs="Times New Roman"/>
          <w:color w:val="000000"/>
          <w:szCs w:val="24"/>
          <w:lang w:bidi="ar-SA"/>
        </w:rPr>
        <w:t xml:space="preserve"> </w:t>
      </w:r>
      <w:r w:rsidRPr="008619C8">
        <w:rPr>
          <w:rFonts w:cs="Times New Roman"/>
          <w:i/>
          <w:color w:val="000000"/>
          <w:szCs w:val="24"/>
          <w:lang w:bidi="ar-SA"/>
        </w:rPr>
        <w:t>Historical Research</w:t>
      </w:r>
      <w:r w:rsidR="00150DC8">
        <w:rPr>
          <w:rFonts w:cs="Times New Roman"/>
          <w:color w:val="000000"/>
          <w:szCs w:val="24"/>
          <w:lang w:bidi="ar-SA"/>
        </w:rPr>
        <w:t>, 79.203 (Feb</w:t>
      </w:r>
      <w:r w:rsidRPr="008619C8">
        <w:rPr>
          <w:rFonts w:cs="Times New Roman"/>
          <w:color w:val="000000"/>
          <w:szCs w:val="24"/>
          <w:lang w:bidi="ar-SA"/>
        </w:rPr>
        <w:t xml:space="preserve"> 2006), 21-49</w:t>
      </w:r>
    </w:p>
    <w:p w14:paraId="0D49FF60" w14:textId="77777777" w:rsidR="00150DC8" w:rsidRPr="00150DC8" w:rsidRDefault="00150DC8" w:rsidP="00BA748E">
      <w:pPr>
        <w:ind w:left="720" w:hanging="720"/>
        <w:rPr>
          <w:rFonts w:eastAsia="Times New Roman" w:cs="Times New Roman"/>
          <w:szCs w:val="24"/>
          <w:lang w:bidi="ar-SA"/>
        </w:rPr>
      </w:pPr>
      <w:r>
        <w:rPr>
          <w:rFonts w:eastAsia="Times New Roman" w:cs="Times New Roman"/>
          <w:szCs w:val="24"/>
          <w:lang w:bidi="ar-SA"/>
        </w:rPr>
        <w:t xml:space="preserve">Galloway, Andrew, </w:t>
      </w:r>
      <w:r w:rsidRPr="00150DC8">
        <w:rPr>
          <w:rFonts w:eastAsia="Times New Roman" w:cs="Times New Roman"/>
          <w:i/>
          <w:iCs/>
          <w:szCs w:val="24"/>
          <w:lang w:bidi="ar-SA"/>
        </w:rPr>
        <w:t>The Penn Commentary on Piers Plowman, Volume 1: C Prologue-Passus 4; B Prologue-Passus 4; A Prologue-Passus 4</w:t>
      </w:r>
      <w:r>
        <w:rPr>
          <w:rFonts w:eastAsia="Times New Roman" w:cs="Times New Roman"/>
          <w:szCs w:val="24"/>
          <w:lang w:bidi="ar-SA"/>
        </w:rPr>
        <w:t xml:space="preserve"> (Philadelphia: </w:t>
      </w:r>
      <w:r w:rsidRPr="00150DC8">
        <w:rPr>
          <w:rFonts w:eastAsia="Times New Roman" w:cs="Times New Roman"/>
          <w:szCs w:val="24"/>
          <w:lang w:bidi="ar-SA"/>
        </w:rPr>
        <w:t>Univers</w:t>
      </w:r>
      <w:r>
        <w:rPr>
          <w:rFonts w:eastAsia="Times New Roman" w:cs="Times New Roman"/>
          <w:szCs w:val="24"/>
          <w:lang w:bidi="ar-SA"/>
        </w:rPr>
        <w:t>ity of Pennsylvania Press, 2011)</w:t>
      </w:r>
    </w:p>
    <w:p w14:paraId="6AD6CC28" w14:textId="77777777" w:rsidR="00975142" w:rsidRPr="008619C8" w:rsidRDefault="00975142" w:rsidP="00BA748E">
      <w:pPr>
        <w:ind w:left="720" w:hanging="720"/>
        <w:rPr>
          <w:szCs w:val="24"/>
        </w:rPr>
      </w:pPr>
      <w:r w:rsidRPr="008619C8">
        <w:rPr>
          <w:szCs w:val="24"/>
        </w:rPr>
        <w:t>Giancarlo,</w:t>
      </w:r>
      <w:r w:rsidR="00150DC8">
        <w:rPr>
          <w:szCs w:val="24"/>
        </w:rPr>
        <w:t xml:space="preserve"> Matthew,</w:t>
      </w:r>
      <w:r w:rsidRPr="008619C8">
        <w:rPr>
          <w:szCs w:val="24"/>
        </w:rPr>
        <w:t xml:space="preserve"> </w:t>
      </w:r>
      <w:r w:rsidRPr="008619C8">
        <w:rPr>
          <w:i/>
          <w:szCs w:val="24"/>
        </w:rPr>
        <w:t>Parliament and Literature in Late Medieval England</w:t>
      </w:r>
      <w:r w:rsidR="00150DC8">
        <w:rPr>
          <w:szCs w:val="24"/>
        </w:rPr>
        <w:t xml:space="preserve"> (Cambridge: Cambridge University Press, 2007)</w:t>
      </w:r>
    </w:p>
    <w:p w14:paraId="4D6302E8" w14:textId="77777777" w:rsidR="00975142" w:rsidRPr="008619C8" w:rsidRDefault="00975142" w:rsidP="00BA748E">
      <w:pPr>
        <w:ind w:left="720" w:hanging="720"/>
        <w:rPr>
          <w:szCs w:val="24"/>
        </w:rPr>
      </w:pPr>
      <w:r w:rsidRPr="008619C8">
        <w:rPr>
          <w:rFonts w:cs="Times New Roman"/>
          <w:color w:val="000000"/>
          <w:szCs w:val="24"/>
          <w:lang w:bidi="ar-SA"/>
        </w:rPr>
        <w:t>Gross,</w:t>
      </w:r>
      <w:r w:rsidR="00150DC8">
        <w:rPr>
          <w:rFonts w:cs="Times New Roman"/>
          <w:color w:val="000000"/>
          <w:szCs w:val="24"/>
          <w:lang w:bidi="ar-SA"/>
        </w:rPr>
        <w:t xml:space="preserve"> </w:t>
      </w:r>
      <w:r w:rsidR="00327255">
        <w:rPr>
          <w:rFonts w:cs="Times New Roman"/>
          <w:color w:val="000000"/>
          <w:szCs w:val="24"/>
          <w:lang w:bidi="ar-SA"/>
        </w:rPr>
        <w:t>Anthony</w:t>
      </w:r>
      <w:r w:rsidR="00150DC8">
        <w:rPr>
          <w:rFonts w:cs="Times New Roman"/>
          <w:color w:val="000000"/>
          <w:szCs w:val="24"/>
          <w:lang w:bidi="ar-SA"/>
        </w:rPr>
        <w:t>, ‘</w:t>
      </w:r>
      <w:r w:rsidRPr="008619C8">
        <w:rPr>
          <w:rFonts w:cs="Times New Roman"/>
          <w:color w:val="000000"/>
          <w:szCs w:val="24"/>
          <w:lang w:bidi="ar-SA"/>
        </w:rPr>
        <w:t>Langland’s Rats: A Moralist’s Vision of Parliament</w:t>
      </w:r>
      <w:r w:rsidR="00150DC8">
        <w:rPr>
          <w:rFonts w:cs="Times New Roman"/>
          <w:color w:val="000000"/>
          <w:szCs w:val="24"/>
          <w:lang w:bidi="ar-SA"/>
        </w:rPr>
        <w:t>’</w:t>
      </w:r>
      <w:r w:rsidRPr="008619C8">
        <w:rPr>
          <w:rFonts w:cs="Times New Roman"/>
          <w:color w:val="000000"/>
          <w:szCs w:val="24"/>
          <w:lang w:bidi="ar-SA"/>
        </w:rPr>
        <w:t>,</w:t>
      </w:r>
      <w:r w:rsidR="00150DC8">
        <w:rPr>
          <w:rFonts w:cs="Times New Roman"/>
          <w:color w:val="000000"/>
          <w:szCs w:val="24"/>
          <w:lang w:bidi="ar-SA"/>
        </w:rPr>
        <w:t xml:space="preserve"> </w:t>
      </w:r>
      <w:r w:rsidRPr="008619C8">
        <w:rPr>
          <w:rFonts w:cs="Times New Roman"/>
          <w:i/>
          <w:color w:val="000000"/>
          <w:szCs w:val="24"/>
          <w:lang w:bidi="ar-SA"/>
        </w:rPr>
        <w:t>Parliamentary History</w:t>
      </w:r>
      <w:r w:rsidR="00150DC8">
        <w:rPr>
          <w:rFonts w:cs="Times New Roman"/>
          <w:color w:val="000000"/>
          <w:szCs w:val="24"/>
          <w:lang w:bidi="ar-SA"/>
        </w:rPr>
        <w:t>,</w:t>
      </w:r>
      <w:r w:rsidRPr="008619C8">
        <w:rPr>
          <w:rFonts w:cs="Times New Roman"/>
          <w:i/>
          <w:color w:val="000000"/>
          <w:szCs w:val="24"/>
          <w:lang w:bidi="ar-SA"/>
        </w:rPr>
        <w:t xml:space="preserve"> </w:t>
      </w:r>
      <w:r w:rsidRPr="008619C8">
        <w:rPr>
          <w:rFonts w:cs="Times New Roman"/>
          <w:color w:val="000000"/>
          <w:szCs w:val="24"/>
          <w:lang w:bidi="ar-SA"/>
        </w:rPr>
        <w:t>9.2 (1990), 286-301</w:t>
      </w:r>
    </w:p>
    <w:p w14:paraId="6A73592B" w14:textId="77777777" w:rsidR="00975142" w:rsidRDefault="00975142" w:rsidP="00BA748E">
      <w:pPr>
        <w:ind w:left="720" w:hanging="720"/>
        <w:rPr>
          <w:szCs w:val="24"/>
        </w:rPr>
      </w:pPr>
      <w:r w:rsidRPr="008619C8">
        <w:rPr>
          <w:szCs w:val="24"/>
        </w:rPr>
        <w:t xml:space="preserve">Hanna, </w:t>
      </w:r>
      <w:r w:rsidR="00150DC8">
        <w:rPr>
          <w:szCs w:val="24"/>
        </w:rPr>
        <w:t xml:space="preserve">Ralph, </w:t>
      </w:r>
      <w:r w:rsidRPr="008619C8">
        <w:rPr>
          <w:i/>
          <w:szCs w:val="24"/>
        </w:rPr>
        <w:t>London Literature, 1300-1380</w:t>
      </w:r>
      <w:r w:rsidRPr="008619C8">
        <w:rPr>
          <w:szCs w:val="24"/>
        </w:rPr>
        <w:t xml:space="preserve"> (Cambridge: Cambridge University Press, 2005)</w:t>
      </w:r>
    </w:p>
    <w:p w14:paraId="6630AD1F" w14:textId="77777777" w:rsidR="00D67C88" w:rsidRPr="008619C8" w:rsidRDefault="00D67C88" w:rsidP="00BA748E">
      <w:pPr>
        <w:ind w:left="720" w:hanging="720"/>
        <w:rPr>
          <w:szCs w:val="24"/>
        </w:rPr>
      </w:pPr>
      <w:r>
        <w:rPr>
          <w:szCs w:val="24"/>
        </w:rPr>
        <w:t xml:space="preserve">---, ‘Sir Thomas Berkeley and His Patronage’, </w:t>
      </w:r>
      <w:r w:rsidRPr="00D67C88">
        <w:rPr>
          <w:i/>
          <w:szCs w:val="24"/>
        </w:rPr>
        <w:t>Speculum</w:t>
      </w:r>
      <w:r w:rsidR="00BF2795">
        <w:rPr>
          <w:szCs w:val="24"/>
        </w:rPr>
        <w:t>, 64.4 (Oct 1989), 878-916</w:t>
      </w:r>
    </w:p>
    <w:p w14:paraId="746E6AAE" w14:textId="77777777" w:rsidR="00975142" w:rsidRPr="008619C8" w:rsidRDefault="00975142" w:rsidP="00BA748E">
      <w:pPr>
        <w:ind w:left="720" w:hanging="720"/>
        <w:rPr>
          <w:szCs w:val="24"/>
        </w:rPr>
      </w:pPr>
      <w:r w:rsidRPr="008619C8">
        <w:rPr>
          <w:szCs w:val="24"/>
        </w:rPr>
        <w:t xml:space="preserve">Holmes, </w:t>
      </w:r>
      <w:r w:rsidR="00150DC8">
        <w:rPr>
          <w:szCs w:val="24"/>
        </w:rPr>
        <w:t xml:space="preserve">George, </w:t>
      </w:r>
      <w:r w:rsidRPr="008619C8">
        <w:rPr>
          <w:i/>
          <w:szCs w:val="24"/>
        </w:rPr>
        <w:t>The Good Parliament</w:t>
      </w:r>
      <w:r w:rsidRPr="008619C8">
        <w:rPr>
          <w:szCs w:val="24"/>
        </w:rPr>
        <w:t xml:space="preserve"> (Oxford: Clarendon Press, 1975)</w:t>
      </w:r>
    </w:p>
    <w:p w14:paraId="4AFF8F0B" w14:textId="77777777" w:rsidR="00975142" w:rsidRPr="008619C8" w:rsidRDefault="00975142" w:rsidP="00BA748E">
      <w:pPr>
        <w:ind w:left="720" w:hanging="720"/>
        <w:rPr>
          <w:szCs w:val="24"/>
        </w:rPr>
      </w:pPr>
      <w:proofErr w:type="spellStart"/>
      <w:r w:rsidRPr="008619C8">
        <w:rPr>
          <w:szCs w:val="24"/>
        </w:rPr>
        <w:t>Huppé</w:t>
      </w:r>
      <w:proofErr w:type="spellEnd"/>
      <w:r w:rsidRPr="008619C8">
        <w:rPr>
          <w:szCs w:val="24"/>
        </w:rPr>
        <w:t>,</w:t>
      </w:r>
      <w:r w:rsidR="00150DC8">
        <w:rPr>
          <w:szCs w:val="24"/>
        </w:rPr>
        <w:t xml:space="preserve"> Bernard F., ‘</w:t>
      </w:r>
      <w:r w:rsidRPr="008619C8">
        <w:rPr>
          <w:szCs w:val="24"/>
        </w:rPr>
        <w:t>The Date of the B-Text of Piers Plowman</w:t>
      </w:r>
      <w:r w:rsidR="00150DC8">
        <w:rPr>
          <w:szCs w:val="24"/>
        </w:rPr>
        <w:t xml:space="preserve">’, </w:t>
      </w:r>
      <w:r w:rsidRPr="008619C8">
        <w:rPr>
          <w:i/>
          <w:szCs w:val="24"/>
        </w:rPr>
        <w:t>Studies in Philology</w:t>
      </w:r>
      <w:r w:rsidR="00150DC8">
        <w:rPr>
          <w:szCs w:val="24"/>
        </w:rPr>
        <w:t>,</w:t>
      </w:r>
      <w:r w:rsidRPr="008619C8">
        <w:rPr>
          <w:szCs w:val="24"/>
        </w:rPr>
        <w:t xml:space="preserve"> 38.1 (1941), 34-44</w:t>
      </w:r>
    </w:p>
    <w:p w14:paraId="491F8052" w14:textId="77777777" w:rsidR="00975142" w:rsidRPr="008619C8" w:rsidRDefault="00975142" w:rsidP="00BA748E">
      <w:pPr>
        <w:ind w:left="720" w:hanging="720"/>
        <w:rPr>
          <w:rFonts w:eastAsia="Calibri" w:cs="Times New Roman"/>
          <w:bCs/>
          <w:szCs w:val="24"/>
        </w:rPr>
      </w:pPr>
      <w:r w:rsidRPr="008619C8">
        <w:rPr>
          <w:rFonts w:eastAsia="Calibri" w:cs="Times New Roman"/>
          <w:bCs/>
          <w:szCs w:val="24"/>
        </w:rPr>
        <w:t>Jenkins,</w:t>
      </w:r>
      <w:r w:rsidR="00150DC8">
        <w:rPr>
          <w:rFonts w:eastAsia="Calibri" w:cs="Times New Roman"/>
          <w:bCs/>
          <w:szCs w:val="24"/>
        </w:rPr>
        <w:t xml:space="preserve"> T. Atkinson, ‘</w:t>
      </w:r>
      <w:r w:rsidRPr="008619C8">
        <w:rPr>
          <w:rFonts w:eastAsia="Calibri" w:cs="Times New Roman"/>
          <w:bCs/>
          <w:szCs w:val="24"/>
        </w:rPr>
        <w:t>Deschamps’ Ballade to Chaucer</w:t>
      </w:r>
      <w:r w:rsidR="00150DC8">
        <w:rPr>
          <w:rFonts w:eastAsia="Calibri" w:cs="Times New Roman"/>
          <w:bCs/>
          <w:szCs w:val="24"/>
        </w:rPr>
        <w:t xml:space="preserve">’, </w:t>
      </w:r>
      <w:r w:rsidRPr="008619C8">
        <w:rPr>
          <w:rFonts w:eastAsia="Calibri" w:cs="Times New Roman"/>
          <w:bCs/>
          <w:i/>
          <w:szCs w:val="24"/>
        </w:rPr>
        <w:t>Modern Language Notes</w:t>
      </w:r>
      <w:r w:rsidR="00150DC8">
        <w:rPr>
          <w:rFonts w:eastAsia="Calibri" w:cs="Times New Roman"/>
          <w:bCs/>
          <w:szCs w:val="24"/>
        </w:rPr>
        <w:t>, 33.5 (May 1918),</w:t>
      </w:r>
      <w:r w:rsidRPr="008619C8">
        <w:rPr>
          <w:rFonts w:eastAsia="Calibri" w:cs="Times New Roman"/>
          <w:bCs/>
          <w:szCs w:val="24"/>
        </w:rPr>
        <w:t xml:space="preserve"> 268-78</w:t>
      </w:r>
    </w:p>
    <w:p w14:paraId="588AB622" w14:textId="77777777" w:rsidR="00975142" w:rsidRPr="008619C8" w:rsidRDefault="00975142" w:rsidP="00BA748E">
      <w:pPr>
        <w:pStyle w:val="FootnoteText"/>
        <w:ind w:left="720" w:hanging="720"/>
        <w:rPr>
          <w:sz w:val="24"/>
          <w:szCs w:val="24"/>
        </w:rPr>
      </w:pPr>
      <w:r w:rsidRPr="008619C8">
        <w:rPr>
          <w:sz w:val="24"/>
          <w:szCs w:val="24"/>
        </w:rPr>
        <w:t xml:space="preserve">Kellogg, </w:t>
      </w:r>
      <w:r w:rsidR="00150DC8">
        <w:rPr>
          <w:sz w:val="24"/>
          <w:szCs w:val="24"/>
        </w:rPr>
        <w:t>Eleanor, ‘</w:t>
      </w:r>
      <w:r w:rsidRPr="008619C8">
        <w:rPr>
          <w:sz w:val="24"/>
          <w:szCs w:val="24"/>
        </w:rPr>
        <w:t>Bishop Brunton and the Fable of the Rats</w:t>
      </w:r>
      <w:r w:rsidR="00150DC8">
        <w:rPr>
          <w:sz w:val="24"/>
          <w:szCs w:val="24"/>
        </w:rPr>
        <w:t>’,</w:t>
      </w:r>
      <w:r w:rsidRPr="008619C8">
        <w:rPr>
          <w:sz w:val="24"/>
          <w:szCs w:val="24"/>
        </w:rPr>
        <w:t xml:space="preserve"> </w:t>
      </w:r>
      <w:r w:rsidRPr="008619C8">
        <w:rPr>
          <w:i/>
          <w:sz w:val="24"/>
          <w:szCs w:val="24"/>
        </w:rPr>
        <w:t>PMLA</w:t>
      </w:r>
      <w:r w:rsidR="00150DC8">
        <w:rPr>
          <w:sz w:val="24"/>
          <w:szCs w:val="24"/>
        </w:rPr>
        <w:t>, 50.1 (Mar 1935), 57-68</w:t>
      </w:r>
    </w:p>
    <w:p w14:paraId="5C7A2937" w14:textId="77777777" w:rsidR="00975142" w:rsidRPr="008619C8" w:rsidRDefault="00150DC8" w:rsidP="00BA748E">
      <w:pPr>
        <w:ind w:left="720" w:hanging="720"/>
        <w:rPr>
          <w:szCs w:val="24"/>
        </w:rPr>
      </w:pPr>
      <w:proofErr w:type="spellStart"/>
      <w:r>
        <w:rPr>
          <w:szCs w:val="24"/>
        </w:rPr>
        <w:t>Kooijman</w:t>
      </w:r>
      <w:proofErr w:type="spellEnd"/>
      <w:r>
        <w:rPr>
          <w:szCs w:val="24"/>
        </w:rPr>
        <w:t xml:space="preserve">, Jacques, ‘Envoi de fleurs: à </w:t>
      </w:r>
      <w:proofErr w:type="spellStart"/>
      <w:r>
        <w:rPr>
          <w:szCs w:val="24"/>
        </w:rPr>
        <w:t>propos</w:t>
      </w:r>
      <w:proofErr w:type="spellEnd"/>
      <w:r>
        <w:rPr>
          <w:szCs w:val="24"/>
        </w:rPr>
        <w:t xml:space="preserve"> des </w:t>
      </w:r>
      <w:proofErr w:type="spellStart"/>
      <w:r>
        <w:rPr>
          <w:szCs w:val="24"/>
        </w:rPr>
        <w:t>échanges</w:t>
      </w:r>
      <w:proofErr w:type="spellEnd"/>
      <w:r>
        <w:rPr>
          <w:szCs w:val="24"/>
        </w:rPr>
        <w:t xml:space="preserve"> </w:t>
      </w:r>
      <w:proofErr w:type="spellStart"/>
      <w:r>
        <w:rPr>
          <w:szCs w:val="24"/>
        </w:rPr>
        <w:t>littéraires</w:t>
      </w:r>
      <w:proofErr w:type="spellEnd"/>
      <w:r>
        <w:rPr>
          <w:szCs w:val="24"/>
        </w:rPr>
        <w:t xml:space="preserve"> entre la France et </w:t>
      </w:r>
      <w:proofErr w:type="spellStart"/>
      <w:r>
        <w:rPr>
          <w:szCs w:val="24"/>
        </w:rPr>
        <w:t>l’A</w:t>
      </w:r>
      <w:r w:rsidR="00975142" w:rsidRPr="008619C8">
        <w:rPr>
          <w:szCs w:val="24"/>
        </w:rPr>
        <w:t>ngleterr</w:t>
      </w:r>
      <w:r>
        <w:rPr>
          <w:szCs w:val="24"/>
        </w:rPr>
        <w:t>e</w:t>
      </w:r>
      <w:proofErr w:type="spellEnd"/>
      <w:r>
        <w:rPr>
          <w:szCs w:val="24"/>
        </w:rPr>
        <w:t xml:space="preserve"> sous la Guerre d</w:t>
      </w:r>
      <w:r w:rsidR="00975142" w:rsidRPr="008619C8">
        <w:rPr>
          <w:szCs w:val="24"/>
        </w:rPr>
        <w:t>e Cent Ans</w:t>
      </w:r>
      <w:r>
        <w:rPr>
          <w:szCs w:val="24"/>
        </w:rPr>
        <w:t xml:space="preserve">’, in </w:t>
      </w:r>
      <w:r w:rsidR="00975142" w:rsidRPr="008619C8">
        <w:rPr>
          <w:i/>
          <w:iCs/>
          <w:szCs w:val="24"/>
        </w:rPr>
        <w:t xml:space="preserve">Etudes de langue et de </w:t>
      </w:r>
      <w:proofErr w:type="spellStart"/>
      <w:r w:rsidR="00975142" w:rsidRPr="008619C8">
        <w:rPr>
          <w:i/>
          <w:iCs/>
          <w:szCs w:val="24"/>
        </w:rPr>
        <w:t>littérature</w:t>
      </w:r>
      <w:proofErr w:type="spellEnd"/>
      <w:r w:rsidR="00975142" w:rsidRPr="008619C8">
        <w:rPr>
          <w:i/>
          <w:iCs/>
          <w:szCs w:val="24"/>
        </w:rPr>
        <w:t xml:space="preserve"> </w:t>
      </w:r>
      <w:proofErr w:type="spellStart"/>
      <w:r w:rsidR="00975142" w:rsidRPr="008619C8">
        <w:rPr>
          <w:i/>
          <w:iCs/>
          <w:szCs w:val="24"/>
        </w:rPr>
        <w:t>françaises</w:t>
      </w:r>
      <w:proofErr w:type="spellEnd"/>
      <w:r w:rsidR="00975142" w:rsidRPr="008619C8">
        <w:rPr>
          <w:i/>
          <w:iCs/>
          <w:szCs w:val="24"/>
        </w:rPr>
        <w:t xml:space="preserve"> </w:t>
      </w:r>
      <w:proofErr w:type="spellStart"/>
      <w:r w:rsidR="00975142" w:rsidRPr="008619C8">
        <w:rPr>
          <w:i/>
          <w:iCs/>
          <w:szCs w:val="24"/>
        </w:rPr>
        <w:t>offertes</w:t>
      </w:r>
      <w:proofErr w:type="spellEnd"/>
      <w:r w:rsidR="00975142" w:rsidRPr="008619C8">
        <w:rPr>
          <w:i/>
          <w:iCs/>
          <w:szCs w:val="24"/>
        </w:rPr>
        <w:t xml:space="preserve"> à André </w:t>
      </w:r>
      <w:proofErr w:type="spellStart"/>
      <w:r w:rsidR="00975142" w:rsidRPr="008619C8">
        <w:rPr>
          <w:i/>
          <w:iCs/>
          <w:szCs w:val="24"/>
        </w:rPr>
        <w:t>Lanly</w:t>
      </w:r>
      <w:proofErr w:type="spellEnd"/>
      <w:r>
        <w:rPr>
          <w:iCs/>
          <w:szCs w:val="24"/>
        </w:rPr>
        <w:t xml:space="preserve">, ed. by Bernard </w:t>
      </w:r>
      <w:proofErr w:type="spellStart"/>
      <w:r>
        <w:rPr>
          <w:iCs/>
          <w:szCs w:val="24"/>
        </w:rPr>
        <w:t>Guidoux</w:t>
      </w:r>
      <w:proofErr w:type="spellEnd"/>
      <w:r>
        <w:rPr>
          <w:szCs w:val="24"/>
        </w:rPr>
        <w:t xml:space="preserve"> (Nancy: </w:t>
      </w:r>
      <w:proofErr w:type="spellStart"/>
      <w:r>
        <w:rPr>
          <w:szCs w:val="24"/>
        </w:rPr>
        <w:t>Université</w:t>
      </w:r>
      <w:proofErr w:type="spellEnd"/>
      <w:r w:rsidR="00975142" w:rsidRPr="008619C8">
        <w:rPr>
          <w:szCs w:val="24"/>
        </w:rPr>
        <w:t xml:space="preserve"> de Nancy, 1980</w:t>
      </w:r>
      <w:r>
        <w:rPr>
          <w:szCs w:val="24"/>
        </w:rPr>
        <w:t xml:space="preserve">), pp. </w:t>
      </w:r>
      <w:r w:rsidRPr="008619C8">
        <w:rPr>
          <w:szCs w:val="24"/>
        </w:rPr>
        <w:t>173-183</w:t>
      </w:r>
    </w:p>
    <w:p w14:paraId="558C0E47" w14:textId="77777777" w:rsidR="00975142" w:rsidRPr="008619C8" w:rsidRDefault="00975142" w:rsidP="00BA748E">
      <w:pPr>
        <w:ind w:left="720" w:hanging="720"/>
        <w:rPr>
          <w:szCs w:val="24"/>
        </w:rPr>
      </w:pPr>
      <w:r w:rsidRPr="008619C8">
        <w:rPr>
          <w:szCs w:val="24"/>
        </w:rPr>
        <w:t>Laurie, I.S.</w:t>
      </w:r>
      <w:r w:rsidR="00150DC8">
        <w:rPr>
          <w:szCs w:val="24"/>
        </w:rPr>
        <w:t>, ‘</w:t>
      </w:r>
      <w:r w:rsidRPr="008619C8">
        <w:rPr>
          <w:szCs w:val="24"/>
        </w:rPr>
        <w:t>Eustache Deschamps: 1340(?)-1404</w:t>
      </w:r>
      <w:r w:rsidR="00150DC8">
        <w:rPr>
          <w:szCs w:val="24"/>
        </w:rPr>
        <w:t>’, in</w:t>
      </w:r>
      <w:r w:rsidRPr="008619C8">
        <w:rPr>
          <w:szCs w:val="24"/>
        </w:rPr>
        <w:t xml:space="preserve"> </w:t>
      </w:r>
      <w:r w:rsidRPr="008619C8">
        <w:rPr>
          <w:i/>
          <w:szCs w:val="24"/>
        </w:rPr>
        <w:t>Eustache Deschamps, French Courtier-Poet: His Work and His World</w:t>
      </w:r>
      <w:r w:rsidRPr="008619C8">
        <w:rPr>
          <w:szCs w:val="24"/>
        </w:rPr>
        <w:t xml:space="preserve">, ed. </w:t>
      </w:r>
      <w:r w:rsidR="00150DC8">
        <w:rPr>
          <w:szCs w:val="24"/>
        </w:rPr>
        <w:t xml:space="preserve">by </w:t>
      </w:r>
      <w:r w:rsidRPr="008619C8">
        <w:rPr>
          <w:szCs w:val="24"/>
        </w:rPr>
        <w:t xml:space="preserve">Deborah M. </w:t>
      </w:r>
      <w:proofErr w:type="spellStart"/>
      <w:r w:rsidRPr="008619C8">
        <w:rPr>
          <w:szCs w:val="24"/>
        </w:rPr>
        <w:t>Sinnreich</w:t>
      </w:r>
      <w:proofErr w:type="spellEnd"/>
      <w:r w:rsidRPr="008619C8">
        <w:rPr>
          <w:szCs w:val="24"/>
        </w:rPr>
        <w:t xml:space="preserve">-Levi (New York: AMS Press, 1998), </w:t>
      </w:r>
      <w:r w:rsidR="00150DC8">
        <w:rPr>
          <w:szCs w:val="24"/>
        </w:rPr>
        <w:t>pp. 1-43</w:t>
      </w:r>
    </w:p>
    <w:p w14:paraId="790C97D3" w14:textId="77777777" w:rsidR="00975142" w:rsidRPr="008619C8" w:rsidRDefault="00975142" w:rsidP="00BA748E">
      <w:pPr>
        <w:ind w:left="720" w:hanging="720"/>
        <w:rPr>
          <w:szCs w:val="24"/>
        </w:rPr>
      </w:pPr>
      <w:proofErr w:type="spellStart"/>
      <w:r w:rsidRPr="008619C8">
        <w:rPr>
          <w:rFonts w:cs="Times New Roman"/>
          <w:szCs w:val="24"/>
        </w:rPr>
        <w:t>Lassahn</w:t>
      </w:r>
      <w:proofErr w:type="spellEnd"/>
      <w:r w:rsidRPr="008619C8">
        <w:rPr>
          <w:rFonts w:cs="Times New Roman"/>
          <w:szCs w:val="24"/>
        </w:rPr>
        <w:t xml:space="preserve">, </w:t>
      </w:r>
      <w:r w:rsidR="00150DC8">
        <w:rPr>
          <w:rFonts w:cs="Times New Roman"/>
          <w:szCs w:val="24"/>
        </w:rPr>
        <w:t>Nicole, ‘</w:t>
      </w:r>
      <w:r w:rsidRPr="008619C8">
        <w:rPr>
          <w:rFonts w:cs="Times New Roman"/>
          <w:szCs w:val="24"/>
        </w:rPr>
        <w:t xml:space="preserve">Langland’s Rats Revisited: Conservatism, </w:t>
      </w:r>
      <w:r w:rsidRPr="008619C8">
        <w:rPr>
          <w:rFonts w:cs="Times New Roman"/>
          <w:i/>
          <w:szCs w:val="24"/>
        </w:rPr>
        <w:t>Commune</w:t>
      </w:r>
      <w:r w:rsidRPr="008619C8">
        <w:rPr>
          <w:rFonts w:cs="Times New Roman"/>
          <w:szCs w:val="24"/>
        </w:rPr>
        <w:t>, and Political Unanimity</w:t>
      </w:r>
      <w:r w:rsidR="00150DC8">
        <w:rPr>
          <w:rFonts w:cs="Times New Roman"/>
          <w:szCs w:val="24"/>
        </w:rPr>
        <w:t xml:space="preserve">’, </w:t>
      </w:r>
      <w:r w:rsidRPr="008619C8">
        <w:rPr>
          <w:rFonts w:cs="Times New Roman"/>
          <w:i/>
          <w:szCs w:val="24"/>
        </w:rPr>
        <w:t>Viator</w:t>
      </w:r>
      <w:r w:rsidR="00150DC8">
        <w:rPr>
          <w:rFonts w:cs="Times New Roman"/>
          <w:szCs w:val="24"/>
        </w:rPr>
        <w:t>,</w:t>
      </w:r>
      <w:r w:rsidRPr="008619C8">
        <w:rPr>
          <w:rFonts w:cs="Times New Roman"/>
          <w:szCs w:val="24"/>
        </w:rPr>
        <w:t xml:space="preserve"> 39.1 (2008), 127-155</w:t>
      </w:r>
    </w:p>
    <w:p w14:paraId="73297847" w14:textId="77777777" w:rsidR="00975142" w:rsidRPr="008619C8" w:rsidRDefault="00150DC8" w:rsidP="00BA748E">
      <w:pPr>
        <w:ind w:left="720" w:hanging="720"/>
        <w:rPr>
          <w:rFonts w:eastAsia="Times New Roman" w:cs="Times New Roman"/>
          <w:szCs w:val="24"/>
          <w:lang w:bidi="ar-SA"/>
        </w:rPr>
      </w:pPr>
      <w:r>
        <w:rPr>
          <w:rFonts w:eastAsia="Times New Roman" w:cs="Times New Roman"/>
          <w:szCs w:val="24"/>
          <w:lang w:bidi="ar-SA"/>
        </w:rPr>
        <w:t xml:space="preserve">Olson, </w:t>
      </w:r>
      <w:proofErr w:type="spellStart"/>
      <w:r>
        <w:rPr>
          <w:rFonts w:eastAsia="Times New Roman" w:cs="Times New Roman"/>
          <w:szCs w:val="24"/>
          <w:lang w:bidi="ar-SA"/>
        </w:rPr>
        <w:t>Glending</w:t>
      </w:r>
      <w:proofErr w:type="spellEnd"/>
      <w:r>
        <w:rPr>
          <w:rFonts w:eastAsia="Times New Roman" w:cs="Times New Roman"/>
          <w:szCs w:val="24"/>
          <w:lang w:bidi="ar-SA"/>
        </w:rPr>
        <w:t xml:space="preserve">. ‘Deschamps’ </w:t>
      </w:r>
      <w:r w:rsidR="00975142" w:rsidRPr="00150DC8">
        <w:rPr>
          <w:rFonts w:eastAsia="Times New Roman" w:cs="Times New Roman"/>
          <w:i/>
          <w:szCs w:val="24"/>
          <w:lang w:bidi="ar-SA"/>
        </w:rPr>
        <w:t xml:space="preserve">Art de </w:t>
      </w:r>
      <w:proofErr w:type="spellStart"/>
      <w:r w:rsidR="00975142" w:rsidRPr="00150DC8">
        <w:rPr>
          <w:rFonts w:eastAsia="Times New Roman" w:cs="Times New Roman"/>
          <w:i/>
          <w:szCs w:val="24"/>
          <w:lang w:bidi="ar-SA"/>
        </w:rPr>
        <w:t>Dictier</w:t>
      </w:r>
      <w:proofErr w:type="spellEnd"/>
      <w:r>
        <w:rPr>
          <w:rFonts w:eastAsia="Times New Roman" w:cs="Times New Roman"/>
          <w:szCs w:val="24"/>
          <w:lang w:bidi="ar-SA"/>
        </w:rPr>
        <w:t xml:space="preserve"> and Chaucer’</w:t>
      </w:r>
      <w:r w:rsidR="00975142" w:rsidRPr="008619C8">
        <w:rPr>
          <w:rFonts w:eastAsia="Times New Roman" w:cs="Times New Roman"/>
          <w:szCs w:val="24"/>
          <w:lang w:bidi="ar-SA"/>
        </w:rPr>
        <w:t>s Literary Environment</w:t>
      </w:r>
      <w:r>
        <w:rPr>
          <w:rFonts w:eastAsia="Times New Roman" w:cs="Times New Roman"/>
          <w:szCs w:val="24"/>
          <w:lang w:bidi="ar-SA"/>
        </w:rPr>
        <w:t xml:space="preserve">’, </w:t>
      </w:r>
      <w:r w:rsidR="00975142" w:rsidRPr="008619C8">
        <w:rPr>
          <w:rFonts w:eastAsia="Times New Roman" w:cs="Times New Roman"/>
          <w:i/>
          <w:iCs/>
          <w:szCs w:val="24"/>
          <w:lang w:bidi="ar-SA"/>
        </w:rPr>
        <w:t>Speculum</w:t>
      </w:r>
      <w:r>
        <w:rPr>
          <w:rFonts w:eastAsia="Times New Roman" w:cs="Times New Roman"/>
          <w:iCs/>
          <w:szCs w:val="24"/>
          <w:lang w:bidi="ar-SA"/>
        </w:rPr>
        <w:t>,</w:t>
      </w:r>
      <w:r>
        <w:rPr>
          <w:rFonts w:eastAsia="Times New Roman" w:cs="Times New Roman"/>
          <w:szCs w:val="24"/>
          <w:lang w:bidi="ar-SA"/>
        </w:rPr>
        <w:t xml:space="preserve"> 48.04 (1973),</w:t>
      </w:r>
      <w:r w:rsidR="00BF2795">
        <w:rPr>
          <w:rFonts w:eastAsia="Times New Roman" w:cs="Times New Roman"/>
          <w:szCs w:val="24"/>
          <w:lang w:bidi="ar-SA"/>
        </w:rPr>
        <w:t xml:space="preserve"> 714-723</w:t>
      </w:r>
    </w:p>
    <w:p w14:paraId="18F83B19" w14:textId="77777777" w:rsidR="00975142" w:rsidRPr="008619C8" w:rsidRDefault="00975142" w:rsidP="00BA748E">
      <w:pPr>
        <w:ind w:left="720" w:hanging="720"/>
        <w:rPr>
          <w:rFonts w:eastAsia="Times New Roman" w:cs="Times New Roman"/>
          <w:szCs w:val="24"/>
          <w:lang w:bidi="ar-SA"/>
        </w:rPr>
      </w:pPr>
      <w:proofErr w:type="spellStart"/>
      <w:r w:rsidRPr="008619C8">
        <w:rPr>
          <w:szCs w:val="24"/>
        </w:rPr>
        <w:lastRenderedPageBreak/>
        <w:t>Orsten</w:t>
      </w:r>
      <w:proofErr w:type="spellEnd"/>
      <w:r w:rsidRPr="008619C8">
        <w:rPr>
          <w:szCs w:val="24"/>
        </w:rPr>
        <w:t>,</w:t>
      </w:r>
      <w:r w:rsidR="00150DC8">
        <w:rPr>
          <w:szCs w:val="24"/>
        </w:rPr>
        <w:t xml:space="preserve"> Elizabeth M., ‘</w:t>
      </w:r>
      <w:r w:rsidRPr="008619C8">
        <w:rPr>
          <w:szCs w:val="24"/>
        </w:rPr>
        <w:t>The Ambiguitie</w:t>
      </w:r>
      <w:r w:rsidR="00150DC8">
        <w:rPr>
          <w:szCs w:val="24"/>
        </w:rPr>
        <w:t>s in Langland’s Rat Parliament’,</w:t>
      </w:r>
      <w:r w:rsidRPr="008619C8">
        <w:rPr>
          <w:szCs w:val="24"/>
        </w:rPr>
        <w:t xml:space="preserve"> </w:t>
      </w:r>
      <w:r w:rsidRPr="008619C8">
        <w:rPr>
          <w:i/>
          <w:szCs w:val="24"/>
        </w:rPr>
        <w:t>Mediaeval Studies</w:t>
      </w:r>
      <w:r w:rsidR="00150DC8">
        <w:rPr>
          <w:szCs w:val="24"/>
        </w:rPr>
        <w:t>,</w:t>
      </w:r>
      <w:r w:rsidRPr="008619C8">
        <w:rPr>
          <w:szCs w:val="24"/>
        </w:rPr>
        <w:t xml:space="preserve"> 23 (1961), 216-39</w:t>
      </w:r>
    </w:p>
    <w:p w14:paraId="05FFF8F0" w14:textId="77777777" w:rsidR="00975142" w:rsidRPr="008619C8" w:rsidRDefault="00975142" w:rsidP="00BA748E">
      <w:pPr>
        <w:ind w:left="720" w:hanging="720"/>
        <w:rPr>
          <w:rFonts w:eastAsia="Times New Roman" w:cs="Times New Roman"/>
          <w:szCs w:val="24"/>
          <w:lang w:bidi="ar-SA"/>
        </w:rPr>
      </w:pPr>
      <w:proofErr w:type="spellStart"/>
      <w:r w:rsidRPr="008619C8">
        <w:rPr>
          <w:szCs w:val="24"/>
        </w:rPr>
        <w:t>Owst</w:t>
      </w:r>
      <w:proofErr w:type="spellEnd"/>
      <w:r w:rsidRPr="008619C8">
        <w:rPr>
          <w:szCs w:val="24"/>
        </w:rPr>
        <w:t xml:space="preserve">, </w:t>
      </w:r>
      <w:r w:rsidR="00150DC8">
        <w:rPr>
          <w:szCs w:val="24"/>
        </w:rPr>
        <w:t>G.R., ‘The “Angel” and the “</w:t>
      </w:r>
      <w:proofErr w:type="spellStart"/>
      <w:r w:rsidR="00150DC8">
        <w:rPr>
          <w:szCs w:val="24"/>
        </w:rPr>
        <w:t>Goliardeys</w:t>
      </w:r>
      <w:proofErr w:type="spellEnd"/>
      <w:r w:rsidR="00150DC8">
        <w:rPr>
          <w:szCs w:val="24"/>
        </w:rPr>
        <w:t>”</w:t>
      </w:r>
      <w:r w:rsidRPr="008619C8">
        <w:rPr>
          <w:szCs w:val="24"/>
        </w:rPr>
        <w:t xml:space="preserve"> of Langland’s Prologue</w:t>
      </w:r>
      <w:r w:rsidR="00150DC8">
        <w:rPr>
          <w:szCs w:val="24"/>
        </w:rPr>
        <w:t>,’</w:t>
      </w:r>
      <w:r w:rsidRPr="008619C8">
        <w:rPr>
          <w:szCs w:val="24"/>
        </w:rPr>
        <w:t xml:space="preserve"> </w:t>
      </w:r>
      <w:r w:rsidRPr="008619C8">
        <w:rPr>
          <w:i/>
          <w:szCs w:val="24"/>
        </w:rPr>
        <w:t>Modern Language Review</w:t>
      </w:r>
      <w:r w:rsidR="00150DC8">
        <w:rPr>
          <w:szCs w:val="24"/>
        </w:rPr>
        <w:t>,</w:t>
      </w:r>
      <w:r w:rsidRPr="008619C8">
        <w:rPr>
          <w:szCs w:val="24"/>
        </w:rPr>
        <w:t xml:space="preserve"> 20.3 (1925), 270-79</w:t>
      </w:r>
    </w:p>
    <w:p w14:paraId="47FDD445" w14:textId="77777777" w:rsidR="00975142" w:rsidRPr="008619C8" w:rsidRDefault="00975142" w:rsidP="00BA748E">
      <w:pPr>
        <w:ind w:left="720" w:hanging="720"/>
        <w:rPr>
          <w:szCs w:val="24"/>
        </w:rPr>
      </w:pPr>
      <w:r w:rsidRPr="008619C8">
        <w:rPr>
          <w:szCs w:val="24"/>
        </w:rPr>
        <w:t>Selzer,</w:t>
      </w:r>
      <w:r w:rsidR="00150DC8">
        <w:rPr>
          <w:szCs w:val="24"/>
        </w:rPr>
        <w:t xml:space="preserve"> John L., ‘</w:t>
      </w:r>
      <w:r w:rsidRPr="008619C8">
        <w:rPr>
          <w:szCs w:val="24"/>
        </w:rPr>
        <w:t xml:space="preserve">Topical Allegory in </w:t>
      </w:r>
      <w:r w:rsidRPr="00150DC8">
        <w:rPr>
          <w:i/>
          <w:szCs w:val="24"/>
        </w:rPr>
        <w:t>Piers Plowman</w:t>
      </w:r>
      <w:r w:rsidRPr="008619C8">
        <w:rPr>
          <w:szCs w:val="24"/>
        </w:rPr>
        <w:t xml:space="preserve">: Lady </w:t>
      </w:r>
      <w:proofErr w:type="spellStart"/>
      <w:r w:rsidRPr="008619C8">
        <w:rPr>
          <w:szCs w:val="24"/>
        </w:rPr>
        <w:t>Meed’s</w:t>
      </w:r>
      <w:proofErr w:type="spellEnd"/>
      <w:r w:rsidRPr="008619C8">
        <w:rPr>
          <w:szCs w:val="24"/>
        </w:rPr>
        <w:t xml:space="preserve"> B-Text Debate with Conscience</w:t>
      </w:r>
      <w:r w:rsidR="00150DC8">
        <w:rPr>
          <w:szCs w:val="24"/>
        </w:rPr>
        <w:t>’,</w:t>
      </w:r>
      <w:r w:rsidRPr="008619C8">
        <w:rPr>
          <w:szCs w:val="24"/>
        </w:rPr>
        <w:t xml:space="preserve"> </w:t>
      </w:r>
      <w:r w:rsidRPr="008619C8">
        <w:rPr>
          <w:i/>
          <w:szCs w:val="24"/>
        </w:rPr>
        <w:t>Philological Quarterly</w:t>
      </w:r>
      <w:r w:rsidR="00150DC8">
        <w:rPr>
          <w:szCs w:val="24"/>
        </w:rPr>
        <w:t>,</w:t>
      </w:r>
      <w:r w:rsidRPr="008619C8">
        <w:rPr>
          <w:szCs w:val="24"/>
        </w:rPr>
        <w:t xml:space="preserve"> 59.3 (1980), 257-67</w:t>
      </w:r>
    </w:p>
    <w:p w14:paraId="6FC54709" w14:textId="77777777" w:rsidR="00975142" w:rsidRPr="008619C8" w:rsidRDefault="00975142" w:rsidP="00BA748E">
      <w:pPr>
        <w:ind w:left="720" w:hanging="720"/>
        <w:rPr>
          <w:szCs w:val="24"/>
        </w:rPr>
      </w:pPr>
      <w:r w:rsidRPr="008619C8">
        <w:rPr>
          <w:szCs w:val="24"/>
        </w:rPr>
        <w:t xml:space="preserve">Steiner, </w:t>
      </w:r>
      <w:r w:rsidR="00150DC8">
        <w:rPr>
          <w:szCs w:val="24"/>
        </w:rPr>
        <w:t xml:space="preserve">Emily, </w:t>
      </w:r>
      <w:r w:rsidRPr="008619C8">
        <w:rPr>
          <w:i/>
          <w:szCs w:val="24"/>
        </w:rPr>
        <w:t>Reading Piers Plowman</w:t>
      </w:r>
      <w:r w:rsidRPr="008619C8">
        <w:rPr>
          <w:szCs w:val="24"/>
        </w:rPr>
        <w:t xml:space="preserve"> (Cambridge: Ca</w:t>
      </w:r>
      <w:r w:rsidR="00150DC8">
        <w:rPr>
          <w:szCs w:val="24"/>
        </w:rPr>
        <w:t>mbridge University Press, 2013)</w:t>
      </w:r>
    </w:p>
    <w:p w14:paraId="7E431AA7" w14:textId="77777777" w:rsidR="00975142" w:rsidRPr="008619C8" w:rsidRDefault="00F769C1" w:rsidP="00BA748E">
      <w:pPr>
        <w:ind w:left="720" w:hanging="720"/>
        <w:rPr>
          <w:szCs w:val="24"/>
        </w:rPr>
      </w:pPr>
      <w:r w:rsidRPr="008619C8">
        <w:rPr>
          <w:szCs w:val="24"/>
        </w:rPr>
        <w:t>Sumption</w:t>
      </w:r>
      <w:r w:rsidR="00975142" w:rsidRPr="008619C8">
        <w:rPr>
          <w:szCs w:val="24"/>
        </w:rPr>
        <w:t xml:space="preserve">, </w:t>
      </w:r>
      <w:r w:rsidR="00150DC8">
        <w:rPr>
          <w:szCs w:val="24"/>
        </w:rPr>
        <w:t xml:space="preserve">Jonathan, </w:t>
      </w:r>
      <w:r w:rsidRPr="008619C8">
        <w:rPr>
          <w:i/>
          <w:szCs w:val="24"/>
        </w:rPr>
        <w:t>The Hundred Years War</w:t>
      </w:r>
      <w:r w:rsidR="00BF2795">
        <w:rPr>
          <w:szCs w:val="24"/>
        </w:rPr>
        <w:t>, 4 vols</w:t>
      </w:r>
      <w:r w:rsidRPr="008619C8">
        <w:rPr>
          <w:szCs w:val="24"/>
        </w:rPr>
        <w:t xml:space="preserve"> (Philadelphia: Universi</w:t>
      </w:r>
      <w:r w:rsidR="00150DC8">
        <w:rPr>
          <w:szCs w:val="24"/>
        </w:rPr>
        <w:t>ty of Pennsylvania Press, 2009-2015)</w:t>
      </w:r>
    </w:p>
    <w:p w14:paraId="6F627891" w14:textId="77777777" w:rsidR="00975142" w:rsidRDefault="00975142" w:rsidP="00BA748E">
      <w:pPr>
        <w:ind w:left="720" w:hanging="720"/>
        <w:rPr>
          <w:szCs w:val="24"/>
        </w:rPr>
      </w:pPr>
      <w:r w:rsidRPr="008619C8">
        <w:rPr>
          <w:szCs w:val="24"/>
        </w:rPr>
        <w:t xml:space="preserve">Wallace, </w:t>
      </w:r>
      <w:r w:rsidR="00150DC8">
        <w:rPr>
          <w:szCs w:val="24"/>
        </w:rPr>
        <w:t>David, ‘</w:t>
      </w:r>
      <w:r w:rsidRPr="008619C8">
        <w:rPr>
          <w:szCs w:val="24"/>
        </w:rPr>
        <w:t>Chaucer and Deschamps, Tr</w:t>
      </w:r>
      <w:r w:rsidR="00150DC8">
        <w:rPr>
          <w:szCs w:val="24"/>
        </w:rPr>
        <w:t>anslation and the Hundred Years’</w:t>
      </w:r>
      <w:r w:rsidRPr="008619C8">
        <w:rPr>
          <w:szCs w:val="24"/>
        </w:rPr>
        <w:t xml:space="preserve"> War</w:t>
      </w:r>
      <w:r w:rsidR="00150DC8">
        <w:rPr>
          <w:szCs w:val="24"/>
        </w:rPr>
        <w:t>’, in</w:t>
      </w:r>
      <w:r w:rsidRPr="008619C8">
        <w:rPr>
          <w:szCs w:val="24"/>
        </w:rPr>
        <w:t xml:space="preserve"> </w:t>
      </w:r>
      <w:r w:rsidRPr="008619C8">
        <w:rPr>
          <w:i/>
          <w:szCs w:val="24"/>
        </w:rPr>
        <w:t>The Medieval Translator/</w:t>
      </w:r>
      <w:proofErr w:type="spellStart"/>
      <w:r w:rsidRPr="008619C8">
        <w:rPr>
          <w:i/>
          <w:szCs w:val="24"/>
        </w:rPr>
        <w:t>Traduire</w:t>
      </w:r>
      <w:proofErr w:type="spellEnd"/>
      <w:r w:rsidRPr="008619C8">
        <w:rPr>
          <w:i/>
          <w:szCs w:val="24"/>
        </w:rPr>
        <w:t xml:space="preserve"> au </w:t>
      </w:r>
      <w:proofErr w:type="spellStart"/>
      <w:r w:rsidRPr="008619C8">
        <w:rPr>
          <w:i/>
          <w:szCs w:val="24"/>
        </w:rPr>
        <w:t>Moyen</w:t>
      </w:r>
      <w:proofErr w:type="spellEnd"/>
      <w:r w:rsidRPr="008619C8">
        <w:rPr>
          <w:i/>
          <w:szCs w:val="24"/>
        </w:rPr>
        <w:t xml:space="preserve"> Age 8: The Theory and Practice of Translation in the Middle Ages</w:t>
      </w:r>
      <w:r w:rsidR="00BA748E">
        <w:rPr>
          <w:szCs w:val="24"/>
        </w:rPr>
        <w:t xml:space="preserve">, ed. Rosalynn </w:t>
      </w:r>
      <w:proofErr w:type="spellStart"/>
      <w:r w:rsidR="00BA748E">
        <w:rPr>
          <w:szCs w:val="24"/>
        </w:rPr>
        <w:t>Voaden</w:t>
      </w:r>
      <w:proofErr w:type="spellEnd"/>
      <w:r w:rsidR="00BA748E">
        <w:rPr>
          <w:szCs w:val="24"/>
        </w:rPr>
        <w:t xml:space="preserve"> and others</w:t>
      </w:r>
      <w:r w:rsidRPr="008619C8">
        <w:rPr>
          <w:szCs w:val="24"/>
        </w:rPr>
        <w:t xml:space="preserve"> (</w:t>
      </w:r>
      <w:r w:rsidR="00BA748E">
        <w:rPr>
          <w:szCs w:val="24"/>
        </w:rPr>
        <w:t xml:space="preserve">Turnhout: </w:t>
      </w:r>
      <w:proofErr w:type="spellStart"/>
      <w:r w:rsidR="00BA748E">
        <w:rPr>
          <w:szCs w:val="24"/>
        </w:rPr>
        <w:t>Brepols</w:t>
      </w:r>
      <w:proofErr w:type="spellEnd"/>
      <w:r w:rsidR="00BA748E">
        <w:rPr>
          <w:szCs w:val="24"/>
        </w:rPr>
        <w:t>,</w:t>
      </w:r>
      <w:r w:rsidRPr="008619C8">
        <w:rPr>
          <w:szCs w:val="24"/>
        </w:rPr>
        <w:t xml:space="preserve"> 2003),</w:t>
      </w:r>
      <w:r w:rsidR="00BA748E">
        <w:rPr>
          <w:szCs w:val="24"/>
        </w:rPr>
        <w:t xml:space="preserve"> pp. 179-88</w:t>
      </w:r>
      <w:r w:rsidRPr="008619C8">
        <w:rPr>
          <w:szCs w:val="24"/>
        </w:rPr>
        <w:t xml:space="preserve"> </w:t>
      </w:r>
    </w:p>
    <w:p w14:paraId="2FB85547" w14:textId="77777777" w:rsidR="00975142" w:rsidRDefault="00BA748E" w:rsidP="00BA748E">
      <w:pPr>
        <w:ind w:left="720" w:hanging="720"/>
        <w:rPr>
          <w:szCs w:val="24"/>
        </w:rPr>
      </w:pPr>
      <w:r>
        <w:rPr>
          <w:szCs w:val="24"/>
        </w:rPr>
        <w:t>---, ‘</w:t>
      </w:r>
      <w:r w:rsidR="00975142" w:rsidRPr="008619C8">
        <w:rPr>
          <w:szCs w:val="24"/>
        </w:rPr>
        <w:t>Chaucer, Langland, and the Hundred Years War</w:t>
      </w:r>
      <w:r>
        <w:rPr>
          <w:szCs w:val="24"/>
        </w:rPr>
        <w:t>’,</w:t>
      </w:r>
      <w:r w:rsidR="00975142" w:rsidRPr="008619C8">
        <w:rPr>
          <w:szCs w:val="24"/>
        </w:rPr>
        <w:t xml:space="preserve"> in </w:t>
      </w:r>
      <w:r w:rsidR="00975142" w:rsidRPr="008619C8">
        <w:rPr>
          <w:i/>
          <w:szCs w:val="24"/>
        </w:rPr>
        <w:t>The Medieval Python: The Purposive and Provocative Work of Terry Jones</w:t>
      </w:r>
      <w:r w:rsidR="00975142" w:rsidRPr="008619C8">
        <w:rPr>
          <w:szCs w:val="24"/>
        </w:rPr>
        <w:t xml:space="preserve">, ed. </w:t>
      </w:r>
      <w:r>
        <w:rPr>
          <w:szCs w:val="24"/>
        </w:rPr>
        <w:t xml:space="preserve">by </w:t>
      </w:r>
      <w:r w:rsidR="00975142" w:rsidRPr="008619C8">
        <w:rPr>
          <w:szCs w:val="24"/>
        </w:rPr>
        <w:t xml:space="preserve">R.F. Yeager and Toshiyuki </w:t>
      </w:r>
      <w:proofErr w:type="spellStart"/>
      <w:r w:rsidR="00975142" w:rsidRPr="008619C8">
        <w:rPr>
          <w:szCs w:val="24"/>
        </w:rPr>
        <w:t>Takamiya</w:t>
      </w:r>
      <w:proofErr w:type="spellEnd"/>
      <w:r w:rsidR="00975142" w:rsidRPr="008619C8">
        <w:rPr>
          <w:szCs w:val="24"/>
        </w:rPr>
        <w:t xml:space="preserve"> (</w:t>
      </w:r>
      <w:r>
        <w:rPr>
          <w:szCs w:val="24"/>
        </w:rPr>
        <w:t xml:space="preserve">London: </w:t>
      </w:r>
      <w:r w:rsidR="00975142" w:rsidRPr="00BA748E">
        <w:rPr>
          <w:szCs w:val="24"/>
        </w:rPr>
        <w:t xml:space="preserve">Palgrave MacMillan, 2012), </w:t>
      </w:r>
      <w:r>
        <w:rPr>
          <w:szCs w:val="24"/>
        </w:rPr>
        <w:t xml:space="preserve">pp. </w:t>
      </w:r>
      <w:r w:rsidR="00975142" w:rsidRPr="00BA748E">
        <w:rPr>
          <w:szCs w:val="24"/>
        </w:rPr>
        <w:t>195-206</w:t>
      </w:r>
    </w:p>
    <w:p w14:paraId="4DAC4F59" w14:textId="77777777" w:rsidR="00BA748E" w:rsidRPr="00BA748E" w:rsidRDefault="00BA748E" w:rsidP="00BA748E">
      <w:pPr>
        <w:ind w:left="720" w:hanging="720"/>
        <w:rPr>
          <w:rFonts w:eastAsia="Times New Roman" w:cs="Times New Roman"/>
          <w:szCs w:val="24"/>
          <w:lang w:bidi="ar-SA"/>
        </w:rPr>
      </w:pPr>
      <w:proofErr w:type="spellStart"/>
      <w:r>
        <w:rPr>
          <w:szCs w:val="24"/>
        </w:rPr>
        <w:t>Wimsatt</w:t>
      </w:r>
      <w:proofErr w:type="spellEnd"/>
      <w:r>
        <w:rPr>
          <w:szCs w:val="24"/>
        </w:rPr>
        <w:t xml:space="preserve">, James, </w:t>
      </w:r>
      <w:r w:rsidRPr="00BA748E">
        <w:rPr>
          <w:rFonts w:eastAsia="Times New Roman" w:cs="Times New Roman"/>
          <w:i/>
          <w:szCs w:val="24"/>
          <w:lang w:bidi="ar-SA"/>
        </w:rPr>
        <w:t xml:space="preserve">Chaucer and His French Contemporaries: Natural Music in the Fourteenth Century </w:t>
      </w:r>
      <w:r>
        <w:rPr>
          <w:rFonts w:eastAsia="Times New Roman" w:cs="Times New Roman"/>
          <w:szCs w:val="24"/>
          <w:lang w:bidi="ar-SA"/>
        </w:rPr>
        <w:t>(Toronto: University of Toronto Press, 1991)</w:t>
      </w:r>
    </w:p>
    <w:p w14:paraId="666CD8E7" w14:textId="77777777" w:rsidR="008619C8" w:rsidRDefault="008619C8" w:rsidP="00BA748E">
      <w:pPr>
        <w:ind w:left="720" w:hanging="720"/>
      </w:pPr>
      <w:r>
        <w:t>Yeager</w:t>
      </w:r>
      <w:r w:rsidR="00BA748E">
        <w:rPr>
          <w:rFonts w:eastAsia="Calibri" w:cs="Times New Roman"/>
        </w:rPr>
        <w:t>, R.F., ‘</w:t>
      </w:r>
      <w:r w:rsidRPr="00076220">
        <w:rPr>
          <w:rFonts w:eastAsia="Calibri" w:cs="Times New Roman"/>
        </w:rPr>
        <w:t>John Gower’s Audience: The Ballades</w:t>
      </w:r>
      <w:r w:rsidR="00BA748E">
        <w:rPr>
          <w:rFonts w:eastAsia="Calibri" w:cs="Times New Roman"/>
        </w:rPr>
        <w:t>’,</w:t>
      </w:r>
      <w:r w:rsidRPr="00076220">
        <w:rPr>
          <w:rFonts w:eastAsia="Calibri" w:cs="Times New Roman"/>
        </w:rPr>
        <w:t xml:space="preserve"> </w:t>
      </w:r>
      <w:r w:rsidRPr="00076220">
        <w:rPr>
          <w:rFonts w:eastAsia="Calibri" w:cs="Times New Roman"/>
          <w:i/>
        </w:rPr>
        <w:t>Chaucer Review</w:t>
      </w:r>
      <w:r w:rsidR="00BA748E">
        <w:rPr>
          <w:rFonts w:eastAsia="Calibri" w:cs="Times New Roman"/>
        </w:rPr>
        <w:t>, 40.1 (2005),</w:t>
      </w:r>
      <w:r w:rsidRPr="00076220">
        <w:rPr>
          <w:rFonts w:eastAsia="Calibri" w:cs="Times New Roman"/>
        </w:rPr>
        <w:t xml:space="preserve"> 81-1</w:t>
      </w:r>
      <w:r w:rsidR="00BA748E">
        <w:rPr>
          <w:rFonts w:eastAsia="Calibri" w:cs="Times New Roman"/>
        </w:rPr>
        <w:t>05</w:t>
      </w:r>
    </w:p>
    <w:p w14:paraId="78CA125F" w14:textId="77777777" w:rsidR="008619C8" w:rsidRDefault="00BA748E" w:rsidP="00BA748E">
      <w:pPr>
        <w:ind w:left="720" w:hanging="720"/>
      </w:pPr>
      <w:r>
        <w:rPr>
          <w:rFonts w:eastAsia="Calibri" w:cs="Times New Roman"/>
        </w:rPr>
        <w:t>---, ‘</w:t>
      </w:r>
      <w:r w:rsidR="008619C8" w:rsidRPr="00076220">
        <w:rPr>
          <w:rFonts w:eastAsia="Calibri" w:cs="Times New Roman"/>
        </w:rPr>
        <w:t>John Gower’s French and His Readers</w:t>
      </w:r>
      <w:r>
        <w:rPr>
          <w:rFonts w:eastAsia="Calibri" w:cs="Times New Roman"/>
        </w:rPr>
        <w:t xml:space="preserve">,’ in </w:t>
      </w:r>
      <w:r w:rsidR="008619C8" w:rsidRPr="00076220">
        <w:rPr>
          <w:rFonts w:eastAsia="Calibri" w:cs="Times New Roman"/>
          <w:i/>
        </w:rPr>
        <w:t>John Gower, Trilingual Poet: Language, Translation, and Tradition</w:t>
      </w:r>
      <w:r>
        <w:rPr>
          <w:rFonts w:eastAsia="Calibri" w:cs="Times New Roman"/>
        </w:rPr>
        <w:t>, e</w:t>
      </w:r>
      <w:r w:rsidR="008619C8" w:rsidRPr="00076220">
        <w:rPr>
          <w:rFonts w:eastAsia="Calibri" w:cs="Times New Roman"/>
        </w:rPr>
        <w:t>d.</w:t>
      </w:r>
      <w:r>
        <w:rPr>
          <w:rFonts w:eastAsia="Calibri" w:cs="Times New Roman"/>
        </w:rPr>
        <w:t xml:space="preserve"> by</w:t>
      </w:r>
      <w:r w:rsidR="008619C8" w:rsidRPr="00076220">
        <w:rPr>
          <w:rFonts w:eastAsia="Calibri" w:cs="Times New Roman"/>
        </w:rPr>
        <w:t xml:space="preserve"> Elisabeth Dutt</w:t>
      </w:r>
      <w:r>
        <w:rPr>
          <w:rFonts w:eastAsia="Calibri" w:cs="Times New Roman"/>
        </w:rPr>
        <w:t>on, John Hines, and R.F. Yeager</w:t>
      </w:r>
      <w:r w:rsidR="008619C8" w:rsidRPr="00076220">
        <w:rPr>
          <w:rFonts w:eastAsia="Calibri" w:cs="Times New Roman"/>
        </w:rPr>
        <w:t xml:space="preserve"> </w:t>
      </w:r>
      <w:r>
        <w:rPr>
          <w:rFonts w:eastAsia="Calibri" w:cs="Times New Roman"/>
        </w:rPr>
        <w:t>(Cambridge: D.S. Brewer, 2010), pp. 304-14</w:t>
      </w:r>
    </w:p>
    <w:p w14:paraId="7B2FBB66" w14:textId="77777777" w:rsidR="008619C8" w:rsidRPr="00076220" w:rsidRDefault="00BA748E" w:rsidP="00BA748E">
      <w:pPr>
        <w:ind w:left="720" w:hanging="720"/>
        <w:rPr>
          <w:rFonts w:eastAsia="Calibri" w:cs="Times New Roman"/>
        </w:rPr>
      </w:pPr>
      <w:r>
        <w:rPr>
          <w:rFonts w:eastAsia="Calibri" w:cs="Times New Roman"/>
        </w:rPr>
        <w:t>---. ‘</w:t>
      </w:r>
      <w:r w:rsidR="008619C8" w:rsidRPr="00076220">
        <w:rPr>
          <w:rFonts w:eastAsia="Calibri" w:cs="Times New Roman"/>
        </w:rPr>
        <w:t>Politics and the French Language in England</w:t>
      </w:r>
      <w:r>
        <w:rPr>
          <w:rFonts w:eastAsia="Calibri" w:cs="Times New Roman"/>
        </w:rPr>
        <w:t xml:space="preserve"> d</w:t>
      </w:r>
      <w:r w:rsidR="008619C8" w:rsidRPr="00076220">
        <w:rPr>
          <w:rFonts w:eastAsia="Calibri" w:cs="Times New Roman"/>
        </w:rPr>
        <w:t>uring the Hundred Ye</w:t>
      </w:r>
      <w:r>
        <w:rPr>
          <w:rFonts w:eastAsia="Calibri" w:cs="Times New Roman"/>
        </w:rPr>
        <w:t>ars War: The Case of John Gower’, in</w:t>
      </w:r>
      <w:r w:rsidR="008619C8" w:rsidRPr="00076220">
        <w:rPr>
          <w:rFonts w:eastAsia="Calibri" w:cs="Times New Roman"/>
        </w:rPr>
        <w:t xml:space="preserve"> </w:t>
      </w:r>
      <w:r w:rsidR="008619C8" w:rsidRPr="00076220">
        <w:rPr>
          <w:rFonts w:eastAsia="Calibri" w:cs="Times New Roman"/>
          <w:i/>
        </w:rPr>
        <w:t>Inscribing</w:t>
      </w:r>
      <w:r>
        <w:rPr>
          <w:rFonts w:eastAsia="Calibri" w:cs="Times New Roman"/>
        </w:rPr>
        <w:t>, ed. Baker,</w:t>
      </w:r>
      <w:r w:rsidR="008619C8" w:rsidRPr="00076220">
        <w:rPr>
          <w:rFonts w:eastAsia="Calibri" w:cs="Times New Roman"/>
        </w:rPr>
        <w:t xml:space="preserve"> </w:t>
      </w:r>
      <w:r>
        <w:rPr>
          <w:rFonts w:eastAsia="Calibri" w:cs="Times New Roman"/>
        </w:rPr>
        <w:t>pp. 127-57</w:t>
      </w:r>
    </w:p>
    <w:p w14:paraId="71351FAE" w14:textId="77777777" w:rsidR="008619C8" w:rsidRPr="00076220" w:rsidRDefault="008619C8" w:rsidP="008619C8">
      <w:pPr>
        <w:ind w:left="720" w:hanging="720"/>
        <w:rPr>
          <w:rFonts w:eastAsia="Times New Roman" w:cs="Times New Roman"/>
        </w:rPr>
      </w:pPr>
    </w:p>
    <w:p w14:paraId="1E0D3825" w14:textId="77777777" w:rsidR="008619C8" w:rsidRPr="008619C8" w:rsidRDefault="008619C8" w:rsidP="00975142">
      <w:pPr>
        <w:rPr>
          <w:szCs w:val="24"/>
        </w:rPr>
      </w:pPr>
    </w:p>
    <w:p w14:paraId="7C2FA680" w14:textId="77777777" w:rsidR="00975142" w:rsidRPr="008619C8" w:rsidRDefault="00975142">
      <w:pPr>
        <w:rPr>
          <w:szCs w:val="24"/>
        </w:rPr>
      </w:pPr>
    </w:p>
    <w:sectPr w:rsidR="00975142" w:rsidRPr="008619C8" w:rsidSect="00932215">
      <w:head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8410" w14:textId="77777777" w:rsidR="00023E7D" w:rsidRDefault="00023E7D" w:rsidP="00E82933">
      <w:r>
        <w:separator/>
      </w:r>
    </w:p>
  </w:endnote>
  <w:endnote w:type="continuationSeparator" w:id="0">
    <w:p w14:paraId="5DA62C79" w14:textId="77777777" w:rsidR="00023E7D" w:rsidRDefault="00023E7D" w:rsidP="00E8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93CB" w14:textId="77777777" w:rsidR="00023E7D" w:rsidRDefault="00023E7D" w:rsidP="00E82933">
      <w:r>
        <w:separator/>
      </w:r>
    </w:p>
  </w:footnote>
  <w:footnote w:type="continuationSeparator" w:id="0">
    <w:p w14:paraId="4302E216" w14:textId="77777777" w:rsidR="00023E7D" w:rsidRDefault="00023E7D" w:rsidP="00E82933">
      <w:r>
        <w:continuationSeparator/>
      </w:r>
    </w:p>
  </w:footnote>
  <w:footnote w:id="1">
    <w:p w14:paraId="797534F0" w14:textId="77777777" w:rsidR="006F7E0D" w:rsidRPr="00962EF3" w:rsidRDefault="006F7E0D">
      <w:pPr>
        <w:pStyle w:val="FootnoteText"/>
      </w:pPr>
      <w:r>
        <w:rPr>
          <w:rStyle w:val="FootnoteReference"/>
        </w:rPr>
        <w:footnoteRef/>
      </w:r>
      <w:r>
        <w:t xml:space="preserve"> See Baker, ‘</w:t>
      </w:r>
      <w:proofErr w:type="spellStart"/>
      <w:r>
        <w:t>Meed</w:t>
      </w:r>
      <w:proofErr w:type="spellEnd"/>
      <w:r>
        <w:t xml:space="preserve">’ and Bennett, ‘Date of A-Text’; cf. </w:t>
      </w:r>
      <w:r w:rsidRPr="00F769C1">
        <w:t>Sumption,</w:t>
      </w:r>
      <w:r>
        <w:t xml:space="preserve"> </w:t>
      </w:r>
      <w:r w:rsidRPr="00C21856">
        <w:rPr>
          <w:i/>
        </w:rPr>
        <w:t>Hundred</w:t>
      </w:r>
      <w:r>
        <w:t>,</w:t>
      </w:r>
      <w:r w:rsidRPr="00F769C1">
        <w:t xml:space="preserve"> </w:t>
      </w:r>
      <w:r>
        <w:t>2, 443,</w:t>
      </w:r>
      <w:r w:rsidRPr="001C6855">
        <w:t xml:space="preserve"> n. 73</w:t>
      </w:r>
      <w:r>
        <w:t xml:space="preserve">. All quotations of the B-text from </w:t>
      </w:r>
      <w:r>
        <w:rPr>
          <w:i/>
        </w:rPr>
        <w:t xml:space="preserve">The Vision of Piers Plowman, </w:t>
      </w:r>
      <w:r>
        <w:t xml:space="preserve">ed. Schmidt. See, however, Selzer who advances the argument that Conscience is </w:t>
      </w:r>
      <w:r w:rsidRPr="00FB7F2F">
        <w:t>Edmund Mortimer, Earl of March, who was Marshal of the English armies in France from 1369-1376 and who headed an unsuccessful campaign in Normandy</w:t>
      </w:r>
      <w:r>
        <w:t xml:space="preserve"> in</w:t>
      </w:r>
      <w:r w:rsidRPr="00FB7F2F">
        <w:t xml:space="preserve"> 1374-75</w:t>
      </w:r>
      <w:r>
        <w:t xml:space="preserve">; such an interpretation accords with </w:t>
      </w:r>
      <w:proofErr w:type="spellStart"/>
      <w:r>
        <w:t>Meed’s</w:t>
      </w:r>
      <w:proofErr w:type="spellEnd"/>
      <w:r>
        <w:t xml:space="preserve"> claim that she would make a better ‘</w:t>
      </w:r>
      <w:proofErr w:type="spellStart"/>
      <w:r>
        <w:t>marchal</w:t>
      </w:r>
      <w:proofErr w:type="spellEnd"/>
      <w:r>
        <w:t>’ and the fact that she locates the ‘</w:t>
      </w:r>
      <w:proofErr w:type="spellStart"/>
      <w:r>
        <w:t>cabane</w:t>
      </w:r>
      <w:proofErr w:type="spellEnd"/>
      <w:r>
        <w:t xml:space="preserve">’, in which Conscience hides for cold, ‘in Normandie’ (B.3. 189-91); the treaty in question is thus the Treaty of Bruges in 1375: ‘Topical’, pp. 262-64 and n. 24. See also Andrew Galloway’s contribution to this essay cluster. </w:t>
      </w:r>
    </w:p>
  </w:footnote>
  <w:footnote w:id="2">
    <w:p w14:paraId="207CE103" w14:textId="77777777" w:rsidR="006F7E0D" w:rsidRDefault="006F7E0D">
      <w:pPr>
        <w:pStyle w:val="FootnoteText"/>
      </w:pPr>
      <w:r>
        <w:rPr>
          <w:rStyle w:val="FootnoteReference"/>
        </w:rPr>
        <w:footnoteRef/>
      </w:r>
      <w:r>
        <w:t xml:space="preserve"> All quotations of the C-text from </w:t>
      </w:r>
      <w:r>
        <w:rPr>
          <w:i/>
        </w:rPr>
        <w:t xml:space="preserve">Piers Plowman, </w:t>
      </w:r>
      <w:r>
        <w:t xml:space="preserve">ed. Pearsall. See Bennett, ‘Date of A-Text’ and Galloway, </w:t>
      </w:r>
      <w:r w:rsidRPr="00416537">
        <w:rPr>
          <w:i/>
        </w:rPr>
        <w:t>Penn</w:t>
      </w:r>
      <w:r>
        <w:t xml:space="preserve">, </w:t>
      </w:r>
      <w:r w:rsidRPr="00E76245">
        <w:t>pp. 318-24.</w:t>
      </w:r>
      <w:r>
        <w:t xml:space="preserve">   </w:t>
      </w:r>
    </w:p>
  </w:footnote>
  <w:footnote w:id="3">
    <w:p w14:paraId="71D0F373" w14:textId="77777777" w:rsidR="006F7E0D" w:rsidRDefault="006F7E0D">
      <w:pPr>
        <w:pStyle w:val="FootnoteText"/>
      </w:pPr>
      <w:r>
        <w:rPr>
          <w:rStyle w:val="FootnoteReference"/>
        </w:rPr>
        <w:footnoteRef/>
      </w:r>
      <w:r>
        <w:t xml:space="preserve"> Baker, ‘</w:t>
      </w:r>
      <w:proofErr w:type="spellStart"/>
      <w:r>
        <w:t>Meed</w:t>
      </w:r>
      <w:proofErr w:type="spellEnd"/>
      <w:r>
        <w:t>’, pp. 57-60.</w:t>
      </w:r>
    </w:p>
  </w:footnote>
  <w:footnote w:id="4">
    <w:p w14:paraId="781867ED" w14:textId="77777777" w:rsidR="006F7E0D" w:rsidRPr="00A314B1" w:rsidRDefault="006F7E0D">
      <w:pPr>
        <w:pStyle w:val="FootnoteText"/>
      </w:pPr>
      <w:r>
        <w:rPr>
          <w:rStyle w:val="FootnoteReference"/>
        </w:rPr>
        <w:footnoteRef/>
      </w:r>
      <w:r>
        <w:t xml:space="preserve"> Baker, ‘</w:t>
      </w:r>
      <w:proofErr w:type="spellStart"/>
      <w:r>
        <w:t>Meed</w:t>
      </w:r>
      <w:proofErr w:type="spellEnd"/>
      <w:r>
        <w:t xml:space="preserve">’, pp. 60ff. See also Wallace, ‘Chaucer, Langland’, and Steiner, </w:t>
      </w:r>
      <w:r w:rsidRPr="00F318CE">
        <w:rPr>
          <w:i/>
        </w:rPr>
        <w:t>Reading</w:t>
      </w:r>
      <w:r>
        <w:t xml:space="preserve">, pp. 47-51.  </w:t>
      </w:r>
    </w:p>
  </w:footnote>
  <w:footnote w:id="5">
    <w:p w14:paraId="5B57F7B1" w14:textId="77777777" w:rsidR="006F7E0D" w:rsidRPr="00130A11" w:rsidRDefault="006F7E0D" w:rsidP="00E82933">
      <w:pPr>
        <w:pStyle w:val="FootnoteText"/>
        <w:rPr>
          <w:b/>
        </w:rPr>
      </w:pPr>
      <w:r w:rsidRPr="00E02D6B">
        <w:rPr>
          <w:rStyle w:val="FootnoteReference"/>
        </w:rPr>
        <w:footnoteRef/>
      </w:r>
      <w:r w:rsidRPr="00E02D6B">
        <w:t xml:space="preserve"> Deschamps, </w:t>
      </w:r>
      <w:proofErr w:type="spellStart"/>
      <w:r>
        <w:rPr>
          <w:i/>
        </w:rPr>
        <w:t>Œuvres</w:t>
      </w:r>
      <w:proofErr w:type="spellEnd"/>
      <w:r>
        <w:rPr>
          <w:i/>
        </w:rPr>
        <w:t xml:space="preserve">, </w:t>
      </w:r>
      <w:r w:rsidRPr="00E76245">
        <w:t>2, 138-39 (no. 285).</w:t>
      </w:r>
      <w:r w:rsidRPr="00E02D6B">
        <w:t xml:space="preserve"> </w:t>
      </w:r>
      <w:r>
        <w:t xml:space="preserve">On this ballade, see, in particular, </w:t>
      </w:r>
      <w:proofErr w:type="spellStart"/>
      <w:r>
        <w:t>Kooijman</w:t>
      </w:r>
      <w:proofErr w:type="spellEnd"/>
      <w:r>
        <w:t xml:space="preserve">, ‘Envoi’, </w:t>
      </w:r>
      <w:r>
        <w:rPr>
          <w:rFonts w:eastAsia="Calibri" w:cs="Times New Roman"/>
        </w:rPr>
        <w:t xml:space="preserve">Calin, ‘Deschamps’ </w:t>
      </w:r>
      <w:r w:rsidRPr="00C81C77">
        <w:rPr>
          <w:rFonts w:eastAsia="Calibri" w:cs="Times New Roman"/>
        </w:rPr>
        <w:t>Ballade</w:t>
      </w:r>
      <w:r>
        <w:rPr>
          <w:rFonts w:eastAsia="Calibri" w:cs="Times New Roman"/>
        </w:rPr>
        <w:t xml:space="preserve">’, </w:t>
      </w:r>
      <w:r>
        <w:t xml:space="preserve">and Butterfield, </w:t>
      </w:r>
      <w:r>
        <w:rPr>
          <w:i/>
        </w:rPr>
        <w:t xml:space="preserve">Familiar, </w:t>
      </w:r>
      <w:r>
        <w:t xml:space="preserve">pp. 143-51. </w:t>
      </w:r>
    </w:p>
  </w:footnote>
  <w:footnote w:id="6">
    <w:p w14:paraId="58C6203C" w14:textId="77777777" w:rsidR="006F7E0D" w:rsidRPr="00E02D6B" w:rsidRDefault="006F7E0D" w:rsidP="00E82933">
      <w:pPr>
        <w:pStyle w:val="FootnoteText"/>
      </w:pPr>
      <w:r w:rsidRPr="00E02D6B">
        <w:rPr>
          <w:rStyle w:val="FootnoteReference"/>
        </w:rPr>
        <w:footnoteRef/>
      </w:r>
      <w:r w:rsidRPr="00E02D6B">
        <w:t xml:space="preserve"> </w:t>
      </w:r>
      <w:r>
        <w:t xml:space="preserve">Deschamps, </w:t>
      </w:r>
      <w:proofErr w:type="spellStart"/>
      <w:r w:rsidRPr="00E02D6B">
        <w:rPr>
          <w:i/>
        </w:rPr>
        <w:t>Œuvres</w:t>
      </w:r>
      <w:proofErr w:type="spellEnd"/>
      <w:r>
        <w:t xml:space="preserve">, </w:t>
      </w:r>
      <w:r w:rsidRPr="00E76245">
        <w:rPr>
          <w:szCs w:val="24"/>
        </w:rPr>
        <w:t>5, 48-49 (no. 868), 79-80 (no. 893).</w:t>
      </w:r>
      <w:r>
        <w:rPr>
          <w:b/>
          <w:szCs w:val="24"/>
        </w:rPr>
        <w:t xml:space="preserve"> </w:t>
      </w:r>
      <w:r w:rsidRPr="00E02D6B">
        <w:t>Cf. Wallace’s suggestion that the exag</w:t>
      </w:r>
      <w:r>
        <w:t>ger</w:t>
      </w:r>
      <w:r w:rsidRPr="00E02D6B">
        <w:t>ated Gallicization of the English in Deschamps’ poetry underscores his la</w:t>
      </w:r>
      <w:r>
        <w:t xml:space="preserve">ck of knowledge of the language in ‘Chaucer and Deschamps’, </w:t>
      </w:r>
      <w:r w:rsidRPr="00E76245">
        <w:t>pp. 187-88</w:t>
      </w:r>
      <w:r w:rsidRPr="00E02D6B">
        <w:t xml:space="preserve">. </w:t>
      </w:r>
    </w:p>
  </w:footnote>
  <w:footnote w:id="7">
    <w:p w14:paraId="43CF7CF5" w14:textId="77777777" w:rsidR="006F7E0D" w:rsidRDefault="006F7E0D">
      <w:pPr>
        <w:pStyle w:val="FootnoteText"/>
      </w:pPr>
      <w:r>
        <w:rPr>
          <w:rStyle w:val="FootnoteReference"/>
        </w:rPr>
        <w:footnoteRef/>
      </w:r>
      <w:r>
        <w:t xml:space="preserve"> Deschamps’ relationship to Chaucer remains the exception: see, among other, </w:t>
      </w:r>
      <w:proofErr w:type="spellStart"/>
      <w:r>
        <w:t>Crepin</w:t>
      </w:r>
      <w:proofErr w:type="spellEnd"/>
      <w:r>
        <w:t xml:space="preserve">, ‘Chaucer et Deschamps’, Coleman, ‘Flower’ and Olson, ‘Deschamps’ </w:t>
      </w:r>
      <w:r w:rsidRPr="00944709">
        <w:rPr>
          <w:i/>
        </w:rPr>
        <w:t xml:space="preserve">Art de </w:t>
      </w:r>
      <w:proofErr w:type="spellStart"/>
      <w:r w:rsidRPr="00944709">
        <w:rPr>
          <w:i/>
        </w:rPr>
        <w:t>Dictier</w:t>
      </w:r>
      <w:proofErr w:type="spellEnd"/>
      <w:r>
        <w:t xml:space="preserve">’. </w:t>
      </w:r>
    </w:p>
  </w:footnote>
  <w:footnote w:id="8">
    <w:p w14:paraId="09F990B5" w14:textId="77777777" w:rsidR="006F7E0D" w:rsidRDefault="006F7E0D" w:rsidP="00466DEB">
      <w:pPr>
        <w:pStyle w:val="FootnoteText"/>
      </w:pPr>
      <w:r>
        <w:rPr>
          <w:rStyle w:val="FootnoteReference"/>
        </w:rPr>
        <w:footnoteRef/>
      </w:r>
      <w:r>
        <w:t xml:space="preserve"> For a full list of extant manuscripts, see </w:t>
      </w:r>
      <w:r w:rsidRPr="00E02D6B">
        <w:t xml:space="preserve">Hervieux, </w:t>
      </w:r>
      <w:proofErr w:type="spellStart"/>
      <w:r>
        <w:rPr>
          <w:i/>
        </w:rPr>
        <w:t>Fabulistes</w:t>
      </w:r>
      <w:proofErr w:type="spellEnd"/>
      <w:r w:rsidRPr="00E76245">
        <w:rPr>
          <w:i/>
        </w:rPr>
        <w:t xml:space="preserve">, </w:t>
      </w:r>
      <w:r w:rsidRPr="00E76245">
        <w:t>1, 503-602 and</w:t>
      </w:r>
      <w:r>
        <w:t xml:space="preserve"> </w:t>
      </w:r>
      <w:proofErr w:type="spellStart"/>
      <w:r>
        <w:t>Dicke</w:t>
      </w:r>
      <w:proofErr w:type="spellEnd"/>
      <w:r>
        <w:t xml:space="preserve"> and </w:t>
      </w:r>
      <w:proofErr w:type="spellStart"/>
      <w:r>
        <w:t>Grubm</w:t>
      </w:r>
      <w:r>
        <w:rPr>
          <w:rFonts w:cs="Times New Roman"/>
        </w:rPr>
        <w:t>ü</w:t>
      </w:r>
      <w:r>
        <w:t>ller</w:t>
      </w:r>
      <w:proofErr w:type="spellEnd"/>
      <w:r>
        <w:t xml:space="preserve">, </w:t>
      </w:r>
      <w:proofErr w:type="spellStart"/>
      <w:r w:rsidRPr="00371929">
        <w:rPr>
          <w:i/>
        </w:rPr>
        <w:t>Fabeln</w:t>
      </w:r>
      <w:proofErr w:type="spellEnd"/>
      <w:r>
        <w:t xml:space="preserve">, pp. lxvi-lxviii. </w:t>
      </w:r>
    </w:p>
  </w:footnote>
  <w:footnote w:id="9">
    <w:p w14:paraId="46313117" w14:textId="77777777" w:rsidR="006F7E0D" w:rsidRDefault="006F7E0D">
      <w:pPr>
        <w:pStyle w:val="FootnoteText"/>
      </w:pPr>
      <w:r>
        <w:rPr>
          <w:rStyle w:val="FootnoteReference"/>
        </w:rPr>
        <w:footnoteRef/>
      </w:r>
      <w:r>
        <w:t xml:space="preserve"> </w:t>
      </w:r>
      <w:proofErr w:type="spellStart"/>
      <w:r>
        <w:rPr>
          <w:rFonts w:cs="Times New Roman"/>
          <w:i/>
          <w:color w:val="000000"/>
          <w:lang w:bidi="ar-SA"/>
        </w:rPr>
        <w:t>Ysopet-Avionnet</w:t>
      </w:r>
      <w:proofErr w:type="spellEnd"/>
      <w:r w:rsidRPr="00E02D6B">
        <w:rPr>
          <w:rFonts w:cs="Times New Roman"/>
          <w:color w:val="000000"/>
          <w:lang w:bidi="ar-SA"/>
        </w:rPr>
        <w:t xml:space="preserve">, </w:t>
      </w:r>
      <w:r>
        <w:rPr>
          <w:rFonts w:cs="Times New Roman"/>
          <w:color w:val="000000"/>
          <w:lang w:bidi="ar-SA"/>
        </w:rPr>
        <w:t xml:space="preserve">pp. </w:t>
      </w:r>
      <w:r w:rsidRPr="00261DFD">
        <w:rPr>
          <w:rFonts w:cs="Times New Roman"/>
          <w:color w:val="000000"/>
          <w:lang w:bidi="ar-SA"/>
        </w:rPr>
        <w:t>9-43, esp. 31-32,</w:t>
      </w:r>
      <w:r>
        <w:rPr>
          <w:rFonts w:cs="Times New Roman"/>
          <w:color w:val="000000"/>
          <w:lang w:bidi="ar-SA"/>
        </w:rPr>
        <w:t xml:space="preserve"> and </w:t>
      </w:r>
      <w:r>
        <w:t xml:space="preserve">Baum, ‘Fable’, pp. </w:t>
      </w:r>
      <w:r w:rsidRPr="00261DFD">
        <w:t>464-65.</w:t>
      </w:r>
    </w:p>
  </w:footnote>
  <w:footnote w:id="10">
    <w:p w14:paraId="6835282E" w14:textId="77777777" w:rsidR="006F7E0D" w:rsidRPr="00E02D6B" w:rsidRDefault="006F7E0D" w:rsidP="00417C21">
      <w:pPr>
        <w:pStyle w:val="FootnoteText"/>
      </w:pPr>
      <w:r w:rsidRPr="00E02D6B">
        <w:rPr>
          <w:rStyle w:val="FootnoteReference"/>
        </w:rPr>
        <w:footnoteRef/>
      </w:r>
      <w:r w:rsidRPr="00E02D6B">
        <w:t xml:space="preserve"> </w:t>
      </w:r>
      <w:r>
        <w:t>Text from</w:t>
      </w:r>
      <w:r w:rsidRPr="00E02D6B">
        <w:t xml:space="preserve"> </w:t>
      </w:r>
      <w:proofErr w:type="spellStart"/>
      <w:r w:rsidRPr="00E02D6B">
        <w:rPr>
          <w:i/>
        </w:rPr>
        <w:t>Ysopet-Avionnet</w:t>
      </w:r>
      <w:proofErr w:type="spellEnd"/>
      <w:r w:rsidRPr="00E02D6B">
        <w:t xml:space="preserve">, </w:t>
      </w:r>
      <w:r>
        <w:t>pp</w:t>
      </w:r>
      <w:r w:rsidRPr="00261DFD">
        <w:t>. 190-92.</w:t>
      </w:r>
      <w:r w:rsidRPr="00E02D6B">
        <w:t xml:space="preserve"> </w:t>
      </w:r>
    </w:p>
  </w:footnote>
  <w:footnote w:id="11">
    <w:p w14:paraId="5A534AF8" w14:textId="77777777" w:rsidR="006F7E0D" w:rsidRPr="00E02D6B" w:rsidRDefault="006F7E0D" w:rsidP="004F18E9">
      <w:pPr>
        <w:rPr>
          <w:sz w:val="20"/>
          <w:szCs w:val="20"/>
        </w:rPr>
      </w:pPr>
      <w:r w:rsidRPr="00E02D6B">
        <w:rPr>
          <w:rStyle w:val="FootnoteReference"/>
          <w:sz w:val="20"/>
          <w:szCs w:val="20"/>
        </w:rPr>
        <w:footnoteRef/>
      </w:r>
      <w:r w:rsidRPr="00E02D6B">
        <w:rPr>
          <w:sz w:val="20"/>
          <w:szCs w:val="20"/>
        </w:rPr>
        <w:t xml:space="preserve"> </w:t>
      </w:r>
      <w:r>
        <w:rPr>
          <w:sz w:val="20"/>
          <w:szCs w:val="20"/>
        </w:rPr>
        <w:t>Latin text from</w:t>
      </w:r>
      <w:r w:rsidRPr="00E02D6B">
        <w:rPr>
          <w:sz w:val="20"/>
          <w:szCs w:val="20"/>
        </w:rPr>
        <w:t xml:space="preserve"> Hervieux, </w:t>
      </w:r>
      <w:proofErr w:type="spellStart"/>
      <w:r w:rsidRPr="00261DFD">
        <w:rPr>
          <w:i/>
          <w:sz w:val="20"/>
          <w:szCs w:val="20"/>
        </w:rPr>
        <w:t>Fabulistes</w:t>
      </w:r>
      <w:proofErr w:type="spellEnd"/>
      <w:r w:rsidRPr="00261DFD">
        <w:rPr>
          <w:sz w:val="20"/>
          <w:szCs w:val="20"/>
        </w:rPr>
        <w:t>, 4, 225-26;</w:t>
      </w:r>
      <w:r>
        <w:rPr>
          <w:sz w:val="20"/>
          <w:szCs w:val="20"/>
        </w:rPr>
        <w:t xml:space="preserve"> English translation from </w:t>
      </w:r>
      <w:r w:rsidRPr="00975142">
        <w:rPr>
          <w:i/>
          <w:sz w:val="20"/>
          <w:szCs w:val="20"/>
        </w:rPr>
        <w:t>Fables</w:t>
      </w:r>
      <w:r>
        <w:rPr>
          <w:sz w:val="20"/>
          <w:szCs w:val="20"/>
        </w:rPr>
        <w:t xml:space="preserve">, ed. Jacobs, pp. 129-30. </w:t>
      </w:r>
      <w:r w:rsidRPr="00E02D6B">
        <w:rPr>
          <w:sz w:val="20"/>
          <w:szCs w:val="20"/>
        </w:rPr>
        <w:t xml:space="preserve"> </w:t>
      </w:r>
    </w:p>
  </w:footnote>
  <w:footnote w:id="12">
    <w:p w14:paraId="486FF944" w14:textId="77777777" w:rsidR="006F7E0D" w:rsidRDefault="006F7E0D">
      <w:pPr>
        <w:pStyle w:val="FootnoteText"/>
      </w:pPr>
      <w:r>
        <w:rPr>
          <w:rStyle w:val="FootnoteReference"/>
        </w:rPr>
        <w:footnoteRef/>
      </w:r>
      <w:r>
        <w:t xml:space="preserve"> Text from Bromyard, </w:t>
      </w:r>
      <w:r>
        <w:rPr>
          <w:i/>
        </w:rPr>
        <w:t>Summa</w:t>
      </w:r>
      <w:r>
        <w:t xml:space="preserve">, fol. </w:t>
      </w:r>
      <w:r w:rsidRPr="007163C9">
        <w:t>155r.</w:t>
      </w:r>
      <w:r>
        <w:t xml:space="preserve"> </w:t>
      </w:r>
    </w:p>
  </w:footnote>
  <w:footnote w:id="13">
    <w:p w14:paraId="0ABA7222" w14:textId="77777777" w:rsidR="006F7E0D" w:rsidRPr="00E02D6B" w:rsidRDefault="006F7E0D" w:rsidP="004F18E9">
      <w:pPr>
        <w:pStyle w:val="FootnoteText"/>
      </w:pPr>
      <w:r w:rsidRPr="00E02D6B">
        <w:rPr>
          <w:rStyle w:val="FootnoteReference"/>
        </w:rPr>
        <w:footnoteRef/>
      </w:r>
      <w:r w:rsidRPr="00E02D6B">
        <w:t xml:space="preserve"> </w:t>
      </w:r>
      <w:r>
        <w:t>Text from Baum, ‘Fable’</w:t>
      </w:r>
      <w:r w:rsidRPr="00261DFD">
        <w:t>, p. 466.</w:t>
      </w:r>
      <w:r w:rsidRPr="00E02D6B">
        <w:t xml:space="preserve"> </w:t>
      </w:r>
    </w:p>
  </w:footnote>
  <w:footnote w:id="14">
    <w:p w14:paraId="2DB94052" w14:textId="77777777" w:rsidR="006F7E0D" w:rsidRPr="00F00F06" w:rsidRDefault="006F7E0D" w:rsidP="000B33AD">
      <w:pPr>
        <w:rPr>
          <w:sz w:val="20"/>
          <w:szCs w:val="20"/>
        </w:rPr>
      </w:pPr>
      <w:r w:rsidRPr="00F00F06">
        <w:rPr>
          <w:rStyle w:val="FootnoteReference"/>
          <w:sz w:val="20"/>
          <w:szCs w:val="20"/>
        </w:rPr>
        <w:footnoteRef/>
      </w:r>
      <w:r w:rsidRPr="00F00F06">
        <w:rPr>
          <w:sz w:val="20"/>
          <w:szCs w:val="20"/>
        </w:rPr>
        <w:t xml:space="preserve"> Text from </w:t>
      </w:r>
      <w:proofErr w:type="spellStart"/>
      <w:r w:rsidRPr="00F00F06">
        <w:rPr>
          <w:sz w:val="20"/>
          <w:szCs w:val="20"/>
        </w:rPr>
        <w:t>Bozon</w:t>
      </w:r>
      <w:proofErr w:type="spellEnd"/>
      <w:r w:rsidRPr="00F00F06">
        <w:rPr>
          <w:sz w:val="20"/>
          <w:szCs w:val="20"/>
        </w:rPr>
        <w:t xml:space="preserve">, </w:t>
      </w:r>
      <w:proofErr w:type="spellStart"/>
      <w:r w:rsidRPr="00F00F06">
        <w:rPr>
          <w:i/>
          <w:sz w:val="20"/>
          <w:szCs w:val="20"/>
        </w:rPr>
        <w:t>Contes</w:t>
      </w:r>
      <w:proofErr w:type="spellEnd"/>
      <w:r w:rsidRPr="00F00F06">
        <w:rPr>
          <w:sz w:val="20"/>
          <w:szCs w:val="20"/>
        </w:rPr>
        <w:t xml:space="preserve">, </w:t>
      </w:r>
      <w:r>
        <w:rPr>
          <w:sz w:val="20"/>
          <w:szCs w:val="20"/>
        </w:rPr>
        <w:t>pp. 143</w:t>
      </w:r>
      <w:r w:rsidRPr="00261DFD">
        <w:rPr>
          <w:sz w:val="20"/>
          <w:szCs w:val="20"/>
        </w:rPr>
        <w:t>-45.</w:t>
      </w:r>
      <w:r>
        <w:rPr>
          <w:sz w:val="20"/>
          <w:szCs w:val="20"/>
        </w:rPr>
        <w:t xml:space="preserve"> Unless otherwise noted, all translations from Latin and French my own. </w:t>
      </w:r>
    </w:p>
  </w:footnote>
  <w:footnote w:id="15">
    <w:p w14:paraId="36E54595" w14:textId="77777777" w:rsidR="006F7E0D" w:rsidRPr="00261DFD" w:rsidRDefault="006F7E0D" w:rsidP="006E0332">
      <w:pPr>
        <w:pStyle w:val="FootnoteText"/>
      </w:pPr>
      <w:r w:rsidRPr="00261DFD">
        <w:rPr>
          <w:rStyle w:val="FootnoteReference"/>
        </w:rPr>
        <w:footnoteRef/>
      </w:r>
      <w:r w:rsidRPr="00261DFD">
        <w:t xml:space="preserve"> Deschamps, </w:t>
      </w:r>
      <w:proofErr w:type="spellStart"/>
      <w:r w:rsidRPr="00261DFD">
        <w:rPr>
          <w:i/>
        </w:rPr>
        <w:t>Œuvres</w:t>
      </w:r>
      <w:proofErr w:type="spellEnd"/>
      <w:r w:rsidRPr="00261DFD">
        <w:rPr>
          <w:i/>
        </w:rPr>
        <w:t xml:space="preserve">, </w:t>
      </w:r>
      <w:r w:rsidRPr="00261DFD">
        <w:t>1, 151.</w:t>
      </w:r>
    </w:p>
  </w:footnote>
  <w:footnote w:id="16">
    <w:p w14:paraId="14AB3D06" w14:textId="77777777" w:rsidR="006F7E0D" w:rsidRPr="00E02D6B" w:rsidRDefault="006F7E0D" w:rsidP="002C4D43">
      <w:pPr>
        <w:pStyle w:val="FootnoteText"/>
      </w:pPr>
      <w:r w:rsidRPr="00261DFD">
        <w:rPr>
          <w:rStyle w:val="FootnoteReference"/>
        </w:rPr>
        <w:footnoteRef/>
      </w:r>
      <w:r w:rsidRPr="00261DFD">
        <w:t xml:space="preserve"> Deschamps, </w:t>
      </w:r>
      <w:proofErr w:type="spellStart"/>
      <w:r w:rsidRPr="00261DFD">
        <w:rPr>
          <w:i/>
        </w:rPr>
        <w:t>Œuvres</w:t>
      </w:r>
      <w:proofErr w:type="spellEnd"/>
      <w:r w:rsidRPr="00261DFD">
        <w:rPr>
          <w:i/>
        </w:rPr>
        <w:t xml:space="preserve">, </w:t>
      </w:r>
      <w:r w:rsidRPr="00261DFD">
        <w:t>5, 388-90, ll. 13-14.</w:t>
      </w:r>
      <w:r>
        <w:t xml:space="preserve"> </w:t>
      </w:r>
    </w:p>
  </w:footnote>
  <w:footnote w:id="17">
    <w:p w14:paraId="0850C522" w14:textId="77777777" w:rsidR="006F7E0D" w:rsidRDefault="006F7E0D">
      <w:pPr>
        <w:pStyle w:val="FootnoteText"/>
      </w:pPr>
      <w:r w:rsidRPr="005D791E">
        <w:rPr>
          <w:rStyle w:val="FootnoteReference"/>
        </w:rPr>
        <w:footnoteRef/>
      </w:r>
      <w:r w:rsidRPr="005D791E">
        <w:t xml:space="preserve"> Deschamps, </w:t>
      </w:r>
      <w:proofErr w:type="spellStart"/>
      <w:r w:rsidRPr="005D791E">
        <w:rPr>
          <w:i/>
        </w:rPr>
        <w:t>Œuvres</w:t>
      </w:r>
      <w:proofErr w:type="spellEnd"/>
      <w:r w:rsidRPr="005D791E">
        <w:t>, 1, 106-07 (no. 26), 136-137 (no. 48), 156-57 (no. 62).</w:t>
      </w:r>
      <w:r>
        <w:t xml:space="preserve"> </w:t>
      </w:r>
    </w:p>
  </w:footnote>
  <w:footnote w:id="18">
    <w:p w14:paraId="1DA75470" w14:textId="77777777" w:rsidR="006F7E0D" w:rsidRPr="0005479A" w:rsidRDefault="006F7E0D">
      <w:pPr>
        <w:pStyle w:val="FootnoteText"/>
      </w:pPr>
      <w:r w:rsidRPr="005D791E">
        <w:rPr>
          <w:rStyle w:val="FootnoteReference"/>
        </w:rPr>
        <w:footnoteRef/>
      </w:r>
      <w:r w:rsidRPr="005D791E">
        <w:t xml:space="preserve"> Deschamps, </w:t>
      </w:r>
      <w:proofErr w:type="spellStart"/>
      <w:r w:rsidRPr="005D791E">
        <w:rPr>
          <w:i/>
        </w:rPr>
        <w:t>Œuvres</w:t>
      </w:r>
      <w:proofErr w:type="spellEnd"/>
      <w:r w:rsidRPr="005D791E">
        <w:t>, 6, 73-74.</w:t>
      </w:r>
    </w:p>
  </w:footnote>
  <w:footnote w:id="19">
    <w:p w14:paraId="375F112C" w14:textId="77777777" w:rsidR="006F7E0D" w:rsidRDefault="006F7E0D">
      <w:pPr>
        <w:pStyle w:val="FootnoteText"/>
      </w:pPr>
      <w:r w:rsidRPr="005D791E">
        <w:rPr>
          <w:rStyle w:val="FootnoteReference"/>
        </w:rPr>
        <w:footnoteRef/>
      </w:r>
      <w:r w:rsidRPr="005D791E">
        <w:t xml:space="preserve"> Deschamps, </w:t>
      </w:r>
      <w:proofErr w:type="spellStart"/>
      <w:r w:rsidRPr="005D791E">
        <w:rPr>
          <w:i/>
        </w:rPr>
        <w:t>Œuvres</w:t>
      </w:r>
      <w:proofErr w:type="spellEnd"/>
      <w:r w:rsidRPr="005D791E">
        <w:t>, 2, 90-91. See also 2, 92-93 (no. 254).</w:t>
      </w:r>
      <w:r>
        <w:t xml:space="preserve"> </w:t>
      </w:r>
    </w:p>
  </w:footnote>
  <w:footnote w:id="20">
    <w:p w14:paraId="55229F92" w14:textId="77777777" w:rsidR="006F7E0D" w:rsidRPr="005D791E" w:rsidRDefault="006F7E0D">
      <w:pPr>
        <w:pStyle w:val="FootnoteText"/>
      </w:pPr>
      <w:r w:rsidRPr="005D791E">
        <w:rPr>
          <w:rStyle w:val="FootnoteReference"/>
        </w:rPr>
        <w:footnoteRef/>
      </w:r>
      <w:r w:rsidRPr="005D791E">
        <w:t xml:space="preserve"> Deschamps, </w:t>
      </w:r>
      <w:proofErr w:type="spellStart"/>
      <w:r w:rsidRPr="005D791E">
        <w:rPr>
          <w:i/>
        </w:rPr>
        <w:t>Œuvres</w:t>
      </w:r>
      <w:proofErr w:type="spellEnd"/>
      <w:r w:rsidRPr="005D791E">
        <w:t>, 5, 350-51.</w:t>
      </w:r>
    </w:p>
  </w:footnote>
  <w:footnote w:id="21">
    <w:p w14:paraId="2C509508" w14:textId="77777777" w:rsidR="006F7E0D" w:rsidRPr="00826BCF" w:rsidRDefault="006F7E0D" w:rsidP="006E0332">
      <w:pPr>
        <w:pStyle w:val="FootnoteText"/>
      </w:pPr>
      <w:r w:rsidRPr="005D791E">
        <w:rPr>
          <w:rStyle w:val="FootnoteReference"/>
        </w:rPr>
        <w:footnoteRef/>
      </w:r>
      <w:r w:rsidRPr="005D791E">
        <w:t xml:space="preserve"> Deschamps, </w:t>
      </w:r>
      <w:proofErr w:type="spellStart"/>
      <w:r w:rsidRPr="005D791E">
        <w:rPr>
          <w:i/>
        </w:rPr>
        <w:t>Œuvres</w:t>
      </w:r>
      <w:proofErr w:type="spellEnd"/>
      <w:r w:rsidRPr="005D791E">
        <w:t>, 5, 351-52.</w:t>
      </w:r>
      <w:r w:rsidRPr="00826BCF">
        <w:t xml:space="preserve"> </w:t>
      </w:r>
    </w:p>
  </w:footnote>
  <w:footnote w:id="22">
    <w:p w14:paraId="2A722A73" w14:textId="77777777" w:rsidR="006F7E0D" w:rsidRPr="00E02D6B" w:rsidRDefault="006F7E0D" w:rsidP="00EE00CE">
      <w:pPr>
        <w:pStyle w:val="FootnoteText"/>
      </w:pPr>
      <w:r w:rsidRPr="00E02D6B">
        <w:rPr>
          <w:rStyle w:val="FootnoteReference"/>
        </w:rPr>
        <w:footnoteRef/>
      </w:r>
      <w:r w:rsidRPr="00E02D6B">
        <w:t xml:space="preserve"> Sumption, </w:t>
      </w:r>
      <w:r>
        <w:rPr>
          <w:i/>
        </w:rPr>
        <w:t>Hundred</w:t>
      </w:r>
      <w:r w:rsidRPr="00E02D6B">
        <w:t>,</w:t>
      </w:r>
      <w:r>
        <w:t xml:space="preserve"> 3,</w:t>
      </w:r>
      <w:r w:rsidRPr="00E02D6B">
        <w:t xml:space="preserve"> 537-94.</w:t>
      </w:r>
    </w:p>
  </w:footnote>
  <w:footnote w:id="23">
    <w:p w14:paraId="78D34FBF" w14:textId="77777777" w:rsidR="006F7E0D" w:rsidRPr="00826BCF" w:rsidRDefault="006F7E0D" w:rsidP="006E0332">
      <w:pPr>
        <w:rPr>
          <w:sz w:val="20"/>
          <w:szCs w:val="20"/>
        </w:rPr>
      </w:pPr>
      <w:r w:rsidRPr="00826BCF">
        <w:rPr>
          <w:rStyle w:val="FootnoteReference"/>
          <w:sz w:val="20"/>
          <w:szCs w:val="20"/>
        </w:rPr>
        <w:footnoteRef/>
      </w:r>
      <w:r w:rsidRPr="00826BCF">
        <w:rPr>
          <w:sz w:val="20"/>
          <w:szCs w:val="20"/>
        </w:rPr>
        <w:t xml:space="preserve"> Laurie, </w:t>
      </w:r>
      <w:r>
        <w:rPr>
          <w:sz w:val="20"/>
          <w:szCs w:val="20"/>
        </w:rPr>
        <w:t xml:space="preserve">‘Eustache Deschamps’, pp. </w:t>
      </w:r>
      <w:r w:rsidRPr="00826BCF">
        <w:rPr>
          <w:sz w:val="20"/>
          <w:szCs w:val="20"/>
        </w:rPr>
        <w:t xml:space="preserve">17-19. </w:t>
      </w:r>
    </w:p>
  </w:footnote>
  <w:footnote w:id="24">
    <w:p w14:paraId="5DA747A6" w14:textId="77777777" w:rsidR="006F7E0D" w:rsidRDefault="006F7E0D" w:rsidP="00CD240C">
      <w:pPr>
        <w:pStyle w:val="FootnoteText"/>
      </w:pPr>
      <w:r w:rsidRPr="005D791E">
        <w:rPr>
          <w:rStyle w:val="FootnoteReference"/>
        </w:rPr>
        <w:footnoteRef/>
      </w:r>
      <w:r w:rsidRPr="005D791E">
        <w:t xml:space="preserve"> Cf. Deschamps, </w:t>
      </w:r>
      <w:proofErr w:type="spellStart"/>
      <w:r w:rsidRPr="005D791E">
        <w:rPr>
          <w:i/>
        </w:rPr>
        <w:t>Œuvres</w:t>
      </w:r>
      <w:proofErr w:type="spellEnd"/>
      <w:r w:rsidRPr="005D791E">
        <w:rPr>
          <w:i/>
        </w:rPr>
        <w:t>,</w:t>
      </w:r>
      <w:r w:rsidRPr="005D791E">
        <w:t xml:space="preserve"> 3, 155-57 (no. 387), a dream vision in which the Dreamer sees a beautiful headless body</w:t>
      </w:r>
      <w:r>
        <w:t xml:space="preserve"> prone in a field, beset by </w:t>
      </w:r>
      <w:proofErr w:type="spellStart"/>
      <w:r>
        <w:t>Lacheté</w:t>
      </w:r>
      <w:proofErr w:type="spellEnd"/>
      <w:r>
        <w:t xml:space="preserve"> (Cowardice). </w:t>
      </w:r>
      <w:proofErr w:type="spellStart"/>
      <w:r>
        <w:t>Dechamps</w:t>
      </w:r>
      <w:proofErr w:type="spellEnd"/>
      <w:r>
        <w:t xml:space="preserve"> identifies this figure as France in the envoy. </w:t>
      </w:r>
    </w:p>
  </w:footnote>
  <w:footnote w:id="25">
    <w:p w14:paraId="75748F7B" w14:textId="77777777" w:rsidR="006F7E0D" w:rsidRDefault="006F7E0D">
      <w:pPr>
        <w:pStyle w:val="FootnoteText"/>
      </w:pPr>
      <w:r>
        <w:rPr>
          <w:rStyle w:val="FootnoteReference"/>
        </w:rPr>
        <w:footnoteRef/>
      </w:r>
      <w:r>
        <w:t xml:space="preserve"> On dating the sermon, see Kellogg, ‘</w:t>
      </w:r>
      <w:r w:rsidRPr="00E02D6B">
        <w:t>Bishop Brunton</w:t>
      </w:r>
      <w:r>
        <w:t>’.</w:t>
      </w:r>
    </w:p>
  </w:footnote>
  <w:footnote w:id="26">
    <w:p w14:paraId="13B15C45" w14:textId="77777777" w:rsidR="006F7E0D" w:rsidRDefault="006F7E0D">
      <w:pPr>
        <w:pStyle w:val="FootnoteText"/>
      </w:pPr>
      <w:r w:rsidRPr="005D791E">
        <w:rPr>
          <w:rStyle w:val="FootnoteReference"/>
        </w:rPr>
        <w:footnoteRef/>
      </w:r>
      <w:r w:rsidRPr="005D791E">
        <w:t xml:space="preserve"> Latin text in </w:t>
      </w:r>
      <w:r w:rsidRPr="005D791E">
        <w:rPr>
          <w:i/>
        </w:rPr>
        <w:t xml:space="preserve">Sermons, </w:t>
      </w:r>
      <w:r w:rsidRPr="005D791E">
        <w:t xml:space="preserve">ed. Devlin, 2, 315-21; English translation in Wenzel, </w:t>
      </w:r>
      <w:r w:rsidRPr="005D791E">
        <w:rPr>
          <w:i/>
        </w:rPr>
        <w:t>Preaching</w:t>
      </w:r>
      <w:r w:rsidRPr="005D791E">
        <w:t>, pp. 241-54.</w:t>
      </w:r>
      <w:r>
        <w:t xml:space="preserve"> </w:t>
      </w:r>
    </w:p>
  </w:footnote>
  <w:footnote w:id="27">
    <w:p w14:paraId="162D7CD7" w14:textId="77777777" w:rsidR="006F7E0D" w:rsidRDefault="006F7E0D">
      <w:pPr>
        <w:pStyle w:val="FootnoteText"/>
      </w:pPr>
      <w:r>
        <w:rPr>
          <w:rStyle w:val="FootnoteReference"/>
        </w:rPr>
        <w:footnoteRef/>
      </w:r>
      <w:r>
        <w:t xml:space="preserve"> Wenzel, </w:t>
      </w:r>
      <w:r w:rsidRPr="00AD31BC">
        <w:rPr>
          <w:i/>
        </w:rPr>
        <w:t>Preaching</w:t>
      </w:r>
      <w:r>
        <w:t>, p</w:t>
      </w:r>
      <w:r w:rsidRPr="0010694B">
        <w:t>. 246.</w:t>
      </w:r>
      <w:r>
        <w:t xml:space="preserve"> </w:t>
      </w:r>
    </w:p>
  </w:footnote>
  <w:footnote w:id="28">
    <w:p w14:paraId="6A1AF94D" w14:textId="77777777" w:rsidR="006F7E0D" w:rsidRDefault="006F7E0D">
      <w:pPr>
        <w:pStyle w:val="FootnoteText"/>
      </w:pPr>
      <w:r w:rsidRPr="0010694B">
        <w:rPr>
          <w:rStyle w:val="FootnoteReference"/>
        </w:rPr>
        <w:footnoteRef/>
      </w:r>
      <w:r w:rsidRPr="0010694B">
        <w:t xml:space="preserve"> Wenzel, </w:t>
      </w:r>
      <w:r w:rsidRPr="0010694B">
        <w:rPr>
          <w:i/>
        </w:rPr>
        <w:t>Preaching</w:t>
      </w:r>
      <w:r w:rsidRPr="0010694B">
        <w:t>, p. 253.</w:t>
      </w:r>
    </w:p>
  </w:footnote>
  <w:footnote w:id="29">
    <w:p w14:paraId="27DAFDD4" w14:textId="77777777" w:rsidR="006F7E0D" w:rsidRDefault="006F7E0D">
      <w:pPr>
        <w:pStyle w:val="FootnoteText"/>
      </w:pPr>
      <w:r w:rsidRPr="0010694B">
        <w:rPr>
          <w:rStyle w:val="FootnoteReference"/>
        </w:rPr>
        <w:footnoteRef/>
      </w:r>
      <w:r w:rsidRPr="0010694B">
        <w:t xml:space="preserve"> </w:t>
      </w:r>
      <w:proofErr w:type="spellStart"/>
      <w:r w:rsidRPr="0010694B">
        <w:rPr>
          <w:i/>
        </w:rPr>
        <w:t>Anonimalle</w:t>
      </w:r>
      <w:proofErr w:type="spellEnd"/>
      <w:r w:rsidRPr="0010694B">
        <w:t xml:space="preserve">, pp. 85-88; see further Holmes, </w:t>
      </w:r>
      <w:r w:rsidRPr="0010694B">
        <w:rPr>
          <w:i/>
        </w:rPr>
        <w:t>Good Parliament</w:t>
      </w:r>
      <w:r w:rsidRPr="0010694B">
        <w:t xml:space="preserve">, pp. 102-03; Butt, </w:t>
      </w:r>
      <w:r w:rsidRPr="0010694B">
        <w:rPr>
          <w:i/>
        </w:rPr>
        <w:t xml:space="preserve">History, </w:t>
      </w:r>
      <w:r w:rsidRPr="0010694B">
        <w:t>pp.</w:t>
      </w:r>
      <w:r w:rsidRPr="0010694B">
        <w:rPr>
          <w:i/>
        </w:rPr>
        <w:t xml:space="preserve"> </w:t>
      </w:r>
      <w:r w:rsidRPr="0010694B">
        <w:t>344-46.</w:t>
      </w:r>
    </w:p>
  </w:footnote>
  <w:footnote w:id="30">
    <w:p w14:paraId="1748755A" w14:textId="77777777" w:rsidR="006F7E0D" w:rsidRDefault="006F7E0D">
      <w:pPr>
        <w:pStyle w:val="FootnoteText"/>
      </w:pPr>
      <w:r>
        <w:rPr>
          <w:rStyle w:val="FootnoteReference"/>
        </w:rPr>
        <w:footnoteRef/>
      </w:r>
      <w:r>
        <w:t xml:space="preserve"> </w:t>
      </w:r>
      <w:r w:rsidRPr="00485DCF">
        <w:rPr>
          <w:i/>
        </w:rPr>
        <w:t>Parliament Rolls</w:t>
      </w:r>
      <w:r>
        <w:t xml:space="preserve">, ed. Ormrod, p. 297. On Brinton’s career, see Devlin, ‘Bishop Thomas Brunton’. </w:t>
      </w:r>
    </w:p>
  </w:footnote>
  <w:footnote w:id="31">
    <w:p w14:paraId="51CAAE2C" w14:textId="77777777" w:rsidR="006F7E0D" w:rsidRDefault="006F7E0D" w:rsidP="00F61BD5">
      <w:pPr>
        <w:pStyle w:val="FootnoteText"/>
      </w:pPr>
      <w:r>
        <w:rPr>
          <w:rStyle w:val="FootnoteReference"/>
        </w:rPr>
        <w:footnoteRef/>
      </w:r>
      <w:r>
        <w:t xml:space="preserve"> </w:t>
      </w:r>
      <w:proofErr w:type="spellStart"/>
      <w:r>
        <w:t>Owst</w:t>
      </w:r>
      <w:proofErr w:type="spellEnd"/>
      <w:r>
        <w:t xml:space="preserve">, ‘Angel’, </w:t>
      </w:r>
      <w:proofErr w:type="spellStart"/>
      <w:r>
        <w:t>Huppé</w:t>
      </w:r>
      <w:proofErr w:type="spellEnd"/>
      <w:r>
        <w:t xml:space="preserve">, ‘Date of the B-Text’, Kellogg, ‘Bishop Brunton’, </w:t>
      </w:r>
      <w:proofErr w:type="spellStart"/>
      <w:r>
        <w:t>Orsten</w:t>
      </w:r>
      <w:proofErr w:type="spellEnd"/>
      <w:r>
        <w:t xml:space="preserve">, ‘Ambiguities’, and </w:t>
      </w:r>
      <w:r w:rsidRPr="00B40A2C">
        <w:t xml:space="preserve">Dodd, </w:t>
      </w:r>
      <w:r>
        <w:rPr>
          <w:rFonts w:cs="Times New Roman"/>
          <w:color w:val="000000"/>
          <w:lang w:bidi="ar-SA"/>
        </w:rPr>
        <w:t>‘</w:t>
      </w:r>
      <w:r w:rsidRPr="00B40A2C">
        <w:rPr>
          <w:rFonts w:cs="Times New Roman"/>
          <w:color w:val="000000"/>
          <w:lang w:bidi="ar-SA"/>
        </w:rPr>
        <w:t>Parliament</w:t>
      </w:r>
      <w:r>
        <w:rPr>
          <w:rFonts w:cs="Times New Roman"/>
          <w:color w:val="000000"/>
          <w:lang w:bidi="ar-SA"/>
        </w:rPr>
        <w:t>’.</w:t>
      </w:r>
    </w:p>
  </w:footnote>
  <w:footnote w:id="32">
    <w:p w14:paraId="6788BBD4" w14:textId="77777777" w:rsidR="006F7E0D" w:rsidRPr="00B40A2C" w:rsidRDefault="006F7E0D" w:rsidP="00F61BD5">
      <w:pPr>
        <w:autoSpaceDE w:val="0"/>
        <w:autoSpaceDN w:val="0"/>
        <w:adjustRightInd w:val="0"/>
        <w:rPr>
          <w:rFonts w:cs="Times New Roman"/>
          <w:color w:val="000000"/>
          <w:sz w:val="20"/>
          <w:szCs w:val="20"/>
          <w:lang w:bidi="ar-SA"/>
        </w:rPr>
      </w:pPr>
      <w:r w:rsidRPr="0010694B">
        <w:rPr>
          <w:rStyle w:val="FootnoteReference"/>
          <w:sz w:val="20"/>
          <w:szCs w:val="20"/>
        </w:rPr>
        <w:footnoteRef/>
      </w:r>
      <w:r w:rsidRPr="0010694B">
        <w:rPr>
          <w:sz w:val="20"/>
          <w:szCs w:val="20"/>
        </w:rPr>
        <w:t xml:space="preserve"> Hanna, </w:t>
      </w:r>
      <w:r w:rsidRPr="0010694B">
        <w:rPr>
          <w:i/>
          <w:sz w:val="20"/>
          <w:szCs w:val="20"/>
        </w:rPr>
        <w:t>London Literature</w:t>
      </w:r>
      <w:r w:rsidRPr="0010694B">
        <w:rPr>
          <w:sz w:val="20"/>
          <w:szCs w:val="20"/>
        </w:rPr>
        <w:t>, pp. 251-52.</w:t>
      </w:r>
      <w:r w:rsidRPr="00B40A2C">
        <w:rPr>
          <w:sz w:val="20"/>
          <w:szCs w:val="20"/>
        </w:rPr>
        <w:t xml:space="preserve"> </w:t>
      </w:r>
    </w:p>
  </w:footnote>
  <w:footnote w:id="33">
    <w:p w14:paraId="039A98CC" w14:textId="77777777" w:rsidR="006F7E0D" w:rsidRDefault="006F7E0D">
      <w:pPr>
        <w:pStyle w:val="FootnoteText"/>
      </w:pPr>
      <w:r w:rsidRPr="0010694B">
        <w:rPr>
          <w:rStyle w:val="FootnoteReference"/>
        </w:rPr>
        <w:footnoteRef/>
      </w:r>
      <w:r w:rsidRPr="0010694B">
        <w:t xml:space="preserve"> </w:t>
      </w:r>
      <w:proofErr w:type="spellStart"/>
      <w:r w:rsidRPr="0010694B">
        <w:t>Orsten</w:t>
      </w:r>
      <w:proofErr w:type="spellEnd"/>
      <w:r w:rsidRPr="0010694B">
        <w:t>, ‘Ambiguities’, pp. 221-222.</w:t>
      </w:r>
      <w:r>
        <w:t xml:space="preserve"> </w:t>
      </w:r>
    </w:p>
  </w:footnote>
  <w:footnote w:id="34">
    <w:p w14:paraId="5CE48959" w14:textId="77777777" w:rsidR="006F7E0D" w:rsidRPr="00E02D6B" w:rsidRDefault="006F7E0D" w:rsidP="009175BE">
      <w:pPr>
        <w:rPr>
          <w:sz w:val="20"/>
          <w:szCs w:val="20"/>
        </w:rPr>
      </w:pPr>
      <w:r w:rsidRPr="0010694B">
        <w:rPr>
          <w:rStyle w:val="FootnoteReference"/>
          <w:sz w:val="20"/>
          <w:szCs w:val="20"/>
        </w:rPr>
        <w:footnoteRef/>
      </w:r>
      <w:r w:rsidRPr="0010694B">
        <w:rPr>
          <w:sz w:val="20"/>
          <w:szCs w:val="20"/>
        </w:rPr>
        <w:t xml:space="preserve"> </w:t>
      </w:r>
      <w:proofErr w:type="spellStart"/>
      <w:r w:rsidRPr="0010694B">
        <w:rPr>
          <w:sz w:val="20"/>
          <w:szCs w:val="20"/>
        </w:rPr>
        <w:t>Bozon</w:t>
      </w:r>
      <w:proofErr w:type="spellEnd"/>
      <w:r w:rsidRPr="0010694B">
        <w:rPr>
          <w:sz w:val="20"/>
          <w:szCs w:val="20"/>
        </w:rPr>
        <w:t xml:space="preserve">, </w:t>
      </w:r>
      <w:proofErr w:type="spellStart"/>
      <w:r w:rsidRPr="0010694B">
        <w:rPr>
          <w:i/>
          <w:sz w:val="20"/>
          <w:szCs w:val="20"/>
        </w:rPr>
        <w:t>Contes</w:t>
      </w:r>
      <w:proofErr w:type="spellEnd"/>
      <w:r w:rsidRPr="0010694B">
        <w:rPr>
          <w:sz w:val="20"/>
          <w:szCs w:val="20"/>
        </w:rPr>
        <w:t>, pp. 145.</w:t>
      </w:r>
    </w:p>
  </w:footnote>
  <w:footnote w:id="35">
    <w:p w14:paraId="467600DC" w14:textId="77777777" w:rsidR="006F7E0D" w:rsidRPr="006A3A89" w:rsidRDefault="006F7E0D" w:rsidP="009175BE">
      <w:pPr>
        <w:pStyle w:val="FootnoteText"/>
      </w:pPr>
      <w:r w:rsidRPr="0010694B">
        <w:rPr>
          <w:rStyle w:val="FootnoteReference"/>
        </w:rPr>
        <w:footnoteRef/>
      </w:r>
      <w:r w:rsidRPr="0010694B">
        <w:t xml:space="preserve"> </w:t>
      </w:r>
      <w:proofErr w:type="spellStart"/>
      <w:r w:rsidRPr="0010694B">
        <w:t>Bozon</w:t>
      </w:r>
      <w:proofErr w:type="spellEnd"/>
      <w:r w:rsidRPr="0010694B">
        <w:t xml:space="preserve">, </w:t>
      </w:r>
      <w:proofErr w:type="spellStart"/>
      <w:r w:rsidRPr="0010694B">
        <w:rPr>
          <w:i/>
        </w:rPr>
        <w:t>Contes</w:t>
      </w:r>
      <w:proofErr w:type="spellEnd"/>
      <w:r w:rsidRPr="0010694B">
        <w:t>, pp. 280-81.</w:t>
      </w:r>
    </w:p>
  </w:footnote>
  <w:footnote w:id="36">
    <w:p w14:paraId="380BD67B" w14:textId="77777777" w:rsidR="006F7E0D" w:rsidRDefault="006F7E0D">
      <w:pPr>
        <w:pStyle w:val="FootnoteText"/>
      </w:pPr>
      <w:r w:rsidRPr="0042015C">
        <w:rPr>
          <w:rStyle w:val="FootnoteReference"/>
        </w:rPr>
        <w:footnoteRef/>
      </w:r>
      <w:r w:rsidRPr="0042015C">
        <w:t xml:space="preserve"> </w:t>
      </w:r>
      <w:proofErr w:type="spellStart"/>
      <w:r w:rsidRPr="0042015C">
        <w:t>Huppé</w:t>
      </w:r>
      <w:proofErr w:type="spellEnd"/>
      <w:r w:rsidRPr="0042015C">
        <w:t xml:space="preserve">, ‘Date of the B-Text’. On the Hilary Parliament, see Holmes, </w:t>
      </w:r>
      <w:r w:rsidRPr="0042015C">
        <w:rPr>
          <w:i/>
        </w:rPr>
        <w:t>Good Parliament</w:t>
      </w:r>
      <w:r w:rsidRPr="0042015C">
        <w:t xml:space="preserve">, pp. 178-94; Butt, </w:t>
      </w:r>
      <w:r w:rsidRPr="0042015C">
        <w:rPr>
          <w:i/>
        </w:rPr>
        <w:t>History</w:t>
      </w:r>
      <w:r w:rsidRPr="0042015C">
        <w:t xml:space="preserve">, pp. 351-54; and Sumption, </w:t>
      </w:r>
      <w:r w:rsidRPr="0042015C">
        <w:rPr>
          <w:i/>
        </w:rPr>
        <w:t>Hundred</w:t>
      </w:r>
      <w:r w:rsidRPr="0042015C">
        <w:t>, 3, pp. 263-65, 270-77.</w:t>
      </w:r>
    </w:p>
  </w:footnote>
  <w:footnote w:id="37">
    <w:p w14:paraId="39300F5D" w14:textId="77777777" w:rsidR="006F7E0D" w:rsidRDefault="006F7E0D">
      <w:pPr>
        <w:pStyle w:val="FootnoteText"/>
      </w:pPr>
      <w:r w:rsidRPr="0042015C">
        <w:rPr>
          <w:rStyle w:val="FootnoteReference"/>
        </w:rPr>
        <w:footnoteRef/>
      </w:r>
      <w:r w:rsidRPr="0042015C">
        <w:t xml:space="preserve"> </w:t>
      </w:r>
      <w:proofErr w:type="spellStart"/>
      <w:r w:rsidRPr="0042015C">
        <w:t>Orsten</w:t>
      </w:r>
      <w:proofErr w:type="spellEnd"/>
      <w:r w:rsidRPr="0042015C">
        <w:t>, ‘Ambiguities’, p. 237.</w:t>
      </w:r>
      <w:r>
        <w:t xml:space="preserve"> </w:t>
      </w:r>
    </w:p>
  </w:footnote>
  <w:footnote w:id="38">
    <w:p w14:paraId="03CA4518" w14:textId="77777777" w:rsidR="006F7E0D" w:rsidRDefault="006F7E0D">
      <w:pPr>
        <w:pStyle w:val="FootnoteText"/>
      </w:pPr>
      <w:r w:rsidRPr="00E445DD">
        <w:rPr>
          <w:rStyle w:val="FootnoteReference"/>
        </w:rPr>
        <w:footnoteRef/>
      </w:r>
      <w:r w:rsidRPr="00E445DD">
        <w:t xml:space="preserve"> Baldwin, </w:t>
      </w:r>
      <w:r w:rsidRPr="00E445DD">
        <w:rPr>
          <w:i/>
        </w:rPr>
        <w:t>Government</w:t>
      </w:r>
      <w:r w:rsidRPr="00E445DD">
        <w:t>,</w:t>
      </w:r>
      <w:r>
        <w:t xml:space="preserve"> pp.</w:t>
      </w:r>
      <w:r w:rsidRPr="00E445DD">
        <w:t xml:space="preserve"> </w:t>
      </w:r>
      <w:r>
        <w:t>16</w:t>
      </w:r>
      <w:r w:rsidRPr="00E445DD">
        <w:t>-18</w:t>
      </w:r>
      <w:r>
        <w:t>, citation on 18</w:t>
      </w:r>
      <w:r w:rsidRPr="00E445DD">
        <w:t>.</w:t>
      </w:r>
      <w:r>
        <w:t xml:space="preserve"> </w:t>
      </w:r>
    </w:p>
  </w:footnote>
  <w:footnote w:id="39">
    <w:p w14:paraId="01C96930" w14:textId="77777777" w:rsidR="006F7E0D" w:rsidRDefault="006F7E0D">
      <w:pPr>
        <w:pStyle w:val="FootnoteText"/>
      </w:pPr>
      <w:r w:rsidRPr="0042015C">
        <w:rPr>
          <w:rStyle w:val="FootnoteReference"/>
        </w:rPr>
        <w:footnoteRef/>
      </w:r>
      <w:r w:rsidRPr="0042015C">
        <w:t xml:space="preserve"> Galloway, </w:t>
      </w:r>
      <w:r w:rsidRPr="0042015C">
        <w:rPr>
          <w:i/>
        </w:rPr>
        <w:t>Penn</w:t>
      </w:r>
      <w:r w:rsidRPr="0042015C">
        <w:t>, pp. 135-36.</w:t>
      </w:r>
      <w:r>
        <w:t xml:space="preserve"> </w:t>
      </w:r>
    </w:p>
  </w:footnote>
  <w:footnote w:id="40">
    <w:p w14:paraId="26D50425" w14:textId="77777777" w:rsidR="006F7E0D" w:rsidRDefault="006F7E0D">
      <w:pPr>
        <w:pStyle w:val="FootnoteText"/>
      </w:pPr>
      <w:r w:rsidRPr="00E445DD">
        <w:rPr>
          <w:rStyle w:val="FootnoteReference"/>
        </w:rPr>
        <w:footnoteRef/>
      </w:r>
      <w:r w:rsidRPr="00E445DD">
        <w:t xml:space="preserve"> </w:t>
      </w:r>
      <w:r>
        <w:rPr>
          <w:rFonts w:cs="Times New Roman"/>
          <w:color w:val="000000"/>
          <w:lang w:bidi="ar-SA"/>
        </w:rPr>
        <w:t>Gross, ‘Langland’s Rats’</w:t>
      </w:r>
      <w:r>
        <w:t xml:space="preserve"> and </w:t>
      </w:r>
      <w:r>
        <w:rPr>
          <w:rFonts w:cs="Times New Roman"/>
          <w:color w:val="000000"/>
          <w:lang w:bidi="ar-SA"/>
        </w:rPr>
        <w:t>Dodd, ‘</w:t>
      </w:r>
      <w:r w:rsidRPr="00E02D6B">
        <w:rPr>
          <w:rFonts w:cs="Times New Roman"/>
          <w:color w:val="000000"/>
          <w:lang w:bidi="ar-SA"/>
        </w:rPr>
        <w:t>Parliament</w:t>
      </w:r>
      <w:r>
        <w:rPr>
          <w:rFonts w:cs="Times New Roman"/>
          <w:color w:val="000000"/>
          <w:lang w:bidi="ar-SA"/>
        </w:rPr>
        <w:t xml:space="preserve">’. </w:t>
      </w:r>
    </w:p>
  </w:footnote>
  <w:footnote w:id="41">
    <w:p w14:paraId="550CD1A4" w14:textId="77777777" w:rsidR="006F7E0D" w:rsidRDefault="006F7E0D">
      <w:pPr>
        <w:pStyle w:val="FootnoteText"/>
      </w:pPr>
      <w:r>
        <w:rPr>
          <w:rStyle w:val="FootnoteReference"/>
        </w:rPr>
        <w:footnoteRef/>
      </w:r>
      <w:r>
        <w:t xml:space="preserve"> </w:t>
      </w:r>
      <w:proofErr w:type="spellStart"/>
      <w:r>
        <w:rPr>
          <w:rFonts w:cs="Times New Roman"/>
        </w:rPr>
        <w:t>Lassahn</w:t>
      </w:r>
      <w:proofErr w:type="spellEnd"/>
      <w:r>
        <w:rPr>
          <w:rFonts w:cs="Times New Roman"/>
        </w:rPr>
        <w:t>, ‘</w:t>
      </w:r>
      <w:r w:rsidRPr="00E02D6B">
        <w:rPr>
          <w:rFonts w:cs="Times New Roman"/>
        </w:rPr>
        <w:t>Langland’s Rats Revisited</w:t>
      </w:r>
      <w:r>
        <w:rPr>
          <w:rFonts w:cs="Times New Roman"/>
        </w:rPr>
        <w:t>’.</w:t>
      </w:r>
    </w:p>
  </w:footnote>
  <w:footnote w:id="42">
    <w:p w14:paraId="67D35505" w14:textId="77777777" w:rsidR="006F7E0D" w:rsidRDefault="006F7E0D">
      <w:pPr>
        <w:pStyle w:val="FootnoteText"/>
      </w:pPr>
      <w:r w:rsidRPr="0042015C">
        <w:rPr>
          <w:rStyle w:val="FootnoteReference"/>
        </w:rPr>
        <w:footnoteRef/>
      </w:r>
      <w:r w:rsidRPr="0042015C">
        <w:t xml:space="preserve"> Galloway, </w:t>
      </w:r>
      <w:r w:rsidRPr="0042015C">
        <w:rPr>
          <w:i/>
        </w:rPr>
        <w:t>Penn</w:t>
      </w:r>
      <w:r w:rsidRPr="0042015C">
        <w:t>, p. 139.</w:t>
      </w:r>
      <w:r>
        <w:t xml:space="preserve"> </w:t>
      </w:r>
    </w:p>
  </w:footnote>
  <w:footnote w:id="43">
    <w:p w14:paraId="317195DB" w14:textId="77777777" w:rsidR="006F7E0D" w:rsidRDefault="006F7E0D">
      <w:pPr>
        <w:pStyle w:val="FootnoteText"/>
      </w:pPr>
      <w:r w:rsidRPr="0042015C">
        <w:rPr>
          <w:rStyle w:val="FootnoteReference"/>
        </w:rPr>
        <w:footnoteRef/>
      </w:r>
      <w:r w:rsidRPr="0042015C">
        <w:t xml:space="preserve"> Galloway, </w:t>
      </w:r>
      <w:r w:rsidRPr="0042015C">
        <w:rPr>
          <w:i/>
        </w:rPr>
        <w:t>Penn</w:t>
      </w:r>
      <w:r w:rsidRPr="0042015C">
        <w:t>, pp. 139-40. The French line, by itself, also occurs in Chaucer’s ‘Fortune’, l. 7. Quotations from</w:t>
      </w:r>
      <w:r w:rsidRPr="00E10232">
        <w:t xml:space="preserve"> </w:t>
      </w:r>
      <w:r w:rsidRPr="00E10232">
        <w:rPr>
          <w:i/>
        </w:rPr>
        <w:t>Riverside Chaucer</w:t>
      </w:r>
      <w:r>
        <w:t>, ed. Benson</w:t>
      </w:r>
      <w:r w:rsidRPr="00E10232">
        <w:t>. On labor and French songs, see R.D. Perry’s contribution to this</w:t>
      </w:r>
      <w:r>
        <w:t xml:space="preserve"> essay</w:t>
      </w:r>
      <w:r w:rsidRPr="00E10232">
        <w:t xml:space="preserve"> cluster.</w:t>
      </w:r>
      <w:r>
        <w:t xml:space="preserve"> </w:t>
      </w:r>
    </w:p>
  </w:footnote>
  <w:footnote w:id="44">
    <w:p w14:paraId="6D8EC1C1" w14:textId="77777777" w:rsidR="006F7E0D" w:rsidRPr="0042015C" w:rsidRDefault="006F7E0D" w:rsidP="00B06F13">
      <w:pPr>
        <w:pStyle w:val="FootnoteText"/>
      </w:pPr>
      <w:r w:rsidRPr="0042015C">
        <w:rPr>
          <w:rStyle w:val="FootnoteReference"/>
        </w:rPr>
        <w:footnoteRef/>
      </w:r>
      <w:r w:rsidRPr="0042015C">
        <w:t xml:space="preserve"> Wenzel, </w:t>
      </w:r>
      <w:r w:rsidRPr="0042015C">
        <w:rPr>
          <w:i/>
        </w:rPr>
        <w:t>Preaching</w:t>
      </w:r>
      <w:r w:rsidRPr="0042015C">
        <w:t xml:space="preserve">, p. 253. </w:t>
      </w:r>
    </w:p>
  </w:footnote>
  <w:footnote w:id="45">
    <w:p w14:paraId="18AC0918" w14:textId="77777777" w:rsidR="006F7E0D" w:rsidRPr="00E02D6B" w:rsidRDefault="006F7E0D" w:rsidP="00B06F13">
      <w:pPr>
        <w:pStyle w:val="FootnoteText"/>
      </w:pPr>
      <w:r w:rsidRPr="0042015C">
        <w:rPr>
          <w:rStyle w:val="FootnoteReference"/>
        </w:rPr>
        <w:footnoteRef/>
      </w:r>
      <w:r w:rsidRPr="0042015C">
        <w:t xml:space="preserve"> Wenzel, </w:t>
      </w:r>
      <w:r w:rsidRPr="0042015C">
        <w:rPr>
          <w:i/>
        </w:rPr>
        <w:t>Preaching</w:t>
      </w:r>
      <w:r w:rsidRPr="0042015C">
        <w:t>, p. 253.</w:t>
      </w:r>
    </w:p>
  </w:footnote>
  <w:footnote w:id="46">
    <w:p w14:paraId="1AE59A7D" w14:textId="77777777" w:rsidR="006F7E0D" w:rsidRDefault="006F7E0D">
      <w:pPr>
        <w:pStyle w:val="FootnoteText"/>
      </w:pPr>
      <w:r>
        <w:rPr>
          <w:rStyle w:val="FootnoteReference"/>
        </w:rPr>
        <w:footnoteRef/>
      </w:r>
      <w:r>
        <w:t xml:space="preserve"> For detailed discussion of these unsuccessful campaigns, failed peace-talks at Bruges and the lead-up to the Good </w:t>
      </w:r>
      <w:r w:rsidRPr="0042015C">
        <w:t xml:space="preserve">Parliament, see Holmes, </w:t>
      </w:r>
      <w:r w:rsidRPr="0042015C">
        <w:rPr>
          <w:i/>
        </w:rPr>
        <w:t>Good Parliament</w:t>
      </w:r>
      <w:r w:rsidRPr="0042015C">
        <w:t xml:space="preserve">, p. 33-62 and Sumption, </w:t>
      </w:r>
      <w:r w:rsidRPr="0042015C">
        <w:rPr>
          <w:i/>
        </w:rPr>
        <w:t>Hundred</w:t>
      </w:r>
      <w:r w:rsidRPr="0042015C">
        <w:t>, 3, pp. 212-38, 249-52</w:t>
      </w:r>
      <w:r>
        <w:t xml:space="preserve">. </w:t>
      </w:r>
    </w:p>
  </w:footnote>
  <w:footnote w:id="47">
    <w:p w14:paraId="75646CCC" w14:textId="77777777" w:rsidR="006F7E0D" w:rsidRDefault="006F7E0D">
      <w:pPr>
        <w:pStyle w:val="FootnoteText"/>
      </w:pPr>
      <w:r w:rsidRPr="00CA5943">
        <w:rPr>
          <w:rStyle w:val="FootnoteReference"/>
        </w:rPr>
        <w:footnoteRef/>
      </w:r>
      <w:r w:rsidRPr="00CA5943">
        <w:t xml:space="preserve"> On the eyewitness nature of the account, see ‘Introduction’ to </w:t>
      </w:r>
      <w:proofErr w:type="spellStart"/>
      <w:r w:rsidRPr="00CA5943">
        <w:rPr>
          <w:i/>
        </w:rPr>
        <w:t>Anonimalle</w:t>
      </w:r>
      <w:proofErr w:type="spellEnd"/>
      <w:r w:rsidRPr="00CA5943">
        <w:t>, pp. xliii-xlv.</w:t>
      </w:r>
    </w:p>
  </w:footnote>
  <w:footnote w:id="48">
    <w:p w14:paraId="28AEC193" w14:textId="77777777" w:rsidR="006F7E0D" w:rsidRPr="00CA5943" w:rsidRDefault="006F7E0D">
      <w:pPr>
        <w:pStyle w:val="FootnoteText"/>
      </w:pPr>
      <w:r w:rsidRPr="00CA5943">
        <w:rPr>
          <w:rStyle w:val="FootnoteReference"/>
        </w:rPr>
        <w:footnoteRef/>
      </w:r>
      <w:r w:rsidRPr="00CA5943">
        <w:t xml:space="preserve"> </w:t>
      </w:r>
      <w:proofErr w:type="spellStart"/>
      <w:r w:rsidRPr="00CA5943">
        <w:rPr>
          <w:i/>
        </w:rPr>
        <w:t>Anonimalle</w:t>
      </w:r>
      <w:proofErr w:type="spellEnd"/>
      <w:r w:rsidRPr="00CA5943">
        <w:t>, p. 79.</w:t>
      </w:r>
    </w:p>
  </w:footnote>
  <w:footnote w:id="49">
    <w:p w14:paraId="5344FACB" w14:textId="77777777" w:rsidR="006F7E0D" w:rsidRPr="00CA5943" w:rsidRDefault="006F7E0D">
      <w:pPr>
        <w:pStyle w:val="FootnoteText"/>
      </w:pPr>
      <w:r w:rsidRPr="00CA5943">
        <w:rPr>
          <w:rStyle w:val="FootnoteReference"/>
        </w:rPr>
        <w:footnoteRef/>
      </w:r>
      <w:r w:rsidRPr="00CA5943">
        <w:t xml:space="preserve"> </w:t>
      </w:r>
      <w:proofErr w:type="spellStart"/>
      <w:r w:rsidRPr="00CA5943">
        <w:rPr>
          <w:i/>
        </w:rPr>
        <w:t>Anonimalle</w:t>
      </w:r>
      <w:proofErr w:type="spellEnd"/>
      <w:r w:rsidRPr="00CA5943">
        <w:t xml:space="preserve">, p. 80. </w:t>
      </w:r>
    </w:p>
  </w:footnote>
  <w:footnote w:id="50">
    <w:p w14:paraId="18562826" w14:textId="77777777" w:rsidR="006F7E0D" w:rsidRPr="00E10232" w:rsidRDefault="006F7E0D">
      <w:pPr>
        <w:pStyle w:val="FootnoteText"/>
      </w:pPr>
      <w:r w:rsidRPr="00CA5943">
        <w:rPr>
          <w:rStyle w:val="FootnoteReference"/>
        </w:rPr>
        <w:footnoteRef/>
      </w:r>
      <w:r w:rsidRPr="00CA5943">
        <w:t xml:space="preserve"> </w:t>
      </w:r>
      <w:proofErr w:type="spellStart"/>
      <w:r w:rsidRPr="00CA5943">
        <w:rPr>
          <w:i/>
        </w:rPr>
        <w:t>Anonimalle</w:t>
      </w:r>
      <w:proofErr w:type="spellEnd"/>
      <w:r w:rsidRPr="00CA5943">
        <w:t>, p. 81.</w:t>
      </w:r>
      <w:r w:rsidRPr="00E10232">
        <w:t xml:space="preserve"> </w:t>
      </w:r>
    </w:p>
  </w:footnote>
  <w:footnote w:id="51">
    <w:p w14:paraId="3C4EEA95" w14:textId="77777777" w:rsidR="006F7E0D" w:rsidRDefault="006F7E0D">
      <w:pPr>
        <w:pStyle w:val="FootnoteText"/>
      </w:pPr>
      <w:r>
        <w:rPr>
          <w:rStyle w:val="FootnoteReference"/>
        </w:rPr>
        <w:footnoteRef/>
      </w:r>
      <w:r>
        <w:t xml:space="preserve"> </w:t>
      </w:r>
      <w:proofErr w:type="spellStart"/>
      <w:r w:rsidRPr="00CA5943">
        <w:rPr>
          <w:i/>
        </w:rPr>
        <w:t>Anonimalle</w:t>
      </w:r>
      <w:proofErr w:type="spellEnd"/>
      <w:r>
        <w:t>, p. 85.</w:t>
      </w:r>
    </w:p>
  </w:footnote>
  <w:footnote w:id="52">
    <w:p w14:paraId="3A8A397C" w14:textId="77777777" w:rsidR="006F7E0D" w:rsidRDefault="006F7E0D">
      <w:pPr>
        <w:pStyle w:val="FootnoteText"/>
      </w:pPr>
      <w:r w:rsidRPr="00CA5943">
        <w:rPr>
          <w:rStyle w:val="FootnoteReference"/>
        </w:rPr>
        <w:footnoteRef/>
      </w:r>
      <w:r w:rsidRPr="00CA5943">
        <w:t xml:space="preserve"> </w:t>
      </w:r>
      <w:proofErr w:type="spellStart"/>
      <w:r w:rsidRPr="00CA5943">
        <w:rPr>
          <w:i/>
        </w:rPr>
        <w:t>Anonimalle</w:t>
      </w:r>
      <w:proofErr w:type="spellEnd"/>
      <w:r w:rsidRPr="00CA5943">
        <w:t xml:space="preserve">, pp. 85, 93-94, cf. </w:t>
      </w:r>
      <w:r w:rsidRPr="00CA5943">
        <w:rPr>
          <w:i/>
        </w:rPr>
        <w:t>Parliament Rolls</w:t>
      </w:r>
      <w:r w:rsidRPr="00CA5943">
        <w:t xml:space="preserve">, ed. Ormrod, 5, 300-306; see further Holmes, </w:t>
      </w:r>
      <w:r w:rsidRPr="00CA5943">
        <w:rPr>
          <w:i/>
        </w:rPr>
        <w:t>Good Parliament</w:t>
      </w:r>
      <w:r w:rsidRPr="00CA5943">
        <w:t>,</w:t>
      </w:r>
      <w:r w:rsidRPr="00B00645">
        <w:t xml:space="preserve"> </w:t>
      </w:r>
      <w:r w:rsidRPr="005D31C4">
        <w:t xml:space="preserve">pp. 108-14, 126-34; Butt, </w:t>
      </w:r>
      <w:r w:rsidRPr="005D31C4">
        <w:rPr>
          <w:i/>
        </w:rPr>
        <w:t>History</w:t>
      </w:r>
      <w:r w:rsidRPr="005D31C4">
        <w:t xml:space="preserve">, pp. 345-49, </w:t>
      </w:r>
      <w:r w:rsidRPr="005D31C4">
        <w:rPr>
          <w:i/>
        </w:rPr>
        <w:t>Parliament Rolls</w:t>
      </w:r>
      <w:r w:rsidRPr="005D31C4">
        <w:t xml:space="preserve">, ed. Ormrod, 5, 289-94; and Sumption, </w:t>
      </w:r>
      <w:r w:rsidRPr="005D31C4">
        <w:rPr>
          <w:i/>
        </w:rPr>
        <w:t>Hundred</w:t>
      </w:r>
      <w:r w:rsidRPr="005D31C4">
        <w:t>, 3,</w:t>
      </w:r>
      <w:r>
        <w:t xml:space="preserve"> 252-262</w:t>
      </w:r>
      <w:r w:rsidRPr="00B00645">
        <w:t>.</w:t>
      </w:r>
      <w:r>
        <w:t xml:space="preserve"> </w:t>
      </w:r>
    </w:p>
  </w:footnote>
  <w:footnote w:id="53">
    <w:p w14:paraId="63CC1E57" w14:textId="77777777" w:rsidR="006F7E0D" w:rsidRDefault="006F7E0D">
      <w:pPr>
        <w:pStyle w:val="FootnoteText"/>
      </w:pPr>
      <w:r>
        <w:rPr>
          <w:rStyle w:val="FootnoteReference"/>
        </w:rPr>
        <w:footnoteRef/>
      </w:r>
      <w:r>
        <w:t xml:space="preserve"> </w:t>
      </w:r>
      <w:r w:rsidRPr="006E67DB">
        <w:rPr>
          <w:i/>
        </w:rPr>
        <w:t>Parliament Rolls</w:t>
      </w:r>
      <w:r>
        <w:t>, ed. Ormrod, 5, 295.</w:t>
      </w:r>
    </w:p>
  </w:footnote>
  <w:footnote w:id="54">
    <w:p w14:paraId="28B4D6B5" w14:textId="77777777" w:rsidR="006F7E0D" w:rsidRDefault="006F7E0D">
      <w:pPr>
        <w:pStyle w:val="FootnoteText"/>
      </w:pPr>
      <w:r>
        <w:rPr>
          <w:rStyle w:val="FootnoteReference"/>
        </w:rPr>
        <w:footnoteRef/>
      </w:r>
      <w:r>
        <w:t xml:space="preserve"> </w:t>
      </w:r>
      <w:r w:rsidRPr="006E67DB">
        <w:rPr>
          <w:i/>
        </w:rPr>
        <w:t>Parliament Rolls</w:t>
      </w:r>
      <w:r>
        <w:t>, ed. Ormrod, 5, 297-98.</w:t>
      </w:r>
    </w:p>
  </w:footnote>
  <w:footnote w:id="55">
    <w:p w14:paraId="3C9DB532" w14:textId="77777777" w:rsidR="006F7E0D" w:rsidRPr="005D31C4" w:rsidRDefault="006F7E0D">
      <w:pPr>
        <w:pStyle w:val="FootnoteText"/>
      </w:pPr>
      <w:r w:rsidRPr="005D31C4">
        <w:rPr>
          <w:rStyle w:val="FootnoteReference"/>
        </w:rPr>
        <w:footnoteRef/>
      </w:r>
      <w:r w:rsidRPr="005D31C4">
        <w:t xml:space="preserve"> </w:t>
      </w:r>
      <w:r w:rsidRPr="005D31C4">
        <w:rPr>
          <w:i/>
        </w:rPr>
        <w:t>St Albans</w:t>
      </w:r>
      <w:r w:rsidRPr="005D31C4">
        <w:t xml:space="preserve">, 1, 2-9. </w:t>
      </w:r>
    </w:p>
  </w:footnote>
  <w:footnote w:id="56">
    <w:p w14:paraId="093D1808" w14:textId="77777777" w:rsidR="006F7E0D" w:rsidRPr="005D31C4" w:rsidRDefault="006F7E0D">
      <w:pPr>
        <w:pStyle w:val="FootnoteText"/>
      </w:pPr>
      <w:r w:rsidRPr="005D31C4">
        <w:rPr>
          <w:rStyle w:val="FootnoteReference"/>
        </w:rPr>
        <w:footnoteRef/>
      </w:r>
      <w:r w:rsidRPr="005D31C4">
        <w:t xml:space="preserve"> </w:t>
      </w:r>
      <w:r w:rsidRPr="005D31C4">
        <w:rPr>
          <w:i/>
        </w:rPr>
        <w:t>St Albans</w:t>
      </w:r>
      <w:r w:rsidRPr="005D31C4">
        <w:t xml:space="preserve">, 1, 10-11. </w:t>
      </w:r>
    </w:p>
  </w:footnote>
  <w:footnote w:id="57">
    <w:p w14:paraId="07CFAEB8" w14:textId="77777777" w:rsidR="006F7E0D" w:rsidRDefault="006F7E0D">
      <w:pPr>
        <w:pStyle w:val="FootnoteText"/>
      </w:pPr>
      <w:r w:rsidRPr="005D31C4">
        <w:rPr>
          <w:rStyle w:val="FootnoteReference"/>
        </w:rPr>
        <w:footnoteRef/>
      </w:r>
      <w:r w:rsidRPr="005D31C4">
        <w:t xml:space="preserve"> </w:t>
      </w:r>
      <w:r w:rsidRPr="005D31C4">
        <w:rPr>
          <w:i/>
        </w:rPr>
        <w:t>St Albans</w:t>
      </w:r>
      <w:r w:rsidRPr="005D31C4">
        <w:t>, 1, 36-37.</w:t>
      </w:r>
      <w:r>
        <w:t xml:space="preserve"> </w:t>
      </w:r>
    </w:p>
  </w:footnote>
  <w:footnote w:id="58">
    <w:p w14:paraId="456E8B15" w14:textId="77777777" w:rsidR="006F7E0D" w:rsidRDefault="006F7E0D">
      <w:pPr>
        <w:pStyle w:val="FootnoteText"/>
      </w:pPr>
      <w:r w:rsidRPr="005D31C4">
        <w:rPr>
          <w:rStyle w:val="FootnoteReference"/>
        </w:rPr>
        <w:footnoteRef/>
      </w:r>
      <w:r w:rsidRPr="005D31C4">
        <w:t xml:space="preserve"> Holmes, </w:t>
      </w:r>
      <w:r w:rsidRPr="005D31C4">
        <w:rPr>
          <w:i/>
        </w:rPr>
        <w:t>Good Parliament</w:t>
      </w:r>
      <w:r w:rsidRPr="005D31C4">
        <w:t>, pp. 161-65.</w:t>
      </w:r>
      <w:r>
        <w:t xml:space="preserve"> </w:t>
      </w:r>
    </w:p>
  </w:footnote>
  <w:footnote w:id="59">
    <w:p w14:paraId="3CDA6DFC" w14:textId="77777777" w:rsidR="006F7E0D" w:rsidRDefault="006F7E0D">
      <w:pPr>
        <w:pStyle w:val="FootnoteText"/>
      </w:pPr>
      <w:r w:rsidRPr="005D31C4">
        <w:rPr>
          <w:rStyle w:val="FootnoteReference"/>
        </w:rPr>
        <w:footnoteRef/>
      </w:r>
      <w:r w:rsidRPr="005D31C4">
        <w:t xml:space="preserve"> Giancarlo, </w:t>
      </w:r>
      <w:r w:rsidRPr="005D31C4">
        <w:rPr>
          <w:i/>
        </w:rPr>
        <w:t>Parliament</w:t>
      </w:r>
      <w:r w:rsidRPr="005D31C4">
        <w:t>, pp. 190-92.</w:t>
      </w:r>
    </w:p>
  </w:footnote>
  <w:footnote w:id="60">
    <w:p w14:paraId="22BA2FB8" w14:textId="77777777" w:rsidR="006F7E0D" w:rsidRDefault="006F7E0D">
      <w:pPr>
        <w:pStyle w:val="FootnoteText"/>
      </w:pPr>
      <w:r w:rsidRPr="005D31C4">
        <w:rPr>
          <w:rStyle w:val="FootnoteReference"/>
        </w:rPr>
        <w:footnoteRef/>
      </w:r>
      <w:r w:rsidRPr="005D31C4">
        <w:t xml:space="preserve"> See the entries for </w:t>
      </w:r>
      <w:r w:rsidRPr="005D31C4">
        <w:rPr>
          <w:i/>
        </w:rPr>
        <w:t>coning</w:t>
      </w:r>
      <w:r w:rsidRPr="005D31C4">
        <w:t xml:space="preserve"> in the </w:t>
      </w:r>
      <w:r w:rsidRPr="005D31C4">
        <w:rPr>
          <w:i/>
        </w:rPr>
        <w:t>OED</w:t>
      </w:r>
      <w:r w:rsidRPr="005D31C4">
        <w:t xml:space="preserve"> and </w:t>
      </w:r>
      <w:r w:rsidRPr="005D31C4">
        <w:rPr>
          <w:i/>
        </w:rPr>
        <w:t>MED</w:t>
      </w:r>
      <w:r w:rsidRPr="005D31C4">
        <w:t xml:space="preserve">. On this translation, see </w:t>
      </w:r>
      <w:proofErr w:type="spellStart"/>
      <w:r w:rsidRPr="005D31C4">
        <w:t>Allmand</w:t>
      </w:r>
      <w:proofErr w:type="spellEnd"/>
      <w:r w:rsidRPr="005D31C4">
        <w:t xml:space="preserve">, </w:t>
      </w:r>
      <w:r w:rsidRPr="005D31C4">
        <w:rPr>
          <w:i/>
        </w:rPr>
        <w:t xml:space="preserve">De Re </w:t>
      </w:r>
      <w:proofErr w:type="spellStart"/>
      <w:r w:rsidRPr="005D31C4">
        <w:rPr>
          <w:i/>
        </w:rPr>
        <w:t>Militari</w:t>
      </w:r>
      <w:proofErr w:type="spellEnd"/>
      <w:r w:rsidRPr="005D31C4">
        <w:t>, pp. 185-87 and</w:t>
      </w:r>
      <w:r>
        <w:t xml:space="preserve"> </w:t>
      </w:r>
      <w:r w:rsidRPr="005D31C4">
        <w:t>Hanna, ‘Thomas Berkeley’, pp. 899-902.</w:t>
      </w:r>
    </w:p>
  </w:footnote>
  <w:footnote w:id="61">
    <w:p w14:paraId="5BC57125" w14:textId="77777777" w:rsidR="006F7E0D" w:rsidRDefault="006F7E0D">
      <w:pPr>
        <w:pStyle w:val="FootnoteText"/>
      </w:pPr>
      <w:r>
        <w:rPr>
          <w:rStyle w:val="FootnoteReference"/>
        </w:rPr>
        <w:footnoteRef/>
      </w:r>
      <w:r>
        <w:t xml:space="preserve"> A comparison of French soldiers to rabbits also occurs in one of the Harley 2253 lyrics, ‘</w:t>
      </w:r>
      <w:proofErr w:type="spellStart"/>
      <w:r>
        <w:t>Lustneth</w:t>
      </w:r>
      <w:proofErr w:type="spellEnd"/>
      <w:r>
        <w:t xml:space="preserve">, </w:t>
      </w:r>
      <w:proofErr w:type="spellStart"/>
      <w:r>
        <w:t>lordinges</w:t>
      </w:r>
      <w:proofErr w:type="spellEnd"/>
      <w:r>
        <w:t xml:space="preserve">, both </w:t>
      </w:r>
      <w:proofErr w:type="spellStart"/>
      <w:r>
        <w:t>younge</w:t>
      </w:r>
      <w:proofErr w:type="spellEnd"/>
      <w:r>
        <w:t xml:space="preserve"> and </w:t>
      </w:r>
      <w:proofErr w:type="spellStart"/>
      <w:r>
        <w:t>olde</w:t>
      </w:r>
      <w:proofErr w:type="spellEnd"/>
      <w:r>
        <w:t xml:space="preserve">’ (l. 81), text in </w:t>
      </w:r>
      <w:r w:rsidRPr="00134840">
        <w:rPr>
          <w:i/>
        </w:rPr>
        <w:t>Harley 2253</w:t>
      </w:r>
      <w:r>
        <w:t xml:space="preserve">, ed. Fein. I thank Daniel Davies for drawing my attention to this. </w:t>
      </w:r>
    </w:p>
  </w:footnote>
  <w:footnote w:id="62">
    <w:p w14:paraId="40928756" w14:textId="77777777" w:rsidR="006F7E0D" w:rsidRDefault="006F7E0D">
      <w:pPr>
        <w:pStyle w:val="FootnoteText"/>
      </w:pPr>
      <w:r w:rsidRPr="005D31C4">
        <w:rPr>
          <w:rStyle w:val="FootnoteReference"/>
        </w:rPr>
        <w:footnoteRef/>
      </w:r>
      <w:r w:rsidRPr="005D31C4">
        <w:t xml:space="preserve"> Steiner, </w:t>
      </w:r>
      <w:r w:rsidRPr="005D31C4">
        <w:rPr>
          <w:i/>
        </w:rPr>
        <w:t>Reading</w:t>
      </w:r>
      <w:r w:rsidRPr="005D31C4">
        <w:t>, p. 51.</w:t>
      </w:r>
      <w:r>
        <w:t xml:space="preserve"> </w:t>
      </w:r>
    </w:p>
  </w:footnote>
  <w:footnote w:id="63">
    <w:p w14:paraId="505EC17D" w14:textId="77777777" w:rsidR="006F7E0D" w:rsidRDefault="006F7E0D">
      <w:pPr>
        <w:pStyle w:val="FootnoteText"/>
      </w:pPr>
      <w:r w:rsidRPr="008619C8">
        <w:rPr>
          <w:rStyle w:val="FootnoteReference"/>
        </w:rPr>
        <w:footnoteRef/>
      </w:r>
      <w:r w:rsidRPr="008619C8">
        <w:t xml:space="preserve"> For the seminal treatments, see </w:t>
      </w:r>
      <w:proofErr w:type="spellStart"/>
      <w:r w:rsidRPr="008619C8">
        <w:t>Wimsatt</w:t>
      </w:r>
      <w:proofErr w:type="spellEnd"/>
      <w:r w:rsidRPr="008619C8">
        <w:t xml:space="preserve">, </w:t>
      </w:r>
      <w:r w:rsidRPr="008619C8">
        <w:rPr>
          <w:i/>
        </w:rPr>
        <w:t>Chaucer</w:t>
      </w:r>
      <w:r w:rsidRPr="008619C8">
        <w:t xml:space="preserve">; Butterfield, </w:t>
      </w:r>
      <w:r w:rsidRPr="008619C8">
        <w:rPr>
          <w:i/>
        </w:rPr>
        <w:t>Familiar</w:t>
      </w:r>
      <w:r>
        <w:t>; and R.F Yeager, ‘</w:t>
      </w:r>
      <w:r w:rsidRPr="008619C8">
        <w:t>John Gower’s Audience</w:t>
      </w:r>
      <w:r>
        <w:t>’, ‘</w:t>
      </w:r>
      <w:r w:rsidRPr="008619C8">
        <w:t>John Gower’s French</w:t>
      </w:r>
      <w:r>
        <w:t>’, and ‘</w:t>
      </w:r>
      <w:r w:rsidRPr="008619C8">
        <w:t>Politics</w:t>
      </w:r>
      <w:r>
        <w:t>’.</w:t>
      </w:r>
      <w:r w:rsidRPr="008619C8">
        <w:t xml:space="preserve"> On the relationship between Langland and the </w:t>
      </w:r>
      <w:r w:rsidRPr="008619C8">
        <w:rPr>
          <w:i/>
        </w:rPr>
        <w:t xml:space="preserve">Roman de </w:t>
      </w:r>
      <w:proofErr w:type="spellStart"/>
      <w:r w:rsidRPr="008619C8">
        <w:rPr>
          <w:i/>
        </w:rPr>
        <w:t>Fauvel</w:t>
      </w:r>
      <w:proofErr w:type="spellEnd"/>
      <w:r w:rsidRPr="008619C8">
        <w:t>, see Galloway’s contribution to this essay cluster.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8641"/>
      <w:docPartObj>
        <w:docPartGallery w:val="Page Numbers (Top of Page)"/>
        <w:docPartUnique/>
      </w:docPartObj>
    </w:sdtPr>
    <w:sdtEndPr/>
    <w:sdtContent>
      <w:p w14:paraId="1B635F19" w14:textId="77777777" w:rsidR="006F7E0D" w:rsidRDefault="004456B4">
        <w:pPr>
          <w:pStyle w:val="Header"/>
          <w:jc w:val="right"/>
        </w:pPr>
        <w:r>
          <w:rPr>
            <w:noProof/>
          </w:rPr>
          <w:fldChar w:fldCharType="begin"/>
        </w:r>
        <w:r>
          <w:rPr>
            <w:noProof/>
          </w:rPr>
          <w:instrText xml:space="preserve"> PAGE   \* MERGEFORMAT </w:instrText>
        </w:r>
        <w:r>
          <w:rPr>
            <w:noProof/>
          </w:rPr>
          <w:fldChar w:fldCharType="separate"/>
        </w:r>
        <w:r w:rsidR="00BF2795">
          <w:rPr>
            <w:noProof/>
          </w:rPr>
          <w:t>12</w:t>
        </w:r>
        <w:r>
          <w:rPr>
            <w:noProof/>
          </w:rPr>
          <w:fldChar w:fldCharType="end"/>
        </w:r>
      </w:p>
    </w:sdtContent>
  </w:sdt>
  <w:p w14:paraId="4E440F42" w14:textId="77777777" w:rsidR="006F7E0D" w:rsidRDefault="006F7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formatting="1" w:enforcement="1" w:cryptProviderType="rsaAES" w:cryptAlgorithmClass="hash" w:cryptAlgorithmType="typeAny" w:cryptAlgorithmSid="14" w:cryptSpinCount="100000" w:hash="o+Tq8WRLSzO6+lGrc6Z4W+B5KmvrxZGi9du089NZzyEpSCgMUGQVITBVIk2Pci4W3d5JzsCZEpON67OjNNBUvw==" w:salt="+id9SuWl+HFifWZ2NdLvi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33"/>
    <w:rsid w:val="00022467"/>
    <w:rsid w:val="00023E7D"/>
    <w:rsid w:val="0002548D"/>
    <w:rsid w:val="0002561D"/>
    <w:rsid w:val="00025D3A"/>
    <w:rsid w:val="00031F49"/>
    <w:rsid w:val="0003306D"/>
    <w:rsid w:val="000422B3"/>
    <w:rsid w:val="00043D40"/>
    <w:rsid w:val="0005479A"/>
    <w:rsid w:val="00055E29"/>
    <w:rsid w:val="0006434F"/>
    <w:rsid w:val="00070D13"/>
    <w:rsid w:val="000761EC"/>
    <w:rsid w:val="00095862"/>
    <w:rsid w:val="000A128B"/>
    <w:rsid w:val="000A7BEE"/>
    <w:rsid w:val="000B33AD"/>
    <w:rsid w:val="000B6DA3"/>
    <w:rsid w:val="000D315B"/>
    <w:rsid w:val="00101A56"/>
    <w:rsid w:val="00102353"/>
    <w:rsid w:val="00102E51"/>
    <w:rsid w:val="00103B4D"/>
    <w:rsid w:val="0010694B"/>
    <w:rsid w:val="001113AD"/>
    <w:rsid w:val="0012149E"/>
    <w:rsid w:val="00130A11"/>
    <w:rsid w:val="00134840"/>
    <w:rsid w:val="0013763F"/>
    <w:rsid w:val="001411BB"/>
    <w:rsid w:val="0014235A"/>
    <w:rsid w:val="00150DC8"/>
    <w:rsid w:val="00157FDD"/>
    <w:rsid w:val="001709DD"/>
    <w:rsid w:val="00181132"/>
    <w:rsid w:val="00182BB3"/>
    <w:rsid w:val="0018422D"/>
    <w:rsid w:val="0018723D"/>
    <w:rsid w:val="001916D4"/>
    <w:rsid w:val="00194565"/>
    <w:rsid w:val="00194ECF"/>
    <w:rsid w:val="001A70B8"/>
    <w:rsid w:val="001C6855"/>
    <w:rsid w:val="001F0C2F"/>
    <w:rsid w:val="002101FE"/>
    <w:rsid w:val="002171FC"/>
    <w:rsid w:val="00217713"/>
    <w:rsid w:val="002222E2"/>
    <w:rsid w:val="0022404D"/>
    <w:rsid w:val="00224145"/>
    <w:rsid w:val="00236E5D"/>
    <w:rsid w:val="0025109A"/>
    <w:rsid w:val="00261DFD"/>
    <w:rsid w:val="00271E2A"/>
    <w:rsid w:val="002907EC"/>
    <w:rsid w:val="0029310F"/>
    <w:rsid w:val="00293115"/>
    <w:rsid w:val="002B1286"/>
    <w:rsid w:val="002B35AA"/>
    <w:rsid w:val="002C0258"/>
    <w:rsid w:val="002C1CFF"/>
    <w:rsid w:val="002C4D43"/>
    <w:rsid w:val="002C51D2"/>
    <w:rsid w:val="002C5C58"/>
    <w:rsid w:val="002D07B0"/>
    <w:rsid w:val="002D2800"/>
    <w:rsid w:val="002D6C48"/>
    <w:rsid w:val="002F14FD"/>
    <w:rsid w:val="002F1827"/>
    <w:rsid w:val="0031568B"/>
    <w:rsid w:val="003239B5"/>
    <w:rsid w:val="00327255"/>
    <w:rsid w:val="003273E1"/>
    <w:rsid w:val="00331EA6"/>
    <w:rsid w:val="00335008"/>
    <w:rsid w:val="00342B6A"/>
    <w:rsid w:val="003437BD"/>
    <w:rsid w:val="00344C64"/>
    <w:rsid w:val="00346A29"/>
    <w:rsid w:val="00347C34"/>
    <w:rsid w:val="003557FC"/>
    <w:rsid w:val="00355A85"/>
    <w:rsid w:val="00357004"/>
    <w:rsid w:val="003601A2"/>
    <w:rsid w:val="0036093A"/>
    <w:rsid w:val="00366940"/>
    <w:rsid w:val="00370336"/>
    <w:rsid w:val="00371929"/>
    <w:rsid w:val="003743D4"/>
    <w:rsid w:val="00390B9C"/>
    <w:rsid w:val="00395040"/>
    <w:rsid w:val="003A1F42"/>
    <w:rsid w:val="003A3D27"/>
    <w:rsid w:val="003A5BE1"/>
    <w:rsid w:val="003A5E80"/>
    <w:rsid w:val="003B181B"/>
    <w:rsid w:val="003B31D2"/>
    <w:rsid w:val="003E3031"/>
    <w:rsid w:val="003E5267"/>
    <w:rsid w:val="003E7DFF"/>
    <w:rsid w:val="003F6610"/>
    <w:rsid w:val="004057A0"/>
    <w:rsid w:val="00407A59"/>
    <w:rsid w:val="004110F1"/>
    <w:rsid w:val="00412326"/>
    <w:rsid w:val="004148C6"/>
    <w:rsid w:val="00416537"/>
    <w:rsid w:val="00416D18"/>
    <w:rsid w:val="00417C21"/>
    <w:rsid w:val="0042015C"/>
    <w:rsid w:val="00423CAD"/>
    <w:rsid w:val="00426751"/>
    <w:rsid w:val="00443398"/>
    <w:rsid w:val="004456B4"/>
    <w:rsid w:val="004523F7"/>
    <w:rsid w:val="00457644"/>
    <w:rsid w:val="00466DEB"/>
    <w:rsid w:val="00483549"/>
    <w:rsid w:val="00485DCF"/>
    <w:rsid w:val="00495897"/>
    <w:rsid w:val="004A1514"/>
    <w:rsid w:val="004A498D"/>
    <w:rsid w:val="004C19D3"/>
    <w:rsid w:val="004C7C65"/>
    <w:rsid w:val="004D027A"/>
    <w:rsid w:val="004D3E47"/>
    <w:rsid w:val="004E0BA2"/>
    <w:rsid w:val="004F0997"/>
    <w:rsid w:val="004F0CE4"/>
    <w:rsid w:val="004F17F1"/>
    <w:rsid w:val="004F18E9"/>
    <w:rsid w:val="004F21AE"/>
    <w:rsid w:val="004F2DD3"/>
    <w:rsid w:val="005319B2"/>
    <w:rsid w:val="00552079"/>
    <w:rsid w:val="005537D5"/>
    <w:rsid w:val="00556E2B"/>
    <w:rsid w:val="005573ED"/>
    <w:rsid w:val="00581AFD"/>
    <w:rsid w:val="005872EE"/>
    <w:rsid w:val="005B413C"/>
    <w:rsid w:val="005B6B8B"/>
    <w:rsid w:val="005C6341"/>
    <w:rsid w:val="005D2678"/>
    <w:rsid w:val="005D31C4"/>
    <w:rsid w:val="005D6F1C"/>
    <w:rsid w:val="005D791E"/>
    <w:rsid w:val="005D7DD0"/>
    <w:rsid w:val="005E5DA8"/>
    <w:rsid w:val="005E7AF9"/>
    <w:rsid w:val="005F2557"/>
    <w:rsid w:val="005F2E43"/>
    <w:rsid w:val="005F46B0"/>
    <w:rsid w:val="00604CAC"/>
    <w:rsid w:val="0064241F"/>
    <w:rsid w:val="00654595"/>
    <w:rsid w:val="006958FA"/>
    <w:rsid w:val="006A0354"/>
    <w:rsid w:val="006A3A89"/>
    <w:rsid w:val="006C6301"/>
    <w:rsid w:val="006E0332"/>
    <w:rsid w:val="006E5913"/>
    <w:rsid w:val="006E67DB"/>
    <w:rsid w:val="006F4820"/>
    <w:rsid w:val="006F54BE"/>
    <w:rsid w:val="006F7E0D"/>
    <w:rsid w:val="00703EBC"/>
    <w:rsid w:val="007163C9"/>
    <w:rsid w:val="007342B7"/>
    <w:rsid w:val="00735498"/>
    <w:rsid w:val="00742F24"/>
    <w:rsid w:val="00745342"/>
    <w:rsid w:val="00753E3F"/>
    <w:rsid w:val="00760498"/>
    <w:rsid w:val="00763010"/>
    <w:rsid w:val="007654F9"/>
    <w:rsid w:val="007658AF"/>
    <w:rsid w:val="00766FF9"/>
    <w:rsid w:val="00775839"/>
    <w:rsid w:val="00790F6F"/>
    <w:rsid w:val="00793650"/>
    <w:rsid w:val="007A1FF4"/>
    <w:rsid w:val="007A510A"/>
    <w:rsid w:val="007A777E"/>
    <w:rsid w:val="007B60B6"/>
    <w:rsid w:val="007B759C"/>
    <w:rsid w:val="007C0091"/>
    <w:rsid w:val="007D2FDC"/>
    <w:rsid w:val="007D575C"/>
    <w:rsid w:val="007D6942"/>
    <w:rsid w:val="007E4B76"/>
    <w:rsid w:val="007F1B5C"/>
    <w:rsid w:val="00807965"/>
    <w:rsid w:val="00814C79"/>
    <w:rsid w:val="008158E0"/>
    <w:rsid w:val="00820035"/>
    <w:rsid w:val="008237BC"/>
    <w:rsid w:val="008373B4"/>
    <w:rsid w:val="008525E2"/>
    <w:rsid w:val="008619C8"/>
    <w:rsid w:val="00870E5F"/>
    <w:rsid w:val="00871D9C"/>
    <w:rsid w:val="00873C5B"/>
    <w:rsid w:val="00890D94"/>
    <w:rsid w:val="008A4686"/>
    <w:rsid w:val="008B09A9"/>
    <w:rsid w:val="008B2F04"/>
    <w:rsid w:val="008B3238"/>
    <w:rsid w:val="008B57F9"/>
    <w:rsid w:val="008C7C0C"/>
    <w:rsid w:val="008D7DDC"/>
    <w:rsid w:val="008F397C"/>
    <w:rsid w:val="00901337"/>
    <w:rsid w:val="00901651"/>
    <w:rsid w:val="00901AFE"/>
    <w:rsid w:val="009175BE"/>
    <w:rsid w:val="00922A86"/>
    <w:rsid w:val="009265E7"/>
    <w:rsid w:val="00930222"/>
    <w:rsid w:val="00932215"/>
    <w:rsid w:val="009368DF"/>
    <w:rsid w:val="00944709"/>
    <w:rsid w:val="0095286F"/>
    <w:rsid w:val="00953EA2"/>
    <w:rsid w:val="0095659B"/>
    <w:rsid w:val="00957517"/>
    <w:rsid w:val="00962EF3"/>
    <w:rsid w:val="00965408"/>
    <w:rsid w:val="009670D8"/>
    <w:rsid w:val="00970AFB"/>
    <w:rsid w:val="00973846"/>
    <w:rsid w:val="00974C15"/>
    <w:rsid w:val="00974E4E"/>
    <w:rsid w:val="00975142"/>
    <w:rsid w:val="00977B04"/>
    <w:rsid w:val="00981736"/>
    <w:rsid w:val="00990D85"/>
    <w:rsid w:val="00994F56"/>
    <w:rsid w:val="009A107A"/>
    <w:rsid w:val="009A5B65"/>
    <w:rsid w:val="009A78A4"/>
    <w:rsid w:val="009B0801"/>
    <w:rsid w:val="009C0D39"/>
    <w:rsid w:val="009D5E3B"/>
    <w:rsid w:val="009E365B"/>
    <w:rsid w:val="009E6282"/>
    <w:rsid w:val="00A02643"/>
    <w:rsid w:val="00A046CE"/>
    <w:rsid w:val="00A11965"/>
    <w:rsid w:val="00A164B2"/>
    <w:rsid w:val="00A2194B"/>
    <w:rsid w:val="00A314B1"/>
    <w:rsid w:val="00A357A3"/>
    <w:rsid w:val="00A37510"/>
    <w:rsid w:val="00A47D28"/>
    <w:rsid w:val="00A523DD"/>
    <w:rsid w:val="00A52F45"/>
    <w:rsid w:val="00A659CA"/>
    <w:rsid w:val="00A81949"/>
    <w:rsid w:val="00A835B2"/>
    <w:rsid w:val="00A92186"/>
    <w:rsid w:val="00A97841"/>
    <w:rsid w:val="00AA68E8"/>
    <w:rsid w:val="00AA7AA4"/>
    <w:rsid w:val="00AB0AAC"/>
    <w:rsid w:val="00AC2F46"/>
    <w:rsid w:val="00AC6F0F"/>
    <w:rsid w:val="00AD31BC"/>
    <w:rsid w:val="00AD7771"/>
    <w:rsid w:val="00B00645"/>
    <w:rsid w:val="00B06E3B"/>
    <w:rsid w:val="00B06F13"/>
    <w:rsid w:val="00B23207"/>
    <w:rsid w:val="00B2442C"/>
    <w:rsid w:val="00B25A6E"/>
    <w:rsid w:val="00B30381"/>
    <w:rsid w:val="00B32F09"/>
    <w:rsid w:val="00B36C21"/>
    <w:rsid w:val="00B40A2C"/>
    <w:rsid w:val="00B44068"/>
    <w:rsid w:val="00B44158"/>
    <w:rsid w:val="00B5089B"/>
    <w:rsid w:val="00B56784"/>
    <w:rsid w:val="00B70773"/>
    <w:rsid w:val="00B81FB0"/>
    <w:rsid w:val="00B92C02"/>
    <w:rsid w:val="00B97027"/>
    <w:rsid w:val="00B978D2"/>
    <w:rsid w:val="00BA748E"/>
    <w:rsid w:val="00BB5E70"/>
    <w:rsid w:val="00BC3C0E"/>
    <w:rsid w:val="00BC75DD"/>
    <w:rsid w:val="00BE5625"/>
    <w:rsid w:val="00BF05F1"/>
    <w:rsid w:val="00BF2795"/>
    <w:rsid w:val="00BF27A9"/>
    <w:rsid w:val="00BF40CD"/>
    <w:rsid w:val="00C01ECC"/>
    <w:rsid w:val="00C05374"/>
    <w:rsid w:val="00C07699"/>
    <w:rsid w:val="00C12F6A"/>
    <w:rsid w:val="00C20055"/>
    <w:rsid w:val="00C209C3"/>
    <w:rsid w:val="00C21856"/>
    <w:rsid w:val="00C249B6"/>
    <w:rsid w:val="00C24BFB"/>
    <w:rsid w:val="00C305CB"/>
    <w:rsid w:val="00C31F23"/>
    <w:rsid w:val="00C4407E"/>
    <w:rsid w:val="00C73697"/>
    <w:rsid w:val="00C73C34"/>
    <w:rsid w:val="00C74199"/>
    <w:rsid w:val="00C7720B"/>
    <w:rsid w:val="00C82EE2"/>
    <w:rsid w:val="00C95B12"/>
    <w:rsid w:val="00CA04AA"/>
    <w:rsid w:val="00CA2BF0"/>
    <w:rsid w:val="00CA5943"/>
    <w:rsid w:val="00CA7A9B"/>
    <w:rsid w:val="00CB6F60"/>
    <w:rsid w:val="00CC4D23"/>
    <w:rsid w:val="00CC4EC7"/>
    <w:rsid w:val="00CD240C"/>
    <w:rsid w:val="00CD2D7D"/>
    <w:rsid w:val="00CD45AD"/>
    <w:rsid w:val="00CE538C"/>
    <w:rsid w:val="00CF026C"/>
    <w:rsid w:val="00D41E91"/>
    <w:rsid w:val="00D41ECD"/>
    <w:rsid w:val="00D4497C"/>
    <w:rsid w:val="00D5595A"/>
    <w:rsid w:val="00D57B4F"/>
    <w:rsid w:val="00D661C1"/>
    <w:rsid w:val="00D672CB"/>
    <w:rsid w:val="00D67C88"/>
    <w:rsid w:val="00DA2653"/>
    <w:rsid w:val="00DA2D62"/>
    <w:rsid w:val="00DA39D8"/>
    <w:rsid w:val="00DA685A"/>
    <w:rsid w:val="00DB153A"/>
    <w:rsid w:val="00DB1884"/>
    <w:rsid w:val="00DB62BA"/>
    <w:rsid w:val="00DC353A"/>
    <w:rsid w:val="00DC454F"/>
    <w:rsid w:val="00DC52A9"/>
    <w:rsid w:val="00DD0A2E"/>
    <w:rsid w:val="00DD1D5C"/>
    <w:rsid w:val="00DD3837"/>
    <w:rsid w:val="00DD625D"/>
    <w:rsid w:val="00DD6BF2"/>
    <w:rsid w:val="00DE067D"/>
    <w:rsid w:val="00DE520A"/>
    <w:rsid w:val="00E10232"/>
    <w:rsid w:val="00E11C9E"/>
    <w:rsid w:val="00E13849"/>
    <w:rsid w:val="00E14A85"/>
    <w:rsid w:val="00E158D9"/>
    <w:rsid w:val="00E215DA"/>
    <w:rsid w:val="00E24CC0"/>
    <w:rsid w:val="00E31D70"/>
    <w:rsid w:val="00E363A2"/>
    <w:rsid w:val="00E3702D"/>
    <w:rsid w:val="00E445AC"/>
    <w:rsid w:val="00E445DD"/>
    <w:rsid w:val="00E50C5C"/>
    <w:rsid w:val="00E630E2"/>
    <w:rsid w:val="00E72004"/>
    <w:rsid w:val="00E76245"/>
    <w:rsid w:val="00E8284F"/>
    <w:rsid w:val="00E82933"/>
    <w:rsid w:val="00E9417A"/>
    <w:rsid w:val="00E97C38"/>
    <w:rsid w:val="00EA5F10"/>
    <w:rsid w:val="00EB222F"/>
    <w:rsid w:val="00EB7D3E"/>
    <w:rsid w:val="00EC1645"/>
    <w:rsid w:val="00EC16AC"/>
    <w:rsid w:val="00EE00CE"/>
    <w:rsid w:val="00EE03C5"/>
    <w:rsid w:val="00EE211B"/>
    <w:rsid w:val="00EE3295"/>
    <w:rsid w:val="00EE77A8"/>
    <w:rsid w:val="00EF1832"/>
    <w:rsid w:val="00EF1BA5"/>
    <w:rsid w:val="00F00F06"/>
    <w:rsid w:val="00F07210"/>
    <w:rsid w:val="00F1290D"/>
    <w:rsid w:val="00F24869"/>
    <w:rsid w:val="00F24E27"/>
    <w:rsid w:val="00F2663A"/>
    <w:rsid w:val="00F318CE"/>
    <w:rsid w:val="00F36243"/>
    <w:rsid w:val="00F53B95"/>
    <w:rsid w:val="00F544CD"/>
    <w:rsid w:val="00F61BD5"/>
    <w:rsid w:val="00F643E4"/>
    <w:rsid w:val="00F71A6D"/>
    <w:rsid w:val="00F74688"/>
    <w:rsid w:val="00F769C1"/>
    <w:rsid w:val="00F83D32"/>
    <w:rsid w:val="00FB3EAE"/>
    <w:rsid w:val="00FB7F2F"/>
    <w:rsid w:val="00FD3B81"/>
    <w:rsid w:val="00FF5D76"/>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FA2B"/>
  <w15:docId w15:val="{8EFACB73-FEDD-44FD-B204-0F7102B8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33"/>
    <w:rPr>
      <w:rFonts w:ascii="Times New Roman" w:hAnsi="Times New Roman"/>
      <w:sz w:val="24"/>
    </w:rPr>
  </w:style>
  <w:style w:type="paragraph" w:styleId="Heading1">
    <w:name w:val="heading 1"/>
    <w:basedOn w:val="Normal"/>
    <w:next w:val="Normal"/>
    <w:link w:val="Heading1Char"/>
    <w:uiPriority w:val="9"/>
    <w:qFormat/>
    <w:rsid w:val="00A9218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9218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9218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9218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218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2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218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218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218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921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9218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A92186"/>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A92186"/>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A92186"/>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A92186"/>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A921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21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9218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21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218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92186"/>
    <w:rPr>
      <w:rFonts w:asciiTheme="majorHAnsi" w:eastAsiaTheme="majorEastAsia" w:hAnsiTheme="majorHAnsi" w:cstheme="majorBidi"/>
      <w:i/>
      <w:iCs/>
      <w:spacing w:val="13"/>
      <w:sz w:val="24"/>
      <w:szCs w:val="24"/>
    </w:rPr>
  </w:style>
  <w:style w:type="character" w:styleId="Strong">
    <w:name w:val="Strong"/>
    <w:uiPriority w:val="22"/>
    <w:qFormat/>
    <w:rsid w:val="00A92186"/>
    <w:rPr>
      <w:b/>
      <w:bCs/>
    </w:rPr>
  </w:style>
  <w:style w:type="character" w:styleId="Emphasis">
    <w:name w:val="Emphasis"/>
    <w:uiPriority w:val="20"/>
    <w:qFormat/>
    <w:rsid w:val="00A92186"/>
    <w:rPr>
      <w:b/>
      <w:bCs/>
      <w:i/>
      <w:iCs/>
      <w:spacing w:val="10"/>
      <w:bdr w:val="none" w:sz="0" w:space="0" w:color="auto"/>
      <w:shd w:val="clear" w:color="auto" w:fill="auto"/>
    </w:rPr>
  </w:style>
  <w:style w:type="paragraph" w:styleId="NoSpacing">
    <w:name w:val="No Spacing"/>
    <w:basedOn w:val="Normal"/>
    <w:uiPriority w:val="1"/>
    <w:qFormat/>
    <w:rsid w:val="00A92186"/>
  </w:style>
  <w:style w:type="paragraph" w:styleId="ListParagraph">
    <w:name w:val="List Paragraph"/>
    <w:basedOn w:val="Normal"/>
    <w:uiPriority w:val="34"/>
    <w:qFormat/>
    <w:rsid w:val="00A92186"/>
    <w:pPr>
      <w:ind w:left="720"/>
      <w:contextualSpacing/>
    </w:pPr>
  </w:style>
  <w:style w:type="paragraph" w:styleId="Quote">
    <w:name w:val="Quote"/>
    <w:basedOn w:val="Normal"/>
    <w:next w:val="Normal"/>
    <w:link w:val="QuoteChar"/>
    <w:uiPriority w:val="29"/>
    <w:qFormat/>
    <w:rsid w:val="00A92186"/>
    <w:pPr>
      <w:spacing w:before="200"/>
      <w:ind w:left="360" w:right="360"/>
    </w:pPr>
    <w:rPr>
      <w:i/>
      <w:iCs/>
    </w:rPr>
  </w:style>
  <w:style w:type="character" w:customStyle="1" w:styleId="QuoteChar">
    <w:name w:val="Quote Char"/>
    <w:basedOn w:val="DefaultParagraphFont"/>
    <w:link w:val="Quote"/>
    <w:uiPriority w:val="29"/>
    <w:rsid w:val="00A92186"/>
    <w:rPr>
      <w:rFonts w:ascii="Times New Roman" w:hAnsi="Times New Roman"/>
      <w:i/>
      <w:iCs/>
      <w:sz w:val="24"/>
    </w:rPr>
  </w:style>
  <w:style w:type="paragraph" w:styleId="IntenseQuote">
    <w:name w:val="Intense Quote"/>
    <w:basedOn w:val="Normal"/>
    <w:next w:val="Normal"/>
    <w:link w:val="IntenseQuoteChar"/>
    <w:uiPriority w:val="30"/>
    <w:qFormat/>
    <w:rsid w:val="00A92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2186"/>
    <w:rPr>
      <w:rFonts w:ascii="Times New Roman" w:hAnsi="Times New Roman"/>
      <w:b/>
      <w:bCs/>
      <w:i/>
      <w:iCs/>
      <w:sz w:val="24"/>
    </w:rPr>
  </w:style>
  <w:style w:type="character" w:styleId="SubtleEmphasis">
    <w:name w:val="Subtle Emphasis"/>
    <w:uiPriority w:val="19"/>
    <w:qFormat/>
    <w:rsid w:val="00A92186"/>
    <w:rPr>
      <w:i/>
      <w:iCs/>
    </w:rPr>
  </w:style>
  <w:style w:type="character" w:styleId="IntenseEmphasis">
    <w:name w:val="Intense Emphasis"/>
    <w:uiPriority w:val="21"/>
    <w:qFormat/>
    <w:rsid w:val="00A92186"/>
    <w:rPr>
      <w:b/>
      <w:bCs/>
    </w:rPr>
  </w:style>
  <w:style w:type="character" w:styleId="SubtleReference">
    <w:name w:val="Subtle Reference"/>
    <w:uiPriority w:val="31"/>
    <w:qFormat/>
    <w:rsid w:val="00A92186"/>
    <w:rPr>
      <w:smallCaps/>
    </w:rPr>
  </w:style>
  <w:style w:type="character" w:styleId="IntenseReference">
    <w:name w:val="Intense Reference"/>
    <w:uiPriority w:val="32"/>
    <w:qFormat/>
    <w:rsid w:val="00A92186"/>
    <w:rPr>
      <w:smallCaps/>
      <w:spacing w:val="5"/>
      <w:u w:val="single"/>
    </w:rPr>
  </w:style>
  <w:style w:type="character" w:styleId="BookTitle">
    <w:name w:val="Book Title"/>
    <w:uiPriority w:val="33"/>
    <w:qFormat/>
    <w:rsid w:val="00A92186"/>
    <w:rPr>
      <w:i/>
      <w:iCs/>
      <w:smallCaps/>
      <w:spacing w:val="5"/>
    </w:rPr>
  </w:style>
  <w:style w:type="paragraph" w:styleId="TOCHeading">
    <w:name w:val="TOC Heading"/>
    <w:basedOn w:val="Heading1"/>
    <w:next w:val="Normal"/>
    <w:uiPriority w:val="39"/>
    <w:semiHidden/>
    <w:unhideWhenUsed/>
    <w:qFormat/>
    <w:rsid w:val="00A92186"/>
    <w:pPr>
      <w:outlineLvl w:val="9"/>
    </w:pPr>
  </w:style>
  <w:style w:type="paragraph" w:styleId="EndnoteText">
    <w:name w:val="endnote text"/>
    <w:basedOn w:val="Normal"/>
    <w:link w:val="EndnoteTextChar"/>
    <w:uiPriority w:val="99"/>
    <w:semiHidden/>
    <w:unhideWhenUsed/>
    <w:rsid w:val="00E82933"/>
    <w:rPr>
      <w:sz w:val="20"/>
      <w:szCs w:val="20"/>
    </w:rPr>
  </w:style>
  <w:style w:type="character" w:customStyle="1" w:styleId="EndnoteTextChar">
    <w:name w:val="Endnote Text Char"/>
    <w:basedOn w:val="DefaultParagraphFont"/>
    <w:link w:val="EndnoteText"/>
    <w:uiPriority w:val="99"/>
    <w:semiHidden/>
    <w:rsid w:val="00E82933"/>
    <w:rPr>
      <w:rFonts w:ascii="Times New Roman" w:hAnsi="Times New Roman"/>
      <w:sz w:val="20"/>
      <w:szCs w:val="20"/>
    </w:rPr>
  </w:style>
  <w:style w:type="character" w:styleId="EndnoteReference">
    <w:name w:val="endnote reference"/>
    <w:basedOn w:val="DefaultParagraphFont"/>
    <w:uiPriority w:val="99"/>
    <w:semiHidden/>
    <w:unhideWhenUsed/>
    <w:rsid w:val="00E82933"/>
    <w:rPr>
      <w:vertAlign w:val="superscript"/>
    </w:rPr>
  </w:style>
  <w:style w:type="paragraph" w:styleId="Header">
    <w:name w:val="header"/>
    <w:basedOn w:val="Normal"/>
    <w:link w:val="HeaderChar"/>
    <w:uiPriority w:val="99"/>
    <w:unhideWhenUsed/>
    <w:rsid w:val="00E82933"/>
    <w:pPr>
      <w:tabs>
        <w:tab w:val="center" w:pos="4680"/>
        <w:tab w:val="right" w:pos="9360"/>
      </w:tabs>
    </w:pPr>
  </w:style>
  <w:style w:type="character" w:customStyle="1" w:styleId="HeaderChar">
    <w:name w:val="Header Char"/>
    <w:basedOn w:val="DefaultParagraphFont"/>
    <w:link w:val="Header"/>
    <w:uiPriority w:val="99"/>
    <w:rsid w:val="00E82933"/>
    <w:rPr>
      <w:rFonts w:ascii="Times New Roman" w:hAnsi="Times New Roman"/>
      <w:sz w:val="24"/>
    </w:rPr>
  </w:style>
  <w:style w:type="paragraph" w:styleId="FootnoteText">
    <w:name w:val="footnote text"/>
    <w:basedOn w:val="Normal"/>
    <w:link w:val="FootnoteTextChar"/>
    <w:uiPriority w:val="99"/>
    <w:unhideWhenUsed/>
    <w:rsid w:val="00E82933"/>
    <w:rPr>
      <w:sz w:val="20"/>
      <w:szCs w:val="20"/>
    </w:rPr>
  </w:style>
  <w:style w:type="character" w:customStyle="1" w:styleId="FootnoteTextChar">
    <w:name w:val="Footnote Text Char"/>
    <w:basedOn w:val="DefaultParagraphFont"/>
    <w:link w:val="FootnoteText"/>
    <w:uiPriority w:val="99"/>
    <w:rsid w:val="00E82933"/>
    <w:rPr>
      <w:rFonts w:ascii="Times New Roman" w:hAnsi="Times New Roman"/>
      <w:sz w:val="20"/>
      <w:szCs w:val="20"/>
    </w:rPr>
  </w:style>
  <w:style w:type="character" w:styleId="FootnoteReference">
    <w:name w:val="footnote reference"/>
    <w:basedOn w:val="DefaultParagraphFont"/>
    <w:uiPriority w:val="99"/>
    <w:semiHidden/>
    <w:unhideWhenUsed/>
    <w:rsid w:val="00E82933"/>
    <w:rPr>
      <w:vertAlign w:val="superscript"/>
    </w:rPr>
  </w:style>
  <w:style w:type="paragraph" w:styleId="Footer">
    <w:name w:val="footer"/>
    <w:basedOn w:val="Normal"/>
    <w:link w:val="FooterChar"/>
    <w:uiPriority w:val="99"/>
    <w:semiHidden/>
    <w:unhideWhenUsed/>
    <w:rsid w:val="00B06E3B"/>
    <w:pPr>
      <w:tabs>
        <w:tab w:val="center" w:pos="4680"/>
        <w:tab w:val="right" w:pos="9360"/>
      </w:tabs>
    </w:pPr>
  </w:style>
  <w:style w:type="character" w:customStyle="1" w:styleId="FooterChar">
    <w:name w:val="Footer Char"/>
    <w:basedOn w:val="DefaultParagraphFont"/>
    <w:link w:val="Footer"/>
    <w:uiPriority w:val="99"/>
    <w:semiHidden/>
    <w:rsid w:val="00B06E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1455">
      <w:bodyDiv w:val="1"/>
      <w:marLeft w:val="0"/>
      <w:marRight w:val="0"/>
      <w:marTop w:val="0"/>
      <w:marBottom w:val="0"/>
      <w:divBdr>
        <w:top w:val="none" w:sz="0" w:space="0" w:color="auto"/>
        <w:left w:val="none" w:sz="0" w:space="0" w:color="auto"/>
        <w:bottom w:val="none" w:sz="0" w:space="0" w:color="auto"/>
        <w:right w:val="none" w:sz="0" w:space="0" w:color="auto"/>
      </w:divBdr>
      <w:divsChild>
        <w:div w:id="855194111">
          <w:marLeft w:val="0"/>
          <w:marRight w:val="0"/>
          <w:marTop w:val="0"/>
          <w:marBottom w:val="0"/>
          <w:divBdr>
            <w:top w:val="none" w:sz="0" w:space="0" w:color="auto"/>
            <w:left w:val="none" w:sz="0" w:space="0" w:color="auto"/>
            <w:bottom w:val="none" w:sz="0" w:space="0" w:color="auto"/>
            <w:right w:val="none" w:sz="0" w:space="0" w:color="auto"/>
          </w:divBdr>
        </w:div>
      </w:divsChild>
    </w:div>
    <w:div w:id="835076911">
      <w:bodyDiv w:val="1"/>
      <w:marLeft w:val="0"/>
      <w:marRight w:val="0"/>
      <w:marTop w:val="0"/>
      <w:marBottom w:val="0"/>
      <w:divBdr>
        <w:top w:val="none" w:sz="0" w:space="0" w:color="auto"/>
        <w:left w:val="none" w:sz="0" w:space="0" w:color="auto"/>
        <w:bottom w:val="none" w:sz="0" w:space="0" w:color="auto"/>
        <w:right w:val="none" w:sz="0" w:space="0" w:color="auto"/>
      </w:divBdr>
      <w:divsChild>
        <w:div w:id="148794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0B8172F0E2469E94A200EC16DB09" ma:contentTypeVersion="10" ma:contentTypeDescription="Create a new document." ma:contentTypeScope="" ma:versionID="1d822b10c24ef6f388e31084a596ae23">
  <xsd:schema xmlns:xsd="http://www.w3.org/2001/XMLSchema" xmlns:xs="http://www.w3.org/2001/XMLSchema" xmlns:p="http://schemas.microsoft.com/office/2006/metadata/properties" xmlns:ns2="455b151d-75b8-4438-a72d-e06b314124a1" xmlns:ns3="1dc5a16d-a9e1-4107-81af-b56e13c8526c" targetNamespace="http://schemas.microsoft.com/office/2006/metadata/properties" ma:root="true" ma:fieldsID="49edd2d7bf942d5bae8cf2f982a97614" ns2:_="" ns3:_="">
    <xsd:import namespace="455b151d-75b8-4438-a72d-e06b314124a1"/>
    <xsd:import namespace="1dc5a16d-a9e1-4107-81af-b56e13c852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151d-75b8-4438-a72d-e06b31412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5a16d-a9e1-4107-81af-b56e13c852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0FC1-E13F-4EED-94DB-4AFB3C14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151d-75b8-4438-a72d-e06b314124a1"/>
    <ds:schemaRef ds:uri="1dc5a16d-a9e1-4107-81af-b56e13c85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1E905-1787-4BEC-9647-0C5B2B3CBE26}">
  <ds:schemaRefs>
    <ds:schemaRef ds:uri="http://schemas.microsoft.com/sharepoint/v3/contenttype/forms"/>
  </ds:schemaRefs>
</ds:datastoreItem>
</file>

<file path=customXml/itemProps3.xml><?xml version="1.0" encoding="utf-8"?>
<ds:datastoreItem xmlns:ds="http://schemas.openxmlformats.org/officeDocument/2006/customXml" ds:itemID="{71482BC8-DE96-49F4-ABF5-549BBFACADFC}">
  <ds:schemaRefs>
    <ds:schemaRef ds:uri="http://schemas.microsoft.com/office/infopath/2007/PartnerControls"/>
    <ds:schemaRef ds:uri="http://purl.org/dc/dcmitype/"/>
    <ds:schemaRef ds:uri="455b151d-75b8-4438-a72d-e06b314124a1"/>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dc5a16d-a9e1-4107-81af-b56e13c8526c"/>
    <ds:schemaRef ds:uri="http://purl.org/dc/terms/"/>
  </ds:schemaRefs>
</ds:datastoreItem>
</file>

<file path=customXml/itemProps4.xml><?xml version="1.0" encoding="utf-8"?>
<ds:datastoreItem xmlns:ds="http://schemas.openxmlformats.org/officeDocument/2006/customXml" ds:itemID="{0C235912-E5F3-46A8-B9E1-19DD488F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7276</Words>
  <Characters>41478</Characters>
  <Application>Microsoft Office Word</Application>
  <DocSecurity>8</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Olson, Sharon</cp:lastModifiedBy>
  <cp:revision>4</cp:revision>
  <dcterms:created xsi:type="dcterms:W3CDTF">2019-03-21T15:41:00Z</dcterms:created>
  <dcterms:modified xsi:type="dcterms:W3CDTF">2019-05-30T18:18:00Z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0x010100B9BD0B8172F0E2469E94A200EC16DB09</vt:lpwstr>
  </property>
  <property fmtid="{D5CDD505-2E9C-101B-9397-08002B2CF9AE}" pid="3" name="AuthorIds_UIVersion_512">
    <vt:lpwstr>23</vt:lpwstr>
  </property>
</Properties>
</file>