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16BB01B5" w:rsidR="000A7622" w:rsidRPr="00C04F25" w:rsidRDefault="00635D8D"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ABA531C" w:rsidR="000A7622" w:rsidRDefault="000566AC" w:rsidP="00D14423">
      <w:pPr>
        <w:rPr>
          <w:rFonts w:cstheme="minorHAnsi"/>
          <w:sz w:val="24"/>
          <w:szCs w:val="24"/>
        </w:rPr>
      </w:pPr>
      <w:r w:rsidRPr="000566AC">
        <w:rPr>
          <w:rFonts w:cstheme="minorHAnsi"/>
          <w:i/>
          <w:sz w:val="24"/>
          <w:szCs w:val="24"/>
          <w:lang w:val="fr-FR"/>
        </w:rPr>
        <w:t xml:space="preserve">2011 International </w:t>
      </w:r>
      <w:proofErr w:type="spellStart"/>
      <w:r w:rsidRPr="000566AC">
        <w:rPr>
          <w:rFonts w:cstheme="minorHAnsi"/>
          <w:i/>
          <w:sz w:val="24"/>
          <w:szCs w:val="24"/>
          <w:lang w:val="fr-FR"/>
        </w:rPr>
        <w:t>Reliability</w:t>
      </w:r>
      <w:proofErr w:type="spellEnd"/>
      <w:r w:rsidRPr="000566AC">
        <w:rPr>
          <w:rFonts w:cstheme="minorHAnsi"/>
          <w:i/>
          <w:sz w:val="24"/>
          <w:szCs w:val="24"/>
          <w:lang w:val="fr-FR"/>
        </w:rPr>
        <w:t xml:space="preserve"> </w:t>
      </w:r>
      <w:proofErr w:type="spellStart"/>
      <w:r w:rsidRPr="000566AC">
        <w:rPr>
          <w:rFonts w:cstheme="minorHAnsi"/>
          <w:i/>
          <w:sz w:val="24"/>
          <w:szCs w:val="24"/>
          <w:lang w:val="fr-FR"/>
        </w:rPr>
        <w:t>Physics</w:t>
      </w:r>
      <w:proofErr w:type="spellEnd"/>
      <w:r w:rsidRPr="000566AC">
        <w:rPr>
          <w:rFonts w:cstheme="minorHAnsi"/>
          <w:i/>
          <w:sz w:val="24"/>
          <w:szCs w:val="24"/>
          <w:lang w:val="fr-FR"/>
        </w:rPr>
        <w:t xml:space="preserve"> Symposium</w:t>
      </w:r>
      <w:r w:rsidR="000A7622" w:rsidRPr="00C04F25">
        <w:rPr>
          <w:rFonts w:cstheme="minorHAnsi"/>
          <w:sz w:val="24"/>
          <w:szCs w:val="24"/>
          <w:lang w:val="fr-FR"/>
        </w:rPr>
        <w:t>, (</w:t>
      </w:r>
      <w:r>
        <w:rPr>
          <w:rFonts w:cstheme="minorHAnsi"/>
          <w:sz w:val="24"/>
          <w:szCs w:val="24"/>
          <w:lang w:val="fr-FR"/>
        </w:rPr>
        <w:t>April 10-14, 2011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B3831" w:rsidRPr="00AB3831">
        <w:rPr>
          <w:rFonts w:cstheme="minorHAnsi"/>
          <w:sz w:val="24"/>
          <w:szCs w:val="24"/>
        </w:rPr>
        <w:t>Institute of Electrical and Electronic Engineers (IEEE)</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9810C4" w:rsidRPr="009810C4">
        <w:rPr>
          <w:rFonts w:cstheme="minorHAnsi"/>
          <w:sz w:val="24"/>
          <w:szCs w:val="24"/>
        </w:rPr>
        <w:t>Institute of Electrical and Electronic Engineers (IEEE)</w:t>
      </w:r>
      <w:r w:rsidR="000A7622" w:rsidRPr="00C04F25">
        <w:rPr>
          <w:rFonts w:cstheme="minorHAnsi"/>
          <w:sz w:val="24"/>
          <w:szCs w:val="24"/>
        </w:rPr>
        <w:t xml:space="preserve"> does not grant permission for this article to be further copied/distributed or hosted elsewhere without the express permission from </w:t>
      </w:r>
      <w:r w:rsidR="009810C4" w:rsidRPr="009810C4">
        <w:rPr>
          <w:rFonts w:cstheme="minorHAnsi"/>
          <w:sz w:val="24"/>
          <w:szCs w:val="24"/>
        </w:rPr>
        <w:t>Institute of Electrical and Electronic Engineers (IEEE)</w:t>
      </w:r>
      <w:r w:rsidR="000A7622" w:rsidRPr="00C04F25">
        <w:rPr>
          <w:rFonts w:cstheme="minorHAnsi"/>
          <w:sz w:val="24"/>
          <w:szCs w:val="24"/>
        </w:rPr>
        <w:t xml:space="preserve">. </w:t>
      </w:r>
    </w:p>
    <w:p w14:paraId="45534120" w14:textId="0861E034" w:rsidR="00635D8D" w:rsidRDefault="00635D8D" w:rsidP="00551AD8">
      <w:pPr>
        <w:pStyle w:val="Title"/>
      </w:pPr>
      <w:r w:rsidRPr="00635D8D">
        <w:t xml:space="preserve">Reliability </w:t>
      </w:r>
      <w:r w:rsidR="00551AD8" w:rsidRPr="00635D8D">
        <w:t xml:space="preserve">Testing </w:t>
      </w:r>
      <w:r w:rsidRPr="00635D8D">
        <w:t xml:space="preserve">of </w:t>
      </w:r>
      <w:proofErr w:type="spellStart"/>
      <w:r w:rsidRPr="00635D8D">
        <w:t>AlGaN</w:t>
      </w:r>
      <w:proofErr w:type="spellEnd"/>
      <w:r w:rsidRPr="00635D8D">
        <w:t>/</w:t>
      </w:r>
      <w:proofErr w:type="spellStart"/>
      <w:r w:rsidRPr="00635D8D">
        <w:t>GaN</w:t>
      </w:r>
      <w:proofErr w:type="spellEnd"/>
      <w:r w:rsidRPr="00635D8D">
        <w:t xml:space="preserve"> HEMTs </w:t>
      </w:r>
      <w:r w:rsidR="00551AD8" w:rsidRPr="00635D8D">
        <w:t>Under Multiple Stressors</w:t>
      </w:r>
    </w:p>
    <w:p w14:paraId="72BCC845" w14:textId="6B146D23" w:rsidR="00635D8D" w:rsidRDefault="00635D8D" w:rsidP="00635D8D">
      <w:pPr>
        <w:shd w:val="clear" w:color="auto" w:fill="FFFFFF"/>
        <w:spacing w:after="0" w:line="240" w:lineRule="auto"/>
        <w:outlineLvl w:val="0"/>
        <w:rPr>
          <w:rFonts w:ascii="Arial" w:eastAsia="Times New Roman" w:hAnsi="Arial" w:cs="Arial"/>
          <w:b/>
          <w:bCs/>
          <w:color w:val="333333"/>
          <w:kern w:val="36"/>
          <w:sz w:val="38"/>
          <w:szCs w:val="38"/>
        </w:rPr>
      </w:pPr>
    </w:p>
    <w:p w14:paraId="4FE1F874" w14:textId="11778A34" w:rsidR="00AD2043" w:rsidRPr="00551AD8" w:rsidRDefault="00AD2043" w:rsidP="00AD2043">
      <w:pPr>
        <w:pStyle w:val="NoSpacing"/>
        <w:rPr>
          <w:color w:val="000000" w:themeColor="text1"/>
          <w:sz w:val="28"/>
          <w:szCs w:val="28"/>
        </w:rPr>
      </w:pPr>
      <w:r w:rsidRPr="00551AD8">
        <w:rPr>
          <w:color w:val="000000" w:themeColor="text1"/>
          <w:sz w:val="28"/>
          <w:szCs w:val="28"/>
        </w:rPr>
        <w:t>Bradley D. Christiansen</w:t>
      </w:r>
    </w:p>
    <w:p w14:paraId="2B056D02" w14:textId="77777777" w:rsidR="00AD2043" w:rsidRPr="00AD2043" w:rsidRDefault="00AD2043" w:rsidP="00AD2043">
      <w:pPr>
        <w:pStyle w:val="NoSpacing"/>
      </w:pPr>
      <w:r w:rsidRPr="00AD2043">
        <w:t>Department of Electrical and Computer Engineering, Air Force Institute of Technology, Wright-Patterson Air Force Base, Ohio, USA</w:t>
      </w:r>
    </w:p>
    <w:p w14:paraId="0A33AAAA" w14:textId="270C6380" w:rsidR="00AD2043" w:rsidRPr="00551AD8" w:rsidRDefault="00AD2043" w:rsidP="00AD2043">
      <w:pPr>
        <w:pStyle w:val="NoSpacing"/>
        <w:rPr>
          <w:color w:val="000000" w:themeColor="text1"/>
          <w:sz w:val="28"/>
          <w:szCs w:val="28"/>
        </w:rPr>
      </w:pPr>
      <w:r w:rsidRPr="00551AD8">
        <w:rPr>
          <w:color w:val="000000" w:themeColor="text1"/>
          <w:sz w:val="28"/>
          <w:szCs w:val="28"/>
        </w:rPr>
        <w:t>Ronald A. Coutu</w:t>
      </w:r>
    </w:p>
    <w:p w14:paraId="7B26F36D" w14:textId="77777777" w:rsidR="00AD2043" w:rsidRPr="00AD2043" w:rsidRDefault="00AD2043" w:rsidP="00AD2043">
      <w:pPr>
        <w:pStyle w:val="NoSpacing"/>
      </w:pPr>
      <w:r w:rsidRPr="00AD2043">
        <w:t>Department of Electrical and Computer Engineering, Air Force Institute of Technology, Wright-Patterson Air Force Base, Ohio, USA</w:t>
      </w:r>
    </w:p>
    <w:p w14:paraId="20559B3B" w14:textId="5F5EF990" w:rsidR="00AD2043" w:rsidRPr="00551AD8" w:rsidRDefault="00AD2043" w:rsidP="00AD2043">
      <w:pPr>
        <w:pStyle w:val="NoSpacing"/>
        <w:rPr>
          <w:color w:val="000000" w:themeColor="text1"/>
          <w:sz w:val="28"/>
          <w:szCs w:val="28"/>
        </w:rPr>
      </w:pPr>
      <w:r w:rsidRPr="00551AD8">
        <w:rPr>
          <w:color w:val="000000" w:themeColor="text1"/>
          <w:sz w:val="28"/>
          <w:szCs w:val="28"/>
        </w:rPr>
        <w:t>Eric R. Heller</w:t>
      </w:r>
    </w:p>
    <w:p w14:paraId="0F30D903" w14:textId="77777777" w:rsidR="00AD2043" w:rsidRPr="00AD2043" w:rsidRDefault="00AD2043" w:rsidP="00AD2043">
      <w:pPr>
        <w:pStyle w:val="NoSpacing"/>
      </w:pPr>
      <w:r w:rsidRPr="00AD2043">
        <w:t>Materials and Manufacturing, Air Force Research Laboratory, Wright-Patterson Air Force Base, Ohio, USA</w:t>
      </w:r>
    </w:p>
    <w:p w14:paraId="600212DE" w14:textId="5D121584" w:rsidR="00AD2043" w:rsidRPr="00551AD8" w:rsidRDefault="00AD2043" w:rsidP="00AD2043">
      <w:pPr>
        <w:pStyle w:val="NoSpacing"/>
        <w:rPr>
          <w:color w:val="000000" w:themeColor="text1"/>
          <w:sz w:val="28"/>
          <w:szCs w:val="28"/>
        </w:rPr>
      </w:pPr>
      <w:r w:rsidRPr="00551AD8">
        <w:rPr>
          <w:color w:val="000000" w:themeColor="text1"/>
          <w:sz w:val="28"/>
          <w:szCs w:val="28"/>
        </w:rPr>
        <w:t>Brian S. Poling</w:t>
      </w:r>
    </w:p>
    <w:p w14:paraId="4A9AB321" w14:textId="77777777" w:rsidR="00AD2043" w:rsidRPr="00AD2043" w:rsidRDefault="00AD2043" w:rsidP="00AD2043">
      <w:pPr>
        <w:pStyle w:val="NoSpacing"/>
      </w:pPr>
      <w:r w:rsidRPr="00AD2043">
        <w:t>Sensors Directorates, Air Force Research Laboratory, Wright-Patterson Air Force Base, Ohio, USA</w:t>
      </w:r>
    </w:p>
    <w:p w14:paraId="2BD6C2B8" w14:textId="65A21749" w:rsidR="00AD2043" w:rsidRPr="00551AD8" w:rsidRDefault="00AD2043" w:rsidP="00AD2043">
      <w:pPr>
        <w:pStyle w:val="NoSpacing"/>
        <w:rPr>
          <w:color w:val="000000" w:themeColor="text1"/>
          <w:sz w:val="28"/>
          <w:szCs w:val="28"/>
        </w:rPr>
      </w:pPr>
      <w:r w:rsidRPr="00551AD8">
        <w:rPr>
          <w:color w:val="000000" w:themeColor="text1"/>
          <w:sz w:val="28"/>
          <w:szCs w:val="28"/>
        </w:rPr>
        <w:t>G. David Via</w:t>
      </w:r>
    </w:p>
    <w:p w14:paraId="68F8DC7E" w14:textId="77777777" w:rsidR="00AD2043" w:rsidRPr="00AD2043" w:rsidRDefault="00AD2043" w:rsidP="00AD2043">
      <w:pPr>
        <w:pStyle w:val="NoSpacing"/>
      </w:pPr>
      <w:r w:rsidRPr="00AD2043">
        <w:t>Sensors Directorates, Air Force Research Laboratory, Wright-Patterson Air Force Base, Ohio, USA</w:t>
      </w:r>
    </w:p>
    <w:p w14:paraId="2E2FAAD6" w14:textId="200A71C5" w:rsidR="00AD2043" w:rsidRPr="00551AD8" w:rsidRDefault="00AD2043" w:rsidP="00AD2043">
      <w:pPr>
        <w:pStyle w:val="NoSpacing"/>
        <w:rPr>
          <w:color w:val="000000" w:themeColor="text1"/>
          <w:sz w:val="28"/>
          <w:szCs w:val="28"/>
        </w:rPr>
      </w:pPr>
      <w:r w:rsidRPr="00551AD8">
        <w:rPr>
          <w:color w:val="000000" w:themeColor="text1"/>
          <w:sz w:val="28"/>
          <w:szCs w:val="28"/>
        </w:rPr>
        <w:t xml:space="preserve">Rama </w:t>
      </w:r>
      <w:proofErr w:type="spellStart"/>
      <w:r w:rsidRPr="00551AD8">
        <w:rPr>
          <w:color w:val="000000" w:themeColor="text1"/>
          <w:sz w:val="28"/>
          <w:szCs w:val="28"/>
        </w:rPr>
        <w:t>Vetury</w:t>
      </w:r>
      <w:proofErr w:type="spellEnd"/>
    </w:p>
    <w:p w14:paraId="75B99E25" w14:textId="77777777" w:rsidR="00AD2043" w:rsidRPr="00AD2043" w:rsidRDefault="00AD2043" w:rsidP="00AD2043">
      <w:pPr>
        <w:pStyle w:val="NoSpacing"/>
      </w:pPr>
      <w:r w:rsidRPr="00AD2043">
        <w:t>Defense and Power, RF Micro Devices, Inc. (RFMD®), Charlotte, North Carolina, USA</w:t>
      </w:r>
    </w:p>
    <w:p w14:paraId="6CF4D971" w14:textId="6D9721D8" w:rsidR="00AD2043" w:rsidRPr="00551AD8" w:rsidRDefault="00AD2043" w:rsidP="00AD2043">
      <w:pPr>
        <w:pStyle w:val="NoSpacing"/>
        <w:rPr>
          <w:color w:val="000000" w:themeColor="text1"/>
          <w:sz w:val="28"/>
          <w:szCs w:val="28"/>
        </w:rPr>
      </w:pPr>
      <w:r w:rsidRPr="00551AD8">
        <w:rPr>
          <w:color w:val="000000" w:themeColor="text1"/>
          <w:sz w:val="28"/>
          <w:szCs w:val="28"/>
        </w:rPr>
        <w:t>Jeffrey B. Shealy</w:t>
      </w:r>
    </w:p>
    <w:p w14:paraId="0846A264" w14:textId="2DE2DFB7" w:rsidR="00AD2043" w:rsidRDefault="00AD2043" w:rsidP="00AD2043">
      <w:pPr>
        <w:pStyle w:val="NoSpacing"/>
      </w:pPr>
      <w:r w:rsidRPr="00AD2043">
        <w:t>Defense and Power, RF Micro Devices, Inc. (RFMD®), Charlotte, North Carolina, USA</w:t>
      </w:r>
    </w:p>
    <w:p w14:paraId="73AD4B7D" w14:textId="5A35FCB6" w:rsidR="00551AD8" w:rsidRDefault="00551AD8" w:rsidP="00AD2043">
      <w:pPr>
        <w:pStyle w:val="NoSpacing"/>
      </w:pPr>
    </w:p>
    <w:p w14:paraId="0F5BA4E2" w14:textId="77777777" w:rsidR="00551AD8" w:rsidRPr="00551AD8" w:rsidRDefault="00551AD8" w:rsidP="00F153E8">
      <w:pPr>
        <w:pStyle w:val="Heading1"/>
      </w:pPr>
      <w:r w:rsidRPr="00551AD8">
        <w:lastRenderedPageBreak/>
        <w:t>Abstract:</w:t>
      </w:r>
    </w:p>
    <w:p w14:paraId="49D12115" w14:textId="77777777" w:rsidR="00551AD8" w:rsidRPr="00551AD8" w:rsidRDefault="00551AD8" w:rsidP="00551AD8">
      <w:pPr>
        <w:pStyle w:val="NoSpacing"/>
      </w:pPr>
      <w:r w:rsidRPr="00551AD8">
        <w:t xml:space="preserve">We performed an experiment on </w:t>
      </w:r>
      <w:proofErr w:type="spellStart"/>
      <w:r w:rsidRPr="00551AD8">
        <w:t>AlGaN</w:t>
      </w:r>
      <w:proofErr w:type="spellEnd"/>
      <w:r w:rsidRPr="00551AD8">
        <w:t>/</w:t>
      </w:r>
      <w:proofErr w:type="spellStart"/>
      <w:r w:rsidRPr="00551AD8">
        <w:t>GaN</w:t>
      </w:r>
      <w:proofErr w:type="spellEnd"/>
      <w:r w:rsidRPr="00551AD8">
        <w:t xml:space="preserve"> HEMTs with high voltage and high power as stressors. We found that devices tested under high power generally degraded more than those tested under high voltage. In particular, the high-voltage-tested devices did not degrade significantly as suggested by some papers in the literature. The same papers in the literature also suggest that high voltages cause cracks and pits. However, the high-voltage-tested devices in this study do not exhibit cracks or pits in TEM images, while the high-power-tested devices exhibit pits.</w:t>
      </w:r>
    </w:p>
    <w:p w14:paraId="642CA729" w14:textId="4FB7CB66" w:rsidR="00551AD8" w:rsidRDefault="00551AD8" w:rsidP="00551AD8">
      <w:pPr>
        <w:pStyle w:val="NoSpacing"/>
      </w:pPr>
    </w:p>
    <w:p w14:paraId="3ADA95EC" w14:textId="06C4A3F9" w:rsidR="00A4615B" w:rsidRPr="00A4615B" w:rsidRDefault="00A4615B" w:rsidP="00F153E8">
      <w:pPr>
        <w:pStyle w:val="Heading1"/>
      </w:pPr>
      <w:r w:rsidRPr="00A4615B">
        <w:rPr>
          <w:b/>
          <w:bCs/>
        </w:rPr>
        <w:t>SECTION I.</w:t>
      </w:r>
      <w:r w:rsidR="00F153E8">
        <w:rPr>
          <w:b/>
          <w:bCs/>
        </w:rPr>
        <w:t xml:space="preserve"> </w:t>
      </w:r>
      <w:r w:rsidRPr="00A4615B">
        <w:t>Introduction</w:t>
      </w:r>
    </w:p>
    <w:p w14:paraId="6EB66336" w14:textId="6794A6C8" w:rsidR="00A4615B" w:rsidRDefault="00A4615B" w:rsidP="00A4615B">
      <w:pPr>
        <w:pStyle w:val="NoSpacing"/>
      </w:pPr>
      <w:proofErr w:type="spellStart"/>
      <w:r w:rsidRPr="00A4615B">
        <w:t>GaN</w:t>
      </w:r>
      <w:proofErr w:type="spellEnd"/>
      <w:r w:rsidRPr="00A4615B">
        <w:t xml:space="preserve"> high electron mobility transistors (HEMT) are attractive to the United States Department of Defense for application in communications and sensing systems due to their ability to operate at high frequencies, high voltages, high temperatures, and high power. Interest in this technology is demonstrated by the Defense Advanced Research Projects Agency's Wide Bandgap Semiconductor initiative and by the Multidisciplinary University Research Initiatives funded by the Office of Naval Research and Air Force Office of Scientific Research. Despite the advantages of </w:t>
      </w:r>
      <w:proofErr w:type="spellStart"/>
      <w:r w:rsidRPr="00A4615B">
        <w:t>GaN</w:t>
      </w:r>
      <w:proofErr w:type="spellEnd"/>
      <w:r w:rsidRPr="00A4615B">
        <w:t xml:space="preserve"> HEMTs, there is concern that they do not have sufficiently long lifetimes for military systems. This concern has hampered their widespread acceptance and use.</w:t>
      </w:r>
    </w:p>
    <w:p w14:paraId="4CCF254B" w14:textId="77777777" w:rsidR="00F153E8" w:rsidRPr="00A4615B" w:rsidRDefault="00F153E8" w:rsidP="00A4615B">
      <w:pPr>
        <w:pStyle w:val="NoSpacing"/>
      </w:pPr>
    </w:p>
    <w:p w14:paraId="6608FEB5" w14:textId="40D32A56" w:rsidR="00A4615B" w:rsidRDefault="00A4615B" w:rsidP="00A4615B">
      <w:pPr>
        <w:pStyle w:val="NoSpacing"/>
      </w:pPr>
      <w:r w:rsidRPr="00A4615B">
        <w:t xml:space="preserve">Various stressors are claimed in the literature to cause degradation in </w:t>
      </w:r>
      <w:proofErr w:type="spellStart"/>
      <w:r w:rsidRPr="00A4615B">
        <w:t>GaN</w:t>
      </w:r>
      <w:proofErr w:type="spellEnd"/>
      <w:r w:rsidRPr="00A4615B">
        <w:t xml:space="preserve"> HEMTs. Stressor examples include high electric fields, high temperature with electrical stimulus, current with high electric field, and high drain bias with large rf drive. These stressors may result in various degradation mechanisms identified by signatures such as drain current degradation (itself a result of other signatures such as a decrease in transconductance, shifted threshold voltage, or increased on-resistance), an increase in gate leakage current, and/or reduced </w:t>
      </w:r>
      <w:proofErr w:type="spellStart"/>
      <w:r w:rsidRPr="00A4615B">
        <w:t>rfpower</w:t>
      </w:r>
      <w:proofErr w:type="spellEnd"/>
      <w:r w:rsidRPr="00A4615B">
        <w:t xml:space="preserve"> output.</w:t>
      </w:r>
    </w:p>
    <w:p w14:paraId="000C0125" w14:textId="77777777" w:rsidR="00F153E8" w:rsidRPr="00A4615B" w:rsidRDefault="00F153E8" w:rsidP="00A4615B">
      <w:pPr>
        <w:pStyle w:val="NoSpacing"/>
      </w:pPr>
    </w:p>
    <w:p w14:paraId="02205BC5" w14:textId="77777777" w:rsidR="00A4615B" w:rsidRPr="00A4615B" w:rsidRDefault="00A4615B" w:rsidP="00A4615B">
      <w:pPr>
        <w:pStyle w:val="NoSpacing"/>
      </w:pPr>
      <w:r w:rsidRPr="00A4615B">
        <w:t xml:space="preserve">Two failure mechanisms of concern for </w:t>
      </w:r>
      <w:proofErr w:type="spellStart"/>
      <w:r w:rsidRPr="00A4615B">
        <w:t>GaN</w:t>
      </w:r>
      <w:proofErr w:type="spellEnd"/>
      <w:r w:rsidRPr="00A4615B">
        <w:t xml:space="preserve"> HEMTs are identified in [1]. Traps are formed by high electric fields, “hot” electrons (accelerated by high electric fields to energies much greater than the thermal-equilibrium value), and high temperatures within the devices. HEMT performance is degraded since charge collects in the traps and is not available for conduction. The second mechanism, structural damage (called lattice disruptions, pits, or cracks), occurs due to high temperatures in combination with electrical stimulus. The authors propose a current and contaminant interaction that creates the lattice disruptions by an etching process. Device performance is degraded in this case due to a conduction path created in the material beneath the gate.</w:t>
      </w:r>
    </w:p>
    <w:p w14:paraId="4A52FF81" w14:textId="77777777" w:rsidR="006C6357" w:rsidRDefault="006C6357" w:rsidP="00A4615B">
      <w:pPr>
        <w:pStyle w:val="NoSpacing"/>
      </w:pPr>
    </w:p>
    <w:p w14:paraId="2E6D4B44" w14:textId="08141EAC" w:rsidR="00A4615B" w:rsidRDefault="00A4615B" w:rsidP="00A4615B">
      <w:pPr>
        <w:pStyle w:val="NoSpacing"/>
      </w:pPr>
      <w:r w:rsidRPr="00A4615B">
        <w:t>Another prominent theory of crack formation has been presented. In [2], [3], [4] a critical voltage </w:t>
      </w:r>
      <m:oMath>
        <m:sSub>
          <m:sSubPr>
            <m:ctrlPr>
              <w:rPr>
                <w:rFonts w:ascii="Cambria Math" w:hAnsi="Cambria Math"/>
              </w:rPr>
            </m:ctrlPr>
          </m:sSubPr>
          <m:e>
            <m:r>
              <w:rPr>
                <w:rFonts w:ascii="Cambria Math" w:hAnsi="Cambria Math"/>
              </w:rPr>
              <m:t>V</m:t>
            </m:r>
          </m:e>
          <m:sub>
            <m:r>
              <w:rPr>
                <w:rFonts w:ascii="Cambria Math" w:hAnsi="Cambria Math"/>
              </w:rPr>
              <m:t>DG</m:t>
            </m:r>
          </m:sub>
        </m:sSub>
      </m:oMath>
      <w:r w:rsidRPr="00A4615B">
        <w:t>, inducing the inverse piezoelectric effect, is claimed to cause the pits and cracks in the AIGaN barrier layer of a GaN HEMT. The theory is that the high electric field on the drain side of the gate causes increased mechanical strain in the piezoelectric materials of the HEMT. As the electric field is increased in this region, the mechanical stress causes the lattice to crack at a critical voltage. Once this defect is formed, electrons tunnel from the gate to the conduction channel, which degrades the drain current. Drain current degradation, as measured by a decrease in maximum drain current </w:t>
      </w:r>
      <m:oMath>
        <m:sSub>
          <m:sSubPr>
            <m:ctrlPr>
              <w:rPr>
                <w:rFonts w:ascii="Cambria Math" w:hAnsi="Cambria Math"/>
              </w:rPr>
            </m:ctrlPr>
          </m:sSubPr>
          <m:e>
            <m:r>
              <w:rPr>
                <w:rFonts w:ascii="Cambria Math" w:hAnsi="Cambria Math"/>
              </w:rPr>
              <m:t>I</m:t>
            </m:r>
          </m:e>
          <m:sub>
            <m:r>
              <w:rPr>
                <w:rFonts w:ascii="Cambria Math" w:hAnsi="Cambria Math"/>
              </w:rPr>
              <m:t>Dmax</m:t>
            </m:r>
          </m:sub>
        </m:sSub>
      </m:oMath>
      <w:r w:rsidRPr="00A4615B">
        <w:t>, reportedly occurs in high power state, OFF state, and, most severely, </w:t>
      </w:r>
      <m:oMath>
        <m:sSub>
          <m:sSubPr>
            <m:ctrlPr>
              <w:rPr>
                <w:rFonts w:ascii="Cambria Math" w:hAnsi="Cambria Math"/>
              </w:rPr>
            </m:ctrlPr>
          </m:sSubPr>
          <m:e>
            <m:r>
              <w:rPr>
                <w:rFonts w:ascii="Cambria Math" w:hAnsi="Cambria Math"/>
              </w:rPr>
              <m:t>V</m:t>
            </m:r>
          </m:e>
          <m:sub>
            <m:r>
              <w:rPr>
                <w:rFonts w:ascii="Cambria Math" w:hAnsi="Cambria Math"/>
              </w:rPr>
              <m:t>DS</m:t>
            </m:r>
          </m:sub>
        </m:sSub>
        <m:r>
          <w:rPr>
            <w:rFonts w:ascii="Cambria Math" w:hAnsi="Cambria Math"/>
          </w:rPr>
          <m:t>=0</m:t>
        </m:r>
      </m:oMath>
      <w:r w:rsidRPr="00A4615B">
        <w:t> state tests. Degradation occurs in minutes as the stress voltage </w:t>
      </w:r>
      <m:oMath>
        <m:sSub>
          <m:sSubPr>
            <m:ctrlPr>
              <w:rPr>
                <w:rFonts w:ascii="Cambria Math" w:hAnsi="Cambria Math"/>
              </w:rPr>
            </m:ctrlPr>
          </m:sSubPr>
          <m:e>
            <m:r>
              <w:rPr>
                <w:rFonts w:ascii="Cambria Math" w:hAnsi="Cambria Math"/>
              </w:rPr>
              <m:t>V</m:t>
            </m:r>
          </m:e>
          <m:sub>
            <m:r>
              <w:rPr>
                <w:rFonts w:ascii="Cambria Math" w:hAnsi="Cambria Math"/>
              </w:rPr>
              <m:t>DG</m:t>
            </m:r>
          </m:sub>
        </m:sSub>
      </m:oMath>
      <w:r w:rsidRPr="00A4615B">
        <w:t> is applied in steps of 1 V per minute. </w:t>
      </w:r>
      <m:oMath>
        <m:sSub>
          <m:sSubPr>
            <m:ctrlPr>
              <w:rPr>
                <w:rFonts w:ascii="Cambria Math" w:hAnsi="Cambria Math"/>
              </w:rPr>
            </m:ctrlPr>
          </m:sSubPr>
          <m:e>
            <m:r>
              <w:rPr>
                <w:rFonts w:ascii="Cambria Math" w:hAnsi="Cambria Math"/>
              </w:rPr>
              <m:t>I</m:t>
            </m:r>
          </m:e>
          <m:sub>
            <m:r>
              <w:rPr>
                <w:rFonts w:ascii="Cambria Math" w:hAnsi="Cambria Math"/>
              </w:rPr>
              <m:t>Dmax</m:t>
            </m:r>
          </m:sub>
        </m:sSub>
      </m:oMath>
      <w:r w:rsidRPr="00A4615B">
        <w:t> is measured between steps.</w:t>
      </w:r>
    </w:p>
    <w:p w14:paraId="213EBF5D" w14:textId="77777777" w:rsidR="006C6357" w:rsidRPr="00A4615B" w:rsidRDefault="006C6357" w:rsidP="00A4615B">
      <w:pPr>
        <w:pStyle w:val="NoSpacing"/>
      </w:pPr>
    </w:p>
    <w:p w14:paraId="31ED3A1C" w14:textId="254BC046" w:rsidR="00A4615B" w:rsidRPr="00A4615B" w:rsidRDefault="00A4615B" w:rsidP="00A4615B">
      <w:pPr>
        <w:pStyle w:val="NoSpacing"/>
      </w:pPr>
      <w:r w:rsidRPr="00A4615B">
        <w:t>Hot electron degradation is highlighted in [5]. Decreases in saturated drain-source current </w:t>
      </w:r>
      <m:oMath>
        <m:sSub>
          <m:sSubPr>
            <m:ctrlPr>
              <w:rPr>
                <w:rFonts w:ascii="Cambria Math" w:hAnsi="Cambria Math"/>
              </w:rPr>
            </m:ctrlPr>
          </m:sSubPr>
          <m:e>
            <m:r>
              <w:rPr>
                <w:rFonts w:ascii="Cambria Math" w:hAnsi="Cambria Math"/>
              </w:rPr>
              <m:t>I</m:t>
            </m:r>
          </m:e>
          <m:sub>
            <m:r>
              <w:rPr>
                <w:rFonts w:ascii="Cambria Math" w:hAnsi="Cambria Math"/>
              </w:rPr>
              <m:t>DSS</m:t>
            </m:r>
          </m:sub>
        </m:sSub>
      </m:oMath>
      <w:r w:rsidRPr="00A4615B">
        <w:t> and transconductance gm were caused by hot electrons created by simultaneous high current and high electric field, and not by electric field alone. GaN HEMTs tested in semi-ON-state conditions </w:t>
      </w:r>
      <m:oMath>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DS</m:t>
            </m:r>
          </m:sub>
        </m:sSub>
        <m:r>
          <w:rPr>
            <w:rFonts w:ascii="Cambria Math" w:hAnsi="Cambria Math"/>
          </w:rPr>
          <m:t>=20</m:t>
        </m:r>
        <m:r>
          <m:rPr>
            <m:sty m:val="p"/>
          </m:rPr>
          <w:rPr>
            <w:rFonts w:ascii="Cambria Math" w:hAnsi="Cambria Math"/>
          </w:rPr>
          <m:t>V</m:t>
        </m:r>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GS</m:t>
            </m:r>
          </m:sub>
        </m:sSub>
        <m:r>
          <w:rPr>
            <w:rFonts w:ascii="Cambria Math" w:hAnsi="Cambria Math"/>
          </w:rPr>
          <m:t>=-5.5</m:t>
        </m:r>
        <m:r>
          <m:rPr>
            <m:sty m:val="p"/>
          </m:rPr>
          <w:rPr>
            <w:rFonts w:ascii="Cambria Math" w:hAnsi="Cambria Math"/>
          </w:rPr>
          <m:t>V</m:t>
        </m:r>
        <m:r>
          <w:rPr>
            <w:rFonts w:ascii="Cambria Math" w:hAnsi="Cambria Math"/>
          </w:rPr>
          <m:t>)</m:t>
        </m:r>
      </m:oMath>
      <w:r w:rsidRPr="00A4615B">
        <w:t> experienced a 15% decrease in maximum gm, while the maximum gm of devices stressed in ON-state conditions </w:t>
      </w:r>
      <m:oMath>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DS</m:t>
            </m:r>
          </m:sub>
        </m:sSub>
        <m:r>
          <w:rPr>
            <w:rFonts w:ascii="Cambria Math" w:hAnsi="Cambria Math"/>
          </w:rPr>
          <m:t>=20</m:t>
        </m:r>
        <m:r>
          <m:rPr>
            <m:sty m:val="p"/>
          </m:rPr>
          <w:rPr>
            <w:rFonts w:ascii="Cambria Math" w:hAnsi="Cambria Math"/>
          </w:rPr>
          <m:t>V</m:t>
        </m:r>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GS</m:t>
            </m:r>
          </m:sub>
        </m:sSub>
        <m:r>
          <w:rPr>
            <w:rFonts w:ascii="Cambria Math" w:hAnsi="Cambria Math"/>
          </w:rPr>
          <m:t>=0</m:t>
        </m:r>
        <m:r>
          <m:rPr>
            <m:sty m:val="p"/>
          </m:rPr>
          <w:rPr>
            <w:rFonts w:ascii="Cambria Math" w:hAnsi="Cambria Math"/>
          </w:rPr>
          <m:t>V</m:t>
        </m:r>
        <m:r>
          <w:rPr>
            <w:rFonts w:ascii="Cambria Math" w:hAnsi="Cambria Math"/>
          </w:rPr>
          <m:t>)</m:t>
        </m:r>
      </m:oMath>
      <w:r w:rsidRPr="00A4615B">
        <w:t> and OFF-state conditions </w:t>
      </w:r>
      <m:oMath>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DS</m:t>
            </m:r>
          </m:sub>
        </m:sSub>
        <m:r>
          <w:rPr>
            <w:rFonts w:ascii="Cambria Math" w:hAnsi="Cambria Math"/>
          </w:rPr>
          <m:t>=20</m:t>
        </m:r>
        <m:r>
          <m:rPr>
            <m:sty m:val="p"/>
          </m:rPr>
          <w:rPr>
            <w:rFonts w:ascii="Cambria Math" w:hAnsi="Cambria Math"/>
          </w:rPr>
          <m:t>V</m:t>
        </m:r>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GS</m:t>
            </m:r>
          </m:sub>
        </m:sSub>
        <m:r>
          <w:rPr>
            <w:rFonts w:ascii="Cambria Math" w:hAnsi="Cambria Math"/>
          </w:rPr>
          <m:t>=-7.7</m:t>
        </m:r>
        <m:r>
          <m:rPr>
            <m:sty m:val="p"/>
          </m:rPr>
          <w:rPr>
            <w:rFonts w:ascii="Cambria Math" w:hAnsi="Cambria Math"/>
          </w:rPr>
          <m:t>V</m:t>
        </m:r>
        <m:r>
          <w:rPr>
            <w:rFonts w:ascii="Cambria Math" w:hAnsi="Cambria Math"/>
          </w:rPr>
          <m:t>)</m:t>
        </m:r>
      </m:oMath>
      <w:r w:rsidRPr="00A4615B">
        <w:t> decreased less than 5%. In addition, devices tested in ON-state conditions exhibited threshold voltage shifts while the same type of devices tested in OFF-state conditions did not.</w:t>
      </w:r>
    </w:p>
    <w:p w14:paraId="58F4AAB7" w14:textId="77777777" w:rsidR="006C6357" w:rsidRDefault="006C6357" w:rsidP="00A4615B">
      <w:pPr>
        <w:pStyle w:val="NoSpacing"/>
      </w:pPr>
    </w:p>
    <w:p w14:paraId="74DB1CCF" w14:textId="7F401864" w:rsidR="00A4615B" w:rsidRPr="00A4615B" w:rsidRDefault="00A4615B" w:rsidP="00A4615B">
      <w:pPr>
        <w:pStyle w:val="NoSpacing"/>
      </w:pPr>
      <w:r w:rsidRPr="00A4615B">
        <w:t xml:space="preserve">Gate leakage current due to tunneling electrons as a dominant failure mechanism in </w:t>
      </w:r>
      <w:proofErr w:type="spellStart"/>
      <w:r w:rsidRPr="00A4615B">
        <w:t>GaN</w:t>
      </w:r>
      <w:proofErr w:type="spellEnd"/>
      <w:r w:rsidRPr="00A4615B">
        <w:t xml:space="preserve"> HEMTs is emphasized in [6]. When a HEMT is under a high drain voltage and driven by a large rf signal, the electric field at the drain side of the gate is </w:t>
      </w:r>
      <w:proofErr w:type="gramStart"/>
      <w:r w:rsidRPr="00A4615B">
        <w:t>sufficient</w:t>
      </w:r>
      <w:proofErr w:type="gramEnd"/>
      <w:r w:rsidRPr="00A4615B">
        <w:t xml:space="preserve"> to cause electrons to quantum mechanically tunnel from the gate electrode. These electrons can accumulate on the semiconductor surface, and thus be unavailable for conduction. They can also travel over the surface to the drain or through the A1GaN layer beneath the gate. Conduction from the gate to the drain along the surface is the dominant leakage path. The secondary path is through the A1GaN layer to the channel. Field plates can be used to reduce rf power degradation by decreasing the electric field at the gate. However, their use is detrimental to X-band and Ka-band devices due to the feedback capacitance the plates create. Surface passivation is a method to reduce the dominate leakage path over the surface.</w:t>
      </w:r>
    </w:p>
    <w:p w14:paraId="42AE83FA" w14:textId="77777777" w:rsidR="006C6357" w:rsidRDefault="006C6357" w:rsidP="00A4615B">
      <w:pPr>
        <w:pStyle w:val="NoSpacing"/>
      </w:pPr>
    </w:p>
    <w:p w14:paraId="14ED2CD5" w14:textId="3D460805" w:rsidR="00A4615B" w:rsidRPr="00A4615B" w:rsidRDefault="00A4615B" w:rsidP="00A4615B">
      <w:pPr>
        <w:pStyle w:val="NoSpacing"/>
      </w:pPr>
      <w:r w:rsidRPr="00A4615B">
        <w:t xml:space="preserve">With so many proposed stressors, degradation mechanisms, and degradation signatures, it is important to differentiate which stressors cause which effects. Due to this variety of stressors, mechanisms, and signatures, we have begun testing </w:t>
      </w:r>
      <w:proofErr w:type="spellStart"/>
      <w:r w:rsidRPr="00A4615B">
        <w:t>GaN</w:t>
      </w:r>
      <w:proofErr w:type="spellEnd"/>
      <w:r w:rsidRPr="00A4615B">
        <w:t xml:space="preserve"> HEMTs under multiple stressors to discover the relevant stressor or stressors, degradation mechanisms, and signatures. Knowing the limitations of a component in terms of potential parameter degradation is important to a circuit designer.</w:t>
      </w:r>
    </w:p>
    <w:p w14:paraId="65703464" w14:textId="77777777" w:rsidR="006C6357" w:rsidRDefault="006C6357" w:rsidP="00A4615B">
      <w:pPr>
        <w:pStyle w:val="NoSpacing"/>
      </w:pPr>
    </w:p>
    <w:p w14:paraId="69DDB620" w14:textId="3C09F7B2" w:rsidR="00A4615B" w:rsidRPr="00A4615B" w:rsidRDefault="00A4615B" w:rsidP="00A4615B">
      <w:pPr>
        <w:pStyle w:val="NoSpacing"/>
      </w:pPr>
      <w:r w:rsidRPr="00A4615B">
        <w:t>Two objectives of this study were to investigate the effects of different stressors and, specifically, to investigate whether high electric fields alone cause significant degradation.</w:t>
      </w:r>
    </w:p>
    <w:p w14:paraId="2CAA6207" w14:textId="1C017671" w:rsidR="00A4615B" w:rsidRPr="00A4615B" w:rsidRDefault="00A4615B" w:rsidP="006C6357">
      <w:pPr>
        <w:pStyle w:val="Heading1"/>
      </w:pPr>
      <w:r w:rsidRPr="00A4615B">
        <w:rPr>
          <w:b/>
          <w:bCs/>
        </w:rPr>
        <w:t>SECTION II.</w:t>
      </w:r>
      <w:r w:rsidR="006C6357">
        <w:rPr>
          <w:b/>
          <w:bCs/>
        </w:rPr>
        <w:t xml:space="preserve"> </w:t>
      </w:r>
      <w:r w:rsidRPr="00A4615B">
        <w:t>Experiment Description</w:t>
      </w:r>
    </w:p>
    <w:p w14:paraId="1F7F63C3" w14:textId="4E135982" w:rsidR="00A4615B" w:rsidRDefault="00A4615B" w:rsidP="00A4615B">
      <w:pPr>
        <w:pStyle w:val="NoSpacing"/>
      </w:pPr>
      <w:r w:rsidRPr="00A4615B">
        <w:t>The devices used in this study were pulled from two wafers from the same lot. The A1GaN/</w:t>
      </w:r>
      <w:proofErr w:type="spellStart"/>
      <w:r w:rsidRPr="00A4615B">
        <w:t>GaN</w:t>
      </w:r>
      <w:proofErr w:type="spellEnd"/>
      <w:r w:rsidRPr="00A4615B">
        <w:t xml:space="preserve"> HEMT structure (from a commercial foundry) consists of a </w:t>
      </w:r>
      <w:proofErr w:type="spellStart"/>
      <w:r w:rsidRPr="00A4615B">
        <w:t>SiC</w:t>
      </w:r>
      <w:proofErr w:type="spellEnd"/>
      <w:r w:rsidRPr="00A4615B">
        <w:t xml:space="preserve"> substrate, a gate integrated field plate, and a source-connected field plate. Gate length is </w:t>
      </w:r>
      <m:oMath>
        <m:r>
          <w:rPr>
            <w:rFonts w:ascii="Cambria Math" w:hAnsi="Cambria Math"/>
          </w:rPr>
          <m:t>0.5 μm</m:t>
        </m:r>
      </m:oMath>
      <w:r w:rsidRPr="00A4615B">
        <w:t> and peri</w:t>
      </w:r>
      <w:proofErr w:type="spellStart"/>
      <w:r w:rsidRPr="00A4615B">
        <w:t>phery</w:t>
      </w:r>
      <w:proofErr w:type="spellEnd"/>
      <w:r w:rsidRPr="00A4615B">
        <w:t xml:space="preserve"> is </w:t>
      </w:r>
      <m:oMath>
        <m:r>
          <w:rPr>
            <w:rFonts w:ascii="Cambria Math" w:hAnsi="Cambria Math"/>
          </w:rPr>
          <m:t>2×50 μm</m:t>
        </m:r>
      </m:oMath>
      <w:r w:rsidRPr="00A4615B">
        <w:t>. See Fig. 1 for a schematic diagram of the tested devices. Additional structure details can be found in [7] and [8].</w:t>
      </w:r>
    </w:p>
    <w:p w14:paraId="2E4677C0" w14:textId="77777777" w:rsidR="006C6357" w:rsidRPr="00A4615B" w:rsidRDefault="006C6357" w:rsidP="00A4615B">
      <w:pPr>
        <w:pStyle w:val="NoSpacing"/>
      </w:pPr>
    </w:p>
    <w:p w14:paraId="7522F2AC" w14:textId="5915A262" w:rsidR="00A4615B" w:rsidRDefault="00A4615B" w:rsidP="00A4615B">
      <w:pPr>
        <w:pStyle w:val="NoSpacing"/>
      </w:pPr>
      <w:r w:rsidRPr="00A4615B">
        <w:t>Two different sets of test conditions were used: one was high voltage (</w:t>
      </w:r>
      <m:oMath>
        <m:sSub>
          <m:sSubPr>
            <m:ctrlPr>
              <w:rPr>
                <w:rFonts w:ascii="Cambria Math" w:hAnsi="Cambria Math"/>
              </w:rPr>
            </m:ctrlPr>
          </m:sSubPr>
          <m:e>
            <m:r>
              <w:rPr>
                <w:rFonts w:ascii="Cambria Math" w:hAnsi="Cambria Math"/>
              </w:rPr>
              <m:t>V</m:t>
            </m:r>
          </m:e>
          <m:sub>
            <m:r>
              <w:rPr>
                <w:rFonts w:ascii="Cambria Math" w:hAnsi="Cambria Math"/>
              </w:rPr>
              <m:t>DS</m:t>
            </m:r>
          </m:sub>
        </m:sSub>
        <m:r>
          <w:rPr>
            <w:rFonts w:ascii="Cambria Math" w:hAnsi="Cambria Math"/>
          </w:rPr>
          <m:t>=60</m:t>
        </m:r>
      </m:oMath>
      <w:r w:rsidRPr="00A4615B">
        <w:t> V and 100 V) and low current with the gate pinched off (</w:t>
      </w:r>
      <m:oMath>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GS</m:t>
            </m:r>
          </m:sub>
        </m:sSub>
        <m:r>
          <w:rPr>
            <w:rFonts w:ascii="Cambria Math" w:hAnsi="Cambria Math"/>
          </w:rPr>
          <m:t>=-10</m:t>
        </m:r>
        <m:r>
          <m:rPr>
            <m:sty m:val="p"/>
          </m:rPr>
          <w:rPr>
            <w:rFonts w:ascii="Cambria Math" w:hAnsi="Cambria Math"/>
          </w:rPr>
          <m:t>V</m:t>
        </m:r>
        <m:r>
          <w:rPr>
            <w:rFonts w:ascii="Cambria Math" w:hAnsi="Cambria Math"/>
          </w:rPr>
          <m:t>)</m:t>
        </m:r>
      </m:oMath>
      <w:r w:rsidRPr="00A4615B">
        <w:t>) and the other was high dc power </w:t>
      </w:r>
      <m:oMath>
        <m:r>
          <w:rPr>
            <w:rFonts w:ascii="Cambria Math" w:hAnsi="Cambria Math"/>
          </w:rPr>
          <m:t>(≥11</m:t>
        </m:r>
        <m:r>
          <m:rPr>
            <m:sty m:val="p"/>
          </m:rPr>
          <w:rPr>
            <w:rFonts w:ascii="Cambria Math" w:hAnsi="Cambria Math"/>
          </w:rPr>
          <m:t>W</m:t>
        </m:r>
        <m:r>
          <w:rPr>
            <w:rFonts w:ascii="Cambria Math" w:hAnsi="Cambria Math"/>
          </w:rPr>
          <m:t>/</m:t>
        </m:r>
        <m:r>
          <m:rPr>
            <m:sty m:val="p"/>
          </m:rPr>
          <w:rPr>
            <w:rFonts w:ascii="Cambria Math" w:hAnsi="Cambria Math"/>
          </w:rPr>
          <m:t>mm</m:t>
        </m:r>
        <m:r>
          <w:rPr>
            <w:rFonts w:ascii="Cambria Math" w:hAnsi="Cambria Math"/>
          </w:rPr>
          <m:t>)</m:t>
        </m:r>
      </m:oMath>
      <w:r w:rsidRPr="00A4615B">
        <w:t>. In all cases, testing was conducted in the dark under dry nitrogen in an Accel-RF dc test station. The baseplate temperatures (Tbp) of the power test Conditions 1, 2, and 3 were se</w:t>
      </w:r>
      <w:proofErr w:type="spellStart"/>
      <w:r w:rsidRPr="00A4615B">
        <w:t>lected</w:t>
      </w:r>
      <w:proofErr w:type="spellEnd"/>
      <w:r w:rsidRPr="00A4615B">
        <w:t xml:space="preserve"> so that the devices had similar estimated peak channel temperatures (based on device modeling). The </w:t>
      </w:r>
      <w:proofErr w:type="spellStart"/>
      <w:r w:rsidRPr="00A4615B">
        <w:t>highvoltage</w:t>
      </w:r>
      <w:proofErr w:type="spellEnd"/>
      <w:r w:rsidRPr="00A4615B">
        <w:t xml:space="preserve"> test Conditions 4 and 5 also had similar estimated peak channel temperatures. Fifteen devices were placed on test, with three devices at each of the five conditions listed in Table I.</w:t>
      </w:r>
    </w:p>
    <w:p w14:paraId="2E036D8F" w14:textId="77777777" w:rsidR="00E800CD" w:rsidRPr="00A4615B" w:rsidRDefault="00E800CD" w:rsidP="00A4615B">
      <w:pPr>
        <w:pStyle w:val="NoSpacing"/>
      </w:pPr>
    </w:p>
    <w:p w14:paraId="58C4B196" w14:textId="3AFA9AEB" w:rsidR="00A4615B" w:rsidRPr="00A4615B" w:rsidRDefault="00A4615B" w:rsidP="00A4615B">
      <w:pPr>
        <w:pStyle w:val="NoSpacing"/>
        <w:rPr>
          <w:rStyle w:val="Hyperlink"/>
        </w:rPr>
      </w:pPr>
      <w:r w:rsidRPr="00A4615B">
        <w:fldChar w:fldCharType="begin"/>
      </w:r>
      <w:r w:rsidRPr="00A4615B">
        <w:instrText xml:space="preserve"> HYPERLINK "https://ieeexplore.ieee.org/mediastore_new/IEEE/content/media/5776767/5784429/5784556/5784556-fig-1-source-large.gif" </w:instrText>
      </w:r>
      <w:r w:rsidRPr="00A4615B">
        <w:fldChar w:fldCharType="separate"/>
      </w:r>
      <w:r w:rsidRPr="00A4615B">
        <w:rPr>
          <w:rStyle w:val="Hyperlink"/>
          <w:noProof/>
        </w:rPr>
        <w:drawing>
          <wp:inline distT="0" distB="0" distL="0" distR="0" wp14:anchorId="04E47462" wp14:editId="3BD7BF83">
            <wp:extent cx="2743200" cy="795528"/>
            <wp:effectExtent l="0" t="0" r="0" b="5080"/>
            <wp:docPr id="7" name="Picture 7" descr="Figure 1. Schematic diagram of tested devices. [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795528"/>
                    </a:xfrm>
                    <a:prstGeom prst="rect">
                      <a:avLst/>
                    </a:prstGeom>
                    <a:noFill/>
                    <a:ln>
                      <a:noFill/>
                    </a:ln>
                  </pic:spPr>
                </pic:pic>
              </a:graphicData>
            </a:graphic>
          </wp:inline>
        </w:drawing>
      </w:r>
    </w:p>
    <w:p w14:paraId="2D550D9F" w14:textId="3F1AAA8F" w:rsidR="00A4615B" w:rsidRPr="00A4615B" w:rsidRDefault="00A4615B" w:rsidP="00A4615B">
      <w:pPr>
        <w:pStyle w:val="NoSpacing"/>
      </w:pPr>
      <w:r w:rsidRPr="00A4615B">
        <w:fldChar w:fldCharType="end"/>
      </w:r>
      <w:r w:rsidRPr="00A4615B">
        <w:rPr>
          <w:b/>
          <w:bCs/>
        </w:rPr>
        <w:t>Figure 1. </w:t>
      </w:r>
      <w:r w:rsidRPr="00A4615B">
        <w:t>Schematic diagram of tested devices. [9]</w:t>
      </w:r>
    </w:p>
    <w:p w14:paraId="10C599C0" w14:textId="77777777" w:rsidR="006C6357" w:rsidRDefault="006C6357" w:rsidP="00A4615B">
      <w:pPr>
        <w:pStyle w:val="NoSpacing"/>
      </w:pPr>
    </w:p>
    <w:p w14:paraId="7CD5C703" w14:textId="7AB347B0" w:rsidR="00A4615B" w:rsidRPr="00A4615B" w:rsidRDefault="00A4615B" w:rsidP="00A4615B">
      <w:pPr>
        <w:pStyle w:val="NoSpacing"/>
      </w:pPr>
      <w:r w:rsidRPr="00A4615B">
        <w:t>For the upper set of power test conditions, the drain voltage </w:t>
      </w:r>
      <m:oMath>
        <m:sSub>
          <m:sSubPr>
            <m:ctrlPr>
              <w:rPr>
                <w:rFonts w:ascii="Cambria Math" w:hAnsi="Cambria Math"/>
              </w:rPr>
            </m:ctrlPr>
          </m:sSubPr>
          <m:e>
            <m:r>
              <w:rPr>
                <w:rFonts w:ascii="Cambria Math" w:hAnsi="Cambria Math"/>
              </w:rPr>
              <m:t>V</m:t>
            </m:r>
          </m:e>
          <m:sub>
            <m:r>
              <w:rPr>
                <w:rFonts w:ascii="Cambria Math" w:hAnsi="Cambria Math"/>
              </w:rPr>
              <m:t>DS</m:t>
            </m:r>
          </m:sub>
        </m:sSub>
      </m:oMath>
      <w:r w:rsidRPr="00A4615B">
        <w:t> was set and the gate voltage </w:t>
      </w:r>
      <m:oMath>
        <m:sSub>
          <m:sSubPr>
            <m:ctrlPr>
              <w:rPr>
                <w:rFonts w:ascii="Cambria Math" w:hAnsi="Cambria Math"/>
              </w:rPr>
            </m:ctrlPr>
          </m:sSubPr>
          <m:e>
            <m:r>
              <w:rPr>
                <w:rFonts w:ascii="Cambria Math" w:hAnsi="Cambria Math"/>
              </w:rPr>
              <m:t>V</m:t>
            </m:r>
          </m:e>
          <m:sub>
            <m:r>
              <w:rPr>
                <w:rFonts w:ascii="Cambria Math" w:hAnsi="Cambria Math"/>
              </w:rPr>
              <m:t>GS</m:t>
            </m:r>
          </m:sub>
        </m:sSub>
      </m:oMath>
      <w:r w:rsidRPr="00A4615B">
        <w:t> was adjusted until the target drain current </w:t>
      </w:r>
      <m:oMath>
        <m:sSub>
          <m:sSubPr>
            <m:ctrlPr>
              <w:rPr>
                <w:rFonts w:ascii="Cambria Math" w:hAnsi="Cambria Math"/>
              </w:rPr>
            </m:ctrlPr>
          </m:sSubPr>
          <m:e>
            <m:r>
              <w:rPr>
                <w:rFonts w:ascii="Cambria Math" w:hAnsi="Cambria Math"/>
              </w:rPr>
              <m:t>I</m:t>
            </m:r>
          </m:e>
          <m:sub>
            <m:r>
              <w:rPr>
                <w:rFonts w:ascii="Cambria Math" w:hAnsi="Cambria Math"/>
              </w:rPr>
              <m:t>D</m:t>
            </m:r>
          </m:sub>
        </m:sSub>
      </m:oMath>
      <w:r w:rsidRPr="00A4615B">
        <w:t> was reached (within the capabilities of the test station). After the initial setting of </w:t>
      </w:r>
      <m:oMath>
        <m:sSub>
          <m:sSubPr>
            <m:ctrlPr>
              <w:rPr>
                <w:rFonts w:ascii="Cambria Math" w:hAnsi="Cambria Math"/>
              </w:rPr>
            </m:ctrlPr>
          </m:sSubPr>
          <m:e>
            <m:r>
              <w:rPr>
                <w:rFonts w:ascii="Cambria Math" w:hAnsi="Cambria Math"/>
              </w:rPr>
              <m:t>V</m:t>
            </m:r>
          </m:e>
          <m:sub>
            <m:r>
              <w:rPr>
                <w:rFonts w:ascii="Cambria Math" w:hAnsi="Cambria Math"/>
              </w:rPr>
              <m:t>GS</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GS</m:t>
            </m:r>
          </m:sub>
        </m:sSub>
      </m:oMath>
      <w:r w:rsidRPr="00A4615B">
        <w:t> was maintained for the duration of the test. The expected values of </w:t>
      </w:r>
      <m:oMath>
        <m:sSub>
          <m:sSubPr>
            <m:ctrlPr>
              <w:rPr>
                <w:rFonts w:ascii="Cambria Math" w:hAnsi="Cambria Math"/>
              </w:rPr>
            </m:ctrlPr>
          </m:sSubPr>
          <m:e>
            <m:r>
              <w:rPr>
                <w:rFonts w:ascii="Cambria Math" w:hAnsi="Cambria Math"/>
              </w:rPr>
              <m:t>V</m:t>
            </m:r>
          </m:e>
          <m:sub>
            <m:r>
              <w:rPr>
                <w:rFonts w:ascii="Cambria Math" w:hAnsi="Cambria Math"/>
              </w:rPr>
              <m:t>GS</m:t>
            </m:r>
          </m:sub>
        </m:sSub>
      </m:oMath>
      <w:r w:rsidRPr="00A4615B">
        <w:t> for the upper test conditions were based on previous testing and were not anticipated to cause forward gate current based on previous testing at </w:t>
      </w:r>
      <m:oMath>
        <m:sSub>
          <m:sSubPr>
            <m:ctrlPr>
              <w:rPr>
                <w:rFonts w:ascii="Cambria Math" w:hAnsi="Cambria Math"/>
              </w:rPr>
            </m:ctrlPr>
          </m:sSubPr>
          <m:e>
            <m:r>
              <w:rPr>
                <w:rFonts w:ascii="Cambria Math" w:hAnsi="Cambria Math"/>
              </w:rPr>
              <m:t>V</m:t>
            </m:r>
          </m:e>
          <m:sub>
            <m:r>
              <w:rPr>
                <w:rFonts w:ascii="Cambria Math" w:hAnsi="Cambria Math"/>
              </w:rPr>
              <m:t>GS</m:t>
            </m:r>
          </m:sub>
        </m:sSub>
        <m:r>
          <w:rPr>
            <w:rFonts w:ascii="Cambria Math" w:hAnsi="Cambria Math"/>
          </w:rPr>
          <m:t>=2</m:t>
        </m:r>
      </m:oMath>
      <w:r w:rsidRPr="00A4615B">
        <w:t>. For the lower set of high-voltage test conditions, both </w:t>
      </w:r>
      <m:oMath>
        <m:sSub>
          <m:sSubPr>
            <m:ctrlPr>
              <w:rPr>
                <w:rFonts w:ascii="Cambria Math" w:hAnsi="Cambria Math"/>
              </w:rPr>
            </m:ctrlPr>
          </m:sSubPr>
          <m:e>
            <m:r>
              <w:rPr>
                <w:rFonts w:ascii="Cambria Math" w:hAnsi="Cambria Math"/>
              </w:rPr>
              <m:t>V</m:t>
            </m:r>
          </m:e>
          <m:sub>
            <m:r>
              <w:rPr>
                <w:rFonts w:ascii="Cambria Math" w:hAnsi="Cambria Math"/>
              </w:rPr>
              <m:t>DS</m:t>
            </m:r>
          </m:sub>
        </m:sSub>
      </m:oMath>
      <w:r w:rsidRPr="00A4615B">
        <w:t> and </w:t>
      </w:r>
      <m:oMath>
        <m:sSub>
          <m:sSubPr>
            <m:ctrlPr>
              <w:rPr>
                <w:rFonts w:ascii="Cambria Math" w:hAnsi="Cambria Math"/>
              </w:rPr>
            </m:ctrlPr>
          </m:sSubPr>
          <m:e>
            <m:r>
              <w:rPr>
                <w:rFonts w:ascii="Cambria Math" w:hAnsi="Cambria Math"/>
              </w:rPr>
              <m:t>V</m:t>
            </m:r>
          </m:e>
          <m:sub>
            <m:r>
              <w:rPr>
                <w:rFonts w:ascii="Cambria Math" w:hAnsi="Cambria Math"/>
              </w:rPr>
              <m:t>GS</m:t>
            </m:r>
          </m:sub>
        </m:sSub>
      </m:oMath>
      <w:r w:rsidRPr="00A4615B">
        <w:t> were set, and the expected </w:t>
      </w:r>
      <m:oMath>
        <m:sSub>
          <m:sSubPr>
            <m:ctrlPr>
              <w:rPr>
                <w:rFonts w:ascii="Cambria Math" w:hAnsi="Cambria Math"/>
              </w:rPr>
            </m:ctrlPr>
          </m:sSubPr>
          <m:e>
            <m:r>
              <w:rPr>
                <w:rFonts w:ascii="Cambria Math" w:hAnsi="Cambria Math"/>
              </w:rPr>
              <m:t>I</m:t>
            </m:r>
          </m:e>
          <m:sub>
            <m:r>
              <w:rPr>
                <w:rFonts w:ascii="Cambria Math" w:hAnsi="Cambria Math"/>
              </w:rPr>
              <m:t>D</m:t>
            </m:r>
          </m:sub>
        </m:sSub>
      </m:oMath>
      <w:r w:rsidRPr="00A4615B">
        <w:t> was based on values seen during testing in a probe station.</w:t>
      </w:r>
    </w:p>
    <w:p w14:paraId="1DD1251C" w14:textId="77777777" w:rsidR="006C6357" w:rsidRDefault="006C6357" w:rsidP="00A4615B">
      <w:pPr>
        <w:pStyle w:val="NoSpacing"/>
      </w:pPr>
    </w:p>
    <w:p w14:paraId="3040C231" w14:textId="59B0AC2D" w:rsidR="00A4615B" w:rsidRPr="00A4615B" w:rsidRDefault="00A4615B" w:rsidP="00A4615B">
      <w:pPr>
        <w:pStyle w:val="NoSpacing"/>
      </w:pPr>
      <w:r w:rsidRPr="00A4615B">
        <w:t>The intended test sequence for the power test conditions was an initial characterization, followed by stress until </w:t>
      </w:r>
      <m:oMath>
        <m:sSub>
          <m:sSubPr>
            <m:ctrlPr>
              <w:rPr>
                <w:rFonts w:ascii="Cambria Math" w:hAnsi="Cambria Math"/>
              </w:rPr>
            </m:ctrlPr>
          </m:sSubPr>
          <m:e>
            <m:r>
              <w:rPr>
                <w:rFonts w:ascii="Cambria Math" w:hAnsi="Cambria Math"/>
              </w:rPr>
              <m:t>I</m:t>
            </m:r>
          </m:e>
          <m:sub>
            <m:r>
              <w:rPr>
                <w:rFonts w:ascii="Cambria Math" w:hAnsi="Cambria Math"/>
              </w:rPr>
              <m:t>D</m:t>
            </m:r>
          </m:sub>
        </m:sSub>
      </m:oMath>
      <w:r w:rsidRPr="00A4615B">
        <w:t> degraded to a pre-determined failure criterion, and e</w:t>
      </w:r>
      <w:proofErr w:type="spellStart"/>
      <w:r w:rsidRPr="00A4615B">
        <w:t>nding</w:t>
      </w:r>
      <w:proofErr w:type="spellEnd"/>
      <w:r w:rsidRPr="00A4615B">
        <w:t xml:space="preserve"> with a post-failure characterization. However, test station measurement was not sufficiently </w:t>
      </w:r>
      <w:proofErr w:type="gramStart"/>
      <w:r w:rsidRPr="00A4615B">
        <w:t>precise</w:t>
      </w:r>
      <w:proofErr w:type="gramEnd"/>
      <w:r w:rsidRPr="00A4615B">
        <w:t xml:space="preserve"> and drift was too great to track </w:t>
      </w:r>
      <m:oMath>
        <m:sSub>
          <m:sSubPr>
            <m:ctrlPr>
              <w:rPr>
                <w:rFonts w:ascii="Cambria Math" w:hAnsi="Cambria Math"/>
              </w:rPr>
            </m:ctrlPr>
          </m:sSubPr>
          <m:e>
            <m:r>
              <w:rPr>
                <w:rFonts w:ascii="Cambria Math" w:hAnsi="Cambria Math"/>
              </w:rPr>
              <m:t>I</m:t>
            </m:r>
          </m:e>
          <m:sub>
            <m:r>
              <w:rPr>
                <w:rFonts w:ascii="Cambria Math" w:hAnsi="Cambria Math"/>
              </w:rPr>
              <m:t>D</m:t>
            </m:r>
          </m:sub>
        </m:sSub>
      </m:oMath>
      <w:r w:rsidRPr="00A4615B">
        <w:t> during stress, and the test was ended at 300 hours to conduct a characterization. The test station has since be</w:t>
      </w:r>
      <w:proofErr w:type="spellStart"/>
      <w:r w:rsidRPr="00A4615B">
        <w:t>en</w:t>
      </w:r>
      <w:proofErr w:type="spellEnd"/>
      <w:r w:rsidRPr="00A4615B">
        <w:t xml:space="preserve"> upgraded to measure </w:t>
      </w:r>
      <m:oMath>
        <m:sSub>
          <m:sSubPr>
            <m:ctrlPr>
              <w:rPr>
                <w:rFonts w:ascii="Cambria Math" w:hAnsi="Cambria Math"/>
              </w:rPr>
            </m:ctrlPr>
          </m:sSubPr>
          <m:e>
            <m:r>
              <w:rPr>
                <w:rFonts w:ascii="Cambria Math" w:hAnsi="Cambria Math"/>
              </w:rPr>
              <m:t>I</m:t>
            </m:r>
          </m:e>
          <m:sub>
            <m:r>
              <w:rPr>
                <w:rFonts w:ascii="Cambria Math" w:hAnsi="Cambria Math"/>
              </w:rPr>
              <m:t>D</m:t>
            </m:r>
          </m:sub>
        </m:sSub>
      </m:oMath>
      <w:r w:rsidRPr="00A4615B">
        <w:t> with more precision and less drift.</w:t>
      </w:r>
    </w:p>
    <w:p w14:paraId="61B94E5A" w14:textId="77777777" w:rsidR="006C6357" w:rsidRDefault="006C6357" w:rsidP="00A4615B">
      <w:pPr>
        <w:pStyle w:val="NoSpacing"/>
      </w:pPr>
    </w:p>
    <w:p w14:paraId="3F668E45" w14:textId="5B2442D3" w:rsidR="00A4615B" w:rsidRPr="00A4615B" w:rsidRDefault="00A4615B" w:rsidP="00A4615B">
      <w:pPr>
        <w:pStyle w:val="NoSpacing"/>
      </w:pPr>
      <w:r w:rsidRPr="00A4615B">
        <w:t>The devices in the high-voltage set were characterized before stress and after each 100 hours of stress until reaching 300 total hours of stress. Their degradation was tracked with </w:t>
      </w:r>
      <m:oMath>
        <m:sSub>
          <m:sSubPr>
            <m:ctrlPr>
              <w:rPr>
                <w:rFonts w:ascii="Cambria Math" w:hAnsi="Cambria Math"/>
              </w:rPr>
            </m:ctrlPr>
          </m:sSubPr>
          <m:e>
            <m:r>
              <w:rPr>
                <w:rFonts w:ascii="Cambria Math" w:hAnsi="Cambria Math"/>
              </w:rPr>
              <m:t>I</m:t>
            </m:r>
          </m:e>
          <m:sub>
            <m:r>
              <w:rPr>
                <w:rFonts w:ascii="Cambria Math" w:hAnsi="Cambria Math"/>
              </w:rPr>
              <m:t>DSS</m:t>
            </m:r>
          </m:sub>
        </m:sSub>
      </m:oMath>
      <w:r w:rsidRPr="00A4615B">
        <w:t> a</w:t>
      </w:r>
      <w:proofErr w:type="spellStart"/>
      <w:r w:rsidRPr="00A4615B">
        <w:t>nd</w:t>
      </w:r>
      <w:proofErr w:type="spellEnd"/>
      <w:r w:rsidRPr="00A4615B">
        <w:t> </w:t>
      </w:r>
      <m:oMath>
        <m:sSub>
          <m:sSubPr>
            <m:ctrlPr>
              <w:rPr>
                <w:rFonts w:ascii="Cambria Math" w:hAnsi="Cambria Math"/>
              </w:rPr>
            </m:ctrlPr>
          </m:sSubPr>
          <m:e>
            <m:r>
              <w:rPr>
                <w:rFonts w:ascii="Cambria Math" w:hAnsi="Cambria Math"/>
              </w:rPr>
              <m:t>I</m:t>
            </m:r>
          </m:e>
          <m:sub>
            <m:r>
              <w:rPr>
                <w:rFonts w:ascii="Cambria Math" w:hAnsi="Cambria Math"/>
              </w:rPr>
              <m:t>Dmax</m:t>
            </m:r>
          </m:sub>
        </m:sSub>
      </m:oMath>
      <w:r w:rsidRPr="00A4615B">
        <w:t>.</w:t>
      </w:r>
    </w:p>
    <w:p w14:paraId="17E6D14E" w14:textId="77777777" w:rsidR="006C6357" w:rsidRDefault="006C6357" w:rsidP="00A4615B">
      <w:pPr>
        <w:pStyle w:val="NoSpacing"/>
      </w:pPr>
    </w:p>
    <w:p w14:paraId="5C6CB6F2" w14:textId="77071179" w:rsidR="00A4615B" w:rsidRPr="00A4615B" w:rsidRDefault="00A4615B" w:rsidP="00A4615B">
      <w:pPr>
        <w:pStyle w:val="NoSpacing"/>
      </w:pPr>
      <w:r w:rsidRPr="00A4615B">
        <w:t>The characterization consisted of 1-V and transfer curves conducted at </w:t>
      </w:r>
      <m:oMath>
        <m:sSub>
          <m:sSubPr>
            <m:ctrlPr>
              <w:rPr>
                <w:rFonts w:ascii="Cambria Math" w:hAnsi="Cambria Math"/>
              </w:rPr>
            </m:ctrlPr>
          </m:sSubPr>
          <m:e>
            <m:r>
              <w:rPr>
                <w:rFonts w:ascii="Cambria Math" w:hAnsi="Cambria Math"/>
              </w:rPr>
              <m:t>T</m:t>
            </m:r>
          </m:e>
          <m:sub>
            <m:r>
              <w:rPr>
                <w:rFonts w:ascii="Cambria Math" w:hAnsi="Cambria Math"/>
              </w:rPr>
              <m:t>bp</m:t>
            </m:r>
          </m:sub>
        </m:sSub>
        <m:r>
          <w:rPr>
            <w:rFonts w:ascii="Cambria Math" w:hAnsi="Cambria Math"/>
          </w:rPr>
          <m:t>=</m:t>
        </m:r>
        <m:sSup>
          <m:sSupPr>
            <m:ctrlPr>
              <w:rPr>
                <w:rFonts w:ascii="Cambria Math" w:hAnsi="Cambria Math"/>
              </w:rPr>
            </m:ctrlPr>
          </m:sSupPr>
          <m:e>
            <m:r>
              <w:rPr>
                <w:rFonts w:ascii="Cambria Math" w:hAnsi="Cambria Math"/>
              </w:rPr>
              <m:t>70</m:t>
            </m:r>
          </m:e>
          <m:sup>
            <m:r>
              <w:rPr>
                <w:rFonts w:ascii="Cambria Math" w:hAnsi="Cambria Math"/>
              </w:rPr>
              <m:t>∘</m:t>
            </m:r>
          </m:sup>
        </m:sSup>
        <m:r>
          <m:rPr>
            <m:sty m:val="p"/>
          </m:rPr>
          <w:rPr>
            <w:rFonts w:ascii="Cambria Math" w:hAnsi="Cambria Math"/>
          </w:rPr>
          <m:t>C</m:t>
        </m:r>
      </m:oMath>
      <w:r w:rsidRPr="00A4615B">
        <w:t> The 1-V curves swept </w:t>
      </w:r>
      <m:oMath>
        <m:sSub>
          <m:sSubPr>
            <m:ctrlPr>
              <w:rPr>
                <w:rFonts w:ascii="Cambria Math" w:hAnsi="Cambria Math"/>
              </w:rPr>
            </m:ctrlPr>
          </m:sSubPr>
          <m:e>
            <m:r>
              <w:rPr>
                <w:rFonts w:ascii="Cambria Math" w:hAnsi="Cambria Math"/>
              </w:rPr>
              <m:t>V</m:t>
            </m:r>
          </m:e>
          <m:sub>
            <m:r>
              <w:rPr>
                <w:rFonts w:ascii="Cambria Math" w:hAnsi="Cambria Math"/>
              </w:rPr>
              <m:t>GS</m:t>
            </m:r>
          </m:sub>
        </m:sSub>
      </m:oMath>
      <w:r w:rsidRPr="00A4615B">
        <w:t> from -5 to 1V in I-V steps and </w:t>
      </w:r>
      <m:oMath>
        <m:sSub>
          <m:sSubPr>
            <m:ctrlPr>
              <w:rPr>
                <w:rFonts w:ascii="Cambria Math" w:hAnsi="Cambria Math"/>
              </w:rPr>
            </m:ctrlPr>
          </m:sSubPr>
          <m:e>
            <m:r>
              <w:rPr>
                <w:rFonts w:ascii="Cambria Math" w:hAnsi="Cambria Math"/>
              </w:rPr>
              <m:t>V</m:t>
            </m:r>
          </m:e>
          <m:sub>
            <m:r>
              <w:rPr>
                <w:rFonts w:ascii="Cambria Math" w:hAnsi="Cambria Math"/>
              </w:rPr>
              <m:t>DS</m:t>
            </m:r>
          </m:sub>
        </m:sSub>
      </m:oMath>
      <w:r w:rsidRPr="00A4615B">
        <w:t> from 0 to 10 V in 19 steps. The transfer curve was conducted at </w:t>
      </w:r>
      <m:oMath>
        <m:sSub>
          <m:sSubPr>
            <m:ctrlPr>
              <w:rPr>
                <w:rFonts w:ascii="Cambria Math" w:hAnsi="Cambria Math"/>
              </w:rPr>
            </m:ctrlPr>
          </m:sSubPr>
          <m:e>
            <m:r>
              <w:rPr>
                <w:rFonts w:ascii="Cambria Math" w:hAnsi="Cambria Math"/>
              </w:rPr>
              <m:t>V</m:t>
            </m:r>
          </m:e>
          <m:sub>
            <m:r>
              <w:rPr>
                <w:rFonts w:ascii="Cambria Math" w:hAnsi="Cambria Math"/>
              </w:rPr>
              <m:t>DS</m:t>
            </m:r>
          </m:sub>
        </m:sSub>
        <m:r>
          <w:rPr>
            <w:rFonts w:ascii="Cambria Math" w:hAnsi="Cambria Math"/>
          </w:rPr>
          <m:t xml:space="preserve">=10 </m:t>
        </m:r>
      </m:oMath>
      <w:r w:rsidRPr="00A4615B">
        <w:t>V with </w:t>
      </w:r>
      <m:oMath>
        <m:sSub>
          <m:sSubPr>
            <m:ctrlPr>
              <w:rPr>
                <w:rFonts w:ascii="Cambria Math" w:hAnsi="Cambria Math"/>
              </w:rPr>
            </m:ctrlPr>
          </m:sSubPr>
          <m:e>
            <m:r>
              <w:rPr>
                <w:rFonts w:ascii="Cambria Math" w:hAnsi="Cambria Math"/>
              </w:rPr>
              <m:t>V</m:t>
            </m:r>
          </m:e>
          <m:sub>
            <m:r>
              <w:rPr>
                <w:rFonts w:ascii="Cambria Math" w:hAnsi="Cambria Math"/>
              </w:rPr>
              <m:t>GS</m:t>
            </m:r>
          </m:sub>
        </m:sSub>
      </m:oMath>
      <w:r w:rsidRPr="00A4615B">
        <w:t> being swept from -5 to 1 V in 0.333-V steps. The characterization was shown to be benign in on-wafer testing. </w:t>
      </w:r>
      <m:oMath>
        <m:sSub>
          <m:sSubPr>
            <m:ctrlPr>
              <w:rPr>
                <w:rFonts w:ascii="Cambria Math" w:hAnsi="Cambria Math"/>
              </w:rPr>
            </m:ctrlPr>
          </m:sSubPr>
          <m:e>
            <m:r>
              <w:rPr>
                <w:rFonts w:ascii="Cambria Math" w:hAnsi="Cambria Math"/>
              </w:rPr>
              <m:t>I</m:t>
            </m:r>
          </m:e>
          <m:sub>
            <m:r>
              <w:rPr>
                <w:rFonts w:ascii="Cambria Math" w:hAnsi="Cambria Math"/>
              </w:rPr>
              <m:t>DSS</m:t>
            </m:r>
          </m:sub>
        </m:sSub>
      </m:oMath>
      <w:r w:rsidRPr="00A4615B">
        <w:t> was measured at </w:t>
      </w:r>
      <m:oMath>
        <m:sSub>
          <m:sSubPr>
            <m:ctrlPr>
              <w:rPr>
                <w:rFonts w:ascii="Cambria Math" w:hAnsi="Cambria Math"/>
              </w:rPr>
            </m:ctrlPr>
          </m:sSubPr>
          <m:e>
            <m:r>
              <w:rPr>
                <w:rFonts w:ascii="Cambria Math" w:hAnsi="Cambria Math"/>
              </w:rPr>
              <m:t>V</m:t>
            </m:r>
          </m:e>
          <m:sub>
            <m:r>
              <w:rPr>
                <w:rFonts w:ascii="Cambria Math" w:hAnsi="Cambria Math"/>
              </w:rPr>
              <m:t>DS</m:t>
            </m:r>
          </m:sub>
        </m:sSub>
        <m:r>
          <w:rPr>
            <w:rFonts w:ascii="Cambria Math" w:hAnsi="Cambria Math"/>
          </w:rPr>
          <m:t>=10</m:t>
        </m:r>
      </m:oMath>
      <w:r w:rsidRPr="00A4615B">
        <w:t> V and </w:t>
      </w:r>
      <m:oMath>
        <m:sSub>
          <m:sSubPr>
            <m:ctrlPr>
              <w:rPr>
                <w:rFonts w:ascii="Cambria Math" w:hAnsi="Cambria Math"/>
              </w:rPr>
            </m:ctrlPr>
          </m:sSubPr>
          <m:e>
            <m:r>
              <w:rPr>
                <w:rFonts w:ascii="Cambria Math" w:hAnsi="Cambria Math"/>
              </w:rPr>
              <m:t>V</m:t>
            </m:r>
          </m:e>
          <m:sub>
            <m:r>
              <w:rPr>
                <w:rFonts w:ascii="Cambria Math" w:hAnsi="Cambria Math"/>
              </w:rPr>
              <m:t>GS</m:t>
            </m:r>
          </m:sub>
        </m:sSub>
        <m:r>
          <w:rPr>
            <w:rFonts w:ascii="Cambria Math" w:hAnsi="Cambria Math"/>
          </w:rPr>
          <m:t>=0</m:t>
        </m:r>
      </m:oMath>
      <w:r w:rsidRPr="00A4615B">
        <w:t>. </w:t>
      </w:r>
      <m:oMath>
        <m:sSub>
          <m:sSubPr>
            <m:ctrlPr>
              <w:rPr>
                <w:rFonts w:ascii="Cambria Math" w:hAnsi="Cambria Math"/>
              </w:rPr>
            </m:ctrlPr>
          </m:sSubPr>
          <m:e>
            <m:r>
              <w:rPr>
                <w:rFonts w:ascii="Cambria Math" w:hAnsi="Cambria Math"/>
              </w:rPr>
              <m:t>I</m:t>
            </m:r>
          </m:e>
          <m:sub>
            <m:r>
              <w:rPr>
                <w:rFonts w:ascii="Cambria Math" w:hAnsi="Cambria Math"/>
              </w:rPr>
              <m:t>Dmax</m:t>
            </m:r>
          </m:sub>
        </m:sSub>
      </m:oMath>
      <w:r w:rsidRPr="00A4615B">
        <w:t> was measured at </w:t>
      </w:r>
      <m:oMath>
        <m:sSub>
          <m:sSubPr>
            <m:ctrlPr>
              <w:rPr>
                <w:rFonts w:ascii="Cambria Math" w:hAnsi="Cambria Math"/>
              </w:rPr>
            </m:ctrlPr>
          </m:sSubPr>
          <m:e>
            <m:r>
              <w:rPr>
                <w:rFonts w:ascii="Cambria Math" w:hAnsi="Cambria Math"/>
              </w:rPr>
              <m:t>V</m:t>
            </m:r>
          </m:e>
          <m:sub>
            <m:r>
              <w:rPr>
                <w:rFonts w:ascii="Cambria Math" w:hAnsi="Cambria Math"/>
              </w:rPr>
              <m:t>DS</m:t>
            </m:r>
          </m:sub>
        </m:sSub>
        <m:r>
          <w:rPr>
            <w:rFonts w:ascii="Cambria Math" w:hAnsi="Cambria Math"/>
          </w:rPr>
          <m:t>=10</m:t>
        </m:r>
      </m:oMath>
      <w:r w:rsidRPr="00A4615B">
        <w:t> V and </w:t>
      </w:r>
      <m:oMath>
        <m:sSub>
          <m:sSubPr>
            <m:ctrlPr>
              <w:rPr>
                <w:rFonts w:ascii="Cambria Math" w:hAnsi="Cambria Math"/>
              </w:rPr>
            </m:ctrlPr>
          </m:sSubPr>
          <m:e>
            <m:r>
              <w:rPr>
                <w:rFonts w:ascii="Cambria Math" w:hAnsi="Cambria Math"/>
              </w:rPr>
              <m:t>V</m:t>
            </m:r>
          </m:e>
          <m:sub>
            <m:r>
              <w:rPr>
                <w:rFonts w:ascii="Cambria Math" w:hAnsi="Cambria Math"/>
              </w:rPr>
              <m:t>GS</m:t>
            </m:r>
          </m:sub>
        </m:sSub>
        <m:r>
          <w:rPr>
            <w:rFonts w:ascii="Cambria Math" w:hAnsi="Cambria Math"/>
          </w:rPr>
          <m:t>=1</m:t>
        </m:r>
      </m:oMath>
      <w:r w:rsidRPr="00A4615B">
        <w:t>. On resistance </w:t>
      </w:r>
      <m:oMath>
        <m:sSub>
          <m:sSubPr>
            <m:ctrlPr>
              <w:rPr>
                <w:rFonts w:ascii="Cambria Math" w:hAnsi="Cambria Math"/>
              </w:rPr>
            </m:ctrlPr>
          </m:sSubPr>
          <m:e>
            <m:r>
              <w:rPr>
                <w:rFonts w:ascii="Cambria Math" w:hAnsi="Cambria Math"/>
              </w:rPr>
              <m:t>R</m:t>
            </m:r>
          </m:e>
          <m:sub>
            <m:r>
              <w:rPr>
                <w:rFonts w:ascii="Cambria Math" w:hAnsi="Cambria Math"/>
              </w:rPr>
              <m:t>on</m:t>
            </m:r>
          </m:sub>
        </m:sSub>
      </m:oMath>
      <w:r w:rsidRPr="00A4615B">
        <w:t> was calculated with </w:t>
      </w:r>
      <m:oMath>
        <m:sSub>
          <m:sSubPr>
            <m:ctrlPr>
              <w:rPr>
                <w:rFonts w:ascii="Cambria Math" w:hAnsi="Cambria Math"/>
              </w:rPr>
            </m:ctrlPr>
          </m:sSubPr>
          <m:e>
            <m:r>
              <w:rPr>
                <w:rFonts w:ascii="Cambria Math" w:hAnsi="Cambria Math"/>
              </w:rPr>
              <m:t>V</m:t>
            </m:r>
          </m:e>
          <m:sub>
            <m:r>
              <w:rPr>
                <w:rFonts w:ascii="Cambria Math" w:hAnsi="Cambria Math"/>
              </w:rPr>
              <m:t>DS</m:t>
            </m:r>
          </m:sub>
        </m:sSub>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DS</m:t>
            </m:r>
          </m:sub>
        </m:sSub>
      </m:oMath>
      <w:r w:rsidRPr="00A4615B">
        <w:t> at </w:t>
      </w:r>
      <m:oMath>
        <m:sSub>
          <m:sSubPr>
            <m:ctrlPr>
              <w:rPr>
                <w:rFonts w:ascii="Cambria Math" w:hAnsi="Cambria Math"/>
              </w:rPr>
            </m:ctrlPr>
          </m:sSubPr>
          <m:e>
            <m:r>
              <w:rPr>
                <w:rFonts w:ascii="Cambria Math" w:hAnsi="Cambria Math"/>
              </w:rPr>
              <m:t>V</m:t>
            </m:r>
          </m:e>
          <m:sub>
            <m:r>
              <w:rPr>
                <w:rFonts w:ascii="Cambria Math" w:hAnsi="Cambria Math"/>
              </w:rPr>
              <m:t>DS</m:t>
            </m:r>
          </m:sub>
        </m:sSub>
        <m:r>
          <w:rPr>
            <w:rFonts w:ascii="Cambria Math" w:hAnsi="Cambria Math"/>
          </w:rPr>
          <m:t>=0.556</m:t>
        </m:r>
      </m:oMath>
      <w:r w:rsidRPr="00A4615B">
        <w:t> V and </w:t>
      </w:r>
      <m:oMath>
        <m:sSub>
          <m:sSubPr>
            <m:ctrlPr>
              <w:rPr>
                <w:rFonts w:ascii="Cambria Math" w:hAnsi="Cambria Math"/>
              </w:rPr>
            </m:ctrlPr>
          </m:sSubPr>
          <m:e>
            <m:r>
              <w:rPr>
                <w:rFonts w:ascii="Cambria Math" w:hAnsi="Cambria Math"/>
              </w:rPr>
              <m:t>V</m:t>
            </m:r>
          </m:e>
          <m:sub>
            <m:r>
              <w:rPr>
                <w:rFonts w:ascii="Cambria Math" w:hAnsi="Cambria Math"/>
              </w:rPr>
              <m:t>GS</m:t>
            </m:r>
          </m:sub>
        </m:sSub>
        <m:r>
          <w:rPr>
            <w:rFonts w:ascii="Cambria Math" w:hAnsi="Cambria Math"/>
          </w:rPr>
          <m:t>=0</m:t>
        </m:r>
      </m:oMath>
      <w:r w:rsidRPr="00A4615B">
        <w:t> V ·.</w:t>
      </w:r>
    </w:p>
    <w:p w14:paraId="389D392F" w14:textId="77777777" w:rsidR="003513A9" w:rsidRDefault="003513A9" w:rsidP="00A4615B">
      <w:pPr>
        <w:pStyle w:val="NoSpacing"/>
      </w:pPr>
    </w:p>
    <w:p w14:paraId="51B33F80" w14:textId="6EBF3691" w:rsidR="00A4615B" w:rsidRPr="00A4615B" w:rsidRDefault="00A4615B" w:rsidP="00A4615B">
      <w:pPr>
        <w:pStyle w:val="NoSpacing"/>
      </w:pPr>
      <w:r w:rsidRPr="008935FD">
        <w:t xml:space="preserve">To investigate whether the changes </w:t>
      </w:r>
      <w:r w:rsidRPr="00A4615B">
        <w:t>seen after 300 hours of testing would recover with rest, an additional period of testing was begun after more than 48 hours of rest at room temperature in the dark under dry nitrogen. Most devices did not complete the intended additional period of testing for various reasons. The main reason was system glitches that appear to have been caused by building power fluctuations, which also knocked offline a chiller for the cleanroom in the same building.</w:t>
      </w:r>
    </w:p>
    <w:p w14:paraId="72837AC8" w14:textId="77777777" w:rsidR="003513A9" w:rsidRDefault="003513A9" w:rsidP="00A4615B">
      <w:pPr>
        <w:pStyle w:val="NoSpacing"/>
      </w:pPr>
    </w:p>
    <w:p w14:paraId="6497E651" w14:textId="390A3A3A" w:rsidR="00A4615B" w:rsidRDefault="00A4615B" w:rsidP="00A4615B">
      <w:pPr>
        <w:pStyle w:val="NoSpacing"/>
      </w:pPr>
      <w:r w:rsidRPr="00A4615B">
        <w:t>After testing, four devices were selected for analysis by thermal and photoemission imaging to find apparent weak spots. Then, those select devices were reviewed by scanning electron microscope prior to being imaged by tunneling electron microscope to reveal physical degradation.</w:t>
      </w:r>
    </w:p>
    <w:p w14:paraId="58689F4E" w14:textId="77777777" w:rsidR="003513A9" w:rsidRPr="00A4615B" w:rsidRDefault="003513A9" w:rsidP="00A4615B">
      <w:pPr>
        <w:pStyle w:val="NoSpacing"/>
      </w:pPr>
    </w:p>
    <w:p w14:paraId="326BA2F1" w14:textId="77777777" w:rsidR="00A4615B" w:rsidRPr="00A4615B" w:rsidRDefault="00A4615B" w:rsidP="00A4615B">
      <w:pPr>
        <w:pStyle w:val="NoSpacing"/>
      </w:pPr>
      <w:r w:rsidRPr="00A4615B">
        <w:rPr>
          <w:b/>
          <w:bCs/>
        </w:rPr>
        <w:t>TABLE I. </w:t>
      </w:r>
      <w:r w:rsidRPr="00A4615B">
        <w:t>TEST CONDITIONS FOR PRELIMINARY STUDIES</w:t>
      </w:r>
    </w:p>
    <w:tbl>
      <w:tblPr>
        <w:tblStyle w:val="TableGrid"/>
        <w:tblW w:w="5000" w:type="pct"/>
        <w:tblLook w:val="04A0" w:firstRow="1" w:lastRow="0" w:firstColumn="1" w:lastColumn="0" w:noHBand="0" w:noVBand="1"/>
      </w:tblPr>
      <w:tblGrid>
        <w:gridCol w:w="1352"/>
        <w:gridCol w:w="1102"/>
        <w:gridCol w:w="1227"/>
        <w:gridCol w:w="2546"/>
        <w:gridCol w:w="1730"/>
        <w:gridCol w:w="2113"/>
      </w:tblGrid>
      <w:tr w:rsidR="00A4615B" w:rsidRPr="00A4615B" w14:paraId="5A1609AF" w14:textId="77777777" w:rsidTr="003513A9">
        <w:tc>
          <w:tcPr>
            <w:tcW w:w="672" w:type="pct"/>
            <w:hideMark/>
          </w:tcPr>
          <w:p w14:paraId="6656D882" w14:textId="77777777" w:rsidR="00A4615B" w:rsidRPr="00A4615B" w:rsidRDefault="00A4615B" w:rsidP="00A4615B">
            <w:pPr>
              <w:pStyle w:val="NoSpacing"/>
              <w:rPr>
                <w:b/>
                <w:bCs/>
              </w:rPr>
            </w:pPr>
            <w:r w:rsidRPr="00A4615B">
              <w:rPr>
                <w:b/>
                <w:bCs/>
              </w:rPr>
              <w:t>Condition</w:t>
            </w:r>
          </w:p>
        </w:tc>
        <w:tc>
          <w:tcPr>
            <w:tcW w:w="547" w:type="pct"/>
            <w:hideMark/>
          </w:tcPr>
          <w:p w14:paraId="2CBCCEB7" w14:textId="15D19275" w:rsidR="00A4615B" w:rsidRPr="00A4615B" w:rsidRDefault="008E2DDD" w:rsidP="00A4615B">
            <w:pPr>
              <w:pStyle w:val="NoSpacing"/>
              <w:rPr>
                <w:b/>
                <w:bCs/>
              </w:rPr>
            </w:pPr>
            <m:oMathPara>
              <m:oMath>
                <m:sSub>
                  <m:sSubPr>
                    <m:ctrlPr>
                      <w:rPr>
                        <w:rFonts w:ascii="Cambria Math" w:hAnsi="Cambria Math"/>
                      </w:rPr>
                    </m:ctrlPr>
                  </m:sSubPr>
                  <m:e>
                    <m:r>
                      <m:rPr>
                        <m:sty m:val="bi"/>
                      </m:rPr>
                      <w:rPr>
                        <w:rFonts w:ascii="Cambria Math" w:hAnsi="Cambria Math"/>
                      </w:rPr>
                      <m:t>T</m:t>
                    </m:r>
                  </m:e>
                  <m:sub>
                    <m:r>
                      <m:rPr>
                        <m:sty m:val="bi"/>
                      </m:rPr>
                      <w:rPr>
                        <w:rFonts w:ascii="Cambria Math" w:hAnsi="Cambria Math"/>
                      </w:rPr>
                      <m:t>b</m:t>
                    </m:r>
                    <m:r>
                      <w:rPr>
                        <w:rFonts w:ascii="Cambria Math" w:hAnsi="Cambria Math"/>
                      </w:rPr>
                      <m:t>p</m:t>
                    </m:r>
                  </m:sub>
                </m:sSub>
                <m:sSup>
                  <m:sSupPr>
                    <m:ctrlPr>
                      <w:rPr>
                        <w:rFonts w:ascii="Cambria Math" w:hAnsi="Cambria Math"/>
                      </w:rPr>
                    </m:ctrlPr>
                  </m:sSupPr>
                  <m:e>
                    <m:r>
                      <w:rPr>
                        <w:rFonts w:ascii="Cambria Math" w:hAnsi="Cambria Math"/>
                      </w:rPr>
                      <m:t>(</m:t>
                    </m:r>
                  </m:e>
                  <m:sup>
                    <m:r>
                      <w:rPr>
                        <w:rFonts w:ascii="Cambria Math" w:hAnsi="Cambria Math"/>
                      </w:rPr>
                      <m:t>∘</m:t>
                    </m:r>
                  </m:sup>
                </m:sSup>
                <m:r>
                  <m:rPr>
                    <m:sty m:val="b"/>
                  </m:rPr>
                  <w:rPr>
                    <w:rFonts w:ascii="Cambria Math" w:hAnsi="Cambria Math"/>
                  </w:rPr>
                  <m:t>C</m:t>
                </m:r>
                <m:r>
                  <w:rPr>
                    <w:rFonts w:ascii="Cambria Math" w:hAnsi="Cambria Math"/>
                  </w:rPr>
                  <m:t>)</m:t>
                </m:r>
              </m:oMath>
            </m:oMathPara>
          </w:p>
        </w:tc>
        <w:tc>
          <w:tcPr>
            <w:tcW w:w="609" w:type="pct"/>
            <w:hideMark/>
          </w:tcPr>
          <w:p w14:paraId="62531400" w14:textId="44CAB99B" w:rsidR="00A4615B" w:rsidRPr="00A4615B" w:rsidRDefault="008E2DDD" w:rsidP="00A4615B">
            <w:pPr>
              <w:pStyle w:val="NoSpacing"/>
              <w:rPr>
                <w:b/>
                <w:bCs/>
              </w:rPr>
            </w:pPr>
            <m:oMath>
              <m:sSub>
                <m:sSubPr>
                  <m:ctrlPr>
                    <w:rPr>
                      <w:rFonts w:ascii="Cambria Math" w:hAnsi="Cambria Math"/>
                    </w:rPr>
                  </m:ctrlPr>
                </m:sSubPr>
                <m:e>
                  <m:r>
                    <m:rPr>
                      <m:sty m:val="bi"/>
                    </m:rPr>
                    <w:rPr>
                      <w:rFonts w:ascii="Cambria Math" w:hAnsi="Cambria Math"/>
                    </w:rPr>
                    <m:t>V</m:t>
                  </m:r>
                </m:e>
                <m:sub>
                  <m:r>
                    <m:rPr>
                      <m:sty m:val="bi"/>
                    </m:rPr>
                    <w:rPr>
                      <w:rFonts w:ascii="Cambria Math" w:hAnsi="Cambria Math"/>
                    </w:rPr>
                    <m:t>D</m:t>
                  </m:r>
                  <m:r>
                    <w:rPr>
                      <w:rFonts w:ascii="Cambria Math" w:hAnsi="Cambria Math"/>
                    </w:rPr>
                    <m:t>S</m:t>
                  </m:r>
                </m:sub>
              </m:sSub>
            </m:oMath>
            <w:r w:rsidR="001A2415" w:rsidRPr="001A2415">
              <w:rPr>
                <w:b/>
                <w:bCs/>
              </w:rPr>
              <w:t xml:space="preserve"> </w:t>
            </w:r>
            <w:r w:rsidR="00A4615B" w:rsidRPr="00A4615B">
              <w:rPr>
                <w:b/>
                <w:bCs/>
              </w:rPr>
              <w:t>(V) _</w:t>
            </w:r>
          </w:p>
        </w:tc>
        <w:tc>
          <w:tcPr>
            <w:tcW w:w="1264" w:type="pct"/>
            <w:hideMark/>
          </w:tcPr>
          <w:p w14:paraId="283335D1" w14:textId="0427D021" w:rsidR="00A4615B" w:rsidRPr="00A4615B" w:rsidRDefault="00A4615B" w:rsidP="00A4615B">
            <w:pPr>
              <w:pStyle w:val="NoSpacing"/>
              <w:rPr>
                <w:b/>
                <w:bCs/>
              </w:rPr>
            </w:pPr>
            <w:r w:rsidRPr="00A4615B">
              <w:rPr>
                <w:b/>
                <w:bCs/>
              </w:rPr>
              <w:t>Target </w:t>
            </w:r>
            <m:oMath>
              <m:sSub>
                <m:sSubPr>
                  <m:ctrlPr>
                    <w:rPr>
                      <w:rFonts w:ascii="Cambria Math" w:hAnsi="Cambria Math"/>
                    </w:rPr>
                  </m:ctrlPr>
                </m:sSubPr>
                <m:e>
                  <m:r>
                    <m:rPr>
                      <m:sty m:val="bi"/>
                    </m:rPr>
                    <w:rPr>
                      <w:rFonts w:ascii="Cambria Math" w:hAnsi="Cambria Math"/>
                    </w:rPr>
                    <m:t>I</m:t>
                  </m:r>
                </m:e>
                <m:sub>
                  <m:r>
                    <m:rPr>
                      <m:sty m:val="bi"/>
                    </m:rPr>
                    <w:rPr>
                      <w:rFonts w:ascii="Cambria Math" w:hAnsi="Cambria Math"/>
                    </w:rPr>
                    <m:t>D</m:t>
                  </m:r>
                </m:sub>
              </m:sSub>
            </m:oMath>
            <w:r w:rsidR="00770A56" w:rsidRPr="00770A56">
              <w:rPr>
                <w:b/>
                <w:bCs/>
              </w:rPr>
              <w:t xml:space="preserve"> </w:t>
            </w:r>
            <w:r w:rsidRPr="00A4615B">
              <w:rPr>
                <w:b/>
                <w:bCs/>
              </w:rPr>
              <w:t>(mA/mm)</w:t>
            </w:r>
          </w:p>
        </w:tc>
        <w:tc>
          <w:tcPr>
            <w:tcW w:w="859" w:type="pct"/>
            <w:hideMark/>
          </w:tcPr>
          <w:p w14:paraId="4FA46964" w14:textId="7C2B200B" w:rsidR="00A4615B" w:rsidRPr="00A4615B" w:rsidRDefault="008E2DDD" w:rsidP="00A4615B">
            <w:pPr>
              <w:pStyle w:val="NoSpacing"/>
              <w:rPr>
                <w:b/>
                <w:bCs/>
              </w:rPr>
            </w:pPr>
            <m:oMath>
              <m:sSub>
                <m:sSubPr>
                  <m:ctrlPr>
                    <w:rPr>
                      <w:rFonts w:ascii="Cambria Math" w:hAnsi="Cambria Math"/>
                    </w:rPr>
                  </m:ctrlPr>
                </m:sSubPr>
                <m:e>
                  <m:r>
                    <m:rPr>
                      <m:sty m:val="bi"/>
                    </m:rPr>
                    <w:rPr>
                      <w:rFonts w:ascii="Cambria Math" w:hAnsi="Cambria Math"/>
                    </w:rPr>
                    <m:t>P</m:t>
                  </m:r>
                </m:e>
                <m:sub>
                  <m:r>
                    <m:rPr>
                      <m:sty m:val="bi"/>
                    </m:rPr>
                    <w:rPr>
                      <w:rFonts w:ascii="Cambria Math" w:hAnsi="Cambria Math"/>
                    </w:rPr>
                    <m:t>d</m:t>
                  </m:r>
                  <m:r>
                    <w:rPr>
                      <w:rFonts w:ascii="Cambria Math" w:hAnsi="Cambria Math"/>
                    </w:rPr>
                    <m:t>iss</m:t>
                  </m:r>
                </m:sub>
              </m:sSub>
            </m:oMath>
            <w:r w:rsidR="002147A6" w:rsidRPr="002147A6">
              <w:rPr>
                <w:b/>
                <w:bCs/>
              </w:rPr>
              <w:t xml:space="preserve"> </w:t>
            </w:r>
            <w:r w:rsidR="00A4615B" w:rsidRPr="00A4615B">
              <w:rPr>
                <w:b/>
                <w:bCs/>
              </w:rPr>
              <w:t>(</w:t>
            </w:r>
            <w:proofErr w:type="spellStart"/>
            <w:r w:rsidR="00A4615B" w:rsidRPr="00A4615B">
              <w:rPr>
                <w:b/>
                <w:bCs/>
              </w:rPr>
              <w:t>Wimm</w:t>
            </w:r>
            <w:proofErr w:type="spellEnd"/>
            <w:r w:rsidR="00A4615B" w:rsidRPr="00A4615B">
              <w:rPr>
                <w:b/>
                <w:bCs/>
              </w:rPr>
              <w:t>)</w:t>
            </w:r>
          </w:p>
        </w:tc>
        <w:tc>
          <w:tcPr>
            <w:tcW w:w="1050" w:type="pct"/>
            <w:hideMark/>
          </w:tcPr>
          <w:p w14:paraId="716C12B1" w14:textId="4EDF9C29" w:rsidR="00A4615B" w:rsidRPr="00A4615B" w:rsidRDefault="00A4615B" w:rsidP="00A4615B">
            <w:pPr>
              <w:pStyle w:val="NoSpacing"/>
              <w:rPr>
                <w:b/>
                <w:bCs/>
              </w:rPr>
            </w:pPr>
            <w:r w:rsidRPr="00A4615B">
              <w:rPr>
                <w:b/>
                <w:bCs/>
              </w:rPr>
              <w:t>Expected </w:t>
            </w:r>
            <m:oMath>
              <m:sSub>
                <m:sSubPr>
                  <m:ctrlPr>
                    <w:rPr>
                      <w:rFonts w:ascii="Cambria Math" w:hAnsi="Cambria Math"/>
                    </w:rPr>
                  </m:ctrlPr>
                </m:sSubPr>
                <m:e>
                  <m:r>
                    <m:rPr>
                      <m:sty m:val="bi"/>
                    </m:rPr>
                    <w:rPr>
                      <w:rFonts w:ascii="Cambria Math" w:hAnsi="Cambria Math"/>
                    </w:rPr>
                    <m:t>V</m:t>
                  </m:r>
                </m:e>
                <m:sub>
                  <m:r>
                    <m:rPr>
                      <m:sty m:val="bi"/>
                    </m:rPr>
                    <w:rPr>
                      <w:rFonts w:ascii="Cambria Math" w:hAnsi="Cambria Math"/>
                    </w:rPr>
                    <m:t>G</m:t>
                  </m:r>
                  <m:r>
                    <w:rPr>
                      <w:rFonts w:ascii="Cambria Math" w:hAnsi="Cambria Math"/>
                    </w:rPr>
                    <m:t>S</m:t>
                  </m:r>
                </m:sub>
              </m:sSub>
            </m:oMath>
            <w:r w:rsidR="006E0CE3" w:rsidRPr="006E0CE3">
              <w:rPr>
                <w:b/>
                <w:bCs/>
              </w:rPr>
              <w:t xml:space="preserve"> </w:t>
            </w:r>
            <w:r w:rsidRPr="00A4615B">
              <w:rPr>
                <w:b/>
                <w:bCs/>
              </w:rPr>
              <w:t>(V)</w:t>
            </w:r>
          </w:p>
        </w:tc>
      </w:tr>
      <w:tr w:rsidR="00A4615B" w:rsidRPr="00A4615B" w14:paraId="4B112F30" w14:textId="77777777" w:rsidTr="003513A9">
        <w:tc>
          <w:tcPr>
            <w:tcW w:w="672" w:type="pct"/>
            <w:hideMark/>
          </w:tcPr>
          <w:p w14:paraId="1A7E624E" w14:textId="77777777" w:rsidR="00A4615B" w:rsidRPr="00A4615B" w:rsidRDefault="00A4615B" w:rsidP="00A4615B">
            <w:pPr>
              <w:pStyle w:val="NoSpacing"/>
            </w:pPr>
            <w:r w:rsidRPr="00A4615B">
              <w:t>1</w:t>
            </w:r>
          </w:p>
        </w:tc>
        <w:tc>
          <w:tcPr>
            <w:tcW w:w="547" w:type="pct"/>
            <w:hideMark/>
          </w:tcPr>
          <w:p w14:paraId="7D8E1B1B" w14:textId="77777777" w:rsidR="00A4615B" w:rsidRPr="00A4615B" w:rsidRDefault="00A4615B" w:rsidP="00A4615B">
            <w:pPr>
              <w:pStyle w:val="NoSpacing"/>
            </w:pPr>
            <w:r w:rsidRPr="00A4615B">
              <w:t>245</w:t>
            </w:r>
          </w:p>
        </w:tc>
        <w:tc>
          <w:tcPr>
            <w:tcW w:w="609" w:type="pct"/>
            <w:hideMark/>
          </w:tcPr>
          <w:p w14:paraId="4FB2D3AB" w14:textId="77777777" w:rsidR="00A4615B" w:rsidRPr="00A4615B" w:rsidRDefault="00A4615B" w:rsidP="00A4615B">
            <w:pPr>
              <w:pStyle w:val="NoSpacing"/>
            </w:pPr>
            <w:r w:rsidRPr="00A4615B">
              <w:t>20.0</w:t>
            </w:r>
          </w:p>
        </w:tc>
        <w:tc>
          <w:tcPr>
            <w:tcW w:w="1264" w:type="pct"/>
            <w:hideMark/>
          </w:tcPr>
          <w:p w14:paraId="1A6F2083" w14:textId="77777777" w:rsidR="00A4615B" w:rsidRPr="00A4615B" w:rsidRDefault="00A4615B" w:rsidP="00A4615B">
            <w:pPr>
              <w:pStyle w:val="NoSpacing"/>
            </w:pPr>
            <w:r w:rsidRPr="00A4615B">
              <w:t>550</w:t>
            </w:r>
          </w:p>
        </w:tc>
        <w:tc>
          <w:tcPr>
            <w:tcW w:w="859" w:type="pct"/>
            <w:hideMark/>
          </w:tcPr>
          <w:p w14:paraId="343F0FD1" w14:textId="77777777" w:rsidR="00A4615B" w:rsidRPr="00A4615B" w:rsidRDefault="00A4615B" w:rsidP="00A4615B">
            <w:pPr>
              <w:pStyle w:val="NoSpacing"/>
            </w:pPr>
            <w:r w:rsidRPr="00A4615B">
              <w:t>11.0</w:t>
            </w:r>
          </w:p>
        </w:tc>
        <w:tc>
          <w:tcPr>
            <w:tcW w:w="1050" w:type="pct"/>
            <w:hideMark/>
          </w:tcPr>
          <w:p w14:paraId="724E90AD" w14:textId="77777777" w:rsidR="00A4615B" w:rsidRPr="00A4615B" w:rsidRDefault="00A4615B" w:rsidP="00A4615B">
            <w:pPr>
              <w:pStyle w:val="NoSpacing"/>
            </w:pPr>
            <w:r w:rsidRPr="00A4615B">
              <w:t>2</w:t>
            </w:r>
          </w:p>
        </w:tc>
      </w:tr>
      <w:tr w:rsidR="00A4615B" w:rsidRPr="00A4615B" w14:paraId="34CB4A9E" w14:textId="77777777" w:rsidTr="003513A9">
        <w:tc>
          <w:tcPr>
            <w:tcW w:w="672" w:type="pct"/>
            <w:hideMark/>
          </w:tcPr>
          <w:p w14:paraId="6D4C2578" w14:textId="77777777" w:rsidR="00A4615B" w:rsidRPr="00A4615B" w:rsidRDefault="00A4615B" w:rsidP="00A4615B">
            <w:pPr>
              <w:pStyle w:val="NoSpacing"/>
            </w:pPr>
            <w:r w:rsidRPr="00A4615B">
              <w:t>2</w:t>
            </w:r>
          </w:p>
        </w:tc>
        <w:tc>
          <w:tcPr>
            <w:tcW w:w="547" w:type="pct"/>
            <w:hideMark/>
          </w:tcPr>
          <w:p w14:paraId="1D464F0D" w14:textId="77777777" w:rsidR="00A4615B" w:rsidRPr="00A4615B" w:rsidRDefault="00A4615B" w:rsidP="00A4615B">
            <w:pPr>
              <w:pStyle w:val="NoSpacing"/>
            </w:pPr>
            <w:r w:rsidRPr="00A4615B">
              <w:t>133</w:t>
            </w:r>
          </w:p>
        </w:tc>
        <w:tc>
          <w:tcPr>
            <w:tcW w:w="609" w:type="pct"/>
            <w:hideMark/>
          </w:tcPr>
          <w:p w14:paraId="2D537346" w14:textId="77777777" w:rsidR="00A4615B" w:rsidRPr="00A4615B" w:rsidRDefault="00A4615B" w:rsidP="00A4615B">
            <w:pPr>
              <w:pStyle w:val="NoSpacing"/>
            </w:pPr>
            <w:r w:rsidRPr="00A4615B">
              <w:t>40.0</w:t>
            </w:r>
          </w:p>
        </w:tc>
        <w:tc>
          <w:tcPr>
            <w:tcW w:w="1264" w:type="pct"/>
            <w:hideMark/>
          </w:tcPr>
          <w:p w14:paraId="757A1E31" w14:textId="77777777" w:rsidR="00A4615B" w:rsidRPr="00A4615B" w:rsidRDefault="00A4615B" w:rsidP="00A4615B">
            <w:pPr>
              <w:pStyle w:val="NoSpacing"/>
            </w:pPr>
            <w:r w:rsidRPr="00A4615B">
              <w:t>550</w:t>
            </w:r>
          </w:p>
        </w:tc>
        <w:tc>
          <w:tcPr>
            <w:tcW w:w="859" w:type="pct"/>
            <w:hideMark/>
          </w:tcPr>
          <w:p w14:paraId="68E52EDE" w14:textId="77777777" w:rsidR="00A4615B" w:rsidRPr="00A4615B" w:rsidRDefault="00A4615B" w:rsidP="00A4615B">
            <w:pPr>
              <w:pStyle w:val="NoSpacing"/>
            </w:pPr>
            <w:r w:rsidRPr="00A4615B">
              <w:t>22.0</w:t>
            </w:r>
          </w:p>
        </w:tc>
        <w:tc>
          <w:tcPr>
            <w:tcW w:w="1050" w:type="pct"/>
            <w:hideMark/>
          </w:tcPr>
          <w:p w14:paraId="3B43D83C" w14:textId="77777777" w:rsidR="00A4615B" w:rsidRPr="00A4615B" w:rsidRDefault="00A4615B" w:rsidP="00A4615B">
            <w:pPr>
              <w:pStyle w:val="NoSpacing"/>
            </w:pPr>
            <w:r w:rsidRPr="00A4615B">
              <w:t>&lt;2</w:t>
            </w:r>
          </w:p>
        </w:tc>
      </w:tr>
      <w:tr w:rsidR="00A4615B" w:rsidRPr="00A4615B" w14:paraId="40D86FAB" w14:textId="77777777" w:rsidTr="003513A9">
        <w:tc>
          <w:tcPr>
            <w:tcW w:w="672" w:type="pct"/>
            <w:hideMark/>
          </w:tcPr>
          <w:p w14:paraId="75FA5A8C" w14:textId="77777777" w:rsidR="00A4615B" w:rsidRPr="00A4615B" w:rsidRDefault="00A4615B" w:rsidP="00A4615B">
            <w:pPr>
              <w:pStyle w:val="NoSpacing"/>
            </w:pPr>
            <w:r w:rsidRPr="00A4615B">
              <w:t>3</w:t>
            </w:r>
          </w:p>
        </w:tc>
        <w:tc>
          <w:tcPr>
            <w:tcW w:w="547" w:type="pct"/>
            <w:hideMark/>
          </w:tcPr>
          <w:p w14:paraId="2070B42F" w14:textId="77777777" w:rsidR="00A4615B" w:rsidRPr="00A4615B" w:rsidRDefault="00A4615B" w:rsidP="00A4615B">
            <w:pPr>
              <w:pStyle w:val="NoSpacing"/>
            </w:pPr>
            <w:r w:rsidRPr="00A4615B">
              <w:t>130</w:t>
            </w:r>
          </w:p>
        </w:tc>
        <w:tc>
          <w:tcPr>
            <w:tcW w:w="609" w:type="pct"/>
            <w:hideMark/>
          </w:tcPr>
          <w:p w14:paraId="1EBD245A" w14:textId="77777777" w:rsidR="00A4615B" w:rsidRPr="00A4615B" w:rsidRDefault="00A4615B" w:rsidP="00A4615B">
            <w:pPr>
              <w:pStyle w:val="NoSpacing"/>
            </w:pPr>
            <w:r w:rsidRPr="00A4615B">
              <w:t>60.0</w:t>
            </w:r>
          </w:p>
        </w:tc>
        <w:tc>
          <w:tcPr>
            <w:tcW w:w="1264" w:type="pct"/>
            <w:hideMark/>
          </w:tcPr>
          <w:p w14:paraId="592849CA" w14:textId="77777777" w:rsidR="00A4615B" w:rsidRPr="00A4615B" w:rsidRDefault="00A4615B" w:rsidP="00A4615B">
            <w:pPr>
              <w:pStyle w:val="NoSpacing"/>
            </w:pPr>
            <w:r w:rsidRPr="00A4615B">
              <w:t>367</w:t>
            </w:r>
          </w:p>
        </w:tc>
        <w:tc>
          <w:tcPr>
            <w:tcW w:w="859" w:type="pct"/>
            <w:hideMark/>
          </w:tcPr>
          <w:p w14:paraId="79A3B3F4" w14:textId="77777777" w:rsidR="00A4615B" w:rsidRPr="00A4615B" w:rsidRDefault="00A4615B" w:rsidP="00A4615B">
            <w:pPr>
              <w:pStyle w:val="NoSpacing"/>
            </w:pPr>
            <w:r w:rsidRPr="00A4615B">
              <w:t>22.0</w:t>
            </w:r>
          </w:p>
        </w:tc>
        <w:tc>
          <w:tcPr>
            <w:tcW w:w="1050" w:type="pct"/>
            <w:hideMark/>
          </w:tcPr>
          <w:p w14:paraId="183B9539" w14:textId="77777777" w:rsidR="00A4615B" w:rsidRPr="00A4615B" w:rsidRDefault="00A4615B" w:rsidP="00A4615B">
            <w:pPr>
              <w:pStyle w:val="NoSpacing"/>
            </w:pPr>
            <w:r w:rsidRPr="00A4615B">
              <w:t>&lt; 0.5</w:t>
            </w:r>
          </w:p>
        </w:tc>
      </w:tr>
      <w:tr w:rsidR="00A4615B" w:rsidRPr="00A4615B" w14:paraId="11081859" w14:textId="77777777" w:rsidTr="003513A9">
        <w:tc>
          <w:tcPr>
            <w:tcW w:w="672" w:type="pct"/>
            <w:hideMark/>
          </w:tcPr>
          <w:p w14:paraId="4A40C34B" w14:textId="77777777" w:rsidR="00A4615B" w:rsidRPr="00A4615B" w:rsidRDefault="00A4615B" w:rsidP="00A4615B">
            <w:pPr>
              <w:pStyle w:val="NoSpacing"/>
            </w:pPr>
          </w:p>
        </w:tc>
        <w:tc>
          <w:tcPr>
            <w:tcW w:w="547" w:type="pct"/>
            <w:hideMark/>
          </w:tcPr>
          <w:p w14:paraId="3190FBB9" w14:textId="77777777" w:rsidR="00A4615B" w:rsidRPr="00A4615B" w:rsidRDefault="00A4615B" w:rsidP="00A4615B">
            <w:pPr>
              <w:pStyle w:val="NoSpacing"/>
            </w:pPr>
          </w:p>
        </w:tc>
        <w:tc>
          <w:tcPr>
            <w:tcW w:w="609" w:type="pct"/>
            <w:hideMark/>
          </w:tcPr>
          <w:p w14:paraId="2215BC21" w14:textId="77777777" w:rsidR="00A4615B" w:rsidRPr="00A4615B" w:rsidRDefault="00A4615B" w:rsidP="00A4615B">
            <w:pPr>
              <w:pStyle w:val="NoSpacing"/>
            </w:pPr>
          </w:p>
        </w:tc>
        <w:tc>
          <w:tcPr>
            <w:tcW w:w="1264" w:type="pct"/>
            <w:hideMark/>
          </w:tcPr>
          <w:p w14:paraId="36DF0240" w14:textId="4FC8BC8E" w:rsidR="00A4615B" w:rsidRPr="00A4615B" w:rsidRDefault="00A4615B" w:rsidP="00A4615B">
            <w:pPr>
              <w:pStyle w:val="NoSpacing"/>
            </w:pPr>
            <w:r w:rsidRPr="00A4615B">
              <w:rPr>
                <w:b/>
                <w:bCs/>
              </w:rPr>
              <w:t>Approx. </w:t>
            </w:r>
            <m:oMath>
              <m:sSub>
                <m:sSubPr>
                  <m:ctrlPr>
                    <w:rPr>
                      <w:rFonts w:ascii="Cambria Math" w:hAnsi="Cambria Math"/>
                    </w:rPr>
                  </m:ctrlPr>
                </m:sSubPr>
                <m:e>
                  <m:r>
                    <m:rPr>
                      <m:sty m:val="bi"/>
                    </m:rPr>
                    <w:rPr>
                      <w:rFonts w:ascii="Cambria Math" w:hAnsi="Cambria Math"/>
                    </w:rPr>
                    <m:t>I</m:t>
                  </m:r>
                </m:e>
                <m:sub>
                  <m:r>
                    <m:rPr>
                      <m:sty m:val="bi"/>
                    </m:rPr>
                    <w:rPr>
                      <w:rFonts w:ascii="Cambria Math" w:hAnsi="Cambria Math"/>
                    </w:rPr>
                    <m:t>D</m:t>
                  </m:r>
                </m:sub>
              </m:sSub>
            </m:oMath>
            <w:r w:rsidR="006E0CE3" w:rsidRPr="006E0CE3">
              <w:rPr>
                <w:b/>
                <w:bCs/>
              </w:rPr>
              <w:t xml:space="preserve"> </w:t>
            </w:r>
            <w:r w:rsidRPr="00A4615B">
              <w:rPr>
                <w:b/>
                <w:bCs/>
              </w:rPr>
              <w:t>(mA/mm)</w:t>
            </w:r>
          </w:p>
        </w:tc>
        <w:tc>
          <w:tcPr>
            <w:tcW w:w="859" w:type="pct"/>
            <w:hideMark/>
          </w:tcPr>
          <w:p w14:paraId="246616EF" w14:textId="77777777" w:rsidR="00A4615B" w:rsidRPr="00A4615B" w:rsidRDefault="00A4615B" w:rsidP="00A4615B">
            <w:pPr>
              <w:pStyle w:val="NoSpacing"/>
            </w:pPr>
          </w:p>
        </w:tc>
        <w:tc>
          <w:tcPr>
            <w:tcW w:w="1050" w:type="pct"/>
            <w:hideMark/>
          </w:tcPr>
          <w:p w14:paraId="7B8AA5D0" w14:textId="0C07336D" w:rsidR="00A4615B" w:rsidRPr="00A4615B" w:rsidRDefault="00A4615B" w:rsidP="00A4615B">
            <w:pPr>
              <w:pStyle w:val="NoSpacing"/>
            </w:pPr>
            <w:r w:rsidRPr="00A4615B">
              <w:rPr>
                <w:b/>
                <w:bCs/>
              </w:rPr>
              <w:t>Set </w:t>
            </w:r>
            <m:oMath>
              <m:sSub>
                <m:sSubPr>
                  <m:ctrlPr>
                    <w:rPr>
                      <w:rFonts w:ascii="Cambria Math" w:hAnsi="Cambria Math"/>
                    </w:rPr>
                  </m:ctrlPr>
                </m:sSubPr>
                <m:e>
                  <m:r>
                    <m:rPr>
                      <m:sty m:val="bi"/>
                    </m:rPr>
                    <w:rPr>
                      <w:rFonts w:ascii="Cambria Math" w:hAnsi="Cambria Math"/>
                    </w:rPr>
                    <m:t>V</m:t>
                  </m:r>
                </m:e>
                <m:sub>
                  <m:r>
                    <m:rPr>
                      <m:sty m:val="bi"/>
                    </m:rPr>
                    <w:rPr>
                      <w:rFonts w:ascii="Cambria Math" w:hAnsi="Cambria Math"/>
                    </w:rPr>
                    <m:t>G</m:t>
                  </m:r>
                  <m:r>
                    <w:rPr>
                      <w:rFonts w:ascii="Cambria Math" w:hAnsi="Cambria Math"/>
                    </w:rPr>
                    <m:t>S</m:t>
                  </m:r>
                </m:sub>
              </m:sSub>
            </m:oMath>
            <w:r w:rsidR="00AD7E2E" w:rsidRPr="00AD7E2E">
              <w:t xml:space="preserve"> </w:t>
            </w:r>
            <w:r w:rsidRPr="00A4615B">
              <w:t>(V)</w:t>
            </w:r>
          </w:p>
        </w:tc>
      </w:tr>
      <w:tr w:rsidR="00A4615B" w:rsidRPr="00A4615B" w14:paraId="471FD9C2" w14:textId="77777777" w:rsidTr="003513A9">
        <w:tc>
          <w:tcPr>
            <w:tcW w:w="672" w:type="pct"/>
            <w:hideMark/>
          </w:tcPr>
          <w:p w14:paraId="7E9AC480" w14:textId="77777777" w:rsidR="00A4615B" w:rsidRPr="00A4615B" w:rsidRDefault="00A4615B" w:rsidP="00A4615B">
            <w:pPr>
              <w:pStyle w:val="NoSpacing"/>
            </w:pPr>
            <w:r w:rsidRPr="00A4615B">
              <w:t>4</w:t>
            </w:r>
          </w:p>
        </w:tc>
        <w:tc>
          <w:tcPr>
            <w:tcW w:w="547" w:type="pct"/>
            <w:hideMark/>
          </w:tcPr>
          <w:p w14:paraId="12716F38" w14:textId="77777777" w:rsidR="00A4615B" w:rsidRPr="00A4615B" w:rsidRDefault="00A4615B" w:rsidP="00A4615B">
            <w:pPr>
              <w:pStyle w:val="NoSpacing"/>
            </w:pPr>
            <w:r w:rsidRPr="00A4615B">
              <w:t>245</w:t>
            </w:r>
          </w:p>
        </w:tc>
        <w:tc>
          <w:tcPr>
            <w:tcW w:w="609" w:type="pct"/>
            <w:hideMark/>
          </w:tcPr>
          <w:p w14:paraId="24C46F9E" w14:textId="77777777" w:rsidR="00A4615B" w:rsidRPr="00A4615B" w:rsidRDefault="00A4615B" w:rsidP="00A4615B">
            <w:pPr>
              <w:pStyle w:val="NoSpacing"/>
            </w:pPr>
            <w:r w:rsidRPr="00A4615B">
              <w:t>60.0</w:t>
            </w:r>
          </w:p>
        </w:tc>
        <w:tc>
          <w:tcPr>
            <w:tcW w:w="1264" w:type="pct"/>
            <w:hideMark/>
          </w:tcPr>
          <w:p w14:paraId="1EFAC3B0" w14:textId="77777777" w:rsidR="00A4615B" w:rsidRPr="00A4615B" w:rsidRDefault="00A4615B" w:rsidP="00A4615B">
            <w:pPr>
              <w:pStyle w:val="NoSpacing"/>
            </w:pPr>
            <w:r w:rsidRPr="00A4615B">
              <w:t>0.03</w:t>
            </w:r>
          </w:p>
        </w:tc>
        <w:tc>
          <w:tcPr>
            <w:tcW w:w="859" w:type="pct"/>
            <w:hideMark/>
          </w:tcPr>
          <w:p w14:paraId="1531EEC3" w14:textId="77777777" w:rsidR="00A4615B" w:rsidRPr="00A4615B" w:rsidRDefault="00A4615B" w:rsidP="00A4615B">
            <w:pPr>
              <w:pStyle w:val="NoSpacing"/>
            </w:pPr>
            <w:r w:rsidRPr="00A4615B">
              <w:t>0.0018</w:t>
            </w:r>
          </w:p>
        </w:tc>
        <w:tc>
          <w:tcPr>
            <w:tcW w:w="1050" w:type="pct"/>
            <w:hideMark/>
          </w:tcPr>
          <w:p w14:paraId="37A16EAE" w14:textId="77777777" w:rsidR="00A4615B" w:rsidRPr="00A4615B" w:rsidRDefault="00A4615B" w:rsidP="00A4615B">
            <w:pPr>
              <w:pStyle w:val="NoSpacing"/>
            </w:pPr>
            <w:r w:rsidRPr="00A4615B">
              <w:t>−10</w:t>
            </w:r>
          </w:p>
        </w:tc>
      </w:tr>
      <w:tr w:rsidR="00A4615B" w:rsidRPr="00A4615B" w14:paraId="468CCDC0" w14:textId="77777777" w:rsidTr="003513A9">
        <w:tc>
          <w:tcPr>
            <w:tcW w:w="672" w:type="pct"/>
            <w:hideMark/>
          </w:tcPr>
          <w:p w14:paraId="2BF1CB6F" w14:textId="77777777" w:rsidR="00A4615B" w:rsidRPr="00A4615B" w:rsidRDefault="00A4615B" w:rsidP="00A4615B">
            <w:pPr>
              <w:pStyle w:val="NoSpacing"/>
            </w:pPr>
            <w:r w:rsidRPr="00A4615B">
              <w:t>5</w:t>
            </w:r>
          </w:p>
        </w:tc>
        <w:tc>
          <w:tcPr>
            <w:tcW w:w="547" w:type="pct"/>
            <w:hideMark/>
          </w:tcPr>
          <w:p w14:paraId="761620A3" w14:textId="77777777" w:rsidR="00A4615B" w:rsidRPr="00A4615B" w:rsidRDefault="00A4615B" w:rsidP="00A4615B">
            <w:pPr>
              <w:pStyle w:val="NoSpacing"/>
            </w:pPr>
            <w:r w:rsidRPr="00A4615B">
              <w:t>245</w:t>
            </w:r>
          </w:p>
        </w:tc>
        <w:tc>
          <w:tcPr>
            <w:tcW w:w="609" w:type="pct"/>
            <w:hideMark/>
          </w:tcPr>
          <w:p w14:paraId="49EEF9B6" w14:textId="77777777" w:rsidR="00A4615B" w:rsidRPr="00A4615B" w:rsidRDefault="00A4615B" w:rsidP="00A4615B">
            <w:pPr>
              <w:pStyle w:val="NoSpacing"/>
            </w:pPr>
            <w:r w:rsidRPr="00A4615B">
              <w:t>100.0</w:t>
            </w:r>
          </w:p>
        </w:tc>
        <w:tc>
          <w:tcPr>
            <w:tcW w:w="1264" w:type="pct"/>
            <w:hideMark/>
          </w:tcPr>
          <w:p w14:paraId="6FEE958E" w14:textId="77777777" w:rsidR="00A4615B" w:rsidRPr="00A4615B" w:rsidRDefault="00A4615B" w:rsidP="00A4615B">
            <w:pPr>
              <w:pStyle w:val="NoSpacing"/>
            </w:pPr>
            <w:r w:rsidRPr="00A4615B">
              <w:t>2</w:t>
            </w:r>
          </w:p>
        </w:tc>
        <w:tc>
          <w:tcPr>
            <w:tcW w:w="859" w:type="pct"/>
            <w:hideMark/>
          </w:tcPr>
          <w:p w14:paraId="2EEC4BA4" w14:textId="77777777" w:rsidR="00A4615B" w:rsidRPr="00A4615B" w:rsidRDefault="00A4615B" w:rsidP="00A4615B">
            <w:pPr>
              <w:pStyle w:val="NoSpacing"/>
            </w:pPr>
            <w:r w:rsidRPr="00A4615B">
              <w:t>0.2</w:t>
            </w:r>
          </w:p>
        </w:tc>
        <w:tc>
          <w:tcPr>
            <w:tcW w:w="1050" w:type="pct"/>
            <w:hideMark/>
          </w:tcPr>
          <w:p w14:paraId="3A1EB183" w14:textId="77777777" w:rsidR="00A4615B" w:rsidRPr="00A4615B" w:rsidRDefault="00A4615B" w:rsidP="00A4615B">
            <w:pPr>
              <w:pStyle w:val="NoSpacing"/>
            </w:pPr>
            <w:r w:rsidRPr="00A4615B">
              <w:t>−10</w:t>
            </w:r>
          </w:p>
        </w:tc>
      </w:tr>
    </w:tbl>
    <w:p w14:paraId="229913BB" w14:textId="77777777" w:rsidR="003513A9" w:rsidRDefault="003513A9" w:rsidP="00A4615B">
      <w:pPr>
        <w:pStyle w:val="NoSpacing"/>
        <w:rPr>
          <w:b/>
          <w:bCs/>
        </w:rPr>
      </w:pPr>
    </w:p>
    <w:p w14:paraId="6FF07F7A" w14:textId="1F2414B2" w:rsidR="00A4615B" w:rsidRPr="00A4615B" w:rsidRDefault="00A4615B" w:rsidP="003513A9">
      <w:pPr>
        <w:pStyle w:val="Heading1"/>
      </w:pPr>
      <w:r w:rsidRPr="00A4615B">
        <w:rPr>
          <w:b/>
          <w:bCs/>
        </w:rPr>
        <w:t>SECTION III.</w:t>
      </w:r>
      <w:r w:rsidR="003513A9">
        <w:rPr>
          <w:b/>
          <w:bCs/>
        </w:rPr>
        <w:t xml:space="preserve"> </w:t>
      </w:r>
      <w:r w:rsidRPr="00A4615B">
        <w:t>Results and Discussion</w:t>
      </w:r>
    </w:p>
    <w:p w14:paraId="78575424" w14:textId="0105FCB0" w:rsidR="00A4615B" w:rsidRPr="00A4615B" w:rsidRDefault="00A4615B" w:rsidP="00A4615B">
      <w:pPr>
        <w:pStyle w:val="NoSpacing"/>
      </w:pPr>
      <w:r w:rsidRPr="00A4615B">
        <w:t>The results of thirteen of the fifteen devices placed on test are compared. Of the two devices that are not included in the comparison, one device tested at Condition 4 apparently suffered infant mortality before 100 hours. Another device tested at Condition 3 reached the pre-determined failure criteria for </w:t>
      </w:r>
      <m:oMath>
        <m:sSub>
          <m:sSubPr>
            <m:ctrlPr>
              <w:rPr>
                <w:rFonts w:ascii="Cambria Math" w:hAnsi="Cambria Math"/>
              </w:rPr>
            </m:ctrlPr>
          </m:sSubPr>
          <m:e>
            <m:r>
              <w:rPr>
                <w:rFonts w:ascii="Cambria Math" w:hAnsi="Cambria Math"/>
              </w:rPr>
              <m:t>I</m:t>
            </m:r>
          </m:e>
          <m:sub>
            <m:r>
              <w:rPr>
                <w:rFonts w:ascii="Cambria Math" w:hAnsi="Cambria Math"/>
              </w:rPr>
              <m:t>D</m:t>
            </m:r>
          </m:sub>
        </m:sSub>
      </m:oMath>
      <w:r w:rsidRPr="00A4615B">
        <w:t> at 133 hours. Two devices that are included in the comparison did not achieve 300 hours. One device tested at Condition 3 reached the pre-determined failure criteria for </w:t>
      </w:r>
      <m:oMath>
        <m:sSub>
          <m:sSubPr>
            <m:ctrlPr>
              <w:rPr>
                <w:rFonts w:ascii="Cambria Math" w:hAnsi="Cambria Math"/>
              </w:rPr>
            </m:ctrlPr>
          </m:sSubPr>
          <m:e>
            <m:r>
              <w:rPr>
                <w:rFonts w:ascii="Cambria Math" w:hAnsi="Cambria Math"/>
              </w:rPr>
              <m:t>I</m:t>
            </m:r>
          </m:e>
          <m:sub>
            <m:r>
              <w:rPr>
                <w:rFonts w:ascii="Cambria Math" w:hAnsi="Cambria Math"/>
              </w:rPr>
              <m:t>D</m:t>
            </m:r>
          </m:sub>
        </m:sSub>
      </m:oMath>
      <w:r w:rsidRPr="00A4615B">
        <w:t> during stress at 253 hours due to the test station's </w:t>
      </w:r>
      <m:oMath>
        <m:sSub>
          <m:sSubPr>
            <m:ctrlPr>
              <w:rPr>
                <w:rFonts w:ascii="Cambria Math" w:hAnsi="Cambria Math"/>
              </w:rPr>
            </m:ctrlPr>
          </m:sSubPr>
          <m:e>
            <m:r>
              <w:rPr>
                <w:rFonts w:ascii="Cambria Math" w:hAnsi="Cambria Math"/>
              </w:rPr>
              <m:t>I</m:t>
            </m:r>
          </m:e>
          <m:sub>
            <m:r>
              <w:rPr>
                <w:rFonts w:ascii="Cambria Math" w:hAnsi="Cambria Math"/>
              </w:rPr>
              <m:t>D</m:t>
            </m:r>
          </m:sub>
        </m:sSub>
      </m:oMath>
      <w:r w:rsidRPr="00A4615B">
        <w:t> measurement drift; this device is included in the comparison because other devices (not included in this study) tested at similar conditions showed no significant changes in transfer curves at 200 at 400 hours. The other device was tested at Condition 5 and reached only 263 hours also due to the test station's </w:t>
      </w:r>
      <m:oMath>
        <m:sSub>
          <m:sSubPr>
            <m:ctrlPr>
              <w:rPr>
                <w:rFonts w:ascii="Cambria Math" w:hAnsi="Cambria Math"/>
              </w:rPr>
            </m:ctrlPr>
          </m:sSubPr>
          <m:e>
            <m:r>
              <w:rPr>
                <w:rFonts w:ascii="Cambria Math" w:hAnsi="Cambria Math"/>
              </w:rPr>
              <m:t>I</m:t>
            </m:r>
          </m:e>
          <m:sub>
            <m:r>
              <w:rPr>
                <w:rFonts w:ascii="Cambria Math" w:hAnsi="Cambria Math"/>
              </w:rPr>
              <m:t>D</m:t>
            </m:r>
          </m:sub>
        </m:sSub>
      </m:oMath>
      <w:r w:rsidRPr="00A4615B">
        <w:t>measurement drift; this device is included because it showed less than 2% change in transfer curves from 263 to 1017 hours in subsequent testing.</w:t>
      </w:r>
    </w:p>
    <w:p w14:paraId="54A63481" w14:textId="77777777" w:rsidR="003513A9" w:rsidRDefault="003513A9" w:rsidP="00A4615B">
      <w:pPr>
        <w:pStyle w:val="NoSpacing"/>
      </w:pPr>
    </w:p>
    <w:p w14:paraId="4943EDC7" w14:textId="5947193F" w:rsidR="00A4615B" w:rsidRDefault="00A4615B" w:rsidP="00A4615B">
      <w:pPr>
        <w:pStyle w:val="NoSpacing"/>
      </w:pPr>
      <w:r w:rsidRPr="00A4615B">
        <w:t>A summary of the results of the thirteen devices is in Table II. The percentages are average absolute changes from the pre-stress to the post-stress characterizations since two high-voltage-tested devices were exceptions to the general trends in changes to the selected parameters. One device at Condition 4 and one device at Condition 5 exhibited increases in </w:t>
      </w:r>
      <m:oMath>
        <m:sSub>
          <m:sSubPr>
            <m:ctrlPr>
              <w:rPr>
                <w:rFonts w:ascii="Cambria Math" w:hAnsi="Cambria Math"/>
              </w:rPr>
            </m:ctrlPr>
          </m:sSubPr>
          <m:e>
            <m:r>
              <w:rPr>
                <w:rFonts w:ascii="Cambria Math" w:hAnsi="Cambria Math"/>
              </w:rPr>
              <m:t>I</m:t>
            </m:r>
          </m:e>
          <m:sub>
            <m:r>
              <w:rPr>
                <w:rFonts w:ascii="Cambria Math" w:hAnsi="Cambria Math"/>
              </w:rPr>
              <m:t>DSS</m:t>
            </m:r>
          </m:sub>
        </m:sSub>
      </m:oMath>
      <w:r w:rsidRPr="00A4615B">
        <w:t> and nega</w:t>
      </w:r>
      <w:proofErr w:type="spellStart"/>
      <w:r w:rsidRPr="00A4615B">
        <w:t>tive</w:t>
      </w:r>
      <w:proofErr w:type="spellEnd"/>
      <w:r w:rsidRPr="00A4615B">
        <w:t xml:space="preserve"> threshold voltage </w:t>
      </w:r>
      <m:oMath>
        <m:sSub>
          <m:sSubPr>
            <m:ctrlPr>
              <w:rPr>
                <w:rFonts w:ascii="Cambria Math" w:hAnsi="Cambria Math"/>
              </w:rPr>
            </m:ctrlPr>
          </m:sSubPr>
          <m:e>
            <m:r>
              <w:rPr>
                <w:rFonts w:ascii="Cambria Math" w:hAnsi="Cambria Math"/>
              </w:rPr>
              <m:t>V</m:t>
            </m:r>
          </m:e>
          <m:sub>
            <m:r>
              <w:rPr>
                <w:rFonts w:ascii="Cambria Math" w:hAnsi="Cambria Math"/>
              </w:rPr>
              <m:t>T</m:t>
            </m:r>
          </m:sub>
        </m:sSub>
      </m:oMath>
      <w:r w:rsidRPr="00A4615B">
        <w:t> shifts. The same device at Condition 5 also exhibited an increase in </w:t>
      </w:r>
      <m:oMath>
        <m:sSub>
          <m:sSubPr>
            <m:ctrlPr>
              <w:rPr>
                <w:rFonts w:ascii="Cambria Math" w:hAnsi="Cambria Math"/>
              </w:rPr>
            </m:ctrlPr>
          </m:sSubPr>
          <m:e>
            <m:r>
              <w:rPr>
                <w:rFonts w:ascii="Cambria Math" w:hAnsi="Cambria Math"/>
              </w:rPr>
              <m:t>I</m:t>
            </m:r>
          </m:e>
          <m:sub>
            <m:r>
              <w:rPr>
                <w:rFonts w:ascii="Cambria Math" w:hAnsi="Cambria Math"/>
              </w:rPr>
              <m:t>Dmax</m:t>
            </m:r>
          </m:sub>
        </m:sSub>
      </m:oMath>
      <w:r w:rsidR="00826ACB" w:rsidRPr="00826ACB">
        <w:t xml:space="preserve"> </w:t>
      </w:r>
      <w:r w:rsidRPr="00A4615B">
        <w:t>(see Fig. 3). All devices experienced decreases in peak transconductance </w:t>
      </w:r>
      <m:oMath>
        <m:sSub>
          <m:sSubPr>
            <m:ctrlPr>
              <w:rPr>
                <w:rFonts w:ascii="Cambria Math" w:hAnsi="Cambria Math"/>
              </w:rPr>
            </m:ctrlPr>
          </m:sSubPr>
          <m:e>
            <m:r>
              <w:rPr>
                <w:rFonts w:ascii="Cambria Math" w:hAnsi="Cambria Math"/>
              </w:rPr>
              <m:t>g</m:t>
            </m:r>
          </m:e>
          <m:sub>
            <m:r>
              <w:rPr>
                <w:rFonts w:ascii="Cambria Math" w:hAnsi="Cambria Math"/>
              </w:rPr>
              <m:t>mp</m:t>
            </m:r>
          </m:sub>
        </m:sSub>
      </m:oMath>
      <w:r w:rsidRPr="00A4615B">
        <w:t> and increases in </w:t>
      </w:r>
      <m:oMath>
        <m:sSub>
          <m:sSubPr>
            <m:ctrlPr>
              <w:rPr>
                <w:rFonts w:ascii="Cambria Math" w:hAnsi="Cambria Math"/>
              </w:rPr>
            </m:ctrlPr>
          </m:sSubPr>
          <m:e>
            <m:r>
              <w:rPr>
                <w:rFonts w:ascii="Cambria Math" w:hAnsi="Cambria Math"/>
              </w:rPr>
              <m:t>R</m:t>
            </m:r>
          </m:e>
          <m:sub>
            <m:r>
              <w:rPr>
                <w:rFonts w:ascii="Cambria Math" w:hAnsi="Cambria Math"/>
              </w:rPr>
              <m:t>on</m:t>
            </m:r>
          </m:sub>
        </m:sSub>
      </m:oMath>
      <w:r w:rsidRPr="00A4615B">
        <w:t>. The other general trends were positive thre</w:t>
      </w:r>
      <w:proofErr w:type="spellStart"/>
      <w:r w:rsidRPr="00A4615B">
        <w:t>shold</w:t>
      </w:r>
      <w:proofErr w:type="spellEnd"/>
      <w:r w:rsidRPr="00A4615B">
        <w:t xml:space="preserve"> voltage shifts and decreases in </w:t>
      </w:r>
      <m:oMath>
        <m:sSub>
          <m:sSubPr>
            <m:ctrlPr>
              <w:rPr>
                <w:rFonts w:ascii="Cambria Math" w:hAnsi="Cambria Math"/>
              </w:rPr>
            </m:ctrlPr>
          </m:sSubPr>
          <m:e>
            <m:r>
              <w:rPr>
                <w:rFonts w:ascii="Cambria Math" w:hAnsi="Cambria Math"/>
              </w:rPr>
              <m:t>I</m:t>
            </m:r>
          </m:e>
          <m:sub>
            <m:r>
              <w:rPr>
                <w:rFonts w:ascii="Cambria Math" w:hAnsi="Cambria Math"/>
              </w:rPr>
              <m:t>Dmax</m:t>
            </m:r>
          </m:sub>
        </m:sSub>
      </m:oMath>
      <w:r w:rsidRPr="00A4615B">
        <w:t>and </w:t>
      </w:r>
      <m:oMath>
        <m:sSub>
          <m:sSubPr>
            <m:ctrlPr>
              <w:rPr>
                <w:rFonts w:ascii="Cambria Math" w:hAnsi="Cambria Math"/>
              </w:rPr>
            </m:ctrlPr>
          </m:sSubPr>
          <m:e>
            <m:r>
              <w:rPr>
                <w:rFonts w:ascii="Cambria Math" w:hAnsi="Cambria Math"/>
              </w:rPr>
              <m:t>I</m:t>
            </m:r>
          </m:e>
          <m:sub>
            <m:r>
              <w:rPr>
                <w:rFonts w:ascii="Cambria Math" w:hAnsi="Cambria Math"/>
              </w:rPr>
              <m:t>DSS</m:t>
            </m:r>
          </m:sub>
        </m:sSub>
      </m:oMath>
      <w:r w:rsidRPr="00A4615B">
        <w:t>.</w:t>
      </w:r>
    </w:p>
    <w:p w14:paraId="3680732E" w14:textId="77777777" w:rsidR="003513A9" w:rsidRPr="00A4615B" w:rsidRDefault="003513A9" w:rsidP="00A4615B">
      <w:pPr>
        <w:pStyle w:val="NoSpacing"/>
      </w:pPr>
    </w:p>
    <w:p w14:paraId="4E05B925" w14:textId="2066B572" w:rsidR="00A4615B" w:rsidRPr="00A4615B" w:rsidRDefault="00A4615B" w:rsidP="00A4615B">
      <w:pPr>
        <w:pStyle w:val="NoSpacing"/>
      </w:pPr>
      <w:r w:rsidRPr="00A4615B">
        <w:t>Fig. 2 shows the transfer and transconductance curves of a typical (meaning, following the general trends in </w:t>
      </w:r>
      <m:oMath>
        <m:sSub>
          <m:sSubPr>
            <m:ctrlPr>
              <w:rPr>
                <w:rFonts w:ascii="Cambria Math" w:hAnsi="Cambria Math"/>
              </w:rPr>
            </m:ctrlPr>
          </m:sSubPr>
          <m:e>
            <m:r>
              <w:rPr>
                <w:rFonts w:ascii="Cambria Math" w:hAnsi="Cambria Math"/>
              </w:rPr>
              <m:t>I</m:t>
            </m:r>
          </m:e>
          <m:sub>
            <m:r>
              <w:rPr>
                <w:rFonts w:ascii="Cambria Math" w:hAnsi="Cambria Math"/>
              </w:rPr>
              <m:t>Dmax</m:t>
            </m:r>
          </m:sub>
        </m:sSub>
      </m:oMath>
      <w:r w:rsidRPr="00A4615B">
        <w:t>,</w:t>
      </w:r>
      <w:r w:rsidR="00700673">
        <w:t xml:space="preserve"> </w:t>
      </w:r>
      <m:oMath>
        <m:r>
          <m:rPr>
            <m:sty m:val="p"/>
          </m:rPr>
          <w:rPr>
            <w:rFonts w:ascii="Cambria Math" w:hAnsi="Cambria Math"/>
          </w:rPr>
          <m:t xml:space="preserve"> </m:t>
        </m:r>
        <m:sSub>
          <m:sSubPr>
            <m:ctrlPr>
              <w:rPr>
                <w:rFonts w:ascii="Cambria Math" w:hAnsi="Cambria Math"/>
              </w:rPr>
            </m:ctrlPr>
          </m:sSubPr>
          <m:e>
            <m:r>
              <w:rPr>
                <w:rFonts w:ascii="Cambria Math" w:hAnsi="Cambria Math"/>
              </w:rPr>
              <m:t>I</m:t>
            </m:r>
          </m:e>
          <m:sub>
            <m:r>
              <w:rPr>
                <w:rFonts w:ascii="Cambria Math" w:hAnsi="Cambria Math"/>
              </w:rPr>
              <m:t>DSS</m:t>
            </m:r>
          </m:sub>
        </m:sSub>
      </m:oMath>
      <w:r w:rsidRPr="00A4615B">
        <w:t>, and </w:t>
      </w:r>
      <m:oMath>
        <m:sSub>
          <m:sSubPr>
            <m:ctrlPr>
              <w:rPr>
                <w:rFonts w:ascii="Cambria Math" w:hAnsi="Cambria Math"/>
              </w:rPr>
            </m:ctrlPr>
          </m:sSubPr>
          <m:e>
            <m:r>
              <w:rPr>
                <w:rFonts w:ascii="Cambria Math" w:hAnsi="Cambria Math"/>
              </w:rPr>
              <m:t>V</m:t>
            </m:r>
          </m:e>
          <m:sub>
            <m:r>
              <w:rPr>
                <w:rFonts w:ascii="Cambria Math" w:hAnsi="Cambria Math"/>
              </w:rPr>
              <m:t>T</m:t>
            </m:r>
          </m:sub>
        </m:sSub>
      </m:oMath>
      <w:r w:rsidRPr="00A4615B">
        <w:t>) high-voltage-tested device. Fig. 3 shows the transf</w:t>
      </w:r>
      <w:proofErr w:type="spellStart"/>
      <w:r w:rsidRPr="00A4615B">
        <w:t>er</w:t>
      </w:r>
      <w:proofErr w:type="spellEnd"/>
      <w:r w:rsidRPr="00A4615B">
        <w:t xml:space="preserve"> and transconductance curves of one of the two exceptional high-voltage-tested devices. Figs. 2 and 3 illustrate the variability in the performance of the tested HEMTs. Although discovering the cause of the negative threshold voltage shift in Fig. 3 was not an objective of this study, a possible explanation is a trapping phenomenon near the gate [10], [11]. The transfer and transconductance curves of Fig. 4 are representative of the power-tested devices. Figs. 3 and 4 contain the transfer and transconductance curves from testing subsequent to the initial 300 hours; these curves show little change after 300 hours.</w:t>
      </w:r>
    </w:p>
    <w:p w14:paraId="4B5D4E3D" w14:textId="77777777" w:rsidR="003513A9" w:rsidRDefault="003513A9" w:rsidP="00A4615B">
      <w:pPr>
        <w:pStyle w:val="NoSpacing"/>
      </w:pPr>
    </w:p>
    <w:p w14:paraId="4C9C8FB7" w14:textId="0D7DF0C9" w:rsidR="00A4615B" w:rsidRDefault="00A4615B" w:rsidP="00A4615B">
      <w:pPr>
        <w:pStyle w:val="NoSpacing"/>
      </w:pPr>
      <w:r w:rsidRPr="00A4615B">
        <w:t>Comparing the two sets-high voltage and high power since estimated peak channel temperatures were similar for the respective sets, the devices tested at high power changed more significantly than the devices tested at high voltages and low current, except in </w:t>
      </w:r>
      <m:oMath>
        <m:sSub>
          <m:sSubPr>
            <m:ctrlPr>
              <w:rPr>
                <w:rFonts w:ascii="Cambria Math" w:hAnsi="Cambria Math"/>
              </w:rPr>
            </m:ctrlPr>
          </m:sSubPr>
          <m:e>
            <m:r>
              <w:rPr>
                <w:rFonts w:ascii="Cambria Math" w:hAnsi="Cambria Math"/>
              </w:rPr>
              <m:t>g</m:t>
            </m:r>
          </m:e>
          <m:sub>
            <m:r>
              <w:rPr>
                <w:rFonts w:ascii="Cambria Math" w:hAnsi="Cambria Math"/>
              </w:rPr>
              <m:t>mp</m:t>
            </m:r>
          </m:sub>
        </m:sSub>
      </m:oMath>
      <w:r w:rsidRPr="00A4615B">
        <w:t>. The high-power-tested devices changed more in </w:t>
      </w:r>
      <m:oMath>
        <m:sSub>
          <m:sSubPr>
            <m:ctrlPr>
              <w:rPr>
                <w:rFonts w:ascii="Cambria Math" w:hAnsi="Cambria Math"/>
              </w:rPr>
            </m:ctrlPr>
          </m:sSubPr>
          <m:e>
            <m:r>
              <w:rPr>
                <w:rFonts w:ascii="Cambria Math" w:hAnsi="Cambria Math"/>
              </w:rPr>
              <m:t>V</m:t>
            </m:r>
          </m:e>
          <m:sub>
            <m:r>
              <w:rPr>
                <w:rFonts w:ascii="Cambria Math" w:hAnsi="Cambria Math"/>
              </w:rPr>
              <m:t>T</m:t>
            </m:r>
          </m:sub>
        </m:sSub>
      </m:oMath>
      <w:r w:rsidRPr="00A4615B">
        <w:t> (13.0%), </w:t>
      </w:r>
      <m:oMath>
        <m:sSub>
          <m:sSubPr>
            <m:ctrlPr>
              <w:rPr>
                <w:rFonts w:ascii="Cambria Math" w:hAnsi="Cambria Math"/>
              </w:rPr>
            </m:ctrlPr>
          </m:sSubPr>
          <m:e>
            <m:r>
              <w:rPr>
                <w:rFonts w:ascii="Cambria Math" w:hAnsi="Cambria Math"/>
              </w:rPr>
              <m:t>I</m:t>
            </m:r>
          </m:e>
          <m:sub>
            <m:r>
              <w:rPr>
                <w:rFonts w:ascii="Cambria Math" w:hAnsi="Cambria Math"/>
              </w:rPr>
              <m:t>Dmax</m:t>
            </m:r>
          </m:sub>
        </m:sSub>
      </m:oMath>
      <w:r w:rsidR="00AA687B" w:rsidRPr="00AA687B">
        <w:t xml:space="preserve"> </w:t>
      </w:r>
      <w:r w:rsidRPr="00A4615B">
        <w:t>(11.3%), </w:t>
      </w:r>
      <m:oMath>
        <m:sSub>
          <m:sSubPr>
            <m:ctrlPr>
              <w:rPr>
                <w:rFonts w:ascii="Cambria Math" w:hAnsi="Cambria Math"/>
              </w:rPr>
            </m:ctrlPr>
          </m:sSubPr>
          <m:e>
            <m:r>
              <w:rPr>
                <w:rFonts w:ascii="Cambria Math" w:hAnsi="Cambria Math"/>
              </w:rPr>
              <m:t>I</m:t>
            </m:r>
          </m:e>
          <m:sub>
            <m:r>
              <w:rPr>
                <w:rFonts w:ascii="Cambria Math" w:hAnsi="Cambria Math"/>
              </w:rPr>
              <m:t>DSS</m:t>
            </m:r>
          </m:sub>
        </m:sSub>
      </m:oMath>
      <w:r w:rsidRPr="00A4615B">
        <w:t> (14.8%), and </w:t>
      </w:r>
      <m:oMath>
        <m:sSub>
          <m:sSubPr>
            <m:ctrlPr>
              <w:rPr>
                <w:rFonts w:ascii="Cambria Math" w:hAnsi="Cambria Math"/>
              </w:rPr>
            </m:ctrlPr>
          </m:sSubPr>
          <m:e>
            <m:r>
              <w:rPr>
                <w:rFonts w:ascii="Cambria Math" w:hAnsi="Cambria Math"/>
              </w:rPr>
              <m:t>R</m:t>
            </m:r>
          </m:e>
          <m:sub>
            <m:r>
              <w:rPr>
                <w:rFonts w:ascii="Cambria Math" w:hAnsi="Cambria Math"/>
              </w:rPr>
              <m:t>on</m:t>
            </m:r>
          </m:sub>
        </m:sSub>
      </m:oMath>
      <w:r w:rsidRPr="00A4615B">
        <w:t> (11.5%) than the devices tested at high voltage (6.01%, 4.89%, 6.28%, and 4.64%, respectively). Unlike [5], threshold voltage shifts were seen from both ON- and OFF-state conditions. Peak transconductance </w:t>
      </w:r>
      <m:oMath>
        <m:sSub>
          <m:sSubPr>
            <m:ctrlPr>
              <w:rPr>
                <w:rFonts w:ascii="Cambria Math" w:hAnsi="Cambria Math"/>
              </w:rPr>
            </m:ctrlPr>
          </m:sSubPr>
          <m:e>
            <m:r>
              <w:rPr>
                <w:rFonts w:ascii="Cambria Math" w:hAnsi="Cambria Math"/>
              </w:rPr>
              <m:t>g</m:t>
            </m:r>
          </m:e>
          <m:sub>
            <m:r>
              <w:rPr>
                <w:rFonts w:ascii="Cambria Math" w:hAnsi="Cambria Math"/>
              </w:rPr>
              <m:t>mp</m:t>
            </m:r>
          </m:sub>
        </m:sSub>
      </m:oMath>
      <w:r w:rsidRPr="00A4615B">
        <w:t xml:space="preserve"> changed more for the devices tested at high voltage (4.10%) than for the devices tested at high power (2.25%). </w:t>
      </w:r>
      <w:proofErr w:type="gramStart"/>
      <w:r w:rsidRPr="00A4615B">
        <w:t>Similar to</w:t>
      </w:r>
      <w:proofErr w:type="gramEnd"/>
      <w:r w:rsidRPr="00A4615B">
        <w:t> [5], the decrease in </w:t>
      </w:r>
      <m:oMath>
        <m:sSub>
          <m:sSubPr>
            <m:ctrlPr>
              <w:rPr>
                <w:rFonts w:ascii="Cambria Math" w:hAnsi="Cambria Math"/>
              </w:rPr>
            </m:ctrlPr>
          </m:sSubPr>
          <m:e>
            <m:r>
              <w:rPr>
                <w:rFonts w:ascii="Cambria Math" w:hAnsi="Cambria Math"/>
              </w:rPr>
              <m:t>g</m:t>
            </m:r>
          </m:e>
          <m:sub>
            <m:r>
              <w:rPr>
                <w:rFonts w:ascii="Cambria Math" w:hAnsi="Cambria Math"/>
              </w:rPr>
              <m:t>mp</m:t>
            </m:r>
          </m:sub>
        </m:sSub>
      </m:oMath>
      <w:r w:rsidRPr="00A4615B">
        <w:t> of devices tested in ON-state and OFF-state was less than 5%. The different degradation signatures in the two sets indicate different degradation mechanisms.</w:t>
      </w:r>
    </w:p>
    <w:p w14:paraId="79F4AEDF" w14:textId="77777777" w:rsidR="003513A9" w:rsidRPr="00A4615B" w:rsidRDefault="003513A9" w:rsidP="00A4615B">
      <w:pPr>
        <w:pStyle w:val="NoSpacing"/>
      </w:pPr>
    </w:p>
    <w:p w14:paraId="2D424011" w14:textId="40C0EBCE" w:rsidR="00A4615B" w:rsidRPr="00A4615B" w:rsidRDefault="00A4615B" w:rsidP="00A4615B">
      <w:pPr>
        <w:pStyle w:val="NoSpacing"/>
        <w:rPr>
          <w:rStyle w:val="Hyperlink"/>
        </w:rPr>
      </w:pPr>
      <w:r w:rsidRPr="00A4615B">
        <w:fldChar w:fldCharType="begin"/>
      </w:r>
      <w:r w:rsidRPr="00A4615B">
        <w:instrText xml:space="preserve"> HYPERLINK "https://ieeexplore.ieee.org/mediastore_new/IEEE/content/media/5776767/5784429/5784556/5784556-fig-2-source-large.gif" </w:instrText>
      </w:r>
      <w:r w:rsidRPr="00A4615B">
        <w:fldChar w:fldCharType="separate"/>
      </w:r>
      <w:r w:rsidRPr="00A4615B">
        <w:rPr>
          <w:rStyle w:val="Hyperlink"/>
          <w:noProof/>
        </w:rPr>
        <w:drawing>
          <wp:inline distT="0" distB="0" distL="0" distR="0" wp14:anchorId="4B5197A3" wp14:editId="5EDACCF8">
            <wp:extent cx="2743200" cy="1664208"/>
            <wp:effectExtent l="0" t="0" r="0" b="0"/>
            <wp:docPr id="6" name="Picture 6" descr="Figure 2. Transfer and transconductance curves at 0 and 300 hours of typical high-voltage-tested device. Device 7579 was tested at Condition 5.&#10;&#1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664208"/>
                    </a:xfrm>
                    <a:prstGeom prst="rect">
                      <a:avLst/>
                    </a:prstGeom>
                    <a:noFill/>
                    <a:ln>
                      <a:noFill/>
                    </a:ln>
                  </pic:spPr>
                </pic:pic>
              </a:graphicData>
            </a:graphic>
          </wp:inline>
        </w:drawing>
      </w:r>
    </w:p>
    <w:p w14:paraId="6614526A" w14:textId="7BE5011E" w:rsidR="00A4615B" w:rsidRPr="00A4615B" w:rsidRDefault="00A4615B" w:rsidP="00A4615B">
      <w:pPr>
        <w:pStyle w:val="NoSpacing"/>
      </w:pPr>
      <w:r w:rsidRPr="00A4615B">
        <w:fldChar w:fldCharType="end"/>
      </w:r>
      <w:r w:rsidRPr="00A4615B">
        <w:rPr>
          <w:b/>
          <w:bCs/>
        </w:rPr>
        <w:t>Figure 2. </w:t>
      </w:r>
      <w:r w:rsidRPr="00A4615B">
        <w:t>Transfer and transconductance curves at 0 and 300 hours of typical high-voltage-tested device. Device 7579 was tested at Condition 5.</w:t>
      </w:r>
    </w:p>
    <w:p w14:paraId="32D98AD4" w14:textId="77777777" w:rsidR="003513A9" w:rsidRDefault="003513A9" w:rsidP="00A4615B">
      <w:pPr>
        <w:pStyle w:val="NoSpacing"/>
      </w:pPr>
    </w:p>
    <w:p w14:paraId="1040CFDB" w14:textId="69A32544" w:rsidR="00A4615B" w:rsidRPr="00A4615B" w:rsidRDefault="00A4615B" w:rsidP="00A4615B">
      <w:pPr>
        <w:pStyle w:val="NoSpacing"/>
        <w:rPr>
          <w:rStyle w:val="Hyperlink"/>
        </w:rPr>
      </w:pPr>
      <w:r w:rsidRPr="00A4615B">
        <w:fldChar w:fldCharType="begin"/>
      </w:r>
      <w:r w:rsidRPr="00A4615B">
        <w:instrText xml:space="preserve"> HYPERLINK "https://ieeexplore.ieee.org/mediastore_new/IEEE/content/media/5776767/5784429/5784556/5784556-fig-3-source-large.gif" </w:instrText>
      </w:r>
      <w:r w:rsidRPr="00A4615B">
        <w:fldChar w:fldCharType="separate"/>
      </w:r>
      <w:r w:rsidRPr="00A4615B">
        <w:rPr>
          <w:rStyle w:val="Hyperlink"/>
          <w:noProof/>
        </w:rPr>
        <w:drawing>
          <wp:inline distT="0" distB="0" distL="0" distR="0" wp14:anchorId="14331F5C" wp14:editId="0AF631C5">
            <wp:extent cx="2743200" cy="1673352"/>
            <wp:effectExtent l="0" t="0" r="0" b="3175"/>
            <wp:docPr id="5" name="Picture 5" descr="Figure 3. Transfer and transconductance curves at 0, 300, and 1016 hours of exceptional high-voltage-tested device. Device 001 was tested at Condition 5.&#10;&#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673352"/>
                    </a:xfrm>
                    <a:prstGeom prst="rect">
                      <a:avLst/>
                    </a:prstGeom>
                    <a:noFill/>
                    <a:ln>
                      <a:noFill/>
                    </a:ln>
                  </pic:spPr>
                </pic:pic>
              </a:graphicData>
            </a:graphic>
          </wp:inline>
        </w:drawing>
      </w:r>
    </w:p>
    <w:p w14:paraId="4AC2CF27" w14:textId="1CE1001B" w:rsidR="00A4615B" w:rsidRPr="00A4615B" w:rsidRDefault="00A4615B" w:rsidP="00A4615B">
      <w:pPr>
        <w:pStyle w:val="NoSpacing"/>
      </w:pPr>
      <w:r w:rsidRPr="00A4615B">
        <w:fldChar w:fldCharType="end"/>
      </w:r>
      <w:r w:rsidRPr="00A4615B">
        <w:rPr>
          <w:b/>
          <w:bCs/>
        </w:rPr>
        <w:t>Figure 3. </w:t>
      </w:r>
      <w:r w:rsidRPr="00A4615B">
        <w:t>Transfer and transconductance curves at 0, 300, and 1016 hours of exceptional high-voltage-tested device. Device 001 was tested at Condition 5.</w:t>
      </w:r>
    </w:p>
    <w:p w14:paraId="1CD8860E" w14:textId="77777777" w:rsidR="003513A9" w:rsidRDefault="003513A9" w:rsidP="00A4615B">
      <w:pPr>
        <w:pStyle w:val="NoSpacing"/>
      </w:pPr>
    </w:p>
    <w:p w14:paraId="3138CACD" w14:textId="1C91B4F9" w:rsidR="00A4615B" w:rsidRPr="00A4615B" w:rsidRDefault="00A4615B" w:rsidP="00A4615B">
      <w:pPr>
        <w:pStyle w:val="NoSpacing"/>
        <w:rPr>
          <w:rStyle w:val="Hyperlink"/>
        </w:rPr>
      </w:pPr>
      <w:r w:rsidRPr="00A4615B">
        <w:fldChar w:fldCharType="begin"/>
      </w:r>
      <w:r w:rsidRPr="00A4615B">
        <w:instrText xml:space="preserve"> HYPERLINK "https://ieeexplore.ieee.org/mediastore_new/IEEE/content/media/5776767/5784429/5784556/5784556-fig-4-source-large.gif" </w:instrText>
      </w:r>
      <w:r w:rsidRPr="00A4615B">
        <w:fldChar w:fldCharType="separate"/>
      </w:r>
      <w:r w:rsidRPr="00A4615B">
        <w:rPr>
          <w:rStyle w:val="Hyperlink"/>
          <w:noProof/>
        </w:rPr>
        <w:drawing>
          <wp:inline distT="0" distB="0" distL="0" distR="0" wp14:anchorId="0846C96B" wp14:editId="21E006B8">
            <wp:extent cx="2743200" cy="1664208"/>
            <wp:effectExtent l="0" t="0" r="0" b="0"/>
            <wp:docPr id="4" name="Picture 4" descr="Figure 4. Representative transfer and transconductance curves at 0, 300, and 343 hours of high-power-tested device. Device 007 was tested at Condition 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664208"/>
                    </a:xfrm>
                    <a:prstGeom prst="rect">
                      <a:avLst/>
                    </a:prstGeom>
                    <a:noFill/>
                    <a:ln>
                      <a:noFill/>
                    </a:ln>
                  </pic:spPr>
                </pic:pic>
              </a:graphicData>
            </a:graphic>
          </wp:inline>
        </w:drawing>
      </w:r>
    </w:p>
    <w:p w14:paraId="37F2EE06" w14:textId="7DC620FF" w:rsidR="00A4615B" w:rsidRPr="00A4615B" w:rsidRDefault="00A4615B" w:rsidP="00A4615B">
      <w:pPr>
        <w:pStyle w:val="NoSpacing"/>
      </w:pPr>
      <w:r w:rsidRPr="00A4615B">
        <w:fldChar w:fldCharType="end"/>
      </w:r>
      <w:r w:rsidRPr="00A4615B">
        <w:rPr>
          <w:b/>
          <w:bCs/>
        </w:rPr>
        <w:t>Figure 4. </w:t>
      </w:r>
      <w:r w:rsidRPr="00A4615B">
        <w:t>Representative transfer and transconductance curves at 0, 300, and 343 hours of high-power-tested device. Device 007 was tested at Condition 1.</w:t>
      </w:r>
    </w:p>
    <w:p w14:paraId="1A6CB640" w14:textId="77777777" w:rsidR="003F37FA" w:rsidRDefault="003F37FA" w:rsidP="00A4615B">
      <w:pPr>
        <w:pStyle w:val="NoSpacing"/>
      </w:pPr>
    </w:p>
    <w:p w14:paraId="51054640" w14:textId="1E1B5A87" w:rsidR="00A4615B" w:rsidRPr="00A4615B" w:rsidRDefault="00A4615B" w:rsidP="00A4615B">
      <w:pPr>
        <w:pStyle w:val="NoSpacing"/>
      </w:pPr>
      <w:r w:rsidRPr="00A4615B">
        <w:rPr>
          <w:b/>
          <w:bCs/>
        </w:rPr>
        <w:t>TABLE II. </w:t>
      </w:r>
      <w:r w:rsidRPr="00A4615B">
        <w:t>AVERAGE ABSOLUTE PERCENTAGE CHANGES IN PARAMETERS AFTER 300 HOURS</w:t>
      </w:r>
    </w:p>
    <w:tbl>
      <w:tblPr>
        <w:tblStyle w:val="TableGrid"/>
        <w:tblW w:w="5000" w:type="pct"/>
        <w:tblLook w:val="04A0" w:firstRow="1" w:lastRow="0" w:firstColumn="1" w:lastColumn="0" w:noHBand="0" w:noVBand="1"/>
      </w:tblPr>
      <w:tblGrid>
        <w:gridCol w:w="2387"/>
        <w:gridCol w:w="1466"/>
        <w:gridCol w:w="1466"/>
        <w:gridCol w:w="1521"/>
        <w:gridCol w:w="1466"/>
        <w:gridCol w:w="1764"/>
      </w:tblGrid>
      <w:tr w:rsidR="00A4615B" w:rsidRPr="00A4615B" w14:paraId="1462DFCA" w14:textId="77777777" w:rsidTr="003F37FA">
        <w:tc>
          <w:tcPr>
            <w:tcW w:w="1185" w:type="pct"/>
            <w:hideMark/>
          </w:tcPr>
          <w:p w14:paraId="5264DB31" w14:textId="77777777" w:rsidR="00A4615B" w:rsidRPr="00A4615B" w:rsidRDefault="00A4615B" w:rsidP="00A4615B">
            <w:pPr>
              <w:pStyle w:val="NoSpacing"/>
              <w:rPr>
                <w:b/>
                <w:bCs/>
              </w:rPr>
            </w:pPr>
            <w:r w:rsidRPr="00A4615B">
              <w:rPr>
                <w:b/>
                <w:bCs/>
              </w:rPr>
              <w:t>Condition</w:t>
            </w:r>
          </w:p>
        </w:tc>
        <w:tc>
          <w:tcPr>
            <w:tcW w:w="728" w:type="pct"/>
            <w:hideMark/>
          </w:tcPr>
          <w:p w14:paraId="0239CDC2" w14:textId="2837E570" w:rsidR="00A4615B" w:rsidRPr="00A4615B" w:rsidRDefault="008E2DDD" w:rsidP="00A4615B">
            <w:pPr>
              <w:pStyle w:val="NoSpacing"/>
              <w:rPr>
                <w:b/>
                <w:bCs/>
              </w:rPr>
            </w:pPr>
            <m:oMathPara>
              <m:oMath>
                <m:sSub>
                  <m:sSubPr>
                    <m:ctrlPr>
                      <w:rPr>
                        <w:rFonts w:ascii="Cambria Math" w:hAnsi="Cambria Math"/>
                      </w:rPr>
                    </m:ctrlPr>
                  </m:sSubPr>
                  <m:e>
                    <m:r>
                      <w:rPr>
                        <w:rFonts w:ascii="Cambria Math" w:hAnsi="Cambria Math"/>
                      </w:rPr>
                      <m:t>g</m:t>
                    </m:r>
                  </m:e>
                  <m:sub>
                    <m:r>
                      <w:rPr>
                        <w:rFonts w:ascii="Cambria Math" w:hAnsi="Cambria Math"/>
                      </w:rPr>
                      <m:t>mp</m:t>
                    </m:r>
                  </m:sub>
                </m:sSub>
              </m:oMath>
            </m:oMathPara>
          </w:p>
        </w:tc>
        <w:tc>
          <w:tcPr>
            <w:tcW w:w="728" w:type="pct"/>
            <w:hideMark/>
          </w:tcPr>
          <w:p w14:paraId="7E972E9D" w14:textId="5DB668B1" w:rsidR="00A4615B" w:rsidRPr="00A4615B" w:rsidRDefault="008E2DDD" w:rsidP="00A4615B">
            <w:pPr>
              <w:pStyle w:val="NoSpacing"/>
              <w:rPr>
                <w:b/>
                <w:bCs/>
              </w:rPr>
            </w:pPr>
            <m:oMathPara>
              <m:oMath>
                <m:sSub>
                  <m:sSubPr>
                    <m:ctrlPr>
                      <w:rPr>
                        <w:rFonts w:ascii="Cambria Math" w:hAnsi="Cambria Math"/>
                      </w:rPr>
                    </m:ctrlPr>
                  </m:sSubPr>
                  <m:e>
                    <m:r>
                      <w:rPr>
                        <w:rFonts w:ascii="Cambria Math" w:hAnsi="Cambria Math"/>
                      </w:rPr>
                      <m:t>V</m:t>
                    </m:r>
                  </m:e>
                  <m:sub>
                    <m:r>
                      <w:rPr>
                        <w:rFonts w:ascii="Cambria Math" w:hAnsi="Cambria Math"/>
                      </w:rPr>
                      <m:t>T</m:t>
                    </m:r>
                  </m:sub>
                </m:sSub>
              </m:oMath>
            </m:oMathPara>
          </w:p>
        </w:tc>
        <w:tc>
          <w:tcPr>
            <w:tcW w:w="755" w:type="pct"/>
            <w:hideMark/>
          </w:tcPr>
          <w:p w14:paraId="08E44483" w14:textId="13CE8196" w:rsidR="00A4615B" w:rsidRPr="00A4615B" w:rsidRDefault="008E2DDD" w:rsidP="00A4615B">
            <w:pPr>
              <w:pStyle w:val="NoSpacing"/>
              <w:rPr>
                <w:b/>
                <w:bCs/>
              </w:rPr>
            </w:pPr>
            <m:oMathPara>
              <m:oMath>
                <m:sSub>
                  <m:sSubPr>
                    <m:ctrlPr>
                      <w:rPr>
                        <w:rFonts w:ascii="Cambria Math" w:hAnsi="Cambria Math"/>
                      </w:rPr>
                    </m:ctrlPr>
                  </m:sSubPr>
                  <m:e>
                    <m:r>
                      <w:rPr>
                        <w:rFonts w:ascii="Cambria Math" w:hAnsi="Cambria Math"/>
                      </w:rPr>
                      <m:t>I</m:t>
                    </m:r>
                  </m:e>
                  <m:sub>
                    <m:r>
                      <w:rPr>
                        <w:rFonts w:ascii="Cambria Math" w:hAnsi="Cambria Math"/>
                      </w:rPr>
                      <m:t>Dmax</m:t>
                    </m:r>
                  </m:sub>
                </m:sSub>
              </m:oMath>
            </m:oMathPara>
          </w:p>
        </w:tc>
        <w:tc>
          <w:tcPr>
            <w:tcW w:w="728" w:type="pct"/>
            <w:hideMark/>
          </w:tcPr>
          <w:p w14:paraId="3825095E" w14:textId="622444C3" w:rsidR="00A4615B" w:rsidRPr="00A4615B" w:rsidRDefault="008E2DDD" w:rsidP="00A4615B">
            <w:pPr>
              <w:pStyle w:val="NoSpacing"/>
              <w:rPr>
                <w:b/>
                <w:bCs/>
              </w:rPr>
            </w:pPr>
            <m:oMathPara>
              <m:oMath>
                <m:sSub>
                  <m:sSubPr>
                    <m:ctrlPr>
                      <w:rPr>
                        <w:rFonts w:ascii="Cambria Math" w:hAnsi="Cambria Math"/>
                      </w:rPr>
                    </m:ctrlPr>
                  </m:sSubPr>
                  <m:e>
                    <m:r>
                      <w:rPr>
                        <w:rFonts w:ascii="Cambria Math" w:hAnsi="Cambria Math"/>
                      </w:rPr>
                      <m:t>I</m:t>
                    </m:r>
                  </m:e>
                  <m:sub>
                    <m:r>
                      <w:rPr>
                        <w:rFonts w:ascii="Cambria Math" w:hAnsi="Cambria Math"/>
                      </w:rPr>
                      <m:t>DSS</m:t>
                    </m:r>
                  </m:sub>
                </m:sSub>
              </m:oMath>
            </m:oMathPara>
          </w:p>
        </w:tc>
        <w:tc>
          <w:tcPr>
            <w:tcW w:w="876" w:type="pct"/>
            <w:hideMark/>
          </w:tcPr>
          <w:p w14:paraId="7FE52254" w14:textId="18FC4931" w:rsidR="00A4615B" w:rsidRPr="00A4615B" w:rsidRDefault="008E2DDD" w:rsidP="00A4615B">
            <w:pPr>
              <w:pStyle w:val="NoSpacing"/>
              <w:rPr>
                <w:b/>
                <w:bCs/>
              </w:rPr>
            </w:pPr>
            <m:oMathPara>
              <m:oMath>
                <m:sSub>
                  <m:sSubPr>
                    <m:ctrlPr>
                      <w:rPr>
                        <w:rFonts w:ascii="Cambria Math" w:hAnsi="Cambria Math"/>
                      </w:rPr>
                    </m:ctrlPr>
                  </m:sSubPr>
                  <m:e>
                    <m:r>
                      <w:rPr>
                        <w:rFonts w:ascii="Cambria Math" w:hAnsi="Cambria Math"/>
                      </w:rPr>
                      <m:t>R</m:t>
                    </m:r>
                  </m:e>
                  <m:sub>
                    <m:r>
                      <w:rPr>
                        <w:rFonts w:ascii="Cambria Math" w:hAnsi="Cambria Math"/>
                      </w:rPr>
                      <m:t>on</m:t>
                    </m:r>
                  </m:sub>
                </m:sSub>
              </m:oMath>
            </m:oMathPara>
          </w:p>
        </w:tc>
      </w:tr>
      <w:tr w:rsidR="00A4615B" w:rsidRPr="00A4615B" w14:paraId="1997ABE8" w14:textId="77777777" w:rsidTr="003F37FA">
        <w:tc>
          <w:tcPr>
            <w:tcW w:w="1185" w:type="pct"/>
            <w:hideMark/>
          </w:tcPr>
          <w:p w14:paraId="302FF1D2" w14:textId="77777777" w:rsidR="00A4615B" w:rsidRPr="00A4615B" w:rsidRDefault="00A4615B" w:rsidP="00A4615B">
            <w:pPr>
              <w:pStyle w:val="NoSpacing"/>
            </w:pPr>
            <w:r w:rsidRPr="00A4615B">
              <w:t>1</w:t>
            </w:r>
          </w:p>
        </w:tc>
        <w:tc>
          <w:tcPr>
            <w:tcW w:w="728" w:type="pct"/>
            <w:hideMark/>
          </w:tcPr>
          <w:p w14:paraId="3A5CC9ED" w14:textId="77777777" w:rsidR="00A4615B" w:rsidRPr="00A4615B" w:rsidRDefault="00A4615B" w:rsidP="00A4615B">
            <w:pPr>
              <w:pStyle w:val="NoSpacing"/>
            </w:pPr>
            <w:r w:rsidRPr="00A4615B">
              <w:t>1.68%</w:t>
            </w:r>
          </w:p>
        </w:tc>
        <w:tc>
          <w:tcPr>
            <w:tcW w:w="728" w:type="pct"/>
            <w:hideMark/>
          </w:tcPr>
          <w:p w14:paraId="14BB4B43" w14:textId="77777777" w:rsidR="00A4615B" w:rsidRPr="00A4615B" w:rsidRDefault="00A4615B" w:rsidP="00A4615B">
            <w:pPr>
              <w:pStyle w:val="NoSpacing"/>
            </w:pPr>
            <w:r w:rsidRPr="00A4615B">
              <w:t>10.8%</w:t>
            </w:r>
          </w:p>
        </w:tc>
        <w:tc>
          <w:tcPr>
            <w:tcW w:w="755" w:type="pct"/>
            <w:hideMark/>
          </w:tcPr>
          <w:p w14:paraId="70430BB9" w14:textId="77777777" w:rsidR="00A4615B" w:rsidRPr="00A4615B" w:rsidRDefault="00A4615B" w:rsidP="00A4615B">
            <w:pPr>
              <w:pStyle w:val="NoSpacing"/>
            </w:pPr>
            <w:r w:rsidRPr="00A4615B">
              <w:t>8.80%</w:t>
            </w:r>
          </w:p>
        </w:tc>
        <w:tc>
          <w:tcPr>
            <w:tcW w:w="728" w:type="pct"/>
            <w:hideMark/>
          </w:tcPr>
          <w:p w14:paraId="5725B5DC" w14:textId="77777777" w:rsidR="00A4615B" w:rsidRPr="00A4615B" w:rsidRDefault="00A4615B" w:rsidP="00A4615B">
            <w:pPr>
              <w:pStyle w:val="NoSpacing"/>
            </w:pPr>
            <w:r w:rsidRPr="00A4615B">
              <w:t>11.8%</w:t>
            </w:r>
          </w:p>
        </w:tc>
        <w:tc>
          <w:tcPr>
            <w:tcW w:w="876" w:type="pct"/>
            <w:hideMark/>
          </w:tcPr>
          <w:p w14:paraId="5CBEAA49" w14:textId="77777777" w:rsidR="00A4615B" w:rsidRPr="00A4615B" w:rsidRDefault="00A4615B" w:rsidP="00A4615B">
            <w:pPr>
              <w:pStyle w:val="NoSpacing"/>
            </w:pPr>
            <w:r w:rsidRPr="00A4615B">
              <w:t>8.06%</w:t>
            </w:r>
          </w:p>
        </w:tc>
      </w:tr>
      <w:tr w:rsidR="00A4615B" w:rsidRPr="00A4615B" w14:paraId="12767595" w14:textId="77777777" w:rsidTr="003F37FA">
        <w:tc>
          <w:tcPr>
            <w:tcW w:w="1185" w:type="pct"/>
            <w:hideMark/>
          </w:tcPr>
          <w:p w14:paraId="6AAAA0A5" w14:textId="77777777" w:rsidR="00A4615B" w:rsidRPr="00A4615B" w:rsidRDefault="00A4615B" w:rsidP="00A4615B">
            <w:pPr>
              <w:pStyle w:val="NoSpacing"/>
            </w:pPr>
            <w:r w:rsidRPr="00A4615B">
              <w:t>2</w:t>
            </w:r>
          </w:p>
        </w:tc>
        <w:tc>
          <w:tcPr>
            <w:tcW w:w="728" w:type="pct"/>
            <w:hideMark/>
          </w:tcPr>
          <w:p w14:paraId="2EE1D114" w14:textId="77777777" w:rsidR="00A4615B" w:rsidRPr="00A4615B" w:rsidRDefault="00A4615B" w:rsidP="00A4615B">
            <w:pPr>
              <w:pStyle w:val="NoSpacing"/>
            </w:pPr>
            <w:r w:rsidRPr="00A4615B">
              <w:t>1.98%</w:t>
            </w:r>
          </w:p>
        </w:tc>
        <w:tc>
          <w:tcPr>
            <w:tcW w:w="728" w:type="pct"/>
            <w:hideMark/>
          </w:tcPr>
          <w:p w14:paraId="281EBEC3" w14:textId="77777777" w:rsidR="00A4615B" w:rsidRPr="00A4615B" w:rsidRDefault="00A4615B" w:rsidP="00A4615B">
            <w:pPr>
              <w:pStyle w:val="NoSpacing"/>
            </w:pPr>
            <w:r w:rsidRPr="00A4615B">
              <w:t>10.9%</w:t>
            </w:r>
          </w:p>
        </w:tc>
        <w:tc>
          <w:tcPr>
            <w:tcW w:w="755" w:type="pct"/>
            <w:hideMark/>
          </w:tcPr>
          <w:p w14:paraId="3E891828" w14:textId="77777777" w:rsidR="00A4615B" w:rsidRPr="00A4615B" w:rsidRDefault="00A4615B" w:rsidP="00A4615B">
            <w:pPr>
              <w:pStyle w:val="NoSpacing"/>
            </w:pPr>
            <w:r w:rsidRPr="00A4615B">
              <w:t>10.9%</w:t>
            </w:r>
          </w:p>
        </w:tc>
        <w:tc>
          <w:tcPr>
            <w:tcW w:w="728" w:type="pct"/>
            <w:hideMark/>
          </w:tcPr>
          <w:p w14:paraId="2C707DCA" w14:textId="77777777" w:rsidR="00A4615B" w:rsidRPr="00A4615B" w:rsidRDefault="00A4615B" w:rsidP="00A4615B">
            <w:pPr>
              <w:pStyle w:val="NoSpacing"/>
            </w:pPr>
            <w:r w:rsidRPr="00A4615B">
              <w:t>13.2%</w:t>
            </w:r>
          </w:p>
        </w:tc>
        <w:tc>
          <w:tcPr>
            <w:tcW w:w="876" w:type="pct"/>
            <w:hideMark/>
          </w:tcPr>
          <w:p w14:paraId="72967E41" w14:textId="77777777" w:rsidR="00A4615B" w:rsidRPr="00A4615B" w:rsidRDefault="00A4615B" w:rsidP="00A4615B">
            <w:pPr>
              <w:pStyle w:val="NoSpacing"/>
            </w:pPr>
            <w:r w:rsidRPr="00A4615B">
              <w:t>12.23%</w:t>
            </w:r>
          </w:p>
        </w:tc>
      </w:tr>
      <w:tr w:rsidR="00A4615B" w:rsidRPr="00A4615B" w14:paraId="174BC543" w14:textId="77777777" w:rsidTr="003F37FA">
        <w:tc>
          <w:tcPr>
            <w:tcW w:w="1185" w:type="pct"/>
            <w:hideMark/>
          </w:tcPr>
          <w:p w14:paraId="6589933E" w14:textId="77777777" w:rsidR="00A4615B" w:rsidRPr="00A4615B" w:rsidRDefault="00A4615B" w:rsidP="00A4615B">
            <w:pPr>
              <w:pStyle w:val="NoSpacing"/>
            </w:pPr>
            <w:r w:rsidRPr="00A4615B">
              <w:t>3</w:t>
            </w:r>
          </w:p>
        </w:tc>
        <w:tc>
          <w:tcPr>
            <w:tcW w:w="728" w:type="pct"/>
            <w:hideMark/>
          </w:tcPr>
          <w:p w14:paraId="69E2A19D" w14:textId="77777777" w:rsidR="00A4615B" w:rsidRPr="00A4615B" w:rsidRDefault="00A4615B" w:rsidP="00A4615B">
            <w:pPr>
              <w:pStyle w:val="NoSpacing"/>
            </w:pPr>
            <w:r w:rsidRPr="00A4615B">
              <w:t>3.53%</w:t>
            </w:r>
          </w:p>
        </w:tc>
        <w:tc>
          <w:tcPr>
            <w:tcW w:w="728" w:type="pct"/>
            <w:hideMark/>
          </w:tcPr>
          <w:p w14:paraId="365EFA0C" w14:textId="77777777" w:rsidR="00A4615B" w:rsidRPr="00A4615B" w:rsidRDefault="00A4615B" w:rsidP="00A4615B">
            <w:pPr>
              <w:pStyle w:val="NoSpacing"/>
            </w:pPr>
            <w:r w:rsidRPr="00A4615B">
              <w:t>19.4%</w:t>
            </w:r>
          </w:p>
        </w:tc>
        <w:tc>
          <w:tcPr>
            <w:tcW w:w="755" w:type="pct"/>
            <w:hideMark/>
          </w:tcPr>
          <w:p w14:paraId="74AB7B6B" w14:textId="77777777" w:rsidR="00A4615B" w:rsidRPr="00A4615B" w:rsidRDefault="00A4615B" w:rsidP="00A4615B">
            <w:pPr>
              <w:pStyle w:val="NoSpacing"/>
            </w:pPr>
            <w:r w:rsidRPr="00A4615B">
              <w:t>15.7%</w:t>
            </w:r>
          </w:p>
        </w:tc>
        <w:tc>
          <w:tcPr>
            <w:tcW w:w="728" w:type="pct"/>
            <w:hideMark/>
          </w:tcPr>
          <w:p w14:paraId="71AAA8A3" w14:textId="77777777" w:rsidR="00A4615B" w:rsidRPr="00A4615B" w:rsidRDefault="00A4615B" w:rsidP="00A4615B">
            <w:pPr>
              <w:pStyle w:val="NoSpacing"/>
            </w:pPr>
            <w:r w:rsidRPr="00A4615B">
              <w:t>21.5%</w:t>
            </w:r>
          </w:p>
        </w:tc>
        <w:tc>
          <w:tcPr>
            <w:tcW w:w="876" w:type="pct"/>
            <w:hideMark/>
          </w:tcPr>
          <w:p w14:paraId="3B145D4A" w14:textId="77777777" w:rsidR="00A4615B" w:rsidRPr="00A4615B" w:rsidRDefault="00A4615B" w:rsidP="00A4615B">
            <w:pPr>
              <w:pStyle w:val="NoSpacing"/>
            </w:pPr>
            <w:r w:rsidRPr="00A4615B">
              <w:t>15.43%</w:t>
            </w:r>
          </w:p>
        </w:tc>
      </w:tr>
      <w:tr w:rsidR="00A4615B" w:rsidRPr="00A4615B" w14:paraId="466486BD" w14:textId="77777777" w:rsidTr="003F37FA">
        <w:tc>
          <w:tcPr>
            <w:tcW w:w="1185" w:type="pct"/>
            <w:hideMark/>
          </w:tcPr>
          <w:p w14:paraId="50DB6BF6" w14:textId="77777777" w:rsidR="00A4615B" w:rsidRPr="00A4615B" w:rsidRDefault="00A4615B" w:rsidP="00A4615B">
            <w:pPr>
              <w:pStyle w:val="NoSpacing"/>
            </w:pPr>
            <w:r w:rsidRPr="00A4615B">
              <w:t>4</w:t>
            </w:r>
          </w:p>
        </w:tc>
        <w:tc>
          <w:tcPr>
            <w:tcW w:w="728" w:type="pct"/>
            <w:hideMark/>
          </w:tcPr>
          <w:p w14:paraId="0CC9A74B" w14:textId="77777777" w:rsidR="00A4615B" w:rsidRPr="00A4615B" w:rsidRDefault="00A4615B" w:rsidP="00A4615B">
            <w:pPr>
              <w:pStyle w:val="NoSpacing"/>
            </w:pPr>
            <w:r w:rsidRPr="00A4615B">
              <w:t>3.45%</w:t>
            </w:r>
          </w:p>
        </w:tc>
        <w:tc>
          <w:tcPr>
            <w:tcW w:w="728" w:type="pct"/>
            <w:hideMark/>
          </w:tcPr>
          <w:p w14:paraId="2F23A371" w14:textId="77777777" w:rsidR="00A4615B" w:rsidRPr="00A4615B" w:rsidRDefault="00A4615B" w:rsidP="00A4615B">
            <w:pPr>
              <w:pStyle w:val="NoSpacing"/>
            </w:pPr>
            <w:r w:rsidRPr="00A4615B">
              <w:t>5.95%</w:t>
            </w:r>
          </w:p>
        </w:tc>
        <w:tc>
          <w:tcPr>
            <w:tcW w:w="755" w:type="pct"/>
            <w:hideMark/>
          </w:tcPr>
          <w:p w14:paraId="0541EC90" w14:textId="77777777" w:rsidR="00A4615B" w:rsidRPr="00A4615B" w:rsidRDefault="00A4615B" w:rsidP="00A4615B">
            <w:pPr>
              <w:pStyle w:val="NoSpacing"/>
            </w:pPr>
            <w:r w:rsidRPr="00A4615B">
              <w:t>4.51%</w:t>
            </w:r>
          </w:p>
        </w:tc>
        <w:tc>
          <w:tcPr>
            <w:tcW w:w="728" w:type="pct"/>
            <w:hideMark/>
          </w:tcPr>
          <w:p w14:paraId="4D1D00DE" w14:textId="77777777" w:rsidR="00A4615B" w:rsidRPr="00A4615B" w:rsidRDefault="00A4615B" w:rsidP="00A4615B">
            <w:pPr>
              <w:pStyle w:val="NoSpacing"/>
            </w:pPr>
            <w:r w:rsidRPr="00A4615B">
              <w:t>5.09%</w:t>
            </w:r>
          </w:p>
        </w:tc>
        <w:tc>
          <w:tcPr>
            <w:tcW w:w="876" w:type="pct"/>
            <w:hideMark/>
          </w:tcPr>
          <w:p w14:paraId="6CB71319" w14:textId="77777777" w:rsidR="00A4615B" w:rsidRPr="00A4615B" w:rsidRDefault="00A4615B" w:rsidP="00A4615B">
            <w:pPr>
              <w:pStyle w:val="NoSpacing"/>
            </w:pPr>
            <w:r w:rsidRPr="00A4615B">
              <w:t>3.78%</w:t>
            </w:r>
          </w:p>
        </w:tc>
      </w:tr>
      <w:tr w:rsidR="00A4615B" w:rsidRPr="00A4615B" w14:paraId="0A675807" w14:textId="77777777" w:rsidTr="003F37FA">
        <w:tc>
          <w:tcPr>
            <w:tcW w:w="1185" w:type="pct"/>
            <w:hideMark/>
          </w:tcPr>
          <w:p w14:paraId="1991E6CA" w14:textId="77777777" w:rsidR="00A4615B" w:rsidRPr="00A4615B" w:rsidRDefault="00A4615B" w:rsidP="00A4615B">
            <w:pPr>
              <w:pStyle w:val="NoSpacing"/>
            </w:pPr>
            <w:r w:rsidRPr="00A4615B">
              <w:t>5</w:t>
            </w:r>
          </w:p>
        </w:tc>
        <w:tc>
          <w:tcPr>
            <w:tcW w:w="728" w:type="pct"/>
            <w:hideMark/>
          </w:tcPr>
          <w:p w14:paraId="0D4F9CF7" w14:textId="77777777" w:rsidR="00A4615B" w:rsidRPr="00A4615B" w:rsidRDefault="00A4615B" w:rsidP="00A4615B">
            <w:pPr>
              <w:pStyle w:val="NoSpacing"/>
            </w:pPr>
            <w:r w:rsidRPr="00A4615B">
              <w:t>4.53%</w:t>
            </w:r>
          </w:p>
        </w:tc>
        <w:tc>
          <w:tcPr>
            <w:tcW w:w="728" w:type="pct"/>
            <w:hideMark/>
          </w:tcPr>
          <w:p w14:paraId="42457171" w14:textId="77777777" w:rsidR="00A4615B" w:rsidRPr="00A4615B" w:rsidRDefault="00A4615B" w:rsidP="00A4615B">
            <w:pPr>
              <w:pStyle w:val="NoSpacing"/>
            </w:pPr>
            <w:r w:rsidRPr="00A4615B">
              <w:t>6.05%</w:t>
            </w:r>
          </w:p>
        </w:tc>
        <w:tc>
          <w:tcPr>
            <w:tcW w:w="755" w:type="pct"/>
            <w:hideMark/>
          </w:tcPr>
          <w:p w14:paraId="7D1DE15A" w14:textId="77777777" w:rsidR="00A4615B" w:rsidRPr="00A4615B" w:rsidRDefault="00A4615B" w:rsidP="00A4615B">
            <w:pPr>
              <w:pStyle w:val="NoSpacing"/>
            </w:pPr>
            <w:r w:rsidRPr="00A4615B">
              <w:t>5.15%</w:t>
            </w:r>
          </w:p>
        </w:tc>
        <w:tc>
          <w:tcPr>
            <w:tcW w:w="728" w:type="pct"/>
            <w:hideMark/>
          </w:tcPr>
          <w:p w14:paraId="7E5B29B6" w14:textId="77777777" w:rsidR="00A4615B" w:rsidRPr="00A4615B" w:rsidRDefault="00A4615B" w:rsidP="00A4615B">
            <w:pPr>
              <w:pStyle w:val="NoSpacing"/>
            </w:pPr>
            <w:r w:rsidRPr="00A4615B">
              <w:t>7.08%</w:t>
            </w:r>
          </w:p>
        </w:tc>
        <w:tc>
          <w:tcPr>
            <w:tcW w:w="876" w:type="pct"/>
            <w:hideMark/>
          </w:tcPr>
          <w:p w14:paraId="0A5C1A3D" w14:textId="77777777" w:rsidR="00A4615B" w:rsidRPr="00A4615B" w:rsidRDefault="00A4615B" w:rsidP="00A4615B">
            <w:pPr>
              <w:pStyle w:val="NoSpacing"/>
            </w:pPr>
            <w:r w:rsidRPr="00A4615B">
              <w:t>5.21%</w:t>
            </w:r>
          </w:p>
        </w:tc>
      </w:tr>
    </w:tbl>
    <w:p w14:paraId="233F595A" w14:textId="77777777" w:rsidR="008C6217" w:rsidRDefault="008C6217" w:rsidP="00A4615B">
      <w:pPr>
        <w:pStyle w:val="NoSpacing"/>
      </w:pPr>
    </w:p>
    <w:p w14:paraId="39A8AB0F" w14:textId="5F9CF3BC" w:rsidR="00A4615B" w:rsidRPr="00A4615B" w:rsidRDefault="00A4615B" w:rsidP="00A4615B">
      <w:pPr>
        <w:pStyle w:val="NoSpacing"/>
      </w:pPr>
      <w:r w:rsidRPr="00A4615B">
        <w:t>There appears to be a correlation between higher drain biases and greater degradation. Although the estimated peak channel temperatures were similar for Conditions 1, 2, and 3 and separately for Conditions 4 and 5, the average absolute change for the four parameters increased with drain voltage (see Table II). Despite that apparent drain bias and degradation correlation, significant drain current degradation (&gt; 10%) caused by high biases alone was not seen. Comparing Conditions 4 and 5 with other published OFF-state conditions [2], [3], the biases of Conditions 4 and 5 were at least 10 V higher. Yet, the significant degradation seen at the lower voltages after minutes of stress in the other studies was not seen at the higher voltages after hours of stress in this study.</w:t>
      </w:r>
    </w:p>
    <w:p w14:paraId="316D6089" w14:textId="77777777" w:rsidR="008C6217" w:rsidRDefault="008C6217" w:rsidP="00A4615B">
      <w:pPr>
        <w:pStyle w:val="NoSpacing"/>
      </w:pPr>
    </w:p>
    <w:p w14:paraId="16B71FDD" w14:textId="57665397" w:rsidR="00A4615B" w:rsidRPr="00A4615B" w:rsidRDefault="00A4615B" w:rsidP="00A4615B">
      <w:pPr>
        <w:pStyle w:val="NoSpacing"/>
      </w:pPr>
      <w:r w:rsidRPr="00A4615B">
        <w:t>The changes that occurred in the devices during stress seem to be unrecoverable with rest. The average change in </w:t>
      </w:r>
      <m:oMath>
        <m:sSub>
          <m:sSubPr>
            <m:ctrlPr>
              <w:rPr>
                <w:rFonts w:ascii="Cambria Math" w:hAnsi="Cambria Math"/>
              </w:rPr>
            </m:ctrlPr>
          </m:sSubPr>
          <m:e>
            <m:r>
              <w:rPr>
                <w:rFonts w:ascii="Cambria Math" w:hAnsi="Cambria Math"/>
              </w:rPr>
              <m:t>I</m:t>
            </m:r>
          </m:e>
          <m:sub>
            <m:r>
              <w:rPr>
                <w:rFonts w:ascii="Cambria Math" w:hAnsi="Cambria Math"/>
              </w:rPr>
              <m:t>Dmax</m:t>
            </m:r>
          </m:sub>
        </m:sSub>
      </m:oMath>
      <w:r w:rsidRPr="00A4615B">
        <w:t> between the value measured at 300 hours of stress and the value measured after rest was 0.01% with a maximum of 2.3% and a minimum of -2.37%. For </w:t>
      </w:r>
      <m:oMath>
        <m:sSub>
          <m:sSubPr>
            <m:ctrlPr>
              <w:rPr>
                <w:rFonts w:ascii="Cambria Math" w:hAnsi="Cambria Math"/>
              </w:rPr>
            </m:ctrlPr>
          </m:sSubPr>
          <m:e>
            <m:r>
              <w:rPr>
                <w:rFonts w:ascii="Cambria Math" w:hAnsi="Cambria Math"/>
              </w:rPr>
              <m:t>I</m:t>
            </m:r>
          </m:e>
          <m:sub>
            <m:r>
              <w:rPr>
                <w:rFonts w:ascii="Cambria Math" w:hAnsi="Cambria Math"/>
              </w:rPr>
              <m:t>DSS</m:t>
            </m:r>
          </m:sub>
        </m:sSub>
      </m:oMath>
      <w:r w:rsidRPr="00A4615B">
        <w:t>, the average change was 0.12% with a maximum of 2.26% and a minimum of-2.29%. Both max</w:t>
      </w:r>
      <w:proofErr w:type="spellStart"/>
      <w:r w:rsidRPr="00A4615B">
        <w:t>imums</w:t>
      </w:r>
      <w:proofErr w:type="spellEnd"/>
      <w:r w:rsidRPr="00A4615B">
        <w:t xml:space="preserve"> were measured on one device and both minimums were measured on another. All other percent changes were less than 1% in absolute value. In addition to the changes in </w:t>
      </w:r>
      <m:oMath>
        <m:sSub>
          <m:sSubPr>
            <m:ctrlPr>
              <w:rPr>
                <w:rFonts w:ascii="Cambria Math" w:hAnsi="Cambria Math"/>
              </w:rPr>
            </m:ctrlPr>
          </m:sSubPr>
          <m:e>
            <m:r>
              <w:rPr>
                <w:rFonts w:ascii="Cambria Math" w:hAnsi="Cambria Math"/>
              </w:rPr>
              <m:t>I</m:t>
            </m:r>
          </m:e>
          <m:sub>
            <m:r>
              <w:rPr>
                <w:rFonts w:ascii="Cambria Math" w:hAnsi="Cambria Math"/>
              </w:rPr>
              <m:t>Dmax</m:t>
            </m:r>
          </m:sub>
        </m:sSub>
      </m:oMath>
      <w:r w:rsidRPr="00A4615B">
        <w:t> and </w:t>
      </w:r>
      <m:oMath>
        <m:sSub>
          <m:sSubPr>
            <m:ctrlPr>
              <w:rPr>
                <w:rFonts w:ascii="Cambria Math" w:hAnsi="Cambria Math"/>
              </w:rPr>
            </m:ctrlPr>
          </m:sSubPr>
          <m:e>
            <m:r>
              <w:rPr>
                <w:rFonts w:ascii="Cambria Math" w:hAnsi="Cambria Math"/>
              </w:rPr>
              <m:t>I</m:t>
            </m:r>
          </m:e>
          <m:sub>
            <m:r>
              <w:rPr>
                <w:rFonts w:ascii="Cambria Math" w:hAnsi="Cambria Math"/>
              </w:rPr>
              <m:t>DSS</m:t>
            </m:r>
          </m:sub>
        </m:sSub>
      </m:oMath>
      <w:r w:rsidRPr="00A4615B">
        <w:t> before and after rest, four of six power-tested devices that began the additional testing period required greater gate voltages to attain the target drain current-an indication of permanent degradation.</w:t>
      </w:r>
    </w:p>
    <w:p w14:paraId="0A4E2AB8" w14:textId="62E93F1C" w:rsidR="00A4615B" w:rsidRPr="00A4615B" w:rsidRDefault="00A4615B" w:rsidP="00A4615B">
      <w:pPr>
        <w:pStyle w:val="NoSpacing"/>
        <w:rPr>
          <w:rStyle w:val="Hyperlink"/>
        </w:rPr>
      </w:pPr>
      <w:r w:rsidRPr="00A4615B">
        <w:fldChar w:fldCharType="begin"/>
      </w:r>
      <w:r w:rsidRPr="00A4615B">
        <w:instrText xml:space="preserve"> HYPERLINK "https://ieeexplore.ieee.org/mediastore_new/IEEE/content/media/5776767/5784429/5784556/5784556-fig-5-source-large.gif" </w:instrText>
      </w:r>
      <w:r w:rsidRPr="00A4615B">
        <w:fldChar w:fldCharType="separate"/>
      </w:r>
      <w:r w:rsidRPr="00A4615B">
        <w:rPr>
          <w:rStyle w:val="Hyperlink"/>
          <w:noProof/>
        </w:rPr>
        <w:drawing>
          <wp:inline distT="0" distB="0" distL="0" distR="0" wp14:anchorId="1EA9BBCE" wp14:editId="3046DB38">
            <wp:extent cx="2743200" cy="3319272"/>
            <wp:effectExtent l="0" t="0" r="0" b="0"/>
            <wp:docPr id="3" name="Picture 3" descr="Figure 5. Device 001 (high-voltage-tested) at a baseplate of 85°C. The upper middle spot was targeted for TEM imaging. (a) IR (radiance) image at 15X magnification. VDS=40 V,ID=10 mA,VGS=−2.42 V,IG=−5μA‘ (b) PE image at 20X magnification. VDS=100 V,ID=11 μA,VGS=−10V, IG=−12 μA.">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3319272"/>
                    </a:xfrm>
                    <a:prstGeom prst="rect">
                      <a:avLst/>
                    </a:prstGeom>
                    <a:noFill/>
                    <a:ln>
                      <a:noFill/>
                    </a:ln>
                  </pic:spPr>
                </pic:pic>
              </a:graphicData>
            </a:graphic>
          </wp:inline>
        </w:drawing>
      </w:r>
    </w:p>
    <w:p w14:paraId="158B02F2" w14:textId="7A384067" w:rsidR="00A4615B" w:rsidRPr="00A4615B" w:rsidRDefault="00A4615B" w:rsidP="00A4615B">
      <w:pPr>
        <w:pStyle w:val="NoSpacing"/>
      </w:pPr>
      <w:r w:rsidRPr="00A4615B">
        <w:fldChar w:fldCharType="end"/>
      </w:r>
      <w:r w:rsidRPr="00A4615B">
        <w:rPr>
          <w:b/>
          <w:bCs/>
        </w:rPr>
        <w:t>Figure 5. </w:t>
      </w:r>
      <w:r w:rsidRPr="00A4615B">
        <w:t>Device 001 (high-voltage-tested) at a baseplate of 85°C. The upper middle spot was targeted for TEM imaging. (a) IR (radiance) image at 15X magnification. </w:t>
      </w:r>
      <m:oMath>
        <m:sSub>
          <m:sSubPr>
            <m:ctrlPr>
              <w:rPr>
                <w:rFonts w:ascii="Cambria Math" w:hAnsi="Cambria Math"/>
              </w:rPr>
            </m:ctrlPr>
          </m:sSubPr>
          <m:e>
            <m:r>
              <w:rPr>
                <w:rFonts w:ascii="Cambria Math" w:hAnsi="Cambria Math"/>
              </w:rPr>
              <m:t>V</m:t>
            </m:r>
          </m:e>
          <m:sub>
            <m:r>
              <w:rPr>
                <w:rFonts w:ascii="Cambria Math" w:hAnsi="Cambria Math"/>
              </w:rPr>
              <m:t>DS</m:t>
            </m:r>
          </m:sub>
        </m:sSub>
        <m:r>
          <w:rPr>
            <w:rFonts w:ascii="Cambria Math" w:hAnsi="Cambria Math"/>
          </w:rPr>
          <m:t>=40</m:t>
        </m:r>
        <m:r>
          <m:rPr>
            <m:sty m:val="p"/>
          </m:rPr>
          <w:rPr>
            <w:rFonts w:ascii="Cambria Math" w:hAnsi="Cambria Math"/>
          </w:rPr>
          <m:t>V</m:t>
        </m:r>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D</m:t>
            </m:r>
          </m:sub>
        </m:sSub>
        <m:r>
          <w:rPr>
            <w:rFonts w:ascii="Cambria Math" w:hAnsi="Cambria Math"/>
          </w:rPr>
          <m:t>=10</m:t>
        </m:r>
        <m:r>
          <m:rPr>
            <m:sty m:val="p"/>
          </m:rPr>
          <w:rPr>
            <w:rFonts w:ascii="Cambria Math" w:hAnsi="Cambria Math"/>
          </w:rPr>
          <m:t>mA</m:t>
        </m:r>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GS</m:t>
            </m:r>
          </m:sub>
        </m:sSub>
        <m:r>
          <w:rPr>
            <w:rFonts w:ascii="Cambria Math" w:hAnsi="Cambria Math"/>
          </w:rPr>
          <m:t>=-2.42</m:t>
        </m:r>
        <m:r>
          <m:rPr>
            <m:sty m:val="p"/>
          </m:rPr>
          <w:rPr>
            <w:rFonts w:ascii="Cambria Math" w:hAnsi="Cambria Math"/>
          </w:rPr>
          <m:t>V</m:t>
        </m:r>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G</m:t>
            </m:r>
          </m:sub>
        </m:sSub>
        <m:r>
          <w:rPr>
            <w:rFonts w:ascii="Cambria Math" w:hAnsi="Cambria Math"/>
          </w:rPr>
          <m:t>=-5μ</m:t>
        </m:r>
        <m:r>
          <m:rPr>
            <m:sty m:val="p"/>
          </m:rPr>
          <w:rPr>
            <w:rFonts w:ascii="Cambria Math" w:hAnsi="Cambria Math"/>
          </w:rPr>
          <m:t>A</m:t>
        </m:r>
      </m:oMath>
      <w:r w:rsidR="00BF04F1" w:rsidRPr="00BF04F1">
        <w:t xml:space="preserve"> </w:t>
      </w:r>
      <w:r w:rsidRPr="00A4615B">
        <w:t>(b) PE image at 20X magnification. </w:t>
      </w:r>
      <m:oMath>
        <m:sSub>
          <m:sSubPr>
            <m:ctrlPr>
              <w:rPr>
                <w:rFonts w:ascii="Cambria Math" w:hAnsi="Cambria Math"/>
              </w:rPr>
            </m:ctrlPr>
          </m:sSubPr>
          <m:e>
            <m:r>
              <w:rPr>
                <w:rFonts w:ascii="Cambria Math" w:hAnsi="Cambria Math"/>
              </w:rPr>
              <m:t>V</m:t>
            </m:r>
          </m:e>
          <m:sub>
            <m:r>
              <w:rPr>
                <w:rFonts w:ascii="Cambria Math" w:hAnsi="Cambria Math"/>
              </w:rPr>
              <m:t>DS</m:t>
            </m:r>
          </m:sub>
        </m:sSub>
        <m:r>
          <w:rPr>
            <w:rFonts w:ascii="Cambria Math" w:hAnsi="Cambria Math"/>
          </w:rPr>
          <m:t>=100</m:t>
        </m:r>
        <m:r>
          <m:rPr>
            <m:sty m:val="p"/>
          </m:rPr>
          <w:rPr>
            <w:rFonts w:ascii="Cambria Math" w:hAnsi="Cambria Math"/>
          </w:rPr>
          <m:t>V</m:t>
        </m:r>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D</m:t>
            </m:r>
          </m:sub>
        </m:sSub>
        <m:r>
          <w:rPr>
            <w:rFonts w:ascii="Cambria Math" w:hAnsi="Cambria Math"/>
          </w:rPr>
          <m:t>=11μ</m:t>
        </m:r>
        <m:r>
          <m:rPr>
            <m:sty m:val="p"/>
          </m:rPr>
          <w:rPr>
            <w:rFonts w:ascii="Cambria Math" w:hAnsi="Cambria Math"/>
          </w:rPr>
          <m:t>A</m:t>
        </m:r>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GS</m:t>
            </m:r>
          </m:sub>
        </m:sSub>
        <m:r>
          <w:rPr>
            <w:rFonts w:ascii="Cambria Math" w:hAnsi="Cambria Math"/>
          </w:rPr>
          <m:t>=-10</m:t>
        </m:r>
      </m:oMath>
      <w:r w:rsidRPr="00A4615B">
        <w:t>.</w:t>
      </w:r>
    </w:p>
    <w:p w14:paraId="611359D7" w14:textId="77777777" w:rsidR="008C6217" w:rsidRDefault="008C6217" w:rsidP="00A4615B">
      <w:pPr>
        <w:pStyle w:val="NoSpacing"/>
      </w:pPr>
    </w:p>
    <w:p w14:paraId="4C69F5C1" w14:textId="05B7E128" w:rsidR="00A4615B" w:rsidRPr="00A4615B" w:rsidRDefault="00A4615B" w:rsidP="00A4615B">
      <w:pPr>
        <w:pStyle w:val="NoSpacing"/>
      </w:pPr>
      <w:r w:rsidRPr="00A4615B">
        <w:t xml:space="preserve">After stress testing, we investigated the four select devices by thermal and photoemission imaging in a Quantum Focus Instruments </w:t>
      </w:r>
      <w:proofErr w:type="spellStart"/>
      <w:r w:rsidRPr="00A4615B">
        <w:t>InfraScope</w:t>
      </w:r>
      <w:proofErr w:type="spellEnd"/>
      <w:r w:rsidRPr="00A4615B">
        <w:t xml:space="preserve">™. In three of the four devices, hot spots corresponded with bright spots. We delivered these four devices to </w:t>
      </w:r>
      <w:proofErr w:type="spellStart"/>
      <w:r w:rsidRPr="00A4615B">
        <w:t>NanoTEM</w:t>
      </w:r>
      <w:proofErr w:type="spellEnd"/>
      <w:r w:rsidRPr="00A4615B">
        <w:t xml:space="preserve"> for transmission electron microscope (TEM) imaging at the hot and bright spots. Although Device 001 is exceptional (with a negative </w:t>
      </w:r>
      <m:oMath>
        <m:sSub>
          <m:sSubPr>
            <m:ctrlPr>
              <w:rPr>
                <w:rFonts w:ascii="Cambria Math" w:hAnsi="Cambria Math"/>
              </w:rPr>
            </m:ctrlPr>
          </m:sSubPr>
          <m:e>
            <m:r>
              <w:rPr>
                <w:rFonts w:ascii="Cambria Math" w:hAnsi="Cambria Math"/>
              </w:rPr>
              <m:t>V</m:t>
            </m:r>
          </m:e>
          <m:sub>
            <m:r>
              <w:rPr>
                <w:rFonts w:ascii="Cambria Math" w:hAnsi="Cambria Math"/>
              </w:rPr>
              <m:t>T</m:t>
            </m:r>
          </m:sub>
        </m:sSub>
      </m:oMath>
      <w:r w:rsidRPr="00A4615B">
        <w:t> shift and increases in </w:t>
      </w:r>
      <m:oMath>
        <m:sSub>
          <m:sSubPr>
            <m:ctrlPr>
              <w:rPr>
                <w:rFonts w:ascii="Cambria Math" w:hAnsi="Cambria Math"/>
              </w:rPr>
            </m:ctrlPr>
          </m:sSubPr>
          <m:e>
            <m:r>
              <w:rPr>
                <w:rFonts w:ascii="Cambria Math" w:hAnsi="Cambria Math"/>
              </w:rPr>
              <m:t>I</m:t>
            </m:r>
          </m:e>
          <m:sub>
            <m:r>
              <w:rPr>
                <w:rFonts w:ascii="Cambria Math" w:hAnsi="Cambria Math"/>
              </w:rPr>
              <m:t>Dmax</m:t>
            </m:r>
          </m:sub>
        </m:sSub>
      </m:oMath>
      <w:r w:rsidRPr="00A4615B">
        <w:t> and </w:t>
      </w:r>
      <m:oMath>
        <m:sSub>
          <m:sSubPr>
            <m:ctrlPr>
              <w:rPr>
                <w:rFonts w:ascii="Cambria Math" w:hAnsi="Cambria Math"/>
              </w:rPr>
            </m:ctrlPr>
          </m:sSubPr>
          <m:e>
            <m:r>
              <w:rPr>
                <w:rFonts w:ascii="Cambria Math" w:hAnsi="Cambria Math"/>
              </w:rPr>
              <m:t>I</m:t>
            </m:r>
          </m:e>
          <m:sub>
            <m:r>
              <w:rPr>
                <w:rFonts w:ascii="Cambria Math" w:hAnsi="Cambria Math"/>
              </w:rPr>
              <m:t>DSS</m:t>
            </m:r>
          </m:sub>
        </m:sSub>
      </m:oMath>
      <w:r w:rsidRPr="00A4615B">
        <w:t>), its transfer and tran</w:t>
      </w:r>
      <w:proofErr w:type="spellStart"/>
      <w:r w:rsidRPr="00A4615B">
        <w:t>sconductance</w:t>
      </w:r>
      <w:proofErr w:type="spellEnd"/>
      <w:r w:rsidRPr="00A4615B">
        <w:t xml:space="preserve"> curves and its infrared (IR), photoemission (PE), and TEM images are shown since it had notable IR and PE images, whereas the other imaged high-voltage-tested device did not. Fig. 5contains IR (radiance) and PE images for the high-voltage-tested Device 001 whose transfer and transconductance curves are in Fig. 3. (An insufficient number of samples were imaged by IR and PE to determine whether the features of Fig. 5 correlate to the negative threshold voltage shift of Fig. 3.) The IR (radiance) and PE images in Fig. 6 are those of the power-tested Device 007 whose transfer and transconductance curves are in Fig. 4.</w:t>
      </w:r>
    </w:p>
    <w:p w14:paraId="56AC1DA3" w14:textId="77777777" w:rsidR="008C6217" w:rsidRDefault="008C6217" w:rsidP="00A4615B">
      <w:pPr>
        <w:pStyle w:val="NoSpacing"/>
      </w:pPr>
    </w:p>
    <w:p w14:paraId="1805C8E7" w14:textId="23F9DE24" w:rsidR="00A4615B" w:rsidRDefault="00A4615B" w:rsidP="00A4615B">
      <w:pPr>
        <w:pStyle w:val="NoSpacing"/>
      </w:pPr>
      <w:r w:rsidRPr="00A4615B">
        <w:t>The TEM images of Devices 001 and 007 are in Fig. 7. As in the TEM image of Device 001 (stressed at Condition 5), the other high-voltage-tested part that was imaged by TEM, Device 7632 (stressed at Condition 4), does not exhibit a crack or pit at the drain edge of the gate. This is contrary to the findings reported in [4]. However, </w:t>
      </w:r>
      <w:r w:rsidRPr="00A4615B">
        <w:rPr>
          <w:i/>
          <w:iCs/>
        </w:rPr>
        <w:t>i</w:t>
      </w:r>
      <w:r w:rsidRPr="00A4615B">
        <w:t xml:space="preserve">n the TEM images of the two high-power-tested devices, Devices 007 and 008 (not shown), that were both stressed at Condition 1, small pits have formed at the drain edge of the gate. Thus, current appears necessary to create the pits in the </w:t>
      </w:r>
      <w:proofErr w:type="spellStart"/>
      <w:r w:rsidRPr="00A4615B">
        <w:t>AlGaN</w:t>
      </w:r>
      <w:proofErr w:type="spellEnd"/>
      <w:r w:rsidRPr="00A4615B">
        <w:t xml:space="preserve"> layer.</w:t>
      </w:r>
    </w:p>
    <w:p w14:paraId="43CBE272" w14:textId="77777777" w:rsidR="008C6217" w:rsidRPr="00A4615B" w:rsidRDefault="008C6217" w:rsidP="00A4615B">
      <w:pPr>
        <w:pStyle w:val="NoSpacing"/>
      </w:pPr>
    </w:p>
    <w:p w14:paraId="30F90CF4" w14:textId="650FE052" w:rsidR="00A4615B" w:rsidRPr="00A4615B" w:rsidRDefault="00A4615B" w:rsidP="00A4615B">
      <w:pPr>
        <w:pStyle w:val="NoSpacing"/>
        <w:rPr>
          <w:rStyle w:val="Hyperlink"/>
        </w:rPr>
      </w:pPr>
      <w:r w:rsidRPr="00A4615B">
        <w:fldChar w:fldCharType="begin"/>
      </w:r>
      <w:r w:rsidRPr="00A4615B">
        <w:instrText xml:space="preserve"> HYPERLINK "https://ieeexplore.ieee.org/mediastore_new/IEEE/content/media/5776767/5784429/5784556/5784556-fig-6-source-large.gif" </w:instrText>
      </w:r>
      <w:r w:rsidRPr="00A4615B">
        <w:fldChar w:fldCharType="separate"/>
      </w:r>
      <w:r w:rsidRPr="00A4615B">
        <w:rPr>
          <w:rStyle w:val="Hyperlink"/>
          <w:noProof/>
        </w:rPr>
        <w:drawing>
          <wp:inline distT="0" distB="0" distL="0" distR="0" wp14:anchorId="70968E92" wp14:editId="6574A90C">
            <wp:extent cx="2743200" cy="3227832"/>
            <wp:effectExtent l="0" t="0" r="0" b="0"/>
            <wp:docPr id="2" name="Picture 2" descr="Figure 6. Device 007 (high-power-tested) at a baseplate of 85°C. The lower left spot was targeted for TEM imaging. (a) IR (radiance) image at 15X magnification. VDS=28 V,ID=10 mA,VGS=−1.69 V,IG=−3.3 μA, (b) PE image at 50X magnification. VDS=10 V,ID=3.2 mA,VGS=−1 V,IG in nA rang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6">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3227832"/>
                    </a:xfrm>
                    <a:prstGeom prst="rect">
                      <a:avLst/>
                    </a:prstGeom>
                    <a:noFill/>
                    <a:ln>
                      <a:noFill/>
                    </a:ln>
                  </pic:spPr>
                </pic:pic>
              </a:graphicData>
            </a:graphic>
          </wp:inline>
        </w:drawing>
      </w:r>
    </w:p>
    <w:p w14:paraId="1294E3A4" w14:textId="205CBEC2" w:rsidR="00A4615B" w:rsidRPr="00A4615B" w:rsidRDefault="00A4615B" w:rsidP="00A4615B">
      <w:pPr>
        <w:pStyle w:val="NoSpacing"/>
      </w:pPr>
      <w:r w:rsidRPr="00A4615B">
        <w:fldChar w:fldCharType="end"/>
      </w:r>
      <w:r w:rsidRPr="00A4615B">
        <w:rPr>
          <w:b/>
          <w:bCs/>
        </w:rPr>
        <w:t>Figure 6. </w:t>
      </w:r>
      <w:r w:rsidRPr="00A4615B">
        <w:t>Device 007 (high-power-tested) at a baseplate of 85°C. The lower left spot was targeted for TEM imaging. (a) IR (radiance) image at 15X magnification. </w:t>
      </w:r>
      <m:oMath>
        <m:sSub>
          <m:sSubPr>
            <m:ctrlPr>
              <w:rPr>
                <w:rFonts w:ascii="Cambria Math" w:hAnsi="Cambria Math"/>
              </w:rPr>
            </m:ctrlPr>
          </m:sSubPr>
          <m:e>
            <m:r>
              <w:rPr>
                <w:rFonts w:ascii="Cambria Math" w:hAnsi="Cambria Math"/>
              </w:rPr>
              <m:t>V</m:t>
            </m:r>
          </m:e>
          <m:sub>
            <m:r>
              <w:rPr>
                <w:rFonts w:ascii="Cambria Math" w:hAnsi="Cambria Math"/>
              </w:rPr>
              <m:t>DS</m:t>
            </m:r>
          </m:sub>
        </m:sSub>
        <m:r>
          <w:rPr>
            <w:rFonts w:ascii="Cambria Math" w:hAnsi="Cambria Math"/>
          </w:rPr>
          <m:t>=28</m:t>
        </m:r>
        <m:r>
          <m:rPr>
            <m:sty m:val="p"/>
          </m:rPr>
          <w:rPr>
            <w:rFonts w:ascii="Cambria Math" w:hAnsi="Cambria Math"/>
          </w:rPr>
          <m:t>V</m:t>
        </m:r>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D</m:t>
            </m:r>
          </m:sub>
        </m:sSub>
        <m:r>
          <w:rPr>
            <w:rFonts w:ascii="Cambria Math" w:hAnsi="Cambria Math"/>
          </w:rPr>
          <m:t>=10</m:t>
        </m:r>
        <m:r>
          <m:rPr>
            <m:sty m:val="p"/>
          </m:rPr>
          <w:rPr>
            <w:rFonts w:ascii="Cambria Math" w:hAnsi="Cambria Math"/>
          </w:rPr>
          <m:t>mA</m:t>
        </m:r>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GS</m:t>
            </m:r>
          </m:sub>
        </m:sSub>
        <m:r>
          <w:rPr>
            <w:rFonts w:ascii="Cambria Math" w:hAnsi="Cambria Math"/>
          </w:rPr>
          <m:t>=-1.69</m:t>
        </m:r>
        <m:r>
          <m:rPr>
            <m:sty m:val="p"/>
          </m:rPr>
          <w:rPr>
            <w:rFonts w:ascii="Cambria Math" w:hAnsi="Cambria Math"/>
          </w:rPr>
          <m:t>V</m:t>
        </m:r>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G</m:t>
            </m:r>
          </m:sub>
        </m:sSub>
        <m:r>
          <w:rPr>
            <w:rFonts w:ascii="Cambria Math" w:hAnsi="Cambria Math"/>
          </w:rPr>
          <m:t>=-3.3μ</m:t>
        </m:r>
        <m:r>
          <m:rPr>
            <m:sty m:val="p"/>
          </m:rPr>
          <w:rPr>
            <w:rFonts w:ascii="Cambria Math" w:hAnsi="Cambria Math"/>
          </w:rPr>
          <m:t>A</m:t>
        </m:r>
      </m:oMath>
      <w:r w:rsidRPr="00A4615B">
        <w:t>, (b) PE image at 50X magnification. </w:t>
      </w:r>
      <m:oMath>
        <m:sSub>
          <m:sSubPr>
            <m:ctrlPr>
              <w:rPr>
                <w:rFonts w:ascii="Cambria Math" w:hAnsi="Cambria Math"/>
              </w:rPr>
            </m:ctrlPr>
          </m:sSubPr>
          <m:e>
            <m:r>
              <w:rPr>
                <w:rFonts w:ascii="Cambria Math" w:hAnsi="Cambria Math"/>
              </w:rPr>
              <m:t>V</m:t>
            </m:r>
          </m:e>
          <m:sub>
            <m:r>
              <w:rPr>
                <w:rFonts w:ascii="Cambria Math" w:hAnsi="Cambria Math"/>
              </w:rPr>
              <m:t>DS</m:t>
            </m:r>
          </m:sub>
        </m:sSub>
        <m:r>
          <w:rPr>
            <w:rFonts w:ascii="Cambria Math" w:hAnsi="Cambria Math"/>
          </w:rPr>
          <m:t>=10</m:t>
        </m:r>
        <m:r>
          <m:rPr>
            <m:sty m:val="p"/>
          </m:rPr>
          <w:rPr>
            <w:rFonts w:ascii="Cambria Math" w:hAnsi="Cambria Math"/>
          </w:rPr>
          <m:t>V</m:t>
        </m:r>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D</m:t>
            </m:r>
          </m:sub>
        </m:sSub>
        <m:r>
          <w:rPr>
            <w:rFonts w:ascii="Cambria Math" w:hAnsi="Cambria Math"/>
          </w:rPr>
          <m:t>=3.2</m:t>
        </m:r>
        <m:r>
          <m:rPr>
            <m:sty m:val="p"/>
          </m:rPr>
          <w:rPr>
            <w:rFonts w:ascii="Cambria Math" w:hAnsi="Cambria Math"/>
          </w:rPr>
          <m:t>mA</m:t>
        </m:r>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GS</m:t>
            </m:r>
          </m:sub>
        </m:sSub>
        <m:r>
          <w:rPr>
            <w:rFonts w:ascii="Cambria Math" w:hAnsi="Cambria Math"/>
          </w:rPr>
          <m:t>=-1</m:t>
        </m:r>
        <m:r>
          <m:rPr>
            <m:sty m:val="p"/>
          </m:rPr>
          <w:rPr>
            <w:rFonts w:ascii="Cambria Math" w:hAnsi="Cambria Math"/>
          </w:rPr>
          <m:t>V</m:t>
        </m:r>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G</m:t>
            </m:r>
          </m:sub>
        </m:sSub>
      </m:oMath>
      <w:r w:rsidRPr="00A4615B">
        <w:t> in nA range.</w:t>
      </w:r>
    </w:p>
    <w:p w14:paraId="40C92F39" w14:textId="77777777" w:rsidR="008C6217" w:rsidRDefault="008C6217" w:rsidP="00A4615B">
      <w:pPr>
        <w:pStyle w:val="NoSpacing"/>
      </w:pPr>
    </w:p>
    <w:p w14:paraId="610B2076" w14:textId="49258E19" w:rsidR="00A4615B" w:rsidRPr="00A4615B" w:rsidRDefault="00A4615B" w:rsidP="00A4615B">
      <w:pPr>
        <w:pStyle w:val="NoSpacing"/>
        <w:rPr>
          <w:rStyle w:val="Hyperlink"/>
        </w:rPr>
      </w:pPr>
      <w:r w:rsidRPr="00A4615B">
        <w:fldChar w:fldCharType="begin"/>
      </w:r>
      <w:r w:rsidRPr="00A4615B">
        <w:instrText xml:space="preserve"> HYPERLINK "https://ieeexplore.ieee.org/mediastore_new/IEEE/content/media/5776767/5784429/5784556/5784556-fig-7-source-large.gif" </w:instrText>
      </w:r>
      <w:r w:rsidRPr="00A4615B">
        <w:fldChar w:fldCharType="separate"/>
      </w:r>
      <w:r w:rsidRPr="00A4615B">
        <w:rPr>
          <w:rStyle w:val="Hyperlink"/>
          <w:noProof/>
        </w:rPr>
        <w:drawing>
          <wp:inline distT="0" distB="0" distL="0" distR="0" wp14:anchorId="5AE874D8" wp14:editId="5961183A">
            <wp:extent cx="2743200" cy="2834640"/>
            <wp:effectExtent l="0" t="0" r="0" b="3810"/>
            <wp:docPr id="1" name="Picture 1" descr="Figure 7. TEM images of (a) Device 001 (high-voltage-tested) and (b) Device 007 (high-power-tested). Notice absence of a pit or crack in Device 001 and the presence of a pit in Device 007.">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7">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2834640"/>
                    </a:xfrm>
                    <a:prstGeom prst="rect">
                      <a:avLst/>
                    </a:prstGeom>
                    <a:noFill/>
                    <a:ln>
                      <a:noFill/>
                    </a:ln>
                  </pic:spPr>
                </pic:pic>
              </a:graphicData>
            </a:graphic>
          </wp:inline>
        </w:drawing>
      </w:r>
    </w:p>
    <w:p w14:paraId="48665B6C" w14:textId="2B192138" w:rsidR="00A4615B" w:rsidRPr="00A4615B" w:rsidRDefault="00A4615B" w:rsidP="00A4615B">
      <w:pPr>
        <w:pStyle w:val="NoSpacing"/>
      </w:pPr>
      <w:r w:rsidRPr="00A4615B">
        <w:fldChar w:fldCharType="end"/>
      </w:r>
      <w:r w:rsidRPr="00A4615B">
        <w:rPr>
          <w:b/>
          <w:bCs/>
        </w:rPr>
        <w:t>Figure 7. </w:t>
      </w:r>
      <w:r w:rsidRPr="00A4615B">
        <w:t>TEM images of (a) Device 001 (high-voltage-tested) and (b) Device 007 (high-power-tested). Notice absence of a pit or crack in Device 001 and the presence of a pit in Device 007.</w:t>
      </w:r>
    </w:p>
    <w:p w14:paraId="3E65035F" w14:textId="5B8972B6" w:rsidR="00A4615B" w:rsidRPr="00A4615B" w:rsidRDefault="00A4615B" w:rsidP="008C6217">
      <w:pPr>
        <w:pStyle w:val="Heading1"/>
      </w:pPr>
      <w:r w:rsidRPr="00A4615B">
        <w:t>SECTION IV.</w:t>
      </w:r>
      <w:r w:rsidR="008C6217">
        <w:t xml:space="preserve"> </w:t>
      </w:r>
      <w:r w:rsidRPr="00A4615B">
        <w:t>Conclusion</w:t>
      </w:r>
    </w:p>
    <w:p w14:paraId="443F2F4D" w14:textId="77777777" w:rsidR="00A4615B" w:rsidRPr="00A4615B" w:rsidRDefault="00A4615B" w:rsidP="00A4615B">
      <w:pPr>
        <w:pStyle w:val="NoSpacing"/>
      </w:pPr>
      <w:r w:rsidRPr="00A4615B">
        <w:t xml:space="preserve">We have studied the degradation of </w:t>
      </w:r>
      <w:proofErr w:type="spellStart"/>
      <w:r w:rsidRPr="00A4615B">
        <w:t>AIGaN</w:t>
      </w:r>
      <w:proofErr w:type="spellEnd"/>
      <w:r w:rsidRPr="00A4615B">
        <w:t>/</w:t>
      </w:r>
      <w:proofErr w:type="spellStart"/>
      <w:r w:rsidRPr="00A4615B">
        <w:t>GaN</w:t>
      </w:r>
      <w:proofErr w:type="spellEnd"/>
      <w:r w:rsidRPr="00A4615B">
        <w:t xml:space="preserve"> HEMTs subjected to the conditions of high dc power and high voltage with the gate pinched off. More degradation was generally observed due to the high-power conditions than to the </w:t>
      </w:r>
      <w:proofErr w:type="spellStart"/>
      <w:r w:rsidRPr="00A4615B">
        <w:t>highvoltage</w:t>
      </w:r>
      <w:proofErr w:type="spellEnd"/>
      <w:r w:rsidRPr="00A4615B">
        <w:t xml:space="preserve"> conditions. The degradation seen appears to be unrecoverable with rest. Severe drain current degradation due to high drain biases was not observed as has been reported elsewhere. Pits in the </w:t>
      </w:r>
      <w:proofErr w:type="spellStart"/>
      <w:r w:rsidRPr="00A4615B">
        <w:t>AIGaN</w:t>
      </w:r>
      <w:proofErr w:type="spellEnd"/>
      <w:r w:rsidRPr="00A4615B">
        <w:t xml:space="preserve"> layer on the drain side of the gate were observed in the high-power-tested devices. However, pits or cracks were not seen in the high-voltage-tested devices, which is contrary to published reports. Thus, electric field alone does not appear to cause significant degradation, and current in conjunction with high electric fields seems to be required for pit or crack formation. Possible reasons for the differences between our and others' observations include material quality, fabrication processes, device structure, and bias conditions. The </w:t>
      </w:r>
      <w:proofErr w:type="spellStart"/>
      <w:r w:rsidRPr="00A4615B">
        <w:t>AIGaN</w:t>
      </w:r>
      <w:proofErr w:type="spellEnd"/>
      <w:r w:rsidRPr="00A4615B">
        <w:t>/</w:t>
      </w:r>
      <w:proofErr w:type="spellStart"/>
      <w:r w:rsidRPr="00A4615B">
        <w:t>GaN</w:t>
      </w:r>
      <w:proofErr w:type="spellEnd"/>
      <w:r w:rsidRPr="00A4615B">
        <w:t xml:space="preserve"> HEMT structure studied herein is robust to high drain biases.</w:t>
      </w:r>
    </w:p>
    <w:p w14:paraId="47066401" w14:textId="77777777" w:rsidR="00A4615B" w:rsidRPr="00A4615B" w:rsidRDefault="00A4615B" w:rsidP="008C6217">
      <w:pPr>
        <w:pStyle w:val="Heading1"/>
      </w:pPr>
      <w:r w:rsidRPr="00A4615B">
        <w:t>ACKNOWLEDGMENT</w:t>
      </w:r>
    </w:p>
    <w:p w14:paraId="5B375BB2" w14:textId="77777777" w:rsidR="00A4615B" w:rsidRPr="00A4615B" w:rsidRDefault="00A4615B" w:rsidP="00A4615B">
      <w:pPr>
        <w:pStyle w:val="NoSpacing"/>
      </w:pPr>
      <w:r w:rsidRPr="00A4615B">
        <w:t xml:space="preserve">B.D.C. thanks the Air Force Research Laboratory High Reliability Electronics Virtual Center team for fruitful discussions, Steve </w:t>
      </w:r>
      <w:proofErr w:type="spellStart"/>
      <w:r w:rsidRPr="00A4615B">
        <w:t>Tetlak</w:t>
      </w:r>
      <w:proofErr w:type="spellEnd"/>
      <w:r w:rsidRPr="00A4615B">
        <w:t xml:space="preserve"> for TEM sample preparation, and Fred </w:t>
      </w:r>
      <w:proofErr w:type="spellStart"/>
      <w:r w:rsidRPr="00A4615B">
        <w:t>Shaapur</w:t>
      </w:r>
      <w:proofErr w:type="spellEnd"/>
      <w:r w:rsidRPr="00A4615B">
        <w:t xml:space="preserve"> for TEM imaging.</w:t>
      </w:r>
    </w:p>
    <w:bookmarkEnd w:id="2"/>
    <w:p w14:paraId="717C7B2A" w14:textId="6C0E3447" w:rsidR="00E31576" w:rsidRDefault="00E31576" w:rsidP="00E31576">
      <w:pPr>
        <w:pStyle w:val="Heading1"/>
      </w:pPr>
      <w:r>
        <w:t>References</w:t>
      </w:r>
    </w:p>
    <w:p w14:paraId="7101A372" w14:textId="4AD05B1D" w:rsidR="00E31576" w:rsidRDefault="00E31576" w:rsidP="005F10A3">
      <w:pPr>
        <w:pStyle w:val="NoSpacing"/>
        <w:ind w:left="720" w:hanging="720"/>
      </w:pPr>
      <w:r>
        <w:rPr>
          <w:rStyle w:val="number"/>
          <w:rFonts w:ascii="Arial" w:hAnsi="Arial" w:cs="Arial"/>
          <w:b/>
          <w:bCs/>
          <w:color w:val="333333"/>
          <w:sz w:val="23"/>
          <w:szCs w:val="23"/>
        </w:rPr>
        <w:t>1.</w:t>
      </w:r>
      <w:r>
        <w:t xml:space="preserve"> K. V. Smith, S. Brierley, R. McAnulty, C. </w:t>
      </w:r>
      <w:proofErr w:type="spellStart"/>
      <w:r>
        <w:t>Tilas</w:t>
      </w:r>
      <w:proofErr w:type="spellEnd"/>
      <w:r>
        <w:t xml:space="preserve">, D. </w:t>
      </w:r>
      <w:proofErr w:type="spellStart"/>
      <w:r>
        <w:t>Zarkh</w:t>
      </w:r>
      <w:proofErr w:type="spellEnd"/>
      <w:r>
        <w:t xml:space="preserve">, M. </w:t>
      </w:r>
      <w:proofErr w:type="spellStart"/>
      <w:r>
        <w:t>Benedek</w:t>
      </w:r>
      <w:proofErr w:type="spellEnd"/>
      <w:r>
        <w:t xml:space="preserve">, P. </w:t>
      </w:r>
      <w:proofErr w:type="spellStart"/>
      <w:r>
        <w:t>Phalon</w:t>
      </w:r>
      <w:proofErr w:type="spellEnd"/>
      <w:r>
        <w:t xml:space="preserve">, A. </w:t>
      </w:r>
      <w:proofErr w:type="spellStart"/>
      <w:r>
        <w:t>Hooven</w:t>
      </w:r>
      <w:proofErr w:type="spellEnd"/>
      <w:r>
        <w:t>, "</w:t>
      </w:r>
      <w:proofErr w:type="spellStart"/>
      <w:r>
        <w:t>GaN</w:t>
      </w:r>
      <w:proofErr w:type="spellEnd"/>
      <w:r>
        <w:t xml:space="preserve"> HEMT reliability through the decade", </w:t>
      </w:r>
      <w:r>
        <w:rPr>
          <w:rStyle w:val="Emphasis"/>
          <w:rFonts w:ascii="Arial" w:hAnsi="Arial" w:cs="Arial"/>
          <w:color w:val="333333"/>
          <w:sz w:val="23"/>
          <w:szCs w:val="23"/>
        </w:rPr>
        <w:t>ECS Trans.</w:t>
      </w:r>
      <w:r>
        <w:t>, vol. 19, no. 3, pp. 113-121, May 2009.</w:t>
      </w:r>
    </w:p>
    <w:p w14:paraId="66E83F21" w14:textId="77777777" w:rsidR="00E31576" w:rsidRDefault="00E31576" w:rsidP="005F10A3">
      <w:pPr>
        <w:pStyle w:val="NoSpacing"/>
        <w:ind w:left="720" w:hanging="720"/>
      </w:pPr>
      <w:r>
        <w:rPr>
          <w:rStyle w:val="number"/>
          <w:rFonts w:ascii="Arial" w:hAnsi="Arial" w:cs="Arial"/>
          <w:b/>
          <w:bCs/>
          <w:color w:val="333333"/>
          <w:sz w:val="23"/>
          <w:szCs w:val="23"/>
        </w:rPr>
        <w:t>2.</w:t>
      </w:r>
      <w:r>
        <w:t> J.A. del Alamo, J. Joh, "</w:t>
      </w:r>
      <w:proofErr w:type="spellStart"/>
      <w:r>
        <w:t>GaN</w:t>
      </w:r>
      <w:proofErr w:type="spellEnd"/>
      <w:r>
        <w:t xml:space="preserve"> HEMT reliability", </w:t>
      </w:r>
      <w:r>
        <w:rPr>
          <w:rStyle w:val="Emphasis"/>
          <w:rFonts w:ascii="Arial" w:hAnsi="Arial" w:cs="Arial"/>
          <w:color w:val="333333"/>
          <w:sz w:val="23"/>
          <w:szCs w:val="23"/>
        </w:rPr>
        <w:t xml:space="preserve">Microelectron. </w:t>
      </w:r>
      <w:proofErr w:type="spellStart"/>
      <w:r>
        <w:rPr>
          <w:rStyle w:val="Emphasis"/>
          <w:rFonts w:ascii="Arial" w:hAnsi="Arial" w:cs="Arial"/>
          <w:color w:val="333333"/>
          <w:sz w:val="23"/>
          <w:szCs w:val="23"/>
        </w:rPr>
        <w:t>Reliab</w:t>
      </w:r>
      <w:proofErr w:type="spellEnd"/>
      <w:r>
        <w:rPr>
          <w:rStyle w:val="Emphasis"/>
          <w:rFonts w:ascii="Arial" w:hAnsi="Arial" w:cs="Arial"/>
          <w:color w:val="333333"/>
          <w:sz w:val="23"/>
          <w:szCs w:val="23"/>
        </w:rPr>
        <w:t>.</w:t>
      </w:r>
      <w:r>
        <w:t>, vol. 49, no. 9–11, pp. 1200-1206, Sep.-Nov. 2009.</w:t>
      </w:r>
    </w:p>
    <w:p w14:paraId="592BC67B" w14:textId="77777777" w:rsidR="00E31576" w:rsidRDefault="00E31576" w:rsidP="005F10A3">
      <w:pPr>
        <w:pStyle w:val="NoSpacing"/>
        <w:ind w:left="720" w:hanging="720"/>
      </w:pPr>
      <w:r>
        <w:rPr>
          <w:rStyle w:val="number"/>
          <w:rFonts w:ascii="Arial" w:hAnsi="Arial" w:cs="Arial"/>
          <w:b/>
          <w:bCs/>
          <w:color w:val="333333"/>
          <w:sz w:val="23"/>
          <w:szCs w:val="23"/>
        </w:rPr>
        <w:t>3.</w:t>
      </w:r>
      <w:r>
        <w:t xml:space="preserve"> J. Joh, J. A. del Alamo, "Critical Voltage for Electrical Degradation of </w:t>
      </w:r>
      <w:proofErr w:type="spellStart"/>
      <w:r>
        <w:t>GaN</w:t>
      </w:r>
      <w:proofErr w:type="spellEnd"/>
      <w:r>
        <w:t xml:space="preserve"> High-Electron Mobility Transistors", </w:t>
      </w:r>
      <w:r>
        <w:rPr>
          <w:rStyle w:val="Emphasis"/>
          <w:rFonts w:ascii="Arial" w:hAnsi="Arial" w:cs="Arial"/>
          <w:color w:val="333333"/>
          <w:sz w:val="23"/>
          <w:szCs w:val="23"/>
        </w:rPr>
        <w:t>IEEE Electron Device Lett.</w:t>
      </w:r>
      <w:r>
        <w:t>, vol. 29, no. 4, pp. 287-289, Apr. 2008.</w:t>
      </w:r>
    </w:p>
    <w:p w14:paraId="27C90F37" w14:textId="77777777" w:rsidR="00E31576" w:rsidRDefault="00E31576" w:rsidP="005F10A3">
      <w:pPr>
        <w:pStyle w:val="NoSpacing"/>
        <w:ind w:left="720" w:hanging="720"/>
      </w:pPr>
      <w:r>
        <w:rPr>
          <w:rStyle w:val="number"/>
          <w:rFonts w:ascii="Arial" w:hAnsi="Arial" w:cs="Arial"/>
          <w:b/>
          <w:bCs/>
          <w:color w:val="333333"/>
          <w:sz w:val="23"/>
          <w:szCs w:val="23"/>
        </w:rPr>
        <w:t>4.</w:t>
      </w:r>
      <w:r>
        <w:t xml:space="preserve"> P. </w:t>
      </w:r>
      <w:proofErr w:type="spellStart"/>
      <w:r>
        <w:t>Makaram</w:t>
      </w:r>
      <w:proofErr w:type="spellEnd"/>
      <w:r>
        <w:t xml:space="preserve">, J. Joh, J. A. del Alamo, T. Palacios, C. V. Thompson, "Evolution of structural defects associated with electrical degradation in </w:t>
      </w:r>
      <w:proofErr w:type="spellStart"/>
      <w:r>
        <w:t>AIGaN</w:t>
      </w:r>
      <w:proofErr w:type="spellEnd"/>
      <w:r>
        <w:t>/</w:t>
      </w:r>
      <w:proofErr w:type="spellStart"/>
      <w:r>
        <w:t>GaN</w:t>
      </w:r>
      <w:proofErr w:type="spellEnd"/>
      <w:r>
        <w:t xml:space="preserve"> high electron mobility transistors", </w:t>
      </w:r>
      <w:r>
        <w:rPr>
          <w:rStyle w:val="Emphasis"/>
          <w:rFonts w:ascii="Arial" w:hAnsi="Arial" w:cs="Arial"/>
          <w:color w:val="333333"/>
          <w:sz w:val="23"/>
          <w:szCs w:val="23"/>
        </w:rPr>
        <w:t>Appl. Phys. Lett.</w:t>
      </w:r>
      <w:r>
        <w:t>, vol. 96, no. 23, pp. 233509, 2010.</w:t>
      </w:r>
    </w:p>
    <w:p w14:paraId="71466AEC" w14:textId="77777777" w:rsidR="00E31576" w:rsidRDefault="00E31576" w:rsidP="005F10A3">
      <w:pPr>
        <w:pStyle w:val="NoSpacing"/>
        <w:ind w:left="720" w:hanging="720"/>
      </w:pPr>
      <w:r>
        <w:rPr>
          <w:rStyle w:val="number"/>
          <w:rFonts w:ascii="Arial" w:hAnsi="Arial" w:cs="Arial"/>
          <w:b/>
          <w:bCs/>
          <w:color w:val="333333"/>
          <w:sz w:val="23"/>
          <w:szCs w:val="23"/>
        </w:rPr>
        <w:t>5.</w:t>
      </w:r>
      <w:r>
        <w:t xml:space="preserve"> G. </w:t>
      </w:r>
      <w:proofErr w:type="spellStart"/>
      <w:r>
        <w:t>Meneghesso</w:t>
      </w:r>
      <w:proofErr w:type="spellEnd"/>
      <w:r>
        <w:t xml:space="preserve">, G. </w:t>
      </w:r>
      <w:proofErr w:type="spellStart"/>
      <w:r>
        <w:t>Verzellesi</w:t>
      </w:r>
      <w:proofErr w:type="spellEnd"/>
      <w:r>
        <w:t xml:space="preserve">, F. </w:t>
      </w:r>
      <w:proofErr w:type="spellStart"/>
      <w:r>
        <w:t>Danesin</w:t>
      </w:r>
      <w:proofErr w:type="spellEnd"/>
      <w:r>
        <w:t xml:space="preserve">, F. </w:t>
      </w:r>
      <w:proofErr w:type="spellStart"/>
      <w:r>
        <w:t>Rampazzo</w:t>
      </w:r>
      <w:proofErr w:type="spellEnd"/>
      <w:r>
        <w:t xml:space="preserve">, F. </w:t>
      </w:r>
      <w:proofErr w:type="spellStart"/>
      <w:r>
        <w:t>Zanon</w:t>
      </w:r>
      <w:proofErr w:type="spellEnd"/>
      <w:r>
        <w:t xml:space="preserve">, A. </w:t>
      </w:r>
      <w:proofErr w:type="spellStart"/>
      <w:r>
        <w:t>Tazzoli</w:t>
      </w:r>
      <w:proofErr w:type="spellEnd"/>
      <w:r>
        <w:t xml:space="preserve">, M. </w:t>
      </w:r>
      <w:proofErr w:type="spellStart"/>
      <w:r>
        <w:t>Meneghini</w:t>
      </w:r>
      <w:proofErr w:type="spellEnd"/>
      <w:r>
        <w:t xml:space="preserve">, E. Zanoni, "Reliability of </w:t>
      </w:r>
      <w:proofErr w:type="spellStart"/>
      <w:r>
        <w:t>GaN</w:t>
      </w:r>
      <w:proofErr w:type="spellEnd"/>
      <w:r>
        <w:t xml:space="preserve"> high-electron-mobility transistors: state of the art and perspectives", </w:t>
      </w:r>
      <w:r>
        <w:rPr>
          <w:rStyle w:val="Emphasis"/>
          <w:rFonts w:ascii="Arial" w:hAnsi="Arial" w:cs="Arial"/>
          <w:color w:val="333333"/>
          <w:sz w:val="23"/>
          <w:szCs w:val="23"/>
        </w:rPr>
        <w:t xml:space="preserve">IEEE Trans. Dev. Mat. </w:t>
      </w:r>
      <w:proofErr w:type="spellStart"/>
      <w:r>
        <w:rPr>
          <w:rStyle w:val="Emphasis"/>
          <w:rFonts w:ascii="Arial" w:hAnsi="Arial" w:cs="Arial"/>
          <w:color w:val="333333"/>
          <w:sz w:val="23"/>
          <w:szCs w:val="23"/>
        </w:rPr>
        <w:t>ReI</w:t>
      </w:r>
      <w:proofErr w:type="spellEnd"/>
      <w:r>
        <w:rPr>
          <w:rStyle w:val="Emphasis"/>
          <w:rFonts w:ascii="Arial" w:hAnsi="Arial" w:cs="Arial"/>
          <w:color w:val="333333"/>
          <w:sz w:val="23"/>
          <w:szCs w:val="23"/>
        </w:rPr>
        <w:t>.</w:t>
      </w:r>
      <w:r>
        <w:t>, vol. 8, no. 2, June 2008.</w:t>
      </w:r>
    </w:p>
    <w:p w14:paraId="2CD98366" w14:textId="77777777" w:rsidR="00E31576" w:rsidRDefault="00E31576" w:rsidP="005F10A3">
      <w:pPr>
        <w:pStyle w:val="NoSpacing"/>
        <w:ind w:left="720" w:hanging="720"/>
      </w:pPr>
      <w:r>
        <w:rPr>
          <w:rStyle w:val="number"/>
          <w:rFonts w:ascii="Arial" w:hAnsi="Arial" w:cs="Arial"/>
          <w:b/>
          <w:bCs/>
          <w:color w:val="333333"/>
          <w:sz w:val="23"/>
          <w:szCs w:val="23"/>
        </w:rPr>
        <w:t>6.</w:t>
      </w:r>
      <w:r>
        <w:t xml:space="preserve"> R. J. </w:t>
      </w:r>
      <w:proofErr w:type="spellStart"/>
      <w:r>
        <w:t>Trew</w:t>
      </w:r>
      <w:proofErr w:type="spellEnd"/>
      <w:r>
        <w:t>, D. S. Green, J. B. Shealy, "</w:t>
      </w:r>
      <w:proofErr w:type="spellStart"/>
      <w:r>
        <w:t>AIGaN</w:t>
      </w:r>
      <w:proofErr w:type="spellEnd"/>
      <w:r>
        <w:t>/</w:t>
      </w:r>
      <w:proofErr w:type="spellStart"/>
      <w:r>
        <w:t>GaN</w:t>
      </w:r>
      <w:proofErr w:type="spellEnd"/>
      <w:r>
        <w:t xml:space="preserve"> HFET reliability", </w:t>
      </w:r>
      <w:r>
        <w:rPr>
          <w:rStyle w:val="Emphasis"/>
          <w:rFonts w:ascii="Arial" w:hAnsi="Arial" w:cs="Arial"/>
          <w:color w:val="333333"/>
          <w:sz w:val="23"/>
          <w:szCs w:val="23"/>
        </w:rPr>
        <w:t>IEEE Microwave</w:t>
      </w:r>
      <w:r>
        <w:t>, vol. 10, no. 4, pp. 116-127, June 2009.</w:t>
      </w:r>
    </w:p>
    <w:p w14:paraId="2B683290" w14:textId="77777777" w:rsidR="00E31576" w:rsidRDefault="00E31576" w:rsidP="005F10A3">
      <w:pPr>
        <w:pStyle w:val="NoSpacing"/>
        <w:ind w:left="720" w:hanging="720"/>
      </w:pPr>
      <w:r>
        <w:rPr>
          <w:rStyle w:val="number"/>
          <w:rFonts w:ascii="Arial" w:hAnsi="Arial" w:cs="Arial"/>
          <w:b/>
          <w:bCs/>
          <w:color w:val="333333"/>
          <w:sz w:val="23"/>
          <w:szCs w:val="23"/>
        </w:rPr>
        <w:t>7.</w:t>
      </w:r>
      <w:r>
        <w:t xml:space="preserve"> S. Lee, R. </w:t>
      </w:r>
      <w:proofErr w:type="spellStart"/>
      <w:r>
        <w:t>Vetury</w:t>
      </w:r>
      <w:proofErr w:type="spellEnd"/>
      <w:r>
        <w:t xml:space="preserve">, J. D. Brown, S. R. Gibb, W. Z. Cai, D. S. Green, J. Shealy, "Reliability assessment of </w:t>
      </w:r>
      <w:proofErr w:type="spellStart"/>
      <w:r>
        <w:t>AIGaN</w:t>
      </w:r>
      <w:proofErr w:type="spellEnd"/>
      <w:r>
        <w:t>/</w:t>
      </w:r>
      <w:proofErr w:type="spellStart"/>
      <w:r>
        <w:t>GaN</w:t>
      </w:r>
      <w:proofErr w:type="spellEnd"/>
      <w:r>
        <w:t xml:space="preserve"> HEMT technology on </w:t>
      </w:r>
      <w:proofErr w:type="spellStart"/>
      <w:r>
        <w:t>SiC</w:t>
      </w:r>
      <w:proofErr w:type="spellEnd"/>
      <w:r>
        <w:t xml:space="preserve"> for 48V applications", </w:t>
      </w:r>
      <w:r>
        <w:rPr>
          <w:rStyle w:val="Emphasis"/>
          <w:rFonts w:ascii="Arial" w:hAnsi="Arial" w:cs="Arial"/>
          <w:color w:val="333333"/>
          <w:sz w:val="23"/>
          <w:szCs w:val="23"/>
        </w:rPr>
        <w:t xml:space="preserve">2008 IEEE Int. </w:t>
      </w:r>
      <w:proofErr w:type="spellStart"/>
      <w:r>
        <w:rPr>
          <w:rStyle w:val="Emphasis"/>
          <w:rFonts w:ascii="Arial" w:hAnsi="Arial" w:cs="Arial"/>
          <w:color w:val="333333"/>
          <w:sz w:val="23"/>
          <w:szCs w:val="23"/>
        </w:rPr>
        <w:t>ReI</w:t>
      </w:r>
      <w:proofErr w:type="spellEnd"/>
      <w:r>
        <w:rPr>
          <w:rStyle w:val="Emphasis"/>
          <w:rFonts w:ascii="Arial" w:hAnsi="Arial" w:cs="Arial"/>
          <w:color w:val="333333"/>
          <w:sz w:val="23"/>
          <w:szCs w:val="23"/>
        </w:rPr>
        <w:t xml:space="preserve">. Phys. </w:t>
      </w:r>
      <w:proofErr w:type="spellStart"/>
      <w:r>
        <w:rPr>
          <w:rStyle w:val="Emphasis"/>
          <w:rFonts w:ascii="Arial" w:hAnsi="Arial" w:cs="Arial"/>
          <w:color w:val="333333"/>
          <w:sz w:val="23"/>
          <w:szCs w:val="23"/>
        </w:rPr>
        <w:t>Symp</w:t>
      </w:r>
      <w:proofErr w:type="spellEnd"/>
      <w:r>
        <w:rPr>
          <w:rStyle w:val="Emphasis"/>
          <w:rFonts w:ascii="Arial" w:hAnsi="Arial" w:cs="Arial"/>
          <w:color w:val="333333"/>
          <w:sz w:val="23"/>
          <w:szCs w:val="23"/>
        </w:rPr>
        <w:t>. Phoenix AZ</w:t>
      </w:r>
      <w:r>
        <w:t>, pp. 446-449.</w:t>
      </w:r>
    </w:p>
    <w:p w14:paraId="603D9D62" w14:textId="77777777" w:rsidR="00E31576" w:rsidRDefault="00E31576" w:rsidP="005F10A3">
      <w:pPr>
        <w:pStyle w:val="NoSpacing"/>
        <w:ind w:left="720" w:hanging="720"/>
      </w:pPr>
      <w:r>
        <w:rPr>
          <w:rStyle w:val="number"/>
          <w:rFonts w:ascii="Arial" w:hAnsi="Arial" w:cs="Arial"/>
          <w:b/>
          <w:bCs/>
          <w:color w:val="333333"/>
          <w:sz w:val="23"/>
          <w:szCs w:val="23"/>
        </w:rPr>
        <w:t>8.</w:t>
      </w:r>
      <w:r>
        <w:t xml:space="preserve"> J. D. Brown, D. S. Green, S. R. Gibb, J. B. Shealy, J. McKenna, M. Poulton, S. Lee, K. </w:t>
      </w:r>
      <w:proofErr w:type="spellStart"/>
      <w:r>
        <w:t>Gratzer</w:t>
      </w:r>
      <w:proofErr w:type="spellEnd"/>
      <w:r>
        <w:t xml:space="preserve">, B. </w:t>
      </w:r>
      <w:proofErr w:type="spellStart"/>
      <w:r>
        <w:t>Hosse</w:t>
      </w:r>
      <w:proofErr w:type="spellEnd"/>
      <w:r>
        <w:t xml:space="preserve">, T. Mercier, Y. Yang, M. G. Young, R. </w:t>
      </w:r>
      <w:proofErr w:type="spellStart"/>
      <w:r>
        <w:t>Vetury</w:t>
      </w:r>
      <w:proofErr w:type="spellEnd"/>
      <w:r>
        <w:t xml:space="preserve">, "Performance Reliability and Manufacturability of </w:t>
      </w:r>
      <w:proofErr w:type="spellStart"/>
      <w:r>
        <w:t>AIGaN</w:t>
      </w:r>
      <w:proofErr w:type="spellEnd"/>
      <w:r>
        <w:t>/</w:t>
      </w:r>
      <w:proofErr w:type="spellStart"/>
      <w:r>
        <w:t>GaN</w:t>
      </w:r>
      <w:proofErr w:type="spellEnd"/>
      <w:r>
        <w:t xml:space="preserve"> High Electron Mobility Transistors on Silicon Carbide Substrates", </w:t>
      </w:r>
      <w:r>
        <w:rPr>
          <w:rStyle w:val="Emphasis"/>
          <w:rFonts w:ascii="Arial" w:hAnsi="Arial" w:cs="Arial"/>
          <w:color w:val="333333"/>
          <w:sz w:val="23"/>
          <w:szCs w:val="23"/>
        </w:rPr>
        <w:t>ECS Trans.</w:t>
      </w:r>
      <w:r>
        <w:t>, vol. 3, no. 5, 2006.</w:t>
      </w:r>
    </w:p>
    <w:p w14:paraId="3FBCF12C" w14:textId="77777777" w:rsidR="00E31576" w:rsidRDefault="00E31576" w:rsidP="005F10A3">
      <w:pPr>
        <w:pStyle w:val="NoSpacing"/>
        <w:ind w:left="720" w:hanging="720"/>
      </w:pPr>
      <w:r>
        <w:rPr>
          <w:rStyle w:val="number"/>
          <w:rFonts w:ascii="Arial" w:hAnsi="Arial" w:cs="Arial"/>
          <w:b/>
          <w:bCs/>
          <w:color w:val="333333"/>
          <w:sz w:val="23"/>
          <w:szCs w:val="23"/>
        </w:rPr>
        <w:t>9.</w:t>
      </w:r>
      <w:r>
        <w:t xml:space="preserve"> "RFMD </w:t>
      </w:r>
      <w:proofErr w:type="spellStart"/>
      <w:r>
        <w:t>GaN</w:t>
      </w:r>
      <w:proofErr w:type="spellEnd"/>
      <w:r>
        <w:t xml:space="preserve"> Foundry Services", [online] Available: http://www.rfmd.com/pdf/ganslickbanner.pdf.</w:t>
      </w:r>
    </w:p>
    <w:p w14:paraId="2D59CA0A" w14:textId="77777777" w:rsidR="00E31576" w:rsidRDefault="00E31576" w:rsidP="005F10A3">
      <w:pPr>
        <w:pStyle w:val="NoSpacing"/>
        <w:ind w:left="720" w:hanging="720"/>
      </w:pPr>
      <w:r>
        <w:rPr>
          <w:rStyle w:val="number"/>
          <w:rFonts w:ascii="Arial" w:hAnsi="Arial" w:cs="Arial"/>
          <w:b/>
          <w:bCs/>
          <w:color w:val="333333"/>
          <w:sz w:val="23"/>
          <w:szCs w:val="23"/>
        </w:rPr>
        <w:t>10.</w:t>
      </w:r>
      <w:r>
        <w:t xml:space="preserve"> H. Rao, G. Bosman, "Device reliability study of high gate electric field effects in </w:t>
      </w:r>
      <w:proofErr w:type="spellStart"/>
      <w:r>
        <w:t>AIGaN</w:t>
      </w:r>
      <w:proofErr w:type="spellEnd"/>
      <w:r>
        <w:t>/</w:t>
      </w:r>
      <w:proofErr w:type="spellStart"/>
      <w:r>
        <w:t>GaN</w:t>
      </w:r>
      <w:proofErr w:type="spellEnd"/>
      <w:r>
        <w:t xml:space="preserve"> high electron mobility transistors using low frequency noise spectroscopy", </w:t>
      </w:r>
      <w:r>
        <w:rPr>
          <w:rStyle w:val="Emphasis"/>
          <w:rFonts w:ascii="Arial" w:hAnsi="Arial" w:cs="Arial"/>
          <w:color w:val="333333"/>
          <w:sz w:val="23"/>
          <w:szCs w:val="23"/>
        </w:rPr>
        <w:t>J. Appl. Physics</w:t>
      </w:r>
      <w:r>
        <w:t>, vol. 108, pp. 053707, Sep. 2010.</w:t>
      </w:r>
    </w:p>
    <w:p w14:paraId="2AEDD0FC" w14:textId="77777777" w:rsidR="00E31576" w:rsidRDefault="00E31576" w:rsidP="005F10A3">
      <w:pPr>
        <w:pStyle w:val="NoSpacing"/>
        <w:ind w:left="720" w:hanging="720"/>
      </w:pPr>
      <w:r>
        <w:rPr>
          <w:rStyle w:val="number"/>
          <w:rFonts w:ascii="Arial" w:hAnsi="Arial" w:cs="Arial"/>
          <w:b/>
          <w:bCs/>
          <w:color w:val="333333"/>
          <w:sz w:val="23"/>
          <w:szCs w:val="23"/>
        </w:rPr>
        <w:t>11.</w:t>
      </w:r>
      <w:r>
        <w:t xml:space="preserve"> Z.-Q. Fang, G. C. Farlow, B. Claflin, D. C. Look, D. S. Green, "Effects of electron-irradiation on electrical properties of </w:t>
      </w:r>
      <w:proofErr w:type="spellStart"/>
      <w:r>
        <w:t>AIGaN</w:t>
      </w:r>
      <w:proofErr w:type="spellEnd"/>
      <w:r>
        <w:t>/</w:t>
      </w:r>
      <w:proofErr w:type="spellStart"/>
      <w:r>
        <w:t>GaN</w:t>
      </w:r>
      <w:proofErr w:type="spellEnd"/>
      <w:r>
        <w:t xml:space="preserve"> Schottky barrier diodes", </w:t>
      </w:r>
      <w:r>
        <w:rPr>
          <w:rStyle w:val="Emphasis"/>
          <w:rFonts w:ascii="Arial" w:hAnsi="Arial" w:cs="Arial"/>
          <w:color w:val="333333"/>
          <w:sz w:val="23"/>
          <w:szCs w:val="23"/>
        </w:rPr>
        <w:t>J. Appl. Physics</w:t>
      </w:r>
      <w:r>
        <w:t>, vol. 105, pp. 123704, Jun. 2009.</w:t>
      </w:r>
    </w:p>
    <w:p w14:paraId="77F87D5A" w14:textId="77777777" w:rsidR="00E31576" w:rsidRPr="00E31576" w:rsidRDefault="00E31576" w:rsidP="00551AD8">
      <w:pPr>
        <w:pStyle w:val="NoSpacing"/>
      </w:pPr>
    </w:p>
    <w:sectPr w:rsidR="00E31576" w:rsidRPr="00E31576"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DD1763"/>
    <w:multiLevelType w:val="multilevel"/>
    <w:tmpl w:val="E8302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r82OXwJjyOjfhtX/v6TZPpcPINtNTcudAF1TzjqRJ++JKFjyI02FVJ97hOoGCVg6TlEDULtf3eijkUkONCb6Bw==" w:salt="JZPVtEei2cxhKmGV7wTyF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6AC"/>
    <w:rsid w:val="0005752E"/>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60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5D00"/>
    <w:rsid w:val="000D6BF2"/>
    <w:rsid w:val="000E69EF"/>
    <w:rsid w:val="000E7C46"/>
    <w:rsid w:val="000F0449"/>
    <w:rsid w:val="000F08DA"/>
    <w:rsid w:val="000F0A8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2486"/>
    <w:rsid w:val="00173556"/>
    <w:rsid w:val="0018114F"/>
    <w:rsid w:val="00181ADF"/>
    <w:rsid w:val="00183A38"/>
    <w:rsid w:val="001854EA"/>
    <w:rsid w:val="00185C26"/>
    <w:rsid w:val="00196C7C"/>
    <w:rsid w:val="001A1C71"/>
    <w:rsid w:val="001A1DF4"/>
    <w:rsid w:val="001A2415"/>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47A6"/>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4F55"/>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588"/>
    <w:rsid w:val="00347634"/>
    <w:rsid w:val="003513A9"/>
    <w:rsid w:val="00351584"/>
    <w:rsid w:val="00351E90"/>
    <w:rsid w:val="00360206"/>
    <w:rsid w:val="003624EE"/>
    <w:rsid w:val="003632E1"/>
    <w:rsid w:val="00363CD3"/>
    <w:rsid w:val="003656A9"/>
    <w:rsid w:val="00366852"/>
    <w:rsid w:val="003706EF"/>
    <w:rsid w:val="00370BE4"/>
    <w:rsid w:val="00371D56"/>
    <w:rsid w:val="0037755D"/>
    <w:rsid w:val="00381F0E"/>
    <w:rsid w:val="00383041"/>
    <w:rsid w:val="0038549B"/>
    <w:rsid w:val="0038628A"/>
    <w:rsid w:val="0038634F"/>
    <w:rsid w:val="00391C48"/>
    <w:rsid w:val="00394337"/>
    <w:rsid w:val="003A437A"/>
    <w:rsid w:val="003A4902"/>
    <w:rsid w:val="003A503E"/>
    <w:rsid w:val="003A6039"/>
    <w:rsid w:val="003B47FA"/>
    <w:rsid w:val="003B6208"/>
    <w:rsid w:val="003B7F8F"/>
    <w:rsid w:val="003C4172"/>
    <w:rsid w:val="003C437D"/>
    <w:rsid w:val="003C4456"/>
    <w:rsid w:val="003D3301"/>
    <w:rsid w:val="003D4641"/>
    <w:rsid w:val="003E05B7"/>
    <w:rsid w:val="003E0C0A"/>
    <w:rsid w:val="003E6CFF"/>
    <w:rsid w:val="003F1F6C"/>
    <w:rsid w:val="003F37FA"/>
    <w:rsid w:val="003F6C4F"/>
    <w:rsid w:val="004010E3"/>
    <w:rsid w:val="004055B8"/>
    <w:rsid w:val="0040709D"/>
    <w:rsid w:val="004122F9"/>
    <w:rsid w:val="004124D3"/>
    <w:rsid w:val="004139BA"/>
    <w:rsid w:val="00415581"/>
    <w:rsid w:val="00421CBC"/>
    <w:rsid w:val="0043008C"/>
    <w:rsid w:val="00430B91"/>
    <w:rsid w:val="004374EF"/>
    <w:rsid w:val="00440F61"/>
    <w:rsid w:val="004441CB"/>
    <w:rsid w:val="00450DB8"/>
    <w:rsid w:val="00453D2C"/>
    <w:rsid w:val="00454851"/>
    <w:rsid w:val="004557D7"/>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0DD8"/>
    <w:rsid w:val="004D118A"/>
    <w:rsid w:val="004D1CB9"/>
    <w:rsid w:val="004D21C9"/>
    <w:rsid w:val="004D71E1"/>
    <w:rsid w:val="004E34F8"/>
    <w:rsid w:val="004E3C84"/>
    <w:rsid w:val="004E4B8B"/>
    <w:rsid w:val="004E528B"/>
    <w:rsid w:val="004F146C"/>
    <w:rsid w:val="004F1F3C"/>
    <w:rsid w:val="005002DA"/>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1AD8"/>
    <w:rsid w:val="00553291"/>
    <w:rsid w:val="005546FF"/>
    <w:rsid w:val="00556B72"/>
    <w:rsid w:val="005605E4"/>
    <w:rsid w:val="00563D7B"/>
    <w:rsid w:val="00563E3B"/>
    <w:rsid w:val="005643C8"/>
    <w:rsid w:val="005673D1"/>
    <w:rsid w:val="00570F38"/>
    <w:rsid w:val="00573955"/>
    <w:rsid w:val="00580E33"/>
    <w:rsid w:val="00583225"/>
    <w:rsid w:val="0058724D"/>
    <w:rsid w:val="0059549A"/>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10A3"/>
    <w:rsid w:val="005F46EC"/>
    <w:rsid w:val="005F49C9"/>
    <w:rsid w:val="005F4A8B"/>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5D8D"/>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224E"/>
    <w:rsid w:val="00693B53"/>
    <w:rsid w:val="00697377"/>
    <w:rsid w:val="006A1F61"/>
    <w:rsid w:val="006A533C"/>
    <w:rsid w:val="006A5E52"/>
    <w:rsid w:val="006A712D"/>
    <w:rsid w:val="006A7B71"/>
    <w:rsid w:val="006B20FD"/>
    <w:rsid w:val="006B3B2B"/>
    <w:rsid w:val="006C024E"/>
    <w:rsid w:val="006C6357"/>
    <w:rsid w:val="006C7ED1"/>
    <w:rsid w:val="006D75E1"/>
    <w:rsid w:val="006D7670"/>
    <w:rsid w:val="006E0CE3"/>
    <w:rsid w:val="006E10F4"/>
    <w:rsid w:val="006E10FD"/>
    <w:rsid w:val="006E2996"/>
    <w:rsid w:val="006E2EEC"/>
    <w:rsid w:val="006E471E"/>
    <w:rsid w:val="006E4859"/>
    <w:rsid w:val="006F24E3"/>
    <w:rsid w:val="00700673"/>
    <w:rsid w:val="007065D3"/>
    <w:rsid w:val="007071B1"/>
    <w:rsid w:val="00707EC1"/>
    <w:rsid w:val="00710582"/>
    <w:rsid w:val="00714EE9"/>
    <w:rsid w:val="007246B0"/>
    <w:rsid w:val="007258CB"/>
    <w:rsid w:val="00730E29"/>
    <w:rsid w:val="007320B6"/>
    <w:rsid w:val="00732FF6"/>
    <w:rsid w:val="00735393"/>
    <w:rsid w:val="00745E32"/>
    <w:rsid w:val="007466F7"/>
    <w:rsid w:val="00757D89"/>
    <w:rsid w:val="0076194B"/>
    <w:rsid w:val="00763676"/>
    <w:rsid w:val="00770A5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2F8C"/>
    <w:rsid w:val="007E491C"/>
    <w:rsid w:val="007E53E2"/>
    <w:rsid w:val="007E604C"/>
    <w:rsid w:val="007E6842"/>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6ACB"/>
    <w:rsid w:val="008322E3"/>
    <w:rsid w:val="00834DF7"/>
    <w:rsid w:val="00836F01"/>
    <w:rsid w:val="008406F5"/>
    <w:rsid w:val="00841F1E"/>
    <w:rsid w:val="00842203"/>
    <w:rsid w:val="00846AA8"/>
    <w:rsid w:val="00850E3E"/>
    <w:rsid w:val="00864432"/>
    <w:rsid w:val="008649A3"/>
    <w:rsid w:val="0086525D"/>
    <w:rsid w:val="0086670A"/>
    <w:rsid w:val="00867255"/>
    <w:rsid w:val="00870BA1"/>
    <w:rsid w:val="00873CDE"/>
    <w:rsid w:val="00874421"/>
    <w:rsid w:val="00875997"/>
    <w:rsid w:val="0087796C"/>
    <w:rsid w:val="00880932"/>
    <w:rsid w:val="008825B5"/>
    <w:rsid w:val="00885E74"/>
    <w:rsid w:val="00886B14"/>
    <w:rsid w:val="008927F4"/>
    <w:rsid w:val="008935FD"/>
    <w:rsid w:val="00893B58"/>
    <w:rsid w:val="00894E4C"/>
    <w:rsid w:val="0089642A"/>
    <w:rsid w:val="008A1743"/>
    <w:rsid w:val="008A23DD"/>
    <w:rsid w:val="008A6C51"/>
    <w:rsid w:val="008B15CF"/>
    <w:rsid w:val="008B2242"/>
    <w:rsid w:val="008B4AD1"/>
    <w:rsid w:val="008B6D93"/>
    <w:rsid w:val="008B7AF1"/>
    <w:rsid w:val="008C3543"/>
    <w:rsid w:val="008C6217"/>
    <w:rsid w:val="008D0F0D"/>
    <w:rsid w:val="008D0FF2"/>
    <w:rsid w:val="008D14D6"/>
    <w:rsid w:val="008D1D7F"/>
    <w:rsid w:val="008D3526"/>
    <w:rsid w:val="008F0401"/>
    <w:rsid w:val="008F04C1"/>
    <w:rsid w:val="008F2457"/>
    <w:rsid w:val="008F252A"/>
    <w:rsid w:val="008F6AFD"/>
    <w:rsid w:val="008F7645"/>
    <w:rsid w:val="00900AD3"/>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10C4"/>
    <w:rsid w:val="00982217"/>
    <w:rsid w:val="00984B39"/>
    <w:rsid w:val="00986A83"/>
    <w:rsid w:val="00990645"/>
    <w:rsid w:val="009A130B"/>
    <w:rsid w:val="009A2639"/>
    <w:rsid w:val="009A397F"/>
    <w:rsid w:val="009B4F83"/>
    <w:rsid w:val="009B6983"/>
    <w:rsid w:val="009C1D50"/>
    <w:rsid w:val="009C5450"/>
    <w:rsid w:val="009C5716"/>
    <w:rsid w:val="009D316A"/>
    <w:rsid w:val="009D3527"/>
    <w:rsid w:val="009D5368"/>
    <w:rsid w:val="009D54DF"/>
    <w:rsid w:val="009E46F3"/>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15B"/>
    <w:rsid w:val="00A465FC"/>
    <w:rsid w:val="00A47B50"/>
    <w:rsid w:val="00A50459"/>
    <w:rsid w:val="00A506CB"/>
    <w:rsid w:val="00A52369"/>
    <w:rsid w:val="00A52A88"/>
    <w:rsid w:val="00A55701"/>
    <w:rsid w:val="00A56ED1"/>
    <w:rsid w:val="00A648A4"/>
    <w:rsid w:val="00A650B2"/>
    <w:rsid w:val="00A669CE"/>
    <w:rsid w:val="00A7290A"/>
    <w:rsid w:val="00A75006"/>
    <w:rsid w:val="00A81E28"/>
    <w:rsid w:val="00A82932"/>
    <w:rsid w:val="00A82D07"/>
    <w:rsid w:val="00A868FB"/>
    <w:rsid w:val="00A915ED"/>
    <w:rsid w:val="00A91CF2"/>
    <w:rsid w:val="00A93BA4"/>
    <w:rsid w:val="00A9416E"/>
    <w:rsid w:val="00AA493D"/>
    <w:rsid w:val="00AA687B"/>
    <w:rsid w:val="00AB3831"/>
    <w:rsid w:val="00AB4807"/>
    <w:rsid w:val="00AB4813"/>
    <w:rsid w:val="00AC0052"/>
    <w:rsid w:val="00AC04D6"/>
    <w:rsid w:val="00AD0685"/>
    <w:rsid w:val="00AD2043"/>
    <w:rsid w:val="00AD38C1"/>
    <w:rsid w:val="00AD5A78"/>
    <w:rsid w:val="00AD6CFB"/>
    <w:rsid w:val="00AD7135"/>
    <w:rsid w:val="00AD7E2E"/>
    <w:rsid w:val="00AE1517"/>
    <w:rsid w:val="00AE4078"/>
    <w:rsid w:val="00AE4230"/>
    <w:rsid w:val="00AE69D7"/>
    <w:rsid w:val="00AE71AA"/>
    <w:rsid w:val="00AF1374"/>
    <w:rsid w:val="00AF1E8A"/>
    <w:rsid w:val="00AF2DE8"/>
    <w:rsid w:val="00AF3644"/>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5C89"/>
    <w:rsid w:val="00B56290"/>
    <w:rsid w:val="00B61B54"/>
    <w:rsid w:val="00B6351D"/>
    <w:rsid w:val="00B64203"/>
    <w:rsid w:val="00B6519E"/>
    <w:rsid w:val="00B66AF1"/>
    <w:rsid w:val="00B70245"/>
    <w:rsid w:val="00B703C2"/>
    <w:rsid w:val="00B74E41"/>
    <w:rsid w:val="00B7740D"/>
    <w:rsid w:val="00B82F58"/>
    <w:rsid w:val="00B839A9"/>
    <w:rsid w:val="00B83BDB"/>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04F1"/>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7721"/>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72D"/>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576"/>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00CD"/>
    <w:rsid w:val="00E81F85"/>
    <w:rsid w:val="00E8413D"/>
    <w:rsid w:val="00E84C2A"/>
    <w:rsid w:val="00E90CA1"/>
    <w:rsid w:val="00E91D25"/>
    <w:rsid w:val="00E95B61"/>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A5A"/>
    <w:rsid w:val="00F00B9A"/>
    <w:rsid w:val="00F0246E"/>
    <w:rsid w:val="00F026DB"/>
    <w:rsid w:val="00F04133"/>
    <w:rsid w:val="00F12233"/>
    <w:rsid w:val="00F12CE1"/>
    <w:rsid w:val="00F14096"/>
    <w:rsid w:val="00F14820"/>
    <w:rsid w:val="00F153E8"/>
    <w:rsid w:val="00F30DED"/>
    <w:rsid w:val="00F31DB2"/>
    <w:rsid w:val="00F36D63"/>
    <w:rsid w:val="00F37720"/>
    <w:rsid w:val="00F4046D"/>
    <w:rsid w:val="00F40A6C"/>
    <w:rsid w:val="00F4445E"/>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1868"/>
    <w:rsid w:val="00FE2208"/>
    <w:rsid w:val="00FE2769"/>
    <w:rsid w:val="00FE2ED0"/>
    <w:rsid w:val="00FE3C8C"/>
    <w:rsid w:val="00FE430B"/>
    <w:rsid w:val="00FE46AF"/>
    <w:rsid w:val="00FE73C3"/>
    <w:rsid w:val="00FF047D"/>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4615B"/>
    <w:rPr>
      <w:color w:val="0563C1" w:themeColor="hyperlink"/>
      <w:u w:val="single"/>
    </w:rPr>
  </w:style>
  <w:style w:type="character" w:styleId="UnresolvedMention">
    <w:name w:val="Unresolved Mention"/>
    <w:basedOn w:val="DefaultParagraphFont"/>
    <w:uiPriority w:val="99"/>
    <w:semiHidden/>
    <w:unhideWhenUsed/>
    <w:rsid w:val="00A4615B"/>
    <w:rPr>
      <w:color w:val="605E5C"/>
      <w:shd w:val="clear" w:color="auto" w:fill="E1DFDD"/>
    </w:rPr>
  </w:style>
  <w:style w:type="character" w:customStyle="1" w:styleId="number">
    <w:name w:val="number"/>
    <w:basedOn w:val="DefaultParagraphFont"/>
    <w:rsid w:val="00E31576"/>
  </w:style>
  <w:style w:type="character" w:customStyle="1" w:styleId="ref-link">
    <w:name w:val="ref-link"/>
    <w:basedOn w:val="DefaultParagraphFont"/>
    <w:rsid w:val="00E315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3599">
      <w:bodyDiv w:val="1"/>
      <w:marLeft w:val="0"/>
      <w:marRight w:val="0"/>
      <w:marTop w:val="0"/>
      <w:marBottom w:val="0"/>
      <w:divBdr>
        <w:top w:val="none" w:sz="0" w:space="0" w:color="auto"/>
        <w:left w:val="none" w:sz="0" w:space="0" w:color="auto"/>
        <w:bottom w:val="none" w:sz="0" w:space="0" w:color="auto"/>
        <w:right w:val="none" w:sz="0" w:space="0" w:color="auto"/>
      </w:divBdr>
      <w:divsChild>
        <w:div w:id="1596399671">
          <w:marLeft w:val="0"/>
          <w:marRight w:val="0"/>
          <w:marTop w:val="0"/>
          <w:marBottom w:val="0"/>
          <w:divBdr>
            <w:top w:val="none" w:sz="0" w:space="0" w:color="auto"/>
            <w:left w:val="none" w:sz="0" w:space="0" w:color="auto"/>
            <w:bottom w:val="single" w:sz="6" w:space="12" w:color="333333"/>
            <w:right w:val="none" w:sz="0" w:space="0" w:color="auto"/>
          </w:divBdr>
          <w:divsChild>
            <w:div w:id="605311655">
              <w:marLeft w:val="0"/>
              <w:marRight w:val="0"/>
              <w:marTop w:val="0"/>
              <w:marBottom w:val="0"/>
              <w:divBdr>
                <w:top w:val="none" w:sz="0" w:space="0" w:color="auto"/>
                <w:left w:val="none" w:sz="0" w:space="0" w:color="auto"/>
                <w:bottom w:val="none" w:sz="0" w:space="0" w:color="auto"/>
                <w:right w:val="none" w:sz="0" w:space="0" w:color="auto"/>
              </w:divBdr>
              <w:divsChild>
                <w:div w:id="467478084">
                  <w:marLeft w:val="0"/>
                  <w:marRight w:val="0"/>
                  <w:marTop w:val="0"/>
                  <w:marBottom w:val="0"/>
                  <w:divBdr>
                    <w:top w:val="none" w:sz="0" w:space="0" w:color="auto"/>
                    <w:left w:val="none" w:sz="0" w:space="0" w:color="auto"/>
                    <w:bottom w:val="none" w:sz="0" w:space="0" w:color="auto"/>
                    <w:right w:val="none" w:sz="0" w:space="0" w:color="auto"/>
                  </w:divBdr>
                  <w:divsChild>
                    <w:div w:id="1473908671">
                      <w:marLeft w:val="0"/>
                      <w:marRight w:val="0"/>
                      <w:marTop w:val="0"/>
                      <w:marBottom w:val="0"/>
                      <w:divBdr>
                        <w:top w:val="none" w:sz="0" w:space="0" w:color="auto"/>
                        <w:left w:val="none" w:sz="0" w:space="0" w:color="auto"/>
                        <w:bottom w:val="dotted" w:sz="6" w:space="0" w:color="FEA957"/>
                        <w:right w:val="none" w:sz="0" w:space="0" w:color="auto"/>
                      </w:divBdr>
                      <w:divsChild>
                        <w:div w:id="1807815310">
                          <w:marLeft w:val="0"/>
                          <w:marRight w:val="0"/>
                          <w:marTop w:val="0"/>
                          <w:marBottom w:val="0"/>
                          <w:divBdr>
                            <w:top w:val="none" w:sz="0" w:space="0" w:color="auto"/>
                            <w:left w:val="none" w:sz="0" w:space="0" w:color="auto"/>
                            <w:bottom w:val="none" w:sz="0" w:space="0" w:color="auto"/>
                            <w:right w:val="none" w:sz="0" w:space="0" w:color="auto"/>
                          </w:divBdr>
                          <w:divsChild>
                            <w:div w:id="380521649">
                              <w:marLeft w:val="0"/>
                              <w:marRight w:val="0"/>
                              <w:marTop w:val="0"/>
                              <w:marBottom w:val="450"/>
                              <w:divBdr>
                                <w:top w:val="none" w:sz="0" w:space="0" w:color="auto"/>
                                <w:left w:val="none" w:sz="0" w:space="0" w:color="auto"/>
                                <w:bottom w:val="none" w:sz="0" w:space="0" w:color="auto"/>
                                <w:right w:val="none" w:sz="0" w:space="0" w:color="auto"/>
                              </w:divBdr>
                              <w:divsChild>
                                <w:div w:id="312373093">
                                  <w:marLeft w:val="0"/>
                                  <w:marRight w:val="0"/>
                                  <w:marTop w:val="0"/>
                                  <w:marBottom w:val="375"/>
                                  <w:divBdr>
                                    <w:top w:val="none" w:sz="0" w:space="0" w:color="auto"/>
                                    <w:left w:val="none" w:sz="0" w:space="0" w:color="auto"/>
                                    <w:bottom w:val="none" w:sz="0" w:space="0" w:color="auto"/>
                                    <w:right w:val="none" w:sz="0" w:space="0" w:color="auto"/>
                                  </w:divBdr>
                                  <w:divsChild>
                                    <w:div w:id="203214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06512">
                              <w:marLeft w:val="0"/>
                              <w:marRight w:val="0"/>
                              <w:marTop w:val="0"/>
                              <w:marBottom w:val="450"/>
                              <w:divBdr>
                                <w:top w:val="none" w:sz="0" w:space="0" w:color="auto"/>
                                <w:left w:val="none" w:sz="0" w:space="0" w:color="auto"/>
                                <w:bottom w:val="none" w:sz="0" w:space="0" w:color="auto"/>
                                <w:right w:val="none" w:sz="0" w:space="0" w:color="auto"/>
                              </w:divBdr>
                              <w:divsChild>
                                <w:div w:id="1324049515">
                                  <w:marLeft w:val="0"/>
                                  <w:marRight w:val="0"/>
                                  <w:marTop w:val="0"/>
                                  <w:marBottom w:val="375"/>
                                  <w:divBdr>
                                    <w:top w:val="none" w:sz="0" w:space="0" w:color="auto"/>
                                    <w:left w:val="none" w:sz="0" w:space="0" w:color="auto"/>
                                    <w:bottom w:val="none" w:sz="0" w:space="0" w:color="auto"/>
                                    <w:right w:val="none" w:sz="0" w:space="0" w:color="auto"/>
                                  </w:divBdr>
                                  <w:divsChild>
                                    <w:div w:id="959267253">
                                      <w:marLeft w:val="0"/>
                                      <w:marRight w:val="0"/>
                                      <w:marTop w:val="0"/>
                                      <w:marBottom w:val="0"/>
                                      <w:divBdr>
                                        <w:top w:val="none" w:sz="0" w:space="0" w:color="auto"/>
                                        <w:left w:val="none" w:sz="0" w:space="0" w:color="auto"/>
                                        <w:bottom w:val="none" w:sz="0" w:space="0" w:color="auto"/>
                                        <w:right w:val="none" w:sz="0" w:space="0" w:color="auto"/>
                                      </w:divBdr>
                                    </w:div>
                                  </w:divsChild>
                                </w:div>
                                <w:div w:id="1631280769">
                                  <w:marLeft w:val="0"/>
                                  <w:marRight w:val="0"/>
                                  <w:marTop w:val="240"/>
                                  <w:marBottom w:val="480"/>
                                  <w:divBdr>
                                    <w:top w:val="none" w:sz="0" w:space="0" w:color="auto"/>
                                    <w:left w:val="none" w:sz="0" w:space="0" w:color="auto"/>
                                    <w:bottom w:val="none" w:sz="0" w:space="0" w:color="auto"/>
                                    <w:right w:val="none" w:sz="0" w:space="0" w:color="auto"/>
                                  </w:divBdr>
                                  <w:divsChild>
                                    <w:div w:id="1361708445">
                                      <w:marLeft w:val="0"/>
                                      <w:marRight w:val="0"/>
                                      <w:marTop w:val="0"/>
                                      <w:marBottom w:val="0"/>
                                      <w:divBdr>
                                        <w:top w:val="single" w:sz="6" w:space="0" w:color="C6C6C6"/>
                                        <w:left w:val="single" w:sz="6" w:space="0" w:color="C6C6C6"/>
                                        <w:bottom w:val="single" w:sz="6" w:space="0" w:color="C6C6C6"/>
                                        <w:right w:val="single" w:sz="6" w:space="0" w:color="C6C6C6"/>
                                      </w:divBdr>
                                    </w:div>
                                    <w:div w:id="1397705372">
                                      <w:marLeft w:val="0"/>
                                      <w:marRight w:val="0"/>
                                      <w:marTop w:val="0"/>
                                      <w:marBottom w:val="0"/>
                                      <w:divBdr>
                                        <w:top w:val="none" w:sz="0" w:space="0" w:color="auto"/>
                                        <w:left w:val="none" w:sz="0" w:space="0" w:color="auto"/>
                                        <w:bottom w:val="dotted" w:sz="6" w:space="6" w:color="999999"/>
                                        <w:right w:val="none" w:sz="0" w:space="0" w:color="auto"/>
                                      </w:divBdr>
                                    </w:div>
                                  </w:divsChild>
                                </w:div>
                                <w:div w:id="2003384864">
                                  <w:marLeft w:val="0"/>
                                  <w:marRight w:val="0"/>
                                  <w:marTop w:val="240"/>
                                  <w:marBottom w:val="480"/>
                                  <w:divBdr>
                                    <w:top w:val="none" w:sz="0" w:space="0" w:color="auto"/>
                                    <w:left w:val="none" w:sz="0" w:space="0" w:color="auto"/>
                                    <w:bottom w:val="none" w:sz="0" w:space="0" w:color="auto"/>
                                    <w:right w:val="none" w:sz="0" w:space="0" w:color="auto"/>
                                  </w:divBdr>
                                  <w:divsChild>
                                    <w:div w:id="402145372">
                                      <w:marLeft w:val="0"/>
                                      <w:marRight w:val="0"/>
                                      <w:marTop w:val="0"/>
                                      <w:marBottom w:val="0"/>
                                      <w:divBdr>
                                        <w:top w:val="none" w:sz="0" w:space="0" w:color="auto"/>
                                        <w:left w:val="none" w:sz="0" w:space="0" w:color="auto"/>
                                        <w:bottom w:val="dotted" w:sz="6" w:space="6" w:color="999999"/>
                                        <w:right w:val="none" w:sz="0" w:space="0" w:color="auto"/>
                                      </w:divBdr>
                                    </w:div>
                                    <w:div w:id="17636408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776602150">
                              <w:marLeft w:val="0"/>
                              <w:marRight w:val="0"/>
                              <w:marTop w:val="0"/>
                              <w:marBottom w:val="450"/>
                              <w:divBdr>
                                <w:top w:val="none" w:sz="0" w:space="0" w:color="auto"/>
                                <w:left w:val="none" w:sz="0" w:space="0" w:color="auto"/>
                                <w:bottom w:val="none" w:sz="0" w:space="0" w:color="auto"/>
                                <w:right w:val="none" w:sz="0" w:space="0" w:color="auto"/>
                              </w:divBdr>
                              <w:divsChild>
                                <w:div w:id="1633754888">
                                  <w:marLeft w:val="0"/>
                                  <w:marRight w:val="0"/>
                                  <w:marTop w:val="0"/>
                                  <w:marBottom w:val="375"/>
                                  <w:divBdr>
                                    <w:top w:val="none" w:sz="0" w:space="0" w:color="auto"/>
                                    <w:left w:val="none" w:sz="0" w:space="0" w:color="auto"/>
                                    <w:bottom w:val="none" w:sz="0" w:space="0" w:color="auto"/>
                                    <w:right w:val="none" w:sz="0" w:space="0" w:color="auto"/>
                                  </w:divBdr>
                                  <w:divsChild>
                                    <w:div w:id="1703558461">
                                      <w:marLeft w:val="0"/>
                                      <w:marRight w:val="0"/>
                                      <w:marTop w:val="0"/>
                                      <w:marBottom w:val="0"/>
                                      <w:divBdr>
                                        <w:top w:val="none" w:sz="0" w:space="0" w:color="auto"/>
                                        <w:left w:val="none" w:sz="0" w:space="0" w:color="auto"/>
                                        <w:bottom w:val="none" w:sz="0" w:space="0" w:color="auto"/>
                                        <w:right w:val="none" w:sz="0" w:space="0" w:color="auto"/>
                                      </w:divBdr>
                                    </w:div>
                                  </w:divsChild>
                                </w:div>
                                <w:div w:id="584925696">
                                  <w:marLeft w:val="0"/>
                                  <w:marRight w:val="0"/>
                                  <w:marTop w:val="240"/>
                                  <w:marBottom w:val="480"/>
                                  <w:divBdr>
                                    <w:top w:val="none" w:sz="0" w:space="0" w:color="auto"/>
                                    <w:left w:val="none" w:sz="0" w:space="0" w:color="auto"/>
                                    <w:bottom w:val="none" w:sz="0" w:space="0" w:color="auto"/>
                                    <w:right w:val="none" w:sz="0" w:space="0" w:color="auto"/>
                                  </w:divBdr>
                                  <w:divsChild>
                                    <w:div w:id="826943299">
                                      <w:marLeft w:val="0"/>
                                      <w:marRight w:val="0"/>
                                      <w:marTop w:val="0"/>
                                      <w:marBottom w:val="0"/>
                                      <w:divBdr>
                                        <w:top w:val="single" w:sz="6" w:space="0" w:color="C6C6C6"/>
                                        <w:left w:val="single" w:sz="6" w:space="0" w:color="C6C6C6"/>
                                        <w:bottom w:val="single" w:sz="6" w:space="0" w:color="C6C6C6"/>
                                        <w:right w:val="single" w:sz="6" w:space="0" w:color="C6C6C6"/>
                                      </w:divBdr>
                                    </w:div>
                                    <w:div w:id="1358967946">
                                      <w:marLeft w:val="0"/>
                                      <w:marRight w:val="0"/>
                                      <w:marTop w:val="0"/>
                                      <w:marBottom w:val="0"/>
                                      <w:divBdr>
                                        <w:top w:val="none" w:sz="0" w:space="0" w:color="auto"/>
                                        <w:left w:val="none" w:sz="0" w:space="0" w:color="auto"/>
                                        <w:bottom w:val="dotted" w:sz="6" w:space="6" w:color="999999"/>
                                        <w:right w:val="none" w:sz="0" w:space="0" w:color="auto"/>
                                      </w:divBdr>
                                    </w:div>
                                  </w:divsChild>
                                </w:div>
                                <w:div w:id="1706103623">
                                  <w:marLeft w:val="0"/>
                                  <w:marRight w:val="0"/>
                                  <w:marTop w:val="240"/>
                                  <w:marBottom w:val="480"/>
                                  <w:divBdr>
                                    <w:top w:val="none" w:sz="0" w:space="0" w:color="auto"/>
                                    <w:left w:val="none" w:sz="0" w:space="0" w:color="auto"/>
                                    <w:bottom w:val="none" w:sz="0" w:space="0" w:color="auto"/>
                                    <w:right w:val="none" w:sz="0" w:space="0" w:color="auto"/>
                                  </w:divBdr>
                                  <w:divsChild>
                                    <w:div w:id="1379470149">
                                      <w:marLeft w:val="0"/>
                                      <w:marRight w:val="0"/>
                                      <w:marTop w:val="0"/>
                                      <w:marBottom w:val="0"/>
                                      <w:divBdr>
                                        <w:top w:val="single" w:sz="6" w:space="0" w:color="C6C6C6"/>
                                        <w:left w:val="single" w:sz="6" w:space="0" w:color="C6C6C6"/>
                                        <w:bottom w:val="single" w:sz="6" w:space="0" w:color="C6C6C6"/>
                                        <w:right w:val="single" w:sz="6" w:space="0" w:color="C6C6C6"/>
                                      </w:divBdr>
                                    </w:div>
                                    <w:div w:id="1910068226">
                                      <w:marLeft w:val="0"/>
                                      <w:marRight w:val="0"/>
                                      <w:marTop w:val="0"/>
                                      <w:marBottom w:val="0"/>
                                      <w:divBdr>
                                        <w:top w:val="none" w:sz="0" w:space="0" w:color="auto"/>
                                        <w:left w:val="none" w:sz="0" w:space="0" w:color="auto"/>
                                        <w:bottom w:val="dotted" w:sz="6" w:space="6" w:color="999999"/>
                                        <w:right w:val="none" w:sz="0" w:space="0" w:color="auto"/>
                                      </w:divBdr>
                                    </w:div>
                                  </w:divsChild>
                                </w:div>
                                <w:div w:id="647049561">
                                  <w:marLeft w:val="0"/>
                                  <w:marRight w:val="0"/>
                                  <w:marTop w:val="240"/>
                                  <w:marBottom w:val="480"/>
                                  <w:divBdr>
                                    <w:top w:val="none" w:sz="0" w:space="0" w:color="auto"/>
                                    <w:left w:val="none" w:sz="0" w:space="0" w:color="auto"/>
                                    <w:bottom w:val="none" w:sz="0" w:space="0" w:color="auto"/>
                                    <w:right w:val="none" w:sz="0" w:space="0" w:color="auto"/>
                                  </w:divBdr>
                                  <w:divsChild>
                                    <w:div w:id="1679650520">
                                      <w:marLeft w:val="0"/>
                                      <w:marRight w:val="0"/>
                                      <w:marTop w:val="0"/>
                                      <w:marBottom w:val="0"/>
                                      <w:divBdr>
                                        <w:top w:val="single" w:sz="6" w:space="0" w:color="C6C6C6"/>
                                        <w:left w:val="single" w:sz="6" w:space="0" w:color="C6C6C6"/>
                                        <w:bottom w:val="single" w:sz="6" w:space="0" w:color="C6C6C6"/>
                                        <w:right w:val="single" w:sz="6" w:space="0" w:color="C6C6C6"/>
                                      </w:divBdr>
                                    </w:div>
                                    <w:div w:id="2118256158">
                                      <w:marLeft w:val="0"/>
                                      <w:marRight w:val="0"/>
                                      <w:marTop w:val="0"/>
                                      <w:marBottom w:val="0"/>
                                      <w:divBdr>
                                        <w:top w:val="none" w:sz="0" w:space="0" w:color="auto"/>
                                        <w:left w:val="none" w:sz="0" w:space="0" w:color="auto"/>
                                        <w:bottom w:val="dotted" w:sz="6" w:space="6" w:color="999999"/>
                                        <w:right w:val="none" w:sz="0" w:space="0" w:color="auto"/>
                                      </w:divBdr>
                                    </w:div>
                                  </w:divsChild>
                                </w:div>
                                <w:div w:id="105392584">
                                  <w:marLeft w:val="0"/>
                                  <w:marRight w:val="0"/>
                                  <w:marTop w:val="240"/>
                                  <w:marBottom w:val="480"/>
                                  <w:divBdr>
                                    <w:top w:val="none" w:sz="0" w:space="0" w:color="auto"/>
                                    <w:left w:val="none" w:sz="0" w:space="0" w:color="auto"/>
                                    <w:bottom w:val="none" w:sz="0" w:space="0" w:color="auto"/>
                                    <w:right w:val="none" w:sz="0" w:space="0" w:color="auto"/>
                                  </w:divBdr>
                                  <w:divsChild>
                                    <w:div w:id="1275673003">
                                      <w:marLeft w:val="0"/>
                                      <w:marRight w:val="0"/>
                                      <w:marTop w:val="0"/>
                                      <w:marBottom w:val="0"/>
                                      <w:divBdr>
                                        <w:top w:val="none" w:sz="0" w:space="0" w:color="auto"/>
                                        <w:left w:val="none" w:sz="0" w:space="0" w:color="auto"/>
                                        <w:bottom w:val="dotted" w:sz="6" w:space="6" w:color="999999"/>
                                        <w:right w:val="none" w:sz="0" w:space="0" w:color="auto"/>
                                      </w:divBdr>
                                    </w:div>
                                    <w:div w:id="1650012163">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05868981">
                                  <w:marLeft w:val="0"/>
                                  <w:marRight w:val="0"/>
                                  <w:marTop w:val="240"/>
                                  <w:marBottom w:val="480"/>
                                  <w:divBdr>
                                    <w:top w:val="none" w:sz="0" w:space="0" w:color="auto"/>
                                    <w:left w:val="none" w:sz="0" w:space="0" w:color="auto"/>
                                    <w:bottom w:val="none" w:sz="0" w:space="0" w:color="auto"/>
                                    <w:right w:val="none" w:sz="0" w:space="0" w:color="auto"/>
                                  </w:divBdr>
                                  <w:divsChild>
                                    <w:div w:id="1225414825">
                                      <w:marLeft w:val="0"/>
                                      <w:marRight w:val="0"/>
                                      <w:marTop w:val="0"/>
                                      <w:marBottom w:val="0"/>
                                      <w:divBdr>
                                        <w:top w:val="single" w:sz="6" w:space="0" w:color="C6C6C6"/>
                                        <w:left w:val="single" w:sz="6" w:space="0" w:color="C6C6C6"/>
                                        <w:bottom w:val="single" w:sz="6" w:space="0" w:color="C6C6C6"/>
                                        <w:right w:val="single" w:sz="6" w:space="0" w:color="C6C6C6"/>
                                      </w:divBdr>
                                    </w:div>
                                    <w:div w:id="1678925233">
                                      <w:marLeft w:val="0"/>
                                      <w:marRight w:val="0"/>
                                      <w:marTop w:val="0"/>
                                      <w:marBottom w:val="0"/>
                                      <w:divBdr>
                                        <w:top w:val="none" w:sz="0" w:space="0" w:color="auto"/>
                                        <w:left w:val="none" w:sz="0" w:space="0" w:color="auto"/>
                                        <w:bottom w:val="dotted" w:sz="6" w:space="6" w:color="999999"/>
                                        <w:right w:val="none" w:sz="0" w:space="0" w:color="auto"/>
                                      </w:divBdr>
                                    </w:div>
                                  </w:divsChild>
                                </w:div>
                                <w:div w:id="1903979696">
                                  <w:marLeft w:val="0"/>
                                  <w:marRight w:val="0"/>
                                  <w:marTop w:val="240"/>
                                  <w:marBottom w:val="480"/>
                                  <w:divBdr>
                                    <w:top w:val="none" w:sz="0" w:space="0" w:color="auto"/>
                                    <w:left w:val="none" w:sz="0" w:space="0" w:color="auto"/>
                                    <w:bottom w:val="none" w:sz="0" w:space="0" w:color="auto"/>
                                    <w:right w:val="none" w:sz="0" w:space="0" w:color="auto"/>
                                  </w:divBdr>
                                  <w:divsChild>
                                    <w:div w:id="1163354070">
                                      <w:marLeft w:val="0"/>
                                      <w:marRight w:val="0"/>
                                      <w:marTop w:val="0"/>
                                      <w:marBottom w:val="0"/>
                                      <w:divBdr>
                                        <w:top w:val="single" w:sz="6" w:space="0" w:color="C6C6C6"/>
                                        <w:left w:val="single" w:sz="6" w:space="0" w:color="C6C6C6"/>
                                        <w:bottom w:val="single" w:sz="6" w:space="0" w:color="C6C6C6"/>
                                        <w:right w:val="single" w:sz="6" w:space="0" w:color="C6C6C6"/>
                                      </w:divBdr>
                                    </w:div>
                                    <w:div w:id="1035422455">
                                      <w:marLeft w:val="0"/>
                                      <w:marRight w:val="0"/>
                                      <w:marTop w:val="0"/>
                                      <w:marBottom w:val="0"/>
                                      <w:divBdr>
                                        <w:top w:val="none" w:sz="0" w:space="0" w:color="auto"/>
                                        <w:left w:val="none" w:sz="0" w:space="0" w:color="auto"/>
                                        <w:bottom w:val="dotted" w:sz="6" w:space="6" w:color="999999"/>
                                        <w:right w:val="none" w:sz="0" w:space="0" w:color="auto"/>
                                      </w:divBdr>
                                    </w:div>
                                  </w:divsChild>
                                </w:div>
                                <w:div w:id="223487050">
                                  <w:marLeft w:val="0"/>
                                  <w:marRight w:val="0"/>
                                  <w:marTop w:val="240"/>
                                  <w:marBottom w:val="480"/>
                                  <w:divBdr>
                                    <w:top w:val="none" w:sz="0" w:space="0" w:color="auto"/>
                                    <w:left w:val="none" w:sz="0" w:space="0" w:color="auto"/>
                                    <w:bottom w:val="none" w:sz="0" w:space="0" w:color="auto"/>
                                    <w:right w:val="none" w:sz="0" w:space="0" w:color="auto"/>
                                  </w:divBdr>
                                  <w:divsChild>
                                    <w:div w:id="968436782">
                                      <w:marLeft w:val="0"/>
                                      <w:marRight w:val="0"/>
                                      <w:marTop w:val="0"/>
                                      <w:marBottom w:val="0"/>
                                      <w:divBdr>
                                        <w:top w:val="single" w:sz="6" w:space="0" w:color="C6C6C6"/>
                                        <w:left w:val="single" w:sz="6" w:space="0" w:color="C6C6C6"/>
                                        <w:bottom w:val="single" w:sz="6" w:space="0" w:color="C6C6C6"/>
                                        <w:right w:val="single" w:sz="6" w:space="0" w:color="C6C6C6"/>
                                      </w:divBdr>
                                    </w:div>
                                    <w:div w:id="213104528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70556036">
                              <w:marLeft w:val="0"/>
                              <w:marRight w:val="0"/>
                              <w:marTop w:val="0"/>
                              <w:marBottom w:val="450"/>
                              <w:divBdr>
                                <w:top w:val="none" w:sz="0" w:space="0" w:color="auto"/>
                                <w:left w:val="none" w:sz="0" w:space="0" w:color="auto"/>
                                <w:bottom w:val="none" w:sz="0" w:space="0" w:color="auto"/>
                                <w:right w:val="none" w:sz="0" w:space="0" w:color="auto"/>
                              </w:divBdr>
                              <w:divsChild>
                                <w:div w:id="1520655804">
                                  <w:marLeft w:val="0"/>
                                  <w:marRight w:val="0"/>
                                  <w:marTop w:val="0"/>
                                  <w:marBottom w:val="375"/>
                                  <w:divBdr>
                                    <w:top w:val="none" w:sz="0" w:space="0" w:color="auto"/>
                                    <w:left w:val="none" w:sz="0" w:space="0" w:color="auto"/>
                                    <w:bottom w:val="none" w:sz="0" w:space="0" w:color="auto"/>
                                    <w:right w:val="none" w:sz="0" w:space="0" w:color="auto"/>
                                  </w:divBdr>
                                  <w:divsChild>
                                    <w:div w:id="202632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108506">
          <w:marLeft w:val="0"/>
          <w:marRight w:val="0"/>
          <w:marTop w:val="0"/>
          <w:marBottom w:val="0"/>
          <w:divBdr>
            <w:top w:val="none" w:sz="0" w:space="0" w:color="auto"/>
            <w:left w:val="none" w:sz="0" w:space="0" w:color="auto"/>
            <w:bottom w:val="single" w:sz="6" w:space="0" w:color="333333"/>
            <w:right w:val="none" w:sz="0" w:space="0" w:color="auto"/>
          </w:divBdr>
          <w:divsChild>
            <w:div w:id="98068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38852">
      <w:bodyDiv w:val="1"/>
      <w:marLeft w:val="0"/>
      <w:marRight w:val="0"/>
      <w:marTop w:val="0"/>
      <w:marBottom w:val="0"/>
      <w:divBdr>
        <w:top w:val="none" w:sz="0" w:space="0" w:color="auto"/>
        <w:left w:val="none" w:sz="0" w:space="0" w:color="auto"/>
        <w:bottom w:val="none" w:sz="0" w:space="0" w:color="auto"/>
        <w:right w:val="none" w:sz="0" w:space="0" w:color="auto"/>
      </w:divBdr>
      <w:divsChild>
        <w:div w:id="2103917742">
          <w:marLeft w:val="0"/>
          <w:marRight w:val="0"/>
          <w:marTop w:val="0"/>
          <w:marBottom w:val="0"/>
          <w:divBdr>
            <w:top w:val="none" w:sz="0" w:space="0" w:color="auto"/>
            <w:left w:val="none" w:sz="0" w:space="0" w:color="auto"/>
            <w:bottom w:val="none" w:sz="0" w:space="0" w:color="auto"/>
            <w:right w:val="none" w:sz="0" w:space="0" w:color="auto"/>
          </w:divBdr>
        </w:div>
        <w:div w:id="28456447">
          <w:marLeft w:val="0"/>
          <w:marRight w:val="0"/>
          <w:marTop w:val="0"/>
          <w:marBottom w:val="0"/>
          <w:divBdr>
            <w:top w:val="none" w:sz="0" w:space="0" w:color="auto"/>
            <w:left w:val="none" w:sz="0" w:space="0" w:color="auto"/>
            <w:bottom w:val="none" w:sz="0" w:space="0" w:color="auto"/>
            <w:right w:val="none" w:sz="0" w:space="0" w:color="auto"/>
          </w:divBdr>
          <w:divsChild>
            <w:div w:id="1721783302">
              <w:marLeft w:val="0"/>
              <w:marRight w:val="0"/>
              <w:marTop w:val="0"/>
              <w:marBottom w:val="0"/>
              <w:divBdr>
                <w:top w:val="none" w:sz="0" w:space="0" w:color="auto"/>
                <w:left w:val="none" w:sz="0" w:space="0" w:color="auto"/>
                <w:bottom w:val="none" w:sz="0" w:space="0" w:color="auto"/>
                <w:right w:val="none" w:sz="0" w:space="0" w:color="auto"/>
              </w:divBdr>
              <w:divsChild>
                <w:div w:id="554512983">
                  <w:marLeft w:val="0"/>
                  <w:marRight w:val="0"/>
                  <w:marTop w:val="0"/>
                  <w:marBottom w:val="0"/>
                  <w:divBdr>
                    <w:top w:val="none" w:sz="0" w:space="0" w:color="auto"/>
                    <w:left w:val="none" w:sz="0" w:space="0" w:color="auto"/>
                    <w:bottom w:val="single" w:sz="6" w:space="12" w:color="DDDDDD"/>
                    <w:right w:val="none" w:sz="0" w:space="0" w:color="auto"/>
                  </w:divBdr>
                  <w:divsChild>
                    <w:div w:id="2063599527">
                      <w:marLeft w:val="0"/>
                      <w:marRight w:val="0"/>
                      <w:marTop w:val="0"/>
                      <w:marBottom w:val="0"/>
                      <w:divBdr>
                        <w:top w:val="none" w:sz="0" w:space="0" w:color="auto"/>
                        <w:left w:val="none" w:sz="0" w:space="0" w:color="auto"/>
                        <w:bottom w:val="none" w:sz="0" w:space="0" w:color="auto"/>
                        <w:right w:val="none" w:sz="0" w:space="0" w:color="auto"/>
                      </w:divBdr>
                      <w:divsChild>
                        <w:div w:id="1222181544">
                          <w:marLeft w:val="0"/>
                          <w:marRight w:val="0"/>
                          <w:marTop w:val="0"/>
                          <w:marBottom w:val="0"/>
                          <w:divBdr>
                            <w:top w:val="none" w:sz="0" w:space="0" w:color="auto"/>
                            <w:left w:val="none" w:sz="0" w:space="0" w:color="auto"/>
                            <w:bottom w:val="none" w:sz="0" w:space="0" w:color="auto"/>
                            <w:right w:val="none" w:sz="0" w:space="0" w:color="auto"/>
                          </w:divBdr>
                          <w:divsChild>
                            <w:div w:id="3088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715086">
                  <w:marLeft w:val="0"/>
                  <w:marRight w:val="0"/>
                  <w:marTop w:val="0"/>
                  <w:marBottom w:val="0"/>
                  <w:divBdr>
                    <w:top w:val="none" w:sz="0" w:space="0" w:color="auto"/>
                    <w:left w:val="none" w:sz="0" w:space="0" w:color="auto"/>
                    <w:bottom w:val="single" w:sz="6" w:space="12" w:color="DDDDDD"/>
                    <w:right w:val="none" w:sz="0" w:space="0" w:color="auto"/>
                  </w:divBdr>
                  <w:divsChild>
                    <w:div w:id="134882635">
                      <w:marLeft w:val="0"/>
                      <w:marRight w:val="0"/>
                      <w:marTop w:val="0"/>
                      <w:marBottom w:val="0"/>
                      <w:divBdr>
                        <w:top w:val="none" w:sz="0" w:space="0" w:color="auto"/>
                        <w:left w:val="none" w:sz="0" w:space="0" w:color="auto"/>
                        <w:bottom w:val="none" w:sz="0" w:space="0" w:color="auto"/>
                        <w:right w:val="none" w:sz="0" w:space="0" w:color="auto"/>
                      </w:divBdr>
                      <w:divsChild>
                        <w:div w:id="537667280">
                          <w:marLeft w:val="0"/>
                          <w:marRight w:val="0"/>
                          <w:marTop w:val="0"/>
                          <w:marBottom w:val="0"/>
                          <w:divBdr>
                            <w:top w:val="none" w:sz="0" w:space="0" w:color="auto"/>
                            <w:left w:val="none" w:sz="0" w:space="0" w:color="auto"/>
                            <w:bottom w:val="none" w:sz="0" w:space="0" w:color="auto"/>
                            <w:right w:val="none" w:sz="0" w:space="0" w:color="auto"/>
                          </w:divBdr>
                          <w:divsChild>
                            <w:div w:id="156463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541701">
                  <w:marLeft w:val="0"/>
                  <w:marRight w:val="0"/>
                  <w:marTop w:val="0"/>
                  <w:marBottom w:val="0"/>
                  <w:divBdr>
                    <w:top w:val="none" w:sz="0" w:space="0" w:color="auto"/>
                    <w:left w:val="none" w:sz="0" w:space="0" w:color="auto"/>
                    <w:bottom w:val="single" w:sz="6" w:space="12" w:color="DDDDDD"/>
                    <w:right w:val="none" w:sz="0" w:space="0" w:color="auto"/>
                  </w:divBdr>
                  <w:divsChild>
                    <w:div w:id="423385658">
                      <w:marLeft w:val="0"/>
                      <w:marRight w:val="0"/>
                      <w:marTop w:val="0"/>
                      <w:marBottom w:val="0"/>
                      <w:divBdr>
                        <w:top w:val="none" w:sz="0" w:space="0" w:color="auto"/>
                        <w:left w:val="none" w:sz="0" w:space="0" w:color="auto"/>
                        <w:bottom w:val="none" w:sz="0" w:space="0" w:color="auto"/>
                        <w:right w:val="none" w:sz="0" w:space="0" w:color="auto"/>
                      </w:divBdr>
                      <w:divsChild>
                        <w:div w:id="949894619">
                          <w:marLeft w:val="0"/>
                          <w:marRight w:val="0"/>
                          <w:marTop w:val="0"/>
                          <w:marBottom w:val="0"/>
                          <w:divBdr>
                            <w:top w:val="none" w:sz="0" w:space="0" w:color="auto"/>
                            <w:left w:val="none" w:sz="0" w:space="0" w:color="auto"/>
                            <w:bottom w:val="none" w:sz="0" w:space="0" w:color="auto"/>
                            <w:right w:val="none" w:sz="0" w:space="0" w:color="auto"/>
                          </w:divBdr>
                          <w:divsChild>
                            <w:div w:id="9332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904373">
                  <w:marLeft w:val="0"/>
                  <w:marRight w:val="0"/>
                  <w:marTop w:val="0"/>
                  <w:marBottom w:val="0"/>
                  <w:divBdr>
                    <w:top w:val="none" w:sz="0" w:space="0" w:color="auto"/>
                    <w:left w:val="none" w:sz="0" w:space="0" w:color="auto"/>
                    <w:bottom w:val="single" w:sz="6" w:space="12" w:color="DDDDDD"/>
                    <w:right w:val="none" w:sz="0" w:space="0" w:color="auto"/>
                  </w:divBdr>
                  <w:divsChild>
                    <w:div w:id="2121879297">
                      <w:marLeft w:val="0"/>
                      <w:marRight w:val="0"/>
                      <w:marTop w:val="0"/>
                      <w:marBottom w:val="0"/>
                      <w:divBdr>
                        <w:top w:val="none" w:sz="0" w:space="0" w:color="auto"/>
                        <w:left w:val="none" w:sz="0" w:space="0" w:color="auto"/>
                        <w:bottom w:val="none" w:sz="0" w:space="0" w:color="auto"/>
                        <w:right w:val="none" w:sz="0" w:space="0" w:color="auto"/>
                      </w:divBdr>
                      <w:divsChild>
                        <w:div w:id="877161536">
                          <w:marLeft w:val="0"/>
                          <w:marRight w:val="0"/>
                          <w:marTop w:val="0"/>
                          <w:marBottom w:val="0"/>
                          <w:divBdr>
                            <w:top w:val="none" w:sz="0" w:space="0" w:color="auto"/>
                            <w:left w:val="none" w:sz="0" w:space="0" w:color="auto"/>
                            <w:bottom w:val="none" w:sz="0" w:space="0" w:color="auto"/>
                            <w:right w:val="none" w:sz="0" w:space="0" w:color="auto"/>
                          </w:divBdr>
                          <w:divsChild>
                            <w:div w:id="128492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013572">
                  <w:marLeft w:val="0"/>
                  <w:marRight w:val="0"/>
                  <w:marTop w:val="0"/>
                  <w:marBottom w:val="0"/>
                  <w:divBdr>
                    <w:top w:val="none" w:sz="0" w:space="0" w:color="auto"/>
                    <w:left w:val="none" w:sz="0" w:space="0" w:color="auto"/>
                    <w:bottom w:val="single" w:sz="6" w:space="12" w:color="DDDDDD"/>
                    <w:right w:val="none" w:sz="0" w:space="0" w:color="auto"/>
                  </w:divBdr>
                  <w:divsChild>
                    <w:div w:id="1519344715">
                      <w:marLeft w:val="0"/>
                      <w:marRight w:val="0"/>
                      <w:marTop w:val="0"/>
                      <w:marBottom w:val="0"/>
                      <w:divBdr>
                        <w:top w:val="none" w:sz="0" w:space="0" w:color="auto"/>
                        <w:left w:val="none" w:sz="0" w:space="0" w:color="auto"/>
                        <w:bottom w:val="none" w:sz="0" w:space="0" w:color="auto"/>
                        <w:right w:val="none" w:sz="0" w:space="0" w:color="auto"/>
                      </w:divBdr>
                      <w:divsChild>
                        <w:div w:id="2005425788">
                          <w:marLeft w:val="0"/>
                          <w:marRight w:val="0"/>
                          <w:marTop w:val="0"/>
                          <w:marBottom w:val="0"/>
                          <w:divBdr>
                            <w:top w:val="none" w:sz="0" w:space="0" w:color="auto"/>
                            <w:left w:val="none" w:sz="0" w:space="0" w:color="auto"/>
                            <w:bottom w:val="none" w:sz="0" w:space="0" w:color="auto"/>
                            <w:right w:val="none" w:sz="0" w:space="0" w:color="auto"/>
                          </w:divBdr>
                          <w:divsChild>
                            <w:div w:id="166324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688828">
                  <w:marLeft w:val="0"/>
                  <w:marRight w:val="0"/>
                  <w:marTop w:val="0"/>
                  <w:marBottom w:val="0"/>
                  <w:divBdr>
                    <w:top w:val="none" w:sz="0" w:space="0" w:color="auto"/>
                    <w:left w:val="none" w:sz="0" w:space="0" w:color="auto"/>
                    <w:bottom w:val="single" w:sz="6" w:space="12" w:color="DDDDDD"/>
                    <w:right w:val="none" w:sz="0" w:space="0" w:color="auto"/>
                  </w:divBdr>
                  <w:divsChild>
                    <w:div w:id="1912351861">
                      <w:marLeft w:val="0"/>
                      <w:marRight w:val="0"/>
                      <w:marTop w:val="0"/>
                      <w:marBottom w:val="0"/>
                      <w:divBdr>
                        <w:top w:val="none" w:sz="0" w:space="0" w:color="auto"/>
                        <w:left w:val="none" w:sz="0" w:space="0" w:color="auto"/>
                        <w:bottom w:val="none" w:sz="0" w:space="0" w:color="auto"/>
                        <w:right w:val="none" w:sz="0" w:space="0" w:color="auto"/>
                      </w:divBdr>
                      <w:divsChild>
                        <w:div w:id="948200578">
                          <w:marLeft w:val="0"/>
                          <w:marRight w:val="0"/>
                          <w:marTop w:val="0"/>
                          <w:marBottom w:val="0"/>
                          <w:divBdr>
                            <w:top w:val="none" w:sz="0" w:space="0" w:color="auto"/>
                            <w:left w:val="none" w:sz="0" w:space="0" w:color="auto"/>
                            <w:bottom w:val="none" w:sz="0" w:space="0" w:color="auto"/>
                            <w:right w:val="none" w:sz="0" w:space="0" w:color="auto"/>
                          </w:divBdr>
                          <w:divsChild>
                            <w:div w:id="208510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148738">
                  <w:marLeft w:val="0"/>
                  <w:marRight w:val="0"/>
                  <w:marTop w:val="0"/>
                  <w:marBottom w:val="0"/>
                  <w:divBdr>
                    <w:top w:val="none" w:sz="0" w:space="0" w:color="auto"/>
                    <w:left w:val="none" w:sz="0" w:space="0" w:color="auto"/>
                    <w:bottom w:val="single" w:sz="6" w:space="12" w:color="DDDDDD"/>
                    <w:right w:val="none" w:sz="0" w:space="0" w:color="auto"/>
                  </w:divBdr>
                  <w:divsChild>
                    <w:div w:id="546374023">
                      <w:marLeft w:val="0"/>
                      <w:marRight w:val="0"/>
                      <w:marTop w:val="0"/>
                      <w:marBottom w:val="0"/>
                      <w:divBdr>
                        <w:top w:val="none" w:sz="0" w:space="0" w:color="auto"/>
                        <w:left w:val="none" w:sz="0" w:space="0" w:color="auto"/>
                        <w:bottom w:val="none" w:sz="0" w:space="0" w:color="auto"/>
                        <w:right w:val="none" w:sz="0" w:space="0" w:color="auto"/>
                      </w:divBdr>
                      <w:divsChild>
                        <w:div w:id="2140801202">
                          <w:marLeft w:val="0"/>
                          <w:marRight w:val="0"/>
                          <w:marTop w:val="0"/>
                          <w:marBottom w:val="0"/>
                          <w:divBdr>
                            <w:top w:val="none" w:sz="0" w:space="0" w:color="auto"/>
                            <w:left w:val="none" w:sz="0" w:space="0" w:color="auto"/>
                            <w:bottom w:val="none" w:sz="0" w:space="0" w:color="auto"/>
                            <w:right w:val="none" w:sz="0" w:space="0" w:color="auto"/>
                          </w:divBdr>
                          <w:divsChild>
                            <w:div w:id="196604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270790">
                  <w:marLeft w:val="0"/>
                  <w:marRight w:val="0"/>
                  <w:marTop w:val="0"/>
                  <w:marBottom w:val="0"/>
                  <w:divBdr>
                    <w:top w:val="none" w:sz="0" w:space="0" w:color="auto"/>
                    <w:left w:val="none" w:sz="0" w:space="0" w:color="auto"/>
                    <w:bottom w:val="single" w:sz="6" w:space="12" w:color="DDDDDD"/>
                    <w:right w:val="none" w:sz="0" w:space="0" w:color="auto"/>
                  </w:divBdr>
                  <w:divsChild>
                    <w:div w:id="401293803">
                      <w:marLeft w:val="0"/>
                      <w:marRight w:val="0"/>
                      <w:marTop w:val="0"/>
                      <w:marBottom w:val="0"/>
                      <w:divBdr>
                        <w:top w:val="none" w:sz="0" w:space="0" w:color="auto"/>
                        <w:left w:val="none" w:sz="0" w:space="0" w:color="auto"/>
                        <w:bottom w:val="none" w:sz="0" w:space="0" w:color="auto"/>
                        <w:right w:val="none" w:sz="0" w:space="0" w:color="auto"/>
                      </w:divBdr>
                      <w:divsChild>
                        <w:div w:id="546796599">
                          <w:marLeft w:val="0"/>
                          <w:marRight w:val="0"/>
                          <w:marTop w:val="0"/>
                          <w:marBottom w:val="0"/>
                          <w:divBdr>
                            <w:top w:val="none" w:sz="0" w:space="0" w:color="auto"/>
                            <w:left w:val="none" w:sz="0" w:space="0" w:color="auto"/>
                            <w:bottom w:val="none" w:sz="0" w:space="0" w:color="auto"/>
                            <w:right w:val="none" w:sz="0" w:space="0" w:color="auto"/>
                          </w:divBdr>
                          <w:divsChild>
                            <w:div w:id="9742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450594">
                  <w:marLeft w:val="0"/>
                  <w:marRight w:val="0"/>
                  <w:marTop w:val="0"/>
                  <w:marBottom w:val="0"/>
                  <w:divBdr>
                    <w:top w:val="none" w:sz="0" w:space="0" w:color="auto"/>
                    <w:left w:val="none" w:sz="0" w:space="0" w:color="auto"/>
                    <w:bottom w:val="single" w:sz="6" w:space="12" w:color="DDDDDD"/>
                    <w:right w:val="none" w:sz="0" w:space="0" w:color="auto"/>
                  </w:divBdr>
                  <w:divsChild>
                    <w:div w:id="526649554">
                      <w:marLeft w:val="0"/>
                      <w:marRight w:val="0"/>
                      <w:marTop w:val="0"/>
                      <w:marBottom w:val="0"/>
                      <w:divBdr>
                        <w:top w:val="none" w:sz="0" w:space="0" w:color="auto"/>
                        <w:left w:val="none" w:sz="0" w:space="0" w:color="auto"/>
                        <w:bottom w:val="none" w:sz="0" w:space="0" w:color="auto"/>
                        <w:right w:val="none" w:sz="0" w:space="0" w:color="auto"/>
                      </w:divBdr>
                      <w:divsChild>
                        <w:div w:id="123618249">
                          <w:marLeft w:val="0"/>
                          <w:marRight w:val="0"/>
                          <w:marTop w:val="0"/>
                          <w:marBottom w:val="0"/>
                          <w:divBdr>
                            <w:top w:val="none" w:sz="0" w:space="0" w:color="auto"/>
                            <w:left w:val="none" w:sz="0" w:space="0" w:color="auto"/>
                            <w:bottom w:val="none" w:sz="0" w:space="0" w:color="auto"/>
                            <w:right w:val="none" w:sz="0" w:space="0" w:color="auto"/>
                          </w:divBdr>
                          <w:divsChild>
                            <w:div w:id="126399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766853">
                  <w:marLeft w:val="0"/>
                  <w:marRight w:val="0"/>
                  <w:marTop w:val="0"/>
                  <w:marBottom w:val="0"/>
                  <w:divBdr>
                    <w:top w:val="none" w:sz="0" w:space="0" w:color="auto"/>
                    <w:left w:val="none" w:sz="0" w:space="0" w:color="auto"/>
                    <w:bottom w:val="single" w:sz="6" w:space="12" w:color="DDDDDD"/>
                    <w:right w:val="none" w:sz="0" w:space="0" w:color="auto"/>
                  </w:divBdr>
                  <w:divsChild>
                    <w:div w:id="116677576">
                      <w:marLeft w:val="0"/>
                      <w:marRight w:val="0"/>
                      <w:marTop w:val="0"/>
                      <w:marBottom w:val="0"/>
                      <w:divBdr>
                        <w:top w:val="none" w:sz="0" w:space="0" w:color="auto"/>
                        <w:left w:val="none" w:sz="0" w:space="0" w:color="auto"/>
                        <w:bottom w:val="none" w:sz="0" w:space="0" w:color="auto"/>
                        <w:right w:val="none" w:sz="0" w:space="0" w:color="auto"/>
                      </w:divBdr>
                      <w:divsChild>
                        <w:div w:id="119031990">
                          <w:marLeft w:val="0"/>
                          <w:marRight w:val="0"/>
                          <w:marTop w:val="0"/>
                          <w:marBottom w:val="0"/>
                          <w:divBdr>
                            <w:top w:val="none" w:sz="0" w:space="0" w:color="auto"/>
                            <w:left w:val="none" w:sz="0" w:space="0" w:color="auto"/>
                            <w:bottom w:val="none" w:sz="0" w:space="0" w:color="auto"/>
                            <w:right w:val="none" w:sz="0" w:space="0" w:color="auto"/>
                          </w:divBdr>
                          <w:divsChild>
                            <w:div w:id="24014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1280">
                  <w:marLeft w:val="0"/>
                  <w:marRight w:val="0"/>
                  <w:marTop w:val="0"/>
                  <w:marBottom w:val="0"/>
                  <w:divBdr>
                    <w:top w:val="none" w:sz="0" w:space="0" w:color="auto"/>
                    <w:left w:val="none" w:sz="0" w:space="0" w:color="auto"/>
                    <w:bottom w:val="none" w:sz="0" w:space="0" w:color="auto"/>
                    <w:right w:val="none" w:sz="0" w:space="0" w:color="auto"/>
                  </w:divBdr>
                  <w:divsChild>
                    <w:div w:id="544683794">
                      <w:marLeft w:val="0"/>
                      <w:marRight w:val="0"/>
                      <w:marTop w:val="0"/>
                      <w:marBottom w:val="0"/>
                      <w:divBdr>
                        <w:top w:val="none" w:sz="0" w:space="0" w:color="auto"/>
                        <w:left w:val="none" w:sz="0" w:space="0" w:color="auto"/>
                        <w:bottom w:val="none" w:sz="0" w:space="0" w:color="auto"/>
                        <w:right w:val="none" w:sz="0" w:space="0" w:color="auto"/>
                      </w:divBdr>
                      <w:divsChild>
                        <w:div w:id="1398474163">
                          <w:marLeft w:val="0"/>
                          <w:marRight w:val="0"/>
                          <w:marTop w:val="0"/>
                          <w:marBottom w:val="0"/>
                          <w:divBdr>
                            <w:top w:val="none" w:sz="0" w:space="0" w:color="auto"/>
                            <w:left w:val="none" w:sz="0" w:space="0" w:color="auto"/>
                            <w:bottom w:val="none" w:sz="0" w:space="0" w:color="auto"/>
                            <w:right w:val="none" w:sz="0" w:space="0" w:color="auto"/>
                          </w:divBdr>
                          <w:divsChild>
                            <w:div w:id="153153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8940123">
      <w:bodyDiv w:val="1"/>
      <w:marLeft w:val="0"/>
      <w:marRight w:val="0"/>
      <w:marTop w:val="0"/>
      <w:marBottom w:val="0"/>
      <w:divBdr>
        <w:top w:val="none" w:sz="0" w:space="0" w:color="auto"/>
        <w:left w:val="none" w:sz="0" w:space="0" w:color="auto"/>
        <w:bottom w:val="none" w:sz="0" w:space="0" w:color="auto"/>
        <w:right w:val="none" w:sz="0" w:space="0" w:color="auto"/>
      </w:divBdr>
      <w:divsChild>
        <w:div w:id="599605808">
          <w:marLeft w:val="0"/>
          <w:marRight w:val="0"/>
          <w:marTop w:val="0"/>
          <w:marBottom w:val="0"/>
          <w:divBdr>
            <w:top w:val="none" w:sz="0" w:space="0" w:color="auto"/>
            <w:left w:val="none" w:sz="0" w:space="0" w:color="auto"/>
            <w:bottom w:val="single" w:sz="6" w:space="12" w:color="DDDDDD"/>
            <w:right w:val="none" w:sz="0" w:space="0" w:color="auto"/>
          </w:divBdr>
          <w:divsChild>
            <w:div w:id="1198931099">
              <w:marLeft w:val="0"/>
              <w:marRight w:val="0"/>
              <w:marTop w:val="0"/>
              <w:marBottom w:val="0"/>
              <w:divBdr>
                <w:top w:val="none" w:sz="0" w:space="0" w:color="auto"/>
                <w:left w:val="none" w:sz="0" w:space="0" w:color="auto"/>
                <w:bottom w:val="none" w:sz="0" w:space="0" w:color="auto"/>
                <w:right w:val="none" w:sz="0" w:space="0" w:color="auto"/>
              </w:divBdr>
              <w:divsChild>
                <w:div w:id="1180775182">
                  <w:marLeft w:val="0"/>
                  <w:marRight w:val="0"/>
                  <w:marTop w:val="0"/>
                  <w:marBottom w:val="0"/>
                  <w:divBdr>
                    <w:top w:val="none" w:sz="0" w:space="0" w:color="auto"/>
                    <w:left w:val="none" w:sz="0" w:space="0" w:color="auto"/>
                    <w:bottom w:val="none" w:sz="0" w:space="0" w:color="auto"/>
                    <w:right w:val="none" w:sz="0" w:space="0" w:color="auto"/>
                  </w:divBdr>
                  <w:divsChild>
                    <w:div w:id="1692950053">
                      <w:marLeft w:val="0"/>
                      <w:marRight w:val="0"/>
                      <w:marTop w:val="0"/>
                      <w:marBottom w:val="0"/>
                      <w:divBdr>
                        <w:top w:val="none" w:sz="0" w:space="0" w:color="auto"/>
                        <w:left w:val="none" w:sz="0" w:space="0" w:color="auto"/>
                        <w:bottom w:val="none" w:sz="0" w:space="0" w:color="auto"/>
                        <w:right w:val="none" w:sz="0" w:space="0" w:color="auto"/>
                      </w:divBdr>
                      <w:divsChild>
                        <w:div w:id="1037581044">
                          <w:marLeft w:val="0"/>
                          <w:marRight w:val="0"/>
                          <w:marTop w:val="0"/>
                          <w:marBottom w:val="0"/>
                          <w:divBdr>
                            <w:top w:val="none" w:sz="0" w:space="0" w:color="auto"/>
                            <w:left w:val="none" w:sz="0" w:space="0" w:color="auto"/>
                            <w:bottom w:val="none" w:sz="0" w:space="0" w:color="auto"/>
                            <w:right w:val="none" w:sz="0" w:space="0" w:color="auto"/>
                          </w:divBdr>
                        </w:div>
                        <w:div w:id="110364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716934">
          <w:marLeft w:val="0"/>
          <w:marRight w:val="0"/>
          <w:marTop w:val="0"/>
          <w:marBottom w:val="0"/>
          <w:divBdr>
            <w:top w:val="none" w:sz="0" w:space="0" w:color="auto"/>
            <w:left w:val="none" w:sz="0" w:space="0" w:color="auto"/>
            <w:bottom w:val="single" w:sz="6" w:space="12" w:color="DDDDDD"/>
            <w:right w:val="none" w:sz="0" w:space="0" w:color="auto"/>
          </w:divBdr>
          <w:divsChild>
            <w:div w:id="1638950496">
              <w:marLeft w:val="0"/>
              <w:marRight w:val="0"/>
              <w:marTop w:val="0"/>
              <w:marBottom w:val="0"/>
              <w:divBdr>
                <w:top w:val="none" w:sz="0" w:space="0" w:color="auto"/>
                <w:left w:val="none" w:sz="0" w:space="0" w:color="auto"/>
                <w:bottom w:val="none" w:sz="0" w:space="0" w:color="auto"/>
                <w:right w:val="none" w:sz="0" w:space="0" w:color="auto"/>
              </w:divBdr>
              <w:divsChild>
                <w:div w:id="1530601687">
                  <w:marLeft w:val="0"/>
                  <w:marRight w:val="0"/>
                  <w:marTop w:val="0"/>
                  <w:marBottom w:val="0"/>
                  <w:divBdr>
                    <w:top w:val="none" w:sz="0" w:space="0" w:color="auto"/>
                    <w:left w:val="none" w:sz="0" w:space="0" w:color="auto"/>
                    <w:bottom w:val="none" w:sz="0" w:space="0" w:color="auto"/>
                    <w:right w:val="none" w:sz="0" w:space="0" w:color="auto"/>
                  </w:divBdr>
                  <w:divsChild>
                    <w:div w:id="1237013028">
                      <w:marLeft w:val="0"/>
                      <w:marRight w:val="0"/>
                      <w:marTop w:val="0"/>
                      <w:marBottom w:val="0"/>
                      <w:divBdr>
                        <w:top w:val="none" w:sz="0" w:space="0" w:color="auto"/>
                        <w:left w:val="none" w:sz="0" w:space="0" w:color="auto"/>
                        <w:bottom w:val="none" w:sz="0" w:space="0" w:color="auto"/>
                        <w:right w:val="none" w:sz="0" w:space="0" w:color="auto"/>
                      </w:divBdr>
                      <w:divsChild>
                        <w:div w:id="960918209">
                          <w:marLeft w:val="0"/>
                          <w:marRight w:val="0"/>
                          <w:marTop w:val="0"/>
                          <w:marBottom w:val="0"/>
                          <w:divBdr>
                            <w:top w:val="none" w:sz="0" w:space="0" w:color="auto"/>
                            <w:left w:val="none" w:sz="0" w:space="0" w:color="auto"/>
                            <w:bottom w:val="none" w:sz="0" w:space="0" w:color="auto"/>
                            <w:right w:val="none" w:sz="0" w:space="0" w:color="auto"/>
                          </w:divBdr>
                        </w:div>
                        <w:div w:id="204525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355763">
          <w:marLeft w:val="0"/>
          <w:marRight w:val="0"/>
          <w:marTop w:val="0"/>
          <w:marBottom w:val="0"/>
          <w:divBdr>
            <w:top w:val="none" w:sz="0" w:space="0" w:color="auto"/>
            <w:left w:val="none" w:sz="0" w:space="0" w:color="auto"/>
            <w:bottom w:val="single" w:sz="6" w:space="12" w:color="DDDDDD"/>
            <w:right w:val="none" w:sz="0" w:space="0" w:color="auto"/>
          </w:divBdr>
          <w:divsChild>
            <w:div w:id="788276273">
              <w:marLeft w:val="0"/>
              <w:marRight w:val="0"/>
              <w:marTop w:val="0"/>
              <w:marBottom w:val="0"/>
              <w:divBdr>
                <w:top w:val="none" w:sz="0" w:space="0" w:color="auto"/>
                <w:left w:val="none" w:sz="0" w:space="0" w:color="auto"/>
                <w:bottom w:val="none" w:sz="0" w:space="0" w:color="auto"/>
                <w:right w:val="none" w:sz="0" w:space="0" w:color="auto"/>
              </w:divBdr>
              <w:divsChild>
                <w:div w:id="633875634">
                  <w:marLeft w:val="0"/>
                  <w:marRight w:val="0"/>
                  <w:marTop w:val="0"/>
                  <w:marBottom w:val="0"/>
                  <w:divBdr>
                    <w:top w:val="none" w:sz="0" w:space="0" w:color="auto"/>
                    <w:left w:val="none" w:sz="0" w:space="0" w:color="auto"/>
                    <w:bottom w:val="none" w:sz="0" w:space="0" w:color="auto"/>
                    <w:right w:val="none" w:sz="0" w:space="0" w:color="auto"/>
                  </w:divBdr>
                  <w:divsChild>
                    <w:div w:id="333652255">
                      <w:marLeft w:val="0"/>
                      <w:marRight w:val="0"/>
                      <w:marTop w:val="0"/>
                      <w:marBottom w:val="0"/>
                      <w:divBdr>
                        <w:top w:val="none" w:sz="0" w:space="0" w:color="auto"/>
                        <w:left w:val="none" w:sz="0" w:space="0" w:color="auto"/>
                        <w:bottom w:val="none" w:sz="0" w:space="0" w:color="auto"/>
                        <w:right w:val="none" w:sz="0" w:space="0" w:color="auto"/>
                      </w:divBdr>
                      <w:divsChild>
                        <w:div w:id="1033311847">
                          <w:marLeft w:val="0"/>
                          <w:marRight w:val="0"/>
                          <w:marTop w:val="0"/>
                          <w:marBottom w:val="0"/>
                          <w:divBdr>
                            <w:top w:val="none" w:sz="0" w:space="0" w:color="auto"/>
                            <w:left w:val="none" w:sz="0" w:space="0" w:color="auto"/>
                            <w:bottom w:val="none" w:sz="0" w:space="0" w:color="auto"/>
                            <w:right w:val="none" w:sz="0" w:space="0" w:color="auto"/>
                          </w:divBdr>
                        </w:div>
                        <w:div w:id="11772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48588">
          <w:marLeft w:val="0"/>
          <w:marRight w:val="0"/>
          <w:marTop w:val="0"/>
          <w:marBottom w:val="0"/>
          <w:divBdr>
            <w:top w:val="none" w:sz="0" w:space="0" w:color="auto"/>
            <w:left w:val="none" w:sz="0" w:space="0" w:color="auto"/>
            <w:bottom w:val="single" w:sz="6" w:space="12" w:color="DDDDDD"/>
            <w:right w:val="none" w:sz="0" w:space="0" w:color="auto"/>
          </w:divBdr>
          <w:divsChild>
            <w:div w:id="1011836319">
              <w:marLeft w:val="0"/>
              <w:marRight w:val="0"/>
              <w:marTop w:val="0"/>
              <w:marBottom w:val="0"/>
              <w:divBdr>
                <w:top w:val="none" w:sz="0" w:space="0" w:color="auto"/>
                <w:left w:val="none" w:sz="0" w:space="0" w:color="auto"/>
                <w:bottom w:val="none" w:sz="0" w:space="0" w:color="auto"/>
                <w:right w:val="none" w:sz="0" w:space="0" w:color="auto"/>
              </w:divBdr>
              <w:divsChild>
                <w:div w:id="186451059">
                  <w:marLeft w:val="0"/>
                  <w:marRight w:val="0"/>
                  <w:marTop w:val="0"/>
                  <w:marBottom w:val="0"/>
                  <w:divBdr>
                    <w:top w:val="none" w:sz="0" w:space="0" w:color="auto"/>
                    <w:left w:val="none" w:sz="0" w:space="0" w:color="auto"/>
                    <w:bottom w:val="none" w:sz="0" w:space="0" w:color="auto"/>
                    <w:right w:val="none" w:sz="0" w:space="0" w:color="auto"/>
                  </w:divBdr>
                  <w:divsChild>
                    <w:div w:id="212892661">
                      <w:marLeft w:val="0"/>
                      <w:marRight w:val="0"/>
                      <w:marTop w:val="0"/>
                      <w:marBottom w:val="0"/>
                      <w:divBdr>
                        <w:top w:val="none" w:sz="0" w:space="0" w:color="auto"/>
                        <w:left w:val="none" w:sz="0" w:space="0" w:color="auto"/>
                        <w:bottom w:val="none" w:sz="0" w:space="0" w:color="auto"/>
                        <w:right w:val="none" w:sz="0" w:space="0" w:color="auto"/>
                      </w:divBdr>
                      <w:divsChild>
                        <w:div w:id="2056075201">
                          <w:marLeft w:val="0"/>
                          <w:marRight w:val="0"/>
                          <w:marTop w:val="0"/>
                          <w:marBottom w:val="0"/>
                          <w:divBdr>
                            <w:top w:val="none" w:sz="0" w:space="0" w:color="auto"/>
                            <w:left w:val="none" w:sz="0" w:space="0" w:color="auto"/>
                            <w:bottom w:val="none" w:sz="0" w:space="0" w:color="auto"/>
                            <w:right w:val="none" w:sz="0" w:space="0" w:color="auto"/>
                          </w:divBdr>
                        </w:div>
                        <w:div w:id="184813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3758">
          <w:marLeft w:val="0"/>
          <w:marRight w:val="0"/>
          <w:marTop w:val="0"/>
          <w:marBottom w:val="0"/>
          <w:divBdr>
            <w:top w:val="none" w:sz="0" w:space="0" w:color="auto"/>
            <w:left w:val="none" w:sz="0" w:space="0" w:color="auto"/>
            <w:bottom w:val="single" w:sz="6" w:space="12" w:color="DDDDDD"/>
            <w:right w:val="none" w:sz="0" w:space="0" w:color="auto"/>
          </w:divBdr>
          <w:divsChild>
            <w:div w:id="2005283377">
              <w:marLeft w:val="0"/>
              <w:marRight w:val="0"/>
              <w:marTop w:val="0"/>
              <w:marBottom w:val="0"/>
              <w:divBdr>
                <w:top w:val="none" w:sz="0" w:space="0" w:color="auto"/>
                <w:left w:val="none" w:sz="0" w:space="0" w:color="auto"/>
                <w:bottom w:val="none" w:sz="0" w:space="0" w:color="auto"/>
                <w:right w:val="none" w:sz="0" w:space="0" w:color="auto"/>
              </w:divBdr>
              <w:divsChild>
                <w:div w:id="1554655438">
                  <w:marLeft w:val="0"/>
                  <w:marRight w:val="0"/>
                  <w:marTop w:val="0"/>
                  <w:marBottom w:val="0"/>
                  <w:divBdr>
                    <w:top w:val="none" w:sz="0" w:space="0" w:color="auto"/>
                    <w:left w:val="none" w:sz="0" w:space="0" w:color="auto"/>
                    <w:bottom w:val="none" w:sz="0" w:space="0" w:color="auto"/>
                    <w:right w:val="none" w:sz="0" w:space="0" w:color="auto"/>
                  </w:divBdr>
                  <w:divsChild>
                    <w:div w:id="1564098370">
                      <w:marLeft w:val="0"/>
                      <w:marRight w:val="0"/>
                      <w:marTop w:val="0"/>
                      <w:marBottom w:val="0"/>
                      <w:divBdr>
                        <w:top w:val="none" w:sz="0" w:space="0" w:color="auto"/>
                        <w:left w:val="none" w:sz="0" w:space="0" w:color="auto"/>
                        <w:bottom w:val="none" w:sz="0" w:space="0" w:color="auto"/>
                        <w:right w:val="none" w:sz="0" w:space="0" w:color="auto"/>
                      </w:divBdr>
                      <w:divsChild>
                        <w:div w:id="465977627">
                          <w:marLeft w:val="0"/>
                          <w:marRight w:val="0"/>
                          <w:marTop w:val="0"/>
                          <w:marBottom w:val="0"/>
                          <w:divBdr>
                            <w:top w:val="none" w:sz="0" w:space="0" w:color="auto"/>
                            <w:left w:val="none" w:sz="0" w:space="0" w:color="auto"/>
                            <w:bottom w:val="none" w:sz="0" w:space="0" w:color="auto"/>
                            <w:right w:val="none" w:sz="0" w:space="0" w:color="auto"/>
                          </w:divBdr>
                        </w:div>
                        <w:div w:id="100860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410729">
          <w:marLeft w:val="0"/>
          <w:marRight w:val="0"/>
          <w:marTop w:val="0"/>
          <w:marBottom w:val="0"/>
          <w:divBdr>
            <w:top w:val="none" w:sz="0" w:space="0" w:color="auto"/>
            <w:left w:val="none" w:sz="0" w:space="0" w:color="auto"/>
            <w:bottom w:val="single" w:sz="6" w:space="12" w:color="DDDDDD"/>
            <w:right w:val="none" w:sz="0" w:space="0" w:color="auto"/>
          </w:divBdr>
          <w:divsChild>
            <w:div w:id="1804345541">
              <w:marLeft w:val="0"/>
              <w:marRight w:val="0"/>
              <w:marTop w:val="0"/>
              <w:marBottom w:val="0"/>
              <w:divBdr>
                <w:top w:val="none" w:sz="0" w:space="0" w:color="auto"/>
                <w:left w:val="none" w:sz="0" w:space="0" w:color="auto"/>
                <w:bottom w:val="none" w:sz="0" w:space="0" w:color="auto"/>
                <w:right w:val="none" w:sz="0" w:space="0" w:color="auto"/>
              </w:divBdr>
              <w:divsChild>
                <w:div w:id="1617253171">
                  <w:marLeft w:val="0"/>
                  <w:marRight w:val="0"/>
                  <w:marTop w:val="0"/>
                  <w:marBottom w:val="0"/>
                  <w:divBdr>
                    <w:top w:val="none" w:sz="0" w:space="0" w:color="auto"/>
                    <w:left w:val="none" w:sz="0" w:space="0" w:color="auto"/>
                    <w:bottom w:val="none" w:sz="0" w:space="0" w:color="auto"/>
                    <w:right w:val="none" w:sz="0" w:space="0" w:color="auto"/>
                  </w:divBdr>
                  <w:divsChild>
                    <w:div w:id="1056969271">
                      <w:marLeft w:val="0"/>
                      <w:marRight w:val="0"/>
                      <w:marTop w:val="0"/>
                      <w:marBottom w:val="0"/>
                      <w:divBdr>
                        <w:top w:val="none" w:sz="0" w:space="0" w:color="auto"/>
                        <w:left w:val="none" w:sz="0" w:space="0" w:color="auto"/>
                        <w:bottom w:val="none" w:sz="0" w:space="0" w:color="auto"/>
                        <w:right w:val="none" w:sz="0" w:space="0" w:color="auto"/>
                      </w:divBdr>
                      <w:divsChild>
                        <w:div w:id="662662489">
                          <w:marLeft w:val="0"/>
                          <w:marRight w:val="0"/>
                          <w:marTop w:val="0"/>
                          <w:marBottom w:val="0"/>
                          <w:divBdr>
                            <w:top w:val="none" w:sz="0" w:space="0" w:color="auto"/>
                            <w:left w:val="none" w:sz="0" w:space="0" w:color="auto"/>
                            <w:bottom w:val="none" w:sz="0" w:space="0" w:color="auto"/>
                            <w:right w:val="none" w:sz="0" w:space="0" w:color="auto"/>
                          </w:divBdr>
                        </w:div>
                        <w:div w:id="31707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109855">
          <w:marLeft w:val="0"/>
          <w:marRight w:val="0"/>
          <w:marTop w:val="0"/>
          <w:marBottom w:val="0"/>
          <w:divBdr>
            <w:top w:val="none" w:sz="0" w:space="0" w:color="auto"/>
            <w:left w:val="none" w:sz="0" w:space="0" w:color="auto"/>
            <w:bottom w:val="none" w:sz="0" w:space="0" w:color="auto"/>
            <w:right w:val="none" w:sz="0" w:space="0" w:color="auto"/>
          </w:divBdr>
          <w:divsChild>
            <w:div w:id="1939823565">
              <w:marLeft w:val="0"/>
              <w:marRight w:val="0"/>
              <w:marTop w:val="0"/>
              <w:marBottom w:val="0"/>
              <w:divBdr>
                <w:top w:val="none" w:sz="0" w:space="0" w:color="auto"/>
                <w:left w:val="none" w:sz="0" w:space="0" w:color="auto"/>
                <w:bottom w:val="none" w:sz="0" w:space="0" w:color="auto"/>
                <w:right w:val="none" w:sz="0" w:space="0" w:color="auto"/>
              </w:divBdr>
              <w:divsChild>
                <w:div w:id="618683702">
                  <w:marLeft w:val="0"/>
                  <w:marRight w:val="0"/>
                  <w:marTop w:val="0"/>
                  <w:marBottom w:val="0"/>
                  <w:divBdr>
                    <w:top w:val="none" w:sz="0" w:space="0" w:color="auto"/>
                    <w:left w:val="none" w:sz="0" w:space="0" w:color="auto"/>
                    <w:bottom w:val="none" w:sz="0" w:space="0" w:color="auto"/>
                    <w:right w:val="none" w:sz="0" w:space="0" w:color="auto"/>
                  </w:divBdr>
                  <w:divsChild>
                    <w:div w:id="386150314">
                      <w:marLeft w:val="0"/>
                      <w:marRight w:val="0"/>
                      <w:marTop w:val="0"/>
                      <w:marBottom w:val="0"/>
                      <w:divBdr>
                        <w:top w:val="none" w:sz="0" w:space="0" w:color="auto"/>
                        <w:left w:val="none" w:sz="0" w:space="0" w:color="auto"/>
                        <w:bottom w:val="none" w:sz="0" w:space="0" w:color="auto"/>
                        <w:right w:val="none" w:sz="0" w:space="0" w:color="auto"/>
                      </w:divBdr>
                      <w:divsChild>
                        <w:div w:id="1066490612">
                          <w:marLeft w:val="0"/>
                          <w:marRight w:val="0"/>
                          <w:marTop w:val="0"/>
                          <w:marBottom w:val="0"/>
                          <w:divBdr>
                            <w:top w:val="none" w:sz="0" w:space="0" w:color="auto"/>
                            <w:left w:val="none" w:sz="0" w:space="0" w:color="auto"/>
                            <w:bottom w:val="none" w:sz="0" w:space="0" w:color="auto"/>
                            <w:right w:val="none" w:sz="0" w:space="0" w:color="auto"/>
                          </w:divBdr>
                        </w:div>
                        <w:div w:id="16534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805866">
      <w:bodyDiv w:val="1"/>
      <w:marLeft w:val="0"/>
      <w:marRight w:val="0"/>
      <w:marTop w:val="0"/>
      <w:marBottom w:val="0"/>
      <w:divBdr>
        <w:top w:val="none" w:sz="0" w:space="0" w:color="auto"/>
        <w:left w:val="none" w:sz="0" w:space="0" w:color="auto"/>
        <w:bottom w:val="none" w:sz="0" w:space="0" w:color="auto"/>
        <w:right w:val="none" w:sz="0" w:space="0" w:color="auto"/>
      </w:divBdr>
    </w:div>
    <w:div w:id="1693650176">
      <w:bodyDiv w:val="1"/>
      <w:marLeft w:val="0"/>
      <w:marRight w:val="0"/>
      <w:marTop w:val="0"/>
      <w:marBottom w:val="0"/>
      <w:divBdr>
        <w:top w:val="none" w:sz="0" w:space="0" w:color="auto"/>
        <w:left w:val="none" w:sz="0" w:space="0" w:color="auto"/>
        <w:bottom w:val="none" w:sz="0" w:space="0" w:color="auto"/>
        <w:right w:val="none" w:sz="0" w:space="0" w:color="auto"/>
      </w:divBdr>
      <w:divsChild>
        <w:div w:id="3563957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IRPS.2011.5784556" TargetMode="External"/><Relationship Id="rId13" Type="http://schemas.openxmlformats.org/officeDocument/2006/relationships/image" Target="media/image2.gif"/><Relationship Id="rId18" Type="http://schemas.openxmlformats.org/officeDocument/2006/relationships/hyperlink" Target="https://ieeexplore.ieee.org/mediastore_new/IEEE/content/media/5776767/5784429/5784556/5784556-fig-5-source-large.gif" TargetMode="External"/><Relationship Id="rId3" Type="http://schemas.openxmlformats.org/officeDocument/2006/relationships/customXml" Target="../customXml/item3.xml"/><Relationship Id="rId21" Type="http://schemas.openxmlformats.org/officeDocument/2006/relationships/image" Target="media/image6.gif"/><Relationship Id="rId7" Type="http://schemas.openxmlformats.org/officeDocument/2006/relationships/webSettings" Target="webSettings.xml"/><Relationship Id="rId12" Type="http://schemas.openxmlformats.org/officeDocument/2006/relationships/hyperlink" Target="https://ieeexplore.ieee.org/mediastore_new/IEEE/content/media/5776767/5784429/5784556/5784556-fig-2-source-large.gif" TargetMode="External"/><Relationship Id="rId17" Type="http://schemas.openxmlformats.org/officeDocument/2006/relationships/image" Target="media/image4.gi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eeexplore.ieee.org/mediastore_new/IEEE/content/media/5776767/5784429/5784556/5784556-fig-4-source-large.gif" TargetMode="External"/><Relationship Id="rId20" Type="http://schemas.openxmlformats.org/officeDocument/2006/relationships/hyperlink" Target="https://ieeexplore.ieee.org/mediastore_new/IEEE/content/media/5776767/5784429/5784556/5784556-fig-6-source-large.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image" Target="media/image7.gif"/><Relationship Id="rId10" Type="http://schemas.openxmlformats.org/officeDocument/2006/relationships/hyperlink" Target="https://ieeexplore.ieee.org/mediastore_new/IEEE/content/media/5776767/5784429/5784556/5784556-fig-1-source-large.gif" TargetMode="External"/><Relationship Id="rId19" Type="http://schemas.openxmlformats.org/officeDocument/2006/relationships/image" Target="media/image5.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5776767/5784429/5784556/5784556-fig-3-source-large.gif" TargetMode="External"/><Relationship Id="rId22" Type="http://schemas.openxmlformats.org/officeDocument/2006/relationships/hyperlink" Target="https://ieeexplore.ieee.org/mediastore_new/IEEE/content/media/5776767/5784429/5784556/5784556-fig-7-source-large.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7F50B8-4C75-4255-B686-98896A504E52}">
  <ds:schemaRefs>
    <ds:schemaRef ds:uri="http://schemas.microsoft.com/sharepoint/v3/contenttype/forms"/>
  </ds:schemaRefs>
</ds:datastoreItem>
</file>

<file path=customXml/itemProps2.xml><?xml version="1.0" encoding="utf-8"?>
<ds:datastoreItem xmlns:ds="http://schemas.openxmlformats.org/officeDocument/2006/customXml" ds:itemID="{4BE0045A-0BE6-43EA-A3B5-2606E10FD3B8}">
  <ds:schemaRefs>
    <ds:schemaRef ds:uri="http://schemas.microsoft.com/office/2006/metadata/properties"/>
    <ds:schemaRef ds:uri="http://purl.org/dc/elements/1.1/"/>
    <ds:schemaRef ds:uri="http://purl.org/dc/dcmitype/"/>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1dc5a16d-a9e1-4107-81af-b56e13c8526c"/>
    <ds:schemaRef ds:uri="455b151d-75b8-4438-a72d-e06b314124a1"/>
    <ds:schemaRef ds:uri="http://purl.org/dc/terms/"/>
  </ds:schemaRefs>
</ds:datastoreItem>
</file>

<file path=customXml/itemProps3.xml><?xml version="1.0" encoding="utf-8"?>
<ds:datastoreItem xmlns:ds="http://schemas.openxmlformats.org/officeDocument/2006/customXml" ds:itemID="{83401E0E-E063-438C-86E4-C000D9B0F9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9</Pages>
  <Words>3917</Words>
  <Characters>20921</Characters>
  <Application>Microsoft Office Word</Application>
  <DocSecurity>8</DocSecurity>
  <Lines>402</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68</cp:revision>
  <dcterms:created xsi:type="dcterms:W3CDTF">2019-07-18T20:03:00Z</dcterms:created>
  <dcterms:modified xsi:type="dcterms:W3CDTF">2019-07-19T14:06:00Z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