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900D37">
      <w:pPr>
        <w:pStyle w:val="Default"/>
        <w:spacing w:line="240" w:lineRule="auto"/>
        <w:rPr>
          <w:rFonts w:asciiTheme="minorHAnsi" w:hAnsiTheme="minorHAnsi" w:cstheme="minorHAnsi"/>
          <w:sz w:val="22"/>
          <w:szCs w:val="22"/>
        </w:rPr>
      </w:pPr>
      <w:bookmarkStart w:id="0" w:name="_GoBack"/>
      <w:bookmarkEnd w:id="0"/>
    </w:p>
    <w:p w14:paraId="2538F7F5" w14:textId="77777777" w:rsidR="000A7622" w:rsidRPr="00C04F25" w:rsidRDefault="000A7622" w:rsidP="00900D37">
      <w:pPr>
        <w:autoSpaceDE w:val="0"/>
        <w:autoSpaceDN w:val="0"/>
        <w:adjustRightInd w:val="0"/>
        <w:spacing w:line="240" w:lineRule="auto"/>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900D37">
      <w:pPr>
        <w:autoSpaceDE w:val="0"/>
        <w:autoSpaceDN w:val="0"/>
        <w:adjustRightInd w:val="0"/>
        <w:spacing w:line="240" w:lineRule="auto"/>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900D37">
      <w:pPr>
        <w:autoSpaceDE w:val="0"/>
        <w:autoSpaceDN w:val="0"/>
        <w:adjustRightInd w:val="0"/>
        <w:spacing w:line="240" w:lineRule="auto"/>
        <w:rPr>
          <w:rFonts w:cstheme="minorHAnsi"/>
          <w:b/>
          <w:bCs/>
          <w:i/>
          <w:iCs/>
        </w:rPr>
      </w:pPr>
    </w:p>
    <w:p w14:paraId="161853CC" w14:textId="76D093BF" w:rsidR="000A7622" w:rsidRPr="00C04F25" w:rsidRDefault="008B3EC6" w:rsidP="00900D37">
      <w:pPr>
        <w:autoSpaceDE w:val="0"/>
        <w:autoSpaceDN w:val="0"/>
        <w:adjustRightInd w:val="0"/>
        <w:spacing w:line="240" w:lineRule="auto"/>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735C37">
        <w:rPr>
          <w:rFonts w:cstheme="minorHAnsi"/>
          <w:b/>
          <w:bCs/>
          <w:i/>
          <w:iCs/>
          <w:sz w:val="32"/>
          <w:szCs w:val="32"/>
        </w:rPr>
        <w:t>College of</w:t>
      </w:r>
      <w:r w:rsidR="00E33BB8">
        <w:rPr>
          <w:rFonts w:cstheme="minorHAnsi"/>
          <w:b/>
          <w:bCs/>
          <w:i/>
          <w:iCs/>
          <w:sz w:val="32"/>
          <w:szCs w:val="32"/>
        </w:rPr>
        <w:t xml:space="preserve"> </w:t>
      </w:r>
      <w:r>
        <w:rPr>
          <w:rFonts w:cstheme="minorHAnsi"/>
          <w:b/>
          <w:bCs/>
          <w:i/>
          <w:iCs/>
          <w:sz w:val="32"/>
          <w:szCs w:val="32"/>
        </w:rPr>
        <w:t>Arts and Sciences</w:t>
      </w:r>
    </w:p>
    <w:bookmarkEnd w:id="1"/>
    <w:p w14:paraId="3E538636" w14:textId="77777777" w:rsidR="000A7622" w:rsidRPr="006F33A4" w:rsidRDefault="000A7622" w:rsidP="00900D37">
      <w:pPr>
        <w:spacing w:line="240" w:lineRule="auto"/>
        <w:jc w:val="center"/>
        <w:rPr>
          <w:rFonts w:cstheme="minorHAnsi"/>
          <w:b/>
          <w:bCs/>
          <w:i/>
          <w:iCs/>
        </w:rPr>
      </w:pPr>
    </w:p>
    <w:p w14:paraId="25509BF0" w14:textId="03C4F5A6" w:rsidR="000A7622" w:rsidRPr="00C04F25" w:rsidRDefault="000A7622" w:rsidP="00900D37">
      <w:pPr>
        <w:spacing w:line="240" w:lineRule="auto"/>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4349B9">
        <w:rPr>
          <w:rFonts w:cstheme="minorHAnsi"/>
          <w:sz w:val="24"/>
          <w:szCs w:val="24"/>
        </w:rPr>
        <w:t>e</w:t>
      </w:r>
      <w:r w:rsidRPr="00C04F25">
        <w:rPr>
          <w:rFonts w:cstheme="minorHAnsi"/>
          <w:sz w:val="24"/>
          <w:szCs w:val="24"/>
        </w:rPr>
        <w:t xml:space="preserve"> citation below.</w:t>
      </w:r>
    </w:p>
    <w:p w14:paraId="567B939A" w14:textId="77777777" w:rsidR="0094725C" w:rsidRDefault="0094725C" w:rsidP="00900D37">
      <w:pPr>
        <w:spacing w:line="240" w:lineRule="auto"/>
        <w:rPr>
          <w:rFonts w:cstheme="minorHAnsi"/>
          <w:sz w:val="24"/>
          <w:szCs w:val="24"/>
        </w:rPr>
      </w:pPr>
    </w:p>
    <w:p w14:paraId="2B3E2B3E" w14:textId="39D7FF4C" w:rsidR="00721876" w:rsidRDefault="008B3EC6" w:rsidP="00900D37">
      <w:pPr>
        <w:spacing w:line="240" w:lineRule="auto"/>
        <w:rPr>
          <w:rFonts w:cstheme="minorHAnsi"/>
          <w:sz w:val="24"/>
          <w:szCs w:val="24"/>
        </w:rPr>
      </w:pPr>
      <w:r>
        <w:rPr>
          <w:rFonts w:cstheme="minorHAnsi"/>
          <w:i/>
          <w:iCs/>
          <w:sz w:val="24"/>
          <w:szCs w:val="24"/>
        </w:rPr>
        <w:t>Psychological Assessment</w:t>
      </w:r>
      <w:r w:rsidR="000A7622" w:rsidRPr="00C04F25">
        <w:rPr>
          <w:rFonts w:cstheme="minorHAnsi"/>
          <w:sz w:val="24"/>
          <w:szCs w:val="24"/>
          <w:lang w:val="fr-FR"/>
        </w:rPr>
        <w:t xml:space="preserve">, Vol. </w:t>
      </w:r>
      <w:r>
        <w:rPr>
          <w:rFonts w:cstheme="minorHAnsi"/>
          <w:sz w:val="24"/>
          <w:szCs w:val="24"/>
          <w:lang w:val="fr-FR"/>
        </w:rPr>
        <w:t>31</w:t>
      </w:r>
      <w:r w:rsidR="000A7622" w:rsidRPr="00C34E4E">
        <w:rPr>
          <w:rFonts w:cstheme="minorHAnsi"/>
          <w:b/>
          <w:bCs/>
          <w:sz w:val="24"/>
          <w:szCs w:val="24"/>
          <w:lang w:val="fr-FR"/>
        </w:rPr>
        <w:t>,</w:t>
      </w:r>
      <w:r w:rsidR="000A7622" w:rsidRPr="00C04F25">
        <w:rPr>
          <w:rFonts w:cstheme="minorHAnsi"/>
          <w:sz w:val="24"/>
          <w:szCs w:val="24"/>
          <w:lang w:val="fr-FR"/>
        </w:rPr>
        <w:t xml:space="preserve"> No. </w:t>
      </w:r>
      <w:r>
        <w:rPr>
          <w:rFonts w:cstheme="minorHAnsi"/>
          <w:sz w:val="24"/>
          <w:szCs w:val="24"/>
          <w:lang w:val="fr-FR"/>
        </w:rPr>
        <w:t>5</w:t>
      </w:r>
      <w:r w:rsidR="00F90084">
        <w:rPr>
          <w:rFonts w:cstheme="minorHAnsi"/>
          <w:sz w:val="24"/>
          <w:szCs w:val="24"/>
          <w:lang w:val="fr-FR"/>
        </w:rPr>
        <w:t xml:space="preserve"> </w:t>
      </w:r>
      <w:r w:rsidR="000A7622" w:rsidRPr="00C04F25">
        <w:rPr>
          <w:rFonts w:cstheme="minorHAnsi"/>
          <w:sz w:val="24"/>
          <w:szCs w:val="24"/>
          <w:lang w:val="fr-FR"/>
        </w:rPr>
        <w:t>(</w:t>
      </w:r>
      <w:r w:rsidR="0015757F">
        <w:rPr>
          <w:rFonts w:cstheme="minorHAnsi"/>
          <w:sz w:val="24"/>
          <w:szCs w:val="24"/>
          <w:lang w:val="fr-FR"/>
        </w:rPr>
        <w:t>2019)</w:t>
      </w:r>
      <w:r w:rsidR="000A7622" w:rsidRPr="00C04F25">
        <w:rPr>
          <w:rFonts w:cstheme="minorHAnsi"/>
          <w:sz w:val="24"/>
          <w:szCs w:val="24"/>
          <w:lang w:val="fr-FR"/>
        </w:rPr>
        <w:t xml:space="preserve">: </w:t>
      </w:r>
      <w:r w:rsidR="0015757F">
        <w:rPr>
          <w:rFonts w:cstheme="minorHAnsi"/>
          <w:sz w:val="24"/>
          <w:szCs w:val="24"/>
          <w:lang w:val="fr-FR"/>
        </w:rPr>
        <w:t>685-698</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15757F">
        <w:rPr>
          <w:rFonts w:cstheme="minorHAnsi"/>
          <w:sz w:val="24"/>
          <w:szCs w:val="24"/>
        </w:rPr>
        <w:t xml:space="preserve"> American Psychological Association</w:t>
      </w:r>
      <w:r w:rsidR="00765C79">
        <w:rPr>
          <w:rFonts w:cstheme="minorHAnsi"/>
          <w:sz w:val="24"/>
          <w:szCs w:val="24"/>
        </w:rPr>
        <w:t xml:space="preserve"> </w:t>
      </w:r>
      <w:r w:rsidR="000A7622" w:rsidRPr="00C04F25">
        <w:rPr>
          <w:rFonts w:cstheme="minorHAnsi"/>
          <w:sz w:val="24"/>
          <w:szCs w:val="24"/>
        </w:rPr>
        <w:t xml:space="preserve">and permission has been granted for this version to appear in </w:t>
      </w:r>
      <w:hyperlink r:id="rId10"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15757F">
        <w:rPr>
          <w:rFonts w:cstheme="minorHAnsi"/>
          <w:sz w:val="24"/>
          <w:szCs w:val="24"/>
        </w:rPr>
        <w:t>American Psychological Association</w:t>
      </w:r>
      <w:r w:rsidR="0015757F" w:rsidRPr="00C04F25">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bookmarkEnd w:id="2"/>
      <w:r w:rsidR="0015757F">
        <w:rPr>
          <w:rFonts w:cstheme="minorHAnsi"/>
          <w:sz w:val="24"/>
          <w:szCs w:val="24"/>
        </w:rPr>
        <w:t>American Psychological Association</w:t>
      </w:r>
      <w:r w:rsidR="00765C79">
        <w:rPr>
          <w:rFonts w:cstheme="minorHAnsi"/>
          <w:sz w:val="24"/>
          <w:szCs w:val="24"/>
        </w:rPr>
        <w:t xml:space="preserve">. </w:t>
      </w:r>
    </w:p>
    <w:p w14:paraId="26725BC6" w14:textId="438B4CE5" w:rsidR="0001279B" w:rsidRDefault="0001279B" w:rsidP="000575B3">
      <w:pPr>
        <w:pStyle w:val="NoSpacing"/>
      </w:pPr>
    </w:p>
    <w:p w14:paraId="5211D5A4" w14:textId="113DD65D" w:rsidR="00D75572" w:rsidRDefault="00D75572" w:rsidP="000575B3">
      <w:pPr>
        <w:pStyle w:val="NoSpacing"/>
      </w:pPr>
    </w:p>
    <w:p w14:paraId="0C5562D6" w14:textId="512921FC" w:rsidR="00D75572" w:rsidRDefault="003F56E3" w:rsidP="00C95B86">
      <w:pPr>
        <w:pStyle w:val="Title"/>
      </w:pPr>
      <w:r>
        <w:t>The Role of Neurocognitive Tests in the Assessment of Adult Attention-Deficit/Hyperactivity Disorder</w:t>
      </w:r>
    </w:p>
    <w:p w14:paraId="7970112E" w14:textId="5B500E2A" w:rsidR="00D75572" w:rsidRPr="00152B2C" w:rsidRDefault="00D75572" w:rsidP="00152B2C">
      <w:pPr>
        <w:pStyle w:val="NoSpacing"/>
      </w:pPr>
    </w:p>
    <w:p w14:paraId="51529027" w14:textId="77777777" w:rsidR="00FF0780" w:rsidRPr="00152B2C" w:rsidRDefault="00FF0780" w:rsidP="00152B2C">
      <w:pPr>
        <w:pStyle w:val="NoSpacing"/>
        <w:rPr>
          <w:sz w:val="28"/>
          <w:szCs w:val="28"/>
        </w:rPr>
      </w:pPr>
      <w:r w:rsidRPr="00152B2C">
        <w:rPr>
          <w:sz w:val="28"/>
          <w:szCs w:val="28"/>
        </w:rPr>
        <w:t>Molly A. Nikolas</w:t>
      </w:r>
    </w:p>
    <w:p w14:paraId="4B6B85BC" w14:textId="77777777" w:rsidR="00FF0780" w:rsidRPr="00152B2C" w:rsidRDefault="00FF0780" w:rsidP="00152B2C">
      <w:pPr>
        <w:pStyle w:val="NoSpacing"/>
      </w:pPr>
      <w:r w:rsidRPr="00152B2C">
        <w:t>Department of Psychological and Brain Sciences, University of Iowa</w:t>
      </w:r>
    </w:p>
    <w:p w14:paraId="63881634" w14:textId="77777777" w:rsidR="00FF0780" w:rsidRPr="00152B2C" w:rsidRDefault="00FF0780" w:rsidP="00152B2C">
      <w:pPr>
        <w:pStyle w:val="NoSpacing"/>
      </w:pPr>
    </w:p>
    <w:p w14:paraId="65C4193F" w14:textId="76F65782" w:rsidR="00FF0780" w:rsidRPr="00152B2C" w:rsidRDefault="00FF0780" w:rsidP="00152B2C">
      <w:pPr>
        <w:pStyle w:val="NoSpacing"/>
        <w:rPr>
          <w:sz w:val="28"/>
          <w:szCs w:val="28"/>
        </w:rPr>
      </w:pPr>
      <w:r w:rsidRPr="00152B2C">
        <w:rPr>
          <w:sz w:val="28"/>
          <w:szCs w:val="28"/>
        </w:rPr>
        <w:t>Paul Marshall</w:t>
      </w:r>
    </w:p>
    <w:p w14:paraId="3420AB4B" w14:textId="77777777" w:rsidR="00FF0780" w:rsidRPr="00152B2C" w:rsidRDefault="00FF0780" w:rsidP="00152B2C">
      <w:pPr>
        <w:pStyle w:val="NoSpacing"/>
      </w:pPr>
      <w:r w:rsidRPr="00152B2C">
        <w:t>Department of Psychiatry, Hennepin County Medical Center, Minneapolis, Minnesota</w:t>
      </w:r>
    </w:p>
    <w:p w14:paraId="22EF8BE8" w14:textId="77777777" w:rsidR="00FF0780" w:rsidRPr="00152B2C" w:rsidRDefault="00FF0780" w:rsidP="00152B2C">
      <w:pPr>
        <w:pStyle w:val="NoSpacing"/>
      </w:pPr>
    </w:p>
    <w:p w14:paraId="4D569CDA" w14:textId="64581A23" w:rsidR="00FF0780" w:rsidRPr="00152B2C" w:rsidRDefault="00FF0780" w:rsidP="00152B2C">
      <w:pPr>
        <w:pStyle w:val="NoSpacing"/>
        <w:rPr>
          <w:sz w:val="28"/>
          <w:szCs w:val="28"/>
        </w:rPr>
      </w:pPr>
      <w:r w:rsidRPr="00152B2C">
        <w:rPr>
          <w:sz w:val="28"/>
          <w:szCs w:val="28"/>
        </w:rPr>
        <w:t xml:space="preserve">James B. </w:t>
      </w:r>
      <w:proofErr w:type="spellStart"/>
      <w:r w:rsidRPr="00152B2C">
        <w:rPr>
          <w:sz w:val="28"/>
          <w:szCs w:val="28"/>
        </w:rPr>
        <w:t>Hoelzle</w:t>
      </w:r>
      <w:proofErr w:type="spellEnd"/>
    </w:p>
    <w:p w14:paraId="5E605494" w14:textId="5AD6F8EE" w:rsidR="00FF0780" w:rsidRPr="00152B2C" w:rsidRDefault="00FF0780" w:rsidP="00152B2C">
      <w:pPr>
        <w:pStyle w:val="NoSpacing"/>
      </w:pPr>
      <w:r w:rsidRPr="00152B2C">
        <w:t>Department of Psychology, Marquette University</w:t>
      </w:r>
    </w:p>
    <w:p w14:paraId="04189E67" w14:textId="77777777" w:rsidR="00FF0780" w:rsidRPr="00152B2C" w:rsidRDefault="00FF0780" w:rsidP="00152B2C">
      <w:pPr>
        <w:pStyle w:val="NoSpacing"/>
      </w:pPr>
    </w:p>
    <w:p w14:paraId="1781BFF7" w14:textId="77777777" w:rsidR="00FF0780" w:rsidRDefault="00FF0780" w:rsidP="00152B2C">
      <w:pPr>
        <w:pStyle w:val="Heading1"/>
      </w:pPr>
      <w:r w:rsidRPr="00FF0780">
        <w:t>Acknowledgement</w:t>
      </w:r>
    </w:p>
    <w:p w14:paraId="3099AA1A" w14:textId="67AE21FF" w:rsidR="00FF0780" w:rsidRDefault="00FF0780" w:rsidP="00152B2C">
      <w:pPr>
        <w:pStyle w:val="NoSpacing"/>
      </w:pPr>
      <w:r w:rsidRPr="00FF0780">
        <w:t>This research was supported by Shire Pharmaceutical (Grant USA-000594 to Paul Marshall and Molly A. Nikolas) and the Minnesota Medical Foundation.</w:t>
      </w:r>
    </w:p>
    <w:p w14:paraId="1E5B277A" w14:textId="2AD58DF0" w:rsidR="00FF0780" w:rsidRDefault="00152B2C" w:rsidP="00152B2C">
      <w:pPr>
        <w:pStyle w:val="Heading1"/>
      </w:pPr>
      <w:r>
        <w:lastRenderedPageBreak/>
        <w:t>Abstract</w:t>
      </w:r>
    </w:p>
    <w:p w14:paraId="5DB2EB28" w14:textId="7EB2734A" w:rsidR="002224E2" w:rsidRPr="002224E2" w:rsidRDefault="002224E2" w:rsidP="002224E2">
      <w:pPr>
        <w:pStyle w:val="NoSpacing"/>
      </w:pPr>
      <w:r>
        <w:t xml:space="preserve">Despite widespread recognition that attention-deficit/hyperactivity disorder (ADHD) is a lifelong neurodevelopmental disorder, optimal methods of diagnosis among adults remain elusive. Substantial overlap between ADHD symptoms and cognitive symptoms of other mental health conditions, such as depression and anxiety, and concerns about validity in symptom reporting have made the use of neuropsychological tests in ADHD diagnostic assessment appealing. However, past work exploring the potential diagnostic utility of neuropsychological tests among adults has often relied on a relatively small subset of tests, has failed to include symptom and performance validity measures, and often does not include comparison groups of participants with commonly comorbid disorders, such as depression. The current study examined the utility of an extensive neuropsychological measure battery for diagnosing ADHD among adults. Two hundred forty-six participants (109 ADHD, 52 depressed, 85 </w:t>
      </w:r>
      <w:proofErr w:type="spellStart"/>
      <w:r>
        <w:t>nondisordered</w:t>
      </w:r>
      <w:proofErr w:type="spellEnd"/>
      <w:r>
        <w:t xml:space="preserve"> controls) completed a multistage screening and assessment process, which included a clinical interview, self, and informant report on behavior rating scales, performance and symptom validity measures, and an extensive neuropsychological testing battery. Results indicated that measures of working memory, sustained attention, response speed, and variability best discriminated ADHD and non-ADHD participants. While single test measures provided performed poorly in identifying ADHD participants, analyses revealed that a combined approach using self and informant symptom ratings, positive family history of ADHD, and a reaction time (RT) variability measure correctly classified 87% of cases. Findings suggest that neuropsychological test measures used in conjunction with other clinical assessments may enhance prediction of adult ADHD diagnoses.</w:t>
      </w:r>
    </w:p>
    <w:p w14:paraId="6202A530" w14:textId="71C17CA5" w:rsidR="00152B2C" w:rsidRDefault="00152B2C" w:rsidP="00152B2C">
      <w:pPr>
        <w:pStyle w:val="Heading1"/>
      </w:pPr>
      <w:r>
        <w:t>Public Significance Statement</w:t>
      </w:r>
    </w:p>
    <w:p w14:paraId="26D7C027" w14:textId="25778FC0" w:rsidR="004E1C1B" w:rsidRPr="004E1C1B" w:rsidRDefault="004E1C1B" w:rsidP="004E1C1B">
      <w:pPr>
        <w:pStyle w:val="NoSpacing"/>
      </w:pPr>
      <w:r>
        <w:t>Public Significance Statement: This study suggests that cognitive tests may be most useful in the diagnostic assessment of ADHD among adults when used in combination with symptom report scales and family history information. These results caution against the use of cognitive tests alone in the diagnostic process and emphasize inclusion of performance validity measures and measures of depression when evaluating ADHD among adults.</w:t>
      </w:r>
    </w:p>
    <w:p w14:paraId="43ACEF85" w14:textId="74C71FF8" w:rsidR="00152B2C" w:rsidRDefault="00152B2C" w:rsidP="00152B2C">
      <w:pPr>
        <w:pStyle w:val="Heading1"/>
      </w:pPr>
      <w:r>
        <w:t>Keywords</w:t>
      </w:r>
    </w:p>
    <w:p w14:paraId="16226103" w14:textId="0428835A" w:rsidR="000049AF" w:rsidRPr="000049AF" w:rsidRDefault="000049AF" w:rsidP="000049AF">
      <w:pPr>
        <w:pStyle w:val="NoSpacing"/>
      </w:pPr>
      <w:r>
        <w:t>attention-deficit/hyperactivity disorder, diagnostic assessment, neuropsychological tests</w:t>
      </w:r>
    </w:p>
    <w:p w14:paraId="269EB9E4" w14:textId="01879169" w:rsidR="00152B2C" w:rsidRDefault="00152B2C" w:rsidP="00152B2C">
      <w:pPr>
        <w:pStyle w:val="Heading1"/>
      </w:pPr>
      <w:r>
        <w:t>Introduction</w:t>
      </w:r>
    </w:p>
    <w:p w14:paraId="635F3F96" w14:textId="4E7CA500" w:rsidR="00441594" w:rsidRDefault="00441594" w:rsidP="00441594">
      <w:pPr>
        <w:pStyle w:val="NoSpacing"/>
      </w:pPr>
      <w:r>
        <w:t>Once considered a disorder of childhood, it is now widely recognized that attention-deficit/hyperactivity disorder (ADHD) is a lifelong neurodevelopmental syndrome (</w:t>
      </w:r>
      <w:hyperlink r:id="rId11" w:anchor="c42" w:history="1">
        <w:r>
          <w:rPr>
            <w:rStyle w:val="Hyperlink"/>
          </w:rPr>
          <w:t>Kessler et al., 2005</w:t>
        </w:r>
      </w:hyperlink>
      <w:r>
        <w:t>). Recent national surveys have estimated prevalence of ADHD as high as 11% among youth (</w:t>
      </w:r>
      <w:hyperlink r:id="rId12" w:anchor="c74" w:history="1">
        <w:r>
          <w:rPr>
            <w:rStyle w:val="Hyperlink"/>
          </w:rPr>
          <w:t>Visser et al., 2014</w:t>
        </w:r>
      </w:hyperlink>
      <w:r>
        <w:t>), however, prevalence estimates are somewhat lower among adults, ranging between 2% to 6%, depending on the criteria used (</w:t>
      </w:r>
      <w:hyperlink r:id="rId13" w:anchor="c201" w:history="1">
        <w:r>
          <w:rPr>
            <w:rStyle w:val="Hyperlink"/>
          </w:rPr>
          <w:t>Barkley, Murphy, &amp; Fischer, 2008</w:t>
        </w:r>
      </w:hyperlink>
      <w:r>
        <w:t xml:space="preserve">; </w:t>
      </w:r>
      <w:hyperlink r:id="rId14" w:anchor="c75" w:history="1">
        <w:proofErr w:type="spellStart"/>
        <w:r>
          <w:rPr>
            <w:rStyle w:val="Hyperlink"/>
          </w:rPr>
          <w:t>Vitola</w:t>
        </w:r>
        <w:proofErr w:type="spellEnd"/>
        <w:r>
          <w:rPr>
            <w:rStyle w:val="Hyperlink"/>
          </w:rPr>
          <w:t xml:space="preserve"> et al., 2017</w:t>
        </w:r>
      </w:hyperlink>
      <w:r>
        <w:t xml:space="preserve">). These prevalence estimates have increased over the past decade, leading to growing concerns that ADHD may be </w:t>
      </w:r>
      <w:proofErr w:type="spellStart"/>
      <w:r>
        <w:t>overdiagnosed</w:t>
      </w:r>
      <w:proofErr w:type="spellEnd"/>
      <w:r>
        <w:t>, particularly among adults (</w:t>
      </w:r>
      <w:hyperlink r:id="rId15" w:anchor="c37" w:history="1">
        <w:r>
          <w:rPr>
            <w:rStyle w:val="Hyperlink"/>
          </w:rPr>
          <w:t xml:space="preserve">Hinshaw &amp; </w:t>
        </w:r>
        <w:proofErr w:type="spellStart"/>
        <w:r>
          <w:rPr>
            <w:rStyle w:val="Hyperlink"/>
          </w:rPr>
          <w:t>Sheffler</w:t>
        </w:r>
        <w:proofErr w:type="spellEnd"/>
        <w:r>
          <w:rPr>
            <w:rStyle w:val="Hyperlink"/>
          </w:rPr>
          <w:t>, 2014</w:t>
        </w:r>
      </w:hyperlink>
      <w:r>
        <w:t xml:space="preserve">; </w:t>
      </w:r>
      <w:hyperlink r:id="rId16" w:anchor="c58" w:history="1">
        <w:r>
          <w:rPr>
            <w:rStyle w:val="Hyperlink"/>
          </w:rPr>
          <w:t>Paris, Bhat, &amp; Thombs, 2015</w:t>
        </w:r>
      </w:hyperlink>
      <w:r>
        <w:t>). Supporting this concern, prescriptions for ADHD medications for patients between the ages of 20 and 39 have substantially increased in the past 10 years (</w:t>
      </w:r>
      <w:hyperlink r:id="rId17" w:anchor="c40" w:history="1">
        <w:r>
          <w:rPr>
            <w:rStyle w:val="Hyperlink"/>
          </w:rPr>
          <w:t xml:space="preserve">Johansen, Matic, &amp; </w:t>
        </w:r>
        <w:proofErr w:type="spellStart"/>
        <w:r>
          <w:rPr>
            <w:rStyle w:val="Hyperlink"/>
          </w:rPr>
          <w:t>McAlearney</w:t>
        </w:r>
        <w:proofErr w:type="spellEnd"/>
        <w:r>
          <w:rPr>
            <w:rStyle w:val="Hyperlink"/>
          </w:rPr>
          <w:t>, 2015</w:t>
        </w:r>
      </w:hyperlink>
      <w:r>
        <w:t xml:space="preserve">; </w:t>
      </w:r>
      <w:hyperlink r:id="rId18" w:anchor="c64" w:history="1">
        <w:proofErr w:type="spellStart"/>
        <w:r>
          <w:rPr>
            <w:rStyle w:val="Hyperlink"/>
          </w:rPr>
          <w:t>Renoux</w:t>
        </w:r>
        <w:proofErr w:type="spellEnd"/>
        <w:r>
          <w:rPr>
            <w:rStyle w:val="Hyperlink"/>
          </w:rPr>
          <w:t xml:space="preserve">, Shin, </w:t>
        </w:r>
        <w:proofErr w:type="spellStart"/>
        <w:r>
          <w:rPr>
            <w:rStyle w:val="Hyperlink"/>
          </w:rPr>
          <w:t>Dell’Aniello</w:t>
        </w:r>
        <w:proofErr w:type="spellEnd"/>
        <w:r>
          <w:rPr>
            <w:rStyle w:val="Hyperlink"/>
          </w:rPr>
          <w:t xml:space="preserve">, Fergusson, &amp; </w:t>
        </w:r>
        <w:proofErr w:type="spellStart"/>
        <w:r>
          <w:rPr>
            <w:rStyle w:val="Hyperlink"/>
          </w:rPr>
          <w:t>Suissa</w:t>
        </w:r>
        <w:proofErr w:type="spellEnd"/>
        <w:r>
          <w:rPr>
            <w:rStyle w:val="Hyperlink"/>
          </w:rPr>
          <w:t>, 2016</w:t>
        </w:r>
      </w:hyperlink>
      <w:r>
        <w:t>), with estimates suggesting anywhere between a 280 and 800% increase in stimulant medication prescriptions for adults since the early 2000s.</w:t>
      </w:r>
    </w:p>
    <w:p w14:paraId="1ED2DF26" w14:textId="77777777" w:rsidR="00441594" w:rsidRDefault="00441594" w:rsidP="00441594">
      <w:pPr>
        <w:pStyle w:val="NoSpacing"/>
      </w:pPr>
    </w:p>
    <w:p w14:paraId="58173635" w14:textId="669A4DE0" w:rsidR="00441594" w:rsidRDefault="00441594" w:rsidP="00441594">
      <w:pPr>
        <w:pStyle w:val="NoSpacing"/>
      </w:pPr>
      <w:r>
        <w:t>Determining the optimal diagnostic assessment procedures for ADHD among adults remains a critical component to the continued study of its phenomenology, correlates, developmental course, and treatment. However, multiple challenges remain in the assessment of adult ADHD, both for research and clinical purposes. First, many young adults, especially college students, experience occasional ADHD symptoms, particularly inattention-disorganization (</w:t>
      </w:r>
      <w:hyperlink r:id="rId19" w:anchor="c26" w:history="1">
        <w:r>
          <w:rPr>
            <w:rStyle w:val="Hyperlink"/>
          </w:rPr>
          <w:t>Drake, Riccio, &amp; Hale, 2017</w:t>
        </w:r>
      </w:hyperlink>
      <w:r>
        <w:t xml:space="preserve">; </w:t>
      </w:r>
      <w:hyperlink r:id="rId20" w:anchor="c27" w:history="1">
        <w:proofErr w:type="spellStart"/>
        <w:r>
          <w:rPr>
            <w:rStyle w:val="Hyperlink"/>
          </w:rPr>
          <w:t>DuPaul</w:t>
        </w:r>
        <w:proofErr w:type="spellEnd"/>
        <w:r>
          <w:rPr>
            <w:rStyle w:val="Hyperlink"/>
          </w:rPr>
          <w:t xml:space="preserve">, </w:t>
        </w:r>
        <w:proofErr w:type="spellStart"/>
        <w:r>
          <w:rPr>
            <w:rStyle w:val="Hyperlink"/>
          </w:rPr>
          <w:t>Weyandt</w:t>
        </w:r>
        <w:proofErr w:type="spellEnd"/>
        <w:r>
          <w:rPr>
            <w:rStyle w:val="Hyperlink"/>
          </w:rPr>
          <w:t>, O’Dell, &amp; Varejao, 2009</w:t>
        </w:r>
      </w:hyperlink>
      <w:r>
        <w:t xml:space="preserve">). Thus, it may be difficult for general medical professionals without specialized training in ADHD to differentiate between </w:t>
      </w:r>
      <w:r>
        <w:lastRenderedPageBreak/>
        <w:t>those with sufficient symptoms and impairment to warrant a diagnosis from those with occasional or situational difficulties (</w:t>
      </w:r>
      <w:hyperlink r:id="rId21" w:anchor="c29" w:history="1">
        <w:r>
          <w:rPr>
            <w:rStyle w:val="Hyperlink"/>
          </w:rPr>
          <w:t>Epstein et al., 2014</w:t>
        </w:r>
      </w:hyperlink>
      <w:r>
        <w:t>). This problem is also compounded by the fact that attention and concentration difficulties are nearly identical in description to cognitive symptoms of depression and anxiety and are often associated with similar cognitive deficits (</w:t>
      </w:r>
      <w:proofErr w:type="spellStart"/>
      <w:r>
        <w:fldChar w:fldCharType="begin"/>
      </w:r>
      <w:r>
        <w:instrText xml:space="preserve"> HYPERLINK "https://0-web-b-ebscohost-com.libus.csd.mu.edu/ehost/detail/detail?vid=3&amp;sid=ba31a4a0-7759-4744-8a4b-f3a61b5b9fee%40pdc-v-sessmgr01&amp;bdata=JnNpdGU9ZWhvc3QtbGl2ZQ%3d%3d" \l "c61" </w:instrText>
      </w:r>
      <w:r>
        <w:fldChar w:fldCharType="separate"/>
      </w:r>
      <w:r>
        <w:rPr>
          <w:rStyle w:val="Hyperlink"/>
        </w:rPr>
        <w:t>Prevatt</w:t>
      </w:r>
      <w:proofErr w:type="spellEnd"/>
      <w:r>
        <w:rPr>
          <w:rStyle w:val="Hyperlink"/>
        </w:rPr>
        <w:t xml:space="preserve">, </w:t>
      </w:r>
      <w:proofErr w:type="spellStart"/>
      <w:r>
        <w:rPr>
          <w:rStyle w:val="Hyperlink"/>
        </w:rPr>
        <w:t>Dehili</w:t>
      </w:r>
      <w:proofErr w:type="spellEnd"/>
      <w:r>
        <w:rPr>
          <w:rStyle w:val="Hyperlink"/>
        </w:rPr>
        <w:t>, Taylor, &amp; Marshall, 2015</w:t>
      </w:r>
      <w:r>
        <w:fldChar w:fldCharType="end"/>
      </w:r>
      <w:r>
        <w:t xml:space="preserve">; </w:t>
      </w:r>
      <w:hyperlink r:id="rId22" w:anchor="c71" w:history="1">
        <w:r>
          <w:rPr>
            <w:rStyle w:val="Hyperlink"/>
          </w:rPr>
          <w:t>Spencer, Biederman, &amp; Mick, 2007</w:t>
        </w:r>
      </w:hyperlink>
      <w:r>
        <w:t>). Second, there may be secondary gains associated with endorsement of ADHD symptoms (particularly in college settings) including access to academic/work-related accommodations as well as stimulant medications (</w:t>
      </w:r>
      <w:proofErr w:type="spellStart"/>
      <w:r>
        <w:fldChar w:fldCharType="begin"/>
      </w:r>
      <w:r>
        <w:instrText xml:space="preserve"> HYPERLINK "https://0-web-b-ebscohost-com.libus.csd.mu.edu/ehost/detail/detail?vid=3&amp;sid=ba31a4a0-7759-4744-8a4b-f3a61b5b9fee%40pdc-v-sessmgr01&amp;bdata=JnNpdGU9ZWhvc3QtbGl2ZQ%3d%3d" \l "c1" </w:instrText>
      </w:r>
      <w:r>
        <w:fldChar w:fldCharType="separate"/>
      </w:r>
      <w:r>
        <w:rPr>
          <w:rStyle w:val="Hyperlink"/>
        </w:rPr>
        <w:t>Advokat</w:t>
      </w:r>
      <w:proofErr w:type="spellEnd"/>
      <w:r>
        <w:rPr>
          <w:rStyle w:val="Hyperlink"/>
        </w:rPr>
        <w:t>, Lane, &amp; Luo, 2011</w:t>
      </w:r>
      <w:r>
        <w:fldChar w:fldCharType="end"/>
      </w:r>
      <w:r>
        <w:t xml:space="preserve">; </w:t>
      </w:r>
      <w:hyperlink r:id="rId23" w:anchor="c5" w:history="1">
        <w:proofErr w:type="spellStart"/>
        <w:r>
          <w:rPr>
            <w:rStyle w:val="Hyperlink"/>
          </w:rPr>
          <w:t>Arria</w:t>
        </w:r>
        <w:proofErr w:type="spellEnd"/>
        <w:r>
          <w:rPr>
            <w:rStyle w:val="Hyperlink"/>
          </w:rPr>
          <w:t xml:space="preserve"> et al., 2008</w:t>
        </w:r>
      </w:hyperlink>
      <w:r>
        <w:t>). Inclusion of performance validity tests (PVTs) and symptom validity tests (SVTs) have been successful in identifying invalid symptom presentation among adults presenting for an evaluation of ADHD (</w:t>
      </w:r>
      <w:hyperlink r:id="rId24" w:anchor="c48" w:history="1">
        <w:r>
          <w:rPr>
            <w:rStyle w:val="Hyperlink"/>
          </w:rPr>
          <w:t xml:space="preserve">Marshall, </w:t>
        </w:r>
        <w:proofErr w:type="spellStart"/>
        <w:r>
          <w:rPr>
            <w:rStyle w:val="Hyperlink"/>
          </w:rPr>
          <w:t>Hoelzle</w:t>
        </w:r>
        <w:proofErr w:type="spellEnd"/>
        <w:r>
          <w:rPr>
            <w:rStyle w:val="Hyperlink"/>
          </w:rPr>
          <w:t>, Heyerdahl, &amp; Nelson, 2016</w:t>
        </w:r>
      </w:hyperlink>
      <w:r>
        <w:t xml:space="preserve">; </w:t>
      </w:r>
      <w:hyperlink r:id="rId25" w:anchor="c55" w:history="1">
        <w:proofErr w:type="spellStart"/>
        <w:r>
          <w:rPr>
            <w:rStyle w:val="Hyperlink"/>
          </w:rPr>
          <w:t>Musso</w:t>
        </w:r>
        <w:proofErr w:type="spellEnd"/>
        <w:r>
          <w:rPr>
            <w:rStyle w:val="Hyperlink"/>
          </w:rPr>
          <w:t xml:space="preserve"> &amp; </w:t>
        </w:r>
        <w:proofErr w:type="spellStart"/>
        <w:r>
          <w:rPr>
            <w:rStyle w:val="Hyperlink"/>
          </w:rPr>
          <w:t>Gouvier</w:t>
        </w:r>
        <w:proofErr w:type="spellEnd"/>
        <w:r>
          <w:rPr>
            <w:rStyle w:val="Hyperlink"/>
          </w:rPr>
          <w:t>, 2014</w:t>
        </w:r>
      </w:hyperlink>
      <w:r>
        <w:t>). However, it remains unclear how often issues of invalid symptom presentation are considered when evaluating the disorder in adults. Recent expert recommendations regarding the optimal means of assessing adult ADHD have pointed out the importance of including such validity measures (</w:t>
      </w:r>
      <w:hyperlink r:id="rId26" w:anchor="c62" w:history="1">
        <w:r>
          <w:rPr>
            <w:rStyle w:val="Hyperlink"/>
          </w:rPr>
          <w:t>Ramsey, 2015</w:t>
        </w:r>
      </w:hyperlink>
      <w:r>
        <w:t>).</w:t>
      </w:r>
    </w:p>
    <w:p w14:paraId="48AA75F9" w14:textId="77777777" w:rsidR="00441594" w:rsidRDefault="00441594" w:rsidP="00441594">
      <w:pPr>
        <w:pStyle w:val="NoSpacing"/>
      </w:pPr>
    </w:p>
    <w:p w14:paraId="0D876B7E" w14:textId="2DD4D60D" w:rsidR="00441594" w:rsidRDefault="00441594" w:rsidP="00441594">
      <w:pPr>
        <w:pStyle w:val="NoSpacing"/>
      </w:pPr>
      <w:r>
        <w:t xml:space="preserve">Third, only the most recent revision to the </w:t>
      </w:r>
      <w:r>
        <w:rPr>
          <w:rStyle w:val="Emphasis"/>
        </w:rPr>
        <w:t>Diagnostic and Statistical Manual of Mental Disorders</w:t>
      </w:r>
      <w:r>
        <w:t xml:space="preserve"> (5th ed.; </w:t>
      </w:r>
      <w:r>
        <w:rPr>
          <w:rStyle w:val="Emphasis"/>
        </w:rPr>
        <w:t>DSM-5</w:t>
      </w:r>
      <w:r>
        <w:t xml:space="preserve">; </w:t>
      </w:r>
      <w:hyperlink r:id="rId27" w:anchor="c4" w:history="1">
        <w:r>
          <w:rPr>
            <w:rStyle w:val="Hyperlink"/>
          </w:rPr>
          <w:t>American Psychiatric Association, 2013</w:t>
        </w:r>
      </w:hyperlink>
      <w:r>
        <w:t xml:space="preserve">) has specified adult-specific symptom wording and thresholds within the ADHD diagnostic criteria. Thus, application of adult-specific criteria may be unfamiliar to those making the diagnosis. The need for adult-specific symptom criteria and diagnostic thresholds caused significant debate during the </w:t>
      </w:r>
      <w:r>
        <w:rPr>
          <w:rStyle w:val="Emphasis"/>
        </w:rPr>
        <w:t>DSM</w:t>
      </w:r>
      <w:r>
        <w:t xml:space="preserve"> revision process (</w:t>
      </w:r>
      <w:hyperlink r:id="rId28" w:anchor="c15" w:history="1">
        <w:r>
          <w:rPr>
            <w:rStyle w:val="Hyperlink"/>
          </w:rPr>
          <w:t>Bell, 2011</w:t>
        </w:r>
      </w:hyperlink>
      <w:r>
        <w:t>) and continues to be contested in the literature (</w:t>
      </w:r>
      <w:hyperlink r:id="rId29" w:anchor="c50" w:history="1">
        <w:r>
          <w:rPr>
            <w:rStyle w:val="Hyperlink"/>
          </w:rPr>
          <w:t>Matte et al., 2015</w:t>
        </w:r>
      </w:hyperlink>
      <w:r>
        <w:t xml:space="preserve">; </w:t>
      </w:r>
      <w:hyperlink r:id="rId30" w:anchor="c69" w:history="1">
        <w:r>
          <w:rPr>
            <w:rStyle w:val="Hyperlink"/>
          </w:rPr>
          <w:t xml:space="preserve">Sibley, </w:t>
        </w:r>
        <w:proofErr w:type="spellStart"/>
        <w:r>
          <w:rPr>
            <w:rStyle w:val="Hyperlink"/>
          </w:rPr>
          <w:t>Coxe</w:t>
        </w:r>
        <w:proofErr w:type="spellEnd"/>
        <w:r>
          <w:rPr>
            <w:rStyle w:val="Hyperlink"/>
          </w:rPr>
          <w:t>, &amp; Molina, 2017</w:t>
        </w:r>
      </w:hyperlink>
      <w:r>
        <w:t xml:space="preserve">; </w:t>
      </w:r>
      <w:hyperlink r:id="rId31" w:anchor="c75" w:history="1">
        <w:proofErr w:type="spellStart"/>
        <w:r>
          <w:rPr>
            <w:rStyle w:val="Hyperlink"/>
          </w:rPr>
          <w:t>Vitola</w:t>
        </w:r>
        <w:proofErr w:type="spellEnd"/>
        <w:r>
          <w:rPr>
            <w:rStyle w:val="Hyperlink"/>
          </w:rPr>
          <w:t xml:space="preserve"> et al., 2017</w:t>
        </w:r>
      </w:hyperlink>
      <w:r>
        <w:t>). The current criteria rely on reports of current symptoms as well as retrospective reports of childhood behavior prior to Age 12. The accuracy of retrospective self-reports of childhood behavior remains somewhat questionable (</w:t>
      </w:r>
      <w:proofErr w:type="spellStart"/>
      <w:r>
        <w:fldChar w:fldCharType="begin"/>
      </w:r>
      <w:r>
        <w:instrText xml:space="preserve"> HYPERLINK "https://0-web-b-ebscohost-com.libus.csd.mu.edu/ehost/detail/detail?vid=3&amp;sid=ba31a4a0-7759-4744-8a4b-f3a61b5b9fee%40pdc-v-sessmgr01&amp;bdata=JnNpdGU9ZWhvc3QtbGl2ZQ%3d%3d" \l "c47" </w:instrText>
      </w:r>
      <w:r>
        <w:fldChar w:fldCharType="separate"/>
      </w:r>
      <w:r>
        <w:rPr>
          <w:rStyle w:val="Hyperlink"/>
        </w:rPr>
        <w:t>Mannuzza</w:t>
      </w:r>
      <w:proofErr w:type="spellEnd"/>
      <w:r>
        <w:rPr>
          <w:rStyle w:val="Hyperlink"/>
        </w:rPr>
        <w:t xml:space="preserve">, Klein, Klein, </w:t>
      </w:r>
      <w:proofErr w:type="spellStart"/>
      <w:r>
        <w:rPr>
          <w:rStyle w:val="Hyperlink"/>
        </w:rPr>
        <w:t>Bessler</w:t>
      </w:r>
      <w:proofErr w:type="spellEnd"/>
      <w:r>
        <w:rPr>
          <w:rStyle w:val="Hyperlink"/>
        </w:rPr>
        <w:t xml:space="preserve">, &amp; </w:t>
      </w:r>
      <w:proofErr w:type="spellStart"/>
      <w:r>
        <w:rPr>
          <w:rStyle w:val="Hyperlink"/>
        </w:rPr>
        <w:t>Shrout</w:t>
      </w:r>
      <w:proofErr w:type="spellEnd"/>
      <w:r>
        <w:rPr>
          <w:rStyle w:val="Hyperlink"/>
        </w:rPr>
        <w:t>, 2002</w:t>
      </w:r>
      <w:r>
        <w:fldChar w:fldCharType="end"/>
      </w:r>
      <w:r>
        <w:t xml:space="preserve">). However, prior work has demonstrated that specifying presence of symptoms before Age 12 (compared with Age 7 in </w:t>
      </w:r>
      <w:r>
        <w:rPr>
          <w:rStyle w:val="Emphasis"/>
        </w:rPr>
        <w:t>DSM–IV</w:t>
      </w:r>
      <w:r>
        <w:t>) likely improved reliability of retrospective reports of symptoms while not substantially increasing the prevalence of adult ADHD (</w:t>
      </w:r>
      <w:proofErr w:type="spellStart"/>
      <w:r>
        <w:fldChar w:fldCharType="begin"/>
      </w:r>
      <w:r>
        <w:instrText xml:space="preserve"> HYPERLINK "https://0-web-b-ebscohost-com.libus.csd.mu.edu/ehost/detail/detail?vid=3&amp;sid=ba31a4a0-7759-4744-8a4b-f3a61b5b9fee%40pdc-v-sessmgr01&amp;bdata=JnNpdGU9ZWhvc3QtbGl2ZQ%3d%3d" \l "c44" </w:instrText>
      </w:r>
      <w:r>
        <w:fldChar w:fldCharType="separate"/>
      </w:r>
      <w:r>
        <w:rPr>
          <w:rStyle w:val="Hyperlink"/>
        </w:rPr>
        <w:t>Kieling</w:t>
      </w:r>
      <w:proofErr w:type="spellEnd"/>
      <w:r>
        <w:rPr>
          <w:rStyle w:val="Hyperlink"/>
        </w:rPr>
        <w:t xml:space="preserve"> et al., 2010</w:t>
      </w:r>
      <w:r>
        <w:fldChar w:fldCharType="end"/>
      </w:r>
      <w:r>
        <w:t>). Notably, the accuracy of diagnostic assessment of ADHD may be improved by including reports of symptoms from informants, such as parents (</w:t>
      </w:r>
      <w:proofErr w:type="spellStart"/>
      <w:r>
        <w:fldChar w:fldCharType="begin"/>
      </w:r>
      <w:r>
        <w:instrText xml:space="preserve"> HYPERLINK "https://0-web-b-ebscohost-com.libus.csd.mu.edu/ehost/detail/detail?vid=3&amp;sid=ba31a4a0-7759-4744-8a4b-f3a61b5b9fee%40pdc-v-sessmgr01&amp;bdata=JnNpdGU9ZWhvc3QtbGl2ZQ%3d%3d" \l "c28" </w:instrText>
      </w:r>
      <w:r>
        <w:fldChar w:fldCharType="separate"/>
      </w:r>
      <w:r>
        <w:rPr>
          <w:rStyle w:val="Hyperlink"/>
        </w:rPr>
        <w:t>Dvorsky</w:t>
      </w:r>
      <w:proofErr w:type="spellEnd"/>
      <w:r>
        <w:rPr>
          <w:rStyle w:val="Hyperlink"/>
        </w:rPr>
        <w:t xml:space="preserve">, Langberg, Molitor, &amp; </w:t>
      </w:r>
      <w:proofErr w:type="spellStart"/>
      <w:r>
        <w:rPr>
          <w:rStyle w:val="Hyperlink"/>
        </w:rPr>
        <w:t>Bourchtein</w:t>
      </w:r>
      <w:proofErr w:type="spellEnd"/>
      <w:r>
        <w:rPr>
          <w:rStyle w:val="Hyperlink"/>
        </w:rPr>
        <w:t>, 2016</w:t>
      </w:r>
      <w:r>
        <w:fldChar w:fldCharType="end"/>
      </w:r>
      <w:r>
        <w:t xml:space="preserve">; </w:t>
      </w:r>
      <w:hyperlink r:id="rId32" w:anchor="c69" w:history="1">
        <w:r>
          <w:rPr>
            <w:rStyle w:val="Hyperlink"/>
          </w:rPr>
          <w:t>Sibley et al., 2017</w:t>
        </w:r>
      </w:hyperlink>
      <w:r>
        <w:t>) as well as considering family history of ADHD (</w:t>
      </w:r>
      <w:proofErr w:type="spellStart"/>
      <w:r>
        <w:fldChar w:fldCharType="begin"/>
      </w:r>
      <w:r>
        <w:instrText xml:space="preserve"> HYPERLINK "https://0-web-b-ebscohost-com.libus.csd.mu.edu/ehost/detail/detail?vid=3&amp;sid=ba31a4a0-7759-4744-8a4b-f3a61b5b9fee%40pdc-v-sessmgr01&amp;bdata=JnNpdGU9ZWhvc3QtbGl2ZQ%3d%3d" \l "c45" </w:instrText>
      </w:r>
      <w:r>
        <w:fldChar w:fldCharType="separate"/>
      </w:r>
      <w:r>
        <w:rPr>
          <w:rStyle w:val="Hyperlink"/>
        </w:rPr>
        <w:t>Kooij</w:t>
      </w:r>
      <w:proofErr w:type="spellEnd"/>
      <w:r>
        <w:rPr>
          <w:rStyle w:val="Hyperlink"/>
        </w:rPr>
        <w:t xml:space="preserve"> et al., 2010</w:t>
      </w:r>
      <w:r>
        <w:fldChar w:fldCharType="end"/>
      </w:r>
      <w:r>
        <w:t>), given work indicating significant heritability of ADHD (</w:t>
      </w:r>
      <w:hyperlink r:id="rId33" w:anchor="c57" w:history="1">
        <w:r>
          <w:rPr>
            <w:rStyle w:val="Hyperlink"/>
          </w:rPr>
          <w:t>Nikolas &amp; Burt, 2010</w:t>
        </w:r>
      </w:hyperlink>
      <w:r>
        <w:t>). However, few studies have explicitly examined the extent to which inclusion of such information enhances diagnostic prediction.</w:t>
      </w:r>
    </w:p>
    <w:p w14:paraId="5924749B" w14:textId="77777777" w:rsidR="00441594" w:rsidRDefault="00441594" w:rsidP="00441594">
      <w:pPr>
        <w:pStyle w:val="NoSpacing"/>
      </w:pPr>
    </w:p>
    <w:p w14:paraId="1F338B41" w14:textId="1F7FD089" w:rsidR="00441594" w:rsidRDefault="00441594" w:rsidP="00441594">
      <w:pPr>
        <w:pStyle w:val="NoSpacing"/>
      </w:pPr>
      <w:r>
        <w:t>In general, an unstructured clinical interview combined with self-reports on behavioral rating scales of ADHD symptoms remain the most common tools used in diagnosing ADHD among adults (</w:t>
      </w:r>
      <w:proofErr w:type="spellStart"/>
      <w:r>
        <w:fldChar w:fldCharType="begin"/>
      </w:r>
      <w:r>
        <w:instrText xml:space="preserve"> HYPERLINK "https://0-web-b-ebscohost-com.libus.csd.mu.edu/ehost/detail/detail?vid=3&amp;sid=ba31a4a0-7759-4744-8a4b-f3a61b5b9fee%40pdc-v-sessmgr01&amp;bdata=JnNpdGU9ZWhvc3QtbGl2ZQ%3d%3d" \l "c28" </w:instrText>
      </w:r>
      <w:r>
        <w:fldChar w:fldCharType="separate"/>
      </w:r>
      <w:r>
        <w:rPr>
          <w:rStyle w:val="Hyperlink"/>
        </w:rPr>
        <w:t>Dvorsky</w:t>
      </w:r>
      <w:proofErr w:type="spellEnd"/>
      <w:r>
        <w:rPr>
          <w:rStyle w:val="Hyperlink"/>
        </w:rPr>
        <w:t xml:space="preserve"> et al., 2016</w:t>
      </w:r>
      <w:r>
        <w:fldChar w:fldCharType="end"/>
      </w:r>
      <w:r>
        <w:t xml:space="preserve">; </w:t>
      </w:r>
      <w:hyperlink r:id="rId34" w:anchor="c56" w:history="1">
        <w:r>
          <w:rPr>
            <w:rStyle w:val="Hyperlink"/>
          </w:rPr>
          <w:t xml:space="preserve">Nelson, Whipple, Lindstrom, &amp; </w:t>
        </w:r>
        <w:proofErr w:type="spellStart"/>
        <w:r>
          <w:rPr>
            <w:rStyle w:val="Hyperlink"/>
          </w:rPr>
          <w:t>Foels</w:t>
        </w:r>
        <w:proofErr w:type="spellEnd"/>
        <w:r>
          <w:rPr>
            <w:rStyle w:val="Hyperlink"/>
          </w:rPr>
          <w:t>, 2014</w:t>
        </w:r>
      </w:hyperlink>
      <w:r>
        <w:t>). Using neuropsychological testing has been proposed as one strategy to improve the accuracy of diagnostic assessment, given the range of cognitive deficits associated with ADHD in adulthood (</w:t>
      </w:r>
      <w:hyperlink r:id="rId35" w:anchor="c54" w:history="1">
        <w:r>
          <w:rPr>
            <w:rStyle w:val="Hyperlink"/>
          </w:rPr>
          <w:t>Mostert et al., 2015</w:t>
        </w:r>
      </w:hyperlink>
      <w:r>
        <w:t xml:space="preserve">; </w:t>
      </w:r>
      <w:hyperlink r:id="rId36" w:anchor="c80" w:history="1">
        <w:proofErr w:type="spellStart"/>
        <w:r>
          <w:rPr>
            <w:rStyle w:val="Hyperlink"/>
          </w:rPr>
          <w:t>Weyandt</w:t>
        </w:r>
        <w:proofErr w:type="spellEnd"/>
        <w:r>
          <w:rPr>
            <w:rStyle w:val="Hyperlink"/>
          </w:rPr>
          <w:t xml:space="preserve">, Oster, </w:t>
        </w:r>
        <w:proofErr w:type="spellStart"/>
        <w:r>
          <w:rPr>
            <w:rStyle w:val="Hyperlink"/>
          </w:rPr>
          <w:t>Gudmundsdottir</w:t>
        </w:r>
        <w:proofErr w:type="spellEnd"/>
        <w:r>
          <w:rPr>
            <w:rStyle w:val="Hyperlink"/>
          </w:rPr>
          <w:t xml:space="preserve">, </w:t>
        </w:r>
        <w:proofErr w:type="spellStart"/>
        <w:r>
          <w:rPr>
            <w:rStyle w:val="Hyperlink"/>
          </w:rPr>
          <w:t>DuPaul</w:t>
        </w:r>
        <w:proofErr w:type="spellEnd"/>
        <w:r>
          <w:rPr>
            <w:rStyle w:val="Hyperlink"/>
          </w:rPr>
          <w:t xml:space="preserve">, &amp; </w:t>
        </w:r>
        <w:proofErr w:type="spellStart"/>
        <w:r>
          <w:rPr>
            <w:rStyle w:val="Hyperlink"/>
          </w:rPr>
          <w:t>Anastopoulos</w:t>
        </w:r>
        <w:proofErr w:type="spellEnd"/>
        <w:r>
          <w:rPr>
            <w:rStyle w:val="Hyperlink"/>
          </w:rPr>
          <w:t>, 2017</w:t>
        </w:r>
      </w:hyperlink>
      <w:r>
        <w:t>) as well as the continuation of neurocognitive problems into adulthood among those with ADHD (</w:t>
      </w:r>
      <w:hyperlink r:id="rId37" w:anchor="c73" w:history="1">
        <w:r>
          <w:rPr>
            <w:rStyle w:val="Hyperlink"/>
          </w:rPr>
          <w:t xml:space="preserve">van </w:t>
        </w:r>
        <w:proofErr w:type="spellStart"/>
        <w:r>
          <w:rPr>
            <w:rStyle w:val="Hyperlink"/>
          </w:rPr>
          <w:t>Lieshout</w:t>
        </w:r>
        <w:proofErr w:type="spellEnd"/>
        <w:r>
          <w:rPr>
            <w:rStyle w:val="Hyperlink"/>
          </w:rPr>
          <w:t xml:space="preserve">, </w:t>
        </w:r>
        <w:proofErr w:type="spellStart"/>
        <w:r>
          <w:rPr>
            <w:rStyle w:val="Hyperlink"/>
          </w:rPr>
          <w:t>Luman</w:t>
        </w:r>
        <w:proofErr w:type="spellEnd"/>
        <w:r>
          <w:rPr>
            <w:rStyle w:val="Hyperlink"/>
          </w:rPr>
          <w:t xml:space="preserve">, </w:t>
        </w:r>
        <w:proofErr w:type="spellStart"/>
        <w:r>
          <w:rPr>
            <w:rStyle w:val="Hyperlink"/>
          </w:rPr>
          <w:t>Buitelaar</w:t>
        </w:r>
        <w:proofErr w:type="spellEnd"/>
        <w:r>
          <w:rPr>
            <w:rStyle w:val="Hyperlink"/>
          </w:rPr>
          <w:t xml:space="preserve">, </w:t>
        </w:r>
        <w:proofErr w:type="spellStart"/>
        <w:r>
          <w:rPr>
            <w:rStyle w:val="Hyperlink"/>
          </w:rPr>
          <w:t>Rommelse</w:t>
        </w:r>
        <w:proofErr w:type="spellEnd"/>
        <w:r>
          <w:rPr>
            <w:rStyle w:val="Hyperlink"/>
          </w:rPr>
          <w:t xml:space="preserve">, &amp; </w:t>
        </w:r>
        <w:proofErr w:type="spellStart"/>
        <w:r>
          <w:rPr>
            <w:rStyle w:val="Hyperlink"/>
          </w:rPr>
          <w:t>Oosterlaan</w:t>
        </w:r>
        <w:proofErr w:type="spellEnd"/>
        <w:r>
          <w:rPr>
            <w:rStyle w:val="Hyperlink"/>
          </w:rPr>
          <w:t>, 2013</w:t>
        </w:r>
      </w:hyperlink>
      <w:r>
        <w:t>). Some past work has shown that inclusion of tests of executive functioning, particularly working memory and inhibition, as well as tests of sustained attention have improved diagnostic accuracy of ADHD assessment (</w:t>
      </w:r>
      <w:proofErr w:type="spellStart"/>
      <w:r>
        <w:fldChar w:fldCharType="begin"/>
      </w:r>
      <w:r>
        <w:instrText xml:space="preserve"> HYPERLINK "https://0-web-b-ebscohost-com.libus.csd.mu.edu/ehost/detail/detail?vid=3&amp;sid=ba31a4a0-7759-4744-8a4b-f3a61b5b9fee%40pdc-v-sessmgr01&amp;bdata=JnNpdGU9ZWhvc3QtbGl2ZQ%3d%3d" \l "c34" </w:instrText>
      </w:r>
      <w:r>
        <w:fldChar w:fldCharType="separate"/>
      </w:r>
      <w:r>
        <w:rPr>
          <w:rStyle w:val="Hyperlink"/>
        </w:rPr>
        <w:t>Grodzinsky</w:t>
      </w:r>
      <w:proofErr w:type="spellEnd"/>
      <w:r>
        <w:rPr>
          <w:rStyle w:val="Hyperlink"/>
        </w:rPr>
        <w:t xml:space="preserve"> &amp; Barkley, 1999</w:t>
      </w:r>
      <w:r>
        <w:fldChar w:fldCharType="end"/>
      </w:r>
      <w:r>
        <w:t xml:space="preserve">; </w:t>
      </w:r>
      <w:hyperlink r:id="rId38" w:anchor="c46" w:history="1">
        <w:r>
          <w:rPr>
            <w:rStyle w:val="Hyperlink"/>
          </w:rPr>
          <w:t>Lovejoy et al., 1999</w:t>
        </w:r>
      </w:hyperlink>
      <w:r>
        <w:t>). More recently, machine learning paradigms have also been able to utilize neuropsychological data to accurately predict ADHD diagnoses among children (</w:t>
      </w:r>
      <w:hyperlink r:id="rId39" w:anchor="c16" w:history="1">
        <w:r>
          <w:rPr>
            <w:rStyle w:val="Hyperlink"/>
          </w:rPr>
          <w:t>Bledsoe et al., 2016</w:t>
        </w:r>
      </w:hyperlink>
      <w:r>
        <w:t>). However, other studies have also shown limited utility of these neuropsychological tests in improving diagnostic accuracy (</w:t>
      </w:r>
      <w:hyperlink r:id="rId40" w:anchor="c201" w:history="1">
        <w:r>
          <w:rPr>
            <w:rStyle w:val="Hyperlink"/>
          </w:rPr>
          <w:t>Barkley et al., 2008</w:t>
        </w:r>
      </w:hyperlink>
      <w:r>
        <w:t xml:space="preserve">; </w:t>
      </w:r>
      <w:hyperlink r:id="rId41" w:anchor="c63" w:history="1">
        <w:r>
          <w:rPr>
            <w:rStyle w:val="Hyperlink"/>
          </w:rPr>
          <w:t xml:space="preserve">Rapport, Van </w:t>
        </w:r>
        <w:proofErr w:type="spellStart"/>
        <w:r>
          <w:rPr>
            <w:rStyle w:val="Hyperlink"/>
          </w:rPr>
          <w:t>Voorhis</w:t>
        </w:r>
        <w:proofErr w:type="spellEnd"/>
        <w:r>
          <w:rPr>
            <w:rStyle w:val="Hyperlink"/>
          </w:rPr>
          <w:t xml:space="preserve">, </w:t>
        </w:r>
        <w:proofErr w:type="spellStart"/>
        <w:r>
          <w:rPr>
            <w:rStyle w:val="Hyperlink"/>
          </w:rPr>
          <w:t>Tzelepis</w:t>
        </w:r>
        <w:proofErr w:type="spellEnd"/>
        <w:r>
          <w:rPr>
            <w:rStyle w:val="Hyperlink"/>
          </w:rPr>
          <w:t>, &amp; Friedman, 2001</w:t>
        </w:r>
      </w:hyperlink>
      <w:r>
        <w:t>). Notably, single neuropsychological tests have been found to poorly discriminate between youth with and without ADHD (</w:t>
      </w:r>
      <w:hyperlink r:id="rId42" w:anchor="c25" w:history="1">
        <w:r>
          <w:rPr>
            <w:rStyle w:val="Hyperlink"/>
          </w:rPr>
          <w:t xml:space="preserve">Doyle, Biederman, Seidman, Weber, &amp; </w:t>
        </w:r>
        <w:proofErr w:type="spellStart"/>
        <w:r>
          <w:rPr>
            <w:rStyle w:val="Hyperlink"/>
          </w:rPr>
          <w:t>Faraone</w:t>
        </w:r>
        <w:proofErr w:type="spellEnd"/>
        <w:r>
          <w:rPr>
            <w:rStyle w:val="Hyperlink"/>
          </w:rPr>
          <w:t>, 2000</w:t>
        </w:r>
      </w:hyperlink>
      <w:r>
        <w:t>) and normal performance on any given test has been shown to poorly predict the absence of ADHD (</w:t>
      </w:r>
      <w:proofErr w:type="spellStart"/>
      <w:r>
        <w:fldChar w:fldCharType="begin"/>
      </w:r>
      <w:r>
        <w:instrText xml:space="preserve"> HYPERLINK "https://0-web-b-ebscohost-com.libus.csd.mu.edu/ehost/detail/detail?vid=3&amp;sid=ba31a4a0-7759-4744-8a4b-f3a61b5b9fee%40pdc-v-sessmgr01&amp;bdata=JnNpdGU9ZWhvc3QtbGl2ZQ%3d%3d" \l "c60" </w:instrText>
      </w:r>
      <w:r>
        <w:fldChar w:fldCharType="separate"/>
      </w:r>
      <w:r>
        <w:rPr>
          <w:rStyle w:val="Hyperlink"/>
        </w:rPr>
        <w:t>Perugini</w:t>
      </w:r>
      <w:proofErr w:type="spellEnd"/>
      <w:r>
        <w:rPr>
          <w:rStyle w:val="Hyperlink"/>
        </w:rPr>
        <w:t>, Harvey, Lovejoy, Sandstrom, &amp; Webb, 2000</w:t>
      </w:r>
      <w:r>
        <w:fldChar w:fldCharType="end"/>
      </w:r>
      <w:r>
        <w:t>). This is likely due to the substantial heterogeneity in neuropsychological performance among those with and without ADHD (</w:t>
      </w:r>
      <w:hyperlink r:id="rId43" w:anchor="c30" w:history="1">
        <w:r>
          <w:rPr>
            <w:rStyle w:val="Hyperlink"/>
          </w:rPr>
          <w:t xml:space="preserve">Fair, </w:t>
        </w:r>
        <w:proofErr w:type="spellStart"/>
        <w:r>
          <w:rPr>
            <w:rStyle w:val="Hyperlink"/>
          </w:rPr>
          <w:t>Bathula</w:t>
        </w:r>
        <w:proofErr w:type="spellEnd"/>
        <w:r>
          <w:rPr>
            <w:rStyle w:val="Hyperlink"/>
          </w:rPr>
          <w:t xml:space="preserve">, Nikolas, &amp; </w:t>
        </w:r>
        <w:proofErr w:type="spellStart"/>
        <w:r>
          <w:rPr>
            <w:rStyle w:val="Hyperlink"/>
          </w:rPr>
          <w:t>Nigg</w:t>
        </w:r>
        <w:proofErr w:type="spellEnd"/>
        <w:r>
          <w:rPr>
            <w:rStyle w:val="Hyperlink"/>
          </w:rPr>
          <w:t>, 2012</w:t>
        </w:r>
      </w:hyperlink>
      <w:r>
        <w:t>).</w:t>
      </w:r>
    </w:p>
    <w:p w14:paraId="056FD1EB" w14:textId="77777777" w:rsidR="00441594" w:rsidRDefault="00441594" w:rsidP="00441594">
      <w:pPr>
        <w:pStyle w:val="NoSpacing"/>
      </w:pPr>
    </w:p>
    <w:p w14:paraId="17720539" w14:textId="6A44AF19" w:rsidR="00441594" w:rsidRDefault="00441594" w:rsidP="00441594">
      <w:pPr>
        <w:pStyle w:val="NoSpacing"/>
      </w:pPr>
      <w:r>
        <w:t>While there is some indication that combined approaches (i.e., interview, behavior rating scale, and neuropsychological testing) may provide improved diagnostic accuracy (</w:t>
      </w:r>
      <w:proofErr w:type="spellStart"/>
      <w:r>
        <w:fldChar w:fldCharType="begin"/>
      </w:r>
      <w:r>
        <w:instrText xml:space="preserve"> HYPERLINK "https://0-web-b-ebscohost-com.libus.csd.mu.edu/ehost/detail/detail?vid=3&amp;sid=ba31a4a0-7759-4744-8a4b-f3a61b5b9fee%40pdc-v-sessmgr01&amp;bdata=JnNpdGU9ZWhvc3QtbGl2ZQ%3d%3d" \l "c60" </w:instrText>
      </w:r>
      <w:r>
        <w:fldChar w:fldCharType="separate"/>
      </w:r>
      <w:r>
        <w:rPr>
          <w:rStyle w:val="Hyperlink"/>
        </w:rPr>
        <w:t>Perugini</w:t>
      </w:r>
      <w:proofErr w:type="spellEnd"/>
      <w:r>
        <w:rPr>
          <w:rStyle w:val="Hyperlink"/>
        </w:rPr>
        <w:t xml:space="preserve"> et al., 2000</w:t>
      </w:r>
      <w:r>
        <w:fldChar w:fldCharType="end"/>
      </w:r>
      <w:r>
        <w:t xml:space="preserve">), past work exploring these questions has been limited in several ways. First, many studies have focused on a few </w:t>
      </w:r>
      <w:r>
        <w:lastRenderedPageBreak/>
        <w:t>neuropsychological domains and have not incorporated other tests commonly used in clinical neuropsychological practice, which may potentially be more sensitive in identifying ADHD-related cognitive deficits. Second, nearly all this work has failed to incorporate PVTs to ensure valid effort. Third, only one study of the diagnostic accuracy of a combined approach (including PVTs) has been done with adults, a group for which diagnosis remains particularly challenging. Many of these studies have failed to consider how measures might distinguish ADHD from those with other disorders, such as depression, that present with similar concentration and attention problems. Distinguishing between adult ADHD and depression is of particular importance, given the high rates of comorbidity between ADHD and depression in adults (</w:t>
      </w:r>
      <w:hyperlink r:id="rId44" w:anchor="c41" w:history="1">
        <w:r>
          <w:rPr>
            <w:rStyle w:val="Hyperlink"/>
          </w:rPr>
          <w:t>Kessler et al., 2006</w:t>
        </w:r>
      </w:hyperlink>
      <w:r>
        <w:t>) as well the common patterns of cognitive deficits associated with each condition (</w:t>
      </w:r>
      <w:proofErr w:type="spellStart"/>
      <w:r>
        <w:fldChar w:fldCharType="begin"/>
      </w:r>
      <w:r>
        <w:instrText xml:space="preserve"> HYPERLINK "https://0-web-b-ebscohost-com.libus.csd.mu.edu/ehost/detail/detail?vid=3&amp;sid=ba31a4a0-7759-4744-8a4b-f3a61b5b9fee%40pdc-v-sessmgr01&amp;bdata=JnNpdGU9ZWhvc3QtbGl2ZQ%3d%3d" \l "c61" </w:instrText>
      </w:r>
      <w:r>
        <w:fldChar w:fldCharType="separate"/>
      </w:r>
      <w:r>
        <w:rPr>
          <w:rStyle w:val="Hyperlink"/>
        </w:rPr>
        <w:t>Prevatt</w:t>
      </w:r>
      <w:proofErr w:type="spellEnd"/>
      <w:r>
        <w:rPr>
          <w:rStyle w:val="Hyperlink"/>
        </w:rPr>
        <w:t xml:space="preserve"> et al., 2015</w:t>
      </w:r>
      <w:r>
        <w:fldChar w:fldCharType="end"/>
      </w:r>
      <w:r>
        <w:t xml:space="preserve">; </w:t>
      </w:r>
      <w:hyperlink r:id="rId45" w:anchor="c71" w:history="1">
        <w:r>
          <w:rPr>
            <w:rStyle w:val="Hyperlink"/>
          </w:rPr>
          <w:t>Spencer et al., 2007</w:t>
        </w:r>
      </w:hyperlink>
      <w:r>
        <w:t>). Few prior studies have evaluated the degree to which each source of information (i.e., rating scales, test scores) improves diagnostic accuracy as well as how various cut scores available across many commonly used measures may impact their diagnostic utility.</w:t>
      </w:r>
    </w:p>
    <w:p w14:paraId="67FE3D3A" w14:textId="77777777" w:rsidR="00441594" w:rsidRDefault="00441594" w:rsidP="00441594">
      <w:pPr>
        <w:pStyle w:val="NoSpacing"/>
      </w:pPr>
    </w:p>
    <w:p w14:paraId="48E2174D" w14:textId="5FC110BF" w:rsidR="00441594" w:rsidRPr="00441594" w:rsidRDefault="00441594" w:rsidP="00441594">
      <w:pPr>
        <w:pStyle w:val="NoSpacing"/>
      </w:pPr>
      <w:r>
        <w:t>Therefore, the purpose of the current study was to examine performance across a large and diverse neuropsychological measure battery among adults with ADHD, adults with unipolar depression, and controls with the goal of determining if inclusion of such measures improved diagnostic accuracy of ADHD. Here, we also examined behavior rating scales from participants and informants that assessed current and childhood symptoms as well as current ADHD-related functional impairments, along with neuropsychological test performance to determine which combination of these measures resulted in the highest diagnostic accuracy of ADHD among adults. Based on prior work, we predicted that inclusion of tests of neuropsychological functioning, particularly sustained attention, would improve diagnostic accuracy for adult ADHD.</w:t>
      </w:r>
    </w:p>
    <w:p w14:paraId="1FFBC035" w14:textId="38558A50" w:rsidR="00152B2C" w:rsidRDefault="00152B2C" w:rsidP="00152B2C">
      <w:pPr>
        <w:pStyle w:val="Heading1"/>
      </w:pPr>
      <w:r>
        <w:t>Method</w:t>
      </w:r>
    </w:p>
    <w:p w14:paraId="44A7E3EC" w14:textId="0A78D839" w:rsidR="00152B2C" w:rsidRDefault="00152B2C" w:rsidP="00152B2C">
      <w:pPr>
        <w:pStyle w:val="Heading2"/>
      </w:pPr>
      <w:r>
        <w:t>Participants</w:t>
      </w:r>
    </w:p>
    <w:p w14:paraId="742995BF" w14:textId="37752A32" w:rsidR="00274137" w:rsidRDefault="00274137" w:rsidP="00274137">
      <w:pPr>
        <w:pStyle w:val="NoSpacing"/>
      </w:pPr>
      <w:r>
        <w:t>Participants were 256 adults Ages 18–40 years (</w:t>
      </w:r>
      <w:r>
        <w:rPr>
          <w:rStyle w:val="Emphasis"/>
        </w:rPr>
        <w:t>M</w:t>
      </w:r>
      <w:r>
        <w:t xml:space="preserve">age = 23.9 years, </w:t>
      </w:r>
      <w:r>
        <w:rPr>
          <w:rStyle w:val="Emphasis"/>
        </w:rPr>
        <w:t>SD</w:t>
      </w:r>
      <w:r>
        <w:t xml:space="preserve"> = 5.1 years, 60.6% female, 83.7% Caucasian). Adult volunteers were recruited via advertisements, e-mail listservs, and outreach to local neuropsychological clinics to obtain as representative a sample as possible while avoiding the inherent biases associated with relying on a purely clinic-referred sample. Study participants were recruited across two sites into one of three potential groups: adults with a diagnosis of ADHD, adults with a diagnosis of unipolar mood disorder (depressed), and adults with neither diagnosis (controls, see the Testing Procedures section). Enrollment in the study also required all participants to give contact information for an informant, who could provide reports regarding their current and childhood ADHD symptoms. Demographic characteristics (i.e., age, sex, ethnicity, household income) did not vary by recruitment location (all </w:t>
      </w:r>
      <w:proofErr w:type="spellStart"/>
      <w:r>
        <w:rPr>
          <w:rStyle w:val="Emphasis"/>
        </w:rPr>
        <w:t>p</w:t>
      </w:r>
      <w:r>
        <w:t>s</w:t>
      </w:r>
      <w:proofErr w:type="spellEnd"/>
      <w:r>
        <w:t xml:space="preserve"> &gt;.22).</w:t>
      </w:r>
    </w:p>
    <w:p w14:paraId="24E08C85" w14:textId="77777777" w:rsidR="00274137" w:rsidRDefault="00274137" w:rsidP="00274137">
      <w:pPr>
        <w:pStyle w:val="NoSpacing"/>
      </w:pPr>
    </w:p>
    <w:p w14:paraId="7A62B2E0" w14:textId="77777777" w:rsidR="00274137" w:rsidRDefault="00274137" w:rsidP="00274137">
      <w:pPr>
        <w:pStyle w:val="NoSpacing"/>
      </w:pPr>
      <w:r>
        <w:t xml:space="preserve">A multistage process was used to identify cases and </w:t>
      </w:r>
      <w:proofErr w:type="spellStart"/>
      <w:r>
        <w:t>noncases</w:t>
      </w:r>
      <w:proofErr w:type="spellEnd"/>
      <w:r>
        <w:t xml:space="preserve"> among those who volunteered (see </w:t>
      </w:r>
      <w:hyperlink r:id="rId46" w:anchor="fig1" w:history="1">
        <w:r>
          <w:rPr>
            <w:rStyle w:val="Hyperlink"/>
          </w:rPr>
          <w:t>Figure 1</w:t>
        </w:r>
      </w:hyperlink>
      <w:r>
        <w:t>). Interested participants first completed an eligibility screening process conducted by bachelor’s and master’s level research project staff at Stage 1 to evaluate inclusion and exclusion criteria. Participants were excluded if they (a) were not fluent in English; (b) had any physical illness or neurological conditions, including a history of head injuries, which might compromise central nervous system and cognitive functioning; (c) had a history of major psychiatric disorder other than depression or anxiety disorders; (d) had ever been diagnosed with a learning disability, (5) had a history of preterm birth (birth prior to 33 weeks gestation); or (e) had significant alcohol, illicit drug, or prescription drug abuse (based on the frequency, number of years of use, and total amount used per week), that were considered capable of causing impaired cognitive testing performance. While prior work has been somewhat inconsistent in including/excluding individuals with comorbid neurodevelopmental problems, including learning disorders, we elected to take a conservative approach and exclude those with other neurodevelopmental conditions to ensure that any cognitive deficits we observed were due to ADHD and not a combination of different problems. Additionally, participants were excluded if they were taking long-acting stimulant medications (</w:t>
      </w:r>
      <w:r>
        <w:rPr>
          <w:rStyle w:val="Emphasis"/>
        </w:rPr>
        <w:t>n</w:t>
      </w:r>
      <w:r>
        <w:t xml:space="preserve"> = 77) or were not willing to complete a wash out of stimulant </w:t>
      </w:r>
      <w:r>
        <w:lastRenderedPageBreak/>
        <w:t>medication prior to testing (</w:t>
      </w:r>
      <w:r>
        <w:rPr>
          <w:rStyle w:val="Emphasis"/>
        </w:rPr>
        <w:t>n</w:t>
      </w:r>
      <w:r>
        <w:t xml:space="preserve"> = 12). A total of 882 participants completed the initial screening process, of which 282 were excluded.</w:t>
      </w:r>
    </w:p>
    <w:p w14:paraId="590BBF66" w14:textId="300BA11F" w:rsidR="00274137" w:rsidRDefault="00274137" w:rsidP="00274137">
      <w:pPr>
        <w:pStyle w:val="NoSpacing"/>
        <w:tabs>
          <w:tab w:val="left" w:pos="2610"/>
        </w:tabs>
      </w:pPr>
    </w:p>
    <w:p w14:paraId="49310218" w14:textId="28E7C651" w:rsidR="00274137" w:rsidRDefault="00274137" w:rsidP="00274137">
      <w:pPr>
        <w:pStyle w:val="NoSpacing"/>
        <w:tabs>
          <w:tab w:val="left" w:pos="2610"/>
        </w:tabs>
      </w:pPr>
      <w:r>
        <w:rPr>
          <w:noProof/>
        </w:rPr>
        <w:drawing>
          <wp:inline distT="0" distB="0" distL="0" distR="0" wp14:anchorId="2B47C2C2" wp14:editId="4F054392">
            <wp:extent cx="3657600" cy="2807208"/>
            <wp:effectExtent l="0" t="0" r="0" b="0"/>
            <wp:docPr id="1" name="Picture 1" descr="Figure 1. Multistage recruitment proced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s-31-5-685-fig1a.gif"/>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657600" cy="2807208"/>
                    </a:xfrm>
                    <a:prstGeom prst="rect">
                      <a:avLst/>
                    </a:prstGeom>
                    <a:noFill/>
                    <a:ln>
                      <a:noFill/>
                    </a:ln>
                  </pic:spPr>
                </pic:pic>
              </a:graphicData>
            </a:graphic>
          </wp:inline>
        </w:drawing>
      </w:r>
    </w:p>
    <w:p w14:paraId="5EAFE1F9" w14:textId="6A336B75" w:rsidR="00274137" w:rsidRDefault="00274137" w:rsidP="00274137">
      <w:pPr>
        <w:pStyle w:val="NoSpacing"/>
        <w:tabs>
          <w:tab w:val="left" w:pos="2610"/>
        </w:tabs>
      </w:pPr>
    </w:p>
    <w:p w14:paraId="51AE58F2" w14:textId="6917FE48" w:rsidR="00274137" w:rsidRDefault="003C3596" w:rsidP="003C3596">
      <w:pPr>
        <w:pStyle w:val="NoSpacing"/>
      </w:pPr>
      <w:r w:rsidRPr="003C3596">
        <w:rPr>
          <w:b/>
          <w:bCs/>
        </w:rPr>
        <w:t>Figure 1.</w:t>
      </w:r>
      <w:r w:rsidRPr="003C3596">
        <w:t xml:space="preserve"> Multistage recruitment procedure.</w:t>
      </w:r>
    </w:p>
    <w:p w14:paraId="5883118E" w14:textId="37456906" w:rsidR="003C3596" w:rsidRDefault="003C3596" w:rsidP="003C3596">
      <w:pPr>
        <w:pStyle w:val="NoSpacing"/>
      </w:pPr>
    </w:p>
    <w:p w14:paraId="4C408E1F" w14:textId="71B1B6B8" w:rsidR="003C3596" w:rsidRDefault="003C3596" w:rsidP="003C3596">
      <w:pPr>
        <w:pStyle w:val="NoSpacing"/>
      </w:pPr>
      <w:r>
        <w:t xml:space="preserve">Following the initial screening process, the remaining 600 eligible participants completed the Stage 2 screening to determine diagnostic grouping. To be considered for the ADHD group, participants had to endorse having a prior diagnosis based upon a comprehensive clinical interview and standardized assessment of psychiatric status (i.e., behavioral rating scales) as well as onset of symptoms and impairment prior to Age 16. Any prior diagnosis had to have been made during the preceding 4 years. Participants had to meet full </w:t>
      </w:r>
      <w:r>
        <w:rPr>
          <w:rStyle w:val="Emphasis"/>
        </w:rPr>
        <w:t>DSM–5</w:t>
      </w:r>
      <w:r>
        <w:t xml:space="preserve"> diagnostic criteria to be retained in the ADHD group. To determine final inclusion in the ADHD group, potential ADHD participants completed a </w:t>
      </w:r>
      <w:proofErr w:type="spellStart"/>
      <w:r>
        <w:t>semistructured</w:t>
      </w:r>
      <w:proofErr w:type="spellEnd"/>
      <w:r>
        <w:t xml:space="preserve"> interview of adult ADHD symptoms based on </w:t>
      </w:r>
      <w:hyperlink r:id="rId48" w:anchor="c43" w:history="1">
        <w:r>
          <w:rPr>
            <w:rStyle w:val="Hyperlink"/>
          </w:rPr>
          <w:t>Kessler et al. (2010)</w:t>
        </w:r>
      </w:hyperlink>
      <w:r>
        <w:t xml:space="preserve"> to ensure that current and childhood symptoms were above </w:t>
      </w:r>
      <w:r>
        <w:rPr>
          <w:rStyle w:val="Emphasis"/>
        </w:rPr>
        <w:t>DSM–IV</w:t>
      </w:r>
      <w:r>
        <w:t>/</w:t>
      </w:r>
      <w:r>
        <w:rPr>
          <w:rStyle w:val="Emphasis"/>
        </w:rPr>
        <w:t>DSM–5</w:t>
      </w:r>
      <w:r>
        <w:t xml:space="preserve"> diagnostic thresholds. These thresholds include 6+ symptoms present during childhood prior to Age 12 and 5+ symptoms present within the past 6 months. A total of 307 potential ADHD participants completed the Stage 2 screening, and 109 were deemed eligible and enrolled in the study.</w:t>
      </w:r>
    </w:p>
    <w:p w14:paraId="49BB9A58" w14:textId="77777777" w:rsidR="003C3596" w:rsidRDefault="003C3596" w:rsidP="003C3596">
      <w:pPr>
        <w:pStyle w:val="NoSpacing"/>
      </w:pPr>
    </w:p>
    <w:p w14:paraId="63990B35" w14:textId="3D1CFDC2" w:rsidR="003C3596" w:rsidRDefault="003C3596" w:rsidP="003C3596">
      <w:pPr>
        <w:pStyle w:val="NoSpacing"/>
      </w:pPr>
      <w:r>
        <w:t>To be included in the depressed group, participants had to endorse receiving a diagnosis of a unipolar mood disorder from a mental health professional based upon a comprehensive clinical interview and standardized assessment of psychiatric status. Additionally, participants had to endorse having at least one mood episode during the past year that required either medication or behavioral treatment. We set these criteria in order to try to closely compare cognitive performance of individuals with ADHD and those with recent, active symptoms of depression. A total of 182 potential depressed group participants completed the Stage 2 screening, and 52 were deemed eligible and enrolled in the study.</w:t>
      </w:r>
    </w:p>
    <w:p w14:paraId="1C3FC283" w14:textId="77777777" w:rsidR="003C3596" w:rsidRDefault="003C3596" w:rsidP="003C3596">
      <w:pPr>
        <w:pStyle w:val="NoSpacing"/>
      </w:pPr>
    </w:p>
    <w:p w14:paraId="014FE931" w14:textId="77777777" w:rsidR="003C3596" w:rsidRDefault="003C3596" w:rsidP="003C3596">
      <w:pPr>
        <w:pStyle w:val="NoSpacing"/>
      </w:pPr>
      <w:r>
        <w:t>Lastly, (out of the 111 screened) 85 community volunteers presenting with no history of either ADHD or unipolar mood disorder were enrolled in the study as controls. While a formal matching process was not implemented, control participants were enrolled to approximately correspond to the clinical groups based on age and sex. Screening procedures resulted in a total sample of 246 participants (109 ADHD, 52 depressed, and 85 controls). All participants completed a standardized neuropsychological testing battery and questionnaire measures, as follows. Additionally, all participants were compensated for their time and parking expenses were paid. All procedures were approved by the local institutional boards.</w:t>
      </w:r>
    </w:p>
    <w:p w14:paraId="7CDAEF5B" w14:textId="77777777" w:rsidR="003C3596" w:rsidRPr="003C3596" w:rsidRDefault="003C3596" w:rsidP="003C3596">
      <w:pPr>
        <w:pStyle w:val="NoSpacing"/>
      </w:pPr>
    </w:p>
    <w:p w14:paraId="65E0FCC3" w14:textId="76E65379" w:rsidR="00152B2C" w:rsidRDefault="00152B2C" w:rsidP="00152B2C">
      <w:pPr>
        <w:pStyle w:val="Heading2"/>
      </w:pPr>
      <w:r>
        <w:lastRenderedPageBreak/>
        <w:t>Testing Procedures</w:t>
      </w:r>
    </w:p>
    <w:p w14:paraId="453B2290" w14:textId="2DF13665" w:rsidR="00034A31" w:rsidRDefault="00034A31" w:rsidP="009B1A9A">
      <w:pPr>
        <w:pStyle w:val="NoSpacing"/>
      </w:pPr>
      <w:r>
        <w:t>Each participant completed a comprehensive neuropsychological evaluation, consistent with recommendations for a multimethod assessment of adult ADHD (</w:t>
      </w:r>
      <w:hyperlink r:id="rId49" w:anchor="c31" w:history="1">
        <w:r>
          <w:rPr>
            <w:rStyle w:val="Hyperlink"/>
          </w:rPr>
          <w:t xml:space="preserve">Frazier, </w:t>
        </w:r>
        <w:proofErr w:type="spellStart"/>
        <w:r>
          <w:rPr>
            <w:rStyle w:val="Hyperlink"/>
          </w:rPr>
          <w:t>Demaree</w:t>
        </w:r>
        <w:proofErr w:type="spellEnd"/>
        <w:r>
          <w:rPr>
            <w:rStyle w:val="Hyperlink"/>
          </w:rPr>
          <w:t xml:space="preserve">, &amp; </w:t>
        </w:r>
        <w:proofErr w:type="spellStart"/>
        <w:r>
          <w:rPr>
            <w:rStyle w:val="Hyperlink"/>
          </w:rPr>
          <w:t>Youngstrom</w:t>
        </w:r>
        <w:proofErr w:type="spellEnd"/>
        <w:r>
          <w:rPr>
            <w:rStyle w:val="Hyperlink"/>
          </w:rPr>
          <w:t>, 2004</w:t>
        </w:r>
      </w:hyperlink>
      <w:r>
        <w:t xml:space="preserve">; </w:t>
      </w:r>
      <w:hyperlink r:id="rId50" w:anchor="c209" w:history="1">
        <w:proofErr w:type="spellStart"/>
        <w:r>
          <w:rPr>
            <w:rStyle w:val="Hyperlink"/>
          </w:rPr>
          <w:t>Weyandt</w:t>
        </w:r>
        <w:proofErr w:type="spellEnd"/>
        <w:r>
          <w:rPr>
            <w:rStyle w:val="Hyperlink"/>
          </w:rPr>
          <w:t xml:space="preserve"> et al., 2013</w:t>
        </w:r>
      </w:hyperlink>
      <w:r>
        <w:t>). The testing procedures included multiple cognitive tests, behavioral observations, self and informant ADHD behavior rating scales, ratings of depression and anxiety symptoms, PVTs, and an SVT. All participants taking stimulant medication completed a 24- or 48-hr wash-out procedure, depending on whether the medicine was short or long acting (</w:t>
      </w:r>
      <w:r>
        <w:rPr>
          <w:rStyle w:val="Emphasis"/>
        </w:rPr>
        <w:t>M</w:t>
      </w:r>
      <w:r>
        <w:t xml:space="preserve"> wash-out time = 37.4 </w:t>
      </w:r>
      <w:proofErr w:type="spellStart"/>
      <w:r>
        <w:t>hr</w:t>
      </w:r>
      <w:proofErr w:type="spellEnd"/>
      <w:r>
        <w:t xml:space="preserve">, </w:t>
      </w:r>
      <w:r>
        <w:rPr>
          <w:rStyle w:val="Emphasis"/>
        </w:rPr>
        <w:t>SD</w:t>
      </w:r>
      <w:r>
        <w:t xml:space="preserve"> = 14.6). The cognitive tests were administered according to standardized instructions by trained and supervised clinical psychology doctoral students and advanced undergraduate students. The tests were administered in the same order for all participants (</w:t>
      </w:r>
      <w:hyperlink r:id="rId51" w:anchor="c48" w:history="1">
        <w:r>
          <w:rPr>
            <w:rStyle w:val="Hyperlink"/>
          </w:rPr>
          <w:t>Marshall et al., 2016</w:t>
        </w:r>
      </w:hyperlink>
      <w:r>
        <w:t>). Tests were selected based on review of three meta-analyses of neuropsychological performance among adults with ADHD (</w:t>
      </w:r>
      <w:hyperlink r:id="rId52" w:anchor="c3" w:history="1">
        <w:r>
          <w:rPr>
            <w:rStyle w:val="Hyperlink"/>
          </w:rPr>
          <w:t xml:space="preserve">Alderson, Kasper, </w:t>
        </w:r>
        <w:proofErr w:type="spellStart"/>
        <w:r>
          <w:rPr>
            <w:rStyle w:val="Hyperlink"/>
          </w:rPr>
          <w:t>Hudec</w:t>
        </w:r>
        <w:proofErr w:type="spellEnd"/>
        <w:r>
          <w:rPr>
            <w:rStyle w:val="Hyperlink"/>
          </w:rPr>
          <w:t xml:space="preserve">, &amp; </w:t>
        </w:r>
        <w:proofErr w:type="spellStart"/>
        <w:r>
          <w:rPr>
            <w:rStyle w:val="Hyperlink"/>
          </w:rPr>
          <w:t>Patros</w:t>
        </w:r>
        <w:proofErr w:type="spellEnd"/>
        <w:r>
          <w:rPr>
            <w:rStyle w:val="Hyperlink"/>
          </w:rPr>
          <w:t>, 2013</w:t>
        </w:r>
      </w:hyperlink>
      <w:r>
        <w:t xml:space="preserve">; </w:t>
      </w:r>
      <w:hyperlink r:id="rId53" w:anchor="c203" w:history="1">
        <w:proofErr w:type="spellStart"/>
        <w:r>
          <w:rPr>
            <w:rStyle w:val="Hyperlink"/>
          </w:rPr>
          <w:t>Boonstra</w:t>
        </w:r>
        <w:proofErr w:type="spellEnd"/>
        <w:r>
          <w:rPr>
            <w:rStyle w:val="Hyperlink"/>
          </w:rPr>
          <w:t xml:space="preserve">, </w:t>
        </w:r>
        <w:proofErr w:type="spellStart"/>
        <w:r>
          <w:rPr>
            <w:rStyle w:val="Hyperlink"/>
          </w:rPr>
          <w:t>Oosterlaan</w:t>
        </w:r>
        <w:proofErr w:type="spellEnd"/>
        <w:r>
          <w:rPr>
            <w:rStyle w:val="Hyperlink"/>
          </w:rPr>
          <w:t xml:space="preserve">, Sergeant, &amp; </w:t>
        </w:r>
        <w:proofErr w:type="spellStart"/>
        <w:r>
          <w:rPr>
            <w:rStyle w:val="Hyperlink"/>
          </w:rPr>
          <w:t>Buitelaar</w:t>
        </w:r>
        <w:proofErr w:type="spellEnd"/>
        <w:r>
          <w:rPr>
            <w:rStyle w:val="Hyperlink"/>
          </w:rPr>
          <w:t>, 2005</w:t>
        </w:r>
      </w:hyperlink>
      <w:r>
        <w:t xml:space="preserve">; </w:t>
      </w:r>
      <w:hyperlink r:id="rId54" w:anchor="c205" w:history="1">
        <w:r>
          <w:rPr>
            <w:rStyle w:val="Hyperlink"/>
          </w:rPr>
          <w:t>Hervey, Epstein, &amp; Curry, 2004</w:t>
        </w:r>
      </w:hyperlink>
      <w:r>
        <w:t>) and were included to cover several broad domains, including executive functioning (e.g., working memory, inhibition, set-shifting, interference control, planning), memory, processing speed, and sustained attention/vigilance. Included tests had a conceptual and empirical association with ADHD and the battery was selected to adequately cover verbal, visual, and motor processing domains.</w:t>
      </w:r>
    </w:p>
    <w:p w14:paraId="19C09789" w14:textId="77777777" w:rsidR="00034A31" w:rsidRDefault="00034A31" w:rsidP="009B1A9A">
      <w:pPr>
        <w:pStyle w:val="NoSpacing"/>
      </w:pPr>
    </w:p>
    <w:p w14:paraId="08A9BA85" w14:textId="0C822A41" w:rsidR="00034A31" w:rsidRDefault="00034A31" w:rsidP="009B1A9A">
      <w:pPr>
        <w:pStyle w:val="NoSpacing"/>
      </w:pPr>
      <w:r>
        <w:t xml:space="preserve">Participants completed the Vocabulary, Block Design, Digit Span, and Symbol Search subtests of the Wechsler Adult Intelligence Scale (4th ed.; </w:t>
      </w:r>
      <w:hyperlink r:id="rId55" w:anchor="c77" w:history="1">
        <w:r>
          <w:rPr>
            <w:rStyle w:val="Hyperlink"/>
          </w:rPr>
          <w:t>Wechsler, 2008a</w:t>
        </w:r>
      </w:hyperlink>
      <w:r>
        <w:t xml:space="preserve">); the California Verbal Learning Test-II (CLVT-II; </w:t>
      </w:r>
      <w:hyperlink r:id="rId56" w:anchor="c23" w:history="1">
        <w:r>
          <w:rPr>
            <w:rStyle w:val="Hyperlink"/>
          </w:rPr>
          <w:t>Delis, Kramer, Kaplan, &amp; Ober, 2000</w:t>
        </w:r>
      </w:hyperlink>
      <w:r>
        <w:t xml:space="preserve">); the Verbal Fluency, Design Fluency, Color-Word Interference Test (CWIT), and Tower test from the Delis-Kaplan Executive Function System (DKEFS; </w:t>
      </w:r>
      <w:hyperlink r:id="rId57" w:anchor="c22" w:history="1">
        <w:r>
          <w:rPr>
            <w:rStyle w:val="Hyperlink"/>
          </w:rPr>
          <w:t>Delis, Kaplan, &amp; Kramer, 2001</w:t>
        </w:r>
      </w:hyperlink>
      <w:r>
        <w:t>); the Neuropsychological Assessment Battery (NAB) Numbers and Letters Test (</w:t>
      </w:r>
      <w:hyperlink r:id="rId58" w:anchor="c81" w:history="1">
        <w:r>
          <w:rPr>
            <w:rStyle w:val="Hyperlink"/>
          </w:rPr>
          <w:t>White &amp; Stern, 2003</w:t>
        </w:r>
      </w:hyperlink>
      <w:r>
        <w:t xml:space="preserve">); the Word Memory Test (WMT; </w:t>
      </w:r>
      <w:hyperlink r:id="rId59" w:anchor="c32" w:history="1">
        <w:r>
          <w:rPr>
            <w:rStyle w:val="Hyperlink"/>
          </w:rPr>
          <w:t>Green, 2003</w:t>
        </w:r>
      </w:hyperlink>
      <w:r>
        <w:t xml:space="preserve">); the Paced Auditory Serial Addition Test (PASAT-100; </w:t>
      </w:r>
      <w:hyperlink r:id="rId60" w:anchor="c24" w:history="1">
        <w:proofErr w:type="spellStart"/>
        <w:r>
          <w:rPr>
            <w:rStyle w:val="Hyperlink"/>
          </w:rPr>
          <w:t>Diehr</w:t>
        </w:r>
        <w:proofErr w:type="spellEnd"/>
        <w:r>
          <w:rPr>
            <w:rStyle w:val="Hyperlink"/>
          </w:rPr>
          <w:t xml:space="preserve"> et al., 2003</w:t>
        </w:r>
      </w:hyperlink>
      <w:r>
        <w:t>); the Salthouse Listening Span Test (</w:t>
      </w:r>
      <w:hyperlink r:id="rId61" w:anchor="c67" w:history="1">
        <w:r>
          <w:rPr>
            <w:rStyle w:val="Hyperlink"/>
          </w:rPr>
          <w:t>Salthouse, 1994</w:t>
        </w:r>
      </w:hyperlink>
      <w:r>
        <w:t xml:space="preserve">); the Test of Variables of Attention (TOVA; </w:t>
      </w:r>
      <w:hyperlink r:id="rId62" w:anchor="c33" w:history="1">
        <w:r>
          <w:rPr>
            <w:rStyle w:val="Hyperlink"/>
          </w:rPr>
          <w:t xml:space="preserve">Greenberg, </w:t>
        </w:r>
        <w:proofErr w:type="spellStart"/>
        <w:r>
          <w:rPr>
            <w:rStyle w:val="Hyperlink"/>
          </w:rPr>
          <w:t>Kindschi</w:t>
        </w:r>
        <w:proofErr w:type="spellEnd"/>
        <w:r>
          <w:rPr>
            <w:rStyle w:val="Hyperlink"/>
          </w:rPr>
          <w:t>, Dupuy, &amp; Corman, 1996</w:t>
        </w:r>
      </w:hyperlink>
      <w:r>
        <w:t>); the Dot Counting Test (</w:t>
      </w:r>
      <w:hyperlink r:id="rId63" w:anchor="c18" w:history="1">
        <w:r>
          <w:rPr>
            <w:rStyle w:val="Hyperlink"/>
          </w:rPr>
          <w:t>Boone, Lu, &amp; Herzberg, 2002b</w:t>
        </w:r>
      </w:hyperlink>
      <w:r>
        <w:t>); the Sentence Repetition Test (</w:t>
      </w:r>
      <w:hyperlink r:id="rId64" w:anchor="c72" w:history="1">
        <w:r>
          <w:rPr>
            <w:rStyle w:val="Hyperlink"/>
          </w:rPr>
          <w:t xml:space="preserve">Strauss, Sherman, &amp; </w:t>
        </w:r>
        <w:proofErr w:type="spellStart"/>
        <w:r>
          <w:rPr>
            <w:rStyle w:val="Hyperlink"/>
          </w:rPr>
          <w:t>Spreen</w:t>
        </w:r>
        <w:proofErr w:type="spellEnd"/>
        <w:r>
          <w:rPr>
            <w:rStyle w:val="Hyperlink"/>
          </w:rPr>
          <w:t>, 2006</w:t>
        </w:r>
      </w:hyperlink>
      <w:r>
        <w:t xml:space="preserve">); the Spatial Addition subtest of the Wechsler Memory Scales (4th ed.; </w:t>
      </w:r>
      <w:hyperlink r:id="rId65" w:anchor="c78" w:history="1">
        <w:r>
          <w:rPr>
            <w:rStyle w:val="Hyperlink"/>
          </w:rPr>
          <w:t>Wechsler, 2008b</w:t>
        </w:r>
      </w:hyperlink>
      <w:r>
        <w:t>), and the b-Test (</w:t>
      </w:r>
      <w:hyperlink r:id="rId66" w:anchor="c202" w:history="1">
        <w:r>
          <w:rPr>
            <w:rStyle w:val="Hyperlink"/>
          </w:rPr>
          <w:t>Boone, Lu, &amp; Herzberg, 2002a</w:t>
        </w:r>
      </w:hyperlink>
      <w:r>
        <w:t>). PVT measures were interspersed throughout the testing battery, given that effort can fluctuate significantly throughout a testing session (</w:t>
      </w:r>
      <w:hyperlink r:id="rId67" w:anchor="c17" w:history="1">
        <w:r>
          <w:rPr>
            <w:rStyle w:val="Hyperlink"/>
          </w:rPr>
          <w:t>Boone, 2009</w:t>
        </w:r>
      </w:hyperlink>
      <w:r>
        <w:t xml:space="preserve">). The following PVT cutoff scores were used to identify suspect effort per </w:t>
      </w:r>
      <w:hyperlink r:id="rId68" w:anchor="c48" w:history="1">
        <w:r>
          <w:rPr>
            <w:rStyle w:val="Hyperlink"/>
          </w:rPr>
          <w:t>Marshall et al. (2016)</w:t>
        </w:r>
      </w:hyperlink>
      <w:r>
        <w:t>: a score of 6 or less on the Reliable Digit Span score (</w:t>
      </w:r>
      <w:proofErr w:type="spellStart"/>
      <w:r>
        <w:fldChar w:fldCharType="begin"/>
      </w:r>
      <w:r>
        <w:instrText xml:space="preserve"> HYPERLINK "https://0-web-b-ebscohost-com.libus.csd.mu.edu/ehost/detail/detail?vid=3&amp;sid=ba31a4a0-7759-4744-8a4b-f3a61b5b9fee%40pdc-v-sessmgr01&amp;bdata=JnNpdGU9ZWhvc3QtbGl2ZQ%3d%3d" \l "c7" </w:instrText>
      </w:r>
      <w:r>
        <w:fldChar w:fldCharType="separate"/>
      </w:r>
      <w:r>
        <w:rPr>
          <w:rStyle w:val="Hyperlink"/>
        </w:rPr>
        <w:t>Babikian</w:t>
      </w:r>
      <w:proofErr w:type="spellEnd"/>
      <w:r>
        <w:rPr>
          <w:rStyle w:val="Hyperlink"/>
        </w:rPr>
        <w:t>, Boone, Lu, &amp; Arnold, 2006</w:t>
      </w:r>
      <w:r>
        <w:fldChar w:fldCharType="end"/>
      </w:r>
      <w:r>
        <w:t>), two or more errors on the Forced Choice Recognition Test of the CVLT-II (</w:t>
      </w:r>
      <w:hyperlink r:id="rId69" w:anchor="c65" w:history="1">
        <w:r>
          <w:rPr>
            <w:rStyle w:val="Hyperlink"/>
          </w:rPr>
          <w:t xml:space="preserve">Root, Robbins, Chang, &amp; Van </w:t>
        </w:r>
        <w:proofErr w:type="spellStart"/>
        <w:r>
          <w:rPr>
            <w:rStyle w:val="Hyperlink"/>
          </w:rPr>
          <w:t>Gorp</w:t>
        </w:r>
        <w:proofErr w:type="spellEnd"/>
        <w:r>
          <w:rPr>
            <w:rStyle w:val="Hyperlink"/>
          </w:rPr>
          <w:t>, 2006</w:t>
        </w:r>
      </w:hyperlink>
      <w:r>
        <w:t>), a Sentence Repetition score of 10 or less (</w:t>
      </w:r>
      <w:hyperlink r:id="rId70" w:anchor="c68" w:history="1">
        <w:r>
          <w:rPr>
            <w:rStyle w:val="Hyperlink"/>
          </w:rPr>
          <w:t>Schroeder &amp; Marshall, 2010</w:t>
        </w:r>
      </w:hyperlink>
      <w:r>
        <w:t>), and less than 82.5% correct for the immediate recognition, delay recognition, or recall consistency scores on the WMT (</w:t>
      </w:r>
      <w:hyperlink r:id="rId71" w:anchor="c32" w:history="1">
        <w:r>
          <w:rPr>
            <w:rStyle w:val="Hyperlink"/>
          </w:rPr>
          <w:t>Green, 2003</w:t>
        </w:r>
      </w:hyperlink>
      <w:r>
        <w:t xml:space="preserve">). Further, an e-score of 14 or greater on the Dot Counting Test, e score of 70 or more on the b-Test, and response variability values of greater than 180 </w:t>
      </w:r>
      <w:proofErr w:type="spellStart"/>
      <w:r>
        <w:t>ms</w:t>
      </w:r>
      <w:proofErr w:type="spellEnd"/>
      <w:r>
        <w:t>, 26 or more omission errors, and 31 or more commission errors on the TOVA were used to identify suspect effort.</w:t>
      </w:r>
    </w:p>
    <w:p w14:paraId="789BBE07" w14:textId="77777777" w:rsidR="00034A31" w:rsidRDefault="00034A31" w:rsidP="009B1A9A">
      <w:pPr>
        <w:pStyle w:val="NoSpacing"/>
      </w:pPr>
    </w:p>
    <w:p w14:paraId="72652960" w14:textId="77777777" w:rsidR="00034A31" w:rsidRDefault="00034A31" w:rsidP="009B1A9A">
      <w:pPr>
        <w:pStyle w:val="NoSpacing"/>
      </w:pPr>
      <w:r>
        <w:t xml:space="preserve">Following the completion of the testing battery, participants completed several normed behavior rating scales to assess ADHD, depression, and anxiety symptomatology. Both participants and their informants completed the current and childhood symptom versions of the Barkley Adult ADHD Rating Scale (BAARS-IV, </w:t>
      </w:r>
      <w:hyperlink r:id="rId72" w:anchor="c8" w:history="1">
        <w:r>
          <w:rPr>
            <w:rStyle w:val="Hyperlink"/>
          </w:rPr>
          <w:t>Barkley, 2011a</w:t>
        </w:r>
      </w:hyperlink>
      <w:r>
        <w:t xml:space="preserve">), the Barkley Deficits in Executive Function Scale—Short Form (BDEFS-SF; </w:t>
      </w:r>
      <w:hyperlink r:id="rId73" w:anchor="c9" w:history="1">
        <w:r>
          <w:rPr>
            <w:rStyle w:val="Hyperlink"/>
          </w:rPr>
          <w:t>Barkley, 2011b</w:t>
        </w:r>
      </w:hyperlink>
      <w:r>
        <w:t xml:space="preserve">), and the Barkley Functional Impairment Scale (BFIS, </w:t>
      </w:r>
      <w:hyperlink r:id="rId74" w:anchor="c10" w:history="1">
        <w:r>
          <w:rPr>
            <w:rStyle w:val="Hyperlink"/>
          </w:rPr>
          <w:t>Barkley, 2011c</w:t>
        </w:r>
      </w:hyperlink>
      <w:r>
        <w:t xml:space="preserve">). The BAARS-IV requires respondents to rate the frequency of all 18 </w:t>
      </w:r>
      <w:r>
        <w:rPr>
          <w:rStyle w:val="Emphasis"/>
        </w:rPr>
        <w:t>DSM–IV</w:t>
      </w:r>
      <w:r>
        <w:t xml:space="preserve"> ADHD symptoms on a 4-point Likert scale (</w:t>
      </w:r>
      <w:r>
        <w:rPr>
          <w:rStyle w:val="Emphasis"/>
        </w:rPr>
        <w:t>never/rarely</w:t>
      </w:r>
      <w:r>
        <w:t xml:space="preserve">, </w:t>
      </w:r>
      <w:r>
        <w:rPr>
          <w:rStyle w:val="Emphasis"/>
        </w:rPr>
        <w:t>sometimes</w:t>
      </w:r>
      <w:r>
        <w:t xml:space="preserve">, </w:t>
      </w:r>
      <w:r>
        <w:rPr>
          <w:rStyle w:val="Emphasis"/>
        </w:rPr>
        <w:t>often</w:t>
      </w:r>
      <w:r>
        <w:t xml:space="preserve">, and </w:t>
      </w:r>
      <w:r>
        <w:rPr>
          <w:rStyle w:val="Emphasis"/>
        </w:rPr>
        <w:t>very often</w:t>
      </w:r>
      <w:r>
        <w:t>). Additionally, both participants and their informants completed the BDEFS-SF (</w:t>
      </w:r>
      <w:hyperlink r:id="rId75" w:anchor="c9" w:history="1">
        <w:r>
          <w:rPr>
            <w:rStyle w:val="Hyperlink"/>
          </w:rPr>
          <w:t>Barkley, 2011b</w:t>
        </w:r>
      </w:hyperlink>
      <w:r>
        <w:t>). The BDEFS requires respondents to report the frequency of various executive function-related problems on a 4-point Likert scale (</w:t>
      </w:r>
      <w:r>
        <w:rPr>
          <w:rStyle w:val="Emphasis"/>
        </w:rPr>
        <w:t>never/rarely</w:t>
      </w:r>
      <w:r>
        <w:t xml:space="preserve">, </w:t>
      </w:r>
      <w:r>
        <w:rPr>
          <w:rStyle w:val="Emphasis"/>
        </w:rPr>
        <w:t>sometimes</w:t>
      </w:r>
      <w:r>
        <w:t xml:space="preserve">, </w:t>
      </w:r>
      <w:r>
        <w:rPr>
          <w:rStyle w:val="Emphasis"/>
        </w:rPr>
        <w:t>often</w:t>
      </w:r>
      <w:r>
        <w:t xml:space="preserve">, and </w:t>
      </w:r>
      <w:r>
        <w:rPr>
          <w:rStyle w:val="Emphasis"/>
        </w:rPr>
        <w:t>very often</w:t>
      </w:r>
      <w:r>
        <w:t>), including difficulties with time management, organization, restraint, motivation, and emotion regulation. Participants and their informants also completed the BFIS (</w:t>
      </w:r>
      <w:hyperlink r:id="rId76" w:anchor="c10" w:history="1">
        <w:r>
          <w:rPr>
            <w:rStyle w:val="Hyperlink"/>
          </w:rPr>
          <w:t>Barkley, 2011c</w:t>
        </w:r>
      </w:hyperlink>
      <w:r>
        <w:t>). The BFIS requires respondents to report the degree to which they believe their ADHD symptoms are impairing their functioning across multiple domains (e.g., in completing tasks at home, in their interpersonal relationships, in their work/school activities). Lastly, participants also completed the Beck Depression Inventory-II (</w:t>
      </w:r>
      <w:hyperlink r:id="rId77" w:anchor="c13" w:history="1">
        <w:r>
          <w:rPr>
            <w:rStyle w:val="Hyperlink"/>
          </w:rPr>
          <w:t>Beck, Steer, &amp; Brown, 1996</w:t>
        </w:r>
      </w:hyperlink>
      <w:r>
        <w:t>), a 21-item scale examining the severity of depression symptoms as well as the 21-item Beck Anxiety Inventory (</w:t>
      </w:r>
      <w:hyperlink r:id="rId78" w:anchor="c12" w:history="1">
        <w:r>
          <w:rPr>
            <w:rStyle w:val="Hyperlink"/>
          </w:rPr>
          <w:t>Beck &amp; Steer, 1993</w:t>
        </w:r>
      </w:hyperlink>
      <w:r>
        <w:t xml:space="preserve">), which quantifies the severity of </w:t>
      </w:r>
      <w:r>
        <w:lastRenderedPageBreak/>
        <w:t>anxiety symptoms. Finally, both participants and informants also completed the Clinical Assessment of Attention Deficit–Adult Infrequency scale (</w:t>
      </w:r>
      <w:hyperlink r:id="rId79" w:anchor="c20" w:history="1">
        <w:r>
          <w:rPr>
            <w:rStyle w:val="Hyperlink"/>
          </w:rPr>
          <w:t>Bracken &amp; Boatwright, 2005</w:t>
        </w:r>
      </w:hyperlink>
      <w:r>
        <w:t>) which is an SVT. The endorsement of three or more of the 10 items on this scale was considered to be indicative of symptom exaggeration or embellishment (</w:t>
      </w:r>
      <w:hyperlink r:id="rId80" w:anchor="c48" w:history="1">
        <w:r>
          <w:rPr>
            <w:rStyle w:val="Hyperlink"/>
          </w:rPr>
          <w:t>Marshall et al., 2016</w:t>
        </w:r>
      </w:hyperlink>
      <w:r>
        <w:t>).</w:t>
      </w:r>
    </w:p>
    <w:p w14:paraId="7D1D4662" w14:textId="77777777" w:rsidR="00034A31" w:rsidRPr="00034A31" w:rsidRDefault="00034A31" w:rsidP="009B1A9A">
      <w:pPr>
        <w:pStyle w:val="NoSpacing"/>
      </w:pPr>
    </w:p>
    <w:p w14:paraId="05E5F0EB" w14:textId="6EBC27AD" w:rsidR="00152B2C" w:rsidRDefault="00152B2C" w:rsidP="00152B2C">
      <w:pPr>
        <w:pStyle w:val="Heading2"/>
      </w:pPr>
      <w:r>
        <w:t>Data Analytic Strategy</w:t>
      </w:r>
    </w:p>
    <w:p w14:paraId="5B241918" w14:textId="254DFD10" w:rsidR="000B53FA" w:rsidRDefault="000B53FA" w:rsidP="000B53FA">
      <w:pPr>
        <w:pStyle w:val="NoSpacing"/>
      </w:pPr>
      <w:r>
        <w:t>Descriptive statistics for the diagnostic measures were first calculated by group (ADHD, depressed, and control) and differences evaluated via analysis of variance. To facilitate interpretation of results, all neuropsychological test scores were transformed to reduce skewness and mean centered, such that higher scores reflected worse performance. Normed values were used for each measure to manage differences related to age and sex. Participants who were below thresholds on two or more PVT/SVTs were determined to have made an invalid symptom presentation (</w:t>
      </w:r>
      <w:r>
        <w:rPr>
          <w:rStyle w:val="Emphasis"/>
        </w:rPr>
        <w:t>n</w:t>
      </w:r>
      <w:r>
        <w:t xml:space="preserve"> = 6, all in the ADHD group), based on prior work (</w:t>
      </w:r>
      <w:hyperlink r:id="rId81" w:anchor="c48" w:history="1">
        <w:r>
          <w:rPr>
            <w:rStyle w:val="Hyperlink"/>
          </w:rPr>
          <w:t>Marshall et al., 2016</w:t>
        </w:r>
      </w:hyperlink>
      <w:r>
        <w:t>).</w:t>
      </w:r>
    </w:p>
    <w:p w14:paraId="3BF21E3D" w14:textId="77777777" w:rsidR="000B53FA" w:rsidRDefault="000B53FA" w:rsidP="000B53FA">
      <w:pPr>
        <w:pStyle w:val="NoSpacing"/>
      </w:pPr>
    </w:p>
    <w:p w14:paraId="12E38ED4" w14:textId="527ED251" w:rsidR="000B53FA" w:rsidRDefault="000B53FA" w:rsidP="000B53FA">
      <w:pPr>
        <w:pStyle w:val="NoSpacing"/>
      </w:pPr>
      <w:r>
        <w:t xml:space="preserve">Prior to conducting the primary analyses, the diagnostic accuracy of each neuropsychological test measure was preliminarily assessed via calculation of the area under the curve (AUC) via a series of receiver operator characteristic (ROC) analyses. These analyses examined the utility of each measure in distinguishing each dyadic grouping (i.e., ADHD vs. non-ADHD, ADHD vs. control, and ADHD vs. depressed). Measures with AUC values significantly greater than .50 (which represents the probability that a test score will rank a randomly chosen case higher than a randomly chosen </w:t>
      </w:r>
      <w:proofErr w:type="spellStart"/>
      <w:r>
        <w:t>noncase</w:t>
      </w:r>
      <w:proofErr w:type="spellEnd"/>
      <w:r>
        <w:t>) were retained for the primary analyses.</w:t>
      </w:r>
    </w:p>
    <w:p w14:paraId="66574431" w14:textId="77777777" w:rsidR="000B53FA" w:rsidRDefault="000B53FA" w:rsidP="000B53FA">
      <w:pPr>
        <w:pStyle w:val="NoSpacing"/>
      </w:pPr>
    </w:p>
    <w:p w14:paraId="3EEB1E14" w14:textId="3CDFF2AE" w:rsidR="000B53FA" w:rsidRDefault="000B53FA" w:rsidP="000B53FA">
      <w:pPr>
        <w:pStyle w:val="NoSpacing"/>
      </w:pPr>
      <w:r>
        <w:t xml:space="preserve">Regression analyses were then conducted to evaluate our primary questions regarding the utility of neuropsychological test measures for distinguishing adult ADHD. Specifically, a series of stepwise binary logistic regression analyses as well as a multinomial logistic regression were conducted to determine which measures best distinguished participants with ADHD from those without ADHD (including controls and patients with depression). In these models, all neuropsychological test measures were included as predictors and an iterative process was used to determine the best fitting model. Standardized, mean-centered scores were used as the predictors (all skewness &lt;.70) and estimated full-scale IQ and stimulant medication status were included as covariates. Outcomes included binary diagnostic groupings (i.e., ADHD vs. non-ADHD, ADHD vs. control, ADHD vs. depressed) and the three-group multinomial comparison (i.e., ADHD vs. control vs. depressed). Model fit was evaluated using the omnibus chi-square as well as the Hosmer and </w:t>
      </w:r>
      <w:proofErr w:type="spellStart"/>
      <w:r>
        <w:t>Lemeshow</w:t>
      </w:r>
      <w:proofErr w:type="spellEnd"/>
      <w:r>
        <w:t xml:space="preserve"> chi-square statistics. In addition to models predicting diagnostic group, additional analyses also examined test measures as predictors of dimensional scores of ADHD symptom severity and impairment (mean of self- and informant ratings) using a stepwise linear regression framework. Neuropsychological test measures that were found to significantly and incrementally contribute to the prediction of group membership and/or the variance in symptom severity were then retained for a subset of further analyses.</w:t>
      </w:r>
    </w:p>
    <w:p w14:paraId="766DBFBF" w14:textId="77777777" w:rsidR="000B53FA" w:rsidRDefault="000B53FA" w:rsidP="000B53FA">
      <w:pPr>
        <w:pStyle w:val="NoSpacing"/>
      </w:pPr>
    </w:p>
    <w:p w14:paraId="434AF895" w14:textId="79D97E1C" w:rsidR="000B53FA" w:rsidRPr="000B53FA" w:rsidRDefault="000B53FA" w:rsidP="000B53FA">
      <w:pPr>
        <w:pStyle w:val="NoSpacing"/>
      </w:pPr>
      <w:r>
        <w:t>Next, we utilized a series of procedures to determine the best method for combining rating scale and test data for predicting diagnostic grouping. First, specific cut scores that optimized sensitivity, specificity, positive predictive power, and negative predictive power were determined for a final subset of neuropsychological test measures based on the prior analyses. We retained measures that were found to: (a) have marginal or better (&gt;.60) AUC values, and (b) significantly and incrementally contribute to the prediction of diagnostic group and/or symptom severity variance. From here, we utilized a series of stepwise binary logistic regression analyses to determine the degree to which each of the following indicators improved prediction of ADHD diagnoses: (a) self-reports of current symptoms and impairment, (b) self-report of childhood symptoms, (c) informant reports of current symptoms, (d) family history of ADHD diagnosis, and (e) our subset of best-performing neuropsychological test cut scores.</w:t>
      </w:r>
    </w:p>
    <w:p w14:paraId="730325D2" w14:textId="5DE8F5E1" w:rsidR="00152B2C" w:rsidRDefault="00152B2C" w:rsidP="00152B2C">
      <w:pPr>
        <w:pStyle w:val="Heading1"/>
      </w:pPr>
      <w:r>
        <w:lastRenderedPageBreak/>
        <w:t>Results</w:t>
      </w:r>
    </w:p>
    <w:p w14:paraId="17192CA4" w14:textId="27C7FFB8" w:rsidR="00152B2C" w:rsidRDefault="00152B2C" w:rsidP="00152B2C">
      <w:pPr>
        <w:pStyle w:val="Heading2"/>
      </w:pPr>
      <w:r>
        <w:t>Descriptive Statistics</w:t>
      </w:r>
    </w:p>
    <w:p w14:paraId="3EA9FFF3" w14:textId="445E9DFC" w:rsidR="00CB1B29" w:rsidRDefault="00CB1B29" w:rsidP="00CB1B29">
      <w:pPr>
        <w:pStyle w:val="NoSpacing"/>
      </w:pPr>
      <w:r>
        <w:t xml:space="preserve">Demographic and descriptive statistics for the sample are presented in </w:t>
      </w:r>
      <w:hyperlink r:id="rId82" w:anchor="tbl1" w:history="1">
        <w:r>
          <w:rPr>
            <w:rStyle w:val="Hyperlink"/>
          </w:rPr>
          <w:t>Table 1</w:t>
        </w:r>
      </w:hyperlink>
      <w:r>
        <w:t xml:space="preserve">. As seen there, our recruitment and diagnostic assessment procedures were effective in distinguishing our groups. As expected, adults in the ADHD group had significantly higher levels of inattention and hyperactivity-impulsivity symptoms, both currently and during childhood. They were significantly more likely to be taking stimulant medication than those in the depressed or </w:t>
      </w:r>
      <w:proofErr w:type="spellStart"/>
      <w:r>
        <w:t>nondisordered</w:t>
      </w:r>
      <w:proofErr w:type="spellEnd"/>
      <w:r>
        <w:t xml:space="preserve"> control groups. Notably, adults in the depressed group had significantly higher scores on the BDI than the ADHD and control groups. While adults in the depressed group reported higher levels of ADHD symptoms compared with controls, these did not reach clinical diagnostic thresholds. As expected, there was a higher proportion of males in the ADHD group relative to the depressed and control groups. Importantly, however, the three groups did not differ </w:t>
      </w:r>
      <w:proofErr w:type="gramStart"/>
      <w:r>
        <w:t>in regard to</w:t>
      </w:r>
      <w:proofErr w:type="gramEnd"/>
      <w:r>
        <w:t xml:space="preserve"> age, ethnicity, and years of education. Notably, average IQ and education were generally above average relative to population norms.</w:t>
      </w:r>
    </w:p>
    <w:p w14:paraId="7CDFA7CE" w14:textId="53C6FA15" w:rsidR="00CB1B29" w:rsidRDefault="00CB1B29" w:rsidP="00CB1B29">
      <w:pPr>
        <w:pStyle w:val="NoSpacing"/>
      </w:pPr>
    </w:p>
    <w:p w14:paraId="1374D238" w14:textId="048EDBAB" w:rsidR="00CE40F2" w:rsidRDefault="00CE40F2" w:rsidP="00CE40F2">
      <w:pPr>
        <w:pStyle w:val="NoSpacing"/>
      </w:pPr>
      <w:r w:rsidRPr="00CE40F2">
        <w:rPr>
          <w:b/>
          <w:bCs/>
        </w:rPr>
        <w:t>Table 1.</w:t>
      </w:r>
      <w:r w:rsidRPr="00CE40F2">
        <w:t xml:space="preserve"> Demographic and Descriptive Statistics for ADHD and Non-ADHD Control and Depressed Participants</w:t>
      </w:r>
    </w:p>
    <w:p w14:paraId="1152DDBF" w14:textId="77777777" w:rsidR="00991B7F" w:rsidRPr="00991B7F" w:rsidRDefault="00991B7F" w:rsidP="00991B7F">
      <w:pPr>
        <w:pStyle w:val="NoSpacing"/>
      </w:pPr>
      <w:bookmarkStart w:id="3" w:name="Predicting_Diagnostic_Group_Membership"/>
      <w:bookmarkStart w:id="4" w:name="ADHD_versus_non-ADHD"/>
      <w:bookmarkStart w:id="5" w:name="ADHD_versus_control"/>
      <w:bookmarkStart w:id="6" w:name="ADHD_versus_depressed"/>
      <w:bookmarkStart w:id="7" w:name="Multinomial_logistic_regression"/>
      <w:bookmarkEnd w:id="3"/>
      <w:bookmarkEnd w:id="4"/>
      <w:bookmarkEnd w:id="5"/>
      <w:bookmarkEnd w:id="6"/>
      <w:bookmarkEnd w:id="7"/>
    </w:p>
    <w:tbl>
      <w:tblPr>
        <w:tblStyle w:val="TableGridLight"/>
        <w:tblW w:w="0" w:type="auto"/>
        <w:tblLook w:val="0020" w:firstRow="1" w:lastRow="0" w:firstColumn="0" w:lastColumn="0" w:noHBand="0" w:noVBand="0"/>
      </w:tblPr>
      <w:tblGrid>
        <w:gridCol w:w="4281"/>
        <w:gridCol w:w="1180"/>
        <w:gridCol w:w="1180"/>
        <w:gridCol w:w="1180"/>
        <w:gridCol w:w="878"/>
        <w:gridCol w:w="1015"/>
      </w:tblGrid>
      <w:tr w:rsidR="00991B7F" w:rsidRPr="00991B7F" w14:paraId="51C1CAA6" w14:textId="77777777" w:rsidTr="008E6217">
        <w:trPr>
          <w:trHeight w:val="233"/>
        </w:trPr>
        <w:tc>
          <w:tcPr>
            <w:tcW w:w="0" w:type="auto"/>
          </w:tcPr>
          <w:p w14:paraId="331198DE" w14:textId="77777777" w:rsidR="00991B7F" w:rsidRPr="00991B7F" w:rsidRDefault="00991B7F" w:rsidP="00991B7F">
            <w:pPr>
              <w:pStyle w:val="NoSpacing"/>
              <w:rPr>
                <w:b/>
                <w:bCs/>
              </w:rPr>
            </w:pPr>
            <w:bookmarkStart w:id="8" w:name="_bookmark0"/>
            <w:bookmarkEnd w:id="8"/>
            <w:r w:rsidRPr="00991B7F">
              <w:rPr>
                <w:b/>
                <w:bCs/>
              </w:rPr>
              <w:t>Sample characteristic</w:t>
            </w:r>
          </w:p>
        </w:tc>
        <w:tc>
          <w:tcPr>
            <w:tcW w:w="0" w:type="auto"/>
          </w:tcPr>
          <w:p w14:paraId="45224421" w14:textId="77777777" w:rsidR="00991B7F" w:rsidRPr="00991B7F" w:rsidRDefault="00991B7F" w:rsidP="00991B7F">
            <w:pPr>
              <w:pStyle w:val="NoSpacing"/>
              <w:rPr>
                <w:b/>
                <w:bCs/>
              </w:rPr>
            </w:pPr>
            <w:r w:rsidRPr="00991B7F">
              <w:rPr>
                <w:b/>
                <w:bCs/>
              </w:rPr>
              <w:t>Control</w:t>
            </w:r>
          </w:p>
        </w:tc>
        <w:tc>
          <w:tcPr>
            <w:tcW w:w="0" w:type="auto"/>
          </w:tcPr>
          <w:p w14:paraId="4E9C8AC4" w14:textId="77777777" w:rsidR="00991B7F" w:rsidRPr="00991B7F" w:rsidRDefault="00991B7F" w:rsidP="00991B7F">
            <w:pPr>
              <w:pStyle w:val="NoSpacing"/>
              <w:rPr>
                <w:b/>
                <w:bCs/>
              </w:rPr>
            </w:pPr>
            <w:r w:rsidRPr="00991B7F">
              <w:rPr>
                <w:b/>
                <w:bCs/>
              </w:rPr>
              <w:t>ADHD</w:t>
            </w:r>
          </w:p>
        </w:tc>
        <w:tc>
          <w:tcPr>
            <w:tcW w:w="0" w:type="auto"/>
          </w:tcPr>
          <w:p w14:paraId="668466CE" w14:textId="77777777" w:rsidR="00991B7F" w:rsidRPr="00991B7F" w:rsidRDefault="00991B7F" w:rsidP="00991B7F">
            <w:pPr>
              <w:pStyle w:val="NoSpacing"/>
              <w:rPr>
                <w:b/>
                <w:bCs/>
              </w:rPr>
            </w:pPr>
            <w:r w:rsidRPr="00991B7F">
              <w:rPr>
                <w:b/>
                <w:bCs/>
              </w:rPr>
              <w:t>Depressed</w:t>
            </w:r>
          </w:p>
        </w:tc>
        <w:tc>
          <w:tcPr>
            <w:tcW w:w="0" w:type="auto"/>
          </w:tcPr>
          <w:p w14:paraId="0068D25E" w14:textId="77777777" w:rsidR="00991B7F" w:rsidRPr="00991B7F" w:rsidRDefault="00991B7F" w:rsidP="00991B7F">
            <w:pPr>
              <w:pStyle w:val="NoSpacing"/>
              <w:rPr>
                <w:b/>
                <w:bCs/>
              </w:rPr>
            </w:pPr>
            <w:r w:rsidRPr="00991B7F">
              <w:rPr>
                <w:b/>
                <w:bCs/>
                <w:i/>
                <w:iCs/>
              </w:rPr>
              <w:t xml:space="preserve">p </w:t>
            </w:r>
            <w:r w:rsidRPr="00991B7F">
              <w:rPr>
                <w:b/>
                <w:bCs/>
              </w:rPr>
              <w:t>value</w:t>
            </w:r>
          </w:p>
        </w:tc>
        <w:tc>
          <w:tcPr>
            <w:tcW w:w="0" w:type="auto"/>
          </w:tcPr>
          <w:p w14:paraId="505B1858" w14:textId="77777777" w:rsidR="00991B7F" w:rsidRPr="00991B7F" w:rsidRDefault="00991B7F" w:rsidP="00991B7F">
            <w:pPr>
              <w:pStyle w:val="NoSpacing"/>
              <w:rPr>
                <w:b/>
                <w:bCs/>
              </w:rPr>
            </w:pPr>
            <w:r w:rsidRPr="00991B7F">
              <w:rPr>
                <w:b/>
                <w:bCs/>
              </w:rPr>
              <w:t>Diff</w:t>
            </w:r>
          </w:p>
        </w:tc>
      </w:tr>
      <w:tr w:rsidR="00991B7F" w:rsidRPr="00991B7F" w14:paraId="3F3430DC" w14:textId="77777777" w:rsidTr="008E6217">
        <w:trPr>
          <w:trHeight w:val="265"/>
        </w:trPr>
        <w:tc>
          <w:tcPr>
            <w:tcW w:w="0" w:type="auto"/>
          </w:tcPr>
          <w:p w14:paraId="12883300" w14:textId="77777777" w:rsidR="00991B7F" w:rsidRPr="00991B7F" w:rsidRDefault="00991B7F" w:rsidP="00991B7F">
            <w:pPr>
              <w:pStyle w:val="NoSpacing"/>
              <w:rPr>
                <w:i/>
                <w:iCs/>
              </w:rPr>
            </w:pPr>
            <w:r w:rsidRPr="00991B7F">
              <w:rPr>
                <w:i/>
                <w:iCs/>
              </w:rPr>
              <w:t>N</w:t>
            </w:r>
          </w:p>
        </w:tc>
        <w:tc>
          <w:tcPr>
            <w:tcW w:w="0" w:type="auto"/>
          </w:tcPr>
          <w:p w14:paraId="0E1941AC" w14:textId="77777777" w:rsidR="00991B7F" w:rsidRPr="00991B7F" w:rsidRDefault="00991B7F" w:rsidP="00991B7F">
            <w:pPr>
              <w:pStyle w:val="NoSpacing"/>
            </w:pPr>
            <w:r w:rsidRPr="00991B7F">
              <w:t>85</w:t>
            </w:r>
          </w:p>
        </w:tc>
        <w:tc>
          <w:tcPr>
            <w:tcW w:w="0" w:type="auto"/>
          </w:tcPr>
          <w:p w14:paraId="79F91F93" w14:textId="77777777" w:rsidR="00991B7F" w:rsidRPr="00991B7F" w:rsidRDefault="00991B7F" w:rsidP="00991B7F">
            <w:pPr>
              <w:pStyle w:val="NoSpacing"/>
            </w:pPr>
            <w:r w:rsidRPr="00991B7F">
              <w:t>109</w:t>
            </w:r>
          </w:p>
        </w:tc>
        <w:tc>
          <w:tcPr>
            <w:tcW w:w="0" w:type="auto"/>
          </w:tcPr>
          <w:p w14:paraId="653D3E2A" w14:textId="77777777" w:rsidR="00991B7F" w:rsidRPr="00991B7F" w:rsidRDefault="00991B7F" w:rsidP="00991B7F">
            <w:pPr>
              <w:pStyle w:val="NoSpacing"/>
            </w:pPr>
            <w:r w:rsidRPr="00991B7F">
              <w:t>52</w:t>
            </w:r>
          </w:p>
        </w:tc>
        <w:tc>
          <w:tcPr>
            <w:tcW w:w="0" w:type="auto"/>
          </w:tcPr>
          <w:p w14:paraId="7986C385" w14:textId="77777777" w:rsidR="00991B7F" w:rsidRPr="00991B7F" w:rsidRDefault="00991B7F" w:rsidP="00991B7F">
            <w:pPr>
              <w:pStyle w:val="NoSpacing"/>
            </w:pPr>
          </w:p>
        </w:tc>
        <w:tc>
          <w:tcPr>
            <w:tcW w:w="0" w:type="auto"/>
          </w:tcPr>
          <w:p w14:paraId="4207C598" w14:textId="77777777" w:rsidR="00991B7F" w:rsidRPr="00991B7F" w:rsidRDefault="00991B7F" w:rsidP="00991B7F">
            <w:pPr>
              <w:pStyle w:val="NoSpacing"/>
            </w:pPr>
          </w:p>
        </w:tc>
      </w:tr>
      <w:tr w:rsidR="00991B7F" w:rsidRPr="00991B7F" w14:paraId="6230265D" w14:textId="77777777" w:rsidTr="008E6217">
        <w:trPr>
          <w:trHeight w:val="181"/>
        </w:trPr>
        <w:tc>
          <w:tcPr>
            <w:tcW w:w="0" w:type="auto"/>
          </w:tcPr>
          <w:p w14:paraId="50433D31" w14:textId="77777777" w:rsidR="00991B7F" w:rsidRPr="00991B7F" w:rsidRDefault="00991B7F" w:rsidP="00991B7F">
            <w:pPr>
              <w:pStyle w:val="NoSpacing"/>
            </w:pPr>
            <w:r w:rsidRPr="00991B7F">
              <w:t>Male (%)</w:t>
            </w:r>
          </w:p>
        </w:tc>
        <w:tc>
          <w:tcPr>
            <w:tcW w:w="0" w:type="auto"/>
          </w:tcPr>
          <w:p w14:paraId="3E8F4F67" w14:textId="77777777" w:rsidR="00991B7F" w:rsidRPr="00991B7F" w:rsidRDefault="00991B7F" w:rsidP="00991B7F">
            <w:pPr>
              <w:pStyle w:val="NoSpacing"/>
            </w:pPr>
            <w:r w:rsidRPr="00991B7F">
              <w:t>32.9</w:t>
            </w:r>
          </w:p>
        </w:tc>
        <w:tc>
          <w:tcPr>
            <w:tcW w:w="0" w:type="auto"/>
          </w:tcPr>
          <w:p w14:paraId="1AE5EAA7" w14:textId="77777777" w:rsidR="00991B7F" w:rsidRPr="00991B7F" w:rsidRDefault="00991B7F" w:rsidP="00991B7F">
            <w:pPr>
              <w:pStyle w:val="NoSpacing"/>
            </w:pPr>
            <w:r w:rsidRPr="00991B7F">
              <w:t>49.5</w:t>
            </w:r>
          </w:p>
        </w:tc>
        <w:tc>
          <w:tcPr>
            <w:tcW w:w="0" w:type="auto"/>
          </w:tcPr>
          <w:p w14:paraId="0167C00B" w14:textId="77777777" w:rsidR="00991B7F" w:rsidRPr="00991B7F" w:rsidRDefault="00991B7F" w:rsidP="00991B7F">
            <w:pPr>
              <w:pStyle w:val="NoSpacing"/>
            </w:pPr>
            <w:r w:rsidRPr="00991B7F">
              <w:t>28.8</w:t>
            </w:r>
          </w:p>
        </w:tc>
        <w:tc>
          <w:tcPr>
            <w:tcW w:w="0" w:type="auto"/>
          </w:tcPr>
          <w:p w14:paraId="043F2264" w14:textId="77777777" w:rsidR="00991B7F" w:rsidRPr="00991B7F" w:rsidRDefault="00991B7F" w:rsidP="00991B7F">
            <w:pPr>
              <w:pStyle w:val="NoSpacing"/>
            </w:pPr>
            <w:r w:rsidRPr="00991B7F">
              <w:t>.01</w:t>
            </w:r>
          </w:p>
        </w:tc>
        <w:tc>
          <w:tcPr>
            <w:tcW w:w="0" w:type="auto"/>
          </w:tcPr>
          <w:p w14:paraId="0517193F" w14:textId="77777777" w:rsidR="00991B7F" w:rsidRPr="00991B7F" w:rsidRDefault="00991B7F" w:rsidP="00991B7F">
            <w:pPr>
              <w:pStyle w:val="NoSpacing"/>
            </w:pPr>
            <w:r w:rsidRPr="00991B7F">
              <w:t>A, C &gt; D</w:t>
            </w:r>
          </w:p>
        </w:tc>
      </w:tr>
      <w:tr w:rsidR="00991B7F" w:rsidRPr="00991B7F" w14:paraId="6AD569F9" w14:textId="77777777" w:rsidTr="008E6217">
        <w:trPr>
          <w:trHeight w:val="178"/>
        </w:trPr>
        <w:tc>
          <w:tcPr>
            <w:tcW w:w="0" w:type="auto"/>
          </w:tcPr>
          <w:p w14:paraId="6C3C993F" w14:textId="77777777" w:rsidR="00991B7F" w:rsidRPr="00991B7F" w:rsidRDefault="00991B7F" w:rsidP="00991B7F">
            <w:pPr>
              <w:pStyle w:val="NoSpacing"/>
            </w:pPr>
            <w:r w:rsidRPr="00991B7F">
              <w:t>Caucasian (%)</w:t>
            </w:r>
          </w:p>
        </w:tc>
        <w:tc>
          <w:tcPr>
            <w:tcW w:w="0" w:type="auto"/>
          </w:tcPr>
          <w:p w14:paraId="6BCFFDFF" w14:textId="77777777" w:rsidR="00991B7F" w:rsidRPr="00991B7F" w:rsidRDefault="00991B7F" w:rsidP="00991B7F">
            <w:pPr>
              <w:pStyle w:val="NoSpacing"/>
            </w:pPr>
            <w:r w:rsidRPr="00991B7F">
              <w:t>80.0</w:t>
            </w:r>
          </w:p>
        </w:tc>
        <w:tc>
          <w:tcPr>
            <w:tcW w:w="0" w:type="auto"/>
          </w:tcPr>
          <w:p w14:paraId="25500012" w14:textId="77777777" w:rsidR="00991B7F" w:rsidRPr="00991B7F" w:rsidRDefault="00991B7F" w:rsidP="00991B7F">
            <w:pPr>
              <w:pStyle w:val="NoSpacing"/>
            </w:pPr>
            <w:r w:rsidRPr="00991B7F">
              <w:t>85.3</w:t>
            </w:r>
          </w:p>
        </w:tc>
        <w:tc>
          <w:tcPr>
            <w:tcW w:w="0" w:type="auto"/>
          </w:tcPr>
          <w:p w14:paraId="091F83B1" w14:textId="77777777" w:rsidR="00991B7F" w:rsidRPr="00991B7F" w:rsidRDefault="00991B7F" w:rsidP="00991B7F">
            <w:pPr>
              <w:pStyle w:val="NoSpacing"/>
            </w:pPr>
            <w:r w:rsidRPr="00991B7F">
              <w:t>86.5</w:t>
            </w:r>
          </w:p>
        </w:tc>
        <w:tc>
          <w:tcPr>
            <w:tcW w:w="0" w:type="auto"/>
          </w:tcPr>
          <w:p w14:paraId="190BC5EA" w14:textId="77777777" w:rsidR="00991B7F" w:rsidRPr="00991B7F" w:rsidRDefault="00991B7F" w:rsidP="00991B7F">
            <w:pPr>
              <w:pStyle w:val="NoSpacing"/>
            </w:pPr>
            <w:r w:rsidRPr="00991B7F">
              <w:t>.29</w:t>
            </w:r>
          </w:p>
        </w:tc>
        <w:tc>
          <w:tcPr>
            <w:tcW w:w="0" w:type="auto"/>
          </w:tcPr>
          <w:p w14:paraId="73B466B7" w14:textId="77777777" w:rsidR="00991B7F" w:rsidRPr="00991B7F" w:rsidRDefault="00991B7F" w:rsidP="00991B7F">
            <w:pPr>
              <w:pStyle w:val="NoSpacing"/>
            </w:pPr>
          </w:p>
        </w:tc>
      </w:tr>
      <w:tr w:rsidR="00991B7F" w:rsidRPr="00991B7F" w14:paraId="428DDFD1" w14:textId="77777777" w:rsidTr="008E6217">
        <w:trPr>
          <w:trHeight w:val="180"/>
        </w:trPr>
        <w:tc>
          <w:tcPr>
            <w:tcW w:w="0" w:type="auto"/>
          </w:tcPr>
          <w:p w14:paraId="184F5A17" w14:textId="77777777" w:rsidR="00991B7F" w:rsidRPr="00991B7F" w:rsidRDefault="00991B7F" w:rsidP="00991B7F">
            <w:pPr>
              <w:pStyle w:val="NoSpacing"/>
            </w:pPr>
            <w:r w:rsidRPr="00991B7F">
              <w:t>Age</w:t>
            </w:r>
          </w:p>
        </w:tc>
        <w:tc>
          <w:tcPr>
            <w:tcW w:w="0" w:type="auto"/>
          </w:tcPr>
          <w:p w14:paraId="373FD5BC" w14:textId="77777777" w:rsidR="00991B7F" w:rsidRPr="00991B7F" w:rsidRDefault="00991B7F" w:rsidP="00991B7F">
            <w:pPr>
              <w:pStyle w:val="NoSpacing"/>
            </w:pPr>
            <w:r w:rsidRPr="00991B7F">
              <w:t>22.9 (4.5)</w:t>
            </w:r>
          </w:p>
        </w:tc>
        <w:tc>
          <w:tcPr>
            <w:tcW w:w="0" w:type="auto"/>
          </w:tcPr>
          <w:p w14:paraId="26F75BAC" w14:textId="77777777" w:rsidR="00991B7F" w:rsidRPr="00991B7F" w:rsidRDefault="00991B7F" w:rsidP="00991B7F">
            <w:pPr>
              <w:pStyle w:val="NoSpacing"/>
            </w:pPr>
            <w:r w:rsidRPr="00991B7F">
              <w:t>24.8 (6.2)</w:t>
            </w:r>
          </w:p>
        </w:tc>
        <w:tc>
          <w:tcPr>
            <w:tcW w:w="0" w:type="auto"/>
          </w:tcPr>
          <w:p w14:paraId="7A84AF2C" w14:textId="77777777" w:rsidR="00991B7F" w:rsidRPr="00991B7F" w:rsidRDefault="00991B7F" w:rsidP="00991B7F">
            <w:pPr>
              <w:pStyle w:val="NoSpacing"/>
            </w:pPr>
            <w:r w:rsidRPr="00991B7F">
              <w:t>23.6 (5.4)</w:t>
            </w:r>
          </w:p>
        </w:tc>
        <w:tc>
          <w:tcPr>
            <w:tcW w:w="0" w:type="auto"/>
          </w:tcPr>
          <w:p w14:paraId="4F411515" w14:textId="77777777" w:rsidR="00991B7F" w:rsidRPr="00991B7F" w:rsidRDefault="00991B7F" w:rsidP="00991B7F">
            <w:pPr>
              <w:pStyle w:val="NoSpacing"/>
            </w:pPr>
            <w:r w:rsidRPr="00991B7F">
              <w:t>.06</w:t>
            </w:r>
          </w:p>
        </w:tc>
        <w:tc>
          <w:tcPr>
            <w:tcW w:w="0" w:type="auto"/>
          </w:tcPr>
          <w:p w14:paraId="0ED2A844" w14:textId="77777777" w:rsidR="00991B7F" w:rsidRPr="00991B7F" w:rsidRDefault="00991B7F" w:rsidP="00991B7F">
            <w:pPr>
              <w:pStyle w:val="NoSpacing"/>
            </w:pPr>
          </w:p>
        </w:tc>
      </w:tr>
      <w:tr w:rsidR="00991B7F" w:rsidRPr="00991B7F" w14:paraId="2F5C4ADE" w14:textId="77777777" w:rsidTr="008E6217">
        <w:trPr>
          <w:trHeight w:val="180"/>
        </w:trPr>
        <w:tc>
          <w:tcPr>
            <w:tcW w:w="0" w:type="auto"/>
          </w:tcPr>
          <w:p w14:paraId="57D027B8" w14:textId="77777777" w:rsidR="00991B7F" w:rsidRPr="00991B7F" w:rsidRDefault="00991B7F" w:rsidP="00991B7F">
            <w:pPr>
              <w:pStyle w:val="NoSpacing"/>
            </w:pPr>
            <w:r w:rsidRPr="00991B7F">
              <w:t>Education (years)</w:t>
            </w:r>
          </w:p>
        </w:tc>
        <w:tc>
          <w:tcPr>
            <w:tcW w:w="0" w:type="auto"/>
          </w:tcPr>
          <w:p w14:paraId="6790B308" w14:textId="77777777" w:rsidR="00991B7F" w:rsidRPr="00991B7F" w:rsidRDefault="00991B7F" w:rsidP="00991B7F">
            <w:pPr>
              <w:pStyle w:val="NoSpacing"/>
            </w:pPr>
            <w:r w:rsidRPr="00991B7F">
              <w:t>14.9 (1.9)</w:t>
            </w:r>
          </w:p>
        </w:tc>
        <w:tc>
          <w:tcPr>
            <w:tcW w:w="0" w:type="auto"/>
          </w:tcPr>
          <w:p w14:paraId="3531170B" w14:textId="77777777" w:rsidR="00991B7F" w:rsidRPr="00991B7F" w:rsidRDefault="00991B7F" w:rsidP="00991B7F">
            <w:pPr>
              <w:pStyle w:val="NoSpacing"/>
            </w:pPr>
            <w:r w:rsidRPr="00991B7F">
              <w:t>15.4 (2.5)</w:t>
            </w:r>
          </w:p>
        </w:tc>
        <w:tc>
          <w:tcPr>
            <w:tcW w:w="0" w:type="auto"/>
          </w:tcPr>
          <w:p w14:paraId="374DD25E" w14:textId="77777777" w:rsidR="00991B7F" w:rsidRPr="00991B7F" w:rsidRDefault="00991B7F" w:rsidP="00991B7F">
            <w:pPr>
              <w:pStyle w:val="NoSpacing"/>
            </w:pPr>
            <w:r w:rsidRPr="00991B7F">
              <w:t>15.0 (2.2)</w:t>
            </w:r>
          </w:p>
        </w:tc>
        <w:tc>
          <w:tcPr>
            <w:tcW w:w="0" w:type="auto"/>
          </w:tcPr>
          <w:p w14:paraId="3F8C4407" w14:textId="77777777" w:rsidR="00991B7F" w:rsidRPr="00991B7F" w:rsidRDefault="00991B7F" w:rsidP="00991B7F">
            <w:pPr>
              <w:pStyle w:val="NoSpacing"/>
            </w:pPr>
            <w:r w:rsidRPr="00991B7F">
              <w:t>.24</w:t>
            </w:r>
          </w:p>
        </w:tc>
        <w:tc>
          <w:tcPr>
            <w:tcW w:w="0" w:type="auto"/>
          </w:tcPr>
          <w:p w14:paraId="031A9F42" w14:textId="77777777" w:rsidR="00991B7F" w:rsidRPr="00991B7F" w:rsidRDefault="00991B7F" w:rsidP="00991B7F">
            <w:pPr>
              <w:pStyle w:val="NoSpacing"/>
            </w:pPr>
          </w:p>
        </w:tc>
      </w:tr>
      <w:tr w:rsidR="00991B7F" w:rsidRPr="00991B7F" w14:paraId="54D74F71" w14:textId="77777777" w:rsidTr="008E6217">
        <w:trPr>
          <w:trHeight w:val="181"/>
        </w:trPr>
        <w:tc>
          <w:tcPr>
            <w:tcW w:w="0" w:type="auto"/>
          </w:tcPr>
          <w:p w14:paraId="02B100B8" w14:textId="77777777" w:rsidR="00991B7F" w:rsidRPr="00991B7F" w:rsidRDefault="00991B7F" w:rsidP="00991B7F">
            <w:pPr>
              <w:pStyle w:val="NoSpacing"/>
            </w:pPr>
            <w:r w:rsidRPr="00991B7F">
              <w:t>Stimulant medication (%)</w:t>
            </w:r>
          </w:p>
        </w:tc>
        <w:tc>
          <w:tcPr>
            <w:tcW w:w="0" w:type="auto"/>
          </w:tcPr>
          <w:p w14:paraId="5B7543B2" w14:textId="77777777" w:rsidR="00991B7F" w:rsidRPr="00991B7F" w:rsidRDefault="00991B7F" w:rsidP="00991B7F">
            <w:pPr>
              <w:pStyle w:val="NoSpacing"/>
            </w:pPr>
            <w:r w:rsidRPr="00991B7F">
              <w:t>0</w:t>
            </w:r>
          </w:p>
        </w:tc>
        <w:tc>
          <w:tcPr>
            <w:tcW w:w="0" w:type="auto"/>
          </w:tcPr>
          <w:p w14:paraId="3CB2EDFD" w14:textId="77777777" w:rsidR="00991B7F" w:rsidRPr="00991B7F" w:rsidRDefault="00991B7F" w:rsidP="00991B7F">
            <w:pPr>
              <w:pStyle w:val="NoSpacing"/>
            </w:pPr>
            <w:r w:rsidRPr="00991B7F">
              <w:t>76.1</w:t>
            </w:r>
          </w:p>
        </w:tc>
        <w:tc>
          <w:tcPr>
            <w:tcW w:w="0" w:type="auto"/>
          </w:tcPr>
          <w:p w14:paraId="3760EA16" w14:textId="77777777" w:rsidR="00991B7F" w:rsidRPr="00991B7F" w:rsidRDefault="00991B7F" w:rsidP="00991B7F">
            <w:pPr>
              <w:pStyle w:val="NoSpacing"/>
            </w:pPr>
            <w:r w:rsidRPr="00991B7F">
              <w:t>0</w:t>
            </w:r>
          </w:p>
        </w:tc>
        <w:tc>
          <w:tcPr>
            <w:tcW w:w="0" w:type="auto"/>
          </w:tcPr>
          <w:p w14:paraId="1C012C68" w14:textId="77777777" w:rsidR="00991B7F" w:rsidRPr="00991B7F" w:rsidRDefault="00991B7F" w:rsidP="00991B7F">
            <w:pPr>
              <w:pStyle w:val="NoSpacing"/>
            </w:pPr>
            <w:r w:rsidRPr="00991B7F">
              <w:t>&lt;.001</w:t>
            </w:r>
          </w:p>
        </w:tc>
        <w:tc>
          <w:tcPr>
            <w:tcW w:w="0" w:type="auto"/>
          </w:tcPr>
          <w:p w14:paraId="74114029" w14:textId="77777777" w:rsidR="00991B7F" w:rsidRPr="00991B7F" w:rsidRDefault="00991B7F" w:rsidP="00991B7F">
            <w:pPr>
              <w:pStyle w:val="NoSpacing"/>
            </w:pPr>
            <w:r w:rsidRPr="00991B7F">
              <w:t>A &gt; D, C</w:t>
            </w:r>
          </w:p>
        </w:tc>
      </w:tr>
      <w:tr w:rsidR="00991B7F" w:rsidRPr="00991B7F" w14:paraId="0EC57924" w14:textId="77777777" w:rsidTr="008E6217">
        <w:trPr>
          <w:trHeight w:val="180"/>
        </w:trPr>
        <w:tc>
          <w:tcPr>
            <w:tcW w:w="0" w:type="auto"/>
          </w:tcPr>
          <w:p w14:paraId="630F8747" w14:textId="77777777" w:rsidR="00991B7F" w:rsidRPr="00991B7F" w:rsidRDefault="00991B7F" w:rsidP="00991B7F">
            <w:pPr>
              <w:pStyle w:val="NoSpacing"/>
            </w:pPr>
            <w:r w:rsidRPr="00991B7F">
              <w:t>Current inattention symptoms</w:t>
            </w:r>
          </w:p>
        </w:tc>
        <w:tc>
          <w:tcPr>
            <w:tcW w:w="0" w:type="auto"/>
          </w:tcPr>
          <w:p w14:paraId="65C597D7" w14:textId="77777777" w:rsidR="00991B7F" w:rsidRPr="00991B7F" w:rsidRDefault="00991B7F" w:rsidP="00991B7F">
            <w:pPr>
              <w:pStyle w:val="NoSpacing"/>
            </w:pPr>
            <w:r w:rsidRPr="00991B7F">
              <w:t>.62 (1.4)</w:t>
            </w:r>
          </w:p>
        </w:tc>
        <w:tc>
          <w:tcPr>
            <w:tcW w:w="0" w:type="auto"/>
          </w:tcPr>
          <w:p w14:paraId="685F0645" w14:textId="77777777" w:rsidR="00991B7F" w:rsidRPr="00991B7F" w:rsidRDefault="00991B7F" w:rsidP="00991B7F">
            <w:pPr>
              <w:pStyle w:val="NoSpacing"/>
            </w:pPr>
            <w:r w:rsidRPr="00991B7F">
              <w:t>5.1 (2.8)</w:t>
            </w:r>
          </w:p>
        </w:tc>
        <w:tc>
          <w:tcPr>
            <w:tcW w:w="0" w:type="auto"/>
          </w:tcPr>
          <w:p w14:paraId="208065E0" w14:textId="77777777" w:rsidR="00991B7F" w:rsidRPr="00991B7F" w:rsidRDefault="00991B7F" w:rsidP="00991B7F">
            <w:pPr>
              <w:pStyle w:val="NoSpacing"/>
            </w:pPr>
            <w:r w:rsidRPr="00991B7F">
              <w:t>2.4 (2.8)</w:t>
            </w:r>
          </w:p>
        </w:tc>
        <w:tc>
          <w:tcPr>
            <w:tcW w:w="0" w:type="auto"/>
          </w:tcPr>
          <w:p w14:paraId="78D10FEC" w14:textId="77777777" w:rsidR="00991B7F" w:rsidRPr="00991B7F" w:rsidRDefault="00991B7F" w:rsidP="00991B7F">
            <w:pPr>
              <w:pStyle w:val="NoSpacing"/>
            </w:pPr>
            <w:r w:rsidRPr="00991B7F">
              <w:t>&lt;.001</w:t>
            </w:r>
          </w:p>
        </w:tc>
        <w:tc>
          <w:tcPr>
            <w:tcW w:w="0" w:type="auto"/>
          </w:tcPr>
          <w:p w14:paraId="075CD0DE" w14:textId="77777777" w:rsidR="00991B7F" w:rsidRPr="00991B7F" w:rsidRDefault="00991B7F" w:rsidP="00991B7F">
            <w:pPr>
              <w:pStyle w:val="NoSpacing"/>
            </w:pPr>
            <w:r w:rsidRPr="00991B7F">
              <w:t>A &gt; D &gt; C</w:t>
            </w:r>
          </w:p>
        </w:tc>
      </w:tr>
      <w:tr w:rsidR="00991B7F" w:rsidRPr="00991B7F" w14:paraId="10E71F6A" w14:textId="77777777" w:rsidTr="008E6217">
        <w:trPr>
          <w:trHeight w:val="180"/>
        </w:trPr>
        <w:tc>
          <w:tcPr>
            <w:tcW w:w="0" w:type="auto"/>
          </w:tcPr>
          <w:p w14:paraId="48C51F29" w14:textId="77777777" w:rsidR="00991B7F" w:rsidRPr="00991B7F" w:rsidRDefault="00991B7F" w:rsidP="00991B7F">
            <w:pPr>
              <w:pStyle w:val="NoSpacing"/>
            </w:pPr>
            <w:r w:rsidRPr="00991B7F">
              <w:t>Current hyperactive-impulsive symptoms</w:t>
            </w:r>
          </w:p>
        </w:tc>
        <w:tc>
          <w:tcPr>
            <w:tcW w:w="0" w:type="auto"/>
          </w:tcPr>
          <w:p w14:paraId="4D4953DE" w14:textId="77777777" w:rsidR="00991B7F" w:rsidRPr="00991B7F" w:rsidRDefault="00991B7F" w:rsidP="00991B7F">
            <w:pPr>
              <w:pStyle w:val="NoSpacing"/>
            </w:pPr>
            <w:r w:rsidRPr="00991B7F">
              <w:t>.95 (1.5)</w:t>
            </w:r>
          </w:p>
        </w:tc>
        <w:tc>
          <w:tcPr>
            <w:tcW w:w="0" w:type="auto"/>
          </w:tcPr>
          <w:p w14:paraId="11233BAD" w14:textId="77777777" w:rsidR="00991B7F" w:rsidRPr="00991B7F" w:rsidRDefault="00991B7F" w:rsidP="00991B7F">
            <w:pPr>
              <w:pStyle w:val="NoSpacing"/>
            </w:pPr>
            <w:r w:rsidRPr="00991B7F">
              <w:t>3.9 (2.4)</w:t>
            </w:r>
          </w:p>
        </w:tc>
        <w:tc>
          <w:tcPr>
            <w:tcW w:w="0" w:type="auto"/>
          </w:tcPr>
          <w:p w14:paraId="0FB50F07" w14:textId="77777777" w:rsidR="00991B7F" w:rsidRPr="00991B7F" w:rsidRDefault="00991B7F" w:rsidP="00991B7F">
            <w:pPr>
              <w:pStyle w:val="NoSpacing"/>
            </w:pPr>
            <w:r w:rsidRPr="00991B7F">
              <w:t>1.9 (2.3)</w:t>
            </w:r>
          </w:p>
        </w:tc>
        <w:tc>
          <w:tcPr>
            <w:tcW w:w="0" w:type="auto"/>
          </w:tcPr>
          <w:p w14:paraId="300E3558" w14:textId="77777777" w:rsidR="00991B7F" w:rsidRPr="00991B7F" w:rsidRDefault="00991B7F" w:rsidP="00991B7F">
            <w:pPr>
              <w:pStyle w:val="NoSpacing"/>
            </w:pPr>
            <w:r w:rsidRPr="00991B7F">
              <w:t>&lt;.001</w:t>
            </w:r>
          </w:p>
        </w:tc>
        <w:tc>
          <w:tcPr>
            <w:tcW w:w="0" w:type="auto"/>
          </w:tcPr>
          <w:p w14:paraId="2C21347B" w14:textId="77777777" w:rsidR="00991B7F" w:rsidRPr="00991B7F" w:rsidRDefault="00991B7F" w:rsidP="00991B7F">
            <w:pPr>
              <w:pStyle w:val="NoSpacing"/>
            </w:pPr>
            <w:r w:rsidRPr="00991B7F">
              <w:t>A &gt; D &gt; C</w:t>
            </w:r>
          </w:p>
        </w:tc>
      </w:tr>
      <w:tr w:rsidR="00991B7F" w:rsidRPr="00991B7F" w14:paraId="7CECF8DA" w14:textId="77777777" w:rsidTr="008E6217">
        <w:trPr>
          <w:trHeight w:val="180"/>
        </w:trPr>
        <w:tc>
          <w:tcPr>
            <w:tcW w:w="0" w:type="auto"/>
          </w:tcPr>
          <w:p w14:paraId="0DACD8FD" w14:textId="77777777" w:rsidR="00991B7F" w:rsidRPr="00991B7F" w:rsidRDefault="00991B7F" w:rsidP="00991B7F">
            <w:pPr>
              <w:pStyle w:val="NoSpacing"/>
            </w:pPr>
            <w:r w:rsidRPr="00991B7F">
              <w:t>Childhood inattention symptoms</w:t>
            </w:r>
          </w:p>
        </w:tc>
        <w:tc>
          <w:tcPr>
            <w:tcW w:w="0" w:type="auto"/>
          </w:tcPr>
          <w:p w14:paraId="3B0D0D38" w14:textId="77777777" w:rsidR="00991B7F" w:rsidRPr="00991B7F" w:rsidRDefault="00991B7F" w:rsidP="00991B7F">
            <w:pPr>
              <w:pStyle w:val="NoSpacing"/>
            </w:pPr>
            <w:r w:rsidRPr="00991B7F">
              <w:t>1.0 (2.0)</w:t>
            </w:r>
          </w:p>
        </w:tc>
        <w:tc>
          <w:tcPr>
            <w:tcW w:w="0" w:type="auto"/>
          </w:tcPr>
          <w:p w14:paraId="7EC0F6BB" w14:textId="77777777" w:rsidR="00991B7F" w:rsidRPr="00991B7F" w:rsidRDefault="00991B7F" w:rsidP="00991B7F">
            <w:pPr>
              <w:pStyle w:val="NoSpacing"/>
            </w:pPr>
            <w:r w:rsidRPr="00991B7F">
              <w:t>5.5 (3.1)</w:t>
            </w:r>
          </w:p>
        </w:tc>
        <w:tc>
          <w:tcPr>
            <w:tcW w:w="0" w:type="auto"/>
          </w:tcPr>
          <w:p w14:paraId="4BC65886" w14:textId="77777777" w:rsidR="00991B7F" w:rsidRPr="00991B7F" w:rsidRDefault="00991B7F" w:rsidP="00991B7F">
            <w:pPr>
              <w:pStyle w:val="NoSpacing"/>
            </w:pPr>
            <w:r w:rsidRPr="00991B7F">
              <w:t>1.8 (2.6)</w:t>
            </w:r>
          </w:p>
        </w:tc>
        <w:tc>
          <w:tcPr>
            <w:tcW w:w="0" w:type="auto"/>
          </w:tcPr>
          <w:p w14:paraId="133ED86F" w14:textId="77777777" w:rsidR="00991B7F" w:rsidRPr="00991B7F" w:rsidRDefault="00991B7F" w:rsidP="00991B7F">
            <w:pPr>
              <w:pStyle w:val="NoSpacing"/>
            </w:pPr>
            <w:r w:rsidRPr="00991B7F">
              <w:t>&lt;.001</w:t>
            </w:r>
          </w:p>
        </w:tc>
        <w:tc>
          <w:tcPr>
            <w:tcW w:w="0" w:type="auto"/>
          </w:tcPr>
          <w:p w14:paraId="6D01E64D" w14:textId="77777777" w:rsidR="00991B7F" w:rsidRPr="00991B7F" w:rsidRDefault="00991B7F" w:rsidP="00991B7F">
            <w:pPr>
              <w:pStyle w:val="NoSpacing"/>
            </w:pPr>
            <w:r w:rsidRPr="00991B7F">
              <w:t>A &gt; D, C</w:t>
            </w:r>
          </w:p>
        </w:tc>
      </w:tr>
      <w:tr w:rsidR="00991B7F" w:rsidRPr="00991B7F" w14:paraId="4341750B" w14:textId="77777777" w:rsidTr="008E6217">
        <w:trPr>
          <w:trHeight w:val="180"/>
        </w:trPr>
        <w:tc>
          <w:tcPr>
            <w:tcW w:w="0" w:type="auto"/>
          </w:tcPr>
          <w:p w14:paraId="2A13BE28" w14:textId="77777777" w:rsidR="00991B7F" w:rsidRPr="00991B7F" w:rsidRDefault="00991B7F" w:rsidP="00991B7F">
            <w:pPr>
              <w:pStyle w:val="NoSpacing"/>
            </w:pPr>
            <w:r w:rsidRPr="00991B7F">
              <w:t>Childhood hyperactive-impulsive symptoms</w:t>
            </w:r>
          </w:p>
        </w:tc>
        <w:tc>
          <w:tcPr>
            <w:tcW w:w="0" w:type="auto"/>
          </w:tcPr>
          <w:p w14:paraId="5272BADA" w14:textId="77777777" w:rsidR="00991B7F" w:rsidRPr="00991B7F" w:rsidRDefault="00991B7F" w:rsidP="00991B7F">
            <w:pPr>
              <w:pStyle w:val="NoSpacing"/>
            </w:pPr>
            <w:r w:rsidRPr="00991B7F">
              <w:t>1.3 (1.9)</w:t>
            </w:r>
          </w:p>
        </w:tc>
        <w:tc>
          <w:tcPr>
            <w:tcW w:w="0" w:type="auto"/>
          </w:tcPr>
          <w:p w14:paraId="1677317D" w14:textId="77777777" w:rsidR="00991B7F" w:rsidRPr="00991B7F" w:rsidRDefault="00991B7F" w:rsidP="00991B7F">
            <w:pPr>
              <w:pStyle w:val="NoSpacing"/>
            </w:pPr>
            <w:r w:rsidRPr="00991B7F">
              <w:t>4.6 (3.1)</w:t>
            </w:r>
          </w:p>
        </w:tc>
        <w:tc>
          <w:tcPr>
            <w:tcW w:w="0" w:type="auto"/>
          </w:tcPr>
          <w:p w14:paraId="75B23849" w14:textId="77777777" w:rsidR="00991B7F" w:rsidRPr="00991B7F" w:rsidRDefault="00991B7F" w:rsidP="00991B7F">
            <w:pPr>
              <w:pStyle w:val="NoSpacing"/>
            </w:pPr>
            <w:r w:rsidRPr="00991B7F">
              <w:t>1.9 (2.4)</w:t>
            </w:r>
          </w:p>
        </w:tc>
        <w:tc>
          <w:tcPr>
            <w:tcW w:w="0" w:type="auto"/>
          </w:tcPr>
          <w:p w14:paraId="51264B58" w14:textId="77777777" w:rsidR="00991B7F" w:rsidRPr="00991B7F" w:rsidRDefault="00991B7F" w:rsidP="00991B7F">
            <w:pPr>
              <w:pStyle w:val="NoSpacing"/>
            </w:pPr>
            <w:r w:rsidRPr="00991B7F">
              <w:t>&lt;.001</w:t>
            </w:r>
          </w:p>
        </w:tc>
        <w:tc>
          <w:tcPr>
            <w:tcW w:w="0" w:type="auto"/>
          </w:tcPr>
          <w:p w14:paraId="45254E81" w14:textId="77777777" w:rsidR="00991B7F" w:rsidRPr="00991B7F" w:rsidRDefault="00991B7F" w:rsidP="00991B7F">
            <w:pPr>
              <w:pStyle w:val="NoSpacing"/>
            </w:pPr>
            <w:r w:rsidRPr="00991B7F">
              <w:t>A &gt; D, C</w:t>
            </w:r>
          </w:p>
        </w:tc>
      </w:tr>
      <w:tr w:rsidR="00991B7F" w:rsidRPr="00991B7F" w14:paraId="292ED592" w14:textId="77777777" w:rsidTr="008E6217">
        <w:trPr>
          <w:trHeight w:val="180"/>
        </w:trPr>
        <w:tc>
          <w:tcPr>
            <w:tcW w:w="0" w:type="auto"/>
          </w:tcPr>
          <w:p w14:paraId="4133FA18" w14:textId="77777777" w:rsidR="00991B7F" w:rsidRPr="00991B7F" w:rsidRDefault="00991B7F" w:rsidP="00991B7F">
            <w:pPr>
              <w:pStyle w:val="NoSpacing"/>
            </w:pPr>
            <w:r w:rsidRPr="00991B7F">
              <w:t>BDEFS percentile score</w:t>
            </w:r>
          </w:p>
        </w:tc>
        <w:tc>
          <w:tcPr>
            <w:tcW w:w="0" w:type="auto"/>
          </w:tcPr>
          <w:p w14:paraId="020E2F0F" w14:textId="77777777" w:rsidR="00991B7F" w:rsidRPr="00991B7F" w:rsidRDefault="00991B7F" w:rsidP="00991B7F">
            <w:pPr>
              <w:pStyle w:val="NoSpacing"/>
            </w:pPr>
            <w:r w:rsidRPr="00991B7F">
              <w:t>56.0 (21.4)</w:t>
            </w:r>
          </w:p>
        </w:tc>
        <w:tc>
          <w:tcPr>
            <w:tcW w:w="0" w:type="auto"/>
          </w:tcPr>
          <w:p w14:paraId="752FF8BC" w14:textId="77777777" w:rsidR="00991B7F" w:rsidRPr="00991B7F" w:rsidRDefault="00991B7F" w:rsidP="00991B7F">
            <w:pPr>
              <w:pStyle w:val="NoSpacing"/>
            </w:pPr>
            <w:r w:rsidRPr="00991B7F">
              <w:t>84.7 (15.9)</w:t>
            </w:r>
          </w:p>
        </w:tc>
        <w:tc>
          <w:tcPr>
            <w:tcW w:w="0" w:type="auto"/>
          </w:tcPr>
          <w:p w14:paraId="4C663D88" w14:textId="77777777" w:rsidR="00991B7F" w:rsidRPr="00991B7F" w:rsidRDefault="00991B7F" w:rsidP="00991B7F">
            <w:pPr>
              <w:pStyle w:val="NoSpacing"/>
            </w:pPr>
            <w:r w:rsidRPr="00991B7F">
              <w:t>78.9 (19.4)</w:t>
            </w:r>
          </w:p>
        </w:tc>
        <w:tc>
          <w:tcPr>
            <w:tcW w:w="0" w:type="auto"/>
          </w:tcPr>
          <w:p w14:paraId="09537748" w14:textId="77777777" w:rsidR="00991B7F" w:rsidRPr="00991B7F" w:rsidRDefault="00991B7F" w:rsidP="00991B7F">
            <w:pPr>
              <w:pStyle w:val="NoSpacing"/>
            </w:pPr>
            <w:r w:rsidRPr="00991B7F">
              <w:t>&lt;.001</w:t>
            </w:r>
          </w:p>
        </w:tc>
        <w:tc>
          <w:tcPr>
            <w:tcW w:w="0" w:type="auto"/>
          </w:tcPr>
          <w:p w14:paraId="6213B5B5" w14:textId="77777777" w:rsidR="00991B7F" w:rsidRPr="00991B7F" w:rsidRDefault="00991B7F" w:rsidP="00991B7F">
            <w:pPr>
              <w:pStyle w:val="NoSpacing"/>
            </w:pPr>
            <w:r w:rsidRPr="00991B7F">
              <w:t>A, D &gt; C</w:t>
            </w:r>
          </w:p>
        </w:tc>
      </w:tr>
      <w:tr w:rsidR="00991B7F" w:rsidRPr="00991B7F" w14:paraId="58659031" w14:textId="77777777" w:rsidTr="008E6217">
        <w:trPr>
          <w:trHeight w:val="180"/>
        </w:trPr>
        <w:tc>
          <w:tcPr>
            <w:tcW w:w="0" w:type="auto"/>
          </w:tcPr>
          <w:p w14:paraId="04C3FC56" w14:textId="77777777" w:rsidR="00991B7F" w:rsidRPr="00991B7F" w:rsidRDefault="00991B7F" w:rsidP="00991B7F">
            <w:pPr>
              <w:pStyle w:val="NoSpacing"/>
            </w:pPr>
            <w:r w:rsidRPr="00991B7F">
              <w:t>BFIS percentile score</w:t>
            </w:r>
          </w:p>
        </w:tc>
        <w:tc>
          <w:tcPr>
            <w:tcW w:w="0" w:type="auto"/>
          </w:tcPr>
          <w:p w14:paraId="6DB42EDB" w14:textId="77777777" w:rsidR="00991B7F" w:rsidRPr="00991B7F" w:rsidRDefault="00991B7F" w:rsidP="00991B7F">
            <w:pPr>
              <w:pStyle w:val="NoSpacing"/>
            </w:pPr>
            <w:r w:rsidRPr="00991B7F">
              <w:t>58.6 (12.9)</w:t>
            </w:r>
          </w:p>
        </w:tc>
        <w:tc>
          <w:tcPr>
            <w:tcW w:w="0" w:type="auto"/>
          </w:tcPr>
          <w:p w14:paraId="34766991" w14:textId="77777777" w:rsidR="00991B7F" w:rsidRPr="00991B7F" w:rsidRDefault="00991B7F" w:rsidP="00991B7F">
            <w:pPr>
              <w:pStyle w:val="NoSpacing"/>
            </w:pPr>
            <w:r w:rsidRPr="00991B7F">
              <w:t>77.1 (15.0)</w:t>
            </w:r>
          </w:p>
        </w:tc>
        <w:tc>
          <w:tcPr>
            <w:tcW w:w="0" w:type="auto"/>
          </w:tcPr>
          <w:p w14:paraId="3DBCA9A1" w14:textId="77777777" w:rsidR="00991B7F" w:rsidRPr="00991B7F" w:rsidRDefault="00991B7F" w:rsidP="00991B7F">
            <w:pPr>
              <w:pStyle w:val="NoSpacing"/>
            </w:pPr>
            <w:r w:rsidRPr="00991B7F">
              <w:t>74.0 (16.6)</w:t>
            </w:r>
          </w:p>
        </w:tc>
        <w:tc>
          <w:tcPr>
            <w:tcW w:w="0" w:type="auto"/>
          </w:tcPr>
          <w:p w14:paraId="09C46A0C" w14:textId="77777777" w:rsidR="00991B7F" w:rsidRPr="00991B7F" w:rsidRDefault="00991B7F" w:rsidP="00991B7F">
            <w:pPr>
              <w:pStyle w:val="NoSpacing"/>
            </w:pPr>
            <w:r w:rsidRPr="00991B7F">
              <w:t>&lt;.001</w:t>
            </w:r>
          </w:p>
        </w:tc>
        <w:tc>
          <w:tcPr>
            <w:tcW w:w="0" w:type="auto"/>
          </w:tcPr>
          <w:p w14:paraId="4F24F8B1" w14:textId="77777777" w:rsidR="00991B7F" w:rsidRPr="00991B7F" w:rsidRDefault="00991B7F" w:rsidP="00991B7F">
            <w:pPr>
              <w:pStyle w:val="NoSpacing"/>
            </w:pPr>
            <w:r w:rsidRPr="00991B7F">
              <w:t>A, D &gt; C</w:t>
            </w:r>
          </w:p>
        </w:tc>
      </w:tr>
      <w:tr w:rsidR="00991B7F" w:rsidRPr="00991B7F" w14:paraId="5EFDF8AC" w14:textId="77777777" w:rsidTr="008E6217">
        <w:trPr>
          <w:trHeight w:val="180"/>
        </w:trPr>
        <w:tc>
          <w:tcPr>
            <w:tcW w:w="0" w:type="auto"/>
          </w:tcPr>
          <w:p w14:paraId="4B59853C" w14:textId="77777777" w:rsidR="00991B7F" w:rsidRPr="00991B7F" w:rsidRDefault="00991B7F" w:rsidP="00991B7F">
            <w:pPr>
              <w:pStyle w:val="NoSpacing"/>
            </w:pPr>
            <w:r w:rsidRPr="00991B7F">
              <w:t>Informant inattention symptoms</w:t>
            </w:r>
          </w:p>
        </w:tc>
        <w:tc>
          <w:tcPr>
            <w:tcW w:w="0" w:type="auto"/>
          </w:tcPr>
          <w:p w14:paraId="44593C0B" w14:textId="77777777" w:rsidR="00991B7F" w:rsidRPr="00991B7F" w:rsidRDefault="00991B7F" w:rsidP="00991B7F">
            <w:pPr>
              <w:pStyle w:val="NoSpacing"/>
            </w:pPr>
            <w:r w:rsidRPr="00991B7F">
              <w:t>.43 (1.1)</w:t>
            </w:r>
          </w:p>
        </w:tc>
        <w:tc>
          <w:tcPr>
            <w:tcW w:w="0" w:type="auto"/>
          </w:tcPr>
          <w:p w14:paraId="2E614565" w14:textId="77777777" w:rsidR="00991B7F" w:rsidRPr="00991B7F" w:rsidRDefault="00991B7F" w:rsidP="00991B7F">
            <w:pPr>
              <w:pStyle w:val="NoSpacing"/>
            </w:pPr>
            <w:r w:rsidRPr="00991B7F">
              <w:t>4.0 (2.7)</w:t>
            </w:r>
          </w:p>
        </w:tc>
        <w:tc>
          <w:tcPr>
            <w:tcW w:w="0" w:type="auto"/>
          </w:tcPr>
          <w:p w14:paraId="64AFED89" w14:textId="77777777" w:rsidR="00991B7F" w:rsidRPr="00991B7F" w:rsidRDefault="00991B7F" w:rsidP="00991B7F">
            <w:pPr>
              <w:pStyle w:val="NoSpacing"/>
            </w:pPr>
            <w:r w:rsidRPr="00991B7F">
              <w:t>1.9 (2.3)</w:t>
            </w:r>
          </w:p>
        </w:tc>
        <w:tc>
          <w:tcPr>
            <w:tcW w:w="0" w:type="auto"/>
          </w:tcPr>
          <w:p w14:paraId="4C38834D" w14:textId="77777777" w:rsidR="00991B7F" w:rsidRPr="00991B7F" w:rsidRDefault="00991B7F" w:rsidP="00991B7F">
            <w:pPr>
              <w:pStyle w:val="NoSpacing"/>
            </w:pPr>
            <w:r w:rsidRPr="00991B7F">
              <w:t>&lt;.001</w:t>
            </w:r>
          </w:p>
        </w:tc>
        <w:tc>
          <w:tcPr>
            <w:tcW w:w="0" w:type="auto"/>
          </w:tcPr>
          <w:p w14:paraId="2F11F558" w14:textId="77777777" w:rsidR="00991B7F" w:rsidRPr="00991B7F" w:rsidRDefault="00991B7F" w:rsidP="00991B7F">
            <w:pPr>
              <w:pStyle w:val="NoSpacing"/>
            </w:pPr>
            <w:r w:rsidRPr="00991B7F">
              <w:t>A &gt; D &gt; C</w:t>
            </w:r>
          </w:p>
        </w:tc>
      </w:tr>
      <w:tr w:rsidR="00991B7F" w:rsidRPr="00991B7F" w14:paraId="23CB79FF" w14:textId="77777777" w:rsidTr="008E6217">
        <w:trPr>
          <w:trHeight w:val="180"/>
        </w:trPr>
        <w:tc>
          <w:tcPr>
            <w:tcW w:w="0" w:type="auto"/>
          </w:tcPr>
          <w:p w14:paraId="5039D82B" w14:textId="77777777" w:rsidR="00991B7F" w:rsidRPr="00991B7F" w:rsidRDefault="00991B7F" w:rsidP="00991B7F">
            <w:pPr>
              <w:pStyle w:val="NoSpacing"/>
            </w:pPr>
            <w:r w:rsidRPr="00991B7F">
              <w:t>Information hyperactive-impulsive symptoms</w:t>
            </w:r>
          </w:p>
        </w:tc>
        <w:tc>
          <w:tcPr>
            <w:tcW w:w="0" w:type="auto"/>
          </w:tcPr>
          <w:p w14:paraId="5626C2DC" w14:textId="77777777" w:rsidR="00991B7F" w:rsidRPr="00991B7F" w:rsidRDefault="00991B7F" w:rsidP="00991B7F">
            <w:pPr>
              <w:pStyle w:val="NoSpacing"/>
            </w:pPr>
            <w:r w:rsidRPr="00991B7F">
              <w:t>.58 (1.4)</w:t>
            </w:r>
          </w:p>
        </w:tc>
        <w:tc>
          <w:tcPr>
            <w:tcW w:w="0" w:type="auto"/>
          </w:tcPr>
          <w:p w14:paraId="280E5893" w14:textId="77777777" w:rsidR="00991B7F" w:rsidRPr="00991B7F" w:rsidRDefault="00991B7F" w:rsidP="00991B7F">
            <w:pPr>
              <w:pStyle w:val="NoSpacing"/>
            </w:pPr>
            <w:r w:rsidRPr="00991B7F">
              <w:t>3.3 (2.7)</w:t>
            </w:r>
          </w:p>
        </w:tc>
        <w:tc>
          <w:tcPr>
            <w:tcW w:w="0" w:type="auto"/>
          </w:tcPr>
          <w:p w14:paraId="4968D366" w14:textId="77777777" w:rsidR="00991B7F" w:rsidRPr="00991B7F" w:rsidRDefault="00991B7F" w:rsidP="00991B7F">
            <w:pPr>
              <w:pStyle w:val="NoSpacing"/>
            </w:pPr>
            <w:r w:rsidRPr="00991B7F">
              <w:t>1.2 (1.8)</w:t>
            </w:r>
          </w:p>
        </w:tc>
        <w:tc>
          <w:tcPr>
            <w:tcW w:w="0" w:type="auto"/>
          </w:tcPr>
          <w:p w14:paraId="5582BB48" w14:textId="77777777" w:rsidR="00991B7F" w:rsidRPr="00991B7F" w:rsidRDefault="00991B7F" w:rsidP="00991B7F">
            <w:pPr>
              <w:pStyle w:val="NoSpacing"/>
            </w:pPr>
            <w:r w:rsidRPr="00991B7F">
              <w:t>&lt;.001</w:t>
            </w:r>
          </w:p>
        </w:tc>
        <w:tc>
          <w:tcPr>
            <w:tcW w:w="0" w:type="auto"/>
          </w:tcPr>
          <w:p w14:paraId="1357A116" w14:textId="77777777" w:rsidR="00991B7F" w:rsidRPr="00991B7F" w:rsidRDefault="00991B7F" w:rsidP="00991B7F">
            <w:pPr>
              <w:pStyle w:val="NoSpacing"/>
            </w:pPr>
            <w:r w:rsidRPr="00991B7F">
              <w:t>A &gt; D, C</w:t>
            </w:r>
          </w:p>
        </w:tc>
      </w:tr>
      <w:tr w:rsidR="00991B7F" w:rsidRPr="00991B7F" w14:paraId="5C0520C9" w14:textId="77777777" w:rsidTr="008E6217">
        <w:trPr>
          <w:trHeight w:val="180"/>
        </w:trPr>
        <w:tc>
          <w:tcPr>
            <w:tcW w:w="0" w:type="auto"/>
          </w:tcPr>
          <w:p w14:paraId="5013FD88" w14:textId="77777777" w:rsidR="00991B7F" w:rsidRPr="00991B7F" w:rsidRDefault="00991B7F" w:rsidP="00991B7F">
            <w:pPr>
              <w:pStyle w:val="NoSpacing"/>
            </w:pPr>
            <w:r w:rsidRPr="00991B7F">
              <w:t>Beck Depression Inventory score</w:t>
            </w:r>
          </w:p>
        </w:tc>
        <w:tc>
          <w:tcPr>
            <w:tcW w:w="0" w:type="auto"/>
          </w:tcPr>
          <w:p w14:paraId="29F238B4" w14:textId="77777777" w:rsidR="00991B7F" w:rsidRPr="00991B7F" w:rsidRDefault="00991B7F" w:rsidP="00991B7F">
            <w:pPr>
              <w:pStyle w:val="NoSpacing"/>
            </w:pPr>
            <w:r w:rsidRPr="00991B7F">
              <w:t>5.0 (5.1)</w:t>
            </w:r>
          </w:p>
        </w:tc>
        <w:tc>
          <w:tcPr>
            <w:tcW w:w="0" w:type="auto"/>
          </w:tcPr>
          <w:p w14:paraId="4C761341" w14:textId="77777777" w:rsidR="00991B7F" w:rsidRPr="00991B7F" w:rsidRDefault="00991B7F" w:rsidP="00991B7F">
            <w:pPr>
              <w:pStyle w:val="NoSpacing"/>
            </w:pPr>
            <w:r w:rsidRPr="00991B7F">
              <w:t>10.5 (8.2)</w:t>
            </w:r>
          </w:p>
        </w:tc>
        <w:tc>
          <w:tcPr>
            <w:tcW w:w="0" w:type="auto"/>
          </w:tcPr>
          <w:p w14:paraId="68CD717D" w14:textId="77777777" w:rsidR="00991B7F" w:rsidRPr="00991B7F" w:rsidRDefault="00991B7F" w:rsidP="00991B7F">
            <w:pPr>
              <w:pStyle w:val="NoSpacing"/>
            </w:pPr>
            <w:r w:rsidRPr="00991B7F">
              <w:t>16.0 (10.9)</w:t>
            </w:r>
          </w:p>
        </w:tc>
        <w:tc>
          <w:tcPr>
            <w:tcW w:w="0" w:type="auto"/>
          </w:tcPr>
          <w:p w14:paraId="2C87B030" w14:textId="77777777" w:rsidR="00991B7F" w:rsidRPr="00991B7F" w:rsidRDefault="00991B7F" w:rsidP="00991B7F">
            <w:pPr>
              <w:pStyle w:val="NoSpacing"/>
            </w:pPr>
            <w:r w:rsidRPr="00991B7F">
              <w:t>&lt;.001</w:t>
            </w:r>
          </w:p>
        </w:tc>
        <w:tc>
          <w:tcPr>
            <w:tcW w:w="0" w:type="auto"/>
          </w:tcPr>
          <w:p w14:paraId="6C7EEADD" w14:textId="77777777" w:rsidR="00991B7F" w:rsidRPr="00991B7F" w:rsidRDefault="00991B7F" w:rsidP="00991B7F">
            <w:pPr>
              <w:pStyle w:val="NoSpacing"/>
            </w:pPr>
            <w:r w:rsidRPr="00991B7F">
              <w:t>D &gt; A &gt; C</w:t>
            </w:r>
          </w:p>
        </w:tc>
      </w:tr>
      <w:tr w:rsidR="00991B7F" w:rsidRPr="00991B7F" w14:paraId="6638BE60" w14:textId="77777777" w:rsidTr="008E6217">
        <w:trPr>
          <w:trHeight w:val="222"/>
        </w:trPr>
        <w:tc>
          <w:tcPr>
            <w:tcW w:w="0" w:type="auto"/>
          </w:tcPr>
          <w:p w14:paraId="4BC7ACA4" w14:textId="77777777" w:rsidR="00991B7F" w:rsidRPr="00991B7F" w:rsidRDefault="00991B7F" w:rsidP="00991B7F">
            <w:pPr>
              <w:pStyle w:val="NoSpacing"/>
            </w:pPr>
            <w:r w:rsidRPr="00991B7F">
              <w:t>Beck Anxiety Inventory score</w:t>
            </w:r>
          </w:p>
        </w:tc>
        <w:tc>
          <w:tcPr>
            <w:tcW w:w="0" w:type="auto"/>
          </w:tcPr>
          <w:p w14:paraId="4636DF74" w14:textId="77777777" w:rsidR="00991B7F" w:rsidRPr="00991B7F" w:rsidRDefault="00991B7F" w:rsidP="00991B7F">
            <w:pPr>
              <w:pStyle w:val="NoSpacing"/>
            </w:pPr>
            <w:r w:rsidRPr="00991B7F">
              <w:t>2.8 (5.1)</w:t>
            </w:r>
          </w:p>
        </w:tc>
        <w:tc>
          <w:tcPr>
            <w:tcW w:w="0" w:type="auto"/>
          </w:tcPr>
          <w:p w14:paraId="422730BE" w14:textId="77777777" w:rsidR="00991B7F" w:rsidRPr="00991B7F" w:rsidRDefault="00991B7F" w:rsidP="00991B7F">
            <w:pPr>
              <w:pStyle w:val="NoSpacing"/>
            </w:pPr>
            <w:r w:rsidRPr="00991B7F">
              <w:t>8.5 (8.8)</w:t>
            </w:r>
          </w:p>
        </w:tc>
        <w:tc>
          <w:tcPr>
            <w:tcW w:w="0" w:type="auto"/>
          </w:tcPr>
          <w:p w14:paraId="7485CD6D" w14:textId="77777777" w:rsidR="00991B7F" w:rsidRPr="00991B7F" w:rsidRDefault="00991B7F" w:rsidP="00991B7F">
            <w:pPr>
              <w:pStyle w:val="NoSpacing"/>
            </w:pPr>
            <w:r w:rsidRPr="00991B7F">
              <w:t>9.4 (9.1)</w:t>
            </w:r>
          </w:p>
        </w:tc>
        <w:tc>
          <w:tcPr>
            <w:tcW w:w="0" w:type="auto"/>
          </w:tcPr>
          <w:p w14:paraId="4C26B7B9" w14:textId="77777777" w:rsidR="00991B7F" w:rsidRPr="00991B7F" w:rsidRDefault="00991B7F" w:rsidP="00991B7F">
            <w:pPr>
              <w:pStyle w:val="NoSpacing"/>
            </w:pPr>
            <w:r w:rsidRPr="00991B7F">
              <w:t>&lt;.001</w:t>
            </w:r>
          </w:p>
        </w:tc>
        <w:tc>
          <w:tcPr>
            <w:tcW w:w="0" w:type="auto"/>
          </w:tcPr>
          <w:p w14:paraId="0463080E" w14:textId="77777777" w:rsidR="00991B7F" w:rsidRPr="00991B7F" w:rsidRDefault="00991B7F" w:rsidP="00991B7F">
            <w:pPr>
              <w:pStyle w:val="NoSpacing"/>
            </w:pPr>
            <w:r w:rsidRPr="00991B7F">
              <w:t>D, A &gt; C</w:t>
            </w:r>
          </w:p>
        </w:tc>
      </w:tr>
    </w:tbl>
    <w:p w14:paraId="778DD6E8" w14:textId="766C027B" w:rsidR="00CE40F2" w:rsidRDefault="00CA7038" w:rsidP="00CA7038">
      <w:pPr>
        <w:pStyle w:val="NoSpacing"/>
      </w:pPr>
      <w:r w:rsidRPr="00CA7038">
        <w:rPr>
          <w:b/>
          <w:bCs/>
        </w:rPr>
        <w:t>Note.</w:t>
      </w:r>
      <w:r w:rsidRPr="00CA7038">
        <w:t xml:space="preserve"> p value indicates significant difference at level of three groups. Stimulant medication indicates proportion of participants taking stimulant</w:t>
      </w:r>
      <w:r>
        <w:t xml:space="preserve"> </w:t>
      </w:r>
      <w:r w:rsidRPr="00CA7038">
        <w:t>medication at time of assessment (and how underwent washout procedure). Values in parentheses are standard deviations. Diff _ pattern of post hoc group</w:t>
      </w:r>
      <w:r>
        <w:t xml:space="preserve"> </w:t>
      </w:r>
      <w:r w:rsidRPr="00CA7038">
        <w:t xml:space="preserve">differences; BDEFS _ Barkley Deficits in Executive Function Scale; BFIS </w:t>
      </w:r>
      <w:r>
        <w:t>=</w:t>
      </w:r>
      <w:r w:rsidRPr="00CA7038">
        <w:t xml:space="preserve"> Barkley Functional Impairment Scale; A </w:t>
      </w:r>
      <w:r>
        <w:t>=</w:t>
      </w:r>
      <w:r w:rsidRPr="00CA7038">
        <w:t xml:space="preserve"> attention-deficit/hyperactivity</w:t>
      </w:r>
      <w:r>
        <w:t xml:space="preserve"> </w:t>
      </w:r>
      <w:r w:rsidRPr="00CA7038">
        <w:t xml:space="preserve">disorder (ADHD); D </w:t>
      </w:r>
      <w:r>
        <w:t>=</w:t>
      </w:r>
      <w:r w:rsidRPr="00CA7038">
        <w:t xml:space="preserve"> depressed, C </w:t>
      </w:r>
      <w:r>
        <w:t>=</w:t>
      </w:r>
      <w:r w:rsidRPr="00CA7038">
        <w:t xml:space="preserve"> control.</w:t>
      </w:r>
    </w:p>
    <w:p w14:paraId="28A83254" w14:textId="77777777" w:rsidR="00BC7482" w:rsidRPr="00CA7038" w:rsidRDefault="00BC7482" w:rsidP="00CA7038">
      <w:pPr>
        <w:pStyle w:val="NoSpacing"/>
      </w:pPr>
    </w:p>
    <w:p w14:paraId="3109B18E" w14:textId="579F8DEA" w:rsidR="00152B2C" w:rsidRDefault="00152B2C" w:rsidP="00152B2C">
      <w:pPr>
        <w:pStyle w:val="Heading2"/>
      </w:pPr>
      <w:r>
        <w:t>Neuropsychological Test Measures</w:t>
      </w:r>
    </w:p>
    <w:p w14:paraId="1F143C33" w14:textId="518DBAB5" w:rsidR="00BC7482" w:rsidRDefault="00BC7482" w:rsidP="00BC7482">
      <w:pPr>
        <w:pStyle w:val="NoSpacing"/>
      </w:pPr>
      <w:r>
        <w:t>ROC analyses indicated that several test measures were marginal or better predictors of diagnostic group membership (</w:t>
      </w:r>
      <w:hyperlink r:id="rId83" w:anchor="tbl2" w:history="1">
        <w:r>
          <w:rPr>
            <w:rStyle w:val="Hyperlink"/>
          </w:rPr>
          <w:t>Table 2</w:t>
        </w:r>
      </w:hyperlink>
      <w:r>
        <w:t xml:space="preserve">). These analyses were first conducted examining measures distinguishing ADHD versus all non-ADHD participants (depressed and control patients both) followed by analyses distinguishing ADHD versus control and ADHD versus depressed group membership. Notably these analyses produced completely overlapping results and identified several test measures for inclusion in subsequent regression analyses. These measures included: CVLT short delay free recall, all three indices from the Salthouse Listening Span Test, DKEFS Letter Fluency, DKEFS CWIT inhibition/switching, DKEFS Design Fluency test filled and empty dots, and the reaction time (RT) variability, RT, omission errors, and </w:t>
      </w:r>
      <w:r>
        <w:rPr>
          <w:rStyle w:val="Emphasis"/>
        </w:rPr>
        <w:t>d</w:t>
      </w:r>
      <w:r>
        <w:t>-prime score from the TOVA, and the speed score from the NAB Numbers and Letters test.</w:t>
      </w:r>
    </w:p>
    <w:p w14:paraId="45408A8B" w14:textId="580FD9B3" w:rsidR="00F401FB" w:rsidRDefault="00F401FB" w:rsidP="00BC7482">
      <w:pPr>
        <w:pStyle w:val="NoSpacing"/>
      </w:pPr>
    </w:p>
    <w:p w14:paraId="6315B912" w14:textId="006066CE" w:rsidR="00017940" w:rsidRDefault="00F401FB" w:rsidP="00017940">
      <w:pPr>
        <w:pStyle w:val="NoSpacing"/>
      </w:pPr>
      <w:r>
        <w:rPr>
          <w:b/>
          <w:bCs/>
        </w:rPr>
        <w:t xml:space="preserve">Table 2. </w:t>
      </w:r>
      <w:r w:rsidRPr="00F401FB">
        <w:t>Receiver Operating Characteristic Analyses for Neurocognitive Test Measures: ADHD Versus Non-ADHD</w:t>
      </w:r>
      <w:bookmarkStart w:id="9" w:name="Predicting_Symptom_Severity_and_Impairme"/>
      <w:bookmarkStart w:id="10" w:name="Determining_Cut_Scores_and_Individual_Te"/>
      <w:bookmarkStart w:id="11" w:name="Individual_neuropsychological_test_measu"/>
      <w:bookmarkStart w:id="12" w:name="Combining_rating_scale_and_neuropsycholo"/>
      <w:bookmarkStart w:id="13" w:name="_bookmark1"/>
      <w:bookmarkEnd w:id="9"/>
      <w:bookmarkEnd w:id="10"/>
      <w:bookmarkEnd w:id="11"/>
      <w:bookmarkEnd w:id="12"/>
      <w:bookmarkEnd w:id="13"/>
    </w:p>
    <w:p w14:paraId="0D548F75" w14:textId="77777777" w:rsidR="00831AE9" w:rsidRPr="00017940" w:rsidRDefault="00831AE9" w:rsidP="00017940">
      <w:pPr>
        <w:pStyle w:val="NoSpacing"/>
      </w:pPr>
    </w:p>
    <w:tbl>
      <w:tblPr>
        <w:tblStyle w:val="TableGridLight"/>
        <w:tblW w:w="0" w:type="auto"/>
        <w:tblLook w:val="0020" w:firstRow="1" w:lastRow="0" w:firstColumn="0" w:lastColumn="0" w:noHBand="0" w:noVBand="0"/>
      </w:tblPr>
      <w:tblGrid>
        <w:gridCol w:w="2977"/>
        <w:gridCol w:w="610"/>
        <w:gridCol w:w="878"/>
        <w:gridCol w:w="1202"/>
      </w:tblGrid>
      <w:tr w:rsidR="00017940" w:rsidRPr="00017940" w14:paraId="584157C6" w14:textId="77777777" w:rsidTr="008E6217">
        <w:trPr>
          <w:trHeight w:val="233"/>
        </w:trPr>
        <w:tc>
          <w:tcPr>
            <w:tcW w:w="0" w:type="auto"/>
          </w:tcPr>
          <w:p w14:paraId="5369DBC1" w14:textId="77777777" w:rsidR="00017940" w:rsidRPr="00017940" w:rsidRDefault="00017940" w:rsidP="00017940">
            <w:pPr>
              <w:pStyle w:val="NoSpacing"/>
              <w:rPr>
                <w:b/>
                <w:bCs/>
              </w:rPr>
            </w:pPr>
            <w:r w:rsidRPr="00017940">
              <w:rPr>
                <w:b/>
                <w:bCs/>
              </w:rPr>
              <w:t>Neurocognitive measures</w:t>
            </w:r>
          </w:p>
        </w:tc>
        <w:tc>
          <w:tcPr>
            <w:tcW w:w="0" w:type="auto"/>
          </w:tcPr>
          <w:p w14:paraId="1F204A64" w14:textId="77777777" w:rsidR="00017940" w:rsidRPr="00017940" w:rsidRDefault="00017940" w:rsidP="00017940">
            <w:pPr>
              <w:pStyle w:val="NoSpacing"/>
              <w:rPr>
                <w:b/>
                <w:bCs/>
              </w:rPr>
            </w:pPr>
            <w:r w:rsidRPr="00017940">
              <w:rPr>
                <w:b/>
                <w:bCs/>
              </w:rPr>
              <w:t>AUC</w:t>
            </w:r>
          </w:p>
        </w:tc>
        <w:tc>
          <w:tcPr>
            <w:tcW w:w="0" w:type="auto"/>
          </w:tcPr>
          <w:p w14:paraId="34D2988C" w14:textId="77777777" w:rsidR="00017940" w:rsidRPr="00017940" w:rsidRDefault="00017940" w:rsidP="00017940">
            <w:pPr>
              <w:pStyle w:val="NoSpacing"/>
              <w:rPr>
                <w:b/>
                <w:bCs/>
              </w:rPr>
            </w:pPr>
            <w:r w:rsidRPr="00017940">
              <w:rPr>
                <w:b/>
                <w:bCs/>
                <w:i/>
                <w:iCs/>
              </w:rPr>
              <w:t xml:space="preserve">p </w:t>
            </w:r>
            <w:r w:rsidRPr="00017940">
              <w:rPr>
                <w:b/>
                <w:bCs/>
              </w:rPr>
              <w:t>value</w:t>
            </w:r>
          </w:p>
        </w:tc>
        <w:tc>
          <w:tcPr>
            <w:tcW w:w="0" w:type="auto"/>
          </w:tcPr>
          <w:p w14:paraId="0E3311DF" w14:textId="77777777" w:rsidR="00017940" w:rsidRPr="00017940" w:rsidRDefault="00017940" w:rsidP="00017940">
            <w:pPr>
              <w:pStyle w:val="NoSpacing"/>
              <w:rPr>
                <w:b/>
                <w:bCs/>
              </w:rPr>
            </w:pPr>
            <w:r w:rsidRPr="00017940">
              <w:rPr>
                <w:b/>
                <w:bCs/>
              </w:rPr>
              <w:t>95% CI</w:t>
            </w:r>
          </w:p>
        </w:tc>
      </w:tr>
      <w:tr w:rsidR="00017940" w:rsidRPr="00017940" w14:paraId="72B78061" w14:textId="77777777" w:rsidTr="008E6217">
        <w:trPr>
          <w:trHeight w:val="265"/>
        </w:trPr>
        <w:tc>
          <w:tcPr>
            <w:tcW w:w="0" w:type="auto"/>
          </w:tcPr>
          <w:p w14:paraId="5DD136DF" w14:textId="77777777" w:rsidR="00017940" w:rsidRPr="00017940" w:rsidRDefault="00017940" w:rsidP="00017940">
            <w:pPr>
              <w:pStyle w:val="NoSpacing"/>
            </w:pPr>
            <w:r w:rsidRPr="00017940">
              <w:t>CVLT Trial 1</w:t>
            </w:r>
          </w:p>
        </w:tc>
        <w:tc>
          <w:tcPr>
            <w:tcW w:w="0" w:type="auto"/>
          </w:tcPr>
          <w:p w14:paraId="3E32F116" w14:textId="77777777" w:rsidR="00017940" w:rsidRPr="00017940" w:rsidRDefault="00017940" w:rsidP="00017940">
            <w:pPr>
              <w:pStyle w:val="NoSpacing"/>
            </w:pPr>
            <w:r w:rsidRPr="00017940">
              <w:t>.51</w:t>
            </w:r>
          </w:p>
        </w:tc>
        <w:tc>
          <w:tcPr>
            <w:tcW w:w="0" w:type="auto"/>
          </w:tcPr>
          <w:p w14:paraId="4357BE4C" w14:textId="77777777" w:rsidR="00017940" w:rsidRPr="00017940" w:rsidRDefault="00017940" w:rsidP="00017940">
            <w:pPr>
              <w:pStyle w:val="NoSpacing"/>
            </w:pPr>
            <w:r w:rsidRPr="00017940">
              <w:t>.91</w:t>
            </w:r>
          </w:p>
        </w:tc>
        <w:tc>
          <w:tcPr>
            <w:tcW w:w="0" w:type="auto"/>
          </w:tcPr>
          <w:p w14:paraId="182C3344" w14:textId="77777777" w:rsidR="00017940" w:rsidRPr="00017940" w:rsidRDefault="00017940" w:rsidP="00017940">
            <w:pPr>
              <w:pStyle w:val="NoSpacing"/>
            </w:pPr>
            <w:r w:rsidRPr="00017940">
              <w:t>[.43, .58]</w:t>
            </w:r>
          </w:p>
        </w:tc>
      </w:tr>
      <w:tr w:rsidR="00017940" w:rsidRPr="00017940" w14:paraId="577C3D51" w14:textId="77777777" w:rsidTr="008E6217">
        <w:trPr>
          <w:trHeight w:val="172"/>
        </w:trPr>
        <w:tc>
          <w:tcPr>
            <w:tcW w:w="0" w:type="auto"/>
          </w:tcPr>
          <w:p w14:paraId="04C510CA" w14:textId="77777777" w:rsidR="00017940" w:rsidRPr="00017940" w:rsidRDefault="00017940" w:rsidP="00017940">
            <w:pPr>
              <w:pStyle w:val="NoSpacing"/>
            </w:pPr>
            <w:r w:rsidRPr="00017940">
              <w:t>CVLT Trial 5</w:t>
            </w:r>
          </w:p>
        </w:tc>
        <w:tc>
          <w:tcPr>
            <w:tcW w:w="0" w:type="auto"/>
          </w:tcPr>
          <w:p w14:paraId="1721B920" w14:textId="77777777" w:rsidR="00017940" w:rsidRPr="00017940" w:rsidRDefault="00017940" w:rsidP="00017940">
            <w:pPr>
              <w:pStyle w:val="NoSpacing"/>
            </w:pPr>
            <w:r w:rsidRPr="00017940">
              <w:t>.55</w:t>
            </w:r>
          </w:p>
        </w:tc>
        <w:tc>
          <w:tcPr>
            <w:tcW w:w="0" w:type="auto"/>
          </w:tcPr>
          <w:p w14:paraId="03C7CCC2" w14:textId="77777777" w:rsidR="00017940" w:rsidRPr="00017940" w:rsidRDefault="00017940" w:rsidP="00017940">
            <w:pPr>
              <w:pStyle w:val="NoSpacing"/>
            </w:pPr>
            <w:r w:rsidRPr="00017940">
              <w:t>.17</w:t>
            </w:r>
          </w:p>
        </w:tc>
        <w:tc>
          <w:tcPr>
            <w:tcW w:w="0" w:type="auto"/>
          </w:tcPr>
          <w:p w14:paraId="2306D092" w14:textId="77777777" w:rsidR="00017940" w:rsidRPr="00017940" w:rsidRDefault="00017940" w:rsidP="00017940">
            <w:pPr>
              <w:pStyle w:val="NoSpacing"/>
            </w:pPr>
            <w:r w:rsidRPr="00017940">
              <w:t>[.48, .63]</w:t>
            </w:r>
          </w:p>
        </w:tc>
      </w:tr>
      <w:tr w:rsidR="00017940" w:rsidRPr="00017940" w14:paraId="780B353D" w14:textId="77777777" w:rsidTr="008E6217">
        <w:trPr>
          <w:trHeight w:val="187"/>
        </w:trPr>
        <w:tc>
          <w:tcPr>
            <w:tcW w:w="0" w:type="auto"/>
          </w:tcPr>
          <w:p w14:paraId="544922D1" w14:textId="77777777" w:rsidR="00017940" w:rsidRPr="00017940" w:rsidRDefault="00017940" w:rsidP="00017940">
            <w:pPr>
              <w:pStyle w:val="NoSpacing"/>
              <w:rPr>
                <w:b/>
                <w:bCs/>
              </w:rPr>
            </w:pPr>
            <w:r w:rsidRPr="00017940">
              <w:rPr>
                <w:b/>
                <w:bCs/>
              </w:rPr>
              <w:t>CVLT short delay free recall</w:t>
            </w:r>
          </w:p>
        </w:tc>
        <w:tc>
          <w:tcPr>
            <w:tcW w:w="0" w:type="auto"/>
          </w:tcPr>
          <w:p w14:paraId="14C99654" w14:textId="77777777" w:rsidR="00017940" w:rsidRPr="00017940" w:rsidRDefault="00017940" w:rsidP="00017940">
            <w:pPr>
              <w:pStyle w:val="NoSpacing"/>
              <w:rPr>
                <w:b/>
                <w:bCs/>
              </w:rPr>
            </w:pPr>
            <w:r w:rsidRPr="00017940">
              <w:rPr>
                <w:b/>
                <w:bCs/>
              </w:rPr>
              <w:t>.59</w:t>
            </w:r>
          </w:p>
        </w:tc>
        <w:tc>
          <w:tcPr>
            <w:tcW w:w="0" w:type="auto"/>
          </w:tcPr>
          <w:p w14:paraId="1498C54C" w14:textId="77777777" w:rsidR="00017940" w:rsidRPr="00017940" w:rsidRDefault="00017940" w:rsidP="00017940">
            <w:pPr>
              <w:pStyle w:val="NoSpacing"/>
              <w:rPr>
                <w:b/>
                <w:bCs/>
              </w:rPr>
            </w:pPr>
            <w:r w:rsidRPr="00017940">
              <w:rPr>
                <w:b/>
                <w:bCs/>
              </w:rPr>
              <w:t>.01</w:t>
            </w:r>
          </w:p>
        </w:tc>
        <w:tc>
          <w:tcPr>
            <w:tcW w:w="0" w:type="auto"/>
          </w:tcPr>
          <w:p w14:paraId="43D5B19A" w14:textId="77777777" w:rsidR="00017940" w:rsidRPr="00017940" w:rsidRDefault="00017940" w:rsidP="00017940">
            <w:pPr>
              <w:pStyle w:val="NoSpacing"/>
              <w:rPr>
                <w:b/>
                <w:bCs/>
                <w:vertAlign w:val="superscript"/>
              </w:rPr>
            </w:pPr>
            <w:r w:rsidRPr="00017940">
              <w:t>[</w:t>
            </w:r>
            <w:r w:rsidRPr="00017940">
              <w:rPr>
                <w:b/>
                <w:bCs/>
              </w:rPr>
              <w:t>.52, .</w:t>
            </w:r>
            <w:proofErr w:type="gramStart"/>
            <w:r w:rsidRPr="00017940">
              <w:rPr>
                <w:b/>
                <w:bCs/>
              </w:rPr>
              <w:t>66</w:t>
            </w:r>
            <w:r w:rsidRPr="00017940">
              <w:t>]</w:t>
            </w:r>
            <w:proofErr w:type="spellStart"/>
            <w:r w:rsidRPr="00017940">
              <w:rPr>
                <w:b/>
                <w:bCs/>
                <w:vertAlign w:val="superscript"/>
              </w:rPr>
              <w:t>a</w:t>
            </w:r>
            <w:proofErr w:type="gramEnd"/>
            <w:r w:rsidRPr="00017940">
              <w:rPr>
                <w:b/>
                <w:bCs/>
                <w:vertAlign w:val="superscript"/>
              </w:rPr>
              <w:t>,b</w:t>
            </w:r>
            <w:proofErr w:type="spellEnd"/>
          </w:p>
        </w:tc>
      </w:tr>
      <w:tr w:rsidR="00017940" w:rsidRPr="00017940" w14:paraId="4EFBA602" w14:textId="77777777" w:rsidTr="008E6217">
        <w:trPr>
          <w:trHeight w:val="180"/>
        </w:trPr>
        <w:tc>
          <w:tcPr>
            <w:tcW w:w="0" w:type="auto"/>
          </w:tcPr>
          <w:p w14:paraId="61064C43" w14:textId="77777777" w:rsidR="00017940" w:rsidRPr="00017940" w:rsidRDefault="00017940" w:rsidP="00017940">
            <w:pPr>
              <w:pStyle w:val="NoSpacing"/>
            </w:pPr>
            <w:r w:rsidRPr="00017940">
              <w:t>CVLT long delay free recall</w:t>
            </w:r>
          </w:p>
        </w:tc>
        <w:tc>
          <w:tcPr>
            <w:tcW w:w="0" w:type="auto"/>
          </w:tcPr>
          <w:p w14:paraId="49A87DC8" w14:textId="77777777" w:rsidR="00017940" w:rsidRPr="00017940" w:rsidRDefault="00017940" w:rsidP="00017940">
            <w:pPr>
              <w:pStyle w:val="NoSpacing"/>
            </w:pPr>
            <w:r w:rsidRPr="00017940">
              <w:t>.56</w:t>
            </w:r>
          </w:p>
        </w:tc>
        <w:tc>
          <w:tcPr>
            <w:tcW w:w="0" w:type="auto"/>
          </w:tcPr>
          <w:p w14:paraId="5FEE3A85" w14:textId="77777777" w:rsidR="00017940" w:rsidRPr="00017940" w:rsidRDefault="00017940" w:rsidP="00017940">
            <w:pPr>
              <w:pStyle w:val="NoSpacing"/>
            </w:pPr>
            <w:r w:rsidRPr="00017940">
              <w:t>.12</w:t>
            </w:r>
          </w:p>
        </w:tc>
        <w:tc>
          <w:tcPr>
            <w:tcW w:w="0" w:type="auto"/>
          </w:tcPr>
          <w:p w14:paraId="5147EA7D" w14:textId="77777777" w:rsidR="00017940" w:rsidRPr="00017940" w:rsidRDefault="00017940" w:rsidP="00017940">
            <w:pPr>
              <w:pStyle w:val="NoSpacing"/>
            </w:pPr>
            <w:r w:rsidRPr="00017940">
              <w:t>[.48, .64]</w:t>
            </w:r>
          </w:p>
        </w:tc>
      </w:tr>
      <w:tr w:rsidR="00017940" w:rsidRPr="00017940" w14:paraId="038B77D4" w14:textId="77777777" w:rsidTr="008E6217">
        <w:trPr>
          <w:trHeight w:val="172"/>
        </w:trPr>
        <w:tc>
          <w:tcPr>
            <w:tcW w:w="0" w:type="auto"/>
          </w:tcPr>
          <w:p w14:paraId="271C8A72" w14:textId="77777777" w:rsidR="00017940" w:rsidRPr="00017940" w:rsidRDefault="00017940" w:rsidP="00017940">
            <w:pPr>
              <w:pStyle w:val="NoSpacing"/>
            </w:pPr>
            <w:r w:rsidRPr="00017940">
              <w:t>CVLT recognition</w:t>
            </w:r>
          </w:p>
        </w:tc>
        <w:tc>
          <w:tcPr>
            <w:tcW w:w="0" w:type="auto"/>
          </w:tcPr>
          <w:p w14:paraId="0CF80A97" w14:textId="77777777" w:rsidR="00017940" w:rsidRPr="00017940" w:rsidRDefault="00017940" w:rsidP="00017940">
            <w:pPr>
              <w:pStyle w:val="NoSpacing"/>
            </w:pPr>
            <w:r w:rsidRPr="00017940">
              <w:t>.51</w:t>
            </w:r>
          </w:p>
        </w:tc>
        <w:tc>
          <w:tcPr>
            <w:tcW w:w="0" w:type="auto"/>
          </w:tcPr>
          <w:p w14:paraId="22BAE7CC" w14:textId="77777777" w:rsidR="00017940" w:rsidRPr="00017940" w:rsidRDefault="00017940" w:rsidP="00017940">
            <w:pPr>
              <w:pStyle w:val="NoSpacing"/>
            </w:pPr>
            <w:r w:rsidRPr="00017940">
              <w:t>.81</w:t>
            </w:r>
          </w:p>
        </w:tc>
        <w:tc>
          <w:tcPr>
            <w:tcW w:w="0" w:type="auto"/>
          </w:tcPr>
          <w:p w14:paraId="775B45A3" w14:textId="77777777" w:rsidR="00017940" w:rsidRPr="00017940" w:rsidRDefault="00017940" w:rsidP="00017940">
            <w:pPr>
              <w:pStyle w:val="NoSpacing"/>
            </w:pPr>
            <w:r w:rsidRPr="00017940">
              <w:t>[.43, .58]</w:t>
            </w:r>
          </w:p>
        </w:tc>
      </w:tr>
      <w:tr w:rsidR="00017940" w:rsidRPr="00017940" w14:paraId="518A69AA" w14:textId="77777777" w:rsidTr="008E6217">
        <w:trPr>
          <w:trHeight w:val="181"/>
        </w:trPr>
        <w:tc>
          <w:tcPr>
            <w:tcW w:w="0" w:type="auto"/>
          </w:tcPr>
          <w:p w14:paraId="1880AC00" w14:textId="77777777" w:rsidR="00017940" w:rsidRPr="00017940" w:rsidRDefault="00017940" w:rsidP="00017940">
            <w:pPr>
              <w:pStyle w:val="NoSpacing"/>
              <w:rPr>
                <w:b/>
                <w:bCs/>
              </w:rPr>
            </w:pPr>
            <w:r w:rsidRPr="00017940">
              <w:rPr>
                <w:b/>
                <w:bCs/>
              </w:rPr>
              <w:t>Listening Span trials</w:t>
            </w:r>
          </w:p>
        </w:tc>
        <w:tc>
          <w:tcPr>
            <w:tcW w:w="0" w:type="auto"/>
          </w:tcPr>
          <w:p w14:paraId="1B534761" w14:textId="77777777" w:rsidR="00017940" w:rsidRPr="00017940" w:rsidRDefault="00017940" w:rsidP="00017940">
            <w:pPr>
              <w:pStyle w:val="NoSpacing"/>
              <w:rPr>
                <w:b/>
                <w:bCs/>
              </w:rPr>
            </w:pPr>
            <w:r w:rsidRPr="00017940">
              <w:rPr>
                <w:b/>
                <w:bCs/>
              </w:rPr>
              <w:t>.63</w:t>
            </w:r>
          </w:p>
        </w:tc>
        <w:tc>
          <w:tcPr>
            <w:tcW w:w="0" w:type="auto"/>
          </w:tcPr>
          <w:p w14:paraId="64E623BC" w14:textId="77777777" w:rsidR="00017940" w:rsidRPr="00017940" w:rsidRDefault="00017940" w:rsidP="00017940">
            <w:pPr>
              <w:pStyle w:val="NoSpacing"/>
              <w:rPr>
                <w:b/>
                <w:bCs/>
              </w:rPr>
            </w:pPr>
            <w:r w:rsidRPr="00017940">
              <w:t>&lt;</w:t>
            </w:r>
            <w:r w:rsidRPr="00017940">
              <w:rPr>
                <w:b/>
                <w:bCs/>
              </w:rPr>
              <w:t>.001</w:t>
            </w:r>
          </w:p>
        </w:tc>
        <w:tc>
          <w:tcPr>
            <w:tcW w:w="0" w:type="auto"/>
          </w:tcPr>
          <w:p w14:paraId="6BF5D8C8" w14:textId="77777777" w:rsidR="00017940" w:rsidRPr="00017940" w:rsidRDefault="00017940" w:rsidP="00017940">
            <w:pPr>
              <w:pStyle w:val="NoSpacing"/>
              <w:rPr>
                <w:b/>
                <w:bCs/>
                <w:vertAlign w:val="superscript"/>
              </w:rPr>
            </w:pPr>
            <w:r w:rsidRPr="00017940">
              <w:t>[</w:t>
            </w:r>
            <w:r w:rsidRPr="00017940">
              <w:rPr>
                <w:b/>
                <w:bCs/>
              </w:rPr>
              <w:t>.56, .</w:t>
            </w:r>
            <w:proofErr w:type="gramStart"/>
            <w:r w:rsidRPr="00017940">
              <w:rPr>
                <w:b/>
                <w:bCs/>
              </w:rPr>
              <w:t>70</w:t>
            </w:r>
            <w:r w:rsidRPr="00017940">
              <w:t>]</w:t>
            </w:r>
            <w:proofErr w:type="spellStart"/>
            <w:r w:rsidRPr="00017940">
              <w:rPr>
                <w:b/>
                <w:bCs/>
                <w:vertAlign w:val="superscript"/>
              </w:rPr>
              <w:t>a</w:t>
            </w:r>
            <w:proofErr w:type="gramEnd"/>
            <w:r w:rsidRPr="00017940">
              <w:rPr>
                <w:b/>
                <w:bCs/>
                <w:vertAlign w:val="superscript"/>
              </w:rPr>
              <w:t>,b</w:t>
            </w:r>
            <w:proofErr w:type="spellEnd"/>
          </w:p>
        </w:tc>
      </w:tr>
      <w:tr w:rsidR="00017940" w:rsidRPr="00017940" w14:paraId="7737C106" w14:textId="77777777" w:rsidTr="008E6217">
        <w:trPr>
          <w:trHeight w:val="180"/>
        </w:trPr>
        <w:tc>
          <w:tcPr>
            <w:tcW w:w="0" w:type="auto"/>
          </w:tcPr>
          <w:p w14:paraId="46048615" w14:textId="77777777" w:rsidR="00017940" w:rsidRPr="00017940" w:rsidRDefault="00017940" w:rsidP="00017940">
            <w:pPr>
              <w:pStyle w:val="NoSpacing"/>
              <w:rPr>
                <w:b/>
                <w:bCs/>
              </w:rPr>
            </w:pPr>
            <w:r w:rsidRPr="00017940">
              <w:rPr>
                <w:b/>
                <w:bCs/>
              </w:rPr>
              <w:t>Listening Span items</w:t>
            </w:r>
          </w:p>
        </w:tc>
        <w:tc>
          <w:tcPr>
            <w:tcW w:w="0" w:type="auto"/>
          </w:tcPr>
          <w:p w14:paraId="3698BFFA" w14:textId="77777777" w:rsidR="00017940" w:rsidRPr="00017940" w:rsidRDefault="00017940" w:rsidP="00017940">
            <w:pPr>
              <w:pStyle w:val="NoSpacing"/>
              <w:rPr>
                <w:b/>
                <w:bCs/>
              </w:rPr>
            </w:pPr>
            <w:r w:rsidRPr="00017940">
              <w:rPr>
                <w:b/>
                <w:bCs/>
              </w:rPr>
              <w:t>.61</w:t>
            </w:r>
          </w:p>
        </w:tc>
        <w:tc>
          <w:tcPr>
            <w:tcW w:w="0" w:type="auto"/>
          </w:tcPr>
          <w:p w14:paraId="1D09A653" w14:textId="77777777" w:rsidR="00017940" w:rsidRPr="00017940" w:rsidRDefault="00017940" w:rsidP="00017940">
            <w:pPr>
              <w:pStyle w:val="NoSpacing"/>
              <w:rPr>
                <w:b/>
                <w:bCs/>
              </w:rPr>
            </w:pPr>
            <w:r w:rsidRPr="00017940">
              <w:rPr>
                <w:b/>
                <w:bCs/>
              </w:rPr>
              <w:t>.003</w:t>
            </w:r>
          </w:p>
        </w:tc>
        <w:tc>
          <w:tcPr>
            <w:tcW w:w="0" w:type="auto"/>
          </w:tcPr>
          <w:p w14:paraId="163E8317" w14:textId="77777777" w:rsidR="00017940" w:rsidRPr="00017940" w:rsidRDefault="00017940" w:rsidP="00017940">
            <w:pPr>
              <w:pStyle w:val="NoSpacing"/>
              <w:rPr>
                <w:b/>
                <w:bCs/>
                <w:vertAlign w:val="superscript"/>
              </w:rPr>
            </w:pPr>
            <w:r w:rsidRPr="00017940">
              <w:t>[</w:t>
            </w:r>
            <w:r w:rsidRPr="00017940">
              <w:rPr>
                <w:b/>
                <w:bCs/>
              </w:rPr>
              <w:t>.54, .</w:t>
            </w:r>
            <w:proofErr w:type="gramStart"/>
            <w:r w:rsidRPr="00017940">
              <w:rPr>
                <w:b/>
                <w:bCs/>
              </w:rPr>
              <w:t>68</w:t>
            </w:r>
            <w:r w:rsidRPr="00017940">
              <w:t>]</w:t>
            </w:r>
            <w:proofErr w:type="spellStart"/>
            <w:r w:rsidRPr="00017940">
              <w:rPr>
                <w:b/>
                <w:bCs/>
                <w:vertAlign w:val="superscript"/>
              </w:rPr>
              <w:t>a</w:t>
            </w:r>
            <w:proofErr w:type="gramEnd"/>
            <w:r w:rsidRPr="00017940">
              <w:rPr>
                <w:b/>
                <w:bCs/>
                <w:vertAlign w:val="superscript"/>
              </w:rPr>
              <w:t>,b</w:t>
            </w:r>
            <w:proofErr w:type="spellEnd"/>
          </w:p>
        </w:tc>
      </w:tr>
      <w:tr w:rsidR="00017940" w:rsidRPr="00017940" w14:paraId="755F755C" w14:textId="77777777" w:rsidTr="008E6217">
        <w:trPr>
          <w:trHeight w:val="185"/>
        </w:trPr>
        <w:tc>
          <w:tcPr>
            <w:tcW w:w="0" w:type="auto"/>
          </w:tcPr>
          <w:p w14:paraId="30F501CF" w14:textId="77777777" w:rsidR="00017940" w:rsidRPr="00017940" w:rsidRDefault="00017940" w:rsidP="00017940">
            <w:pPr>
              <w:pStyle w:val="NoSpacing"/>
              <w:rPr>
                <w:b/>
                <w:bCs/>
              </w:rPr>
            </w:pPr>
            <w:r w:rsidRPr="00017940">
              <w:rPr>
                <w:b/>
                <w:bCs/>
              </w:rPr>
              <w:t>Listening Span score</w:t>
            </w:r>
          </w:p>
        </w:tc>
        <w:tc>
          <w:tcPr>
            <w:tcW w:w="0" w:type="auto"/>
          </w:tcPr>
          <w:p w14:paraId="42533B24" w14:textId="77777777" w:rsidR="00017940" w:rsidRPr="00017940" w:rsidRDefault="00017940" w:rsidP="00017940">
            <w:pPr>
              <w:pStyle w:val="NoSpacing"/>
              <w:rPr>
                <w:b/>
                <w:bCs/>
              </w:rPr>
            </w:pPr>
            <w:r w:rsidRPr="00017940">
              <w:rPr>
                <w:b/>
                <w:bCs/>
              </w:rPr>
              <w:t>.62</w:t>
            </w:r>
          </w:p>
        </w:tc>
        <w:tc>
          <w:tcPr>
            <w:tcW w:w="0" w:type="auto"/>
          </w:tcPr>
          <w:p w14:paraId="0E109EDC" w14:textId="77777777" w:rsidR="00017940" w:rsidRPr="00017940" w:rsidRDefault="00017940" w:rsidP="00017940">
            <w:pPr>
              <w:pStyle w:val="NoSpacing"/>
              <w:rPr>
                <w:b/>
                <w:bCs/>
              </w:rPr>
            </w:pPr>
            <w:r w:rsidRPr="00017940">
              <w:rPr>
                <w:b/>
                <w:bCs/>
              </w:rPr>
              <w:t>.001</w:t>
            </w:r>
          </w:p>
        </w:tc>
        <w:tc>
          <w:tcPr>
            <w:tcW w:w="0" w:type="auto"/>
          </w:tcPr>
          <w:p w14:paraId="2EAB1C0A" w14:textId="77777777" w:rsidR="00017940" w:rsidRPr="00017940" w:rsidRDefault="00017940" w:rsidP="00017940">
            <w:pPr>
              <w:pStyle w:val="NoSpacing"/>
              <w:rPr>
                <w:vertAlign w:val="superscript"/>
              </w:rPr>
            </w:pPr>
            <w:r w:rsidRPr="00017940">
              <w:t>[</w:t>
            </w:r>
            <w:r w:rsidRPr="00017940">
              <w:rPr>
                <w:b/>
                <w:bCs/>
              </w:rPr>
              <w:t>.55, .</w:t>
            </w:r>
            <w:proofErr w:type="gramStart"/>
            <w:r w:rsidRPr="00017940">
              <w:rPr>
                <w:b/>
                <w:bCs/>
              </w:rPr>
              <w:t>69</w:t>
            </w:r>
            <w:r w:rsidRPr="00017940">
              <w:t>]</w:t>
            </w:r>
            <w:r w:rsidRPr="00017940">
              <w:rPr>
                <w:vertAlign w:val="superscript"/>
              </w:rPr>
              <w:t>a</w:t>
            </w:r>
            <w:proofErr w:type="gramEnd"/>
          </w:p>
        </w:tc>
      </w:tr>
      <w:tr w:rsidR="00017940" w:rsidRPr="00017940" w14:paraId="53778157" w14:textId="77777777" w:rsidTr="008E6217">
        <w:trPr>
          <w:trHeight w:val="180"/>
        </w:trPr>
        <w:tc>
          <w:tcPr>
            <w:tcW w:w="0" w:type="auto"/>
          </w:tcPr>
          <w:p w14:paraId="6A26406F" w14:textId="77777777" w:rsidR="00017940" w:rsidRPr="00017940" w:rsidRDefault="00017940" w:rsidP="00017940">
            <w:pPr>
              <w:pStyle w:val="NoSpacing"/>
            </w:pPr>
            <w:r w:rsidRPr="00017940">
              <w:t>Sentence repetition</w:t>
            </w:r>
          </w:p>
        </w:tc>
        <w:tc>
          <w:tcPr>
            <w:tcW w:w="0" w:type="auto"/>
          </w:tcPr>
          <w:p w14:paraId="5882BF75" w14:textId="77777777" w:rsidR="00017940" w:rsidRPr="00017940" w:rsidRDefault="00017940" w:rsidP="00017940">
            <w:pPr>
              <w:pStyle w:val="NoSpacing"/>
            </w:pPr>
            <w:r w:rsidRPr="00017940">
              <w:t>.55</w:t>
            </w:r>
          </w:p>
        </w:tc>
        <w:tc>
          <w:tcPr>
            <w:tcW w:w="0" w:type="auto"/>
          </w:tcPr>
          <w:p w14:paraId="2AF7E33E" w14:textId="77777777" w:rsidR="00017940" w:rsidRPr="00017940" w:rsidRDefault="00017940" w:rsidP="00017940">
            <w:pPr>
              <w:pStyle w:val="NoSpacing"/>
            </w:pPr>
            <w:r w:rsidRPr="00017940">
              <w:t>.18</w:t>
            </w:r>
          </w:p>
        </w:tc>
        <w:tc>
          <w:tcPr>
            <w:tcW w:w="0" w:type="auto"/>
          </w:tcPr>
          <w:p w14:paraId="02D57F0B" w14:textId="77777777" w:rsidR="00017940" w:rsidRPr="00017940" w:rsidRDefault="00017940" w:rsidP="00017940">
            <w:pPr>
              <w:pStyle w:val="NoSpacing"/>
            </w:pPr>
            <w:r w:rsidRPr="00017940">
              <w:t>[.48, .62]</w:t>
            </w:r>
          </w:p>
        </w:tc>
      </w:tr>
      <w:tr w:rsidR="00017940" w:rsidRPr="00017940" w14:paraId="0C1C3845" w14:textId="77777777" w:rsidTr="008E6217">
        <w:trPr>
          <w:trHeight w:val="174"/>
        </w:trPr>
        <w:tc>
          <w:tcPr>
            <w:tcW w:w="0" w:type="auto"/>
          </w:tcPr>
          <w:p w14:paraId="2AA9D73A" w14:textId="77777777" w:rsidR="00017940" w:rsidRPr="00017940" w:rsidRDefault="00017940" w:rsidP="00017940">
            <w:pPr>
              <w:pStyle w:val="NoSpacing"/>
            </w:pPr>
            <w:r w:rsidRPr="00017940">
              <w:t>WMS Spatial Addition</w:t>
            </w:r>
          </w:p>
        </w:tc>
        <w:tc>
          <w:tcPr>
            <w:tcW w:w="0" w:type="auto"/>
          </w:tcPr>
          <w:p w14:paraId="50B296C6" w14:textId="77777777" w:rsidR="00017940" w:rsidRPr="00017940" w:rsidRDefault="00017940" w:rsidP="00017940">
            <w:pPr>
              <w:pStyle w:val="NoSpacing"/>
            </w:pPr>
            <w:r w:rsidRPr="00017940">
              <w:t>.53</w:t>
            </w:r>
          </w:p>
        </w:tc>
        <w:tc>
          <w:tcPr>
            <w:tcW w:w="0" w:type="auto"/>
          </w:tcPr>
          <w:p w14:paraId="6E4F0770" w14:textId="77777777" w:rsidR="00017940" w:rsidRPr="00017940" w:rsidRDefault="00017940" w:rsidP="00017940">
            <w:pPr>
              <w:pStyle w:val="NoSpacing"/>
            </w:pPr>
            <w:r w:rsidRPr="00017940">
              <w:t>.37</w:t>
            </w:r>
          </w:p>
        </w:tc>
        <w:tc>
          <w:tcPr>
            <w:tcW w:w="0" w:type="auto"/>
          </w:tcPr>
          <w:p w14:paraId="68DD47E6" w14:textId="77777777" w:rsidR="00017940" w:rsidRPr="00017940" w:rsidRDefault="00017940" w:rsidP="00017940">
            <w:pPr>
              <w:pStyle w:val="NoSpacing"/>
            </w:pPr>
            <w:r w:rsidRPr="00017940">
              <w:t>[.46, .61]</w:t>
            </w:r>
          </w:p>
        </w:tc>
      </w:tr>
      <w:tr w:rsidR="00017940" w:rsidRPr="00017940" w14:paraId="5E7BA3C7" w14:textId="77777777" w:rsidTr="008E6217">
        <w:trPr>
          <w:trHeight w:val="185"/>
        </w:trPr>
        <w:tc>
          <w:tcPr>
            <w:tcW w:w="0" w:type="auto"/>
          </w:tcPr>
          <w:p w14:paraId="31A77041" w14:textId="77777777" w:rsidR="00017940" w:rsidRPr="00017940" w:rsidRDefault="00017940" w:rsidP="00017940">
            <w:pPr>
              <w:pStyle w:val="NoSpacing"/>
              <w:rPr>
                <w:b/>
                <w:bCs/>
              </w:rPr>
            </w:pPr>
            <w:r w:rsidRPr="00017940">
              <w:rPr>
                <w:b/>
                <w:bCs/>
              </w:rPr>
              <w:t>Letter fluency</w:t>
            </w:r>
          </w:p>
        </w:tc>
        <w:tc>
          <w:tcPr>
            <w:tcW w:w="0" w:type="auto"/>
          </w:tcPr>
          <w:p w14:paraId="7F8A487F" w14:textId="77777777" w:rsidR="00017940" w:rsidRPr="00017940" w:rsidRDefault="00017940" w:rsidP="00017940">
            <w:pPr>
              <w:pStyle w:val="NoSpacing"/>
              <w:rPr>
                <w:b/>
                <w:bCs/>
              </w:rPr>
            </w:pPr>
            <w:r w:rsidRPr="00017940">
              <w:rPr>
                <w:b/>
                <w:bCs/>
              </w:rPr>
              <w:t>.58</w:t>
            </w:r>
          </w:p>
        </w:tc>
        <w:tc>
          <w:tcPr>
            <w:tcW w:w="0" w:type="auto"/>
          </w:tcPr>
          <w:p w14:paraId="770C3D00" w14:textId="77777777" w:rsidR="00017940" w:rsidRPr="00017940" w:rsidRDefault="00017940" w:rsidP="00017940">
            <w:pPr>
              <w:pStyle w:val="NoSpacing"/>
              <w:rPr>
                <w:b/>
                <w:bCs/>
              </w:rPr>
            </w:pPr>
            <w:r w:rsidRPr="00017940">
              <w:rPr>
                <w:b/>
                <w:bCs/>
              </w:rPr>
              <w:t>.03</w:t>
            </w:r>
          </w:p>
        </w:tc>
        <w:tc>
          <w:tcPr>
            <w:tcW w:w="0" w:type="auto"/>
          </w:tcPr>
          <w:p w14:paraId="2B8D156C" w14:textId="77777777" w:rsidR="00017940" w:rsidRPr="00017940" w:rsidRDefault="00017940" w:rsidP="00017940">
            <w:pPr>
              <w:pStyle w:val="NoSpacing"/>
              <w:rPr>
                <w:vertAlign w:val="superscript"/>
              </w:rPr>
            </w:pPr>
            <w:r w:rsidRPr="00017940">
              <w:t>[</w:t>
            </w:r>
            <w:r w:rsidRPr="00017940">
              <w:rPr>
                <w:b/>
                <w:bCs/>
              </w:rPr>
              <w:t>.51, .</w:t>
            </w:r>
            <w:proofErr w:type="gramStart"/>
            <w:r w:rsidRPr="00017940">
              <w:rPr>
                <w:b/>
                <w:bCs/>
              </w:rPr>
              <w:t>65</w:t>
            </w:r>
            <w:r w:rsidRPr="00017940">
              <w:t>]</w:t>
            </w:r>
            <w:r w:rsidRPr="00017940">
              <w:rPr>
                <w:vertAlign w:val="superscript"/>
              </w:rPr>
              <w:t>a</w:t>
            </w:r>
            <w:proofErr w:type="gramEnd"/>
          </w:p>
        </w:tc>
      </w:tr>
      <w:tr w:rsidR="00017940" w:rsidRPr="00017940" w14:paraId="511A6874" w14:textId="77777777" w:rsidTr="008E6217">
        <w:trPr>
          <w:trHeight w:val="180"/>
        </w:trPr>
        <w:tc>
          <w:tcPr>
            <w:tcW w:w="0" w:type="auto"/>
          </w:tcPr>
          <w:p w14:paraId="4846F770" w14:textId="77777777" w:rsidR="00017940" w:rsidRPr="00017940" w:rsidRDefault="00017940" w:rsidP="00017940">
            <w:pPr>
              <w:pStyle w:val="NoSpacing"/>
            </w:pPr>
            <w:r w:rsidRPr="00017940">
              <w:t>Color naming</w:t>
            </w:r>
          </w:p>
        </w:tc>
        <w:tc>
          <w:tcPr>
            <w:tcW w:w="0" w:type="auto"/>
          </w:tcPr>
          <w:p w14:paraId="658F5DF9" w14:textId="77777777" w:rsidR="00017940" w:rsidRPr="00017940" w:rsidRDefault="00017940" w:rsidP="00017940">
            <w:pPr>
              <w:pStyle w:val="NoSpacing"/>
            </w:pPr>
            <w:r w:rsidRPr="00017940">
              <w:t>.52</w:t>
            </w:r>
          </w:p>
        </w:tc>
        <w:tc>
          <w:tcPr>
            <w:tcW w:w="0" w:type="auto"/>
          </w:tcPr>
          <w:p w14:paraId="481514F0" w14:textId="77777777" w:rsidR="00017940" w:rsidRPr="00017940" w:rsidRDefault="00017940" w:rsidP="00017940">
            <w:pPr>
              <w:pStyle w:val="NoSpacing"/>
            </w:pPr>
            <w:r w:rsidRPr="00017940">
              <w:t>.53</w:t>
            </w:r>
          </w:p>
        </w:tc>
        <w:tc>
          <w:tcPr>
            <w:tcW w:w="0" w:type="auto"/>
          </w:tcPr>
          <w:p w14:paraId="6BD12236" w14:textId="77777777" w:rsidR="00017940" w:rsidRPr="00017940" w:rsidRDefault="00017940" w:rsidP="00017940">
            <w:pPr>
              <w:pStyle w:val="NoSpacing"/>
            </w:pPr>
            <w:r w:rsidRPr="00017940">
              <w:t>[.45, .60]</w:t>
            </w:r>
          </w:p>
        </w:tc>
      </w:tr>
      <w:tr w:rsidR="00017940" w:rsidRPr="00017940" w14:paraId="1D0963C9" w14:textId="77777777" w:rsidTr="008E6217">
        <w:trPr>
          <w:trHeight w:val="180"/>
        </w:trPr>
        <w:tc>
          <w:tcPr>
            <w:tcW w:w="0" w:type="auto"/>
          </w:tcPr>
          <w:p w14:paraId="7D260746" w14:textId="77777777" w:rsidR="00017940" w:rsidRPr="00017940" w:rsidRDefault="00017940" w:rsidP="00017940">
            <w:pPr>
              <w:pStyle w:val="NoSpacing"/>
            </w:pPr>
            <w:r w:rsidRPr="00017940">
              <w:t>Word reading</w:t>
            </w:r>
          </w:p>
        </w:tc>
        <w:tc>
          <w:tcPr>
            <w:tcW w:w="0" w:type="auto"/>
          </w:tcPr>
          <w:p w14:paraId="36F2002A" w14:textId="77777777" w:rsidR="00017940" w:rsidRPr="00017940" w:rsidRDefault="00017940" w:rsidP="00017940">
            <w:pPr>
              <w:pStyle w:val="NoSpacing"/>
            </w:pPr>
            <w:r w:rsidRPr="00017940">
              <w:t>.55</w:t>
            </w:r>
          </w:p>
        </w:tc>
        <w:tc>
          <w:tcPr>
            <w:tcW w:w="0" w:type="auto"/>
          </w:tcPr>
          <w:p w14:paraId="7CFD2F49" w14:textId="77777777" w:rsidR="00017940" w:rsidRPr="00017940" w:rsidRDefault="00017940" w:rsidP="00017940">
            <w:pPr>
              <w:pStyle w:val="NoSpacing"/>
            </w:pPr>
            <w:r w:rsidRPr="00017940">
              <w:t>.22</w:t>
            </w:r>
          </w:p>
        </w:tc>
        <w:tc>
          <w:tcPr>
            <w:tcW w:w="0" w:type="auto"/>
          </w:tcPr>
          <w:p w14:paraId="180BF02B" w14:textId="77777777" w:rsidR="00017940" w:rsidRPr="00017940" w:rsidRDefault="00017940" w:rsidP="00017940">
            <w:pPr>
              <w:pStyle w:val="NoSpacing"/>
            </w:pPr>
            <w:r w:rsidRPr="00017940">
              <w:t>[.47, .62]</w:t>
            </w:r>
          </w:p>
        </w:tc>
      </w:tr>
      <w:tr w:rsidR="00017940" w:rsidRPr="00017940" w14:paraId="37C752D0" w14:textId="77777777" w:rsidTr="008E6217">
        <w:trPr>
          <w:trHeight w:val="172"/>
        </w:trPr>
        <w:tc>
          <w:tcPr>
            <w:tcW w:w="0" w:type="auto"/>
          </w:tcPr>
          <w:p w14:paraId="0C45D869" w14:textId="77777777" w:rsidR="00017940" w:rsidRPr="00017940" w:rsidRDefault="00017940" w:rsidP="00017940">
            <w:pPr>
              <w:pStyle w:val="NoSpacing"/>
            </w:pPr>
            <w:r w:rsidRPr="00017940">
              <w:t>Inhibition</w:t>
            </w:r>
          </w:p>
        </w:tc>
        <w:tc>
          <w:tcPr>
            <w:tcW w:w="0" w:type="auto"/>
          </w:tcPr>
          <w:p w14:paraId="6E8BE512" w14:textId="77777777" w:rsidR="00017940" w:rsidRPr="00017940" w:rsidRDefault="00017940" w:rsidP="00017940">
            <w:pPr>
              <w:pStyle w:val="NoSpacing"/>
            </w:pPr>
            <w:r w:rsidRPr="00017940">
              <w:t>.53</w:t>
            </w:r>
          </w:p>
        </w:tc>
        <w:tc>
          <w:tcPr>
            <w:tcW w:w="0" w:type="auto"/>
          </w:tcPr>
          <w:p w14:paraId="07DFD4D6" w14:textId="77777777" w:rsidR="00017940" w:rsidRPr="00017940" w:rsidRDefault="00017940" w:rsidP="00017940">
            <w:pPr>
              <w:pStyle w:val="NoSpacing"/>
            </w:pPr>
            <w:r w:rsidRPr="00017940">
              <w:t>.44</w:t>
            </w:r>
          </w:p>
        </w:tc>
        <w:tc>
          <w:tcPr>
            <w:tcW w:w="0" w:type="auto"/>
          </w:tcPr>
          <w:p w14:paraId="30F4BB6F" w14:textId="77777777" w:rsidR="00017940" w:rsidRPr="00017940" w:rsidRDefault="00017940" w:rsidP="00017940">
            <w:pPr>
              <w:pStyle w:val="NoSpacing"/>
            </w:pPr>
            <w:r w:rsidRPr="00017940">
              <w:t>[.46, .60]</w:t>
            </w:r>
          </w:p>
        </w:tc>
      </w:tr>
      <w:tr w:rsidR="00017940" w:rsidRPr="00017940" w14:paraId="0A66124C" w14:textId="77777777" w:rsidTr="008E6217">
        <w:trPr>
          <w:trHeight w:val="181"/>
        </w:trPr>
        <w:tc>
          <w:tcPr>
            <w:tcW w:w="0" w:type="auto"/>
          </w:tcPr>
          <w:p w14:paraId="74C0C5F5" w14:textId="77777777" w:rsidR="00017940" w:rsidRPr="00017940" w:rsidRDefault="00017940" w:rsidP="00017940">
            <w:pPr>
              <w:pStyle w:val="NoSpacing"/>
              <w:rPr>
                <w:b/>
                <w:bCs/>
              </w:rPr>
            </w:pPr>
            <w:r w:rsidRPr="00017940">
              <w:rPr>
                <w:b/>
                <w:bCs/>
              </w:rPr>
              <w:t>Inhibition/switching</w:t>
            </w:r>
          </w:p>
        </w:tc>
        <w:tc>
          <w:tcPr>
            <w:tcW w:w="0" w:type="auto"/>
          </w:tcPr>
          <w:p w14:paraId="22774463" w14:textId="77777777" w:rsidR="00017940" w:rsidRPr="00017940" w:rsidRDefault="00017940" w:rsidP="00017940">
            <w:pPr>
              <w:pStyle w:val="NoSpacing"/>
              <w:rPr>
                <w:b/>
                <w:bCs/>
              </w:rPr>
            </w:pPr>
            <w:r w:rsidRPr="00017940">
              <w:rPr>
                <w:b/>
                <w:bCs/>
              </w:rPr>
              <w:t>.60</w:t>
            </w:r>
          </w:p>
        </w:tc>
        <w:tc>
          <w:tcPr>
            <w:tcW w:w="0" w:type="auto"/>
          </w:tcPr>
          <w:p w14:paraId="54875185" w14:textId="77777777" w:rsidR="00017940" w:rsidRPr="00017940" w:rsidRDefault="00017940" w:rsidP="00017940">
            <w:pPr>
              <w:pStyle w:val="NoSpacing"/>
              <w:rPr>
                <w:b/>
                <w:bCs/>
              </w:rPr>
            </w:pPr>
            <w:r w:rsidRPr="00017940">
              <w:rPr>
                <w:b/>
                <w:bCs/>
              </w:rPr>
              <w:t>.009</w:t>
            </w:r>
          </w:p>
        </w:tc>
        <w:tc>
          <w:tcPr>
            <w:tcW w:w="0" w:type="auto"/>
          </w:tcPr>
          <w:p w14:paraId="664F4710" w14:textId="77777777" w:rsidR="00017940" w:rsidRPr="00017940" w:rsidRDefault="00017940" w:rsidP="00017940">
            <w:pPr>
              <w:pStyle w:val="NoSpacing"/>
              <w:rPr>
                <w:b/>
                <w:bCs/>
                <w:vertAlign w:val="superscript"/>
              </w:rPr>
            </w:pPr>
            <w:r w:rsidRPr="00017940">
              <w:t>[</w:t>
            </w:r>
            <w:r w:rsidRPr="00017940">
              <w:rPr>
                <w:b/>
                <w:bCs/>
              </w:rPr>
              <w:t>.53, .</w:t>
            </w:r>
            <w:proofErr w:type="gramStart"/>
            <w:r w:rsidRPr="00017940">
              <w:rPr>
                <w:b/>
                <w:bCs/>
              </w:rPr>
              <w:t>67</w:t>
            </w:r>
            <w:r w:rsidRPr="00017940">
              <w:t>]</w:t>
            </w:r>
            <w:proofErr w:type="spellStart"/>
            <w:r w:rsidRPr="00017940">
              <w:rPr>
                <w:b/>
                <w:bCs/>
                <w:vertAlign w:val="superscript"/>
              </w:rPr>
              <w:t>a</w:t>
            </w:r>
            <w:proofErr w:type="gramEnd"/>
            <w:r w:rsidRPr="00017940">
              <w:rPr>
                <w:b/>
                <w:bCs/>
                <w:vertAlign w:val="superscript"/>
              </w:rPr>
              <w:t>,b</w:t>
            </w:r>
            <w:proofErr w:type="spellEnd"/>
          </w:p>
        </w:tc>
      </w:tr>
      <w:tr w:rsidR="00017940" w:rsidRPr="00017940" w14:paraId="6AECDDCE" w14:textId="77777777" w:rsidTr="008E6217">
        <w:trPr>
          <w:trHeight w:val="180"/>
        </w:trPr>
        <w:tc>
          <w:tcPr>
            <w:tcW w:w="0" w:type="auto"/>
          </w:tcPr>
          <w:p w14:paraId="08D8AD27" w14:textId="77777777" w:rsidR="00017940" w:rsidRPr="00017940" w:rsidRDefault="00017940" w:rsidP="00017940">
            <w:pPr>
              <w:pStyle w:val="NoSpacing"/>
              <w:rPr>
                <w:b/>
                <w:bCs/>
              </w:rPr>
            </w:pPr>
            <w:r w:rsidRPr="00017940">
              <w:rPr>
                <w:b/>
                <w:bCs/>
              </w:rPr>
              <w:t>Design Fluency filled</w:t>
            </w:r>
          </w:p>
        </w:tc>
        <w:tc>
          <w:tcPr>
            <w:tcW w:w="0" w:type="auto"/>
          </w:tcPr>
          <w:p w14:paraId="7B7765D7" w14:textId="77777777" w:rsidR="00017940" w:rsidRPr="00017940" w:rsidRDefault="00017940" w:rsidP="00017940">
            <w:pPr>
              <w:pStyle w:val="NoSpacing"/>
              <w:rPr>
                <w:b/>
                <w:bCs/>
              </w:rPr>
            </w:pPr>
            <w:r w:rsidRPr="00017940">
              <w:rPr>
                <w:b/>
                <w:bCs/>
              </w:rPr>
              <w:t>.59</w:t>
            </w:r>
          </w:p>
        </w:tc>
        <w:tc>
          <w:tcPr>
            <w:tcW w:w="0" w:type="auto"/>
          </w:tcPr>
          <w:p w14:paraId="2E8ADD8C" w14:textId="77777777" w:rsidR="00017940" w:rsidRPr="00017940" w:rsidRDefault="00017940" w:rsidP="00017940">
            <w:pPr>
              <w:pStyle w:val="NoSpacing"/>
              <w:rPr>
                <w:b/>
                <w:bCs/>
              </w:rPr>
            </w:pPr>
            <w:r w:rsidRPr="00017940">
              <w:rPr>
                <w:b/>
                <w:bCs/>
              </w:rPr>
              <w:t>.02</w:t>
            </w:r>
          </w:p>
        </w:tc>
        <w:tc>
          <w:tcPr>
            <w:tcW w:w="0" w:type="auto"/>
          </w:tcPr>
          <w:p w14:paraId="206201D4" w14:textId="77777777" w:rsidR="00017940" w:rsidRPr="00017940" w:rsidRDefault="00017940" w:rsidP="00017940">
            <w:pPr>
              <w:pStyle w:val="NoSpacing"/>
              <w:rPr>
                <w:vertAlign w:val="superscript"/>
              </w:rPr>
            </w:pPr>
            <w:r w:rsidRPr="00017940">
              <w:t>[</w:t>
            </w:r>
            <w:r w:rsidRPr="00017940">
              <w:rPr>
                <w:b/>
                <w:bCs/>
              </w:rPr>
              <w:t>.51, .</w:t>
            </w:r>
            <w:proofErr w:type="gramStart"/>
            <w:r w:rsidRPr="00017940">
              <w:rPr>
                <w:b/>
                <w:bCs/>
              </w:rPr>
              <w:t>66</w:t>
            </w:r>
            <w:r w:rsidRPr="00017940">
              <w:t>]</w:t>
            </w:r>
            <w:r w:rsidRPr="00017940">
              <w:rPr>
                <w:vertAlign w:val="superscript"/>
              </w:rPr>
              <w:t>a</w:t>
            </w:r>
            <w:proofErr w:type="gramEnd"/>
          </w:p>
        </w:tc>
      </w:tr>
      <w:tr w:rsidR="00017940" w:rsidRPr="00017940" w14:paraId="48AD7578" w14:textId="77777777" w:rsidTr="008E6217">
        <w:trPr>
          <w:trHeight w:val="185"/>
        </w:trPr>
        <w:tc>
          <w:tcPr>
            <w:tcW w:w="0" w:type="auto"/>
          </w:tcPr>
          <w:p w14:paraId="1C062618" w14:textId="77777777" w:rsidR="00017940" w:rsidRPr="00017940" w:rsidRDefault="00017940" w:rsidP="00017940">
            <w:pPr>
              <w:pStyle w:val="NoSpacing"/>
              <w:rPr>
                <w:b/>
                <w:bCs/>
              </w:rPr>
            </w:pPr>
            <w:r w:rsidRPr="00017940">
              <w:rPr>
                <w:b/>
                <w:bCs/>
              </w:rPr>
              <w:t>Design Fluency empty</w:t>
            </w:r>
          </w:p>
        </w:tc>
        <w:tc>
          <w:tcPr>
            <w:tcW w:w="0" w:type="auto"/>
          </w:tcPr>
          <w:p w14:paraId="32F01CBE" w14:textId="77777777" w:rsidR="00017940" w:rsidRPr="00017940" w:rsidRDefault="00017940" w:rsidP="00017940">
            <w:pPr>
              <w:pStyle w:val="NoSpacing"/>
              <w:rPr>
                <w:b/>
                <w:bCs/>
              </w:rPr>
            </w:pPr>
            <w:r w:rsidRPr="00017940">
              <w:rPr>
                <w:b/>
                <w:bCs/>
              </w:rPr>
              <w:t>.58</w:t>
            </w:r>
          </w:p>
        </w:tc>
        <w:tc>
          <w:tcPr>
            <w:tcW w:w="0" w:type="auto"/>
          </w:tcPr>
          <w:p w14:paraId="408B7D70" w14:textId="77777777" w:rsidR="00017940" w:rsidRPr="00017940" w:rsidRDefault="00017940" w:rsidP="00017940">
            <w:pPr>
              <w:pStyle w:val="NoSpacing"/>
              <w:rPr>
                <w:b/>
                <w:bCs/>
              </w:rPr>
            </w:pPr>
            <w:r w:rsidRPr="00017940">
              <w:rPr>
                <w:b/>
                <w:bCs/>
              </w:rPr>
              <w:t>.03</w:t>
            </w:r>
          </w:p>
        </w:tc>
        <w:tc>
          <w:tcPr>
            <w:tcW w:w="0" w:type="auto"/>
          </w:tcPr>
          <w:p w14:paraId="4258186A" w14:textId="77777777" w:rsidR="00017940" w:rsidRPr="00017940" w:rsidRDefault="00017940" w:rsidP="00017940">
            <w:pPr>
              <w:pStyle w:val="NoSpacing"/>
              <w:rPr>
                <w:vertAlign w:val="superscript"/>
              </w:rPr>
            </w:pPr>
            <w:r w:rsidRPr="00017940">
              <w:t>[</w:t>
            </w:r>
            <w:r w:rsidRPr="00017940">
              <w:rPr>
                <w:b/>
                <w:bCs/>
              </w:rPr>
              <w:t>.51, .</w:t>
            </w:r>
            <w:proofErr w:type="gramStart"/>
            <w:r w:rsidRPr="00017940">
              <w:rPr>
                <w:b/>
                <w:bCs/>
              </w:rPr>
              <w:t>66</w:t>
            </w:r>
            <w:r w:rsidRPr="00017940">
              <w:t>]</w:t>
            </w:r>
            <w:r w:rsidRPr="00017940">
              <w:rPr>
                <w:vertAlign w:val="superscript"/>
              </w:rPr>
              <w:t>a</w:t>
            </w:r>
            <w:proofErr w:type="gramEnd"/>
          </w:p>
        </w:tc>
      </w:tr>
      <w:tr w:rsidR="00017940" w:rsidRPr="00017940" w14:paraId="72E0D2DD" w14:textId="77777777" w:rsidTr="008E6217">
        <w:trPr>
          <w:trHeight w:val="180"/>
        </w:trPr>
        <w:tc>
          <w:tcPr>
            <w:tcW w:w="0" w:type="auto"/>
          </w:tcPr>
          <w:p w14:paraId="41806A10" w14:textId="77777777" w:rsidR="00017940" w:rsidRPr="00017940" w:rsidRDefault="00017940" w:rsidP="00017940">
            <w:pPr>
              <w:pStyle w:val="NoSpacing"/>
            </w:pPr>
            <w:r w:rsidRPr="00017940">
              <w:t>Design Fluency switching</w:t>
            </w:r>
          </w:p>
        </w:tc>
        <w:tc>
          <w:tcPr>
            <w:tcW w:w="0" w:type="auto"/>
          </w:tcPr>
          <w:p w14:paraId="7671D01C" w14:textId="77777777" w:rsidR="00017940" w:rsidRPr="00017940" w:rsidRDefault="00017940" w:rsidP="00017940">
            <w:pPr>
              <w:pStyle w:val="NoSpacing"/>
            </w:pPr>
            <w:r w:rsidRPr="00017940">
              <w:t>.55</w:t>
            </w:r>
          </w:p>
        </w:tc>
        <w:tc>
          <w:tcPr>
            <w:tcW w:w="0" w:type="auto"/>
          </w:tcPr>
          <w:p w14:paraId="0749BC62" w14:textId="77777777" w:rsidR="00017940" w:rsidRPr="00017940" w:rsidRDefault="00017940" w:rsidP="00017940">
            <w:pPr>
              <w:pStyle w:val="NoSpacing"/>
            </w:pPr>
            <w:r w:rsidRPr="00017940">
              <w:t>.16</w:t>
            </w:r>
          </w:p>
        </w:tc>
        <w:tc>
          <w:tcPr>
            <w:tcW w:w="0" w:type="auto"/>
          </w:tcPr>
          <w:p w14:paraId="32CCB8F8" w14:textId="77777777" w:rsidR="00017940" w:rsidRPr="00017940" w:rsidRDefault="00017940" w:rsidP="00017940">
            <w:pPr>
              <w:pStyle w:val="NoSpacing"/>
            </w:pPr>
            <w:r w:rsidRPr="00017940">
              <w:t>[.48, .63]</w:t>
            </w:r>
          </w:p>
        </w:tc>
      </w:tr>
      <w:tr w:rsidR="00017940" w:rsidRPr="00017940" w14:paraId="4F73C5CA" w14:textId="77777777" w:rsidTr="008E6217">
        <w:trPr>
          <w:trHeight w:val="180"/>
        </w:trPr>
        <w:tc>
          <w:tcPr>
            <w:tcW w:w="0" w:type="auto"/>
          </w:tcPr>
          <w:p w14:paraId="36066125" w14:textId="77777777" w:rsidR="00017940" w:rsidRPr="00017940" w:rsidRDefault="00017940" w:rsidP="00017940">
            <w:pPr>
              <w:pStyle w:val="NoSpacing"/>
            </w:pPr>
            <w:r w:rsidRPr="00017940">
              <w:t>Tower</w:t>
            </w:r>
          </w:p>
        </w:tc>
        <w:tc>
          <w:tcPr>
            <w:tcW w:w="0" w:type="auto"/>
          </w:tcPr>
          <w:p w14:paraId="2DC9A1D5" w14:textId="77777777" w:rsidR="00017940" w:rsidRPr="00017940" w:rsidRDefault="00017940" w:rsidP="00017940">
            <w:pPr>
              <w:pStyle w:val="NoSpacing"/>
            </w:pPr>
            <w:r w:rsidRPr="00017940">
              <w:t>.56</w:t>
            </w:r>
          </w:p>
        </w:tc>
        <w:tc>
          <w:tcPr>
            <w:tcW w:w="0" w:type="auto"/>
          </w:tcPr>
          <w:p w14:paraId="2B52369B" w14:textId="77777777" w:rsidR="00017940" w:rsidRPr="00017940" w:rsidRDefault="00017940" w:rsidP="00017940">
            <w:pPr>
              <w:pStyle w:val="NoSpacing"/>
            </w:pPr>
            <w:r w:rsidRPr="00017940">
              <w:t>.12</w:t>
            </w:r>
          </w:p>
        </w:tc>
        <w:tc>
          <w:tcPr>
            <w:tcW w:w="0" w:type="auto"/>
          </w:tcPr>
          <w:p w14:paraId="0C05A411" w14:textId="77777777" w:rsidR="00017940" w:rsidRPr="00017940" w:rsidRDefault="00017940" w:rsidP="00017940">
            <w:pPr>
              <w:pStyle w:val="NoSpacing"/>
            </w:pPr>
            <w:r w:rsidRPr="00017940">
              <w:t>[.49, .63]</w:t>
            </w:r>
          </w:p>
        </w:tc>
      </w:tr>
      <w:tr w:rsidR="00017940" w:rsidRPr="00017940" w14:paraId="6BA130EB" w14:textId="77777777" w:rsidTr="008E6217">
        <w:trPr>
          <w:trHeight w:val="172"/>
        </w:trPr>
        <w:tc>
          <w:tcPr>
            <w:tcW w:w="0" w:type="auto"/>
          </w:tcPr>
          <w:p w14:paraId="2777B744" w14:textId="77777777" w:rsidR="00017940" w:rsidRPr="00017940" w:rsidRDefault="00017940" w:rsidP="00017940">
            <w:pPr>
              <w:pStyle w:val="NoSpacing"/>
            </w:pPr>
            <w:r w:rsidRPr="00017940">
              <w:t>PASAT</w:t>
            </w:r>
          </w:p>
        </w:tc>
        <w:tc>
          <w:tcPr>
            <w:tcW w:w="0" w:type="auto"/>
          </w:tcPr>
          <w:p w14:paraId="36BE8039" w14:textId="77777777" w:rsidR="00017940" w:rsidRPr="00017940" w:rsidRDefault="00017940" w:rsidP="00017940">
            <w:pPr>
              <w:pStyle w:val="NoSpacing"/>
            </w:pPr>
            <w:r w:rsidRPr="00017940">
              <w:t>.49</w:t>
            </w:r>
          </w:p>
        </w:tc>
        <w:tc>
          <w:tcPr>
            <w:tcW w:w="0" w:type="auto"/>
          </w:tcPr>
          <w:p w14:paraId="4549E05A" w14:textId="77777777" w:rsidR="00017940" w:rsidRPr="00017940" w:rsidRDefault="00017940" w:rsidP="00017940">
            <w:pPr>
              <w:pStyle w:val="NoSpacing"/>
            </w:pPr>
            <w:r w:rsidRPr="00017940">
              <w:t>.73.</w:t>
            </w:r>
          </w:p>
        </w:tc>
        <w:tc>
          <w:tcPr>
            <w:tcW w:w="0" w:type="auto"/>
          </w:tcPr>
          <w:p w14:paraId="3E30A7C6" w14:textId="77777777" w:rsidR="00017940" w:rsidRPr="00017940" w:rsidRDefault="00017940" w:rsidP="00017940">
            <w:pPr>
              <w:pStyle w:val="NoSpacing"/>
            </w:pPr>
            <w:r w:rsidRPr="00017940">
              <w:t>[41, .55]</w:t>
            </w:r>
          </w:p>
        </w:tc>
      </w:tr>
      <w:tr w:rsidR="00017940" w:rsidRPr="00017940" w14:paraId="1D1F0CF1" w14:textId="77777777" w:rsidTr="008E6217">
        <w:trPr>
          <w:trHeight w:val="181"/>
        </w:trPr>
        <w:tc>
          <w:tcPr>
            <w:tcW w:w="0" w:type="auto"/>
          </w:tcPr>
          <w:p w14:paraId="21DE86FB" w14:textId="77777777" w:rsidR="00017940" w:rsidRPr="00017940" w:rsidRDefault="00017940" w:rsidP="00017940">
            <w:pPr>
              <w:pStyle w:val="NoSpacing"/>
              <w:rPr>
                <w:b/>
                <w:bCs/>
              </w:rPr>
            </w:pPr>
            <w:r w:rsidRPr="00017940">
              <w:rPr>
                <w:b/>
                <w:bCs/>
              </w:rPr>
              <w:t>TOVA reaction time variability</w:t>
            </w:r>
          </w:p>
        </w:tc>
        <w:tc>
          <w:tcPr>
            <w:tcW w:w="0" w:type="auto"/>
          </w:tcPr>
          <w:p w14:paraId="70ED1C54" w14:textId="77777777" w:rsidR="00017940" w:rsidRPr="00017940" w:rsidRDefault="00017940" w:rsidP="00017940">
            <w:pPr>
              <w:pStyle w:val="NoSpacing"/>
              <w:rPr>
                <w:b/>
                <w:bCs/>
              </w:rPr>
            </w:pPr>
            <w:r w:rsidRPr="00017940">
              <w:rPr>
                <w:b/>
                <w:bCs/>
              </w:rPr>
              <w:t>.66</w:t>
            </w:r>
          </w:p>
        </w:tc>
        <w:tc>
          <w:tcPr>
            <w:tcW w:w="0" w:type="auto"/>
          </w:tcPr>
          <w:p w14:paraId="5364B7DA" w14:textId="77777777" w:rsidR="00017940" w:rsidRPr="00017940" w:rsidRDefault="00017940" w:rsidP="00017940">
            <w:pPr>
              <w:pStyle w:val="NoSpacing"/>
              <w:rPr>
                <w:b/>
                <w:bCs/>
              </w:rPr>
            </w:pPr>
            <w:r w:rsidRPr="00017940">
              <w:t>&lt;</w:t>
            </w:r>
            <w:r w:rsidRPr="00017940">
              <w:rPr>
                <w:b/>
                <w:bCs/>
              </w:rPr>
              <w:t>.001</w:t>
            </w:r>
          </w:p>
        </w:tc>
        <w:tc>
          <w:tcPr>
            <w:tcW w:w="0" w:type="auto"/>
          </w:tcPr>
          <w:p w14:paraId="59EE116B" w14:textId="77777777" w:rsidR="00017940" w:rsidRPr="00017940" w:rsidRDefault="00017940" w:rsidP="00017940">
            <w:pPr>
              <w:pStyle w:val="NoSpacing"/>
              <w:rPr>
                <w:b/>
                <w:bCs/>
                <w:vertAlign w:val="superscript"/>
              </w:rPr>
            </w:pPr>
            <w:r w:rsidRPr="00017940">
              <w:t>[</w:t>
            </w:r>
            <w:r w:rsidRPr="00017940">
              <w:rPr>
                <w:b/>
                <w:bCs/>
              </w:rPr>
              <w:t>.59, .</w:t>
            </w:r>
            <w:proofErr w:type="gramStart"/>
            <w:r w:rsidRPr="00017940">
              <w:rPr>
                <w:b/>
                <w:bCs/>
              </w:rPr>
              <w:t>74</w:t>
            </w:r>
            <w:r w:rsidRPr="00017940">
              <w:t>]</w:t>
            </w:r>
            <w:proofErr w:type="spellStart"/>
            <w:r w:rsidRPr="00017940">
              <w:rPr>
                <w:b/>
                <w:bCs/>
                <w:vertAlign w:val="superscript"/>
              </w:rPr>
              <w:t>a</w:t>
            </w:r>
            <w:proofErr w:type="gramEnd"/>
            <w:r w:rsidRPr="00017940">
              <w:rPr>
                <w:b/>
                <w:bCs/>
                <w:vertAlign w:val="superscript"/>
              </w:rPr>
              <w:t>,b</w:t>
            </w:r>
            <w:proofErr w:type="spellEnd"/>
          </w:p>
        </w:tc>
      </w:tr>
      <w:tr w:rsidR="00017940" w:rsidRPr="00017940" w14:paraId="0F965CD5" w14:textId="77777777" w:rsidTr="008E6217">
        <w:trPr>
          <w:trHeight w:val="187"/>
        </w:trPr>
        <w:tc>
          <w:tcPr>
            <w:tcW w:w="0" w:type="auto"/>
          </w:tcPr>
          <w:p w14:paraId="4B402F93" w14:textId="77777777" w:rsidR="00017940" w:rsidRPr="00017940" w:rsidRDefault="00017940" w:rsidP="00017940">
            <w:pPr>
              <w:pStyle w:val="NoSpacing"/>
              <w:rPr>
                <w:b/>
                <w:bCs/>
              </w:rPr>
            </w:pPr>
            <w:r w:rsidRPr="00017940">
              <w:rPr>
                <w:b/>
                <w:bCs/>
              </w:rPr>
              <w:t>TOVA reaction time</w:t>
            </w:r>
          </w:p>
        </w:tc>
        <w:tc>
          <w:tcPr>
            <w:tcW w:w="0" w:type="auto"/>
          </w:tcPr>
          <w:p w14:paraId="786DF2D1" w14:textId="77777777" w:rsidR="00017940" w:rsidRPr="00017940" w:rsidRDefault="00017940" w:rsidP="00017940">
            <w:pPr>
              <w:pStyle w:val="NoSpacing"/>
              <w:rPr>
                <w:b/>
                <w:bCs/>
              </w:rPr>
            </w:pPr>
            <w:r w:rsidRPr="00017940">
              <w:rPr>
                <w:b/>
                <w:bCs/>
              </w:rPr>
              <w:t>.65</w:t>
            </w:r>
          </w:p>
        </w:tc>
        <w:tc>
          <w:tcPr>
            <w:tcW w:w="0" w:type="auto"/>
          </w:tcPr>
          <w:p w14:paraId="2D0922A7" w14:textId="77777777" w:rsidR="00017940" w:rsidRPr="00017940" w:rsidRDefault="00017940" w:rsidP="00017940">
            <w:pPr>
              <w:pStyle w:val="NoSpacing"/>
              <w:rPr>
                <w:b/>
                <w:bCs/>
              </w:rPr>
            </w:pPr>
            <w:r w:rsidRPr="00017940">
              <w:t>&lt;</w:t>
            </w:r>
            <w:r w:rsidRPr="00017940">
              <w:rPr>
                <w:b/>
                <w:bCs/>
              </w:rPr>
              <w:t>.001</w:t>
            </w:r>
          </w:p>
        </w:tc>
        <w:tc>
          <w:tcPr>
            <w:tcW w:w="0" w:type="auto"/>
          </w:tcPr>
          <w:p w14:paraId="52833BB4" w14:textId="77777777" w:rsidR="00017940" w:rsidRPr="00017940" w:rsidRDefault="00017940" w:rsidP="00017940">
            <w:pPr>
              <w:pStyle w:val="NoSpacing"/>
              <w:rPr>
                <w:b/>
                <w:bCs/>
                <w:vertAlign w:val="superscript"/>
              </w:rPr>
            </w:pPr>
            <w:r w:rsidRPr="00017940">
              <w:t>[</w:t>
            </w:r>
            <w:r w:rsidRPr="00017940">
              <w:rPr>
                <w:b/>
                <w:bCs/>
              </w:rPr>
              <w:t>.58, .</w:t>
            </w:r>
            <w:proofErr w:type="gramStart"/>
            <w:r w:rsidRPr="00017940">
              <w:rPr>
                <w:b/>
                <w:bCs/>
              </w:rPr>
              <w:t>72</w:t>
            </w:r>
            <w:r w:rsidRPr="00017940">
              <w:t>]</w:t>
            </w:r>
            <w:proofErr w:type="spellStart"/>
            <w:r w:rsidRPr="00017940">
              <w:rPr>
                <w:b/>
                <w:bCs/>
                <w:vertAlign w:val="superscript"/>
              </w:rPr>
              <w:t>a</w:t>
            </w:r>
            <w:proofErr w:type="gramEnd"/>
            <w:r w:rsidRPr="00017940">
              <w:rPr>
                <w:b/>
                <w:bCs/>
                <w:vertAlign w:val="superscript"/>
              </w:rPr>
              <w:t>,b</w:t>
            </w:r>
            <w:proofErr w:type="spellEnd"/>
          </w:p>
        </w:tc>
      </w:tr>
      <w:tr w:rsidR="00017940" w:rsidRPr="00017940" w14:paraId="0906415D" w14:textId="77777777" w:rsidTr="008E6217">
        <w:trPr>
          <w:trHeight w:val="171"/>
        </w:trPr>
        <w:tc>
          <w:tcPr>
            <w:tcW w:w="0" w:type="auto"/>
          </w:tcPr>
          <w:p w14:paraId="16741533" w14:textId="77777777" w:rsidR="00017940" w:rsidRPr="00017940" w:rsidRDefault="00017940" w:rsidP="00017940">
            <w:pPr>
              <w:pStyle w:val="NoSpacing"/>
            </w:pPr>
            <w:r w:rsidRPr="00017940">
              <w:t>TOVA commission errors</w:t>
            </w:r>
          </w:p>
        </w:tc>
        <w:tc>
          <w:tcPr>
            <w:tcW w:w="0" w:type="auto"/>
          </w:tcPr>
          <w:p w14:paraId="7E5DF361" w14:textId="77777777" w:rsidR="00017940" w:rsidRPr="00017940" w:rsidRDefault="00017940" w:rsidP="00017940">
            <w:pPr>
              <w:pStyle w:val="NoSpacing"/>
            </w:pPr>
            <w:r w:rsidRPr="00017940">
              <w:t>.56</w:t>
            </w:r>
          </w:p>
        </w:tc>
        <w:tc>
          <w:tcPr>
            <w:tcW w:w="0" w:type="auto"/>
          </w:tcPr>
          <w:p w14:paraId="754ED6BB" w14:textId="77777777" w:rsidR="00017940" w:rsidRPr="00017940" w:rsidRDefault="00017940" w:rsidP="00017940">
            <w:pPr>
              <w:pStyle w:val="NoSpacing"/>
            </w:pPr>
            <w:r w:rsidRPr="00017940">
              <w:t>.15</w:t>
            </w:r>
          </w:p>
        </w:tc>
        <w:tc>
          <w:tcPr>
            <w:tcW w:w="0" w:type="auto"/>
          </w:tcPr>
          <w:p w14:paraId="6C90C5EF" w14:textId="77777777" w:rsidR="00017940" w:rsidRPr="00017940" w:rsidRDefault="00017940" w:rsidP="00017940">
            <w:pPr>
              <w:pStyle w:val="NoSpacing"/>
            </w:pPr>
            <w:r w:rsidRPr="00017940">
              <w:t>[.48, .63]</w:t>
            </w:r>
          </w:p>
        </w:tc>
      </w:tr>
      <w:tr w:rsidR="00017940" w:rsidRPr="00017940" w14:paraId="087ABDA6" w14:textId="77777777" w:rsidTr="008E6217">
        <w:trPr>
          <w:trHeight w:val="181"/>
        </w:trPr>
        <w:tc>
          <w:tcPr>
            <w:tcW w:w="0" w:type="auto"/>
          </w:tcPr>
          <w:p w14:paraId="500630AD" w14:textId="77777777" w:rsidR="00017940" w:rsidRPr="00017940" w:rsidRDefault="00017940" w:rsidP="00017940">
            <w:pPr>
              <w:pStyle w:val="NoSpacing"/>
              <w:rPr>
                <w:b/>
                <w:bCs/>
              </w:rPr>
            </w:pPr>
            <w:r w:rsidRPr="00017940">
              <w:rPr>
                <w:b/>
                <w:bCs/>
              </w:rPr>
              <w:t>TOVA omission errors</w:t>
            </w:r>
          </w:p>
        </w:tc>
        <w:tc>
          <w:tcPr>
            <w:tcW w:w="0" w:type="auto"/>
          </w:tcPr>
          <w:p w14:paraId="188636EA" w14:textId="77777777" w:rsidR="00017940" w:rsidRPr="00017940" w:rsidRDefault="00017940" w:rsidP="00017940">
            <w:pPr>
              <w:pStyle w:val="NoSpacing"/>
              <w:rPr>
                <w:b/>
                <w:bCs/>
              </w:rPr>
            </w:pPr>
            <w:r w:rsidRPr="00017940">
              <w:rPr>
                <w:b/>
                <w:bCs/>
              </w:rPr>
              <w:t>.66</w:t>
            </w:r>
          </w:p>
        </w:tc>
        <w:tc>
          <w:tcPr>
            <w:tcW w:w="0" w:type="auto"/>
          </w:tcPr>
          <w:p w14:paraId="6FF56F38" w14:textId="77777777" w:rsidR="00017940" w:rsidRPr="00017940" w:rsidRDefault="00017940" w:rsidP="00017940">
            <w:pPr>
              <w:pStyle w:val="NoSpacing"/>
              <w:rPr>
                <w:b/>
                <w:bCs/>
              </w:rPr>
            </w:pPr>
            <w:r w:rsidRPr="00017940">
              <w:t>&lt;</w:t>
            </w:r>
            <w:r w:rsidRPr="00017940">
              <w:rPr>
                <w:b/>
                <w:bCs/>
              </w:rPr>
              <w:t>.001</w:t>
            </w:r>
          </w:p>
        </w:tc>
        <w:tc>
          <w:tcPr>
            <w:tcW w:w="0" w:type="auto"/>
          </w:tcPr>
          <w:p w14:paraId="35B8AABC" w14:textId="77777777" w:rsidR="00017940" w:rsidRPr="00017940" w:rsidRDefault="00017940" w:rsidP="00017940">
            <w:pPr>
              <w:pStyle w:val="NoSpacing"/>
              <w:rPr>
                <w:b/>
                <w:bCs/>
                <w:vertAlign w:val="superscript"/>
              </w:rPr>
            </w:pPr>
            <w:r w:rsidRPr="00017940">
              <w:t>[</w:t>
            </w:r>
            <w:r w:rsidRPr="00017940">
              <w:rPr>
                <w:b/>
                <w:bCs/>
              </w:rPr>
              <w:t>.59, .</w:t>
            </w:r>
            <w:proofErr w:type="gramStart"/>
            <w:r w:rsidRPr="00017940">
              <w:rPr>
                <w:b/>
                <w:bCs/>
              </w:rPr>
              <w:t>73</w:t>
            </w:r>
            <w:r w:rsidRPr="00017940">
              <w:t>]</w:t>
            </w:r>
            <w:proofErr w:type="spellStart"/>
            <w:r w:rsidRPr="00017940">
              <w:rPr>
                <w:b/>
                <w:bCs/>
                <w:vertAlign w:val="superscript"/>
              </w:rPr>
              <w:t>a</w:t>
            </w:r>
            <w:proofErr w:type="gramEnd"/>
            <w:r w:rsidRPr="00017940">
              <w:rPr>
                <w:b/>
                <w:bCs/>
                <w:vertAlign w:val="superscript"/>
              </w:rPr>
              <w:t>,b</w:t>
            </w:r>
            <w:proofErr w:type="spellEnd"/>
          </w:p>
        </w:tc>
      </w:tr>
      <w:tr w:rsidR="00017940" w:rsidRPr="00017940" w14:paraId="34DE5A82" w14:textId="77777777" w:rsidTr="008E6217">
        <w:trPr>
          <w:trHeight w:val="181"/>
        </w:trPr>
        <w:tc>
          <w:tcPr>
            <w:tcW w:w="0" w:type="auto"/>
          </w:tcPr>
          <w:p w14:paraId="67CA4A7D" w14:textId="77777777" w:rsidR="00017940" w:rsidRPr="00017940" w:rsidRDefault="00017940" w:rsidP="00017940">
            <w:pPr>
              <w:pStyle w:val="NoSpacing"/>
              <w:rPr>
                <w:b/>
                <w:bCs/>
              </w:rPr>
            </w:pPr>
            <w:r w:rsidRPr="00017940">
              <w:rPr>
                <w:b/>
                <w:bCs/>
              </w:rPr>
              <w:t xml:space="preserve">TOVA </w:t>
            </w:r>
            <w:r w:rsidRPr="00017940">
              <w:rPr>
                <w:b/>
                <w:bCs/>
                <w:i/>
                <w:iCs/>
              </w:rPr>
              <w:t>d</w:t>
            </w:r>
            <w:r w:rsidRPr="00017940">
              <w:rPr>
                <w:b/>
                <w:bCs/>
              </w:rPr>
              <w:t>-prime</w:t>
            </w:r>
          </w:p>
        </w:tc>
        <w:tc>
          <w:tcPr>
            <w:tcW w:w="0" w:type="auto"/>
          </w:tcPr>
          <w:p w14:paraId="56989EA9" w14:textId="77777777" w:rsidR="00017940" w:rsidRPr="00017940" w:rsidRDefault="00017940" w:rsidP="00017940">
            <w:pPr>
              <w:pStyle w:val="NoSpacing"/>
              <w:rPr>
                <w:b/>
                <w:bCs/>
              </w:rPr>
            </w:pPr>
            <w:r w:rsidRPr="00017940">
              <w:rPr>
                <w:b/>
                <w:bCs/>
              </w:rPr>
              <w:t>.64</w:t>
            </w:r>
          </w:p>
        </w:tc>
        <w:tc>
          <w:tcPr>
            <w:tcW w:w="0" w:type="auto"/>
          </w:tcPr>
          <w:p w14:paraId="380B9FE6" w14:textId="77777777" w:rsidR="00017940" w:rsidRPr="00017940" w:rsidRDefault="00017940" w:rsidP="00017940">
            <w:pPr>
              <w:pStyle w:val="NoSpacing"/>
              <w:rPr>
                <w:b/>
                <w:bCs/>
              </w:rPr>
            </w:pPr>
            <w:r w:rsidRPr="00017940">
              <w:t>&lt;</w:t>
            </w:r>
            <w:r w:rsidRPr="00017940">
              <w:rPr>
                <w:b/>
                <w:bCs/>
              </w:rPr>
              <w:t>.001</w:t>
            </w:r>
          </w:p>
        </w:tc>
        <w:tc>
          <w:tcPr>
            <w:tcW w:w="0" w:type="auto"/>
          </w:tcPr>
          <w:p w14:paraId="3102009D" w14:textId="77777777" w:rsidR="00017940" w:rsidRPr="00017940" w:rsidRDefault="00017940" w:rsidP="00017940">
            <w:pPr>
              <w:pStyle w:val="NoSpacing"/>
              <w:rPr>
                <w:b/>
                <w:bCs/>
                <w:vertAlign w:val="superscript"/>
              </w:rPr>
            </w:pPr>
            <w:r w:rsidRPr="00017940">
              <w:t>[</w:t>
            </w:r>
            <w:r w:rsidRPr="00017940">
              <w:rPr>
                <w:b/>
                <w:bCs/>
              </w:rPr>
              <w:t>.57, .</w:t>
            </w:r>
            <w:proofErr w:type="gramStart"/>
            <w:r w:rsidRPr="00017940">
              <w:rPr>
                <w:b/>
                <w:bCs/>
              </w:rPr>
              <w:t>72</w:t>
            </w:r>
            <w:r w:rsidRPr="00017940">
              <w:t>]</w:t>
            </w:r>
            <w:proofErr w:type="spellStart"/>
            <w:r w:rsidRPr="00017940">
              <w:rPr>
                <w:b/>
                <w:bCs/>
                <w:vertAlign w:val="superscript"/>
              </w:rPr>
              <w:t>a</w:t>
            </w:r>
            <w:proofErr w:type="gramEnd"/>
            <w:r w:rsidRPr="00017940">
              <w:rPr>
                <w:b/>
                <w:bCs/>
                <w:vertAlign w:val="superscript"/>
              </w:rPr>
              <w:t>,b</w:t>
            </w:r>
            <w:proofErr w:type="spellEnd"/>
          </w:p>
        </w:tc>
      </w:tr>
      <w:tr w:rsidR="00017940" w:rsidRPr="00017940" w14:paraId="4CABED55" w14:textId="77777777" w:rsidTr="008E6217">
        <w:trPr>
          <w:trHeight w:val="184"/>
        </w:trPr>
        <w:tc>
          <w:tcPr>
            <w:tcW w:w="0" w:type="auto"/>
          </w:tcPr>
          <w:p w14:paraId="5142EE0A" w14:textId="77777777" w:rsidR="00017940" w:rsidRPr="00017940" w:rsidRDefault="00017940" w:rsidP="00017940">
            <w:pPr>
              <w:pStyle w:val="NoSpacing"/>
              <w:rPr>
                <w:b/>
                <w:bCs/>
              </w:rPr>
            </w:pPr>
            <w:r w:rsidRPr="00017940">
              <w:rPr>
                <w:b/>
                <w:bCs/>
              </w:rPr>
              <w:t>Numbers and letters speed</w:t>
            </w:r>
          </w:p>
        </w:tc>
        <w:tc>
          <w:tcPr>
            <w:tcW w:w="0" w:type="auto"/>
          </w:tcPr>
          <w:p w14:paraId="0FB2D40C" w14:textId="77777777" w:rsidR="00017940" w:rsidRPr="00017940" w:rsidRDefault="00017940" w:rsidP="00017940">
            <w:pPr>
              <w:pStyle w:val="NoSpacing"/>
              <w:rPr>
                <w:b/>
                <w:bCs/>
              </w:rPr>
            </w:pPr>
            <w:r w:rsidRPr="00017940">
              <w:rPr>
                <w:b/>
                <w:bCs/>
              </w:rPr>
              <w:t>.59</w:t>
            </w:r>
          </w:p>
        </w:tc>
        <w:tc>
          <w:tcPr>
            <w:tcW w:w="0" w:type="auto"/>
          </w:tcPr>
          <w:p w14:paraId="5A7D7EBD" w14:textId="77777777" w:rsidR="00017940" w:rsidRPr="00017940" w:rsidRDefault="00017940" w:rsidP="00017940">
            <w:pPr>
              <w:pStyle w:val="NoSpacing"/>
              <w:rPr>
                <w:b/>
                <w:bCs/>
              </w:rPr>
            </w:pPr>
            <w:r w:rsidRPr="00017940">
              <w:rPr>
                <w:b/>
                <w:bCs/>
              </w:rPr>
              <w:t>.04</w:t>
            </w:r>
          </w:p>
        </w:tc>
        <w:tc>
          <w:tcPr>
            <w:tcW w:w="0" w:type="auto"/>
          </w:tcPr>
          <w:p w14:paraId="1B740336" w14:textId="77777777" w:rsidR="00017940" w:rsidRPr="00017940" w:rsidRDefault="00017940" w:rsidP="00017940">
            <w:pPr>
              <w:pStyle w:val="NoSpacing"/>
              <w:rPr>
                <w:vertAlign w:val="superscript"/>
              </w:rPr>
            </w:pPr>
            <w:r w:rsidRPr="00017940">
              <w:t>[</w:t>
            </w:r>
            <w:r w:rsidRPr="00017940">
              <w:rPr>
                <w:b/>
                <w:bCs/>
              </w:rPr>
              <w:t>.51, .</w:t>
            </w:r>
            <w:proofErr w:type="gramStart"/>
            <w:r w:rsidRPr="00017940">
              <w:rPr>
                <w:b/>
                <w:bCs/>
              </w:rPr>
              <w:t>67</w:t>
            </w:r>
            <w:r w:rsidRPr="00017940">
              <w:t>]</w:t>
            </w:r>
            <w:r w:rsidRPr="00017940">
              <w:rPr>
                <w:vertAlign w:val="superscript"/>
              </w:rPr>
              <w:t>a</w:t>
            </w:r>
            <w:proofErr w:type="gramEnd"/>
          </w:p>
        </w:tc>
      </w:tr>
      <w:tr w:rsidR="00017940" w:rsidRPr="00017940" w14:paraId="31078315" w14:textId="77777777" w:rsidTr="008E6217">
        <w:trPr>
          <w:trHeight w:val="224"/>
        </w:trPr>
        <w:tc>
          <w:tcPr>
            <w:tcW w:w="0" w:type="auto"/>
          </w:tcPr>
          <w:p w14:paraId="7ABCB0FD" w14:textId="77777777" w:rsidR="00017940" w:rsidRPr="00017940" w:rsidRDefault="00017940" w:rsidP="00017940">
            <w:pPr>
              <w:pStyle w:val="NoSpacing"/>
            </w:pPr>
            <w:r w:rsidRPr="00017940">
              <w:t>Numbers and letters efficiency</w:t>
            </w:r>
          </w:p>
        </w:tc>
        <w:tc>
          <w:tcPr>
            <w:tcW w:w="0" w:type="auto"/>
          </w:tcPr>
          <w:p w14:paraId="33DED551" w14:textId="77777777" w:rsidR="00017940" w:rsidRPr="00017940" w:rsidRDefault="00017940" w:rsidP="00017940">
            <w:pPr>
              <w:pStyle w:val="NoSpacing"/>
            </w:pPr>
            <w:r w:rsidRPr="00017940">
              <w:t>.43</w:t>
            </w:r>
          </w:p>
        </w:tc>
        <w:tc>
          <w:tcPr>
            <w:tcW w:w="0" w:type="auto"/>
          </w:tcPr>
          <w:p w14:paraId="06AA6490" w14:textId="77777777" w:rsidR="00017940" w:rsidRPr="00017940" w:rsidRDefault="00017940" w:rsidP="00017940">
            <w:pPr>
              <w:pStyle w:val="NoSpacing"/>
            </w:pPr>
            <w:r w:rsidRPr="00017940">
              <w:t>.07</w:t>
            </w:r>
          </w:p>
        </w:tc>
        <w:tc>
          <w:tcPr>
            <w:tcW w:w="0" w:type="auto"/>
          </w:tcPr>
          <w:p w14:paraId="51E09D83" w14:textId="77777777" w:rsidR="00017940" w:rsidRPr="00017940" w:rsidRDefault="00017940" w:rsidP="00017940">
            <w:pPr>
              <w:pStyle w:val="NoSpacing"/>
            </w:pPr>
            <w:r w:rsidRPr="00017940">
              <w:t>[.36, .50]</w:t>
            </w:r>
          </w:p>
        </w:tc>
      </w:tr>
    </w:tbl>
    <w:p w14:paraId="3C692807" w14:textId="77777777" w:rsidR="00D52575" w:rsidRDefault="00D52575" w:rsidP="00D52575">
      <w:pPr>
        <w:pStyle w:val="NoSpacing"/>
      </w:pPr>
      <w:r w:rsidRPr="00D52575">
        <w:rPr>
          <w:b/>
          <w:bCs/>
        </w:rPr>
        <w:t>Note.</w:t>
      </w:r>
      <w:r w:rsidRPr="00D52575">
        <w:t xml:space="preserve"> Bolded measures had AUC scores significantly greater than .50.</w:t>
      </w:r>
      <w:r>
        <w:rPr>
          <w:rFonts w:ascii="Times-Roman" w:hAnsi="Times-Roman" w:cs="Times-Roman"/>
          <w:sz w:val="16"/>
          <w:szCs w:val="16"/>
        </w:rPr>
        <w:t xml:space="preserve"> </w:t>
      </w:r>
      <w:r>
        <w:t xml:space="preserve">ADHD </w:t>
      </w:r>
      <w:r>
        <w:rPr>
          <w:rFonts w:ascii="Universal-GreekwithMathPi" w:hAnsi="Universal-GreekwithMathPi" w:cs="Universal-GreekwithMathPi"/>
        </w:rPr>
        <w:t xml:space="preserve">= </w:t>
      </w:r>
      <w:r>
        <w:t xml:space="preserve">attention-deficit/hyperactivity disorder; AUC </w:t>
      </w:r>
      <w:r>
        <w:rPr>
          <w:rFonts w:ascii="Universal-GreekwithMathPi" w:hAnsi="Universal-GreekwithMathPi" w:cs="Universal-GreekwithMathPi"/>
        </w:rPr>
        <w:t xml:space="preserve">= </w:t>
      </w:r>
      <w:r>
        <w:t xml:space="preserve">area under the curve; CVLT </w:t>
      </w:r>
      <w:r>
        <w:rPr>
          <w:rFonts w:ascii="Universal-GreekwithMathPi" w:hAnsi="Universal-GreekwithMathPi" w:cs="Universal-GreekwithMathPi"/>
        </w:rPr>
        <w:t xml:space="preserve">= </w:t>
      </w:r>
      <w:r>
        <w:t xml:space="preserve">California Verbal Learning Test; WMS </w:t>
      </w:r>
      <w:r>
        <w:rPr>
          <w:rFonts w:ascii="Universal-GreekwithMathPi" w:hAnsi="Universal-GreekwithMathPi" w:cs="Universal-GreekwithMathPi"/>
        </w:rPr>
        <w:t xml:space="preserve">= </w:t>
      </w:r>
      <w:r>
        <w:t xml:space="preserve">Wechsler Memory Scales; PASAT </w:t>
      </w:r>
      <w:r>
        <w:rPr>
          <w:rFonts w:ascii="Universal-GreekwithMathPi" w:hAnsi="Universal-GreekwithMathPi" w:cs="Universal-GreekwithMathPi"/>
        </w:rPr>
        <w:t xml:space="preserve">= </w:t>
      </w:r>
      <w:r>
        <w:t xml:space="preserve">Paced Auditory Serial Addition Test; TOVA </w:t>
      </w:r>
      <w:r>
        <w:rPr>
          <w:rFonts w:ascii="Universal-GreekwithMathPi" w:hAnsi="Universal-GreekwithMathPi" w:cs="Universal-GreekwithMathPi"/>
        </w:rPr>
        <w:t xml:space="preserve">= </w:t>
      </w:r>
      <w:r>
        <w:t xml:space="preserve">Test of Variables of Attention. </w:t>
      </w:r>
    </w:p>
    <w:p w14:paraId="2E826CAF" w14:textId="059190B5" w:rsidR="00D52575" w:rsidRDefault="00D52575" w:rsidP="00D52575">
      <w:pPr>
        <w:pStyle w:val="NoSpacing"/>
      </w:pPr>
      <w:r w:rsidRPr="00D52575">
        <w:rPr>
          <w:vertAlign w:val="superscript"/>
        </w:rPr>
        <w:t>a</w:t>
      </w:r>
      <w:r>
        <w:rPr>
          <w:sz w:val="10"/>
          <w:szCs w:val="10"/>
        </w:rPr>
        <w:t xml:space="preserve"> </w:t>
      </w:r>
      <w:r>
        <w:t xml:space="preserve">Scores indicate significant AUC in analyses examining ADHD versus controls. </w:t>
      </w:r>
    </w:p>
    <w:p w14:paraId="4724CC57" w14:textId="3B41E4BC" w:rsidR="00F401FB" w:rsidRDefault="00D52575" w:rsidP="00D52575">
      <w:pPr>
        <w:pStyle w:val="NoSpacing"/>
      </w:pPr>
      <w:r w:rsidRPr="00D52575">
        <w:rPr>
          <w:vertAlign w:val="superscript"/>
        </w:rPr>
        <w:t>b</w:t>
      </w:r>
      <w:r>
        <w:rPr>
          <w:sz w:val="10"/>
          <w:szCs w:val="10"/>
        </w:rPr>
        <w:t xml:space="preserve"> </w:t>
      </w:r>
      <w:r>
        <w:t>Scores with indicate significant AUC in analyses examining ADHD versus depressed.</w:t>
      </w:r>
    </w:p>
    <w:p w14:paraId="69F0DB7B" w14:textId="77777777" w:rsidR="00B36252" w:rsidRPr="00F401FB" w:rsidRDefault="00B36252" w:rsidP="00D52575">
      <w:pPr>
        <w:pStyle w:val="NoSpacing"/>
      </w:pPr>
    </w:p>
    <w:p w14:paraId="1F8E916E" w14:textId="1499FC8B" w:rsidR="00152B2C" w:rsidRDefault="00152B2C" w:rsidP="00152B2C">
      <w:pPr>
        <w:pStyle w:val="Heading2"/>
      </w:pPr>
      <w:r>
        <w:t>Predicting Diagnostic Group Membership</w:t>
      </w:r>
    </w:p>
    <w:p w14:paraId="727A0AD4" w14:textId="3F4D75FF" w:rsidR="00152B2C" w:rsidRDefault="00152B2C" w:rsidP="00152B2C">
      <w:pPr>
        <w:pStyle w:val="Heading3"/>
      </w:pPr>
      <w:r>
        <w:t>ADHD versus non-ADHD</w:t>
      </w:r>
    </w:p>
    <w:p w14:paraId="19B49154" w14:textId="0F824FBA" w:rsidR="00B36252" w:rsidRDefault="00B36252" w:rsidP="00B36252">
      <w:pPr>
        <w:pStyle w:val="NoSpacing"/>
      </w:pPr>
      <w:r>
        <w:t xml:space="preserve">Stepwise binary logistic regression analyses were first used to examine these test measures as predictors of group status (ADHD vs. non-ADHD, including both individuals in the depressed and the control groups; </w:t>
      </w:r>
      <w:hyperlink r:id="rId84" w:anchor="tbl3" w:history="1">
        <w:r>
          <w:rPr>
            <w:rStyle w:val="Hyperlink"/>
          </w:rPr>
          <w:t>Table 3</w:t>
        </w:r>
      </w:hyperlink>
      <w:r>
        <w:t>). Findings indicated that the best-fitting model included five significant test measures as predictors of ADHD diagnostic status and improved model fit compared with the intercept-only model (omnibus χ</w:t>
      </w:r>
      <w:r>
        <w:rPr>
          <w:vertAlign w:val="superscript"/>
        </w:rPr>
        <w:t>2</w:t>
      </w:r>
      <w:r>
        <w:t xml:space="preserve"> = 44.7, </w:t>
      </w:r>
      <w:r>
        <w:rPr>
          <w:rStyle w:val="Emphasis"/>
        </w:rPr>
        <w:t>p</w:t>
      </w:r>
      <w:r>
        <w:t xml:space="preserve"> &lt; .001; Hosmer and </w:t>
      </w:r>
      <w:proofErr w:type="spellStart"/>
      <w:r>
        <w:t>Lemeshow</w:t>
      </w:r>
      <w:proofErr w:type="spellEnd"/>
      <w:r>
        <w:t xml:space="preserve"> χ</w:t>
      </w:r>
      <w:r>
        <w:rPr>
          <w:rStyle w:val="Emphasis"/>
          <w:vertAlign w:val="superscript"/>
        </w:rPr>
        <w:t>2</w:t>
      </w:r>
      <w:r>
        <w:t xml:space="preserve"> = 11.2, </w:t>
      </w:r>
      <w:r>
        <w:rPr>
          <w:rStyle w:val="Emphasis"/>
        </w:rPr>
        <w:t>p</w:t>
      </w:r>
      <w:r>
        <w:t xml:space="preserve"> = .19; </w:t>
      </w:r>
      <w:proofErr w:type="spellStart"/>
      <w:r>
        <w:t>Nagelkerke</w:t>
      </w:r>
      <w:proofErr w:type="spellEnd"/>
      <w:r>
        <w:t xml:space="preserve"> </w:t>
      </w:r>
      <w:r>
        <w:rPr>
          <w:rStyle w:val="Emphasis"/>
        </w:rPr>
        <w:t>R</w:t>
      </w:r>
      <w:r>
        <w:rPr>
          <w:vertAlign w:val="superscript"/>
        </w:rPr>
        <w:t>2</w:t>
      </w:r>
      <w:r>
        <w:t xml:space="preserve"> = .23). Examination of parameters indicated that worse performance (indexed by higher scores) on CVLT short-delay free recall (β = .33, </w:t>
      </w:r>
      <w:r>
        <w:rPr>
          <w:rStyle w:val="Emphasis"/>
        </w:rPr>
        <w:t>p</w:t>
      </w:r>
      <w:r>
        <w:t xml:space="preserve"> = .029, odds ratio (</w:t>
      </w:r>
      <w:r>
        <w:rPr>
          <w:rStyle w:val="Emphasis"/>
        </w:rPr>
        <w:t>OR</w:t>
      </w:r>
      <w:r>
        <w:t xml:space="preserve">) = 1.4, 95% CI [1.03, 1.9]), Salthouse Listening Span trials (β = .35, </w:t>
      </w:r>
      <w:r>
        <w:rPr>
          <w:rStyle w:val="Emphasis"/>
        </w:rPr>
        <w:t>p</w:t>
      </w:r>
      <w:r>
        <w:t xml:space="preserve"> = .021, </w:t>
      </w:r>
      <w:r>
        <w:rPr>
          <w:rStyle w:val="Emphasis"/>
        </w:rPr>
        <w:t>OR</w:t>
      </w:r>
      <w:r>
        <w:t xml:space="preserve"> = 1.4, 95% CI [1.1, 1.9]), DKEFS CWIT inhibition/switching (β = .37, </w:t>
      </w:r>
      <w:r>
        <w:rPr>
          <w:rStyle w:val="Emphasis"/>
        </w:rPr>
        <w:t>p</w:t>
      </w:r>
      <w:r>
        <w:t xml:space="preserve"> = .012, </w:t>
      </w:r>
      <w:r>
        <w:rPr>
          <w:rStyle w:val="Emphasis"/>
        </w:rPr>
        <w:t>OR</w:t>
      </w:r>
      <w:r>
        <w:t xml:space="preserve"> = 1.5, 95% CI [1.1, 1.9]), TOVA RT variability (β = .36, </w:t>
      </w:r>
      <w:r>
        <w:rPr>
          <w:rStyle w:val="Emphasis"/>
        </w:rPr>
        <w:t>p</w:t>
      </w:r>
      <w:r>
        <w:t xml:space="preserve"> = .030, </w:t>
      </w:r>
      <w:r>
        <w:rPr>
          <w:rStyle w:val="Emphasis"/>
        </w:rPr>
        <w:t>OR</w:t>
      </w:r>
      <w:r>
        <w:t xml:space="preserve"> = 1.4, 95% CI [1.0, 2.0]), and TOVA omission errors (β = .43, </w:t>
      </w:r>
      <w:r>
        <w:rPr>
          <w:rStyle w:val="Emphasis"/>
        </w:rPr>
        <w:t>p</w:t>
      </w:r>
      <w:r>
        <w:t xml:space="preserve"> = .01, </w:t>
      </w:r>
      <w:r>
        <w:rPr>
          <w:rStyle w:val="Emphasis"/>
        </w:rPr>
        <w:t>OR</w:t>
      </w:r>
      <w:r>
        <w:t xml:space="preserve"> = 1.5, 95% [CI 1.1, 2.1]) all significantly and </w:t>
      </w:r>
      <w:r>
        <w:lastRenderedPageBreak/>
        <w:t>incrementally predicted membership in the ADHD group compared with the non-ADHD group, with an overall classification accuracy of 72.1%.</w:t>
      </w:r>
    </w:p>
    <w:p w14:paraId="15394872" w14:textId="519D07E4" w:rsidR="00831AE9" w:rsidRDefault="00831AE9" w:rsidP="00B36252">
      <w:pPr>
        <w:pStyle w:val="NoSpacing"/>
      </w:pPr>
    </w:p>
    <w:p w14:paraId="1044A4CD" w14:textId="29CCCE72" w:rsidR="00831AE9" w:rsidRDefault="00831AE9" w:rsidP="00831AE9">
      <w:pPr>
        <w:pStyle w:val="NoSpacing"/>
      </w:pPr>
      <w:r w:rsidRPr="00831AE9">
        <w:rPr>
          <w:b/>
          <w:bCs/>
        </w:rPr>
        <w:t>Table 3.</w:t>
      </w:r>
      <w:r w:rsidRPr="00831AE9">
        <w:t xml:space="preserve"> Neurocognitive Test Measures as Predictors of ADHD Diagnostic Groupings: Stepwise Logistic Regression Analyses</w:t>
      </w:r>
    </w:p>
    <w:p w14:paraId="5BD68182" w14:textId="5EFB762E" w:rsidR="004A5455" w:rsidRPr="004A5455" w:rsidRDefault="004A5455" w:rsidP="004A5455">
      <w:pPr>
        <w:pStyle w:val="NoSpacing"/>
      </w:pPr>
    </w:p>
    <w:tbl>
      <w:tblPr>
        <w:tblStyle w:val="TableGridLight"/>
        <w:tblW w:w="0" w:type="auto"/>
        <w:tblLook w:val="0020" w:firstRow="1" w:lastRow="0" w:firstColumn="0" w:lastColumn="0" w:noHBand="0" w:noVBand="0"/>
      </w:tblPr>
      <w:tblGrid>
        <w:gridCol w:w="2898"/>
        <w:gridCol w:w="495"/>
        <w:gridCol w:w="878"/>
        <w:gridCol w:w="495"/>
        <w:gridCol w:w="1125"/>
      </w:tblGrid>
      <w:tr w:rsidR="004A5455" w:rsidRPr="004A5455" w14:paraId="1F4AA282" w14:textId="77777777" w:rsidTr="008E6217">
        <w:trPr>
          <w:trHeight w:val="265"/>
        </w:trPr>
        <w:tc>
          <w:tcPr>
            <w:tcW w:w="0" w:type="auto"/>
          </w:tcPr>
          <w:p w14:paraId="2DD27F4A" w14:textId="4A855FC2" w:rsidR="004A5455" w:rsidRPr="004A5455" w:rsidRDefault="004A5455" w:rsidP="004A5455">
            <w:pPr>
              <w:pStyle w:val="NoSpacing"/>
              <w:rPr>
                <w:b/>
                <w:bCs/>
              </w:rPr>
            </w:pPr>
            <w:r w:rsidRPr="004A5455">
              <w:rPr>
                <w:b/>
                <w:bCs/>
              </w:rPr>
              <w:t xml:space="preserve">Measure </w:t>
            </w:r>
          </w:p>
        </w:tc>
        <w:tc>
          <w:tcPr>
            <w:tcW w:w="0" w:type="auto"/>
          </w:tcPr>
          <w:p w14:paraId="486BA5C6" w14:textId="755F0BCB" w:rsidR="004A5455" w:rsidRPr="004A5455" w:rsidRDefault="004A5455" w:rsidP="004A5455">
            <w:pPr>
              <w:pStyle w:val="NoSpacing"/>
              <w:rPr>
                <w:b/>
                <w:bCs/>
              </w:rPr>
            </w:pPr>
            <w:r w:rsidRPr="004A5455">
              <w:rPr>
                <w:rFonts w:cstheme="minorHAnsi"/>
                <w:b/>
                <w:bCs/>
              </w:rPr>
              <w:t>β</w:t>
            </w:r>
          </w:p>
        </w:tc>
        <w:tc>
          <w:tcPr>
            <w:tcW w:w="0" w:type="auto"/>
          </w:tcPr>
          <w:p w14:paraId="64C38202" w14:textId="4B3C3BA7" w:rsidR="004A5455" w:rsidRPr="004A5455" w:rsidRDefault="004A5455" w:rsidP="004A5455">
            <w:pPr>
              <w:pStyle w:val="NoSpacing"/>
              <w:rPr>
                <w:b/>
                <w:bCs/>
              </w:rPr>
            </w:pPr>
            <w:r w:rsidRPr="004A5455">
              <w:rPr>
                <w:b/>
                <w:bCs/>
                <w:i/>
                <w:iCs/>
              </w:rPr>
              <w:t xml:space="preserve">p </w:t>
            </w:r>
            <w:r w:rsidRPr="004A5455">
              <w:rPr>
                <w:b/>
                <w:bCs/>
              </w:rPr>
              <w:t>value</w:t>
            </w:r>
          </w:p>
        </w:tc>
        <w:tc>
          <w:tcPr>
            <w:tcW w:w="0" w:type="auto"/>
          </w:tcPr>
          <w:p w14:paraId="3B5F61D7" w14:textId="4944BC1A" w:rsidR="004A5455" w:rsidRPr="004A5455" w:rsidRDefault="004A5455" w:rsidP="004A5455">
            <w:pPr>
              <w:pStyle w:val="NoSpacing"/>
              <w:rPr>
                <w:b/>
                <w:bCs/>
              </w:rPr>
            </w:pPr>
            <w:r w:rsidRPr="004A5455">
              <w:rPr>
                <w:b/>
                <w:bCs/>
                <w:i/>
                <w:iCs/>
              </w:rPr>
              <w:t xml:space="preserve">OR </w:t>
            </w:r>
          </w:p>
        </w:tc>
        <w:tc>
          <w:tcPr>
            <w:tcW w:w="0" w:type="auto"/>
          </w:tcPr>
          <w:p w14:paraId="7F69F78C" w14:textId="6CF10523" w:rsidR="004A5455" w:rsidRPr="004A5455" w:rsidRDefault="004A5455" w:rsidP="004A5455">
            <w:pPr>
              <w:pStyle w:val="NoSpacing"/>
              <w:rPr>
                <w:b/>
                <w:bCs/>
              </w:rPr>
            </w:pPr>
            <w:r w:rsidRPr="004A5455">
              <w:rPr>
                <w:b/>
                <w:bCs/>
              </w:rPr>
              <w:t>CI</w:t>
            </w:r>
          </w:p>
        </w:tc>
      </w:tr>
      <w:tr w:rsidR="004A5455" w:rsidRPr="004A5455" w14:paraId="2F69D0B8" w14:textId="77777777" w:rsidTr="008E6217">
        <w:trPr>
          <w:trHeight w:val="265"/>
        </w:trPr>
        <w:tc>
          <w:tcPr>
            <w:tcW w:w="0" w:type="auto"/>
          </w:tcPr>
          <w:p w14:paraId="4F3346F8" w14:textId="50A37C58" w:rsidR="004A5455" w:rsidRPr="004A5455" w:rsidRDefault="004A5455" w:rsidP="004A5455">
            <w:pPr>
              <w:pStyle w:val="NoSpacing"/>
            </w:pPr>
            <w:r w:rsidRPr="004A5455">
              <w:t>ADHD vs. non-ADHD</w:t>
            </w:r>
          </w:p>
        </w:tc>
        <w:tc>
          <w:tcPr>
            <w:tcW w:w="0" w:type="auto"/>
          </w:tcPr>
          <w:p w14:paraId="41E2860E" w14:textId="77777777" w:rsidR="004A5455" w:rsidRPr="004A5455" w:rsidRDefault="004A5455" w:rsidP="004A5455">
            <w:pPr>
              <w:pStyle w:val="NoSpacing"/>
            </w:pPr>
          </w:p>
        </w:tc>
        <w:tc>
          <w:tcPr>
            <w:tcW w:w="0" w:type="auto"/>
          </w:tcPr>
          <w:p w14:paraId="2A3D9071" w14:textId="77777777" w:rsidR="004A5455" w:rsidRPr="004A5455" w:rsidRDefault="004A5455" w:rsidP="004A5455">
            <w:pPr>
              <w:pStyle w:val="NoSpacing"/>
            </w:pPr>
          </w:p>
        </w:tc>
        <w:tc>
          <w:tcPr>
            <w:tcW w:w="0" w:type="auto"/>
          </w:tcPr>
          <w:p w14:paraId="16DB1239" w14:textId="77777777" w:rsidR="004A5455" w:rsidRPr="004A5455" w:rsidRDefault="004A5455" w:rsidP="004A5455">
            <w:pPr>
              <w:pStyle w:val="NoSpacing"/>
            </w:pPr>
          </w:p>
        </w:tc>
        <w:tc>
          <w:tcPr>
            <w:tcW w:w="0" w:type="auto"/>
          </w:tcPr>
          <w:p w14:paraId="7D3683C3" w14:textId="6F26E315" w:rsidR="004A5455" w:rsidRPr="004A5455" w:rsidRDefault="004A5455" w:rsidP="004A5455">
            <w:pPr>
              <w:pStyle w:val="NoSpacing"/>
            </w:pPr>
          </w:p>
        </w:tc>
      </w:tr>
      <w:tr w:rsidR="004A5455" w:rsidRPr="004A5455" w14:paraId="61E97499" w14:textId="77777777" w:rsidTr="008E6217">
        <w:trPr>
          <w:trHeight w:val="180"/>
        </w:trPr>
        <w:tc>
          <w:tcPr>
            <w:tcW w:w="0" w:type="auto"/>
          </w:tcPr>
          <w:p w14:paraId="0978E682" w14:textId="77777777" w:rsidR="004A5455" w:rsidRPr="004A5455" w:rsidRDefault="004A5455" w:rsidP="004A5455">
            <w:pPr>
              <w:pStyle w:val="NoSpacing"/>
            </w:pPr>
            <w:r w:rsidRPr="004A5455">
              <w:t>CVLT short delay</w:t>
            </w:r>
          </w:p>
        </w:tc>
        <w:tc>
          <w:tcPr>
            <w:tcW w:w="0" w:type="auto"/>
          </w:tcPr>
          <w:p w14:paraId="7E2FBD86" w14:textId="77777777" w:rsidR="004A5455" w:rsidRPr="004A5455" w:rsidRDefault="004A5455" w:rsidP="004A5455">
            <w:pPr>
              <w:pStyle w:val="NoSpacing"/>
            </w:pPr>
            <w:r w:rsidRPr="004A5455">
              <w:t>.33</w:t>
            </w:r>
          </w:p>
        </w:tc>
        <w:tc>
          <w:tcPr>
            <w:tcW w:w="0" w:type="auto"/>
          </w:tcPr>
          <w:p w14:paraId="0886B5A5" w14:textId="77777777" w:rsidR="004A5455" w:rsidRPr="004A5455" w:rsidRDefault="004A5455" w:rsidP="004A5455">
            <w:pPr>
              <w:pStyle w:val="NoSpacing"/>
            </w:pPr>
            <w:r w:rsidRPr="004A5455">
              <w:t>.029</w:t>
            </w:r>
          </w:p>
        </w:tc>
        <w:tc>
          <w:tcPr>
            <w:tcW w:w="0" w:type="auto"/>
          </w:tcPr>
          <w:p w14:paraId="32F32713" w14:textId="77777777" w:rsidR="004A5455" w:rsidRPr="004A5455" w:rsidRDefault="004A5455" w:rsidP="004A5455">
            <w:pPr>
              <w:pStyle w:val="NoSpacing"/>
            </w:pPr>
            <w:r w:rsidRPr="004A5455">
              <w:t>1.4</w:t>
            </w:r>
          </w:p>
        </w:tc>
        <w:tc>
          <w:tcPr>
            <w:tcW w:w="0" w:type="auto"/>
          </w:tcPr>
          <w:p w14:paraId="352EDD38" w14:textId="77777777" w:rsidR="004A5455" w:rsidRPr="004A5455" w:rsidRDefault="004A5455" w:rsidP="004A5455">
            <w:pPr>
              <w:pStyle w:val="NoSpacing"/>
            </w:pPr>
            <w:r w:rsidRPr="004A5455">
              <w:t>[1.03, 1.9]</w:t>
            </w:r>
          </w:p>
        </w:tc>
      </w:tr>
      <w:tr w:rsidR="004A5455" w:rsidRPr="004A5455" w14:paraId="6CC845AD" w14:textId="77777777" w:rsidTr="008E6217">
        <w:trPr>
          <w:trHeight w:val="180"/>
        </w:trPr>
        <w:tc>
          <w:tcPr>
            <w:tcW w:w="0" w:type="auto"/>
          </w:tcPr>
          <w:p w14:paraId="542B07D1" w14:textId="77777777" w:rsidR="004A5455" w:rsidRPr="004A5455" w:rsidRDefault="004A5455" w:rsidP="004A5455">
            <w:pPr>
              <w:pStyle w:val="NoSpacing"/>
            </w:pPr>
            <w:r w:rsidRPr="004A5455">
              <w:t>Listening span</w:t>
            </w:r>
          </w:p>
        </w:tc>
        <w:tc>
          <w:tcPr>
            <w:tcW w:w="0" w:type="auto"/>
          </w:tcPr>
          <w:p w14:paraId="11D7CEE5" w14:textId="77777777" w:rsidR="004A5455" w:rsidRPr="004A5455" w:rsidRDefault="004A5455" w:rsidP="004A5455">
            <w:pPr>
              <w:pStyle w:val="NoSpacing"/>
            </w:pPr>
            <w:r w:rsidRPr="004A5455">
              <w:t>.35</w:t>
            </w:r>
          </w:p>
        </w:tc>
        <w:tc>
          <w:tcPr>
            <w:tcW w:w="0" w:type="auto"/>
          </w:tcPr>
          <w:p w14:paraId="1F28E53C" w14:textId="77777777" w:rsidR="004A5455" w:rsidRPr="004A5455" w:rsidRDefault="004A5455" w:rsidP="004A5455">
            <w:pPr>
              <w:pStyle w:val="NoSpacing"/>
            </w:pPr>
            <w:r w:rsidRPr="004A5455">
              <w:t>.021</w:t>
            </w:r>
          </w:p>
        </w:tc>
        <w:tc>
          <w:tcPr>
            <w:tcW w:w="0" w:type="auto"/>
          </w:tcPr>
          <w:p w14:paraId="7EEEF18E" w14:textId="77777777" w:rsidR="004A5455" w:rsidRPr="004A5455" w:rsidRDefault="004A5455" w:rsidP="004A5455">
            <w:pPr>
              <w:pStyle w:val="NoSpacing"/>
            </w:pPr>
            <w:r w:rsidRPr="004A5455">
              <w:t>1.4</w:t>
            </w:r>
          </w:p>
        </w:tc>
        <w:tc>
          <w:tcPr>
            <w:tcW w:w="0" w:type="auto"/>
          </w:tcPr>
          <w:p w14:paraId="2FB5CEB8" w14:textId="77777777" w:rsidR="004A5455" w:rsidRPr="004A5455" w:rsidRDefault="004A5455" w:rsidP="004A5455">
            <w:pPr>
              <w:pStyle w:val="NoSpacing"/>
            </w:pPr>
            <w:r w:rsidRPr="004A5455">
              <w:t>[1.1, 1.9]</w:t>
            </w:r>
          </w:p>
        </w:tc>
      </w:tr>
      <w:tr w:rsidR="004A5455" w:rsidRPr="004A5455" w14:paraId="3F87442F" w14:textId="77777777" w:rsidTr="008E6217">
        <w:trPr>
          <w:trHeight w:val="180"/>
        </w:trPr>
        <w:tc>
          <w:tcPr>
            <w:tcW w:w="0" w:type="auto"/>
          </w:tcPr>
          <w:p w14:paraId="5A260012" w14:textId="77777777" w:rsidR="004A5455" w:rsidRPr="004A5455" w:rsidRDefault="004A5455" w:rsidP="004A5455">
            <w:pPr>
              <w:pStyle w:val="NoSpacing"/>
            </w:pPr>
            <w:r w:rsidRPr="004A5455">
              <w:t>CW inhibition/switching</w:t>
            </w:r>
          </w:p>
        </w:tc>
        <w:tc>
          <w:tcPr>
            <w:tcW w:w="0" w:type="auto"/>
          </w:tcPr>
          <w:p w14:paraId="7EDDA70D" w14:textId="77777777" w:rsidR="004A5455" w:rsidRPr="004A5455" w:rsidRDefault="004A5455" w:rsidP="004A5455">
            <w:pPr>
              <w:pStyle w:val="NoSpacing"/>
            </w:pPr>
            <w:r w:rsidRPr="004A5455">
              <w:t>.37</w:t>
            </w:r>
          </w:p>
        </w:tc>
        <w:tc>
          <w:tcPr>
            <w:tcW w:w="0" w:type="auto"/>
          </w:tcPr>
          <w:p w14:paraId="185E88DF" w14:textId="77777777" w:rsidR="004A5455" w:rsidRPr="004A5455" w:rsidRDefault="004A5455" w:rsidP="004A5455">
            <w:pPr>
              <w:pStyle w:val="NoSpacing"/>
            </w:pPr>
            <w:r w:rsidRPr="004A5455">
              <w:t>.012</w:t>
            </w:r>
          </w:p>
        </w:tc>
        <w:tc>
          <w:tcPr>
            <w:tcW w:w="0" w:type="auto"/>
          </w:tcPr>
          <w:p w14:paraId="7DB5A342" w14:textId="77777777" w:rsidR="004A5455" w:rsidRPr="004A5455" w:rsidRDefault="004A5455" w:rsidP="004A5455">
            <w:pPr>
              <w:pStyle w:val="NoSpacing"/>
            </w:pPr>
            <w:r w:rsidRPr="004A5455">
              <w:t>1.5</w:t>
            </w:r>
          </w:p>
        </w:tc>
        <w:tc>
          <w:tcPr>
            <w:tcW w:w="0" w:type="auto"/>
          </w:tcPr>
          <w:p w14:paraId="3C45096C" w14:textId="77777777" w:rsidR="004A5455" w:rsidRPr="004A5455" w:rsidRDefault="004A5455" w:rsidP="004A5455">
            <w:pPr>
              <w:pStyle w:val="NoSpacing"/>
            </w:pPr>
            <w:r w:rsidRPr="004A5455">
              <w:t>[1.1, 1.9]</w:t>
            </w:r>
          </w:p>
        </w:tc>
      </w:tr>
      <w:tr w:rsidR="004A5455" w:rsidRPr="004A5455" w14:paraId="0CA503B7" w14:textId="77777777" w:rsidTr="008E6217">
        <w:trPr>
          <w:trHeight w:val="180"/>
        </w:trPr>
        <w:tc>
          <w:tcPr>
            <w:tcW w:w="0" w:type="auto"/>
          </w:tcPr>
          <w:p w14:paraId="434F91A5" w14:textId="77777777" w:rsidR="004A5455" w:rsidRPr="004A5455" w:rsidRDefault="004A5455" w:rsidP="004A5455">
            <w:pPr>
              <w:pStyle w:val="NoSpacing"/>
            </w:pPr>
            <w:r w:rsidRPr="004A5455">
              <w:t>TOVA reaction time variability</w:t>
            </w:r>
          </w:p>
        </w:tc>
        <w:tc>
          <w:tcPr>
            <w:tcW w:w="0" w:type="auto"/>
          </w:tcPr>
          <w:p w14:paraId="5E934739" w14:textId="77777777" w:rsidR="004A5455" w:rsidRPr="004A5455" w:rsidRDefault="004A5455" w:rsidP="004A5455">
            <w:pPr>
              <w:pStyle w:val="NoSpacing"/>
            </w:pPr>
            <w:r w:rsidRPr="004A5455">
              <w:t>.36</w:t>
            </w:r>
          </w:p>
        </w:tc>
        <w:tc>
          <w:tcPr>
            <w:tcW w:w="0" w:type="auto"/>
          </w:tcPr>
          <w:p w14:paraId="53203F35" w14:textId="77777777" w:rsidR="004A5455" w:rsidRPr="004A5455" w:rsidRDefault="004A5455" w:rsidP="004A5455">
            <w:pPr>
              <w:pStyle w:val="NoSpacing"/>
            </w:pPr>
            <w:r w:rsidRPr="004A5455">
              <w:t>.030</w:t>
            </w:r>
          </w:p>
        </w:tc>
        <w:tc>
          <w:tcPr>
            <w:tcW w:w="0" w:type="auto"/>
          </w:tcPr>
          <w:p w14:paraId="1725A481" w14:textId="77777777" w:rsidR="004A5455" w:rsidRPr="004A5455" w:rsidRDefault="004A5455" w:rsidP="004A5455">
            <w:pPr>
              <w:pStyle w:val="NoSpacing"/>
            </w:pPr>
            <w:r w:rsidRPr="004A5455">
              <w:t>1.4</w:t>
            </w:r>
          </w:p>
        </w:tc>
        <w:tc>
          <w:tcPr>
            <w:tcW w:w="0" w:type="auto"/>
          </w:tcPr>
          <w:p w14:paraId="1A24B0F2" w14:textId="77777777" w:rsidR="004A5455" w:rsidRPr="004A5455" w:rsidRDefault="004A5455" w:rsidP="004A5455">
            <w:pPr>
              <w:pStyle w:val="NoSpacing"/>
            </w:pPr>
            <w:r w:rsidRPr="004A5455">
              <w:t>[1.1, 2.0]</w:t>
            </w:r>
          </w:p>
        </w:tc>
      </w:tr>
      <w:tr w:rsidR="004A5455" w:rsidRPr="004A5455" w14:paraId="64136F2D" w14:textId="77777777" w:rsidTr="008E6217">
        <w:trPr>
          <w:trHeight w:val="180"/>
        </w:trPr>
        <w:tc>
          <w:tcPr>
            <w:tcW w:w="0" w:type="auto"/>
          </w:tcPr>
          <w:p w14:paraId="318C481E" w14:textId="77777777" w:rsidR="004A5455" w:rsidRPr="004A5455" w:rsidRDefault="004A5455" w:rsidP="004A5455">
            <w:pPr>
              <w:pStyle w:val="NoSpacing"/>
            </w:pPr>
            <w:r w:rsidRPr="004A5455">
              <w:t>TOVA omission errors</w:t>
            </w:r>
          </w:p>
        </w:tc>
        <w:tc>
          <w:tcPr>
            <w:tcW w:w="0" w:type="auto"/>
          </w:tcPr>
          <w:p w14:paraId="6DB7690F" w14:textId="77777777" w:rsidR="004A5455" w:rsidRPr="004A5455" w:rsidRDefault="004A5455" w:rsidP="004A5455">
            <w:pPr>
              <w:pStyle w:val="NoSpacing"/>
            </w:pPr>
            <w:r w:rsidRPr="004A5455">
              <w:t>.43</w:t>
            </w:r>
          </w:p>
        </w:tc>
        <w:tc>
          <w:tcPr>
            <w:tcW w:w="0" w:type="auto"/>
          </w:tcPr>
          <w:p w14:paraId="30464D33" w14:textId="77777777" w:rsidR="004A5455" w:rsidRPr="004A5455" w:rsidRDefault="004A5455" w:rsidP="004A5455">
            <w:pPr>
              <w:pStyle w:val="NoSpacing"/>
            </w:pPr>
            <w:r w:rsidRPr="004A5455">
              <w:t>.010</w:t>
            </w:r>
          </w:p>
        </w:tc>
        <w:tc>
          <w:tcPr>
            <w:tcW w:w="0" w:type="auto"/>
          </w:tcPr>
          <w:p w14:paraId="140C74F9" w14:textId="77777777" w:rsidR="004A5455" w:rsidRPr="004A5455" w:rsidRDefault="004A5455" w:rsidP="004A5455">
            <w:pPr>
              <w:pStyle w:val="NoSpacing"/>
            </w:pPr>
            <w:r w:rsidRPr="004A5455">
              <w:t>1.5</w:t>
            </w:r>
          </w:p>
        </w:tc>
        <w:tc>
          <w:tcPr>
            <w:tcW w:w="0" w:type="auto"/>
          </w:tcPr>
          <w:p w14:paraId="3CF026F6" w14:textId="77777777" w:rsidR="004A5455" w:rsidRPr="004A5455" w:rsidRDefault="004A5455" w:rsidP="004A5455">
            <w:pPr>
              <w:pStyle w:val="NoSpacing"/>
            </w:pPr>
            <w:r w:rsidRPr="004A5455">
              <w:t>[1.1, 2.1]</w:t>
            </w:r>
          </w:p>
        </w:tc>
      </w:tr>
      <w:tr w:rsidR="004A5455" w:rsidRPr="004A5455" w14:paraId="64AA6D02" w14:textId="77777777" w:rsidTr="008E6217">
        <w:trPr>
          <w:trHeight w:val="180"/>
        </w:trPr>
        <w:tc>
          <w:tcPr>
            <w:tcW w:w="0" w:type="auto"/>
          </w:tcPr>
          <w:p w14:paraId="589CF9F2" w14:textId="77777777" w:rsidR="004A5455" w:rsidRPr="004A5455" w:rsidRDefault="004A5455" w:rsidP="004A5455">
            <w:pPr>
              <w:pStyle w:val="NoSpacing"/>
            </w:pPr>
            <w:r w:rsidRPr="004A5455">
              <w:t>ADHD vs. control</w:t>
            </w:r>
          </w:p>
        </w:tc>
        <w:tc>
          <w:tcPr>
            <w:tcW w:w="0" w:type="auto"/>
          </w:tcPr>
          <w:p w14:paraId="192DA8A3" w14:textId="77777777" w:rsidR="004A5455" w:rsidRPr="004A5455" w:rsidRDefault="004A5455" w:rsidP="004A5455">
            <w:pPr>
              <w:pStyle w:val="NoSpacing"/>
            </w:pPr>
          </w:p>
        </w:tc>
        <w:tc>
          <w:tcPr>
            <w:tcW w:w="0" w:type="auto"/>
          </w:tcPr>
          <w:p w14:paraId="07AB2207" w14:textId="77777777" w:rsidR="004A5455" w:rsidRPr="004A5455" w:rsidRDefault="004A5455" w:rsidP="004A5455">
            <w:pPr>
              <w:pStyle w:val="NoSpacing"/>
            </w:pPr>
          </w:p>
        </w:tc>
        <w:tc>
          <w:tcPr>
            <w:tcW w:w="0" w:type="auto"/>
          </w:tcPr>
          <w:p w14:paraId="4B450B7B" w14:textId="77777777" w:rsidR="004A5455" w:rsidRPr="004A5455" w:rsidRDefault="004A5455" w:rsidP="004A5455">
            <w:pPr>
              <w:pStyle w:val="NoSpacing"/>
            </w:pPr>
          </w:p>
        </w:tc>
        <w:tc>
          <w:tcPr>
            <w:tcW w:w="0" w:type="auto"/>
          </w:tcPr>
          <w:p w14:paraId="32D65C94" w14:textId="77777777" w:rsidR="004A5455" w:rsidRPr="004A5455" w:rsidRDefault="004A5455" w:rsidP="004A5455">
            <w:pPr>
              <w:pStyle w:val="NoSpacing"/>
            </w:pPr>
          </w:p>
        </w:tc>
      </w:tr>
      <w:tr w:rsidR="004A5455" w:rsidRPr="004A5455" w14:paraId="461784FE" w14:textId="77777777" w:rsidTr="008E6217">
        <w:trPr>
          <w:trHeight w:val="180"/>
        </w:trPr>
        <w:tc>
          <w:tcPr>
            <w:tcW w:w="0" w:type="auto"/>
          </w:tcPr>
          <w:p w14:paraId="7924DE5C" w14:textId="77777777" w:rsidR="004A5455" w:rsidRPr="004A5455" w:rsidRDefault="004A5455" w:rsidP="004A5455">
            <w:pPr>
              <w:pStyle w:val="NoSpacing"/>
            </w:pPr>
            <w:r w:rsidRPr="004A5455">
              <w:t>Listening Span</w:t>
            </w:r>
          </w:p>
        </w:tc>
        <w:tc>
          <w:tcPr>
            <w:tcW w:w="0" w:type="auto"/>
          </w:tcPr>
          <w:p w14:paraId="16735A33" w14:textId="77777777" w:rsidR="004A5455" w:rsidRPr="004A5455" w:rsidRDefault="004A5455" w:rsidP="004A5455">
            <w:pPr>
              <w:pStyle w:val="NoSpacing"/>
            </w:pPr>
            <w:r w:rsidRPr="004A5455">
              <w:t>.45</w:t>
            </w:r>
          </w:p>
        </w:tc>
        <w:tc>
          <w:tcPr>
            <w:tcW w:w="0" w:type="auto"/>
          </w:tcPr>
          <w:p w14:paraId="625803DB" w14:textId="77777777" w:rsidR="004A5455" w:rsidRPr="004A5455" w:rsidRDefault="004A5455" w:rsidP="004A5455">
            <w:pPr>
              <w:pStyle w:val="NoSpacing"/>
            </w:pPr>
            <w:r w:rsidRPr="004A5455">
              <w:t>.008</w:t>
            </w:r>
          </w:p>
        </w:tc>
        <w:tc>
          <w:tcPr>
            <w:tcW w:w="0" w:type="auto"/>
          </w:tcPr>
          <w:p w14:paraId="6598E4A3" w14:textId="77777777" w:rsidR="004A5455" w:rsidRPr="004A5455" w:rsidRDefault="004A5455" w:rsidP="004A5455">
            <w:pPr>
              <w:pStyle w:val="NoSpacing"/>
            </w:pPr>
            <w:r w:rsidRPr="004A5455">
              <w:t>1.6</w:t>
            </w:r>
          </w:p>
        </w:tc>
        <w:tc>
          <w:tcPr>
            <w:tcW w:w="0" w:type="auto"/>
          </w:tcPr>
          <w:p w14:paraId="358839A0" w14:textId="77777777" w:rsidR="004A5455" w:rsidRPr="004A5455" w:rsidRDefault="004A5455" w:rsidP="004A5455">
            <w:pPr>
              <w:pStyle w:val="NoSpacing"/>
            </w:pPr>
            <w:r w:rsidRPr="004A5455">
              <w:t>[1.1, 2.2]</w:t>
            </w:r>
          </w:p>
        </w:tc>
      </w:tr>
      <w:tr w:rsidR="004A5455" w:rsidRPr="004A5455" w14:paraId="12B5BA13" w14:textId="77777777" w:rsidTr="008E6217">
        <w:trPr>
          <w:trHeight w:val="181"/>
        </w:trPr>
        <w:tc>
          <w:tcPr>
            <w:tcW w:w="0" w:type="auto"/>
          </w:tcPr>
          <w:p w14:paraId="0F55E443" w14:textId="77777777" w:rsidR="004A5455" w:rsidRPr="004A5455" w:rsidRDefault="004A5455" w:rsidP="004A5455">
            <w:pPr>
              <w:pStyle w:val="NoSpacing"/>
            </w:pPr>
            <w:r w:rsidRPr="004A5455">
              <w:t>TOVA omission errors</w:t>
            </w:r>
          </w:p>
        </w:tc>
        <w:tc>
          <w:tcPr>
            <w:tcW w:w="0" w:type="auto"/>
          </w:tcPr>
          <w:p w14:paraId="6D22859A" w14:textId="77777777" w:rsidR="004A5455" w:rsidRPr="004A5455" w:rsidRDefault="004A5455" w:rsidP="004A5455">
            <w:pPr>
              <w:pStyle w:val="NoSpacing"/>
            </w:pPr>
            <w:r w:rsidRPr="004A5455">
              <w:t>.73</w:t>
            </w:r>
          </w:p>
        </w:tc>
        <w:tc>
          <w:tcPr>
            <w:tcW w:w="0" w:type="auto"/>
          </w:tcPr>
          <w:p w14:paraId="606C45AD" w14:textId="77777777" w:rsidR="004A5455" w:rsidRPr="004A5455" w:rsidRDefault="004A5455" w:rsidP="004A5455">
            <w:pPr>
              <w:pStyle w:val="NoSpacing"/>
            </w:pPr>
            <w:r w:rsidRPr="004A5455">
              <w:t>&lt;.001</w:t>
            </w:r>
          </w:p>
        </w:tc>
        <w:tc>
          <w:tcPr>
            <w:tcW w:w="0" w:type="auto"/>
          </w:tcPr>
          <w:p w14:paraId="34B9EADF" w14:textId="77777777" w:rsidR="004A5455" w:rsidRPr="004A5455" w:rsidRDefault="004A5455" w:rsidP="004A5455">
            <w:pPr>
              <w:pStyle w:val="NoSpacing"/>
            </w:pPr>
            <w:r w:rsidRPr="004A5455">
              <w:t>2.1</w:t>
            </w:r>
          </w:p>
        </w:tc>
        <w:tc>
          <w:tcPr>
            <w:tcW w:w="0" w:type="auto"/>
          </w:tcPr>
          <w:p w14:paraId="5B742B80" w14:textId="77777777" w:rsidR="004A5455" w:rsidRPr="004A5455" w:rsidRDefault="004A5455" w:rsidP="004A5455">
            <w:pPr>
              <w:pStyle w:val="NoSpacing"/>
            </w:pPr>
            <w:r w:rsidRPr="004A5455">
              <w:t>[1.5, 3.0]</w:t>
            </w:r>
          </w:p>
        </w:tc>
      </w:tr>
      <w:tr w:rsidR="004A5455" w:rsidRPr="004A5455" w14:paraId="0DFDB65C" w14:textId="77777777" w:rsidTr="008E6217">
        <w:trPr>
          <w:trHeight w:val="178"/>
        </w:trPr>
        <w:tc>
          <w:tcPr>
            <w:tcW w:w="0" w:type="auto"/>
          </w:tcPr>
          <w:p w14:paraId="60B025F2" w14:textId="77777777" w:rsidR="004A5455" w:rsidRPr="004A5455" w:rsidRDefault="004A5455" w:rsidP="004A5455">
            <w:pPr>
              <w:pStyle w:val="NoSpacing"/>
            </w:pPr>
            <w:r w:rsidRPr="004A5455">
              <w:t>ADHD vs. depressed</w:t>
            </w:r>
          </w:p>
        </w:tc>
        <w:tc>
          <w:tcPr>
            <w:tcW w:w="0" w:type="auto"/>
          </w:tcPr>
          <w:p w14:paraId="60AC93D9" w14:textId="77777777" w:rsidR="004A5455" w:rsidRPr="004A5455" w:rsidRDefault="004A5455" w:rsidP="004A5455">
            <w:pPr>
              <w:pStyle w:val="NoSpacing"/>
            </w:pPr>
          </w:p>
        </w:tc>
        <w:tc>
          <w:tcPr>
            <w:tcW w:w="0" w:type="auto"/>
          </w:tcPr>
          <w:p w14:paraId="57B0CAFD" w14:textId="77777777" w:rsidR="004A5455" w:rsidRPr="004A5455" w:rsidRDefault="004A5455" w:rsidP="004A5455">
            <w:pPr>
              <w:pStyle w:val="NoSpacing"/>
            </w:pPr>
          </w:p>
        </w:tc>
        <w:tc>
          <w:tcPr>
            <w:tcW w:w="0" w:type="auto"/>
          </w:tcPr>
          <w:p w14:paraId="34683FFA" w14:textId="77777777" w:rsidR="004A5455" w:rsidRPr="004A5455" w:rsidRDefault="004A5455" w:rsidP="004A5455">
            <w:pPr>
              <w:pStyle w:val="NoSpacing"/>
            </w:pPr>
          </w:p>
        </w:tc>
        <w:tc>
          <w:tcPr>
            <w:tcW w:w="0" w:type="auto"/>
          </w:tcPr>
          <w:p w14:paraId="1E6B1B29" w14:textId="77777777" w:rsidR="004A5455" w:rsidRPr="004A5455" w:rsidRDefault="004A5455" w:rsidP="004A5455">
            <w:pPr>
              <w:pStyle w:val="NoSpacing"/>
            </w:pPr>
          </w:p>
        </w:tc>
      </w:tr>
      <w:tr w:rsidR="004A5455" w:rsidRPr="004A5455" w14:paraId="7226AF69" w14:textId="77777777" w:rsidTr="008E6217">
        <w:trPr>
          <w:trHeight w:val="180"/>
        </w:trPr>
        <w:tc>
          <w:tcPr>
            <w:tcW w:w="0" w:type="auto"/>
          </w:tcPr>
          <w:p w14:paraId="59499F51" w14:textId="77777777" w:rsidR="004A5455" w:rsidRPr="004A5455" w:rsidRDefault="004A5455" w:rsidP="004A5455">
            <w:pPr>
              <w:pStyle w:val="NoSpacing"/>
            </w:pPr>
            <w:r w:rsidRPr="004A5455">
              <w:t>CVLT short delay</w:t>
            </w:r>
          </w:p>
        </w:tc>
        <w:tc>
          <w:tcPr>
            <w:tcW w:w="0" w:type="auto"/>
          </w:tcPr>
          <w:p w14:paraId="7871D398" w14:textId="77777777" w:rsidR="004A5455" w:rsidRPr="004A5455" w:rsidRDefault="004A5455" w:rsidP="004A5455">
            <w:pPr>
              <w:pStyle w:val="NoSpacing"/>
            </w:pPr>
            <w:r w:rsidRPr="004A5455">
              <w:t>.37</w:t>
            </w:r>
          </w:p>
        </w:tc>
        <w:tc>
          <w:tcPr>
            <w:tcW w:w="0" w:type="auto"/>
          </w:tcPr>
          <w:p w14:paraId="41CF6102" w14:textId="77777777" w:rsidR="004A5455" w:rsidRPr="004A5455" w:rsidRDefault="004A5455" w:rsidP="004A5455">
            <w:pPr>
              <w:pStyle w:val="NoSpacing"/>
            </w:pPr>
            <w:r w:rsidRPr="004A5455">
              <w:t>.039</w:t>
            </w:r>
          </w:p>
        </w:tc>
        <w:tc>
          <w:tcPr>
            <w:tcW w:w="0" w:type="auto"/>
          </w:tcPr>
          <w:p w14:paraId="4BC96E0E" w14:textId="77777777" w:rsidR="004A5455" w:rsidRPr="004A5455" w:rsidRDefault="004A5455" w:rsidP="004A5455">
            <w:pPr>
              <w:pStyle w:val="NoSpacing"/>
            </w:pPr>
            <w:r w:rsidRPr="004A5455">
              <w:t>1.4</w:t>
            </w:r>
          </w:p>
        </w:tc>
        <w:tc>
          <w:tcPr>
            <w:tcW w:w="0" w:type="auto"/>
          </w:tcPr>
          <w:p w14:paraId="098FF13F" w14:textId="77777777" w:rsidR="004A5455" w:rsidRPr="004A5455" w:rsidRDefault="004A5455" w:rsidP="004A5455">
            <w:pPr>
              <w:pStyle w:val="NoSpacing"/>
            </w:pPr>
            <w:r w:rsidRPr="004A5455">
              <w:t>[1.0, 2.1]</w:t>
            </w:r>
          </w:p>
        </w:tc>
      </w:tr>
      <w:tr w:rsidR="004A5455" w:rsidRPr="004A5455" w14:paraId="5F78458E" w14:textId="77777777" w:rsidTr="008E6217">
        <w:trPr>
          <w:trHeight w:val="180"/>
        </w:trPr>
        <w:tc>
          <w:tcPr>
            <w:tcW w:w="0" w:type="auto"/>
          </w:tcPr>
          <w:p w14:paraId="512451D2" w14:textId="77777777" w:rsidR="004A5455" w:rsidRPr="004A5455" w:rsidRDefault="004A5455" w:rsidP="004A5455">
            <w:pPr>
              <w:pStyle w:val="NoSpacing"/>
            </w:pPr>
            <w:r w:rsidRPr="004A5455">
              <w:t>TOVA reaction time</w:t>
            </w:r>
          </w:p>
        </w:tc>
        <w:tc>
          <w:tcPr>
            <w:tcW w:w="0" w:type="auto"/>
          </w:tcPr>
          <w:p w14:paraId="7963B6BC" w14:textId="77777777" w:rsidR="004A5455" w:rsidRPr="004A5455" w:rsidRDefault="004A5455" w:rsidP="004A5455">
            <w:pPr>
              <w:pStyle w:val="NoSpacing"/>
            </w:pPr>
            <w:r w:rsidRPr="004A5455">
              <w:t>.48</w:t>
            </w:r>
          </w:p>
        </w:tc>
        <w:tc>
          <w:tcPr>
            <w:tcW w:w="0" w:type="auto"/>
          </w:tcPr>
          <w:p w14:paraId="01663526" w14:textId="77777777" w:rsidR="004A5455" w:rsidRPr="004A5455" w:rsidRDefault="004A5455" w:rsidP="004A5455">
            <w:pPr>
              <w:pStyle w:val="NoSpacing"/>
            </w:pPr>
            <w:r w:rsidRPr="004A5455">
              <w:t>.008</w:t>
            </w:r>
          </w:p>
        </w:tc>
        <w:tc>
          <w:tcPr>
            <w:tcW w:w="0" w:type="auto"/>
          </w:tcPr>
          <w:p w14:paraId="4911A72E" w14:textId="77777777" w:rsidR="004A5455" w:rsidRPr="004A5455" w:rsidRDefault="004A5455" w:rsidP="004A5455">
            <w:pPr>
              <w:pStyle w:val="NoSpacing"/>
            </w:pPr>
            <w:r w:rsidRPr="004A5455">
              <w:t>1.6</w:t>
            </w:r>
          </w:p>
        </w:tc>
        <w:tc>
          <w:tcPr>
            <w:tcW w:w="0" w:type="auto"/>
          </w:tcPr>
          <w:p w14:paraId="45476847" w14:textId="77777777" w:rsidR="004A5455" w:rsidRPr="004A5455" w:rsidRDefault="004A5455" w:rsidP="004A5455">
            <w:pPr>
              <w:pStyle w:val="NoSpacing"/>
            </w:pPr>
            <w:r w:rsidRPr="004A5455">
              <w:t>[1.1, 2.3]</w:t>
            </w:r>
          </w:p>
        </w:tc>
      </w:tr>
      <w:tr w:rsidR="004A5455" w:rsidRPr="004A5455" w14:paraId="013AB4EA" w14:textId="77777777" w:rsidTr="008E6217">
        <w:trPr>
          <w:trHeight w:val="180"/>
        </w:trPr>
        <w:tc>
          <w:tcPr>
            <w:tcW w:w="0" w:type="auto"/>
          </w:tcPr>
          <w:p w14:paraId="241149A8" w14:textId="77777777" w:rsidR="004A5455" w:rsidRPr="004A5455" w:rsidRDefault="004A5455" w:rsidP="004A5455">
            <w:pPr>
              <w:pStyle w:val="NoSpacing"/>
            </w:pPr>
            <w:r w:rsidRPr="004A5455">
              <w:t>Three-group multinomial</w:t>
            </w:r>
          </w:p>
        </w:tc>
        <w:tc>
          <w:tcPr>
            <w:tcW w:w="0" w:type="auto"/>
          </w:tcPr>
          <w:p w14:paraId="4643692E" w14:textId="77777777" w:rsidR="004A5455" w:rsidRPr="004A5455" w:rsidRDefault="004A5455" w:rsidP="004A5455">
            <w:pPr>
              <w:pStyle w:val="NoSpacing"/>
            </w:pPr>
          </w:p>
        </w:tc>
        <w:tc>
          <w:tcPr>
            <w:tcW w:w="0" w:type="auto"/>
          </w:tcPr>
          <w:p w14:paraId="2326D790" w14:textId="77777777" w:rsidR="004A5455" w:rsidRPr="004A5455" w:rsidRDefault="004A5455" w:rsidP="004A5455">
            <w:pPr>
              <w:pStyle w:val="NoSpacing"/>
            </w:pPr>
          </w:p>
        </w:tc>
        <w:tc>
          <w:tcPr>
            <w:tcW w:w="0" w:type="auto"/>
          </w:tcPr>
          <w:p w14:paraId="24287E97" w14:textId="77777777" w:rsidR="004A5455" w:rsidRPr="004A5455" w:rsidRDefault="004A5455" w:rsidP="004A5455">
            <w:pPr>
              <w:pStyle w:val="NoSpacing"/>
            </w:pPr>
          </w:p>
        </w:tc>
        <w:tc>
          <w:tcPr>
            <w:tcW w:w="0" w:type="auto"/>
          </w:tcPr>
          <w:p w14:paraId="408D2113" w14:textId="77777777" w:rsidR="004A5455" w:rsidRPr="004A5455" w:rsidRDefault="004A5455" w:rsidP="004A5455">
            <w:pPr>
              <w:pStyle w:val="NoSpacing"/>
            </w:pPr>
          </w:p>
        </w:tc>
      </w:tr>
      <w:tr w:rsidR="004A5455" w:rsidRPr="004A5455" w14:paraId="54424B7B" w14:textId="77777777" w:rsidTr="008E6217">
        <w:trPr>
          <w:trHeight w:val="180"/>
        </w:trPr>
        <w:tc>
          <w:tcPr>
            <w:tcW w:w="0" w:type="auto"/>
          </w:tcPr>
          <w:p w14:paraId="443B34C6" w14:textId="77777777" w:rsidR="004A5455" w:rsidRPr="004A5455" w:rsidRDefault="004A5455" w:rsidP="004A5455">
            <w:pPr>
              <w:pStyle w:val="NoSpacing"/>
            </w:pPr>
            <w:r w:rsidRPr="004A5455">
              <w:t>Listening Span</w:t>
            </w:r>
          </w:p>
        </w:tc>
        <w:tc>
          <w:tcPr>
            <w:tcW w:w="0" w:type="auto"/>
          </w:tcPr>
          <w:p w14:paraId="2E645983" w14:textId="77777777" w:rsidR="004A5455" w:rsidRPr="004A5455" w:rsidRDefault="004A5455" w:rsidP="004A5455">
            <w:pPr>
              <w:pStyle w:val="NoSpacing"/>
            </w:pPr>
            <w:r w:rsidRPr="004A5455">
              <w:t>.46</w:t>
            </w:r>
          </w:p>
        </w:tc>
        <w:tc>
          <w:tcPr>
            <w:tcW w:w="0" w:type="auto"/>
          </w:tcPr>
          <w:p w14:paraId="5ACAC3C4" w14:textId="77777777" w:rsidR="004A5455" w:rsidRPr="004A5455" w:rsidRDefault="004A5455" w:rsidP="004A5455">
            <w:pPr>
              <w:pStyle w:val="NoSpacing"/>
            </w:pPr>
            <w:r w:rsidRPr="004A5455">
              <w:t>.006</w:t>
            </w:r>
          </w:p>
        </w:tc>
        <w:tc>
          <w:tcPr>
            <w:tcW w:w="0" w:type="auto"/>
          </w:tcPr>
          <w:p w14:paraId="2FC5137D" w14:textId="77777777" w:rsidR="004A5455" w:rsidRPr="004A5455" w:rsidRDefault="004A5455" w:rsidP="004A5455">
            <w:pPr>
              <w:pStyle w:val="NoSpacing"/>
            </w:pPr>
            <w:r w:rsidRPr="004A5455">
              <w:t>1.6</w:t>
            </w:r>
          </w:p>
        </w:tc>
        <w:tc>
          <w:tcPr>
            <w:tcW w:w="0" w:type="auto"/>
          </w:tcPr>
          <w:p w14:paraId="368981B8" w14:textId="77777777" w:rsidR="004A5455" w:rsidRPr="004A5455" w:rsidRDefault="004A5455" w:rsidP="004A5455">
            <w:pPr>
              <w:pStyle w:val="NoSpacing"/>
            </w:pPr>
            <w:r w:rsidRPr="004A5455">
              <w:t>[1.1, 2.2]</w:t>
            </w:r>
          </w:p>
        </w:tc>
      </w:tr>
      <w:tr w:rsidR="004A5455" w:rsidRPr="004A5455" w14:paraId="08076E0C" w14:textId="77777777" w:rsidTr="008E6217">
        <w:trPr>
          <w:trHeight w:val="224"/>
        </w:trPr>
        <w:tc>
          <w:tcPr>
            <w:tcW w:w="0" w:type="auto"/>
          </w:tcPr>
          <w:p w14:paraId="0E568D25" w14:textId="77777777" w:rsidR="004A5455" w:rsidRPr="004A5455" w:rsidRDefault="004A5455" w:rsidP="004A5455">
            <w:pPr>
              <w:pStyle w:val="NoSpacing"/>
            </w:pPr>
            <w:r w:rsidRPr="004A5455">
              <w:t>TOVA omission errors</w:t>
            </w:r>
          </w:p>
        </w:tc>
        <w:tc>
          <w:tcPr>
            <w:tcW w:w="0" w:type="auto"/>
          </w:tcPr>
          <w:p w14:paraId="297187A7" w14:textId="77777777" w:rsidR="004A5455" w:rsidRPr="004A5455" w:rsidRDefault="004A5455" w:rsidP="004A5455">
            <w:pPr>
              <w:pStyle w:val="NoSpacing"/>
            </w:pPr>
            <w:r w:rsidRPr="004A5455">
              <w:t>.72</w:t>
            </w:r>
          </w:p>
        </w:tc>
        <w:tc>
          <w:tcPr>
            <w:tcW w:w="0" w:type="auto"/>
          </w:tcPr>
          <w:p w14:paraId="036DE8E3" w14:textId="77777777" w:rsidR="004A5455" w:rsidRPr="004A5455" w:rsidRDefault="004A5455" w:rsidP="004A5455">
            <w:pPr>
              <w:pStyle w:val="NoSpacing"/>
            </w:pPr>
            <w:r w:rsidRPr="004A5455">
              <w:t>&lt;.001</w:t>
            </w:r>
          </w:p>
        </w:tc>
        <w:tc>
          <w:tcPr>
            <w:tcW w:w="0" w:type="auto"/>
          </w:tcPr>
          <w:p w14:paraId="2A8C106D" w14:textId="77777777" w:rsidR="004A5455" w:rsidRPr="004A5455" w:rsidRDefault="004A5455" w:rsidP="004A5455">
            <w:pPr>
              <w:pStyle w:val="NoSpacing"/>
            </w:pPr>
            <w:r w:rsidRPr="004A5455">
              <w:t>2.1</w:t>
            </w:r>
          </w:p>
        </w:tc>
        <w:tc>
          <w:tcPr>
            <w:tcW w:w="0" w:type="auto"/>
          </w:tcPr>
          <w:p w14:paraId="5A5EF5C5" w14:textId="77777777" w:rsidR="004A5455" w:rsidRPr="004A5455" w:rsidRDefault="004A5455" w:rsidP="004A5455">
            <w:pPr>
              <w:pStyle w:val="NoSpacing"/>
            </w:pPr>
            <w:r w:rsidRPr="004A5455">
              <w:t>[1.5, 3.0]</w:t>
            </w:r>
          </w:p>
        </w:tc>
      </w:tr>
    </w:tbl>
    <w:p w14:paraId="1904CF75" w14:textId="4821F5A7" w:rsidR="00171494" w:rsidRDefault="00171494" w:rsidP="00171494">
      <w:pPr>
        <w:pStyle w:val="NoSpacing"/>
      </w:pPr>
      <w:r w:rsidRPr="00171494">
        <w:rPr>
          <w:b/>
          <w:bCs/>
        </w:rPr>
        <w:t>Note.</w:t>
      </w:r>
      <w:r w:rsidRPr="00171494">
        <w:t xml:space="preserve"> β = betas from logistic regression analyses; ADHD _ attention-deficit/hyperactivity disorder; OR _ odds ratio; CI _ 95% confidence interval for odds ratio; </w:t>
      </w:r>
      <w:proofErr w:type="gramStart"/>
      <w:r w:rsidRPr="00171494">
        <w:t>CVLT  California</w:t>
      </w:r>
      <w:proofErr w:type="gramEnd"/>
      <w:r w:rsidRPr="00171494">
        <w:t xml:space="preserve"> Verbal Learning Test; CW = Color-Word; TOVA _ Test of Variables of Attention.</w:t>
      </w:r>
    </w:p>
    <w:p w14:paraId="59D9E8D9" w14:textId="77777777" w:rsidR="004A5455" w:rsidRPr="00171494" w:rsidRDefault="004A5455" w:rsidP="00171494">
      <w:pPr>
        <w:pStyle w:val="NoSpacing"/>
      </w:pPr>
    </w:p>
    <w:p w14:paraId="268DCC0A" w14:textId="4466FD89" w:rsidR="00152B2C" w:rsidRDefault="00152B2C" w:rsidP="00152B2C">
      <w:pPr>
        <w:pStyle w:val="Heading3"/>
      </w:pPr>
      <w:r>
        <w:t>ADHD versus control</w:t>
      </w:r>
    </w:p>
    <w:p w14:paraId="3E193F5F" w14:textId="0EDA1DBE" w:rsidR="002E57CE" w:rsidRDefault="002E57CE" w:rsidP="002E57CE">
      <w:pPr>
        <w:pStyle w:val="NoSpacing"/>
      </w:pPr>
      <w:r w:rsidRPr="002E57CE">
        <w:t xml:space="preserve">A second stepwise binary logistic regression analyses </w:t>
      </w:r>
      <w:proofErr w:type="gramStart"/>
      <w:r w:rsidRPr="002E57CE">
        <w:t>was</w:t>
      </w:r>
      <w:proofErr w:type="gramEnd"/>
      <w:r w:rsidRPr="002E57CE">
        <w:t xml:space="preserve"> conducted to determine which neuropsychological test measures best distinguished participants with ADHD from </w:t>
      </w:r>
      <w:proofErr w:type="spellStart"/>
      <w:r w:rsidRPr="002E57CE">
        <w:t>nondisordered</w:t>
      </w:r>
      <w:proofErr w:type="spellEnd"/>
      <w:r w:rsidRPr="002E57CE">
        <w:t xml:space="preserve"> controls. Here, findings indicated that the best-fitting model included two predictors and improved model fit relative to the intercept-only model (omnibus χ</w:t>
      </w:r>
      <w:r w:rsidRPr="002E57CE">
        <w:rPr>
          <w:vertAlign w:val="superscript"/>
        </w:rPr>
        <w:t>2</w:t>
      </w:r>
      <w:r w:rsidRPr="002E57CE">
        <w:t xml:space="preserve"> = 30.1, </w:t>
      </w:r>
      <w:r w:rsidRPr="002E57CE">
        <w:rPr>
          <w:i/>
          <w:iCs/>
        </w:rPr>
        <w:t>p</w:t>
      </w:r>
      <w:r w:rsidRPr="002E57CE">
        <w:t xml:space="preserve"> &lt; .001; Hosmer and </w:t>
      </w:r>
      <w:proofErr w:type="spellStart"/>
      <w:r w:rsidRPr="002E57CE">
        <w:t>Lemeshow</w:t>
      </w:r>
      <w:proofErr w:type="spellEnd"/>
      <w:r w:rsidRPr="002E57CE">
        <w:t xml:space="preserve"> χ</w:t>
      </w:r>
      <w:r w:rsidRPr="002E57CE">
        <w:rPr>
          <w:vertAlign w:val="superscript"/>
        </w:rPr>
        <w:t>2</w:t>
      </w:r>
      <w:r w:rsidRPr="002E57CE">
        <w:t xml:space="preserve"> = 6.4, </w:t>
      </w:r>
      <w:r w:rsidRPr="002E57CE">
        <w:rPr>
          <w:i/>
          <w:iCs/>
        </w:rPr>
        <w:t>p</w:t>
      </w:r>
      <w:r w:rsidRPr="002E57CE">
        <w:t xml:space="preserve"> = .61; </w:t>
      </w:r>
      <w:proofErr w:type="spellStart"/>
      <w:r w:rsidRPr="002E57CE">
        <w:t>Nagelkerke</w:t>
      </w:r>
      <w:proofErr w:type="spellEnd"/>
      <w:r w:rsidRPr="002E57CE">
        <w:t xml:space="preserve"> </w:t>
      </w:r>
      <w:r w:rsidRPr="002E57CE">
        <w:rPr>
          <w:i/>
          <w:iCs/>
        </w:rPr>
        <w:t>R</w:t>
      </w:r>
      <w:r w:rsidRPr="002E57CE">
        <w:rPr>
          <w:vertAlign w:val="superscript"/>
        </w:rPr>
        <w:t>2</w:t>
      </w:r>
      <w:r w:rsidRPr="002E57CE">
        <w:t xml:space="preserve"> = .20). In this model, worse performance on both Salthouse Listening Span trials (β = .45, </w:t>
      </w:r>
      <w:r w:rsidRPr="002E57CE">
        <w:rPr>
          <w:i/>
          <w:iCs/>
        </w:rPr>
        <w:t>p</w:t>
      </w:r>
      <w:r w:rsidRPr="002E57CE">
        <w:t xml:space="preserve"> = .008, </w:t>
      </w:r>
      <w:r w:rsidRPr="002E57CE">
        <w:rPr>
          <w:i/>
          <w:iCs/>
        </w:rPr>
        <w:t>OR</w:t>
      </w:r>
      <w:r w:rsidRPr="002E57CE">
        <w:t xml:space="preserve"> = 1.6, 95% CI [1.1, 2.2]) and TOVA omission errors (β = .73, </w:t>
      </w:r>
      <w:r w:rsidRPr="002E57CE">
        <w:rPr>
          <w:i/>
          <w:iCs/>
        </w:rPr>
        <w:t>p</w:t>
      </w:r>
      <w:r w:rsidRPr="002E57CE">
        <w:t xml:space="preserve"> &lt; .001, </w:t>
      </w:r>
      <w:r w:rsidRPr="002E57CE">
        <w:rPr>
          <w:i/>
          <w:iCs/>
        </w:rPr>
        <w:t>OR</w:t>
      </w:r>
      <w:r w:rsidRPr="002E57CE">
        <w:t xml:space="preserve"> = 2.1, 95% CI [1.5, 3.0]) significantly predicted membership in the ADHD group compared with </w:t>
      </w:r>
      <w:proofErr w:type="spellStart"/>
      <w:r w:rsidRPr="002E57CE">
        <w:t>nondisordered</w:t>
      </w:r>
      <w:proofErr w:type="spellEnd"/>
      <w:r w:rsidRPr="002E57CE">
        <w:t xml:space="preserve"> controls, with a classification accuracy of 68.3%.</w:t>
      </w:r>
    </w:p>
    <w:p w14:paraId="60B3AADC" w14:textId="77777777" w:rsidR="002E57CE" w:rsidRPr="002E57CE" w:rsidRDefault="002E57CE" w:rsidP="002E57CE">
      <w:pPr>
        <w:pStyle w:val="NoSpacing"/>
      </w:pPr>
    </w:p>
    <w:p w14:paraId="63A74A4E" w14:textId="762C72A1" w:rsidR="002E57CE" w:rsidRDefault="00152B2C" w:rsidP="002E57CE">
      <w:pPr>
        <w:pStyle w:val="Heading3"/>
        <w:tabs>
          <w:tab w:val="left" w:pos="2865"/>
        </w:tabs>
      </w:pPr>
      <w:r>
        <w:t>ADHD versus depressed</w:t>
      </w:r>
    </w:p>
    <w:p w14:paraId="223688AB" w14:textId="0C1A1947" w:rsidR="002E57CE" w:rsidRDefault="002E57CE" w:rsidP="002E57CE">
      <w:pPr>
        <w:pStyle w:val="NoSpacing"/>
      </w:pPr>
      <w:r w:rsidRPr="002E57CE">
        <w:t>A third stepwise binary logistic regression analysis was used to determine which test measures best distinguished ADHD participants from those with the depression. Again, two test measures emerged as predictors in the best-fitting model, which exhibited improved fit relative to the intercept-only model (omnibus χ</w:t>
      </w:r>
      <w:r w:rsidRPr="002E57CE">
        <w:rPr>
          <w:vertAlign w:val="superscript"/>
        </w:rPr>
        <w:t>2</w:t>
      </w:r>
      <w:r w:rsidRPr="002E57CE">
        <w:t xml:space="preserve"> = 12.8, </w:t>
      </w:r>
      <w:r w:rsidRPr="002E57CE">
        <w:rPr>
          <w:i/>
          <w:iCs/>
        </w:rPr>
        <w:t>p</w:t>
      </w:r>
      <w:r w:rsidRPr="002E57CE">
        <w:t xml:space="preserve"> = .002; Hosmer and </w:t>
      </w:r>
      <w:proofErr w:type="spellStart"/>
      <w:r w:rsidRPr="002E57CE">
        <w:t>Lemeshow</w:t>
      </w:r>
      <w:proofErr w:type="spellEnd"/>
      <w:r w:rsidRPr="002E57CE">
        <w:t xml:space="preserve"> χ</w:t>
      </w:r>
      <w:r w:rsidRPr="002E57CE">
        <w:rPr>
          <w:vertAlign w:val="superscript"/>
        </w:rPr>
        <w:t>2</w:t>
      </w:r>
      <w:r w:rsidRPr="002E57CE">
        <w:t xml:space="preserve"> = 7.7, </w:t>
      </w:r>
      <w:r w:rsidRPr="002E57CE">
        <w:rPr>
          <w:i/>
          <w:iCs/>
        </w:rPr>
        <w:t>p</w:t>
      </w:r>
      <w:r w:rsidRPr="002E57CE">
        <w:t xml:space="preserve"> = .47; </w:t>
      </w:r>
      <w:proofErr w:type="spellStart"/>
      <w:r w:rsidRPr="002E57CE">
        <w:t>Nagelkerke</w:t>
      </w:r>
      <w:proofErr w:type="spellEnd"/>
      <w:r w:rsidRPr="002E57CE">
        <w:t xml:space="preserve"> </w:t>
      </w:r>
      <w:r w:rsidRPr="002E57CE">
        <w:rPr>
          <w:i/>
          <w:iCs/>
        </w:rPr>
        <w:t>R</w:t>
      </w:r>
      <w:r w:rsidRPr="002E57CE">
        <w:rPr>
          <w:vertAlign w:val="superscript"/>
        </w:rPr>
        <w:t>2</w:t>
      </w:r>
      <w:r w:rsidRPr="002E57CE">
        <w:t xml:space="preserve"> = .11). Worse performance on the CVLT short-delay free recall (β = .37, </w:t>
      </w:r>
      <w:r w:rsidRPr="002E57CE">
        <w:rPr>
          <w:i/>
          <w:iCs/>
        </w:rPr>
        <w:t>p</w:t>
      </w:r>
      <w:r w:rsidRPr="002E57CE">
        <w:t xml:space="preserve"> = .039, </w:t>
      </w:r>
      <w:r w:rsidRPr="002E57CE">
        <w:rPr>
          <w:i/>
          <w:iCs/>
        </w:rPr>
        <w:t>OR</w:t>
      </w:r>
      <w:r w:rsidRPr="002E57CE">
        <w:t xml:space="preserve"> = 1.4, 95% CI [1.0, 2.1]) and TOVA RT (β = .48, </w:t>
      </w:r>
      <w:r w:rsidRPr="002E57CE">
        <w:rPr>
          <w:i/>
          <w:iCs/>
        </w:rPr>
        <w:t>p</w:t>
      </w:r>
      <w:r w:rsidRPr="002E57CE">
        <w:t xml:space="preserve"> = .008, </w:t>
      </w:r>
      <w:r w:rsidRPr="002E57CE">
        <w:rPr>
          <w:i/>
          <w:iCs/>
        </w:rPr>
        <w:t>OR</w:t>
      </w:r>
      <w:r w:rsidRPr="002E57CE">
        <w:t xml:space="preserve"> = 1.6, 95% CI [1.1, 2.3]) were associated with membership in the ADHD group relative to the depressed group, with a classification accuracy of 70.4%.</w:t>
      </w:r>
    </w:p>
    <w:p w14:paraId="60487422" w14:textId="77777777" w:rsidR="002E57CE" w:rsidRPr="002E57CE" w:rsidRDefault="002E57CE" w:rsidP="002E57CE">
      <w:pPr>
        <w:pStyle w:val="NoSpacing"/>
      </w:pPr>
    </w:p>
    <w:p w14:paraId="3874CB58" w14:textId="569C3728" w:rsidR="00152B2C" w:rsidRDefault="00152B2C" w:rsidP="00152B2C">
      <w:pPr>
        <w:pStyle w:val="Heading3"/>
      </w:pPr>
      <w:r>
        <w:t>Multinomial logistic regression</w:t>
      </w:r>
    </w:p>
    <w:p w14:paraId="41FCEE92" w14:textId="4FBD5430" w:rsidR="002E57CE" w:rsidRDefault="002E57CE" w:rsidP="002E57CE">
      <w:pPr>
        <w:pStyle w:val="NoSpacing"/>
      </w:pPr>
      <w:r w:rsidRPr="002E57CE">
        <w:t>Similarly, a stepwise multinomial logistic regression analysis was conducted to determine which neuropsychological test measures distinguished best among all three groups. The iterative procedure again revealed two measures best distinguished the three groups and improved model fit relative the intercept-only model (omnibus χ</w:t>
      </w:r>
      <w:r w:rsidRPr="002E57CE">
        <w:rPr>
          <w:vertAlign w:val="superscript"/>
        </w:rPr>
        <w:t>2</w:t>
      </w:r>
      <w:r w:rsidRPr="002E57CE">
        <w:t xml:space="preserve"> = 34.3, </w:t>
      </w:r>
      <w:r w:rsidRPr="002E57CE">
        <w:rPr>
          <w:i/>
          <w:iCs/>
        </w:rPr>
        <w:t>p</w:t>
      </w:r>
      <w:r w:rsidRPr="002E57CE">
        <w:t xml:space="preserve"> &lt; .001; Hosmer and </w:t>
      </w:r>
      <w:proofErr w:type="spellStart"/>
      <w:r w:rsidRPr="002E57CE">
        <w:t>Lemeshow</w:t>
      </w:r>
      <w:proofErr w:type="spellEnd"/>
      <w:r w:rsidRPr="002E57CE">
        <w:t xml:space="preserve"> χ</w:t>
      </w:r>
      <w:r w:rsidRPr="002E57CE">
        <w:rPr>
          <w:vertAlign w:val="superscript"/>
        </w:rPr>
        <w:t>2</w:t>
      </w:r>
      <w:r w:rsidRPr="002E57CE">
        <w:t xml:space="preserve"> = 16.3, </w:t>
      </w:r>
      <w:r w:rsidRPr="002E57CE">
        <w:rPr>
          <w:i/>
          <w:iCs/>
        </w:rPr>
        <w:t>p</w:t>
      </w:r>
      <w:r w:rsidRPr="002E57CE">
        <w:t xml:space="preserve"> = .46; </w:t>
      </w:r>
      <w:proofErr w:type="spellStart"/>
      <w:r w:rsidRPr="002E57CE">
        <w:t>Nagelkerke</w:t>
      </w:r>
      <w:proofErr w:type="spellEnd"/>
      <w:r w:rsidRPr="002E57CE">
        <w:t xml:space="preserve"> </w:t>
      </w:r>
      <w:r w:rsidRPr="002E57CE">
        <w:rPr>
          <w:i/>
          <w:iCs/>
        </w:rPr>
        <w:t>R</w:t>
      </w:r>
      <w:r w:rsidRPr="002E57CE">
        <w:rPr>
          <w:vertAlign w:val="superscript"/>
        </w:rPr>
        <w:t>2</w:t>
      </w:r>
      <w:r w:rsidRPr="002E57CE">
        <w:t xml:space="preserve"> = .15). Again, worse </w:t>
      </w:r>
      <w:r w:rsidRPr="002E57CE">
        <w:lastRenderedPageBreak/>
        <w:t xml:space="preserve">performance on both the Salthouse Listening Span trials (β = .46, </w:t>
      </w:r>
      <w:r w:rsidRPr="002E57CE">
        <w:rPr>
          <w:i/>
          <w:iCs/>
        </w:rPr>
        <w:t>p</w:t>
      </w:r>
      <w:r w:rsidRPr="002E57CE">
        <w:t xml:space="preserve"> = .006, </w:t>
      </w:r>
      <w:r w:rsidRPr="002E57CE">
        <w:rPr>
          <w:i/>
          <w:iCs/>
        </w:rPr>
        <w:t>OR</w:t>
      </w:r>
      <w:r w:rsidRPr="002E57CE">
        <w:t xml:space="preserve"> = 1.6, 95% CI [1.1, 2.2]) and TOVA omission errors (β = .72, </w:t>
      </w:r>
      <w:r w:rsidRPr="002E57CE">
        <w:rPr>
          <w:i/>
          <w:iCs/>
        </w:rPr>
        <w:t>p</w:t>
      </w:r>
      <w:r w:rsidRPr="002E57CE">
        <w:t xml:space="preserve"> &lt; .001, </w:t>
      </w:r>
      <w:r w:rsidRPr="002E57CE">
        <w:rPr>
          <w:i/>
          <w:iCs/>
        </w:rPr>
        <w:t>OR</w:t>
      </w:r>
      <w:r w:rsidRPr="002E57CE">
        <w:t xml:space="preserve"> = 2.1, 95% CI [1.5, 3.0]) significantly predicted membership in the ADHD group compared with </w:t>
      </w:r>
      <w:proofErr w:type="spellStart"/>
      <w:r w:rsidRPr="002E57CE">
        <w:t>nondisordered</w:t>
      </w:r>
      <w:proofErr w:type="spellEnd"/>
      <w:r w:rsidRPr="002E57CE">
        <w:t xml:space="preserve"> controls. However, neither measure distinguished depressed patients from controls (all </w:t>
      </w:r>
      <w:proofErr w:type="spellStart"/>
      <w:r w:rsidRPr="002E57CE">
        <w:rPr>
          <w:i/>
          <w:iCs/>
        </w:rPr>
        <w:t>p</w:t>
      </w:r>
      <w:r w:rsidRPr="002E57CE">
        <w:t>s</w:t>
      </w:r>
      <w:proofErr w:type="spellEnd"/>
      <w:r w:rsidRPr="002E57CE">
        <w:t xml:space="preserve"> &gt; .26).</w:t>
      </w:r>
    </w:p>
    <w:p w14:paraId="2D539160" w14:textId="77777777" w:rsidR="002E57CE" w:rsidRPr="002E57CE" w:rsidRDefault="002E57CE" w:rsidP="002E57CE">
      <w:pPr>
        <w:pStyle w:val="NoSpacing"/>
      </w:pPr>
    </w:p>
    <w:p w14:paraId="0BB4B5C3" w14:textId="77163C9B" w:rsidR="00152B2C" w:rsidRDefault="00152B2C" w:rsidP="00152B2C">
      <w:pPr>
        <w:pStyle w:val="Heading2"/>
      </w:pPr>
      <w:r>
        <w:t xml:space="preserve">Predicting </w:t>
      </w:r>
      <w:r w:rsidR="002E57CE">
        <w:t>Symptom</w:t>
      </w:r>
      <w:r>
        <w:t xml:space="preserve"> Severity and Impairment</w:t>
      </w:r>
    </w:p>
    <w:p w14:paraId="2B1FED69" w14:textId="44605B6D" w:rsidR="00A9691F" w:rsidRDefault="00A9691F" w:rsidP="00A9691F">
      <w:pPr>
        <w:pStyle w:val="NoSpacing"/>
      </w:pPr>
      <w:r>
        <w:t>Stepwise linear regression analyses were then conducted to determine which test measures best predicted dimensional scores of inattention, hyperactivity-impulsivity, and functional impairment (</w:t>
      </w:r>
      <w:hyperlink r:id="rId85" w:anchor="tbl4" w:history="1">
        <w:r>
          <w:rPr>
            <w:rStyle w:val="Hyperlink"/>
          </w:rPr>
          <w:t>Table 4</w:t>
        </w:r>
      </w:hyperlink>
      <w:r>
        <w:t>). All models included current stimulant medication usage and estimated full-scale IQ as covariates. Two measures (TOVA RT variability, DKEFS CWIT inhibition/switching) each contributed incrementally to predicting inattention and together combined to predict 8% of the variance in these symptom severity scores. By contrast, TOVA omission errors and Salthouse Listening Span trials each uniquely predicted hyperactivity—impulsivity and accounted for 6% of the variance. TOVA RT variability and CVLT short delay free recall each predicted scores on the BDEFS-SF and together accounted for 8% of the variance. TOVA RT and Salthouse Listening Span trials both predicted functional impairment due to ADHD symptoms as reported on the BFIS and accounted for 6% of the variance. Thus, it appears that variability in neurocognitive functioning, specifically, in sustained attention and working memory functioning accounted for unique variation in severity of symptoms and impairment.</w:t>
      </w:r>
    </w:p>
    <w:p w14:paraId="3FA02D5A" w14:textId="7EF8BDD8" w:rsidR="00A9691F" w:rsidRDefault="00A9691F" w:rsidP="00A9691F">
      <w:pPr>
        <w:pStyle w:val="NoSpacing"/>
      </w:pPr>
    </w:p>
    <w:p w14:paraId="2797F3BE" w14:textId="0A39489F" w:rsidR="00A9691F" w:rsidRDefault="00A9691F" w:rsidP="00A9691F">
      <w:pPr>
        <w:pStyle w:val="NoSpacing"/>
      </w:pPr>
      <w:r>
        <w:rPr>
          <w:b/>
          <w:bCs/>
        </w:rPr>
        <w:t xml:space="preserve">Table 4. </w:t>
      </w:r>
      <w:r w:rsidRPr="00A9691F">
        <w:t>Neurocognitive Test Measures as Predictors of Ratings of ADHD Symptom Severity, Executive Function Deficits, and Functional Impairments: Stepwise Linear Regression Analyses</w:t>
      </w:r>
    </w:p>
    <w:p w14:paraId="52A3B0E3" w14:textId="6CC5C5FC" w:rsidR="00A9691F" w:rsidRDefault="00A9691F" w:rsidP="00A9691F">
      <w:pPr>
        <w:pStyle w:val="NoSpacing"/>
      </w:pPr>
    </w:p>
    <w:tbl>
      <w:tblPr>
        <w:tblStyle w:val="TableGridLight"/>
        <w:tblW w:w="0" w:type="auto"/>
        <w:tblLook w:val="04A0" w:firstRow="1" w:lastRow="0" w:firstColumn="1" w:lastColumn="0" w:noHBand="0" w:noVBand="1"/>
      </w:tblPr>
      <w:tblGrid>
        <w:gridCol w:w="6289"/>
        <w:gridCol w:w="495"/>
        <w:gridCol w:w="495"/>
        <w:gridCol w:w="854"/>
        <w:gridCol w:w="995"/>
        <w:gridCol w:w="942"/>
      </w:tblGrid>
      <w:tr w:rsidR="001E683C" w14:paraId="291D6D6A" w14:textId="77777777" w:rsidTr="00635949">
        <w:tc>
          <w:tcPr>
            <w:tcW w:w="0" w:type="auto"/>
          </w:tcPr>
          <w:p w14:paraId="74B278E5" w14:textId="34EEF43A" w:rsidR="001E683C" w:rsidRDefault="001E683C" w:rsidP="00A9691F">
            <w:pPr>
              <w:pStyle w:val="NoSpacing"/>
            </w:pPr>
            <w:r>
              <w:t>Predictor</w:t>
            </w:r>
          </w:p>
        </w:tc>
        <w:tc>
          <w:tcPr>
            <w:tcW w:w="0" w:type="auto"/>
          </w:tcPr>
          <w:p w14:paraId="7DD4E9D7" w14:textId="29BDFC33" w:rsidR="001E683C" w:rsidRPr="00001A71" w:rsidRDefault="00001A71" w:rsidP="00A9691F">
            <w:pPr>
              <w:pStyle w:val="NoSpacing"/>
              <w:rPr>
                <w:i/>
                <w:iCs/>
              </w:rPr>
            </w:pPr>
            <w:r>
              <w:rPr>
                <w:i/>
                <w:iCs/>
              </w:rPr>
              <w:t>b</w:t>
            </w:r>
          </w:p>
        </w:tc>
        <w:tc>
          <w:tcPr>
            <w:tcW w:w="0" w:type="auto"/>
          </w:tcPr>
          <w:p w14:paraId="6C1BD8A9" w14:textId="01B90AAA" w:rsidR="001E683C" w:rsidRDefault="00001A71" w:rsidP="00A9691F">
            <w:pPr>
              <w:pStyle w:val="NoSpacing"/>
            </w:pPr>
            <w:r>
              <w:rPr>
                <w:rFonts w:cstheme="minorHAnsi"/>
              </w:rPr>
              <w:t>Β</w:t>
            </w:r>
          </w:p>
        </w:tc>
        <w:tc>
          <w:tcPr>
            <w:tcW w:w="0" w:type="auto"/>
          </w:tcPr>
          <w:p w14:paraId="0353B978" w14:textId="6FB339F0" w:rsidR="001E683C" w:rsidRPr="00001A71" w:rsidRDefault="00001A71" w:rsidP="00A9691F">
            <w:pPr>
              <w:pStyle w:val="NoSpacing"/>
            </w:pPr>
            <w:r>
              <w:rPr>
                <w:i/>
                <w:iCs/>
              </w:rPr>
              <w:t xml:space="preserve">p </w:t>
            </w:r>
            <w:r>
              <w:t>value</w:t>
            </w:r>
          </w:p>
        </w:tc>
        <w:tc>
          <w:tcPr>
            <w:tcW w:w="0" w:type="auto"/>
          </w:tcPr>
          <w:p w14:paraId="3DFEDDA0" w14:textId="1887DE60" w:rsidR="001E683C" w:rsidRDefault="00001A71" w:rsidP="00A9691F">
            <w:pPr>
              <w:pStyle w:val="NoSpacing"/>
            </w:pPr>
            <w:r>
              <w:t>95% CI</w:t>
            </w:r>
          </w:p>
        </w:tc>
        <w:tc>
          <w:tcPr>
            <w:tcW w:w="0" w:type="auto"/>
          </w:tcPr>
          <w:p w14:paraId="75892355" w14:textId="6A03D78B" w:rsidR="001E683C" w:rsidRPr="00001A71" w:rsidRDefault="00001A71" w:rsidP="00A9691F">
            <w:pPr>
              <w:pStyle w:val="NoSpacing"/>
            </w:pPr>
            <w:r>
              <w:t>R</w:t>
            </w:r>
            <w:r>
              <w:rPr>
                <w:vertAlign w:val="superscript"/>
              </w:rPr>
              <w:t xml:space="preserve">2 </w:t>
            </w:r>
            <w:r>
              <w:t>(</w:t>
            </w:r>
            <w:r>
              <w:rPr>
                <w:rFonts w:cstheme="minorHAnsi"/>
              </w:rPr>
              <w:t>Δ</w:t>
            </w:r>
            <w:r>
              <w:t xml:space="preserve"> R</w:t>
            </w:r>
            <w:r>
              <w:rPr>
                <w:vertAlign w:val="superscript"/>
              </w:rPr>
              <w:t>2</w:t>
            </w:r>
            <w:r>
              <w:t>)</w:t>
            </w:r>
          </w:p>
        </w:tc>
      </w:tr>
      <w:tr w:rsidR="001E683C" w14:paraId="15639049" w14:textId="77777777" w:rsidTr="00635949">
        <w:tc>
          <w:tcPr>
            <w:tcW w:w="0" w:type="auto"/>
          </w:tcPr>
          <w:p w14:paraId="68FB46F5" w14:textId="7A731FB6" w:rsidR="001E683C" w:rsidRDefault="008F55DB" w:rsidP="00A9691F">
            <w:pPr>
              <w:pStyle w:val="NoSpacing"/>
            </w:pPr>
            <w:r w:rsidRPr="008F55DB">
              <w:t>Current inattention sum score (mean self</w:t>
            </w:r>
            <w:r>
              <w:t xml:space="preserve"> </w:t>
            </w:r>
            <w:r w:rsidRPr="008F55DB">
              <w:t>and informant)</w:t>
            </w:r>
          </w:p>
        </w:tc>
        <w:tc>
          <w:tcPr>
            <w:tcW w:w="0" w:type="auto"/>
          </w:tcPr>
          <w:p w14:paraId="0ADE21D7" w14:textId="77777777" w:rsidR="001E683C" w:rsidRDefault="001E683C" w:rsidP="00A9691F">
            <w:pPr>
              <w:pStyle w:val="NoSpacing"/>
            </w:pPr>
          </w:p>
        </w:tc>
        <w:tc>
          <w:tcPr>
            <w:tcW w:w="0" w:type="auto"/>
          </w:tcPr>
          <w:p w14:paraId="06C4D9C0" w14:textId="77777777" w:rsidR="001E683C" w:rsidRDefault="001E683C" w:rsidP="00A9691F">
            <w:pPr>
              <w:pStyle w:val="NoSpacing"/>
            </w:pPr>
          </w:p>
        </w:tc>
        <w:tc>
          <w:tcPr>
            <w:tcW w:w="0" w:type="auto"/>
          </w:tcPr>
          <w:p w14:paraId="48E24768" w14:textId="77777777" w:rsidR="001E683C" w:rsidRDefault="001E683C" w:rsidP="00A9691F">
            <w:pPr>
              <w:pStyle w:val="NoSpacing"/>
            </w:pPr>
          </w:p>
        </w:tc>
        <w:tc>
          <w:tcPr>
            <w:tcW w:w="0" w:type="auto"/>
          </w:tcPr>
          <w:p w14:paraId="2BDA4483" w14:textId="77777777" w:rsidR="001E683C" w:rsidRDefault="001E683C" w:rsidP="00A9691F">
            <w:pPr>
              <w:pStyle w:val="NoSpacing"/>
            </w:pPr>
          </w:p>
        </w:tc>
        <w:tc>
          <w:tcPr>
            <w:tcW w:w="0" w:type="auto"/>
          </w:tcPr>
          <w:p w14:paraId="6F83265C" w14:textId="77777777" w:rsidR="001E683C" w:rsidRDefault="001E683C" w:rsidP="00A9691F">
            <w:pPr>
              <w:pStyle w:val="NoSpacing"/>
            </w:pPr>
          </w:p>
        </w:tc>
      </w:tr>
      <w:tr w:rsidR="001E683C" w14:paraId="05FA8B3A" w14:textId="77777777" w:rsidTr="00635949">
        <w:trPr>
          <w:trHeight w:val="540"/>
        </w:trPr>
        <w:tc>
          <w:tcPr>
            <w:tcW w:w="0" w:type="auto"/>
          </w:tcPr>
          <w:p w14:paraId="27A2F38C" w14:textId="5DB7B425" w:rsidR="001E683C" w:rsidRDefault="000849E9" w:rsidP="00E10ED2">
            <w:pPr>
              <w:pStyle w:val="NoSpacing"/>
            </w:pPr>
            <w:r w:rsidRPr="000849E9">
              <w:t>TOVA reaction time variability</w:t>
            </w:r>
            <w:r w:rsidR="00404D29">
              <w:t xml:space="preserve"> </w:t>
            </w:r>
          </w:p>
        </w:tc>
        <w:tc>
          <w:tcPr>
            <w:tcW w:w="0" w:type="auto"/>
          </w:tcPr>
          <w:p w14:paraId="31661016" w14:textId="1082840F" w:rsidR="001E683C" w:rsidRDefault="00B311D4" w:rsidP="00A9691F">
            <w:pPr>
              <w:pStyle w:val="NoSpacing"/>
            </w:pPr>
            <w:r w:rsidRPr="00B311D4">
              <w:t>.23</w:t>
            </w:r>
          </w:p>
        </w:tc>
        <w:tc>
          <w:tcPr>
            <w:tcW w:w="0" w:type="auto"/>
          </w:tcPr>
          <w:p w14:paraId="3383E7BF" w14:textId="01858CAB" w:rsidR="001E683C" w:rsidRDefault="00B311D4" w:rsidP="00A9691F">
            <w:pPr>
              <w:pStyle w:val="NoSpacing"/>
            </w:pPr>
            <w:r w:rsidRPr="00B311D4">
              <w:t>.23</w:t>
            </w:r>
          </w:p>
        </w:tc>
        <w:tc>
          <w:tcPr>
            <w:tcW w:w="0" w:type="auto"/>
          </w:tcPr>
          <w:p w14:paraId="665E565D" w14:textId="3DBA8278" w:rsidR="001E683C" w:rsidRDefault="00E712D5" w:rsidP="00A9691F">
            <w:pPr>
              <w:pStyle w:val="NoSpacing"/>
            </w:pPr>
            <w:r>
              <w:t>&lt;.001</w:t>
            </w:r>
          </w:p>
        </w:tc>
        <w:tc>
          <w:tcPr>
            <w:tcW w:w="0" w:type="auto"/>
          </w:tcPr>
          <w:p w14:paraId="4C240EAB" w14:textId="11E003E4" w:rsidR="001E683C" w:rsidRDefault="00E712D5" w:rsidP="00A9691F">
            <w:pPr>
              <w:pStyle w:val="NoSpacing"/>
            </w:pPr>
            <w:r>
              <w:t>[.21, .34]</w:t>
            </w:r>
          </w:p>
        </w:tc>
        <w:tc>
          <w:tcPr>
            <w:tcW w:w="0" w:type="auto"/>
          </w:tcPr>
          <w:p w14:paraId="1E538AA5" w14:textId="237B2F07" w:rsidR="001E683C" w:rsidRDefault="001E683C" w:rsidP="00A9691F">
            <w:pPr>
              <w:pStyle w:val="NoSpacing"/>
            </w:pPr>
          </w:p>
        </w:tc>
      </w:tr>
      <w:tr w:rsidR="002B7A78" w14:paraId="68ED08C9" w14:textId="77777777" w:rsidTr="00E10ED2">
        <w:trPr>
          <w:trHeight w:val="395"/>
        </w:trPr>
        <w:tc>
          <w:tcPr>
            <w:tcW w:w="0" w:type="auto"/>
          </w:tcPr>
          <w:p w14:paraId="74AB9791" w14:textId="590910A7" w:rsidR="002B7A78" w:rsidRPr="000849E9" w:rsidRDefault="002B7A78" w:rsidP="002B7A78">
            <w:pPr>
              <w:pStyle w:val="NoSpacing"/>
            </w:pPr>
            <w:r w:rsidRPr="00404D29">
              <w:t>CW inhibition/switching</w:t>
            </w:r>
          </w:p>
        </w:tc>
        <w:tc>
          <w:tcPr>
            <w:tcW w:w="0" w:type="auto"/>
          </w:tcPr>
          <w:p w14:paraId="75E28B89" w14:textId="0798D9BF" w:rsidR="002B7A78" w:rsidRPr="00B311D4" w:rsidRDefault="002B7A78" w:rsidP="002B7A78">
            <w:pPr>
              <w:pStyle w:val="NoSpacing"/>
            </w:pPr>
            <w:r>
              <w:t>.16</w:t>
            </w:r>
          </w:p>
        </w:tc>
        <w:tc>
          <w:tcPr>
            <w:tcW w:w="0" w:type="auto"/>
          </w:tcPr>
          <w:p w14:paraId="0F0FFC56" w14:textId="0DE633A1" w:rsidR="002B7A78" w:rsidRPr="00B311D4" w:rsidRDefault="002B7A78" w:rsidP="002B7A78">
            <w:pPr>
              <w:pStyle w:val="NoSpacing"/>
            </w:pPr>
            <w:r>
              <w:t>.16</w:t>
            </w:r>
          </w:p>
        </w:tc>
        <w:tc>
          <w:tcPr>
            <w:tcW w:w="0" w:type="auto"/>
          </w:tcPr>
          <w:p w14:paraId="73502291" w14:textId="535766A7" w:rsidR="002B7A78" w:rsidRDefault="002B7A78" w:rsidP="002B7A78">
            <w:pPr>
              <w:pStyle w:val="NoSpacing"/>
            </w:pPr>
            <w:r>
              <w:t>&lt;.001</w:t>
            </w:r>
          </w:p>
        </w:tc>
        <w:tc>
          <w:tcPr>
            <w:tcW w:w="0" w:type="auto"/>
          </w:tcPr>
          <w:p w14:paraId="644AFEC6" w14:textId="5B09F33A" w:rsidR="002B7A78" w:rsidRDefault="002B7A78" w:rsidP="002B7A78">
            <w:pPr>
              <w:pStyle w:val="NoSpacing"/>
            </w:pPr>
            <w:r>
              <w:t>[.06, .26]</w:t>
            </w:r>
          </w:p>
        </w:tc>
        <w:tc>
          <w:tcPr>
            <w:tcW w:w="0" w:type="auto"/>
          </w:tcPr>
          <w:p w14:paraId="2C1CD390" w14:textId="27C4DAC1" w:rsidR="002B7A78" w:rsidRDefault="002B7A78" w:rsidP="002B7A78">
            <w:pPr>
              <w:pStyle w:val="NoSpacing"/>
            </w:pPr>
            <w:r>
              <w:t>.35 (.08)</w:t>
            </w:r>
          </w:p>
        </w:tc>
      </w:tr>
      <w:tr w:rsidR="002B7A78" w14:paraId="20BF4A10" w14:textId="77777777" w:rsidTr="00635949">
        <w:tc>
          <w:tcPr>
            <w:tcW w:w="0" w:type="auto"/>
          </w:tcPr>
          <w:p w14:paraId="77BBD4C8" w14:textId="15E7C227" w:rsidR="002B7A78" w:rsidRDefault="002B7A78" w:rsidP="002B7A78">
            <w:pPr>
              <w:pStyle w:val="NoSpacing"/>
            </w:pPr>
            <w:r>
              <w:t>C</w:t>
            </w:r>
            <w:r w:rsidRPr="00404D29">
              <w:t>urrent hyperactivity-impulsivity sum score</w:t>
            </w:r>
            <w:r>
              <w:t xml:space="preserve"> </w:t>
            </w:r>
            <w:r w:rsidRPr="00404D29">
              <w:t>(mean self and informant)</w:t>
            </w:r>
          </w:p>
        </w:tc>
        <w:tc>
          <w:tcPr>
            <w:tcW w:w="0" w:type="auto"/>
          </w:tcPr>
          <w:p w14:paraId="7BDEFD01" w14:textId="798FA015" w:rsidR="002B7A78" w:rsidRDefault="002B7A78" w:rsidP="002B7A78">
            <w:pPr>
              <w:pStyle w:val="NoSpacing"/>
            </w:pPr>
          </w:p>
        </w:tc>
        <w:tc>
          <w:tcPr>
            <w:tcW w:w="0" w:type="auto"/>
          </w:tcPr>
          <w:p w14:paraId="349D1569" w14:textId="20690FCB" w:rsidR="002B7A78" w:rsidRDefault="002B7A78" w:rsidP="002B7A78">
            <w:pPr>
              <w:pStyle w:val="NoSpacing"/>
            </w:pPr>
          </w:p>
        </w:tc>
        <w:tc>
          <w:tcPr>
            <w:tcW w:w="0" w:type="auto"/>
          </w:tcPr>
          <w:p w14:paraId="094B3557" w14:textId="51901B02" w:rsidR="002B7A78" w:rsidRDefault="002B7A78" w:rsidP="002B7A78">
            <w:pPr>
              <w:pStyle w:val="NoSpacing"/>
            </w:pPr>
          </w:p>
        </w:tc>
        <w:tc>
          <w:tcPr>
            <w:tcW w:w="0" w:type="auto"/>
          </w:tcPr>
          <w:p w14:paraId="2549F611" w14:textId="3EDD79A2" w:rsidR="002B7A78" w:rsidRDefault="002B7A78" w:rsidP="002B7A78">
            <w:pPr>
              <w:pStyle w:val="NoSpacing"/>
            </w:pPr>
          </w:p>
        </w:tc>
        <w:tc>
          <w:tcPr>
            <w:tcW w:w="0" w:type="auto"/>
          </w:tcPr>
          <w:p w14:paraId="2171AB24" w14:textId="3137A5B9" w:rsidR="002B7A78" w:rsidRDefault="002B7A78" w:rsidP="002B7A78">
            <w:pPr>
              <w:pStyle w:val="NoSpacing"/>
            </w:pPr>
          </w:p>
        </w:tc>
      </w:tr>
      <w:tr w:rsidR="00326905" w14:paraId="4B993E35" w14:textId="77777777" w:rsidTr="00635949">
        <w:tc>
          <w:tcPr>
            <w:tcW w:w="0" w:type="auto"/>
          </w:tcPr>
          <w:p w14:paraId="129AB849" w14:textId="3EA8D435" w:rsidR="00326905" w:rsidRPr="00283283" w:rsidRDefault="00326905" w:rsidP="002B7A78">
            <w:pPr>
              <w:pStyle w:val="NoSpacing"/>
            </w:pPr>
            <w:r>
              <w:t>TOCA omission errors</w:t>
            </w:r>
          </w:p>
        </w:tc>
        <w:tc>
          <w:tcPr>
            <w:tcW w:w="0" w:type="auto"/>
          </w:tcPr>
          <w:p w14:paraId="549C7D7E" w14:textId="6E6BA82D" w:rsidR="00326905" w:rsidRDefault="00326905" w:rsidP="002B7A78">
            <w:pPr>
              <w:pStyle w:val="NoSpacing"/>
            </w:pPr>
            <w:r>
              <w:t>.22</w:t>
            </w:r>
          </w:p>
        </w:tc>
        <w:tc>
          <w:tcPr>
            <w:tcW w:w="0" w:type="auto"/>
          </w:tcPr>
          <w:p w14:paraId="128734BA" w14:textId="36B1960B" w:rsidR="00326905" w:rsidRDefault="00326905" w:rsidP="002B7A78">
            <w:pPr>
              <w:pStyle w:val="NoSpacing"/>
            </w:pPr>
            <w:r>
              <w:t>.22</w:t>
            </w:r>
          </w:p>
        </w:tc>
        <w:tc>
          <w:tcPr>
            <w:tcW w:w="0" w:type="auto"/>
          </w:tcPr>
          <w:p w14:paraId="67FE70E6" w14:textId="035A6FD1" w:rsidR="00326905" w:rsidRDefault="00326905" w:rsidP="002B7A78">
            <w:pPr>
              <w:pStyle w:val="NoSpacing"/>
            </w:pPr>
            <w:r>
              <w:t>&lt;.001</w:t>
            </w:r>
          </w:p>
        </w:tc>
        <w:tc>
          <w:tcPr>
            <w:tcW w:w="0" w:type="auto"/>
          </w:tcPr>
          <w:p w14:paraId="273E23A3" w14:textId="56041E81" w:rsidR="00326905" w:rsidRDefault="00326905" w:rsidP="002B7A78">
            <w:pPr>
              <w:pStyle w:val="NoSpacing"/>
            </w:pPr>
            <w:r>
              <w:t>[.11, .33]</w:t>
            </w:r>
          </w:p>
        </w:tc>
        <w:tc>
          <w:tcPr>
            <w:tcW w:w="0" w:type="auto"/>
          </w:tcPr>
          <w:p w14:paraId="15E9F644" w14:textId="77777777" w:rsidR="00326905" w:rsidRDefault="00326905" w:rsidP="002B7A78">
            <w:pPr>
              <w:pStyle w:val="NoSpacing"/>
            </w:pPr>
          </w:p>
        </w:tc>
      </w:tr>
      <w:tr w:rsidR="002B7A78" w14:paraId="597139D7" w14:textId="77777777" w:rsidTr="00635949">
        <w:tc>
          <w:tcPr>
            <w:tcW w:w="0" w:type="auto"/>
          </w:tcPr>
          <w:p w14:paraId="65891450" w14:textId="514C444C" w:rsidR="002B7A78" w:rsidRDefault="002B7A78" w:rsidP="002B7A78">
            <w:pPr>
              <w:pStyle w:val="NoSpacing"/>
            </w:pPr>
            <w:r w:rsidRPr="00283283">
              <w:t>Listening Span trials</w:t>
            </w:r>
          </w:p>
        </w:tc>
        <w:tc>
          <w:tcPr>
            <w:tcW w:w="0" w:type="auto"/>
          </w:tcPr>
          <w:p w14:paraId="56DD2C5C" w14:textId="59CFF6A5" w:rsidR="002B7A78" w:rsidRDefault="007906C7" w:rsidP="002B7A78">
            <w:pPr>
              <w:pStyle w:val="NoSpacing"/>
            </w:pPr>
            <w:r>
              <w:t>.12</w:t>
            </w:r>
          </w:p>
        </w:tc>
        <w:tc>
          <w:tcPr>
            <w:tcW w:w="0" w:type="auto"/>
          </w:tcPr>
          <w:p w14:paraId="7DFBA374" w14:textId="448B3F36" w:rsidR="002B7A78" w:rsidRDefault="007906C7" w:rsidP="002B7A78">
            <w:pPr>
              <w:pStyle w:val="NoSpacing"/>
            </w:pPr>
            <w:r>
              <w:t>.13</w:t>
            </w:r>
          </w:p>
        </w:tc>
        <w:tc>
          <w:tcPr>
            <w:tcW w:w="0" w:type="auto"/>
          </w:tcPr>
          <w:p w14:paraId="39BA97C5" w14:textId="11C785B3" w:rsidR="002B7A78" w:rsidRDefault="007906C7" w:rsidP="002B7A78">
            <w:pPr>
              <w:pStyle w:val="NoSpacing"/>
            </w:pPr>
            <w:r>
              <w:t>.034</w:t>
            </w:r>
          </w:p>
        </w:tc>
        <w:tc>
          <w:tcPr>
            <w:tcW w:w="0" w:type="auto"/>
          </w:tcPr>
          <w:p w14:paraId="465D3982" w14:textId="6037F4C3" w:rsidR="002B7A78" w:rsidRDefault="007906C7" w:rsidP="002B7A78">
            <w:pPr>
              <w:pStyle w:val="NoSpacing"/>
            </w:pPr>
            <w:r>
              <w:t>[.01, .23]</w:t>
            </w:r>
          </w:p>
        </w:tc>
        <w:tc>
          <w:tcPr>
            <w:tcW w:w="0" w:type="auto"/>
          </w:tcPr>
          <w:p w14:paraId="0173FB02" w14:textId="66C9A472" w:rsidR="002B7A78" w:rsidRDefault="007906C7" w:rsidP="002B7A78">
            <w:pPr>
              <w:pStyle w:val="NoSpacing"/>
            </w:pPr>
            <w:r>
              <w:t>.21 (.06)</w:t>
            </w:r>
          </w:p>
        </w:tc>
      </w:tr>
      <w:tr w:rsidR="002B7A78" w14:paraId="739A006F" w14:textId="77777777" w:rsidTr="00635949">
        <w:tc>
          <w:tcPr>
            <w:tcW w:w="0" w:type="auto"/>
          </w:tcPr>
          <w:p w14:paraId="67C4DD32" w14:textId="218A4881" w:rsidR="002B7A78" w:rsidRDefault="002B7A78" w:rsidP="002B7A78">
            <w:pPr>
              <w:pStyle w:val="NoSpacing"/>
            </w:pPr>
            <w:r w:rsidRPr="00283283">
              <w:t>BDEFS percentile</w:t>
            </w:r>
          </w:p>
        </w:tc>
        <w:tc>
          <w:tcPr>
            <w:tcW w:w="0" w:type="auto"/>
          </w:tcPr>
          <w:p w14:paraId="0666C8A5" w14:textId="77777777" w:rsidR="002B7A78" w:rsidRDefault="002B7A78" w:rsidP="002B7A78">
            <w:pPr>
              <w:pStyle w:val="NoSpacing"/>
            </w:pPr>
          </w:p>
        </w:tc>
        <w:tc>
          <w:tcPr>
            <w:tcW w:w="0" w:type="auto"/>
          </w:tcPr>
          <w:p w14:paraId="302C109F" w14:textId="77777777" w:rsidR="002B7A78" w:rsidRDefault="002B7A78" w:rsidP="002B7A78">
            <w:pPr>
              <w:pStyle w:val="NoSpacing"/>
            </w:pPr>
          </w:p>
        </w:tc>
        <w:tc>
          <w:tcPr>
            <w:tcW w:w="0" w:type="auto"/>
          </w:tcPr>
          <w:p w14:paraId="258683D2" w14:textId="77777777" w:rsidR="002B7A78" w:rsidRDefault="002B7A78" w:rsidP="002B7A78">
            <w:pPr>
              <w:pStyle w:val="NoSpacing"/>
            </w:pPr>
          </w:p>
        </w:tc>
        <w:tc>
          <w:tcPr>
            <w:tcW w:w="0" w:type="auto"/>
          </w:tcPr>
          <w:p w14:paraId="347BE3E2" w14:textId="77777777" w:rsidR="002B7A78" w:rsidRDefault="002B7A78" w:rsidP="002B7A78">
            <w:pPr>
              <w:pStyle w:val="NoSpacing"/>
            </w:pPr>
          </w:p>
        </w:tc>
        <w:tc>
          <w:tcPr>
            <w:tcW w:w="0" w:type="auto"/>
          </w:tcPr>
          <w:p w14:paraId="0FE231B7" w14:textId="77777777" w:rsidR="002B7A78" w:rsidRDefault="002B7A78" w:rsidP="002B7A78">
            <w:pPr>
              <w:pStyle w:val="NoSpacing"/>
            </w:pPr>
          </w:p>
        </w:tc>
      </w:tr>
      <w:tr w:rsidR="002B7A78" w14:paraId="3D160979" w14:textId="77777777" w:rsidTr="00635949">
        <w:trPr>
          <w:trHeight w:val="510"/>
        </w:trPr>
        <w:tc>
          <w:tcPr>
            <w:tcW w:w="0" w:type="auto"/>
          </w:tcPr>
          <w:p w14:paraId="760FA30C" w14:textId="473C9F24" w:rsidR="002B7A78" w:rsidRDefault="002B7A78" w:rsidP="002B7A78">
            <w:pPr>
              <w:pStyle w:val="NoSpacing"/>
            </w:pPr>
            <w:r w:rsidRPr="00283283">
              <w:t xml:space="preserve">TOVA reaction time variability </w:t>
            </w:r>
          </w:p>
        </w:tc>
        <w:tc>
          <w:tcPr>
            <w:tcW w:w="0" w:type="auto"/>
          </w:tcPr>
          <w:p w14:paraId="50EF05F5" w14:textId="5B54ADEB" w:rsidR="002B7A78" w:rsidRDefault="003A6733" w:rsidP="002B7A78">
            <w:pPr>
              <w:pStyle w:val="NoSpacing"/>
            </w:pPr>
            <w:r>
              <w:t>.27</w:t>
            </w:r>
          </w:p>
        </w:tc>
        <w:tc>
          <w:tcPr>
            <w:tcW w:w="0" w:type="auto"/>
          </w:tcPr>
          <w:p w14:paraId="7CC478EB" w14:textId="3EC060BA" w:rsidR="002B7A78" w:rsidRDefault="003A6733" w:rsidP="002B7A78">
            <w:pPr>
              <w:pStyle w:val="NoSpacing"/>
            </w:pPr>
            <w:r>
              <w:t>.27</w:t>
            </w:r>
          </w:p>
        </w:tc>
        <w:tc>
          <w:tcPr>
            <w:tcW w:w="0" w:type="auto"/>
          </w:tcPr>
          <w:p w14:paraId="185FC550" w14:textId="6F2A0F9F" w:rsidR="002B7A78" w:rsidRDefault="003A6733" w:rsidP="002B7A78">
            <w:pPr>
              <w:pStyle w:val="NoSpacing"/>
            </w:pPr>
            <w:r>
              <w:t>&lt;.001</w:t>
            </w:r>
          </w:p>
        </w:tc>
        <w:tc>
          <w:tcPr>
            <w:tcW w:w="0" w:type="auto"/>
          </w:tcPr>
          <w:p w14:paraId="2D213DF1" w14:textId="189BEA6C" w:rsidR="002B7A78" w:rsidRDefault="003A6733" w:rsidP="002B7A78">
            <w:pPr>
              <w:pStyle w:val="NoSpacing"/>
            </w:pPr>
            <w:r>
              <w:t>[.10, .44]</w:t>
            </w:r>
          </w:p>
        </w:tc>
        <w:tc>
          <w:tcPr>
            <w:tcW w:w="0" w:type="auto"/>
          </w:tcPr>
          <w:p w14:paraId="6F522302" w14:textId="77777777" w:rsidR="002B7A78" w:rsidRDefault="002B7A78" w:rsidP="002B7A78">
            <w:pPr>
              <w:pStyle w:val="NoSpacing"/>
            </w:pPr>
          </w:p>
        </w:tc>
      </w:tr>
      <w:tr w:rsidR="002B7A78" w14:paraId="577A00B0" w14:textId="77777777" w:rsidTr="00635949">
        <w:trPr>
          <w:trHeight w:val="555"/>
        </w:trPr>
        <w:tc>
          <w:tcPr>
            <w:tcW w:w="0" w:type="auto"/>
          </w:tcPr>
          <w:p w14:paraId="35EB2769" w14:textId="0EE21CEF" w:rsidR="002B7A78" w:rsidRPr="00283283" w:rsidRDefault="002B7A78" w:rsidP="002B7A78">
            <w:pPr>
              <w:pStyle w:val="NoSpacing"/>
            </w:pPr>
            <w:r w:rsidRPr="00283283">
              <w:t>CVLT short delay free recall</w:t>
            </w:r>
          </w:p>
        </w:tc>
        <w:tc>
          <w:tcPr>
            <w:tcW w:w="0" w:type="auto"/>
          </w:tcPr>
          <w:p w14:paraId="1953A8B6" w14:textId="1B61BC9E" w:rsidR="002B7A78" w:rsidRDefault="003A6733" w:rsidP="002B7A78">
            <w:pPr>
              <w:pStyle w:val="NoSpacing"/>
            </w:pPr>
            <w:r>
              <w:t>.13</w:t>
            </w:r>
          </w:p>
        </w:tc>
        <w:tc>
          <w:tcPr>
            <w:tcW w:w="0" w:type="auto"/>
          </w:tcPr>
          <w:p w14:paraId="397BFF1F" w14:textId="48428DEE" w:rsidR="002B7A78" w:rsidRDefault="003A6733" w:rsidP="002B7A78">
            <w:pPr>
              <w:pStyle w:val="NoSpacing"/>
            </w:pPr>
            <w:r>
              <w:t>.13</w:t>
            </w:r>
          </w:p>
        </w:tc>
        <w:tc>
          <w:tcPr>
            <w:tcW w:w="0" w:type="auto"/>
          </w:tcPr>
          <w:p w14:paraId="64F71A28" w14:textId="6166D424" w:rsidR="002B7A78" w:rsidRDefault="003A6733" w:rsidP="002B7A78">
            <w:pPr>
              <w:pStyle w:val="NoSpacing"/>
            </w:pPr>
            <w:r>
              <w:t>.03</w:t>
            </w:r>
          </w:p>
        </w:tc>
        <w:tc>
          <w:tcPr>
            <w:tcW w:w="0" w:type="auto"/>
          </w:tcPr>
          <w:p w14:paraId="76B35ED3" w14:textId="11C4F68E" w:rsidR="002B7A78" w:rsidRDefault="003A6733" w:rsidP="002B7A78">
            <w:pPr>
              <w:pStyle w:val="NoSpacing"/>
            </w:pPr>
            <w:r>
              <w:t>[.05, .21]</w:t>
            </w:r>
          </w:p>
        </w:tc>
        <w:tc>
          <w:tcPr>
            <w:tcW w:w="0" w:type="auto"/>
          </w:tcPr>
          <w:p w14:paraId="5A49ACE0" w14:textId="20BA3260" w:rsidR="002B7A78" w:rsidRDefault="003A6733" w:rsidP="002B7A78">
            <w:pPr>
              <w:pStyle w:val="NoSpacing"/>
            </w:pPr>
            <w:r>
              <w:t>.20 (.08)</w:t>
            </w:r>
          </w:p>
        </w:tc>
      </w:tr>
      <w:tr w:rsidR="002B7A78" w14:paraId="4DBC4922" w14:textId="77777777" w:rsidTr="00E10ED2">
        <w:trPr>
          <w:trHeight w:val="242"/>
        </w:trPr>
        <w:tc>
          <w:tcPr>
            <w:tcW w:w="0" w:type="auto"/>
          </w:tcPr>
          <w:p w14:paraId="1796F6D6" w14:textId="5634754B" w:rsidR="002B7A78" w:rsidRPr="00283283" w:rsidRDefault="002B7A78" w:rsidP="002B7A78">
            <w:pPr>
              <w:pStyle w:val="NoSpacing"/>
            </w:pPr>
            <w:r w:rsidRPr="00BB19E9">
              <w:t>BFIS percentile</w:t>
            </w:r>
          </w:p>
        </w:tc>
        <w:tc>
          <w:tcPr>
            <w:tcW w:w="0" w:type="auto"/>
          </w:tcPr>
          <w:p w14:paraId="15883C9F" w14:textId="77777777" w:rsidR="002B7A78" w:rsidRDefault="002B7A78" w:rsidP="002B7A78">
            <w:pPr>
              <w:pStyle w:val="NoSpacing"/>
            </w:pPr>
          </w:p>
        </w:tc>
        <w:tc>
          <w:tcPr>
            <w:tcW w:w="0" w:type="auto"/>
          </w:tcPr>
          <w:p w14:paraId="268A612D" w14:textId="77777777" w:rsidR="002B7A78" w:rsidRDefault="002B7A78" w:rsidP="002B7A78">
            <w:pPr>
              <w:pStyle w:val="NoSpacing"/>
            </w:pPr>
          </w:p>
        </w:tc>
        <w:tc>
          <w:tcPr>
            <w:tcW w:w="0" w:type="auto"/>
          </w:tcPr>
          <w:p w14:paraId="25BEC4C8" w14:textId="77777777" w:rsidR="002B7A78" w:rsidRDefault="002B7A78" w:rsidP="002B7A78">
            <w:pPr>
              <w:pStyle w:val="NoSpacing"/>
            </w:pPr>
          </w:p>
        </w:tc>
        <w:tc>
          <w:tcPr>
            <w:tcW w:w="0" w:type="auto"/>
          </w:tcPr>
          <w:p w14:paraId="228FE06F" w14:textId="77777777" w:rsidR="002B7A78" w:rsidRDefault="002B7A78" w:rsidP="002B7A78">
            <w:pPr>
              <w:pStyle w:val="NoSpacing"/>
            </w:pPr>
          </w:p>
        </w:tc>
        <w:tc>
          <w:tcPr>
            <w:tcW w:w="0" w:type="auto"/>
          </w:tcPr>
          <w:p w14:paraId="04A1C983" w14:textId="77777777" w:rsidR="002B7A78" w:rsidRDefault="002B7A78" w:rsidP="002B7A78">
            <w:pPr>
              <w:pStyle w:val="NoSpacing"/>
            </w:pPr>
          </w:p>
        </w:tc>
      </w:tr>
      <w:tr w:rsidR="002B7A78" w14:paraId="530DB8C6" w14:textId="77777777" w:rsidTr="00E10ED2">
        <w:trPr>
          <w:trHeight w:val="323"/>
        </w:trPr>
        <w:tc>
          <w:tcPr>
            <w:tcW w:w="0" w:type="auto"/>
          </w:tcPr>
          <w:p w14:paraId="57D8272E" w14:textId="270CA3C9" w:rsidR="002B7A78" w:rsidRPr="00283283" w:rsidRDefault="002B7A78" w:rsidP="002B7A78">
            <w:pPr>
              <w:pStyle w:val="NoSpacing"/>
            </w:pPr>
            <w:r w:rsidRPr="00BB19E9">
              <w:t>TOVA reaction time</w:t>
            </w:r>
          </w:p>
        </w:tc>
        <w:tc>
          <w:tcPr>
            <w:tcW w:w="0" w:type="auto"/>
          </w:tcPr>
          <w:p w14:paraId="1A63E2F5" w14:textId="56E40D99" w:rsidR="002B7A78" w:rsidRDefault="003A6733" w:rsidP="002B7A78">
            <w:pPr>
              <w:pStyle w:val="NoSpacing"/>
            </w:pPr>
            <w:r>
              <w:t>.17</w:t>
            </w:r>
          </w:p>
        </w:tc>
        <w:tc>
          <w:tcPr>
            <w:tcW w:w="0" w:type="auto"/>
          </w:tcPr>
          <w:p w14:paraId="0506A347" w14:textId="7C7150DB" w:rsidR="002B7A78" w:rsidRDefault="003A6733" w:rsidP="002B7A78">
            <w:pPr>
              <w:pStyle w:val="NoSpacing"/>
            </w:pPr>
            <w:r>
              <w:t>.17</w:t>
            </w:r>
          </w:p>
        </w:tc>
        <w:tc>
          <w:tcPr>
            <w:tcW w:w="0" w:type="auto"/>
          </w:tcPr>
          <w:p w14:paraId="6AB29F33" w14:textId="34BFA8E0" w:rsidR="002B7A78" w:rsidRDefault="003A6733" w:rsidP="002B7A78">
            <w:pPr>
              <w:pStyle w:val="NoSpacing"/>
            </w:pPr>
            <w:r>
              <w:t>.01</w:t>
            </w:r>
          </w:p>
        </w:tc>
        <w:tc>
          <w:tcPr>
            <w:tcW w:w="0" w:type="auto"/>
          </w:tcPr>
          <w:p w14:paraId="61926182" w14:textId="14A9FEB8" w:rsidR="002B7A78" w:rsidRDefault="00635949" w:rsidP="002B7A78">
            <w:pPr>
              <w:pStyle w:val="NoSpacing"/>
            </w:pPr>
            <w:r>
              <w:t>[.04, .30]</w:t>
            </w:r>
          </w:p>
        </w:tc>
        <w:tc>
          <w:tcPr>
            <w:tcW w:w="0" w:type="auto"/>
          </w:tcPr>
          <w:p w14:paraId="47B3AD57" w14:textId="77777777" w:rsidR="002B7A78" w:rsidRDefault="002B7A78" w:rsidP="002B7A78">
            <w:pPr>
              <w:pStyle w:val="NoSpacing"/>
            </w:pPr>
          </w:p>
        </w:tc>
      </w:tr>
      <w:tr w:rsidR="002B7A78" w14:paraId="2933DF07" w14:textId="77777777" w:rsidTr="00635949">
        <w:trPr>
          <w:trHeight w:val="555"/>
        </w:trPr>
        <w:tc>
          <w:tcPr>
            <w:tcW w:w="0" w:type="auto"/>
          </w:tcPr>
          <w:p w14:paraId="0437B788" w14:textId="05A5E083" w:rsidR="002B7A78" w:rsidRPr="00283283" w:rsidRDefault="002B7A78" w:rsidP="002B7A78">
            <w:pPr>
              <w:pStyle w:val="NoSpacing"/>
            </w:pPr>
            <w:r w:rsidRPr="00BB19E9">
              <w:t>Listening Span trials</w:t>
            </w:r>
          </w:p>
        </w:tc>
        <w:tc>
          <w:tcPr>
            <w:tcW w:w="0" w:type="auto"/>
          </w:tcPr>
          <w:p w14:paraId="68887C06" w14:textId="6976A74B" w:rsidR="002B7A78" w:rsidRDefault="00635949" w:rsidP="002B7A78">
            <w:pPr>
              <w:pStyle w:val="NoSpacing"/>
            </w:pPr>
            <w:r>
              <w:t>.17</w:t>
            </w:r>
          </w:p>
        </w:tc>
        <w:tc>
          <w:tcPr>
            <w:tcW w:w="0" w:type="auto"/>
          </w:tcPr>
          <w:p w14:paraId="570AE50B" w14:textId="16513D43" w:rsidR="002B7A78" w:rsidRDefault="00635949" w:rsidP="002B7A78">
            <w:pPr>
              <w:pStyle w:val="NoSpacing"/>
            </w:pPr>
            <w:r>
              <w:t>.17</w:t>
            </w:r>
          </w:p>
        </w:tc>
        <w:tc>
          <w:tcPr>
            <w:tcW w:w="0" w:type="auto"/>
          </w:tcPr>
          <w:p w14:paraId="5801C24B" w14:textId="78BD261F" w:rsidR="002B7A78" w:rsidRDefault="00635949" w:rsidP="002B7A78">
            <w:pPr>
              <w:pStyle w:val="NoSpacing"/>
            </w:pPr>
            <w:r>
              <w:t>.006</w:t>
            </w:r>
          </w:p>
        </w:tc>
        <w:tc>
          <w:tcPr>
            <w:tcW w:w="0" w:type="auto"/>
          </w:tcPr>
          <w:p w14:paraId="56879548" w14:textId="6150E644" w:rsidR="002B7A78" w:rsidRDefault="00635949" w:rsidP="002B7A78">
            <w:pPr>
              <w:pStyle w:val="NoSpacing"/>
            </w:pPr>
            <w:r>
              <w:t>[.05, .29]</w:t>
            </w:r>
          </w:p>
        </w:tc>
        <w:tc>
          <w:tcPr>
            <w:tcW w:w="0" w:type="auto"/>
          </w:tcPr>
          <w:p w14:paraId="2A76C36C" w14:textId="77E239A2" w:rsidR="002B7A78" w:rsidRDefault="00635949" w:rsidP="002B7A78">
            <w:pPr>
              <w:pStyle w:val="NoSpacing"/>
            </w:pPr>
            <w:r>
              <w:t>.15 (.06)</w:t>
            </w:r>
          </w:p>
        </w:tc>
      </w:tr>
    </w:tbl>
    <w:p w14:paraId="7A49465C" w14:textId="3161EB62" w:rsidR="00A9691F" w:rsidRDefault="00BB19E9" w:rsidP="00A9691F">
      <w:pPr>
        <w:pStyle w:val="NoSpacing"/>
      </w:pPr>
      <w:r w:rsidRPr="00BB19E9">
        <w:rPr>
          <w:b/>
          <w:bCs/>
        </w:rPr>
        <w:t>Note.</w:t>
      </w:r>
      <w:r w:rsidRPr="00BB19E9">
        <w:t xml:space="preserve"> Total R</w:t>
      </w:r>
      <w:r w:rsidRPr="00BB19E9">
        <w:rPr>
          <w:vertAlign w:val="superscript"/>
        </w:rPr>
        <w:t>2</w:t>
      </w:r>
      <w:r w:rsidRPr="00BB19E9">
        <w:t xml:space="preserve"> value is for full model including covariates of IQ and stimulant medication. Change in R</w:t>
      </w:r>
      <w:r w:rsidRPr="00BB19E9">
        <w:rPr>
          <w:vertAlign w:val="superscript"/>
        </w:rPr>
        <w:t>2</w:t>
      </w:r>
      <w:r w:rsidRPr="00BB19E9">
        <w:t xml:space="preserve"> (</w:t>
      </w:r>
      <w:r>
        <w:rPr>
          <w:rFonts w:cstheme="minorHAnsi"/>
        </w:rPr>
        <w:t>Δ</w:t>
      </w:r>
      <w:r w:rsidRPr="00BB19E9">
        <w:t>R</w:t>
      </w:r>
      <w:r w:rsidRPr="00BB19E9">
        <w:rPr>
          <w:vertAlign w:val="superscript"/>
        </w:rPr>
        <w:t>2</w:t>
      </w:r>
      <w:r w:rsidRPr="00BB19E9">
        <w:t xml:space="preserve">) represents the incremental variance explained by the neurocognitive measures. ADHD </w:t>
      </w:r>
      <w:r>
        <w:t>=</w:t>
      </w:r>
      <w:r w:rsidRPr="00BB19E9">
        <w:t xml:space="preserve"> attention-deficit/hyperactivity disorder; TOVA </w:t>
      </w:r>
      <w:r>
        <w:t>=</w:t>
      </w:r>
      <w:r w:rsidRPr="00BB19E9">
        <w:t xml:space="preserve"> Test of Variables of Attention; CW </w:t>
      </w:r>
      <w:r>
        <w:t>=</w:t>
      </w:r>
      <w:r w:rsidRPr="00BB19E9">
        <w:t xml:space="preserve"> Color-Word; CVLT </w:t>
      </w:r>
      <w:r>
        <w:t>=</w:t>
      </w:r>
      <w:r w:rsidRPr="00BB19E9">
        <w:t xml:space="preserve"> California Verbal Learning Test; BDEFS </w:t>
      </w:r>
      <w:r>
        <w:t>=</w:t>
      </w:r>
      <w:r w:rsidRPr="00BB19E9">
        <w:t xml:space="preserve"> Barkley Deficits in Executive Function Scale; BFIS </w:t>
      </w:r>
      <w:r>
        <w:t>=</w:t>
      </w:r>
      <w:r w:rsidRPr="00BB19E9">
        <w:t xml:space="preserve"> Barkley Functional Impairment Scale.</w:t>
      </w:r>
    </w:p>
    <w:p w14:paraId="148FD3EA" w14:textId="77777777" w:rsidR="007F68B3" w:rsidRPr="00A9691F" w:rsidRDefault="007F68B3" w:rsidP="00A9691F">
      <w:pPr>
        <w:pStyle w:val="NoSpacing"/>
      </w:pPr>
    </w:p>
    <w:p w14:paraId="59655DC3" w14:textId="3C52099E" w:rsidR="00152B2C" w:rsidRDefault="00152B2C" w:rsidP="00152B2C">
      <w:pPr>
        <w:pStyle w:val="Heading2"/>
      </w:pPr>
      <w:r>
        <w:lastRenderedPageBreak/>
        <w:t>Determining Cut Scores</w:t>
      </w:r>
      <w:r w:rsidR="00A41B82">
        <w:t xml:space="preserve"> and Individual Test Diagnostic</w:t>
      </w:r>
    </w:p>
    <w:p w14:paraId="3247D9A7" w14:textId="64A71E7A" w:rsidR="00A41B82" w:rsidRDefault="00A41B82" w:rsidP="00A41B82">
      <w:pPr>
        <w:pStyle w:val="Heading3"/>
      </w:pPr>
      <w:r>
        <w:t>Individual neuropsychological test measures</w:t>
      </w:r>
    </w:p>
    <w:p w14:paraId="7A491D83" w14:textId="69DEC17B" w:rsidR="007F68B3" w:rsidRDefault="007F68B3" w:rsidP="007F68B3">
      <w:pPr>
        <w:pStyle w:val="NoSpacing"/>
      </w:pPr>
      <w:r>
        <w:t xml:space="preserve">Overall, six test measures consistently emerged when predicting diagnostic group membership as well as symptom severity and ADHD-related impairments: CVLT short delay free recall, Salthouse Listening Span trials, DKEFS CWIT inhibition/switching condition, and the RT variability, RT, and omission errors indices from the TOVA. We utilized the ROC data to calculate cut scores for each measure that maximized sensitivity and specificity for each in predicting ADHD group membership. We calculated Youden’s </w:t>
      </w:r>
      <w:r>
        <w:rPr>
          <w:rStyle w:val="Emphasis"/>
        </w:rPr>
        <w:t>J</w:t>
      </w:r>
      <w:r>
        <w:t xml:space="preserve"> statistics for each potential cut-score (defined as sensitivity + specificity − 1), which specify the score that can maximize both sensitivity and specificity for each measure. Results are presented in </w:t>
      </w:r>
      <w:hyperlink r:id="rId86" w:anchor="tbl5" w:history="1">
        <w:r>
          <w:rPr>
            <w:rStyle w:val="Hyperlink"/>
          </w:rPr>
          <w:t>Table 5</w:t>
        </w:r>
      </w:hyperlink>
      <w:r>
        <w:t>. Overall, the cut scores identified as most optimal for distinguishing ADHD and non-ADHD participants were generally within the average range compared with the established norms for each test measure, which is consistent with the above average levels of education and above average IQ of the sample.</w:t>
      </w:r>
    </w:p>
    <w:p w14:paraId="21B17F00" w14:textId="33E9EF25" w:rsidR="007F68B3" w:rsidRDefault="007F68B3" w:rsidP="007F68B3">
      <w:pPr>
        <w:pStyle w:val="NoSpacing"/>
      </w:pPr>
    </w:p>
    <w:p w14:paraId="5A19B0CA" w14:textId="4C13283C" w:rsidR="000A16D2" w:rsidRPr="000A16D2" w:rsidRDefault="000A16D2" w:rsidP="00976CE3">
      <w:pPr>
        <w:pStyle w:val="NoSpacing"/>
      </w:pPr>
      <w:r>
        <w:rPr>
          <w:b/>
          <w:bCs/>
        </w:rPr>
        <w:t xml:space="preserve">Table 5. </w:t>
      </w:r>
      <w:r w:rsidRPr="000A16D2">
        <w:t>Optimizing Sensitivity and Specificity for Key Neurocognitive Test Predictors of ADHD Diagnosis and Symptom Severity</w:t>
      </w:r>
    </w:p>
    <w:tbl>
      <w:tblPr>
        <w:tblStyle w:val="TableGridLight"/>
        <w:tblW w:w="0" w:type="auto"/>
        <w:tblLook w:val="0020" w:firstRow="1" w:lastRow="0" w:firstColumn="0" w:lastColumn="0" w:noHBand="0" w:noVBand="0"/>
      </w:tblPr>
      <w:tblGrid>
        <w:gridCol w:w="2917"/>
        <w:gridCol w:w="1160"/>
        <w:gridCol w:w="1146"/>
        <w:gridCol w:w="660"/>
        <w:gridCol w:w="688"/>
        <w:gridCol w:w="914"/>
      </w:tblGrid>
      <w:tr w:rsidR="000A16D2" w:rsidRPr="000A16D2" w14:paraId="747F3E86" w14:textId="77777777" w:rsidTr="008E6217">
        <w:trPr>
          <w:trHeight w:val="233"/>
        </w:trPr>
        <w:tc>
          <w:tcPr>
            <w:tcW w:w="0" w:type="auto"/>
          </w:tcPr>
          <w:p w14:paraId="26A019DD" w14:textId="77777777" w:rsidR="000A16D2" w:rsidRPr="000A16D2" w:rsidRDefault="000A16D2" w:rsidP="000A16D2">
            <w:pPr>
              <w:pStyle w:val="NoSpacing"/>
              <w:rPr>
                <w:b/>
                <w:bCs/>
              </w:rPr>
            </w:pPr>
            <w:r w:rsidRPr="000A16D2">
              <w:rPr>
                <w:b/>
                <w:bCs/>
              </w:rPr>
              <w:t xml:space="preserve">Test measure and </w:t>
            </w:r>
            <w:proofErr w:type="gramStart"/>
            <w:r w:rsidRPr="000A16D2">
              <w:rPr>
                <w:b/>
                <w:bCs/>
              </w:rPr>
              <w:t>cut-score</w:t>
            </w:r>
            <w:proofErr w:type="gramEnd"/>
          </w:p>
        </w:tc>
        <w:tc>
          <w:tcPr>
            <w:tcW w:w="0" w:type="auto"/>
          </w:tcPr>
          <w:p w14:paraId="670CFD03" w14:textId="77777777" w:rsidR="000A16D2" w:rsidRPr="000A16D2" w:rsidRDefault="000A16D2" w:rsidP="000A16D2">
            <w:pPr>
              <w:pStyle w:val="NoSpacing"/>
              <w:rPr>
                <w:b/>
                <w:bCs/>
              </w:rPr>
            </w:pPr>
            <w:r w:rsidRPr="000A16D2">
              <w:rPr>
                <w:b/>
                <w:bCs/>
              </w:rPr>
              <w:t>Sensitivity</w:t>
            </w:r>
          </w:p>
        </w:tc>
        <w:tc>
          <w:tcPr>
            <w:tcW w:w="0" w:type="auto"/>
          </w:tcPr>
          <w:p w14:paraId="78535219" w14:textId="77777777" w:rsidR="000A16D2" w:rsidRPr="000A16D2" w:rsidRDefault="000A16D2" w:rsidP="000A16D2">
            <w:pPr>
              <w:pStyle w:val="NoSpacing"/>
              <w:rPr>
                <w:b/>
                <w:bCs/>
              </w:rPr>
            </w:pPr>
            <w:r w:rsidRPr="000A16D2">
              <w:rPr>
                <w:b/>
                <w:bCs/>
              </w:rPr>
              <w:t>Specificity</w:t>
            </w:r>
          </w:p>
        </w:tc>
        <w:tc>
          <w:tcPr>
            <w:tcW w:w="0" w:type="auto"/>
          </w:tcPr>
          <w:p w14:paraId="2F818C82" w14:textId="77777777" w:rsidR="000A16D2" w:rsidRPr="000A16D2" w:rsidRDefault="000A16D2" w:rsidP="000A16D2">
            <w:pPr>
              <w:pStyle w:val="NoSpacing"/>
              <w:rPr>
                <w:b/>
                <w:bCs/>
              </w:rPr>
            </w:pPr>
            <w:proofErr w:type="spellStart"/>
            <w:r w:rsidRPr="000A16D2">
              <w:rPr>
                <w:b/>
                <w:bCs/>
              </w:rPr>
              <w:t>cPPP</w:t>
            </w:r>
            <w:proofErr w:type="spellEnd"/>
          </w:p>
        </w:tc>
        <w:tc>
          <w:tcPr>
            <w:tcW w:w="0" w:type="auto"/>
          </w:tcPr>
          <w:p w14:paraId="17F821C8" w14:textId="77777777" w:rsidR="000A16D2" w:rsidRPr="000A16D2" w:rsidRDefault="000A16D2" w:rsidP="000A16D2">
            <w:pPr>
              <w:pStyle w:val="NoSpacing"/>
              <w:rPr>
                <w:b/>
                <w:bCs/>
              </w:rPr>
            </w:pPr>
            <w:proofErr w:type="spellStart"/>
            <w:r w:rsidRPr="000A16D2">
              <w:rPr>
                <w:b/>
                <w:bCs/>
              </w:rPr>
              <w:t>cNPP</w:t>
            </w:r>
            <w:proofErr w:type="spellEnd"/>
          </w:p>
        </w:tc>
        <w:tc>
          <w:tcPr>
            <w:tcW w:w="0" w:type="auto"/>
          </w:tcPr>
          <w:p w14:paraId="2534C53B" w14:textId="77777777" w:rsidR="000A16D2" w:rsidRPr="000A16D2" w:rsidRDefault="000A16D2" w:rsidP="000A16D2">
            <w:pPr>
              <w:pStyle w:val="NoSpacing"/>
              <w:rPr>
                <w:b/>
                <w:bCs/>
              </w:rPr>
            </w:pPr>
            <w:r w:rsidRPr="000A16D2">
              <w:rPr>
                <w:b/>
                <w:bCs/>
              </w:rPr>
              <w:t>Youden</w:t>
            </w:r>
          </w:p>
        </w:tc>
      </w:tr>
      <w:tr w:rsidR="000A16D2" w:rsidRPr="000A16D2" w14:paraId="5DC470FE" w14:textId="77777777" w:rsidTr="008E6217">
        <w:trPr>
          <w:trHeight w:val="265"/>
        </w:trPr>
        <w:tc>
          <w:tcPr>
            <w:tcW w:w="0" w:type="auto"/>
          </w:tcPr>
          <w:p w14:paraId="508E8F91" w14:textId="77777777" w:rsidR="000A16D2" w:rsidRPr="000A16D2" w:rsidRDefault="000A16D2" w:rsidP="000A16D2">
            <w:pPr>
              <w:pStyle w:val="NoSpacing"/>
            </w:pPr>
            <w:r w:rsidRPr="000A16D2">
              <w:t>CVLT short delay free recall</w:t>
            </w:r>
          </w:p>
        </w:tc>
        <w:tc>
          <w:tcPr>
            <w:tcW w:w="0" w:type="auto"/>
          </w:tcPr>
          <w:p w14:paraId="0826954E" w14:textId="77777777" w:rsidR="000A16D2" w:rsidRPr="000A16D2" w:rsidRDefault="000A16D2" w:rsidP="000A16D2">
            <w:pPr>
              <w:pStyle w:val="NoSpacing"/>
            </w:pPr>
          </w:p>
        </w:tc>
        <w:tc>
          <w:tcPr>
            <w:tcW w:w="0" w:type="auto"/>
          </w:tcPr>
          <w:p w14:paraId="4B3A8CD4" w14:textId="77777777" w:rsidR="000A16D2" w:rsidRPr="000A16D2" w:rsidRDefault="000A16D2" w:rsidP="000A16D2">
            <w:pPr>
              <w:pStyle w:val="NoSpacing"/>
            </w:pPr>
          </w:p>
        </w:tc>
        <w:tc>
          <w:tcPr>
            <w:tcW w:w="0" w:type="auto"/>
          </w:tcPr>
          <w:p w14:paraId="20398366" w14:textId="77777777" w:rsidR="000A16D2" w:rsidRPr="000A16D2" w:rsidRDefault="000A16D2" w:rsidP="000A16D2">
            <w:pPr>
              <w:pStyle w:val="NoSpacing"/>
            </w:pPr>
          </w:p>
        </w:tc>
        <w:tc>
          <w:tcPr>
            <w:tcW w:w="0" w:type="auto"/>
          </w:tcPr>
          <w:p w14:paraId="5972A67C" w14:textId="77777777" w:rsidR="000A16D2" w:rsidRPr="000A16D2" w:rsidRDefault="000A16D2" w:rsidP="000A16D2">
            <w:pPr>
              <w:pStyle w:val="NoSpacing"/>
            </w:pPr>
          </w:p>
        </w:tc>
        <w:tc>
          <w:tcPr>
            <w:tcW w:w="0" w:type="auto"/>
          </w:tcPr>
          <w:p w14:paraId="1E69D95C" w14:textId="77777777" w:rsidR="000A16D2" w:rsidRPr="000A16D2" w:rsidRDefault="000A16D2" w:rsidP="000A16D2">
            <w:pPr>
              <w:pStyle w:val="NoSpacing"/>
            </w:pPr>
          </w:p>
        </w:tc>
      </w:tr>
      <w:tr w:rsidR="000A16D2" w:rsidRPr="000A16D2" w14:paraId="17BA325D" w14:textId="77777777" w:rsidTr="008E6217">
        <w:trPr>
          <w:trHeight w:val="177"/>
        </w:trPr>
        <w:tc>
          <w:tcPr>
            <w:tcW w:w="0" w:type="auto"/>
          </w:tcPr>
          <w:p w14:paraId="542FA08E" w14:textId="77777777" w:rsidR="000A16D2" w:rsidRPr="000A16D2" w:rsidRDefault="000A16D2" w:rsidP="000A16D2">
            <w:pPr>
              <w:pStyle w:val="NoSpacing"/>
              <w:rPr>
                <w:w w:val="135"/>
              </w:rPr>
            </w:pPr>
            <w:r w:rsidRPr="000A16D2">
              <w:rPr>
                <w:rFonts w:ascii="Arial" w:hAnsi="Arial" w:cs="Arial"/>
                <w:w w:val="135"/>
              </w:rPr>
              <w:t>&lt;-</w:t>
            </w:r>
            <w:r w:rsidRPr="000A16D2">
              <w:rPr>
                <w:w w:val="135"/>
              </w:rPr>
              <w:t>.75</w:t>
            </w:r>
          </w:p>
        </w:tc>
        <w:tc>
          <w:tcPr>
            <w:tcW w:w="0" w:type="auto"/>
          </w:tcPr>
          <w:p w14:paraId="422F5116" w14:textId="77777777" w:rsidR="000A16D2" w:rsidRPr="000A16D2" w:rsidRDefault="000A16D2" w:rsidP="000A16D2">
            <w:pPr>
              <w:pStyle w:val="NoSpacing"/>
            </w:pPr>
            <w:r w:rsidRPr="000A16D2">
              <w:t>.22</w:t>
            </w:r>
          </w:p>
        </w:tc>
        <w:tc>
          <w:tcPr>
            <w:tcW w:w="0" w:type="auto"/>
          </w:tcPr>
          <w:p w14:paraId="2C46893E" w14:textId="77777777" w:rsidR="000A16D2" w:rsidRPr="000A16D2" w:rsidRDefault="000A16D2" w:rsidP="000A16D2">
            <w:pPr>
              <w:pStyle w:val="NoSpacing"/>
            </w:pPr>
            <w:r w:rsidRPr="000A16D2">
              <w:t>.97</w:t>
            </w:r>
          </w:p>
        </w:tc>
        <w:tc>
          <w:tcPr>
            <w:tcW w:w="0" w:type="auto"/>
          </w:tcPr>
          <w:p w14:paraId="290BD79B" w14:textId="77777777" w:rsidR="000A16D2" w:rsidRPr="000A16D2" w:rsidRDefault="000A16D2" w:rsidP="000A16D2">
            <w:pPr>
              <w:pStyle w:val="NoSpacing"/>
            </w:pPr>
            <w:r w:rsidRPr="000A16D2">
              <w:t>3.0</w:t>
            </w:r>
          </w:p>
        </w:tc>
        <w:tc>
          <w:tcPr>
            <w:tcW w:w="0" w:type="auto"/>
          </w:tcPr>
          <w:p w14:paraId="465B251B" w14:textId="77777777" w:rsidR="000A16D2" w:rsidRPr="000A16D2" w:rsidRDefault="000A16D2" w:rsidP="000A16D2">
            <w:pPr>
              <w:pStyle w:val="NoSpacing"/>
            </w:pPr>
            <w:r w:rsidRPr="000A16D2">
              <w:t>.80</w:t>
            </w:r>
          </w:p>
        </w:tc>
        <w:tc>
          <w:tcPr>
            <w:tcW w:w="0" w:type="auto"/>
          </w:tcPr>
          <w:p w14:paraId="31AB67CF" w14:textId="77777777" w:rsidR="000A16D2" w:rsidRPr="000A16D2" w:rsidRDefault="000A16D2" w:rsidP="000A16D2">
            <w:pPr>
              <w:pStyle w:val="NoSpacing"/>
            </w:pPr>
            <w:r w:rsidRPr="000A16D2">
              <w:t>.19</w:t>
            </w:r>
          </w:p>
        </w:tc>
      </w:tr>
      <w:tr w:rsidR="000A16D2" w:rsidRPr="000A16D2" w14:paraId="40BDA244" w14:textId="77777777" w:rsidTr="008E6217">
        <w:trPr>
          <w:trHeight w:val="183"/>
        </w:trPr>
        <w:tc>
          <w:tcPr>
            <w:tcW w:w="0" w:type="auto"/>
          </w:tcPr>
          <w:p w14:paraId="5D2ADC2C" w14:textId="77777777" w:rsidR="000A16D2" w:rsidRPr="000A16D2" w:rsidRDefault="000A16D2" w:rsidP="000A16D2">
            <w:pPr>
              <w:pStyle w:val="NoSpacing"/>
              <w:rPr>
                <w:rFonts w:eastAsia="Adobe Myungjo Std M"/>
                <w:b/>
                <w:bCs/>
              </w:rPr>
            </w:pPr>
            <w:r w:rsidRPr="000A16D2">
              <w:rPr>
                <w:rFonts w:ascii="Adobe Myungjo Std M" w:eastAsia="Adobe Myungjo Std M" w:cs="Adobe Myungjo Std M"/>
              </w:rPr>
              <w:t>&lt;</w:t>
            </w:r>
            <w:r w:rsidRPr="000A16D2">
              <w:rPr>
                <w:rFonts w:ascii="Arial" w:eastAsia="Adobe Myungjo Std M" w:hAnsi="Arial" w:cs="Arial"/>
                <w:w w:val="250"/>
              </w:rPr>
              <w:t>-</w:t>
            </w:r>
            <w:r w:rsidRPr="000A16D2">
              <w:rPr>
                <w:rFonts w:eastAsia="Adobe Myungjo Std M"/>
                <w:b/>
                <w:bCs/>
              </w:rPr>
              <w:t>.25</w:t>
            </w:r>
          </w:p>
        </w:tc>
        <w:tc>
          <w:tcPr>
            <w:tcW w:w="0" w:type="auto"/>
          </w:tcPr>
          <w:p w14:paraId="504D5B46" w14:textId="77777777" w:rsidR="000A16D2" w:rsidRPr="000A16D2" w:rsidRDefault="000A16D2" w:rsidP="000A16D2">
            <w:pPr>
              <w:pStyle w:val="NoSpacing"/>
              <w:rPr>
                <w:b/>
                <w:bCs/>
              </w:rPr>
            </w:pPr>
            <w:r w:rsidRPr="000A16D2">
              <w:rPr>
                <w:b/>
                <w:bCs/>
              </w:rPr>
              <w:t>.43</w:t>
            </w:r>
          </w:p>
        </w:tc>
        <w:tc>
          <w:tcPr>
            <w:tcW w:w="0" w:type="auto"/>
          </w:tcPr>
          <w:p w14:paraId="42B37DB9" w14:textId="77777777" w:rsidR="000A16D2" w:rsidRPr="000A16D2" w:rsidRDefault="000A16D2" w:rsidP="000A16D2">
            <w:pPr>
              <w:pStyle w:val="NoSpacing"/>
              <w:rPr>
                <w:b/>
                <w:bCs/>
              </w:rPr>
            </w:pPr>
            <w:r w:rsidRPr="000A16D2">
              <w:rPr>
                <w:b/>
                <w:bCs/>
              </w:rPr>
              <w:t>.77</w:t>
            </w:r>
          </w:p>
        </w:tc>
        <w:tc>
          <w:tcPr>
            <w:tcW w:w="0" w:type="auto"/>
          </w:tcPr>
          <w:p w14:paraId="7AEAEE42" w14:textId="77777777" w:rsidR="000A16D2" w:rsidRPr="000A16D2" w:rsidRDefault="000A16D2" w:rsidP="000A16D2">
            <w:pPr>
              <w:pStyle w:val="NoSpacing"/>
              <w:rPr>
                <w:b/>
                <w:bCs/>
              </w:rPr>
            </w:pPr>
            <w:r w:rsidRPr="000A16D2">
              <w:rPr>
                <w:b/>
                <w:bCs/>
              </w:rPr>
              <w:t>1.69</w:t>
            </w:r>
          </w:p>
        </w:tc>
        <w:tc>
          <w:tcPr>
            <w:tcW w:w="0" w:type="auto"/>
          </w:tcPr>
          <w:p w14:paraId="21C341D4" w14:textId="77777777" w:rsidR="000A16D2" w:rsidRPr="000A16D2" w:rsidRDefault="000A16D2" w:rsidP="000A16D2">
            <w:pPr>
              <w:pStyle w:val="NoSpacing"/>
              <w:rPr>
                <w:b/>
                <w:bCs/>
              </w:rPr>
            </w:pPr>
            <w:r w:rsidRPr="000A16D2">
              <w:rPr>
                <w:b/>
                <w:bCs/>
              </w:rPr>
              <w:t>.76</w:t>
            </w:r>
          </w:p>
        </w:tc>
        <w:tc>
          <w:tcPr>
            <w:tcW w:w="0" w:type="auto"/>
          </w:tcPr>
          <w:p w14:paraId="5AC13290" w14:textId="77777777" w:rsidR="000A16D2" w:rsidRPr="000A16D2" w:rsidRDefault="000A16D2" w:rsidP="000A16D2">
            <w:pPr>
              <w:pStyle w:val="NoSpacing"/>
              <w:rPr>
                <w:b/>
                <w:bCs/>
              </w:rPr>
            </w:pPr>
            <w:r w:rsidRPr="000A16D2">
              <w:rPr>
                <w:b/>
                <w:bCs/>
              </w:rPr>
              <w:t>.20</w:t>
            </w:r>
          </w:p>
        </w:tc>
      </w:tr>
      <w:tr w:rsidR="000A16D2" w:rsidRPr="000A16D2" w14:paraId="1335F938" w14:textId="77777777" w:rsidTr="008E6217">
        <w:trPr>
          <w:trHeight w:val="180"/>
        </w:trPr>
        <w:tc>
          <w:tcPr>
            <w:tcW w:w="0" w:type="auto"/>
          </w:tcPr>
          <w:p w14:paraId="4606F061" w14:textId="77777777" w:rsidR="000A16D2" w:rsidRPr="000A16D2" w:rsidRDefault="000A16D2" w:rsidP="000A16D2">
            <w:pPr>
              <w:pStyle w:val="NoSpacing"/>
              <w:rPr>
                <w:w w:val="110"/>
              </w:rPr>
            </w:pPr>
            <w:r w:rsidRPr="000A16D2">
              <w:rPr>
                <w:rFonts w:ascii="Arial" w:hAnsi="Arial" w:cs="Arial"/>
                <w:w w:val="110"/>
              </w:rPr>
              <w:t>&lt;</w:t>
            </w:r>
            <w:r w:rsidRPr="000A16D2">
              <w:rPr>
                <w:w w:val="110"/>
              </w:rPr>
              <w:t>.25</w:t>
            </w:r>
          </w:p>
        </w:tc>
        <w:tc>
          <w:tcPr>
            <w:tcW w:w="0" w:type="auto"/>
          </w:tcPr>
          <w:p w14:paraId="1340A5BD" w14:textId="77777777" w:rsidR="000A16D2" w:rsidRPr="000A16D2" w:rsidRDefault="000A16D2" w:rsidP="000A16D2">
            <w:pPr>
              <w:pStyle w:val="NoSpacing"/>
            </w:pPr>
            <w:r w:rsidRPr="000A16D2">
              <w:t>.54</w:t>
            </w:r>
          </w:p>
        </w:tc>
        <w:tc>
          <w:tcPr>
            <w:tcW w:w="0" w:type="auto"/>
          </w:tcPr>
          <w:p w14:paraId="3222F7BD" w14:textId="77777777" w:rsidR="000A16D2" w:rsidRPr="000A16D2" w:rsidRDefault="000A16D2" w:rsidP="000A16D2">
            <w:pPr>
              <w:pStyle w:val="NoSpacing"/>
            </w:pPr>
            <w:r w:rsidRPr="000A16D2">
              <w:t>.59</w:t>
            </w:r>
          </w:p>
        </w:tc>
        <w:tc>
          <w:tcPr>
            <w:tcW w:w="0" w:type="auto"/>
          </w:tcPr>
          <w:p w14:paraId="0286CA5B" w14:textId="77777777" w:rsidR="000A16D2" w:rsidRPr="000A16D2" w:rsidRDefault="000A16D2" w:rsidP="000A16D2">
            <w:pPr>
              <w:pStyle w:val="NoSpacing"/>
            </w:pPr>
            <w:r w:rsidRPr="000A16D2">
              <w:t>1.32</w:t>
            </w:r>
          </w:p>
        </w:tc>
        <w:tc>
          <w:tcPr>
            <w:tcW w:w="0" w:type="auto"/>
          </w:tcPr>
          <w:p w14:paraId="080DBD7C" w14:textId="77777777" w:rsidR="000A16D2" w:rsidRPr="000A16D2" w:rsidRDefault="000A16D2" w:rsidP="000A16D2">
            <w:pPr>
              <w:pStyle w:val="NoSpacing"/>
            </w:pPr>
            <w:r w:rsidRPr="000A16D2">
              <w:t>.78</w:t>
            </w:r>
          </w:p>
        </w:tc>
        <w:tc>
          <w:tcPr>
            <w:tcW w:w="0" w:type="auto"/>
          </w:tcPr>
          <w:p w14:paraId="122AE8E9" w14:textId="77777777" w:rsidR="000A16D2" w:rsidRPr="000A16D2" w:rsidRDefault="000A16D2" w:rsidP="000A16D2">
            <w:pPr>
              <w:pStyle w:val="NoSpacing"/>
            </w:pPr>
            <w:r w:rsidRPr="000A16D2">
              <w:t>.13</w:t>
            </w:r>
          </w:p>
        </w:tc>
      </w:tr>
      <w:tr w:rsidR="000A16D2" w:rsidRPr="000A16D2" w14:paraId="6ED758A4" w14:textId="77777777" w:rsidTr="008E6217">
        <w:trPr>
          <w:trHeight w:val="181"/>
        </w:trPr>
        <w:tc>
          <w:tcPr>
            <w:tcW w:w="0" w:type="auto"/>
          </w:tcPr>
          <w:p w14:paraId="18A6A7FC" w14:textId="77777777" w:rsidR="000A16D2" w:rsidRPr="000A16D2" w:rsidRDefault="000A16D2" w:rsidP="000A16D2">
            <w:pPr>
              <w:pStyle w:val="NoSpacing"/>
              <w:rPr>
                <w:w w:val="110"/>
              </w:rPr>
            </w:pPr>
            <w:r w:rsidRPr="000A16D2">
              <w:rPr>
                <w:rFonts w:ascii="Arial" w:hAnsi="Arial" w:cs="Arial"/>
                <w:w w:val="110"/>
              </w:rPr>
              <w:t>&lt;</w:t>
            </w:r>
            <w:r w:rsidRPr="000A16D2">
              <w:rPr>
                <w:w w:val="110"/>
              </w:rPr>
              <w:t>.75</w:t>
            </w:r>
          </w:p>
        </w:tc>
        <w:tc>
          <w:tcPr>
            <w:tcW w:w="0" w:type="auto"/>
          </w:tcPr>
          <w:p w14:paraId="4C872714" w14:textId="77777777" w:rsidR="000A16D2" w:rsidRPr="000A16D2" w:rsidRDefault="000A16D2" w:rsidP="000A16D2">
            <w:pPr>
              <w:pStyle w:val="NoSpacing"/>
            </w:pPr>
            <w:r w:rsidRPr="000A16D2">
              <w:t>.67</w:t>
            </w:r>
          </w:p>
        </w:tc>
        <w:tc>
          <w:tcPr>
            <w:tcW w:w="0" w:type="auto"/>
          </w:tcPr>
          <w:p w14:paraId="77F3191E" w14:textId="77777777" w:rsidR="000A16D2" w:rsidRPr="000A16D2" w:rsidRDefault="000A16D2" w:rsidP="000A16D2">
            <w:pPr>
              <w:pStyle w:val="NoSpacing"/>
            </w:pPr>
            <w:r w:rsidRPr="000A16D2">
              <w:t>.40</w:t>
            </w:r>
          </w:p>
        </w:tc>
        <w:tc>
          <w:tcPr>
            <w:tcW w:w="0" w:type="auto"/>
          </w:tcPr>
          <w:p w14:paraId="44179D2B" w14:textId="77777777" w:rsidR="000A16D2" w:rsidRPr="000A16D2" w:rsidRDefault="000A16D2" w:rsidP="000A16D2">
            <w:pPr>
              <w:pStyle w:val="NoSpacing"/>
            </w:pPr>
            <w:r w:rsidRPr="000A16D2">
              <w:t>1.13</w:t>
            </w:r>
          </w:p>
        </w:tc>
        <w:tc>
          <w:tcPr>
            <w:tcW w:w="0" w:type="auto"/>
          </w:tcPr>
          <w:p w14:paraId="58F54B78" w14:textId="77777777" w:rsidR="000A16D2" w:rsidRPr="000A16D2" w:rsidRDefault="000A16D2" w:rsidP="000A16D2">
            <w:pPr>
              <w:pStyle w:val="NoSpacing"/>
            </w:pPr>
            <w:r w:rsidRPr="000A16D2">
              <w:t>.81</w:t>
            </w:r>
          </w:p>
        </w:tc>
        <w:tc>
          <w:tcPr>
            <w:tcW w:w="0" w:type="auto"/>
          </w:tcPr>
          <w:p w14:paraId="555D140F" w14:textId="77777777" w:rsidR="000A16D2" w:rsidRPr="000A16D2" w:rsidRDefault="000A16D2" w:rsidP="000A16D2">
            <w:pPr>
              <w:pStyle w:val="NoSpacing"/>
            </w:pPr>
            <w:r w:rsidRPr="000A16D2">
              <w:t>.07</w:t>
            </w:r>
          </w:p>
        </w:tc>
      </w:tr>
      <w:tr w:rsidR="000A16D2" w:rsidRPr="000A16D2" w14:paraId="3898C93F" w14:textId="77777777" w:rsidTr="008E6217">
        <w:trPr>
          <w:trHeight w:val="176"/>
        </w:trPr>
        <w:tc>
          <w:tcPr>
            <w:tcW w:w="0" w:type="auto"/>
          </w:tcPr>
          <w:p w14:paraId="56707992" w14:textId="77777777" w:rsidR="000A16D2" w:rsidRPr="000A16D2" w:rsidRDefault="000A16D2" w:rsidP="000A16D2">
            <w:pPr>
              <w:pStyle w:val="NoSpacing"/>
            </w:pPr>
            <w:r w:rsidRPr="000A16D2">
              <w:t>Salthouse Listening Span trials</w:t>
            </w:r>
          </w:p>
        </w:tc>
        <w:tc>
          <w:tcPr>
            <w:tcW w:w="0" w:type="auto"/>
          </w:tcPr>
          <w:p w14:paraId="33F4C8C1" w14:textId="77777777" w:rsidR="000A16D2" w:rsidRPr="000A16D2" w:rsidRDefault="000A16D2" w:rsidP="000A16D2">
            <w:pPr>
              <w:pStyle w:val="NoSpacing"/>
              <w:rPr>
                <w:sz w:val="10"/>
                <w:szCs w:val="10"/>
              </w:rPr>
            </w:pPr>
          </w:p>
        </w:tc>
        <w:tc>
          <w:tcPr>
            <w:tcW w:w="0" w:type="auto"/>
          </w:tcPr>
          <w:p w14:paraId="50C67179" w14:textId="77777777" w:rsidR="000A16D2" w:rsidRPr="000A16D2" w:rsidRDefault="000A16D2" w:rsidP="000A16D2">
            <w:pPr>
              <w:pStyle w:val="NoSpacing"/>
              <w:rPr>
                <w:sz w:val="10"/>
                <w:szCs w:val="10"/>
              </w:rPr>
            </w:pPr>
          </w:p>
        </w:tc>
        <w:tc>
          <w:tcPr>
            <w:tcW w:w="0" w:type="auto"/>
          </w:tcPr>
          <w:p w14:paraId="67FC153B" w14:textId="77777777" w:rsidR="000A16D2" w:rsidRPr="000A16D2" w:rsidRDefault="000A16D2" w:rsidP="000A16D2">
            <w:pPr>
              <w:pStyle w:val="NoSpacing"/>
              <w:rPr>
                <w:sz w:val="10"/>
                <w:szCs w:val="10"/>
              </w:rPr>
            </w:pPr>
          </w:p>
        </w:tc>
        <w:tc>
          <w:tcPr>
            <w:tcW w:w="0" w:type="auto"/>
          </w:tcPr>
          <w:p w14:paraId="4CC77650" w14:textId="77777777" w:rsidR="000A16D2" w:rsidRPr="000A16D2" w:rsidRDefault="000A16D2" w:rsidP="000A16D2">
            <w:pPr>
              <w:pStyle w:val="NoSpacing"/>
              <w:rPr>
                <w:sz w:val="10"/>
                <w:szCs w:val="10"/>
              </w:rPr>
            </w:pPr>
          </w:p>
        </w:tc>
        <w:tc>
          <w:tcPr>
            <w:tcW w:w="0" w:type="auto"/>
          </w:tcPr>
          <w:p w14:paraId="1B12BAE6" w14:textId="77777777" w:rsidR="000A16D2" w:rsidRPr="000A16D2" w:rsidRDefault="000A16D2" w:rsidP="000A16D2">
            <w:pPr>
              <w:pStyle w:val="NoSpacing"/>
              <w:rPr>
                <w:sz w:val="10"/>
                <w:szCs w:val="10"/>
              </w:rPr>
            </w:pPr>
          </w:p>
        </w:tc>
      </w:tr>
      <w:tr w:rsidR="000A16D2" w:rsidRPr="000A16D2" w14:paraId="3B1491BB" w14:textId="77777777" w:rsidTr="008E6217">
        <w:trPr>
          <w:trHeight w:val="180"/>
        </w:trPr>
        <w:tc>
          <w:tcPr>
            <w:tcW w:w="0" w:type="auto"/>
          </w:tcPr>
          <w:p w14:paraId="586D387F" w14:textId="77777777" w:rsidR="000A16D2" w:rsidRPr="000A16D2" w:rsidRDefault="000A16D2" w:rsidP="000A16D2">
            <w:pPr>
              <w:pStyle w:val="NoSpacing"/>
            </w:pPr>
            <w:r w:rsidRPr="000A16D2">
              <w:rPr>
                <w:rFonts w:ascii="Maiandra GD" w:hAnsi="Maiandra GD" w:cs="Maiandra GD"/>
              </w:rPr>
              <w:t>&lt;</w:t>
            </w:r>
            <w:r w:rsidRPr="000A16D2">
              <w:t>7</w:t>
            </w:r>
          </w:p>
        </w:tc>
        <w:tc>
          <w:tcPr>
            <w:tcW w:w="0" w:type="auto"/>
          </w:tcPr>
          <w:p w14:paraId="711D4C55" w14:textId="77777777" w:rsidR="000A16D2" w:rsidRPr="000A16D2" w:rsidRDefault="000A16D2" w:rsidP="000A16D2">
            <w:pPr>
              <w:pStyle w:val="NoSpacing"/>
            </w:pPr>
            <w:r w:rsidRPr="000A16D2">
              <w:t>.25</w:t>
            </w:r>
          </w:p>
        </w:tc>
        <w:tc>
          <w:tcPr>
            <w:tcW w:w="0" w:type="auto"/>
          </w:tcPr>
          <w:p w14:paraId="0C063DD0" w14:textId="77777777" w:rsidR="000A16D2" w:rsidRPr="000A16D2" w:rsidRDefault="000A16D2" w:rsidP="000A16D2">
            <w:pPr>
              <w:pStyle w:val="NoSpacing"/>
            </w:pPr>
            <w:r w:rsidRPr="000A16D2">
              <w:t>.88</w:t>
            </w:r>
          </w:p>
        </w:tc>
        <w:tc>
          <w:tcPr>
            <w:tcW w:w="0" w:type="auto"/>
          </w:tcPr>
          <w:p w14:paraId="667DFB73" w14:textId="77777777" w:rsidR="000A16D2" w:rsidRPr="000A16D2" w:rsidRDefault="000A16D2" w:rsidP="000A16D2">
            <w:pPr>
              <w:pStyle w:val="NoSpacing"/>
            </w:pPr>
            <w:r w:rsidRPr="000A16D2">
              <w:t>.73</w:t>
            </w:r>
          </w:p>
        </w:tc>
        <w:tc>
          <w:tcPr>
            <w:tcW w:w="0" w:type="auto"/>
          </w:tcPr>
          <w:p w14:paraId="0A244F09" w14:textId="77777777" w:rsidR="000A16D2" w:rsidRPr="000A16D2" w:rsidRDefault="000A16D2" w:rsidP="000A16D2">
            <w:pPr>
              <w:pStyle w:val="NoSpacing"/>
            </w:pPr>
            <w:r w:rsidRPr="000A16D2">
              <w:t>.48</w:t>
            </w:r>
          </w:p>
        </w:tc>
        <w:tc>
          <w:tcPr>
            <w:tcW w:w="0" w:type="auto"/>
          </w:tcPr>
          <w:p w14:paraId="2DF8C118" w14:textId="77777777" w:rsidR="000A16D2" w:rsidRPr="000A16D2" w:rsidRDefault="000A16D2" w:rsidP="000A16D2">
            <w:pPr>
              <w:pStyle w:val="NoSpacing"/>
            </w:pPr>
            <w:r w:rsidRPr="000A16D2">
              <w:t>.13</w:t>
            </w:r>
          </w:p>
        </w:tc>
      </w:tr>
      <w:tr w:rsidR="000A16D2" w:rsidRPr="000A16D2" w14:paraId="3A33ABE8" w14:textId="77777777" w:rsidTr="008E6217">
        <w:trPr>
          <w:trHeight w:val="177"/>
        </w:trPr>
        <w:tc>
          <w:tcPr>
            <w:tcW w:w="0" w:type="auto"/>
          </w:tcPr>
          <w:p w14:paraId="1F278EDF" w14:textId="77777777" w:rsidR="000A16D2" w:rsidRPr="000A16D2" w:rsidRDefault="000A16D2" w:rsidP="000A16D2">
            <w:pPr>
              <w:pStyle w:val="NoSpacing"/>
            </w:pPr>
            <w:r w:rsidRPr="000A16D2">
              <w:rPr>
                <w:rFonts w:ascii="Maiandra GD" w:hAnsi="Maiandra GD" w:cs="Maiandra GD"/>
              </w:rPr>
              <w:t>&lt;</w:t>
            </w:r>
            <w:r w:rsidRPr="000A16D2">
              <w:t>8</w:t>
            </w:r>
          </w:p>
        </w:tc>
        <w:tc>
          <w:tcPr>
            <w:tcW w:w="0" w:type="auto"/>
          </w:tcPr>
          <w:p w14:paraId="4BA0D5FB" w14:textId="77777777" w:rsidR="000A16D2" w:rsidRPr="000A16D2" w:rsidRDefault="000A16D2" w:rsidP="000A16D2">
            <w:pPr>
              <w:pStyle w:val="NoSpacing"/>
            </w:pPr>
            <w:r w:rsidRPr="000A16D2">
              <w:t>.40</w:t>
            </w:r>
          </w:p>
        </w:tc>
        <w:tc>
          <w:tcPr>
            <w:tcW w:w="0" w:type="auto"/>
          </w:tcPr>
          <w:p w14:paraId="743DD745" w14:textId="77777777" w:rsidR="000A16D2" w:rsidRPr="000A16D2" w:rsidRDefault="000A16D2" w:rsidP="000A16D2">
            <w:pPr>
              <w:pStyle w:val="NoSpacing"/>
            </w:pPr>
            <w:r w:rsidRPr="000A16D2">
              <w:t>.81</w:t>
            </w:r>
          </w:p>
        </w:tc>
        <w:tc>
          <w:tcPr>
            <w:tcW w:w="0" w:type="auto"/>
          </w:tcPr>
          <w:p w14:paraId="03787126" w14:textId="77777777" w:rsidR="000A16D2" w:rsidRPr="000A16D2" w:rsidRDefault="000A16D2" w:rsidP="000A16D2">
            <w:pPr>
              <w:pStyle w:val="NoSpacing"/>
            </w:pPr>
            <w:r w:rsidRPr="000A16D2">
              <w:t>.73</w:t>
            </w:r>
          </w:p>
        </w:tc>
        <w:tc>
          <w:tcPr>
            <w:tcW w:w="0" w:type="auto"/>
          </w:tcPr>
          <w:p w14:paraId="3E9974AE" w14:textId="77777777" w:rsidR="000A16D2" w:rsidRPr="000A16D2" w:rsidRDefault="000A16D2" w:rsidP="000A16D2">
            <w:pPr>
              <w:pStyle w:val="NoSpacing"/>
            </w:pPr>
            <w:r w:rsidRPr="000A16D2">
              <w:t>.51</w:t>
            </w:r>
          </w:p>
        </w:tc>
        <w:tc>
          <w:tcPr>
            <w:tcW w:w="0" w:type="auto"/>
          </w:tcPr>
          <w:p w14:paraId="201E01B1" w14:textId="77777777" w:rsidR="000A16D2" w:rsidRPr="000A16D2" w:rsidRDefault="000A16D2" w:rsidP="000A16D2">
            <w:pPr>
              <w:pStyle w:val="NoSpacing"/>
            </w:pPr>
            <w:r w:rsidRPr="000A16D2">
              <w:t>.21</w:t>
            </w:r>
          </w:p>
        </w:tc>
      </w:tr>
      <w:tr w:rsidR="000A16D2" w:rsidRPr="000A16D2" w14:paraId="0AD710EB" w14:textId="77777777" w:rsidTr="008E6217">
        <w:trPr>
          <w:trHeight w:val="188"/>
        </w:trPr>
        <w:tc>
          <w:tcPr>
            <w:tcW w:w="0" w:type="auto"/>
          </w:tcPr>
          <w:p w14:paraId="6B56BD7E" w14:textId="77777777" w:rsidR="000A16D2" w:rsidRPr="000A16D2" w:rsidRDefault="000A16D2" w:rsidP="000A16D2">
            <w:pPr>
              <w:pStyle w:val="NoSpacing"/>
              <w:rPr>
                <w:b/>
                <w:bCs/>
              </w:rPr>
            </w:pPr>
            <w:r w:rsidRPr="000A16D2">
              <w:rPr>
                <w:rFonts w:ascii="Elephant" w:hAnsi="Elephant" w:cs="Elephant"/>
              </w:rPr>
              <w:t>&lt;</w:t>
            </w:r>
            <w:r w:rsidRPr="000A16D2">
              <w:rPr>
                <w:b/>
                <w:bCs/>
              </w:rPr>
              <w:t>9</w:t>
            </w:r>
          </w:p>
        </w:tc>
        <w:tc>
          <w:tcPr>
            <w:tcW w:w="0" w:type="auto"/>
          </w:tcPr>
          <w:p w14:paraId="79B07F49" w14:textId="77777777" w:rsidR="000A16D2" w:rsidRPr="000A16D2" w:rsidRDefault="000A16D2" w:rsidP="000A16D2">
            <w:pPr>
              <w:pStyle w:val="NoSpacing"/>
              <w:rPr>
                <w:b/>
                <w:bCs/>
              </w:rPr>
            </w:pPr>
            <w:r w:rsidRPr="000A16D2">
              <w:rPr>
                <w:b/>
                <w:bCs/>
              </w:rPr>
              <w:t>.59</w:t>
            </w:r>
          </w:p>
        </w:tc>
        <w:tc>
          <w:tcPr>
            <w:tcW w:w="0" w:type="auto"/>
          </w:tcPr>
          <w:p w14:paraId="030FFEBF" w14:textId="77777777" w:rsidR="000A16D2" w:rsidRPr="000A16D2" w:rsidRDefault="000A16D2" w:rsidP="000A16D2">
            <w:pPr>
              <w:pStyle w:val="NoSpacing"/>
              <w:rPr>
                <w:b/>
                <w:bCs/>
              </w:rPr>
            </w:pPr>
            <w:r w:rsidRPr="000A16D2">
              <w:rPr>
                <w:b/>
                <w:bCs/>
              </w:rPr>
              <w:t>.66</w:t>
            </w:r>
          </w:p>
        </w:tc>
        <w:tc>
          <w:tcPr>
            <w:tcW w:w="0" w:type="auto"/>
          </w:tcPr>
          <w:p w14:paraId="17AC962B" w14:textId="77777777" w:rsidR="000A16D2" w:rsidRPr="000A16D2" w:rsidRDefault="000A16D2" w:rsidP="000A16D2">
            <w:pPr>
              <w:pStyle w:val="NoSpacing"/>
              <w:rPr>
                <w:b/>
                <w:bCs/>
              </w:rPr>
            </w:pPr>
            <w:r w:rsidRPr="000A16D2">
              <w:rPr>
                <w:b/>
                <w:bCs/>
              </w:rPr>
              <w:t>.69</w:t>
            </w:r>
          </w:p>
        </w:tc>
        <w:tc>
          <w:tcPr>
            <w:tcW w:w="0" w:type="auto"/>
          </w:tcPr>
          <w:p w14:paraId="5309AC9D" w14:textId="77777777" w:rsidR="000A16D2" w:rsidRPr="000A16D2" w:rsidRDefault="000A16D2" w:rsidP="000A16D2">
            <w:pPr>
              <w:pStyle w:val="NoSpacing"/>
              <w:rPr>
                <w:b/>
                <w:bCs/>
              </w:rPr>
            </w:pPr>
            <w:r w:rsidRPr="000A16D2">
              <w:rPr>
                <w:b/>
                <w:bCs/>
              </w:rPr>
              <w:t>.55</w:t>
            </w:r>
          </w:p>
        </w:tc>
        <w:tc>
          <w:tcPr>
            <w:tcW w:w="0" w:type="auto"/>
          </w:tcPr>
          <w:p w14:paraId="352FEE55" w14:textId="77777777" w:rsidR="000A16D2" w:rsidRPr="000A16D2" w:rsidRDefault="000A16D2" w:rsidP="000A16D2">
            <w:pPr>
              <w:pStyle w:val="NoSpacing"/>
              <w:rPr>
                <w:b/>
                <w:bCs/>
              </w:rPr>
            </w:pPr>
            <w:r w:rsidRPr="000A16D2">
              <w:rPr>
                <w:b/>
                <w:bCs/>
              </w:rPr>
              <w:t>.25</w:t>
            </w:r>
          </w:p>
        </w:tc>
      </w:tr>
      <w:tr w:rsidR="000A16D2" w:rsidRPr="000A16D2" w14:paraId="608FABB6" w14:textId="77777777" w:rsidTr="008E6217">
        <w:trPr>
          <w:trHeight w:val="173"/>
        </w:trPr>
        <w:tc>
          <w:tcPr>
            <w:tcW w:w="0" w:type="auto"/>
          </w:tcPr>
          <w:p w14:paraId="77B0B945" w14:textId="77777777" w:rsidR="000A16D2" w:rsidRPr="000A16D2" w:rsidRDefault="000A16D2" w:rsidP="000A16D2">
            <w:pPr>
              <w:pStyle w:val="NoSpacing"/>
            </w:pPr>
            <w:r w:rsidRPr="000A16D2">
              <w:rPr>
                <w:rFonts w:ascii="Maiandra GD" w:hAnsi="Maiandra GD" w:cs="Maiandra GD"/>
              </w:rPr>
              <w:t>&lt;</w:t>
            </w:r>
            <w:r w:rsidRPr="000A16D2">
              <w:t>10</w:t>
            </w:r>
          </w:p>
        </w:tc>
        <w:tc>
          <w:tcPr>
            <w:tcW w:w="0" w:type="auto"/>
          </w:tcPr>
          <w:p w14:paraId="51C08B38" w14:textId="77777777" w:rsidR="000A16D2" w:rsidRPr="000A16D2" w:rsidRDefault="000A16D2" w:rsidP="000A16D2">
            <w:pPr>
              <w:pStyle w:val="NoSpacing"/>
            </w:pPr>
            <w:r w:rsidRPr="000A16D2">
              <w:t>.74</w:t>
            </w:r>
          </w:p>
        </w:tc>
        <w:tc>
          <w:tcPr>
            <w:tcW w:w="0" w:type="auto"/>
          </w:tcPr>
          <w:p w14:paraId="62A9C69F" w14:textId="77777777" w:rsidR="000A16D2" w:rsidRPr="000A16D2" w:rsidRDefault="000A16D2" w:rsidP="000A16D2">
            <w:pPr>
              <w:pStyle w:val="NoSpacing"/>
            </w:pPr>
            <w:r w:rsidRPr="000A16D2">
              <w:t>.46</w:t>
            </w:r>
          </w:p>
        </w:tc>
        <w:tc>
          <w:tcPr>
            <w:tcW w:w="0" w:type="auto"/>
          </w:tcPr>
          <w:p w14:paraId="2635B574" w14:textId="77777777" w:rsidR="000A16D2" w:rsidRPr="000A16D2" w:rsidRDefault="000A16D2" w:rsidP="000A16D2">
            <w:pPr>
              <w:pStyle w:val="NoSpacing"/>
            </w:pPr>
            <w:r w:rsidRPr="000A16D2">
              <w:t>.63</w:t>
            </w:r>
          </w:p>
        </w:tc>
        <w:tc>
          <w:tcPr>
            <w:tcW w:w="0" w:type="auto"/>
          </w:tcPr>
          <w:p w14:paraId="757EE7FF" w14:textId="77777777" w:rsidR="000A16D2" w:rsidRPr="000A16D2" w:rsidRDefault="000A16D2" w:rsidP="000A16D2">
            <w:pPr>
              <w:pStyle w:val="NoSpacing"/>
            </w:pPr>
            <w:r w:rsidRPr="000A16D2">
              <w:t>.58</w:t>
            </w:r>
          </w:p>
        </w:tc>
        <w:tc>
          <w:tcPr>
            <w:tcW w:w="0" w:type="auto"/>
          </w:tcPr>
          <w:p w14:paraId="20971F12" w14:textId="77777777" w:rsidR="000A16D2" w:rsidRPr="000A16D2" w:rsidRDefault="000A16D2" w:rsidP="000A16D2">
            <w:pPr>
              <w:pStyle w:val="NoSpacing"/>
            </w:pPr>
            <w:r w:rsidRPr="000A16D2">
              <w:t>.20</w:t>
            </w:r>
          </w:p>
        </w:tc>
      </w:tr>
      <w:tr w:rsidR="000A16D2" w:rsidRPr="000A16D2" w14:paraId="4399C637" w14:textId="77777777" w:rsidTr="008E6217">
        <w:trPr>
          <w:trHeight w:val="180"/>
        </w:trPr>
        <w:tc>
          <w:tcPr>
            <w:tcW w:w="0" w:type="auto"/>
          </w:tcPr>
          <w:p w14:paraId="02BB4B79" w14:textId="77777777" w:rsidR="000A16D2" w:rsidRPr="000A16D2" w:rsidRDefault="000A16D2" w:rsidP="000A16D2">
            <w:pPr>
              <w:pStyle w:val="NoSpacing"/>
            </w:pPr>
            <w:r w:rsidRPr="000A16D2">
              <w:t>DKEFS inhibition/switching</w:t>
            </w:r>
          </w:p>
        </w:tc>
        <w:tc>
          <w:tcPr>
            <w:tcW w:w="0" w:type="auto"/>
          </w:tcPr>
          <w:p w14:paraId="664B1914" w14:textId="77777777" w:rsidR="000A16D2" w:rsidRPr="000A16D2" w:rsidRDefault="000A16D2" w:rsidP="000A16D2">
            <w:pPr>
              <w:pStyle w:val="NoSpacing"/>
              <w:rPr>
                <w:sz w:val="12"/>
                <w:szCs w:val="12"/>
              </w:rPr>
            </w:pPr>
          </w:p>
        </w:tc>
        <w:tc>
          <w:tcPr>
            <w:tcW w:w="0" w:type="auto"/>
          </w:tcPr>
          <w:p w14:paraId="6A0DEFFA" w14:textId="77777777" w:rsidR="000A16D2" w:rsidRPr="000A16D2" w:rsidRDefault="000A16D2" w:rsidP="000A16D2">
            <w:pPr>
              <w:pStyle w:val="NoSpacing"/>
              <w:rPr>
                <w:sz w:val="12"/>
                <w:szCs w:val="12"/>
              </w:rPr>
            </w:pPr>
          </w:p>
        </w:tc>
        <w:tc>
          <w:tcPr>
            <w:tcW w:w="0" w:type="auto"/>
          </w:tcPr>
          <w:p w14:paraId="33BC4740" w14:textId="77777777" w:rsidR="000A16D2" w:rsidRPr="000A16D2" w:rsidRDefault="000A16D2" w:rsidP="000A16D2">
            <w:pPr>
              <w:pStyle w:val="NoSpacing"/>
              <w:rPr>
                <w:sz w:val="12"/>
                <w:szCs w:val="12"/>
              </w:rPr>
            </w:pPr>
          </w:p>
        </w:tc>
        <w:tc>
          <w:tcPr>
            <w:tcW w:w="0" w:type="auto"/>
          </w:tcPr>
          <w:p w14:paraId="59063EA3" w14:textId="77777777" w:rsidR="000A16D2" w:rsidRPr="000A16D2" w:rsidRDefault="000A16D2" w:rsidP="000A16D2">
            <w:pPr>
              <w:pStyle w:val="NoSpacing"/>
              <w:rPr>
                <w:sz w:val="12"/>
                <w:szCs w:val="12"/>
              </w:rPr>
            </w:pPr>
          </w:p>
        </w:tc>
        <w:tc>
          <w:tcPr>
            <w:tcW w:w="0" w:type="auto"/>
          </w:tcPr>
          <w:p w14:paraId="5F9DCBA1" w14:textId="77777777" w:rsidR="000A16D2" w:rsidRPr="000A16D2" w:rsidRDefault="000A16D2" w:rsidP="000A16D2">
            <w:pPr>
              <w:pStyle w:val="NoSpacing"/>
              <w:rPr>
                <w:sz w:val="12"/>
                <w:szCs w:val="12"/>
              </w:rPr>
            </w:pPr>
          </w:p>
        </w:tc>
      </w:tr>
      <w:tr w:rsidR="000A16D2" w:rsidRPr="000A16D2" w14:paraId="68E65370" w14:textId="77777777" w:rsidTr="008E6217">
        <w:trPr>
          <w:trHeight w:val="177"/>
        </w:trPr>
        <w:tc>
          <w:tcPr>
            <w:tcW w:w="0" w:type="auto"/>
          </w:tcPr>
          <w:p w14:paraId="7D5606F1" w14:textId="77777777" w:rsidR="000A16D2" w:rsidRPr="000A16D2" w:rsidRDefault="000A16D2" w:rsidP="000A16D2">
            <w:pPr>
              <w:pStyle w:val="NoSpacing"/>
            </w:pPr>
            <w:r w:rsidRPr="000A16D2">
              <w:rPr>
                <w:rFonts w:ascii="Maiandra GD" w:hAnsi="Maiandra GD" w:cs="Maiandra GD"/>
              </w:rPr>
              <w:t>&lt;</w:t>
            </w:r>
            <w:r w:rsidRPr="000A16D2">
              <w:t>8</w:t>
            </w:r>
          </w:p>
        </w:tc>
        <w:tc>
          <w:tcPr>
            <w:tcW w:w="0" w:type="auto"/>
          </w:tcPr>
          <w:p w14:paraId="68553905" w14:textId="77777777" w:rsidR="000A16D2" w:rsidRPr="000A16D2" w:rsidRDefault="000A16D2" w:rsidP="000A16D2">
            <w:pPr>
              <w:pStyle w:val="NoSpacing"/>
            </w:pPr>
            <w:r w:rsidRPr="000A16D2">
              <w:t>.13</w:t>
            </w:r>
          </w:p>
        </w:tc>
        <w:tc>
          <w:tcPr>
            <w:tcW w:w="0" w:type="auto"/>
          </w:tcPr>
          <w:p w14:paraId="28795D31" w14:textId="77777777" w:rsidR="000A16D2" w:rsidRPr="000A16D2" w:rsidRDefault="000A16D2" w:rsidP="000A16D2">
            <w:pPr>
              <w:pStyle w:val="NoSpacing"/>
            </w:pPr>
            <w:r w:rsidRPr="000A16D2">
              <w:t>.95</w:t>
            </w:r>
          </w:p>
        </w:tc>
        <w:tc>
          <w:tcPr>
            <w:tcW w:w="0" w:type="auto"/>
          </w:tcPr>
          <w:p w14:paraId="52F8FB9D" w14:textId="77777777" w:rsidR="000A16D2" w:rsidRPr="000A16D2" w:rsidRDefault="000A16D2" w:rsidP="000A16D2">
            <w:pPr>
              <w:pStyle w:val="NoSpacing"/>
            </w:pPr>
            <w:r w:rsidRPr="000A16D2">
              <w:t>.78</w:t>
            </w:r>
          </w:p>
        </w:tc>
        <w:tc>
          <w:tcPr>
            <w:tcW w:w="0" w:type="auto"/>
          </w:tcPr>
          <w:p w14:paraId="34D99592" w14:textId="77777777" w:rsidR="000A16D2" w:rsidRPr="000A16D2" w:rsidRDefault="000A16D2" w:rsidP="000A16D2">
            <w:pPr>
              <w:pStyle w:val="NoSpacing"/>
            </w:pPr>
            <w:r w:rsidRPr="000A16D2">
              <w:t>.46</w:t>
            </w:r>
          </w:p>
        </w:tc>
        <w:tc>
          <w:tcPr>
            <w:tcW w:w="0" w:type="auto"/>
          </w:tcPr>
          <w:p w14:paraId="1A4BCC38" w14:textId="77777777" w:rsidR="000A16D2" w:rsidRPr="000A16D2" w:rsidRDefault="000A16D2" w:rsidP="000A16D2">
            <w:pPr>
              <w:pStyle w:val="NoSpacing"/>
            </w:pPr>
            <w:r w:rsidRPr="000A16D2">
              <w:t>.08</w:t>
            </w:r>
          </w:p>
        </w:tc>
      </w:tr>
      <w:tr w:rsidR="000A16D2" w:rsidRPr="000A16D2" w14:paraId="45A74942" w14:textId="77777777" w:rsidTr="008E6217">
        <w:trPr>
          <w:trHeight w:val="188"/>
        </w:trPr>
        <w:tc>
          <w:tcPr>
            <w:tcW w:w="0" w:type="auto"/>
          </w:tcPr>
          <w:p w14:paraId="671BDA62" w14:textId="77777777" w:rsidR="000A16D2" w:rsidRPr="000A16D2" w:rsidRDefault="000A16D2" w:rsidP="000A16D2">
            <w:pPr>
              <w:pStyle w:val="NoSpacing"/>
              <w:rPr>
                <w:b/>
                <w:bCs/>
              </w:rPr>
            </w:pPr>
            <w:r w:rsidRPr="000A16D2">
              <w:rPr>
                <w:rFonts w:ascii="Elephant" w:hAnsi="Elephant" w:cs="Elephant"/>
              </w:rPr>
              <w:t xml:space="preserve">&lt; </w:t>
            </w:r>
            <w:r w:rsidRPr="000A16D2">
              <w:rPr>
                <w:b/>
                <w:bCs/>
              </w:rPr>
              <w:t>9</w:t>
            </w:r>
          </w:p>
        </w:tc>
        <w:tc>
          <w:tcPr>
            <w:tcW w:w="0" w:type="auto"/>
          </w:tcPr>
          <w:p w14:paraId="3295D49E" w14:textId="77777777" w:rsidR="000A16D2" w:rsidRPr="000A16D2" w:rsidRDefault="000A16D2" w:rsidP="000A16D2">
            <w:pPr>
              <w:pStyle w:val="NoSpacing"/>
              <w:rPr>
                <w:b/>
                <w:bCs/>
              </w:rPr>
            </w:pPr>
            <w:r w:rsidRPr="000A16D2">
              <w:rPr>
                <w:b/>
                <w:bCs/>
              </w:rPr>
              <w:t>.23</w:t>
            </w:r>
          </w:p>
        </w:tc>
        <w:tc>
          <w:tcPr>
            <w:tcW w:w="0" w:type="auto"/>
          </w:tcPr>
          <w:p w14:paraId="390A8445" w14:textId="77777777" w:rsidR="000A16D2" w:rsidRPr="000A16D2" w:rsidRDefault="000A16D2" w:rsidP="000A16D2">
            <w:pPr>
              <w:pStyle w:val="NoSpacing"/>
              <w:rPr>
                <w:b/>
                <w:bCs/>
              </w:rPr>
            </w:pPr>
            <w:r w:rsidRPr="000A16D2">
              <w:rPr>
                <w:b/>
                <w:bCs/>
              </w:rPr>
              <w:t>.88</w:t>
            </w:r>
          </w:p>
        </w:tc>
        <w:tc>
          <w:tcPr>
            <w:tcW w:w="0" w:type="auto"/>
          </w:tcPr>
          <w:p w14:paraId="638120DC" w14:textId="77777777" w:rsidR="000A16D2" w:rsidRPr="000A16D2" w:rsidRDefault="000A16D2" w:rsidP="000A16D2">
            <w:pPr>
              <w:pStyle w:val="NoSpacing"/>
              <w:rPr>
                <w:b/>
                <w:bCs/>
              </w:rPr>
            </w:pPr>
            <w:r w:rsidRPr="000A16D2">
              <w:rPr>
                <w:b/>
                <w:bCs/>
              </w:rPr>
              <w:t>.71</w:t>
            </w:r>
          </w:p>
        </w:tc>
        <w:tc>
          <w:tcPr>
            <w:tcW w:w="0" w:type="auto"/>
          </w:tcPr>
          <w:p w14:paraId="6BD670EF" w14:textId="77777777" w:rsidR="000A16D2" w:rsidRPr="000A16D2" w:rsidRDefault="000A16D2" w:rsidP="000A16D2">
            <w:pPr>
              <w:pStyle w:val="NoSpacing"/>
              <w:rPr>
                <w:b/>
                <w:bCs/>
              </w:rPr>
            </w:pPr>
            <w:r w:rsidRPr="000A16D2">
              <w:rPr>
                <w:b/>
                <w:bCs/>
              </w:rPr>
              <w:t>.47</w:t>
            </w:r>
          </w:p>
        </w:tc>
        <w:tc>
          <w:tcPr>
            <w:tcW w:w="0" w:type="auto"/>
          </w:tcPr>
          <w:p w14:paraId="1CB778F0" w14:textId="77777777" w:rsidR="000A16D2" w:rsidRPr="000A16D2" w:rsidRDefault="000A16D2" w:rsidP="000A16D2">
            <w:pPr>
              <w:pStyle w:val="NoSpacing"/>
              <w:rPr>
                <w:b/>
                <w:bCs/>
              </w:rPr>
            </w:pPr>
            <w:r w:rsidRPr="000A16D2">
              <w:rPr>
                <w:b/>
                <w:bCs/>
              </w:rPr>
              <w:t>.11</w:t>
            </w:r>
          </w:p>
        </w:tc>
      </w:tr>
      <w:tr w:rsidR="000A16D2" w:rsidRPr="000A16D2" w14:paraId="78E4F679" w14:textId="77777777" w:rsidTr="008E6217">
        <w:trPr>
          <w:trHeight w:val="174"/>
        </w:trPr>
        <w:tc>
          <w:tcPr>
            <w:tcW w:w="0" w:type="auto"/>
          </w:tcPr>
          <w:p w14:paraId="3DB23A0D" w14:textId="77777777" w:rsidR="000A16D2" w:rsidRPr="000A16D2" w:rsidRDefault="000A16D2" w:rsidP="000A16D2">
            <w:pPr>
              <w:pStyle w:val="NoSpacing"/>
            </w:pPr>
            <w:r w:rsidRPr="000A16D2">
              <w:rPr>
                <w:rFonts w:ascii="Maiandra GD" w:hAnsi="Maiandra GD" w:cs="Maiandra GD"/>
              </w:rPr>
              <w:t>&lt;</w:t>
            </w:r>
            <w:r w:rsidRPr="000A16D2">
              <w:t>10</w:t>
            </w:r>
          </w:p>
        </w:tc>
        <w:tc>
          <w:tcPr>
            <w:tcW w:w="0" w:type="auto"/>
          </w:tcPr>
          <w:p w14:paraId="7969CCBA" w14:textId="77777777" w:rsidR="000A16D2" w:rsidRPr="000A16D2" w:rsidRDefault="000A16D2" w:rsidP="000A16D2">
            <w:pPr>
              <w:pStyle w:val="NoSpacing"/>
            </w:pPr>
            <w:r w:rsidRPr="000A16D2">
              <w:t>.41</w:t>
            </w:r>
          </w:p>
        </w:tc>
        <w:tc>
          <w:tcPr>
            <w:tcW w:w="0" w:type="auto"/>
          </w:tcPr>
          <w:p w14:paraId="6ADFEAC3" w14:textId="77777777" w:rsidR="000A16D2" w:rsidRPr="000A16D2" w:rsidRDefault="000A16D2" w:rsidP="000A16D2">
            <w:pPr>
              <w:pStyle w:val="NoSpacing"/>
            </w:pPr>
            <w:r w:rsidRPr="000A16D2">
              <w:t>.68</w:t>
            </w:r>
          </w:p>
        </w:tc>
        <w:tc>
          <w:tcPr>
            <w:tcW w:w="0" w:type="auto"/>
          </w:tcPr>
          <w:p w14:paraId="2B3E29F6" w14:textId="77777777" w:rsidR="000A16D2" w:rsidRPr="000A16D2" w:rsidRDefault="000A16D2" w:rsidP="000A16D2">
            <w:pPr>
              <w:pStyle w:val="NoSpacing"/>
            </w:pPr>
            <w:r w:rsidRPr="000A16D2">
              <w:t>.63</w:t>
            </w:r>
          </w:p>
        </w:tc>
        <w:tc>
          <w:tcPr>
            <w:tcW w:w="0" w:type="auto"/>
          </w:tcPr>
          <w:p w14:paraId="0ADC843C" w14:textId="77777777" w:rsidR="000A16D2" w:rsidRPr="000A16D2" w:rsidRDefault="000A16D2" w:rsidP="000A16D2">
            <w:pPr>
              <w:pStyle w:val="NoSpacing"/>
            </w:pPr>
            <w:r w:rsidRPr="000A16D2">
              <w:t>.48</w:t>
            </w:r>
          </w:p>
        </w:tc>
        <w:tc>
          <w:tcPr>
            <w:tcW w:w="0" w:type="auto"/>
          </w:tcPr>
          <w:p w14:paraId="48C9984F" w14:textId="77777777" w:rsidR="000A16D2" w:rsidRPr="000A16D2" w:rsidRDefault="000A16D2" w:rsidP="000A16D2">
            <w:pPr>
              <w:pStyle w:val="NoSpacing"/>
            </w:pPr>
            <w:r w:rsidRPr="000A16D2">
              <w:t>.09</w:t>
            </w:r>
          </w:p>
        </w:tc>
      </w:tr>
      <w:tr w:rsidR="000A16D2" w:rsidRPr="000A16D2" w14:paraId="4561A8AC" w14:textId="77777777" w:rsidTr="008E6217">
        <w:trPr>
          <w:trHeight w:val="179"/>
        </w:trPr>
        <w:tc>
          <w:tcPr>
            <w:tcW w:w="0" w:type="auto"/>
          </w:tcPr>
          <w:p w14:paraId="02D06FC1" w14:textId="77777777" w:rsidR="000A16D2" w:rsidRPr="000A16D2" w:rsidRDefault="000A16D2" w:rsidP="000A16D2">
            <w:pPr>
              <w:pStyle w:val="NoSpacing"/>
            </w:pPr>
            <w:r w:rsidRPr="000A16D2">
              <w:rPr>
                <w:rFonts w:ascii="Maiandra GD" w:hAnsi="Maiandra GD" w:cs="Maiandra GD"/>
              </w:rPr>
              <w:t>&lt;</w:t>
            </w:r>
            <w:r w:rsidRPr="000A16D2">
              <w:t>11</w:t>
            </w:r>
          </w:p>
        </w:tc>
        <w:tc>
          <w:tcPr>
            <w:tcW w:w="0" w:type="auto"/>
          </w:tcPr>
          <w:p w14:paraId="115BF2E4" w14:textId="77777777" w:rsidR="000A16D2" w:rsidRPr="000A16D2" w:rsidRDefault="000A16D2" w:rsidP="000A16D2">
            <w:pPr>
              <w:pStyle w:val="NoSpacing"/>
            </w:pPr>
            <w:r w:rsidRPr="000A16D2">
              <w:t>.55</w:t>
            </w:r>
          </w:p>
        </w:tc>
        <w:tc>
          <w:tcPr>
            <w:tcW w:w="0" w:type="auto"/>
          </w:tcPr>
          <w:p w14:paraId="0F81DC04" w14:textId="77777777" w:rsidR="000A16D2" w:rsidRPr="000A16D2" w:rsidRDefault="000A16D2" w:rsidP="000A16D2">
            <w:pPr>
              <w:pStyle w:val="NoSpacing"/>
            </w:pPr>
            <w:r w:rsidRPr="000A16D2">
              <w:t>.54</w:t>
            </w:r>
          </w:p>
        </w:tc>
        <w:tc>
          <w:tcPr>
            <w:tcW w:w="0" w:type="auto"/>
          </w:tcPr>
          <w:p w14:paraId="03E23F01" w14:textId="77777777" w:rsidR="000A16D2" w:rsidRPr="000A16D2" w:rsidRDefault="000A16D2" w:rsidP="000A16D2">
            <w:pPr>
              <w:pStyle w:val="NoSpacing"/>
            </w:pPr>
            <w:r w:rsidRPr="000A16D2">
              <w:t>.61</w:t>
            </w:r>
          </w:p>
        </w:tc>
        <w:tc>
          <w:tcPr>
            <w:tcW w:w="0" w:type="auto"/>
          </w:tcPr>
          <w:p w14:paraId="1997A9A9" w14:textId="77777777" w:rsidR="000A16D2" w:rsidRPr="000A16D2" w:rsidRDefault="000A16D2" w:rsidP="000A16D2">
            <w:pPr>
              <w:pStyle w:val="NoSpacing"/>
            </w:pPr>
            <w:r w:rsidRPr="000A16D2">
              <w:t>.48</w:t>
            </w:r>
          </w:p>
        </w:tc>
        <w:tc>
          <w:tcPr>
            <w:tcW w:w="0" w:type="auto"/>
          </w:tcPr>
          <w:p w14:paraId="6A5476E2" w14:textId="77777777" w:rsidR="000A16D2" w:rsidRPr="000A16D2" w:rsidRDefault="000A16D2" w:rsidP="000A16D2">
            <w:pPr>
              <w:pStyle w:val="NoSpacing"/>
            </w:pPr>
            <w:r w:rsidRPr="000A16D2">
              <w:t>.09</w:t>
            </w:r>
          </w:p>
        </w:tc>
      </w:tr>
      <w:tr w:rsidR="000A16D2" w:rsidRPr="000A16D2" w14:paraId="0705B7F4" w14:textId="77777777" w:rsidTr="008E6217">
        <w:trPr>
          <w:trHeight w:val="180"/>
        </w:trPr>
        <w:tc>
          <w:tcPr>
            <w:tcW w:w="0" w:type="auto"/>
          </w:tcPr>
          <w:p w14:paraId="4E90AFE4" w14:textId="77777777" w:rsidR="000A16D2" w:rsidRPr="000A16D2" w:rsidRDefault="000A16D2" w:rsidP="000A16D2">
            <w:pPr>
              <w:pStyle w:val="NoSpacing"/>
            </w:pPr>
            <w:r w:rsidRPr="000A16D2">
              <w:t>TOVA reaction time</w:t>
            </w:r>
          </w:p>
        </w:tc>
        <w:tc>
          <w:tcPr>
            <w:tcW w:w="0" w:type="auto"/>
          </w:tcPr>
          <w:p w14:paraId="1FB89CC4" w14:textId="77777777" w:rsidR="000A16D2" w:rsidRPr="000A16D2" w:rsidRDefault="000A16D2" w:rsidP="000A16D2">
            <w:pPr>
              <w:pStyle w:val="NoSpacing"/>
              <w:rPr>
                <w:sz w:val="12"/>
                <w:szCs w:val="12"/>
              </w:rPr>
            </w:pPr>
          </w:p>
        </w:tc>
        <w:tc>
          <w:tcPr>
            <w:tcW w:w="0" w:type="auto"/>
          </w:tcPr>
          <w:p w14:paraId="0862C401" w14:textId="77777777" w:rsidR="000A16D2" w:rsidRPr="000A16D2" w:rsidRDefault="000A16D2" w:rsidP="000A16D2">
            <w:pPr>
              <w:pStyle w:val="NoSpacing"/>
              <w:rPr>
                <w:sz w:val="12"/>
                <w:szCs w:val="12"/>
              </w:rPr>
            </w:pPr>
          </w:p>
        </w:tc>
        <w:tc>
          <w:tcPr>
            <w:tcW w:w="0" w:type="auto"/>
          </w:tcPr>
          <w:p w14:paraId="500601B3" w14:textId="77777777" w:rsidR="000A16D2" w:rsidRPr="000A16D2" w:rsidRDefault="000A16D2" w:rsidP="000A16D2">
            <w:pPr>
              <w:pStyle w:val="NoSpacing"/>
              <w:rPr>
                <w:sz w:val="12"/>
                <w:szCs w:val="12"/>
              </w:rPr>
            </w:pPr>
          </w:p>
        </w:tc>
        <w:tc>
          <w:tcPr>
            <w:tcW w:w="0" w:type="auto"/>
          </w:tcPr>
          <w:p w14:paraId="117C17BB" w14:textId="77777777" w:rsidR="000A16D2" w:rsidRPr="000A16D2" w:rsidRDefault="000A16D2" w:rsidP="000A16D2">
            <w:pPr>
              <w:pStyle w:val="NoSpacing"/>
              <w:rPr>
                <w:sz w:val="12"/>
                <w:szCs w:val="12"/>
              </w:rPr>
            </w:pPr>
          </w:p>
        </w:tc>
        <w:tc>
          <w:tcPr>
            <w:tcW w:w="0" w:type="auto"/>
          </w:tcPr>
          <w:p w14:paraId="60A72365" w14:textId="77777777" w:rsidR="000A16D2" w:rsidRPr="000A16D2" w:rsidRDefault="000A16D2" w:rsidP="000A16D2">
            <w:pPr>
              <w:pStyle w:val="NoSpacing"/>
              <w:rPr>
                <w:sz w:val="12"/>
                <w:szCs w:val="12"/>
              </w:rPr>
            </w:pPr>
          </w:p>
        </w:tc>
      </w:tr>
      <w:tr w:rsidR="000A16D2" w:rsidRPr="000A16D2" w14:paraId="42ADD11D" w14:textId="77777777" w:rsidTr="008E6217">
        <w:trPr>
          <w:trHeight w:val="180"/>
        </w:trPr>
        <w:tc>
          <w:tcPr>
            <w:tcW w:w="0" w:type="auto"/>
          </w:tcPr>
          <w:p w14:paraId="016ED274" w14:textId="77777777" w:rsidR="000A16D2" w:rsidRPr="000A16D2" w:rsidRDefault="000A16D2" w:rsidP="000A16D2">
            <w:pPr>
              <w:pStyle w:val="NoSpacing"/>
            </w:pPr>
            <w:r w:rsidRPr="000A16D2">
              <w:t>variability</w:t>
            </w:r>
          </w:p>
        </w:tc>
        <w:tc>
          <w:tcPr>
            <w:tcW w:w="0" w:type="auto"/>
          </w:tcPr>
          <w:p w14:paraId="138C5235" w14:textId="77777777" w:rsidR="000A16D2" w:rsidRPr="000A16D2" w:rsidRDefault="000A16D2" w:rsidP="000A16D2">
            <w:pPr>
              <w:pStyle w:val="NoSpacing"/>
              <w:rPr>
                <w:sz w:val="12"/>
                <w:szCs w:val="12"/>
              </w:rPr>
            </w:pPr>
          </w:p>
        </w:tc>
        <w:tc>
          <w:tcPr>
            <w:tcW w:w="0" w:type="auto"/>
          </w:tcPr>
          <w:p w14:paraId="093A7939" w14:textId="77777777" w:rsidR="000A16D2" w:rsidRPr="000A16D2" w:rsidRDefault="000A16D2" w:rsidP="000A16D2">
            <w:pPr>
              <w:pStyle w:val="NoSpacing"/>
              <w:rPr>
                <w:sz w:val="12"/>
                <w:szCs w:val="12"/>
              </w:rPr>
            </w:pPr>
          </w:p>
        </w:tc>
        <w:tc>
          <w:tcPr>
            <w:tcW w:w="0" w:type="auto"/>
          </w:tcPr>
          <w:p w14:paraId="23494701" w14:textId="77777777" w:rsidR="000A16D2" w:rsidRPr="000A16D2" w:rsidRDefault="000A16D2" w:rsidP="000A16D2">
            <w:pPr>
              <w:pStyle w:val="NoSpacing"/>
              <w:rPr>
                <w:sz w:val="12"/>
                <w:szCs w:val="12"/>
              </w:rPr>
            </w:pPr>
          </w:p>
        </w:tc>
        <w:tc>
          <w:tcPr>
            <w:tcW w:w="0" w:type="auto"/>
          </w:tcPr>
          <w:p w14:paraId="4D35B18A" w14:textId="77777777" w:rsidR="000A16D2" w:rsidRPr="000A16D2" w:rsidRDefault="000A16D2" w:rsidP="000A16D2">
            <w:pPr>
              <w:pStyle w:val="NoSpacing"/>
              <w:rPr>
                <w:sz w:val="12"/>
                <w:szCs w:val="12"/>
              </w:rPr>
            </w:pPr>
          </w:p>
        </w:tc>
        <w:tc>
          <w:tcPr>
            <w:tcW w:w="0" w:type="auto"/>
          </w:tcPr>
          <w:p w14:paraId="1FE8D7DC" w14:textId="77777777" w:rsidR="000A16D2" w:rsidRPr="000A16D2" w:rsidRDefault="000A16D2" w:rsidP="000A16D2">
            <w:pPr>
              <w:pStyle w:val="NoSpacing"/>
              <w:rPr>
                <w:sz w:val="12"/>
                <w:szCs w:val="12"/>
              </w:rPr>
            </w:pPr>
          </w:p>
        </w:tc>
      </w:tr>
      <w:tr w:rsidR="000A16D2" w:rsidRPr="000A16D2" w14:paraId="692C85C6" w14:textId="77777777" w:rsidTr="008E6217">
        <w:trPr>
          <w:trHeight w:val="180"/>
        </w:trPr>
        <w:tc>
          <w:tcPr>
            <w:tcW w:w="0" w:type="auto"/>
          </w:tcPr>
          <w:p w14:paraId="213C163C" w14:textId="77777777" w:rsidR="000A16D2" w:rsidRPr="000A16D2" w:rsidRDefault="000A16D2" w:rsidP="000A16D2">
            <w:pPr>
              <w:pStyle w:val="NoSpacing"/>
            </w:pPr>
            <w:r w:rsidRPr="000A16D2">
              <w:rPr>
                <w:rFonts w:ascii="Maiandra GD" w:hAnsi="Maiandra GD" w:cs="Maiandra GD"/>
              </w:rPr>
              <w:t>&lt;</w:t>
            </w:r>
            <w:r w:rsidRPr="000A16D2">
              <w:t>80</w:t>
            </w:r>
          </w:p>
        </w:tc>
        <w:tc>
          <w:tcPr>
            <w:tcW w:w="0" w:type="auto"/>
          </w:tcPr>
          <w:p w14:paraId="192DC754" w14:textId="77777777" w:rsidR="000A16D2" w:rsidRPr="000A16D2" w:rsidRDefault="000A16D2" w:rsidP="000A16D2">
            <w:pPr>
              <w:pStyle w:val="NoSpacing"/>
            </w:pPr>
            <w:r w:rsidRPr="000A16D2">
              <w:t>.37</w:t>
            </w:r>
          </w:p>
        </w:tc>
        <w:tc>
          <w:tcPr>
            <w:tcW w:w="0" w:type="auto"/>
          </w:tcPr>
          <w:p w14:paraId="0C449897" w14:textId="77777777" w:rsidR="000A16D2" w:rsidRPr="000A16D2" w:rsidRDefault="000A16D2" w:rsidP="000A16D2">
            <w:pPr>
              <w:pStyle w:val="NoSpacing"/>
            </w:pPr>
            <w:r w:rsidRPr="000A16D2">
              <w:t>.91</w:t>
            </w:r>
          </w:p>
        </w:tc>
        <w:tc>
          <w:tcPr>
            <w:tcW w:w="0" w:type="auto"/>
          </w:tcPr>
          <w:p w14:paraId="3E9E9FBD" w14:textId="77777777" w:rsidR="000A16D2" w:rsidRPr="000A16D2" w:rsidRDefault="000A16D2" w:rsidP="000A16D2">
            <w:pPr>
              <w:pStyle w:val="NoSpacing"/>
            </w:pPr>
            <w:r w:rsidRPr="000A16D2">
              <w:t>.83</w:t>
            </w:r>
          </w:p>
        </w:tc>
        <w:tc>
          <w:tcPr>
            <w:tcW w:w="0" w:type="auto"/>
          </w:tcPr>
          <w:p w14:paraId="6662E90E" w14:textId="77777777" w:rsidR="000A16D2" w:rsidRPr="000A16D2" w:rsidRDefault="000A16D2" w:rsidP="000A16D2">
            <w:pPr>
              <w:pStyle w:val="NoSpacing"/>
            </w:pPr>
            <w:r w:rsidRPr="000A16D2">
              <w:t>.53</w:t>
            </w:r>
          </w:p>
        </w:tc>
        <w:tc>
          <w:tcPr>
            <w:tcW w:w="0" w:type="auto"/>
          </w:tcPr>
          <w:p w14:paraId="7B939E4A" w14:textId="77777777" w:rsidR="000A16D2" w:rsidRPr="000A16D2" w:rsidRDefault="000A16D2" w:rsidP="000A16D2">
            <w:pPr>
              <w:pStyle w:val="NoSpacing"/>
            </w:pPr>
            <w:r w:rsidRPr="000A16D2">
              <w:t>.28</w:t>
            </w:r>
          </w:p>
        </w:tc>
      </w:tr>
      <w:tr w:rsidR="000A16D2" w:rsidRPr="000A16D2" w14:paraId="54ED5463" w14:textId="77777777" w:rsidTr="008E6217">
        <w:trPr>
          <w:trHeight w:val="180"/>
        </w:trPr>
        <w:tc>
          <w:tcPr>
            <w:tcW w:w="0" w:type="auto"/>
          </w:tcPr>
          <w:p w14:paraId="6C14F7BC" w14:textId="77777777" w:rsidR="000A16D2" w:rsidRPr="000A16D2" w:rsidRDefault="000A16D2" w:rsidP="000A16D2">
            <w:pPr>
              <w:pStyle w:val="NoSpacing"/>
            </w:pPr>
            <w:r w:rsidRPr="000A16D2">
              <w:rPr>
                <w:rFonts w:ascii="Maiandra GD" w:hAnsi="Maiandra GD" w:cs="Maiandra GD"/>
              </w:rPr>
              <w:t>&lt;</w:t>
            </w:r>
            <w:r w:rsidRPr="000A16D2">
              <w:t>85</w:t>
            </w:r>
          </w:p>
        </w:tc>
        <w:tc>
          <w:tcPr>
            <w:tcW w:w="0" w:type="auto"/>
          </w:tcPr>
          <w:p w14:paraId="7B70DC55" w14:textId="77777777" w:rsidR="000A16D2" w:rsidRPr="000A16D2" w:rsidRDefault="000A16D2" w:rsidP="000A16D2">
            <w:pPr>
              <w:pStyle w:val="NoSpacing"/>
            </w:pPr>
            <w:r w:rsidRPr="000A16D2">
              <w:t>.47</w:t>
            </w:r>
          </w:p>
        </w:tc>
        <w:tc>
          <w:tcPr>
            <w:tcW w:w="0" w:type="auto"/>
          </w:tcPr>
          <w:p w14:paraId="33C19E98" w14:textId="77777777" w:rsidR="000A16D2" w:rsidRPr="000A16D2" w:rsidRDefault="000A16D2" w:rsidP="000A16D2">
            <w:pPr>
              <w:pStyle w:val="NoSpacing"/>
            </w:pPr>
            <w:r w:rsidRPr="000A16D2">
              <w:t>.85</w:t>
            </w:r>
          </w:p>
        </w:tc>
        <w:tc>
          <w:tcPr>
            <w:tcW w:w="0" w:type="auto"/>
          </w:tcPr>
          <w:p w14:paraId="25EDEE7C" w14:textId="77777777" w:rsidR="000A16D2" w:rsidRPr="000A16D2" w:rsidRDefault="000A16D2" w:rsidP="000A16D2">
            <w:pPr>
              <w:pStyle w:val="NoSpacing"/>
            </w:pPr>
            <w:r w:rsidRPr="000A16D2">
              <w:t>.80</w:t>
            </w:r>
          </w:p>
        </w:tc>
        <w:tc>
          <w:tcPr>
            <w:tcW w:w="0" w:type="auto"/>
          </w:tcPr>
          <w:p w14:paraId="33E2C68A" w14:textId="77777777" w:rsidR="000A16D2" w:rsidRPr="000A16D2" w:rsidRDefault="000A16D2" w:rsidP="000A16D2">
            <w:pPr>
              <w:pStyle w:val="NoSpacing"/>
            </w:pPr>
            <w:r w:rsidRPr="000A16D2">
              <w:t>.55</w:t>
            </w:r>
          </w:p>
        </w:tc>
        <w:tc>
          <w:tcPr>
            <w:tcW w:w="0" w:type="auto"/>
          </w:tcPr>
          <w:p w14:paraId="1DE77E84" w14:textId="77777777" w:rsidR="000A16D2" w:rsidRPr="000A16D2" w:rsidRDefault="000A16D2" w:rsidP="000A16D2">
            <w:pPr>
              <w:pStyle w:val="NoSpacing"/>
            </w:pPr>
            <w:r w:rsidRPr="000A16D2">
              <w:t>.32</w:t>
            </w:r>
          </w:p>
        </w:tc>
      </w:tr>
      <w:tr w:rsidR="000A16D2" w:rsidRPr="000A16D2" w14:paraId="0C1562FA" w14:textId="77777777" w:rsidTr="008E6217">
        <w:trPr>
          <w:trHeight w:val="177"/>
        </w:trPr>
        <w:tc>
          <w:tcPr>
            <w:tcW w:w="0" w:type="auto"/>
          </w:tcPr>
          <w:p w14:paraId="2FCB29EA" w14:textId="77777777" w:rsidR="000A16D2" w:rsidRPr="000A16D2" w:rsidRDefault="000A16D2" w:rsidP="000A16D2">
            <w:pPr>
              <w:pStyle w:val="NoSpacing"/>
            </w:pPr>
            <w:r w:rsidRPr="000A16D2">
              <w:rPr>
                <w:rFonts w:ascii="Maiandra GD" w:hAnsi="Maiandra GD" w:cs="Maiandra GD"/>
              </w:rPr>
              <w:t>&lt;</w:t>
            </w:r>
            <w:r w:rsidRPr="000A16D2">
              <w:t>95</w:t>
            </w:r>
          </w:p>
        </w:tc>
        <w:tc>
          <w:tcPr>
            <w:tcW w:w="0" w:type="auto"/>
          </w:tcPr>
          <w:p w14:paraId="2013C895" w14:textId="77777777" w:rsidR="000A16D2" w:rsidRPr="000A16D2" w:rsidRDefault="000A16D2" w:rsidP="000A16D2">
            <w:pPr>
              <w:pStyle w:val="NoSpacing"/>
            </w:pPr>
            <w:r w:rsidRPr="000A16D2">
              <w:t>.51</w:t>
            </w:r>
          </w:p>
        </w:tc>
        <w:tc>
          <w:tcPr>
            <w:tcW w:w="0" w:type="auto"/>
          </w:tcPr>
          <w:p w14:paraId="3202B60D" w14:textId="77777777" w:rsidR="000A16D2" w:rsidRPr="000A16D2" w:rsidRDefault="000A16D2" w:rsidP="000A16D2">
            <w:pPr>
              <w:pStyle w:val="NoSpacing"/>
            </w:pPr>
            <w:r w:rsidRPr="000A16D2">
              <w:t>.82</w:t>
            </w:r>
          </w:p>
        </w:tc>
        <w:tc>
          <w:tcPr>
            <w:tcW w:w="0" w:type="auto"/>
          </w:tcPr>
          <w:p w14:paraId="2D0ED3DC" w14:textId="77777777" w:rsidR="000A16D2" w:rsidRPr="000A16D2" w:rsidRDefault="000A16D2" w:rsidP="000A16D2">
            <w:pPr>
              <w:pStyle w:val="NoSpacing"/>
            </w:pPr>
            <w:r w:rsidRPr="000A16D2">
              <w:t>.79</w:t>
            </w:r>
          </w:p>
        </w:tc>
        <w:tc>
          <w:tcPr>
            <w:tcW w:w="0" w:type="auto"/>
          </w:tcPr>
          <w:p w14:paraId="2CE26F2C" w14:textId="77777777" w:rsidR="000A16D2" w:rsidRPr="000A16D2" w:rsidRDefault="000A16D2" w:rsidP="000A16D2">
            <w:pPr>
              <w:pStyle w:val="NoSpacing"/>
            </w:pPr>
            <w:r w:rsidRPr="000A16D2">
              <w:t>.60</w:t>
            </w:r>
          </w:p>
        </w:tc>
        <w:tc>
          <w:tcPr>
            <w:tcW w:w="0" w:type="auto"/>
          </w:tcPr>
          <w:p w14:paraId="05CFB312" w14:textId="77777777" w:rsidR="000A16D2" w:rsidRPr="000A16D2" w:rsidRDefault="000A16D2" w:rsidP="000A16D2">
            <w:pPr>
              <w:pStyle w:val="NoSpacing"/>
            </w:pPr>
            <w:r w:rsidRPr="000A16D2">
              <w:t>.33</w:t>
            </w:r>
          </w:p>
        </w:tc>
      </w:tr>
      <w:tr w:rsidR="000A16D2" w:rsidRPr="000A16D2" w14:paraId="5021D70A" w14:textId="77777777" w:rsidTr="008E6217">
        <w:trPr>
          <w:trHeight w:val="188"/>
        </w:trPr>
        <w:tc>
          <w:tcPr>
            <w:tcW w:w="0" w:type="auto"/>
          </w:tcPr>
          <w:p w14:paraId="2B82D575" w14:textId="77777777" w:rsidR="000A16D2" w:rsidRPr="000A16D2" w:rsidRDefault="000A16D2" w:rsidP="000A16D2">
            <w:pPr>
              <w:pStyle w:val="NoSpacing"/>
              <w:rPr>
                <w:b/>
                <w:bCs/>
              </w:rPr>
            </w:pPr>
            <w:r w:rsidRPr="000A16D2">
              <w:rPr>
                <w:rFonts w:ascii="Elephant" w:hAnsi="Elephant" w:cs="Elephant"/>
              </w:rPr>
              <w:t>&lt;</w:t>
            </w:r>
            <w:r w:rsidRPr="000A16D2">
              <w:rPr>
                <w:b/>
                <w:bCs/>
              </w:rPr>
              <w:t>100</w:t>
            </w:r>
          </w:p>
        </w:tc>
        <w:tc>
          <w:tcPr>
            <w:tcW w:w="0" w:type="auto"/>
          </w:tcPr>
          <w:p w14:paraId="5543ABAA" w14:textId="77777777" w:rsidR="000A16D2" w:rsidRPr="000A16D2" w:rsidRDefault="000A16D2" w:rsidP="000A16D2">
            <w:pPr>
              <w:pStyle w:val="NoSpacing"/>
              <w:rPr>
                <w:b/>
                <w:bCs/>
              </w:rPr>
            </w:pPr>
            <w:r w:rsidRPr="000A16D2">
              <w:rPr>
                <w:b/>
                <w:bCs/>
              </w:rPr>
              <w:t>.66</w:t>
            </w:r>
          </w:p>
        </w:tc>
        <w:tc>
          <w:tcPr>
            <w:tcW w:w="0" w:type="auto"/>
          </w:tcPr>
          <w:p w14:paraId="201D8183" w14:textId="77777777" w:rsidR="000A16D2" w:rsidRPr="000A16D2" w:rsidRDefault="000A16D2" w:rsidP="000A16D2">
            <w:pPr>
              <w:pStyle w:val="NoSpacing"/>
              <w:rPr>
                <w:b/>
                <w:bCs/>
              </w:rPr>
            </w:pPr>
            <w:r w:rsidRPr="000A16D2">
              <w:rPr>
                <w:b/>
                <w:bCs/>
              </w:rPr>
              <w:t>.68</w:t>
            </w:r>
          </w:p>
        </w:tc>
        <w:tc>
          <w:tcPr>
            <w:tcW w:w="0" w:type="auto"/>
          </w:tcPr>
          <w:p w14:paraId="26FE2F85" w14:textId="77777777" w:rsidR="000A16D2" w:rsidRPr="000A16D2" w:rsidRDefault="000A16D2" w:rsidP="000A16D2">
            <w:pPr>
              <w:pStyle w:val="NoSpacing"/>
              <w:rPr>
                <w:b/>
                <w:bCs/>
              </w:rPr>
            </w:pPr>
            <w:r w:rsidRPr="000A16D2">
              <w:rPr>
                <w:b/>
                <w:bCs/>
              </w:rPr>
              <w:t>.73</w:t>
            </w:r>
          </w:p>
        </w:tc>
        <w:tc>
          <w:tcPr>
            <w:tcW w:w="0" w:type="auto"/>
          </w:tcPr>
          <w:p w14:paraId="0071CC40" w14:textId="77777777" w:rsidR="000A16D2" w:rsidRPr="000A16D2" w:rsidRDefault="000A16D2" w:rsidP="000A16D2">
            <w:pPr>
              <w:pStyle w:val="NoSpacing"/>
              <w:rPr>
                <w:b/>
                <w:bCs/>
              </w:rPr>
            </w:pPr>
            <w:r w:rsidRPr="000A16D2">
              <w:rPr>
                <w:b/>
                <w:bCs/>
              </w:rPr>
              <w:t>.61</w:t>
            </w:r>
          </w:p>
        </w:tc>
        <w:tc>
          <w:tcPr>
            <w:tcW w:w="0" w:type="auto"/>
          </w:tcPr>
          <w:p w14:paraId="28B558F1" w14:textId="77777777" w:rsidR="000A16D2" w:rsidRPr="000A16D2" w:rsidRDefault="000A16D2" w:rsidP="000A16D2">
            <w:pPr>
              <w:pStyle w:val="NoSpacing"/>
              <w:rPr>
                <w:b/>
                <w:bCs/>
              </w:rPr>
            </w:pPr>
            <w:r w:rsidRPr="000A16D2">
              <w:rPr>
                <w:b/>
                <w:bCs/>
              </w:rPr>
              <w:t>.34</w:t>
            </w:r>
          </w:p>
        </w:tc>
      </w:tr>
      <w:tr w:rsidR="000A16D2" w:rsidRPr="000A16D2" w14:paraId="41D67DC3" w14:textId="77777777" w:rsidTr="008E6217">
        <w:trPr>
          <w:trHeight w:val="173"/>
        </w:trPr>
        <w:tc>
          <w:tcPr>
            <w:tcW w:w="0" w:type="auto"/>
          </w:tcPr>
          <w:p w14:paraId="3D437688" w14:textId="77777777" w:rsidR="000A16D2" w:rsidRPr="000A16D2" w:rsidRDefault="000A16D2" w:rsidP="000A16D2">
            <w:pPr>
              <w:pStyle w:val="NoSpacing"/>
            </w:pPr>
            <w:r w:rsidRPr="000A16D2">
              <w:rPr>
                <w:rFonts w:ascii="Maiandra GD" w:hAnsi="Maiandra GD" w:cs="Maiandra GD"/>
              </w:rPr>
              <w:t>&lt;</w:t>
            </w:r>
            <w:r w:rsidRPr="000A16D2">
              <w:t>105</w:t>
            </w:r>
          </w:p>
        </w:tc>
        <w:tc>
          <w:tcPr>
            <w:tcW w:w="0" w:type="auto"/>
          </w:tcPr>
          <w:p w14:paraId="6027241C" w14:textId="77777777" w:rsidR="000A16D2" w:rsidRPr="000A16D2" w:rsidRDefault="000A16D2" w:rsidP="000A16D2">
            <w:pPr>
              <w:pStyle w:val="NoSpacing"/>
            </w:pPr>
            <w:r w:rsidRPr="000A16D2">
              <w:t>.75</w:t>
            </w:r>
          </w:p>
        </w:tc>
        <w:tc>
          <w:tcPr>
            <w:tcW w:w="0" w:type="auto"/>
          </w:tcPr>
          <w:p w14:paraId="58A124CE" w14:textId="77777777" w:rsidR="000A16D2" w:rsidRPr="000A16D2" w:rsidRDefault="000A16D2" w:rsidP="000A16D2">
            <w:pPr>
              <w:pStyle w:val="NoSpacing"/>
            </w:pPr>
            <w:r w:rsidRPr="000A16D2">
              <w:t>.46</w:t>
            </w:r>
          </w:p>
        </w:tc>
        <w:tc>
          <w:tcPr>
            <w:tcW w:w="0" w:type="auto"/>
          </w:tcPr>
          <w:p w14:paraId="390DDC7C" w14:textId="77777777" w:rsidR="000A16D2" w:rsidRPr="000A16D2" w:rsidRDefault="000A16D2" w:rsidP="000A16D2">
            <w:pPr>
              <w:pStyle w:val="NoSpacing"/>
            </w:pPr>
            <w:r w:rsidRPr="000A16D2">
              <w:t>.64</w:t>
            </w:r>
          </w:p>
        </w:tc>
        <w:tc>
          <w:tcPr>
            <w:tcW w:w="0" w:type="auto"/>
          </w:tcPr>
          <w:p w14:paraId="63D05F3B" w14:textId="77777777" w:rsidR="000A16D2" w:rsidRPr="000A16D2" w:rsidRDefault="000A16D2" w:rsidP="000A16D2">
            <w:pPr>
              <w:pStyle w:val="NoSpacing"/>
            </w:pPr>
            <w:r w:rsidRPr="000A16D2">
              <w:t>.59</w:t>
            </w:r>
          </w:p>
        </w:tc>
        <w:tc>
          <w:tcPr>
            <w:tcW w:w="0" w:type="auto"/>
          </w:tcPr>
          <w:p w14:paraId="4BE240A3" w14:textId="77777777" w:rsidR="000A16D2" w:rsidRPr="000A16D2" w:rsidRDefault="000A16D2" w:rsidP="000A16D2">
            <w:pPr>
              <w:pStyle w:val="NoSpacing"/>
            </w:pPr>
            <w:r w:rsidRPr="000A16D2">
              <w:t>.21</w:t>
            </w:r>
          </w:p>
        </w:tc>
      </w:tr>
      <w:tr w:rsidR="000A16D2" w:rsidRPr="000A16D2" w14:paraId="5D9ED117" w14:textId="77777777" w:rsidTr="008E6217">
        <w:trPr>
          <w:trHeight w:val="180"/>
        </w:trPr>
        <w:tc>
          <w:tcPr>
            <w:tcW w:w="0" w:type="auto"/>
          </w:tcPr>
          <w:p w14:paraId="5CA385CB" w14:textId="77777777" w:rsidR="000A16D2" w:rsidRPr="000A16D2" w:rsidRDefault="000A16D2" w:rsidP="000A16D2">
            <w:pPr>
              <w:pStyle w:val="NoSpacing"/>
            </w:pPr>
            <w:r w:rsidRPr="000A16D2">
              <w:t>TOVA reaction time</w:t>
            </w:r>
          </w:p>
        </w:tc>
        <w:tc>
          <w:tcPr>
            <w:tcW w:w="0" w:type="auto"/>
          </w:tcPr>
          <w:p w14:paraId="0850A26D" w14:textId="77777777" w:rsidR="000A16D2" w:rsidRPr="000A16D2" w:rsidRDefault="000A16D2" w:rsidP="000A16D2">
            <w:pPr>
              <w:pStyle w:val="NoSpacing"/>
              <w:rPr>
                <w:sz w:val="12"/>
                <w:szCs w:val="12"/>
              </w:rPr>
            </w:pPr>
          </w:p>
        </w:tc>
        <w:tc>
          <w:tcPr>
            <w:tcW w:w="0" w:type="auto"/>
          </w:tcPr>
          <w:p w14:paraId="1873F5BC" w14:textId="77777777" w:rsidR="000A16D2" w:rsidRPr="000A16D2" w:rsidRDefault="000A16D2" w:rsidP="000A16D2">
            <w:pPr>
              <w:pStyle w:val="NoSpacing"/>
              <w:rPr>
                <w:sz w:val="12"/>
                <w:szCs w:val="12"/>
              </w:rPr>
            </w:pPr>
          </w:p>
        </w:tc>
        <w:tc>
          <w:tcPr>
            <w:tcW w:w="0" w:type="auto"/>
          </w:tcPr>
          <w:p w14:paraId="33A6E160" w14:textId="77777777" w:rsidR="000A16D2" w:rsidRPr="000A16D2" w:rsidRDefault="000A16D2" w:rsidP="000A16D2">
            <w:pPr>
              <w:pStyle w:val="NoSpacing"/>
              <w:rPr>
                <w:sz w:val="12"/>
                <w:szCs w:val="12"/>
              </w:rPr>
            </w:pPr>
          </w:p>
        </w:tc>
        <w:tc>
          <w:tcPr>
            <w:tcW w:w="0" w:type="auto"/>
          </w:tcPr>
          <w:p w14:paraId="2420DC92" w14:textId="77777777" w:rsidR="000A16D2" w:rsidRPr="000A16D2" w:rsidRDefault="000A16D2" w:rsidP="000A16D2">
            <w:pPr>
              <w:pStyle w:val="NoSpacing"/>
              <w:rPr>
                <w:sz w:val="12"/>
                <w:szCs w:val="12"/>
              </w:rPr>
            </w:pPr>
          </w:p>
        </w:tc>
        <w:tc>
          <w:tcPr>
            <w:tcW w:w="0" w:type="auto"/>
          </w:tcPr>
          <w:p w14:paraId="1BBA8576" w14:textId="77777777" w:rsidR="000A16D2" w:rsidRPr="000A16D2" w:rsidRDefault="000A16D2" w:rsidP="000A16D2">
            <w:pPr>
              <w:pStyle w:val="NoSpacing"/>
              <w:rPr>
                <w:sz w:val="12"/>
                <w:szCs w:val="12"/>
              </w:rPr>
            </w:pPr>
          </w:p>
        </w:tc>
      </w:tr>
      <w:tr w:rsidR="000A16D2" w:rsidRPr="000A16D2" w14:paraId="2C9C3619" w14:textId="77777777" w:rsidTr="008E6217">
        <w:trPr>
          <w:trHeight w:val="180"/>
        </w:trPr>
        <w:tc>
          <w:tcPr>
            <w:tcW w:w="0" w:type="auto"/>
          </w:tcPr>
          <w:p w14:paraId="30C8354D" w14:textId="77777777" w:rsidR="000A16D2" w:rsidRPr="000A16D2" w:rsidRDefault="000A16D2" w:rsidP="000A16D2">
            <w:pPr>
              <w:pStyle w:val="NoSpacing"/>
            </w:pPr>
            <w:r w:rsidRPr="000A16D2">
              <w:rPr>
                <w:rFonts w:ascii="Maiandra GD" w:hAnsi="Maiandra GD" w:cs="Maiandra GD"/>
              </w:rPr>
              <w:t>&lt;</w:t>
            </w:r>
            <w:r w:rsidRPr="000A16D2">
              <w:t>100</w:t>
            </w:r>
          </w:p>
        </w:tc>
        <w:tc>
          <w:tcPr>
            <w:tcW w:w="0" w:type="auto"/>
          </w:tcPr>
          <w:p w14:paraId="0BB18B90" w14:textId="77777777" w:rsidR="000A16D2" w:rsidRPr="000A16D2" w:rsidRDefault="000A16D2" w:rsidP="000A16D2">
            <w:pPr>
              <w:pStyle w:val="NoSpacing"/>
            </w:pPr>
            <w:r w:rsidRPr="000A16D2">
              <w:t>.32</w:t>
            </w:r>
          </w:p>
        </w:tc>
        <w:tc>
          <w:tcPr>
            <w:tcW w:w="0" w:type="auto"/>
          </w:tcPr>
          <w:p w14:paraId="3543DCD1" w14:textId="77777777" w:rsidR="000A16D2" w:rsidRPr="000A16D2" w:rsidRDefault="000A16D2" w:rsidP="000A16D2">
            <w:pPr>
              <w:pStyle w:val="NoSpacing"/>
            </w:pPr>
            <w:r w:rsidRPr="000A16D2">
              <w:t>.84</w:t>
            </w:r>
          </w:p>
        </w:tc>
        <w:tc>
          <w:tcPr>
            <w:tcW w:w="0" w:type="auto"/>
          </w:tcPr>
          <w:p w14:paraId="077B1F09" w14:textId="77777777" w:rsidR="000A16D2" w:rsidRPr="000A16D2" w:rsidRDefault="000A16D2" w:rsidP="000A16D2">
            <w:pPr>
              <w:pStyle w:val="NoSpacing"/>
            </w:pPr>
            <w:r w:rsidRPr="000A16D2">
              <w:t>.71</w:t>
            </w:r>
          </w:p>
        </w:tc>
        <w:tc>
          <w:tcPr>
            <w:tcW w:w="0" w:type="auto"/>
          </w:tcPr>
          <w:p w14:paraId="19625F55" w14:textId="77777777" w:rsidR="000A16D2" w:rsidRPr="000A16D2" w:rsidRDefault="000A16D2" w:rsidP="000A16D2">
            <w:pPr>
              <w:pStyle w:val="NoSpacing"/>
            </w:pPr>
            <w:r w:rsidRPr="000A16D2">
              <w:t>.49</w:t>
            </w:r>
          </w:p>
        </w:tc>
        <w:tc>
          <w:tcPr>
            <w:tcW w:w="0" w:type="auto"/>
          </w:tcPr>
          <w:p w14:paraId="6DF00928" w14:textId="77777777" w:rsidR="000A16D2" w:rsidRPr="000A16D2" w:rsidRDefault="000A16D2" w:rsidP="000A16D2">
            <w:pPr>
              <w:pStyle w:val="NoSpacing"/>
            </w:pPr>
            <w:r w:rsidRPr="000A16D2">
              <w:t>.16</w:t>
            </w:r>
          </w:p>
        </w:tc>
      </w:tr>
      <w:tr w:rsidR="000A16D2" w:rsidRPr="000A16D2" w14:paraId="53988FFA" w14:textId="77777777" w:rsidTr="008E6217">
        <w:trPr>
          <w:trHeight w:val="177"/>
        </w:trPr>
        <w:tc>
          <w:tcPr>
            <w:tcW w:w="0" w:type="auto"/>
          </w:tcPr>
          <w:p w14:paraId="7FD42C94" w14:textId="77777777" w:rsidR="000A16D2" w:rsidRPr="000A16D2" w:rsidRDefault="000A16D2" w:rsidP="000A16D2">
            <w:pPr>
              <w:pStyle w:val="NoSpacing"/>
            </w:pPr>
            <w:r w:rsidRPr="000A16D2">
              <w:rPr>
                <w:rFonts w:ascii="Maiandra GD" w:hAnsi="Maiandra GD" w:cs="Maiandra GD"/>
              </w:rPr>
              <w:t>&lt;</w:t>
            </w:r>
            <w:r w:rsidRPr="000A16D2">
              <w:t>105</w:t>
            </w:r>
          </w:p>
        </w:tc>
        <w:tc>
          <w:tcPr>
            <w:tcW w:w="0" w:type="auto"/>
          </w:tcPr>
          <w:p w14:paraId="09BF1F42" w14:textId="77777777" w:rsidR="000A16D2" w:rsidRPr="000A16D2" w:rsidRDefault="000A16D2" w:rsidP="000A16D2">
            <w:pPr>
              <w:pStyle w:val="NoSpacing"/>
            </w:pPr>
            <w:r w:rsidRPr="000A16D2">
              <w:t>.40</w:t>
            </w:r>
          </w:p>
        </w:tc>
        <w:tc>
          <w:tcPr>
            <w:tcW w:w="0" w:type="auto"/>
          </w:tcPr>
          <w:p w14:paraId="041ED343" w14:textId="77777777" w:rsidR="000A16D2" w:rsidRPr="000A16D2" w:rsidRDefault="000A16D2" w:rsidP="000A16D2">
            <w:pPr>
              <w:pStyle w:val="NoSpacing"/>
            </w:pPr>
            <w:r w:rsidRPr="000A16D2">
              <w:t>.79</w:t>
            </w:r>
          </w:p>
        </w:tc>
        <w:tc>
          <w:tcPr>
            <w:tcW w:w="0" w:type="auto"/>
          </w:tcPr>
          <w:p w14:paraId="2D9B723B" w14:textId="77777777" w:rsidR="000A16D2" w:rsidRPr="000A16D2" w:rsidRDefault="000A16D2" w:rsidP="000A16D2">
            <w:pPr>
              <w:pStyle w:val="NoSpacing"/>
            </w:pPr>
            <w:r w:rsidRPr="000A16D2">
              <w:t>.71</w:t>
            </w:r>
          </w:p>
        </w:tc>
        <w:tc>
          <w:tcPr>
            <w:tcW w:w="0" w:type="auto"/>
          </w:tcPr>
          <w:p w14:paraId="3F7A0073" w14:textId="77777777" w:rsidR="000A16D2" w:rsidRPr="000A16D2" w:rsidRDefault="000A16D2" w:rsidP="000A16D2">
            <w:pPr>
              <w:pStyle w:val="NoSpacing"/>
            </w:pPr>
            <w:r w:rsidRPr="000A16D2">
              <w:t>.51</w:t>
            </w:r>
          </w:p>
        </w:tc>
        <w:tc>
          <w:tcPr>
            <w:tcW w:w="0" w:type="auto"/>
          </w:tcPr>
          <w:p w14:paraId="46700C66" w14:textId="77777777" w:rsidR="000A16D2" w:rsidRPr="000A16D2" w:rsidRDefault="000A16D2" w:rsidP="000A16D2">
            <w:pPr>
              <w:pStyle w:val="NoSpacing"/>
            </w:pPr>
            <w:r w:rsidRPr="000A16D2">
              <w:t>.19</w:t>
            </w:r>
          </w:p>
        </w:tc>
      </w:tr>
      <w:tr w:rsidR="000A16D2" w:rsidRPr="000A16D2" w14:paraId="3E1143A9" w14:textId="77777777" w:rsidTr="008E6217">
        <w:trPr>
          <w:trHeight w:val="188"/>
        </w:trPr>
        <w:tc>
          <w:tcPr>
            <w:tcW w:w="0" w:type="auto"/>
          </w:tcPr>
          <w:p w14:paraId="1ED84B61" w14:textId="77777777" w:rsidR="000A16D2" w:rsidRPr="000A16D2" w:rsidRDefault="000A16D2" w:rsidP="000A16D2">
            <w:pPr>
              <w:pStyle w:val="NoSpacing"/>
              <w:rPr>
                <w:b/>
                <w:bCs/>
              </w:rPr>
            </w:pPr>
            <w:r w:rsidRPr="000A16D2">
              <w:rPr>
                <w:rFonts w:ascii="Elephant" w:hAnsi="Elephant" w:cs="Elephant"/>
              </w:rPr>
              <w:t>&lt;</w:t>
            </w:r>
            <w:r w:rsidRPr="000A16D2">
              <w:rPr>
                <w:b/>
                <w:bCs/>
              </w:rPr>
              <w:t>110</w:t>
            </w:r>
          </w:p>
        </w:tc>
        <w:tc>
          <w:tcPr>
            <w:tcW w:w="0" w:type="auto"/>
          </w:tcPr>
          <w:p w14:paraId="6AD08EBE" w14:textId="77777777" w:rsidR="000A16D2" w:rsidRPr="000A16D2" w:rsidRDefault="000A16D2" w:rsidP="000A16D2">
            <w:pPr>
              <w:pStyle w:val="NoSpacing"/>
              <w:rPr>
                <w:b/>
                <w:bCs/>
              </w:rPr>
            </w:pPr>
            <w:r w:rsidRPr="000A16D2">
              <w:rPr>
                <w:b/>
                <w:bCs/>
              </w:rPr>
              <w:t>.55</w:t>
            </w:r>
          </w:p>
        </w:tc>
        <w:tc>
          <w:tcPr>
            <w:tcW w:w="0" w:type="auto"/>
          </w:tcPr>
          <w:p w14:paraId="5E010C4D" w14:textId="77777777" w:rsidR="000A16D2" w:rsidRPr="000A16D2" w:rsidRDefault="000A16D2" w:rsidP="000A16D2">
            <w:pPr>
              <w:pStyle w:val="NoSpacing"/>
              <w:rPr>
                <w:b/>
                <w:bCs/>
              </w:rPr>
            </w:pPr>
            <w:r w:rsidRPr="000A16D2">
              <w:rPr>
                <w:b/>
                <w:bCs/>
              </w:rPr>
              <w:t>.70</w:t>
            </w:r>
          </w:p>
        </w:tc>
        <w:tc>
          <w:tcPr>
            <w:tcW w:w="0" w:type="auto"/>
          </w:tcPr>
          <w:p w14:paraId="6941DAC9" w14:textId="77777777" w:rsidR="000A16D2" w:rsidRPr="000A16D2" w:rsidRDefault="000A16D2" w:rsidP="000A16D2">
            <w:pPr>
              <w:pStyle w:val="NoSpacing"/>
              <w:rPr>
                <w:b/>
                <w:bCs/>
              </w:rPr>
            </w:pPr>
            <w:r w:rsidRPr="000A16D2">
              <w:rPr>
                <w:b/>
                <w:bCs/>
              </w:rPr>
              <w:t>.69</w:t>
            </w:r>
          </w:p>
        </w:tc>
        <w:tc>
          <w:tcPr>
            <w:tcW w:w="0" w:type="auto"/>
          </w:tcPr>
          <w:p w14:paraId="1E7331AE" w14:textId="77777777" w:rsidR="000A16D2" w:rsidRPr="000A16D2" w:rsidRDefault="000A16D2" w:rsidP="000A16D2">
            <w:pPr>
              <w:pStyle w:val="NoSpacing"/>
              <w:rPr>
                <w:b/>
                <w:bCs/>
              </w:rPr>
            </w:pPr>
            <w:r w:rsidRPr="000A16D2">
              <w:rPr>
                <w:b/>
                <w:bCs/>
              </w:rPr>
              <w:t>.54</w:t>
            </w:r>
          </w:p>
        </w:tc>
        <w:tc>
          <w:tcPr>
            <w:tcW w:w="0" w:type="auto"/>
          </w:tcPr>
          <w:p w14:paraId="44459FD3" w14:textId="77777777" w:rsidR="000A16D2" w:rsidRPr="000A16D2" w:rsidRDefault="000A16D2" w:rsidP="000A16D2">
            <w:pPr>
              <w:pStyle w:val="NoSpacing"/>
              <w:rPr>
                <w:b/>
                <w:bCs/>
              </w:rPr>
            </w:pPr>
            <w:r w:rsidRPr="000A16D2">
              <w:rPr>
                <w:b/>
                <w:bCs/>
              </w:rPr>
              <w:t>.25</w:t>
            </w:r>
          </w:p>
        </w:tc>
      </w:tr>
      <w:tr w:rsidR="000A16D2" w:rsidRPr="000A16D2" w14:paraId="2562915D" w14:textId="77777777" w:rsidTr="008E6217">
        <w:trPr>
          <w:trHeight w:val="174"/>
        </w:trPr>
        <w:tc>
          <w:tcPr>
            <w:tcW w:w="0" w:type="auto"/>
          </w:tcPr>
          <w:p w14:paraId="375D745A" w14:textId="77777777" w:rsidR="000A16D2" w:rsidRPr="000A16D2" w:rsidRDefault="000A16D2" w:rsidP="000A16D2">
            <w:pPr>
              <w:pStyle w:val="NoSpacing"/>
            </w:pPr>
            <w:r w:rsidRPr="000A16D2">
              <w:rPr>
                <w:rFonts w:ascii="Maiandra GD" w:hAnsi="Maiandra GD" w:cs="Maiandra GD"/>
              </w:rPr>
              <w:t>&lt;</w:t>
            </w:r>
            <w:r w:rsidRPr="000A16D2">
              <w:t>115</w:t>
            </w:r>
          </w:p>
        </w:tc>
        <w:tc>
          <w:tcPr>
            <w:tcW w:w="0" w:type="auto"/>
          </w:tcPr>
          <w:p w14:paraId="17455EE3" w14:textId="77777777" w:rsidR="000A16D2" w:rsidRPr="000A16D2" w:rsidRDefault="000A16D2" w:rsidP="000A16D2">
            <w:pPr>
              <w:pStyle w:val="NoSpacing"/>
            </w:pPr>
            <w:r w:rsidRPr="000A16D2">
              <w:t>.64</w:t>
            </w:r>
          </w:p>
        </w:tc>
        <w:tc>
          <w:tcPr>
            <w:tcW w:w="0" w:type="auto"/>
          </w:tcPr>
          <w:p w14:paraId="5B55FB29" w14:textId="77777777" w:rsidR="000A16D2" w:rsidRPr="000A16D2" w:rsidRDefault="000A16D2" w:rsidP="000A16D2">
            <w:pPr>
              <w:pStyle w:val="NoSpacing"/>
            </w:pPr>
            <w:r w:rsidRPr="000A16D2">
              <w:t>.60</w:t>
            </w:r>
          </w:p>
        </w:tc>
        <w:tc>
          <w:tcPr>
            <w:tcW w:w="0" w:type="auto"/>
          </w:tcPr>
          <w:p w14:paraId="0C9145CA" w14:textId="77777777" w:rsidR="000A16D2" w:rsidRPr="000A16D2" w:rsidRDefault="000A16D2" w:rsidP="000A16D2">
            <w:pPr>
              <w:pStyle w:val="NoSpacing"/>
            </w:pPr>
            <w:r w:rsidRPr="000A16D2">
              <w:t>.67</w:t>
            </w:r>
          </w:p>
        </w:tc>
        <w:tc>
          <w:tcPr>
            <w:tcW w:w="0" w:type="auto"/>
          </w:tcPr>
          <w:p w14:paraId="3C2F0D75" w14:textId="77777777" w:rsidR="000A16D2" w:rsidRPr="000A16D2" w:rsidRDefault="000A16D2" w:rsidP="000A16D2">
            <w:pPr>
              <w:pStyle w:val="NoSpacing"/>
            </w:pPr>
            <w:r w:rsidRPr="000A16D2">
              <w:t>.57</w:t>
            </w:r>
          </w:p>
        </w:tc>
        <w:tc>
          <w:tcPr>
            <w:tcW w:w="0" w:type="auto"/>
          </w:tcPr>
          <w:p w14:paraId="74240862" w14:textId="77777777" w:rsidR="000A16D2" w:rsidRPr="000A16D2" w:rsidRDefault="000A16D2" w:rsidP="000A16D2">
            <w:pPr>
              <w:pStyle w:val="NoSpacing"/>
            </w:pPr>
            <w:r w:rsidRPr="000A16D2">
              <w:t>.24</w:t>
            </w:r>
          </w:p>
        </w:tc>
      </w:tr>
      <w:tr w:rsidR="000A16D2" w:rsidRPr="000A16D2" w14:paraId="00AFDC13" w14:textId="77777777" w:rsidTr="008E6217">
        <w:trPr>
          <w:trHeight w:val="179"/>
        </w:trPr>
        <w:tc>
          <w:tcPr>
            <w:tcW w:w="0" w:type="auto"/>
          </w:tcPr>
          <w:p w14:paraId="516F56B4" w14:textId="77777777" w:rsidR="000A16D2" w:rsidRPr="000A16D2" w:rsidRDefault="000A16D2" w:rsidP="000A16D2">
            <w:pPr>
              <w:pStyle w:val="NoSpacing"/>
            </w:pPr>
            <w:r w:rsidRPr="000A16D2">
              <w:rPr>
                <w:rFonts w:ascii="Maiandra GD" w:hAnsi="Maiandra GD" w:cs="Maiandra GD"/>
              </w:rPr>
              <w:t>&lt;</w:t>
            </w:r>
            <w:r w:rsidRPr="000A16D2">
              <w:t>120</w:t>
            </w:r>
          </w:p>
        </w:tc>
        <w:tc>
          <w:tcPr>
            <w:tcW w:w="0" w:type="auto"/>
          </w:tcPr>
          <w:p w14:paraId="375E20E4" w14:textId="77777777" w:rsidR="000A16D2" w:rsidRPr="000A16D2" w:rsidRDefault="000A16D2" w:rsidP="000A16D2">
            <w:pPr>
              <w:pStyle w:val="NoSpacing"/>
            </w:pPr>
            <w:r w:rsidRPr="000A16D2">
              <w:t>.72</w:t>
            </w:r>
          </w:p>
        </w:tc>
        <w:tc>
          <w:tcPr>
            <w:tcW w:w="0" w:type="auto"/>
          </w:tcPr>
          <w:p w14:paraId="31209B14" w14:textId="77777777" w:rsidR="000A16D2" w:rsidRPr="000A16D2" w:rsidRDefault="000A16D2" w:rsidP="000A16D2">
            <w:pPr>
              <w:pStyle w:val="NoSpacing"/>
            </w:pPr>
            <w:r w:rsidRPr="000A16D2">
              <w:t>.47</w:t>
            </w:r>
          </w:p>
        </w:tc>
        <w:tc>
          <w:tcPr>
            <w:tcW w:w="0" w:type="auto"/>
          </w:tcPr>
          <w:p w14:paraId="4AEA1659" w14:textId="77777777" w:rsidR="000A16D2" w:rsidRPr="000A16D2" w:rsidRDefault="000A16D2" w:rsidP="000A16D2">
            <w:pPr>
              <w:pStyle w:val="NoSpacing"/>
            </w:pPr>
            <w:r w:rsidRPr="000A16D2">
              <w:t>.64</w:t>
            </w:r>
          </w:p>
        </w:tc>
        <w:tc>
          <w:tcPr>
            <w:tcW w:w="0" w:type="auto"/>
          </w:tcPr>
          <w:p w14:paraId="11682422" w14:textId="77777777" w:rsidR="000A16D2" w:rsidRPr="000A16D2" w:rsidRDefault="000A16D2" w:rsidP="000A16D2">
            <w:pPr>
              <w:pStyle w:val="NoSpacing"/>
            </w:pPr>
            <w:r w:rsidRPr="000A16D2">
              <w:t>.57</w:t>
            </w:r>
          </w:p>
        </w:tc>
        <w:tc>
          <w:tcPr>
            <w:tcW w:w="0" w:type="auto"/>
          </w:tcPr>
          <w:p w14:paraId="633EF0FC" w14:textId="77777777" w:rsidR="000A16D2" w:rsidRPr="000A16D2" w:rsidRDefault="000A16D2" w:rsidP="000A16D2">
            <w:pPr>
              <w:pStyle w:val="NoSpacing"/>
            </w:pPr>
            <w:r w:rsidRPr="000A16D2">
              <w:t>.19</w:t>
            </w:r>
          </w:p>
        </w:tc>
      </w:tr>
      <w:tr w:rsidR="000A16D2" w:rsidRPr="000A16D2" w14:paraId="30A05EA7" w14:textId="77777777" w:rsidTr="008E6217">
        <w:trPr>
          <w:trHeight w:val="180"/>
        </w:trPr>
        <w:tc>
          <w:tcPr>
            <w:tcW w:w="0" w:type="auto"/>
          </w:tcPr>
          <w:p w14:paraId="759A8749" w14:textId="77777777" w:rsidR="000A16D2" w:rsidRPr="000A16D2" w:rsidRDefault="000A16D2" w:rsidP="000A16D2">
            <w:pPr>
              <w:pStyle w:val="NoSpacing"/>
            </w:pPr>
            <w:r w:rsidRPr="000A16D2">
              <w:t>TOVA omission errors</w:t>
            </w:r>
          </w:p>
        </w:tc>
        <w:tc>
          <w:tcPr>
            <w:tcW w:w="0" w:type="auto"/>
          </w:tcPr>
          <w:p w14:paraId="4444F92D" w14:textId="77777777" w:rsidR="000A16D2" w:rsidRPr="000A16D2" w:rsidRDefault="000A16D2" w:rsidP="000A16D2">
            <w:pPr>
              <w:pStyle w:val="NoSpacing"/>
              <w:rPr>
                <w:sz w:val="12"/>
                <w:szCs w:val="12"/>
              </w:rPr>
            </w:pPr>
          </w:p>
        </w:tc>
        <w:tc>
          <w:tcPr>
            <w:tcW w:w="0" w:type="auto"/>
          </w:tcPr>
          <w:p w14:paraId="251809E4" w14:textId="77777777" w:rsidR="000A16D2" w:rsidRPr="000A16D2" w:rsidRDefault="000A16D2" w:rsidP="000A16D2">
            <w:pPr>
              <w:pStyle w:val="NoSpacing"/>
              <w:rPr>
                <w:sz w:val="12"/>
                <w:szCs w:val="12"/>
              </w:rPr>
            </w:pPr>
          </w:p>
        </w:tc>
        <w:tc>
          <w:tcPr>
            <w:tcW w:w="0" w:type="auto"/>
          </w:tcPr>
          <w:p w14:paraId="264041CD" w14:textId="77777777" w:rsidR="000A16D2" w:rsidRPr="000A16D2" w:rsidRDefault="000A16D2" w:rsidP="000A16D2">
            <w:pPr>
              <w:pStyle w:val="NoSpacing"/>
              <w:rPr>
                <w:sz w:val="12"/>
                <w:szCs w:val="12"/>
              </w:rPr>
            </w:pPr>
          </w:p>
        </w:tc>
        <w:tc>
          <w:tcPr>
            <w:tcW w:w="0" w:type="auto"/>
          </w:tcPr>
          <w:p w14:paraId="0A292460" w14:textId="77777777" w:rsidR="000A16D2" w:rsidRPr="000A16D2" w:rsidRDefault="000A16D2" w:rsidP="000A16D2">
            <w:pPr>
              <w:pStyle w:val="NoSpacing"/>
              <w:rPr>
                <w:sz w:val="12"/>
                <w:szCs w:val="12"/>
              </w:rPr>
            </w:pPr>
          </w:p>
        </w:tc>
        <w:tc>
          <w:tcPr>
            <w:tcW w:w="0" w:type="auto"/>
          </w:tcPr>
          <w:p w14:paraId="6765349D" w14:textId="77777777" w:rsidR="000A16D2" w:rsidRPr="000A16D2" w:rsidRDefault="000A16D2" w:rsidP="000A16D2">
            <w:pPr>
              <w:pStyle w:val="NoSpacing"/>
              <w:rPr>
                <w:sz w:val="12"/>
                <w:szCs w:val="12"/>
              </w:rPr>
            </w:pPr>
          </w:p>
        </w:tc>
      </w:tr>
      <w:tr w:rsidR="000A16D2" w:rsidRPr="000A16D2" w14:paraId="79675153" w14:textId="77777777" w:rsidTr="008E6217">
        <w:trPr>
          <w:trHeight w:val="177"/>
        </w:trPr>
        <w:tc>
          <w:tcPr>
            <w:tcW w:w="0" w:type="auto"/>
          </w:tcPr>
          <w:p w14:paraId="135BEA90" w14:textId="77777777" w:rsidR="000A16D2" w:rsidRPr="000A16D2" w:rsidRDefault="000A16D2" w:rsidP="000A16D2">
            <w:pPr>
              <w:pStyle w:val="NoSpacing"/>
            </w:pPr>
            <w:r w:rsidRPr="000A16D2">
              <w:rPr>
                <w:rFonts w:ascii="Maiandra GD" w:hAnsi="Maiandra GD" w:cs="Maiandra GD"/>
              </w:rPr>
              <w:t>&lt;</w:t>
            </w:r>
            <w:r w:rsidRPr="000A16D2">
              <w:t>90</w:t>
            </w:r>
          </w:p>
        </w:tc>
        <w:tc>
          <w:tcPr>
            <w:tcW w:w="0" w:type="auto"/>
          </w:tcPr>
          <w:p w14:paraId="48424B23" w14:textId="77777777" w:rsidR="000A16D2" w:rsidRPr="000A16D2" w:rsidRDefault="000A16D2" w:rsidP="000A16D2">
            <w:pPr>
              <w:pStyle w:val="NoSpacing"/>
            </w:pPr>
            <w:r w:rsidRPr="000A16D2">
              <w:t>.39</w:t>
            </w:r>
          </w:p>
        </w:tc>
        <w:tc>
          <w:tcPr>
            <w:tcW w:w="0" w:type="auto"/>
          </w:tcPr>
          <w:p w14:paraId="324959BA" w14:textId="77777777" w:rsidR="000A16D2" w:rsidRPr="000A16D2" w:rsidRDefault="000A16D2" w:rsidP="000A16D2">
            <w:pPr>
              <w:pStyle w:val="NoSpacing"/>
            </w:pPr>
            <w:r w:rsidRPr="000A16D2">
              <w:t>.89</w:t>
            </w:r>
          </w:p>
        </w:tc>
        <w:tc>
          <w:tcPr>
            <w:tcW w:w="0" w:type="auto"/>
          </w:tcPr>
          <w:p w14:paraId="43041082" w14:textId="77777777" w:rsidR="000A16D2" w:rsidRPr="000A16D2" w:rsidRDefault="000A16D2" w:rsidP="000A16D2">
            <w:pPr>
              <w:pStyle w:val="NoSpacing"/>
            </w:pPr>
            <w:r w:rsidRPr="000A16D2">
              <w:t>.82</w:t>
            </w:r>
          </w:p>
        </w:tc>
        <w:tc>
          <w:tcPr>
            <w:tcW w:w="0" w:type="auto"/>
          </w:tcPr>
          <w:p w14:paraId="0DFA2033" w14:textId="77777777" w:rsidR="000A16D2" w:rsidRPr="000A16D2" w:rsidRDefault="000A16D2" w:rsidP="000A16D2">
            <w:pPr>
              <w:pStyle w:val="NoSpacing"/>
            </w:pPr>
            <w:r w:rsidRPr="000A16D2">
              <w:t>.53</w:t>
            </w:r>
          </w:p>
        </w:tc>
        <w:tc>
          <w:tcPr>
            <w:tcW w:w="0" w:type="auto"/>
          </w:tcPr>
          <w:p w14:paraId="4FB1F741" w14:textId="77777777" w:rsidR="000A16D2" w:rsidRPr="000A16D2" w:rsidRDefault="000A16D2" w:rsidP="000A16D2">
            <w:pPr>
              <w:pStyle w:val="NoSpacing"/>
            </w:pPr>
            <w:r w:rsidRPr="000A16D2">
              <w:t>.28</w:t>
            </w:r>
          </w:p>
        </w:tc>
      </w:tr>
      <w:tr w:rsidR="000A16D2" w:rsidRPr="000A16D2" w14:paraId="6256DDFB" w14:textId="77777777" w:rsidTr="008E6217">
        <w:trPr>
          <w:trHeight w:val="188"/>
        </w:trPr>
        <w:tc>
          <w:tcPr>
            <w:tcW w:w="0" w:type="auto"/>
          </w:tcPr>
          <w:p w14:paraId="0BA7DFC2" w14:textId="77777777" w:rsidR="000A16D2" w:rsidRPr="000A16D2" w:rsidRDefault="000A16D2" w:rsidP="000A16D2">
            <w:pPr>
              <w:pStyle w:val="NoSpacing"/>
              <w:rPr>
                <w:b/>
                <w:bCs/>
              </w:rPr>
            </w:pPr>
            <w:r w:rsidRPr="000A16D2">
              <w:rPr>
                <w:rFonts w:ascii="Elephant" w:hAnsi="Elephant" w:cs="Elephant"/>
              </w:rPr>
              <w:t>&lt;</w:t>
            </w:r>
            <w:r w:rsidRPr="000A16D2">
              <w:rPr>
                <w:b/>
                <w:bCs/>
              </w:rPr>
              <w:t>95</w:t>
            </w:r>
          </w:p>
        </w:tc>
        <w:tc>
          <w:tcPr>
            <w:tcW w:w="0" w:type="auto"/>
          </w:tcPr>
          <w:p w14:paraId="423FB9AB" w14:textId="77777777" w:rsidR="000A16D2" w:rsidRPr="000A16D2" w:rsidRDefault="000A16D2" w:rsidP="000A16D2">
            <w:pPr>
              <w:pStyle w:val="NoSpacing"/>
              <w:rPr>
                <w:b/>
                <w:bCs/>
              </w:rPr>
            </w:pPr>
            <w:r w:rsidRPr="000A16D2">
              <w:rPr>
                <w:b/>
                <w:bCs/>
              </w:rPr>
              <w:t>.50</w:t>
            </w:r>
          </w:p>
        </w:tc>
        <w:tc>
          <w:tcPr>
            <w:tcW w:w="0" w:type="auto"/>
          </w:tcPr>
          <w:p w14:paraId="21C2A4B2" w14:textId="77777777" w:rsidR="000A16D2" w:rsidRPr="000A16D2" w:rsidRDefault="000A16D2" w:rsidP="000A16D2">
            <w:pPr>
              <w:pStyle w:val="NoSpacing"/>
              <w:rPr>
                <w:b/>
                <w:bCs/>
              </w:rPr>
            </w:pPr>
            <w:r w:rsidRPr="000A16D2">
              <w:rPr>
                <w:b/>
                <w:bCs/>
              </w:rPr>
              <w:t>.85</w:t>
            </w:r>
          </w:p>
        </w:tc>
        <w:tc>
          <w:tcPr>
            <w:tcW w:w="0" w:type="auto"/>
          </w:tcPr>
          <w:p w14:paraId="433516C2" w14:textId="77777777" w:rsidR="000A16D2" w:rsidRPr="000A16D2" w:rsidRDefault="000A16D2" w:rsidP="000A16D2">
            <w:pPr>
              <w:pStyle w:val="NoSpacing"/>
              <w:rPr>
                <w:b/>
                <w:bCs/>
              </w:rPr>
            </w:pPr>
            <w:r w:rsidRPr="000A16D2">
              <w:rPr>
                <w:b/>
                <w:bCs/>
              </w:rPr>
              <w:t>.81</w:t>
            </w:r>
          </w:p>
        </w:tc>
        <w:tc>
          <w:tcPr>
            <w:tcW w:w="0" w:type="auto"/>
          </w:tcPr>
          <w:p w14:paraId="66B6DF00" w14:textId="77777777" w:rsidR="000A16D2" w:rsidRPr="000A16D2" w:rsidRDefault="000A16D2" w:rsidP="000A16D2">
            <w:pPr>
              <w:pStyle w:val="NoSpacing"/>
              <w:rPr>
                <w:b/>
                <w:bCs/>
              </w:rPr>
            </w:pPr>
            <w:r w:rsidRPr="000A16D2">
              <w:rPr>
                <w:b/>
                <w:bCs/>
              </w:rPr>
              <w:t>.57</w:t>
            </w:r>
          </w:p>
        </w:tc>
        <w:tc>
          <w:tcPr>
            <w:tcW w:w="0" w:type="auto"/>
          </w:tcPr>
          <w:p w14:paraId="1095EAA1" w14:textId="77777777" w:rsidR="000A16D2" w:rsidRPr="000A16D2" w:rsidRDefault="000A16D2" w:rsidP="000A16D2">
            <w:pPr>
              <w:pStyle w:val="NoSpacing"/>
              <w:rPr>
                <w:b/>
                <w:bCs/>
              </w:rPr>
            </w:pPr>
            <w:r w:rsidRPr="000A16D2">
              <w:rPr>
                <w:b/>
                <w:bCs/>
              </w:rPr>
              <w:t>.35</w:t>
            </w:r>
          </w:p>
        </w:tc>
      </w:tr>
      <w:tr w:rsidR="000A16D2" w:rsidRPr="000A16D2" w14:paraId="212445F1" w14:textId="77777777" w:rsidTr="008E6217">
        <w:trPr>
          <w:trHeight w:val="174"/>
        </w:trPr>
        <w:tc>
          <w:tcPr>
            <w:tcW w:w="0" w:type="auto"/>
          </w:tcPr>
          <w:p w14:paraId="398EC891" w14:textId="77777777" w:rsidR="000A16D2" w:rsidRPr="000A16D2" w:rsidRDefault="000A16D2" w:rsidP="000A16D2">
            <w:pPr>
              <w:pStyle w:val="NoSpacing"/>
            </w:pPr>
            <w:r w:rsidRPr="000A16D2">
              <w:rPr>
                <w:rFonts w:ascii="Maiandra GD" w:hAnsi="Maiandra GD" w:cs="Maiandra GD"/>
              </w:rPr>
              <w:t>&lt;</w:t>
            </w:r>
            <w:r w:rsidRPr="000A16D2">
              <w:t>100</w:t>
            </w:r>
          </w:p>
        </w:tc>
        <w:tc>
          <w:tcPr>
            <w:tcW w:w="0" w:type="auto"/>
          </w:tcPr>
          <w:p w14:paraId="35B1291C" w14:textId="77777777" w:rsidR="000A16D2" w:rsidRPr="000A16D2" w:rsidRDefault="000A16D2" w:rsidP="000A16D2">
            <w:pPr>
              <w:pStyle w:val="NoSpacing"/>
            </w:pPr>
            <w:r w:rsidRPr="000A16D2">
              <w:t>.58</w:t>
            </w:r>
          </w:p>
        </w:tc>
        <w:tc>
          <w:tcPr>
            <w:tcW w:w="0" w:type="auto"/>
          </w:tcPr>
          <w:p w14:paraId="6882E71E" w14:textId="77777777" w:rsidR="000A16D2" w:rsidRPr="000A16D2" w:rsidRDefault="000A16D2" w:rsidP="000A16D2">
            <w:pPr>
              <w:pStyle w:val="NoSpacing"/>
            </w:pPr>
            <w:r w:rsidRPr="000A16D2">
              <w:t>.75</w:t>
            </w:r>
          </w:p>
        </w:tc>
        <w:tc>
          <w:tcPr>
            <w:tcW w:w="0" w:type="auto"/>
          </w:tcPr>
          <w:p w14:paraId="00E962D6" w14:textId="77777777" w:rsidR="000A16D2" w:rsidRPr="000A16D2" w:rsidRDefault="000A16D2" w:rsidP="000A16D2">
            <w:pPr>
              <w:pStyle w:val="NoSpacing"/>
            </w:pPr>
            <w:r w:rsidRPr="000A16D2">
              <w:t>.75</w:t>
            </w:r>
          </w:p>
        </w:tc>
        <w:tc>
          <w:tcPr>
            <w:tcW w:w="0" w:type="auto"/>
          </w:tcPr>
          <w:p w14:paraId="148165AA" w14:textId="77777777" w:rsidR="000A16D2" w:rsidRPr="000A16D2" w:rsidRDefault="000A16D2" w:rsidP="000A16D2">
            <w:pPr>
              <w:pStyle w:val="NoSpacing"/>
            </w:pPr>
            <w:r w:rsidRPr="000A16D2">
              <w:t>.58</w:t>
            </w:r>
          </w:p>
        </w:tc>
        <w:tc>
          <w:tcPr>
            <w:tcW w:w="0" w:type="auto"/>
          </w:tcPr>
          <w:p w14:paraId="4325EDE5" w14:textId="77777777" w:rsidR="000A16D2" w:rsidRPr="000A16D2" w:rsidRDefault="000A16D2" w:rsidP="000A16D2">
            <w:pPr>
              <w:pStyle w:val="NoSpacing"/>
            </w:pPr>
            <w:r w:rsidRPr="000A16D2">
              <w:t>.33</w:t>
            </w:r>
          </w:p>
        </w:tc>
      </w:tr>
      <w:tr w:rsidR="000A16D2" w:rsidRPr="000A16D2" w14:paraId="0688136C" w14:textId="77777777" w:rsidTr="008E6217">
        <w:trPr>
          <w:trHeight w:val="224"/>
        </w:trPr>
        <w:tc>
          <w:tcPr>
            <w:tcW w:w="0" w:type="auto"/>
          </w:tcPr>
          <w:p w14:paraId="079C0552" w14:textId="77777777" w:rsidR="000A16D2" w:rsidRPr="000A16D2" w:rsidRDefault="000A16D2" w:rsidP="000A16D2">
            <w:pPr>
              <w:pStyle w:val="NoSpacing"/>
            </w:pPr>
            <w:r w:rsidRPr="000A16D2">
              <w:rPr>
                <w:rFonts w:ascii="Maiandra GD" w:hAnsi="Maiandra GD" w:cs="Maiandra GD"/>
              </w:rPr>
              <w:lastRenderedPageBreak/>
              <w:t>&lt;</w:t>
            </w:r>
            <w:r w:rsidRPr="000A16D2">
              <w:t>105</w:t>
            </w:r>
          </w:p>
        </w:tc>
        <w:tc>
          <w:tcPr>
            <w:tcW w:w="0" w:type="auto"/>
          </w:tcPr>
          <w:p w14:paraId="0784DB4E" w14:textId="77777777" w:rsidR="000A16D2" w:rsidRPr="000A16D2" w:rsidRDefault="000A16D2" w:rsidP="000A16D2">
            <w:pPr>
              <w:pStyle w:val="NoSpacing"/>
            </w:pPr>
            <w:r w:rsidRPr="000A16D2">
              <w:t>.72</w:t>
            </w:r>
          </w:p>
        </w:tc>
        <w:tc>
          <w:tcPr>
            <w:tcW w:w="0" w:type="auto"/>
          </w:tcPr>
          <w:p w14:paraId="0EDE01E0" w14:textId="77777777" w:rsidR="000A16D2" w:rsidRPr="000A16D2" w:rsidRDefault="000A16D2" w:rsidP="000A16D2">
            <w:pPr>
              <w:pStyle w:val="NoSpacing"/>
            </w:pPr>
            <w:r w:rsidRPr="000A16D2">
              <w:t>.51</w:t>
            </w:r>
          </w:p>
        </w:tc>
        <w:tc>
          <w:tcPr>
            <w:tcW w:w="0" w:type="auto"/>
          </w:tcPr>
          <w:p w14:paraId="75FAAD3D" w14:textId="77777777" w:rsidR="000A16D2" w:rsidRPr="000A16D2" w:rsidRDefault="000A16D2" w:rsidP="000A16D2">
            <w:pPr>
              <w:pStyle w:val="NoSpacing"/>
            </w:pPr>
            <w:r w:rsidRPr="000A16D2">
              <w:t>.65</w:t>
            </w:r>
          </w:p>
        </w:tc>
        <w:tc>
          <w:tcPr>
            <w:tcW w:w="0" w:type="auto"/>
          </w:tcPr>
          <w:p w14:paraId="2CD4E636" w14:textId="77777777" w:rsidR="000A16D2" w:rsidRPr="000A16D2" w:rsidRDefault="000A16D2" w:rsidP="000A16D2">
            <w:pPr>
              <w:pStyle w:val="NoSpacing"/>
            </w:pPr>
            <w:r w:rsidRPr="000A16D2">
              <w:t>.58</w:t>
            </w:r>
          </w:p>
        </w:tc>
        <w:tc>
          <w:tcPr>
            <w:tcW w:w="0" w:type="auto"/>
          </w:tcPr>
          <w:p w14:paraId="7E907291" w14:textId="77777777" w:rsidR="000A16D2" w:rsidRPr="000A16D2" w:rsidRDefault="000A16D2" w:rsidP="000A16D2">
            <w:pPr>
              <w:pStyle w:val="NoSpacing"/>
            </w:pPr>
            <w:r w:rsidRPr="000A16D2">
              <w:t>.26</w:t>
            </w:r>
          </w:p>
        </w:tc>
      </w:tr>
    </w:tbl>
    <w:p w14:paraId="3EAB5FE7" w14:textId="4C997ADC" w:rsidR="000A16D2" w:rsidRPr="00976CE3" w:rsidRDefault="00976CE3" w:rsidP="00976CE3">
      <w:pPr>
        <w:pStyle w:val="NoSpacing"/>
      </w:pPr>
      <w:r w:rsidRPr="00976CE3">
        <w:rPr>
          <w:b/>
          <w:bCs/>
        </w:rPr>
        <w:t>Note.</w:t>
      </w:r>
      <w:r w:rsidRPr="00976CE3">
        <w:t xml:space="preserve"> Bolded values indicate optimal cut score for each measure based on Youden statistics. Corrected positive and negative predictive power used estimated base rate of 30 percent. Scores for California Verbal Learning Test (CVLT) Short Delay Free Recall are z scores. Scores from Salthouse Listening Span Trials are raw scores. Scores from Delis-Kaplan Executive Function System (DKEFS) Inhibition/Switching are scaled scores. Scores from Test of Variables of Attention (TOVA) measures are standard scores. </w:t>
      </w:r>
      <w:proofErr w:type="spellStart"/>
      <w:r w:rsidRPr="00976CE3">
        <w:t>cPPP</w:t>
      </w:r>
      <w:proofErr w:type="spellEnd"/>
      <w:r w:rsidRPr="00976CE3">
        <w:t xml:space="preserve"> = corrected positive predictive power; </w:t>
      </w:r>
      <w:proofErr w:type="spellStart"/>
      <w:r w:rsidRPr="00976CE3">
        <w:t>cNPP</w:t>
      </w:r>
      <w:proofErr w:type="spellEnd"/>
      <w:r w:rsidRPr="00976CE3">
        <w:t xml:space="preserve"> = corrected negative predictive power.</w:t>
      </w:r>
    </w:p>
    <w:p w14:paraId="639300F4" w14:textId="77777777" w:rsidR="00976CE3" w:rsidRPr="000A16D2" w:rsidRDefault="00976CE3" w:rsidP="007F68B3">
      <w:pPr>
        <w:pStyle w:val="NoSpacing"/>
        <w:rPr>
          <w:b/>
          <w:bCs/>
        </w:rPr>
      </w:pPr>
    </w:p>
    <w:p w14:paraId="09407331" w14:textId="23348E55" w:rsidR="00A41B82" w:rsidRDefault="00A41B82" w:rsidP="00A41B82">
      <w:pPr>
        <w:pStyle w:val="Heading3"/>
      </w:pPr>
      <w:r>
        <w:t xml:space="preserve">Combining </w:t>
      </w:r>
      <w:r w:rsidR="00E42001">
        <w:t>rating scale and neuropsychological test measures</w:t>
      </w:r>
    </w:p>
    <w:p w14:paraId="32450CF3" w14:textId="2BF7C36D" w:rsidR="00FE4CF2" w:rsidRDefault="00FE4CF2" w:rsidP="00FE4CF2">
      <w:pPr>
        <w:pStyle w:val="NoSpacing"/>
      </w:pPr>
      <w:r>
        <w:t>We next evaluated the utility of using these cut scores in combination with rating scale information. A stepwise binary logistic regression was used to examine self-reports of current symptoms and impairment, informant reports of current symptoms and impairment, family history of ADHD, and neuropsychological test measure cut scores as predictors of ADHD diagnostic status. Each step of the model retained significant unique predictors and eliminated nonsignificant predictors (</w:t>
      </w:r>
      <w:hyperlink r:id="rId87" w:anchor="tbl6" w:history="1">
        <w:r>
          <w:rPr>
            <w:rStyle w:val="Hyperlink"/>
          </w:rPr>
          <w:t>Table 6</w:t>
        </w:r>
      </w:hyperlink>
      <w:r>
        <w:t xml:space="preserve">). Results indicated that self-reports of ADHD and depression symptoms significantly distinguished ADHD from non-ADHD participants. Addition of retrospective childhood reports as well as informant reports to the model at Steps 2 and 3 also significantly improved classification accuracy. Notably, reports of family history of ADHD diagnosis in first-degree family members also significantly improved classification accuracy, particularly for ADHD participants. Of our six neuropsychological test measures, only TOVA RT variability added incrementally to predicting group membership. However, the </w:t>
      </w:r>
      <w:r>
        <w:rPr>
          <w:rStyle w:val="Emphasis"/>
        </w:rPr>
        <w:t>OR</w:t>
      </w:r>
      <w:r>
        <w:t xml:space="preserve"> was relatively larger (</w:t>
      </w:r>
      <w:r>
        <w:rPr>
          <w:rStyle w:val="Emphasis"/>
        </w:rPr>
        <w:t>OR</w:t>
      </w:r>
      <w:r>
        <w:t xml:space="preserve"> = 3.1) and classification accuracy improved to 87.2% (from 85.4%), suggesting that addition of this one neuropsychological test did improve diagnostic classification within this sample.</w:t>
      </w:r>
    </w:p>
    <w:p w14:paraId="5B10E791" w14:textId="32907DA5" w:rsidR="00FE4CF2" w:rsidRDefault="00FE4CF2" w:rsidP="00FE4CF2">
      <w:pPr>
        <w:pStyle w:val="NoSpacing"/>
      </w:pPr>
    </w:p>
    <w:p w14:paraId="6C30DFDB" w14:textId="62E1A278" w:rsidR="00FE4CF2" w:rsidRDefault="00FE4CF2" w:rsidP="00FE4CF2">
      <w:pPr>
        <w:pStyle w:val="NoSpacing"/>
      </w:pPr>
      <w:r w:rsidRPr="00FE4CF2">
        <w:rPr>
          <w:b/>
          <w:bCs/>
        </w:rPr>
        <w:t>Table 6.</w:t>
      </w:r>
      <w:r w:rsidRPr="00FE4CF2">
        <w:t xml:space="preserve"> Diagnostic Accuracy of Combined Approach: Self-Ratings of Current Symptoms, Childhood Symptoms, Informant Ratings, Family History, and Neurocognitive Test Cut Scores in Predicting ADHD and Non-ADHD Group Status</w:t>
      </w:r>
    </w:p>
    <w:p w14:paraId="7ADF27F0" w14:textId="77777777" w:rsidR="00624EE0" w:rsidRPr="00624EE0" w:rsidRDefault="00624EE0" w:rsidP="00624EE0">
      <w:pPr>
        <w:pStyle w:val="NoSpacing"/>
      </w:pPr>
    </w:p>
    <w:tbl>
      <w:tblPr>
        <w:tblStyle w:val="TableGridLight"/>
        <w:tblW w:w="0" w:type="auto"/>
        <w:tblLook w:val="0020" w:firstRow="1" w:lastRow="0" w:firstColumn="0" w:lastColumn="0" w:noHBand="0" w:noVBand="0"/>
      </w:tblPr>
      <w:tblGrid>
        <w:gridCol w:w="3548"/>
        <w:gridCol w:w="607"/>
        <w:gridCol w:w="771"/>
        <w:gridCol w:w="1517"/>
        <w:gridCol w:w="3627"/>
      </w:tblGrid>
      <w:tr w:rsidR="0031287B" w:rsidRPr="00624EE0" w14:paraId="0D49D752" w14:textId="77777777" w:rsidTr="008E6217">
        <w:trPr>
          <w:trHeight w:val="265"/>
        </w:trPr>
        <w:tc>
          <w:tcPr>
            <w:tcW w:w="0" w:type="auto"/>
          </w:tcPr>
          <w:p w14:paraId="5DD0CB40" w14:textId="3B1A85D6" w:rsidR="0031287B" w:rsidRPr="008E7E85" w:rsidRDefault="0031287B" w:rsidP="00624EE0">
            <w:pPr>
              <w:pStyle w:val="NoSpacing"/>
              <w:rPr>
                <w:b/>
                <w:bCs/>
              </w:rPr>
            </w:pPr>
            <w:r w:rsidRPr="00624EE0">
              <w:rPr>
                <w:b/>
                <w:bCs/>
              </w:rPr>
              <w:t>Included information</w:t>
            </w:r>
          </w:p>
        </w:tc>
        <w:tc>
          <w:tcPr>
            <w:tcW w:w="0" w:type="auto"/>
          </w:tcPr>
          <w:p w14:paraId="1A45E730" w14:textId="2CD6F094" w:rsidR="0031287B" w:rsidRPr="008E7E85" w:rsidRDefault="008E7E85" w:rsidP="00624EE0">
            <w:pPr>
              <w:pStyle w:val="NoSpacing"/>
              <w:rPr>
                <w:b/>
                <w:bCs/>
              </w:rPr>
            </w:pPr>
            <w:r w:rsidRPr="008E7E85">
              <w:rPr>
                <w:rFonts w:cstheme="minorHAnsi"/>
                <w:b/>
                <w:bCs/>
              </w:rPr>
              <w:t>β</w:t>
            </w:r>
          </w:p>
        </w:tc>
        <w:tc>
          <w:tcPr>
            <w:tcW w:w="0" w:type="auto"/>
          </w:tcPr>
          <w:p w14:paraId="06C2DB15" w14:textId="7DDBD6A4" w:rsidR="0031287B" w:rsidRPr="008E7E85" w:rsidRDefault="008E7E85" w:rsidP="00624EE0">
            <w:pPr>
              <w:pStyle w:val="NoSpacing"/>
              <w:rPr>
                <w:b/>
                <w:bCs/>
                <w:i/>
                <w:iCs/>
              </w:rPr>
            </w:pPr>
            <w:r w:rsidRPr="008E7E85">
              <w:rPr>
                <w:b/>
                <w:bCs/>
                <w:i/>
                <w:iCs/>
              </w:rPr>
              <w:t>p</w:t>
            </w:r>
          </w:p>
        </w:tc>
        <w:tc>
          <w:tcPr>
            <w:tcW w:w="0" w:type="auto"/>
          </w:tcPr>
          <w:p w14:paraId="7C5B6268" w14:textId="12F84EAE" w:rsidR="0031287B" w:rsidRPr="008E7E85" w:rsidRDefault="008E7E85" w:rsidP="00624EE0">
            <w:pPr>
              <w:pStyle w:val="NoSpacing"/>
              <w:rPr>
                <w:b/>
                <w:bCs/>
              </w:rPr>
            </w:pPr>
            <w:r w:rsidRPr="008E7E85">
              <w:rPr>
                <w:b/>
                <w:bCs/>
                <w:i/>
                <w:iCs/>
              </w:rPr>
              <w:t xml:space="preserve">OR </w:t>
            </w:r>
            <w:r w:rsidRPr="008E7E85">
              <w:rPr>
                <w:b/>
                <w:bCs/>
              </w:rPr>
              <w:t>(CI)</w:t>
            </w:r>
          </w:p>
        </w:tc>
        <w:tc>
          <w:tcPr>
            <w:tcW w:w="0" w:type="auto"/>
          </w:tcPr>
          <w:p w14:paraId="2E1240B9" w14:textId="38A6AEF7" w:rsidR="0031287B" w:rsidRPr="008E7E85" w:rsidRDefault="008E7E85" w:rsidP="008E7E85">
            <w:pPr>
              <w:pStyle w:val="NoSpacing"/>
              <w:rPr>
                <w:b/>
                <w:bCs/>
              </w:rPr>
            </w:pPr>
            <w:r w:rsidRPr="00624EE0">
              <w:rPr>
                <w:b/>
                <w:bCs/>
              </w:rPr>
              <w:t>Classification accuracy (non-ADHD, ADHD)</w:t>
            </w:r>
          </w:p>
        </w:tc>
      </w:tr>
      <w:tr w:rsidR="0031287B" w:rsidRPr="00624EE0" w14:paraId="21DDFB73" w14:textId="77777777" w:rsidTr="008E6217">
        <w:trPr>
          <w:trHeight w:val="265"/>
        </w:trPr>
        <w:tc>
          <w:tcPr>
            <w:tcW w:w="0" w:type="auto"/>
          </w:tcPr>
          <w:p w14:paraId="5E0C20E4" w14:textId="77777777" w:rsidR="0031287B" w:rsidRPr="00624EE0" w:rsidRDefault="0031287B" w:rsidP="00624EE0">
            <w:pPr>
              <w:pStyle w:val="NoSpacing"/>
            </w:pPr>
            <w:r w:rsidRPr="00624EE0">
              <w:t>Step 1: self-report current behavior</w:t>
            </w:r>
          </w:p>
        </w:tc>
        <w:tc>
          <w:tcPr>
            <w:tcW w:w="0" w:type="auto"/>
          </w:tcPr>
          <w:p w14:paraId="612A541A" w14:textId="77777777" w:rsidR="0031287B" w:rsidRPr="00624EE0" w:rsidRDefault="0031287B" w:rsidP="00624EE0">
            <w:pPr>
              <w:pStyle w:val="NoSpacing"/>
            </w:pPr>
          </w:p>
        </w:tc>
        <w:tc>
          <w:tcPr>
            <w:tcW w:w="0" w:type="auto"/>
          </w:tcPr>
          <w:p w14:paraId="2FE943BC" w14:textId="77777777" w:rsidR="0031287B" w:rsidRPr="00624EE0" w:rsidRDefault="0031287B" w:rsidP="00624EE0">
            <w:pPr>
              <w:pStyle w:val="NoSpacing"/>
            </w:pPr>
          </w:p>
        </w:tc>
        <w:tc>
          <w:tcPr>
            <w:tcW w:w="0" w:type="auto"/>
          </w:tcPr>
          <w:p w14:paraId="22D8586B" w14:textId="77777777" w:rsidR="0031287B" w:rsidRPr="00624EE0" w:rsidRDefault="0031287B" w:rsidP="00624EE0">
            <w:pPr>
              <w:pStyle w:val="NoSpacing"/>
            </w:pPr>
          </w:p>
        </w:tc>
        <w:tc>
          <w:tcPr>
            <w:tcW w:w="0" w:type="auto"/>
          </w:tcPr>
          <w:p w14:paraId="1256AAAA" w14:textId="067C147B" w:rsidR="0031287B" w:rsidRPr="00624EE0" w:rsidRDefault="0031287B" w:rsidP="00624EE0">
            <w:pPr>
              <w:pStyle w:val="NoSpacing"/>
            </w:pPr>
          </w:p>
        </w:tc>
      </w:tr>
      <w:tr w:rsidR="00624EE0" w:rsidRPr="00624EE0" w14:paraId="45483E19" w14:textId="77777777" w:rsidTr="008E6217">
        <w:trPr>
          <w:trHeight w:val="181"/>
        </w:trPr>
        <w:tc>
          <w:tcPr>
            <w:tcW w:w="0" w:type="auto"/>
          </w:tcPr>
          <w:p w14:paraId="5C042D63" w14:textId="77777777" w:rsidR="00624EE0" w:rsidRPr="00624EE0" w:rsidRDefault="00624EE0" w:rsidP="00624EE0">
            <w:pPr>
              <w:pStyle w:val="NoSpacing"/>
            </w:pPr>
            <w:r w:rsidRPr="00624EE0">
              <w:t>Current ADHD symptom score</w:t>
            </w:r>
          </w:p>
        </w:tc>
        <w:tc>
          <w:tcPr>
            <w:tcW w:w="0" w:type="auto"/>
          </w:tcPr>
          <w:p w14:paraId="274E1B2A" w14:textId="77777777" w:rsidR="00624EE0" w:rsidRPr="00624EE0" w:rsidRDefault="00624EE0" w:rsidP="00624EE0">
            <w:pPr>
              <w:pStyle w:val="NoSpacing"/>
            </w:pPr>
            <w:r w:rsidRPr="00624EE0">
              <w:t>.16</w:t>
            </w:r>
          </w:p>
        </w:tc>
        <w:tc>
          <w:tcPr>
            <w:tcW w:w="0" w:type="auto"/>
          </w:tcPr>
          <w:p w14:paraId="7A74D8D2" w14:textId="77777777" w:rsidR="00624EE0" w:rsidRPr="00624EE0" w:rsidRDefault="00624EE0" w:rsidP="00624EE0">
            <w:pPr>
              <w:pStyle w:val="NoSpacing"/>
            </w:pPr>
            <w:r w:rsidRPr="00624EE0">
              <w:t>&lt;.001</w:t>
            </w:r>
          </w:p>
        </w:tc>
        <w:tc>
          <w:tcPr>
            <w:tcW w:w="0" w:type="auto"/>
          </w:tcPr>
          <w:p w14:paraId="6FAEE3D3" w14:textId="77777777" w:rsidR="00624EE0" w:rsidRPr="00624EE0" w:rsidRDefault="00624EE0" w:rsidP="00624EE0">
            <w:pPr>
              <w:pStyle w:val="NoSpacing"/>
            </w:pPr>
            <w:r w:rsidRPr="00624EE0">
              <w:t>1.2 [1.1, 1.3]</w:t>
            </w:r>
          </w:p>
        </w:tc>
        <w:tc>
          <w:tcPr>
            <w:tcW w:w="0" w:type="auto"/>
          </w:tcPr>
          <w:p w14:paraId="23671974" w14:textId="77777777" w:rsidR="00624EE0" w:rsidRPr="00624EE0" w:rsidRDefault="00624EE0" w:rsidP="00624EE0">
            <w:pPr>
              <w:pStyle w:val="NoSpacing"/>
            </w:pPr>
          </w:p>
        </w:tc>
      </w:tr>
      <w:tr w:rsidR="00624EE0" w:rsidRPr="00624EE0" w14:paraId="22F50A0A" w14:textId="77777777" w:rsidTr="008E6217">
        <w:trPr>
          <w:trHeight w:val="180"/>
        </w:trPr>
        <w:tc>
          <w:tcPr>
            <w:tcW w:w="0" w:type="auto"/>
          </w:tcPr>
          <w:p w14:paraId="7F831F71" w14:textId="77777777" w:rsidR="00624EE0" w:rsidRPr="00624EE0" w:rsidRDefault="00624EE0" w:rsidP="00624EE0">
            <w:pPr>
              <w:pStyle w:val="NoSpacing"/>
            </w:pPr>
            <w:r w:rsidRPr="00624EE0">
              <w:t>Current BDI score</w:t>
            </w:r>
          </w:p>
        </w:tc>
        <w:tc>
          <w:tcPr>
            <w:tcW w:w="0" w:type="auto"/>
          </w:tcPr>
          <w:p w14:paraId="645A3480" w14:textId="77777777" w:rsidR="00624EE0" w:rsidRPr="00624EE0" w:rsidRDefault="00624EE0" w:rsidP="00624EE0">
            <w:pPr>
              <w:pStyle w:val="NoSpacing"/>
            </w:pPr>
            <w:r w:rsidRPr="00624EE0">
              <w:t>-.06</w:t>
            </w:r>
          </w:p>
        </w:tc>
        <w:tc>
          <w:tcPr>
            <w:tcW w:w="0" w:type="auto"/>
          </w:tcPr>
          <w:p w14:paraId="739CF57A" w14:textId="77777777" w:rsidR="00624EE0" w:rsidRPr="00624EE0" w:rsidRDefault="00624EE0" w:rsidP="00624EE0">
            <w:pPr>
              <w:pStyle w:val="NoSpacing"/>
            </w:pPr>
            <w:r w:rsidRPr="00624EE0">
              <w:t>.008</w:t>
            </w:r>
          </w:p>
        </w:tc>
        <w:tc>
          <w:tcPr>
            <w:tcW w:w="0" w:type="auto"/>
          </w:tcPr>
          <w:p w14:paraId="6782477F" w14:textId="77777777" w:rsidR="00624EE0" w:rsidRPr="00624EE0" w:rsidRDefault="00624EE0" w:rsidP="00624EE0">
            <w:pPr>
              <w:pStyle w:val="NoSpacing"/>
            </w:pPr>
            <w:r w:rsidRPr="00624EE0">
              <w:t>.94 [.90, .98]</w:t>
            </w:r>
          </w:p>
        </w:tc>
        <w:tc>
          <w:tcPr>
            <w:tcW w:w="0" w:type="auto"/>
          </w:tcPr>
          <w:p w14:paraId="0BFDCED9" w14:textId="77777777" w:rsidR="00624EE0" w:rsidRPr="00624EE0" w:rsidRDefault="00624EE0" w:rsidP="00624EE0">
            <w:pPr>
              <w:pStyle w:val="NoSpacing"/>
            </w:pPr>
            <w:r w:rsidRPr="00624EE0">
              <w:t>77.4 (76.4, 78.6)</w:t>
            </w:r>
          </w:p>
        </w:tc>
      </w:tr>
      <w:tr w:rsidR="00624EE0" w:rsidRPr="00624EE0" w14:paraId="2CCDD528" w14:textId="77777777" w:rsidTr="008E6217">
        <w:trPr>
          <w:trHeight w:val="178"/>
        </w:trPr>
        <w:tc>
          <w:tcPr>
            <w:tcW w:w="0" w:type="auto"/>
          </w:tcPr>
          <w:p w14:paraId="2D8EE5BE" w14:textId="77777777" w:rsidR="00624EE0" w:rsidRPr="00624EE0" w:rsidRDefault="00624EE0" w:rsidP="00624EE0">
            <w:pPr>
              <w:pStyle w:val="NoSpacing"/>
            </w:pPr>
            <w:r w:rsidRPr="00624EE0">
              <w:t>Step 2: self-report childhood behavior</w:t>
            </w:r>
          </w:p>
        </w:tc>
        <w:tc>
          <w:tcPr>
            <w:tcW w:w="0" w:type="auto"/>
          </w:tcPr>
          <w:p w14:paraId="5E108822" w14:textId="77777777" w:rsidR="00624EE0" w:rsidRPr="00624EE0" w:rsidRDefault="00624EE0" w:rsidP="00624EE0">
            <w:pPr>
              <w:pStyle w:val="NoSpacing"/>
            </w:pPr>
          </w:p>
        </w:tc>
        <w:tc>
          <w:tcPr>
            <w:tcW w:w="0" w:type="auto"/>
          </w:tcPr>
          <w:p w14:paraId="3B435F96" w14:textId="77777777" w:rsidR="00624EE0" w:rsidRPr="00624EE0" w:rsidRDefault="00624EE0" w:rsidP="00624EE0">
            <w:pPr>
              <w:pStyle w:val="NoSpacing"/>
            </w:pPr>
          </w:p>
        </w:tc>
        <w:tc>
          <w:tcPr>
            <w:tcW w:w="0" w:type="auto"/>
          </w:tcPr>
          <w:p w14:paraId="22B6D22A" w14:textId="77777777" w:rsidR="00624EE0" w:rsidRPr="00624EE0" w:rsidRDefault="00624EE0" w:rsidP="00624EE0">
            <w:pPr>
              <w:pStyle w:val="NoSpacing"/>
            </w:pPr>
          </w:p>
        </w:tc>
        <w:tc>
          <w:tcPr>
            <w:tcW w:w="0" w:type="auto"/>
          </w:tcPr>
          <w:p w14:paraId="5AA95279" w14:textId="77777777" w:rsidR="00624EE0" w:rsidRPr="00624EE0" w:rsidRDefault="00624EE0" w:rsidP="00624EE0">
            <w:pPr>
              <w:pStyle w:val="NoSpacing"/>
            </w:pPr>
          </w:p>
        </w:tc>
      </w:tr>
      <w:tr w:rsidR="00624EE0" w:rsidRPr="00624EE0" w14:paraId="25D3993D" w14:textId="77777777" w:rsidTr="008E6217">
        <w:trPr>
          <w:trHeight w:val="179"/>
        </w:trPr>
        <w:tc>
          <w:tcPr>
            <w:tcW w:w="0" w:type="auto"/>
          </w:tcPr>
          <w:p w14:paraId="6F773A44" w14:textId="77777777" w:rsidR="00624EE0" w:rsidRPr="00624EE0" w:rsidRDefault="00624EE0" w:rsidP="00624EE0">
            <w:pPr>
              <w:pStyle w:val="NoSpacing"/>
            </w:pPr>
            <w:r w:rsidRPr="00624EE0">
              <w:t>Childhood inattention symptoms</w:t>
            </w:r>
          </w:p>
        </w:tc>
        <w:tc>
          <w:tcPr>
            <w:tcW w:w="0" w:type="auto"/>
          </w:tcPr>
          <w:p w14:paraId="4C0341A2" w14:textId="77777777" w:rsidR="00624EE0" w:rsidRPr="00624EE0" w:rsidRDefault="00624EE0" w:rsidP="00624EE0">
            <w:pPr>
              <w:pStyle w:val="NoSpacing"/>
            </w:pPr>
            <w:r w:rsidRPr="00624EE0">
              <w:t>.12</w:t>
            </w:r>
          </w:p>
        </w:tc>
        <w:tc>
          <w:tcPr>
            <w:tcW w:w="0" w:type="auto"/>
          </w:tcPr>
          <w:p w14:paraId="33F9B24D" w14:textId="77777777" w:rsidR="00624EE0" w:rsidRPr="00624EE0" w:rsidRDefault="00624EE0" w:rsidP="00624EE0">
            <w:pPr>
              <w:pStyle w:val="NoSpacing"/>
            </w:pPr>
            <w:r w:rsidRPr="00624EE0">
              <w:t>.009</w:t>
            </w:r>
          </w:p>
        </w:tc>
        <w:tc>
          <w:tcPr>
            <w:tcW w:w="0" w:type="auto"/>
          </w:tcPr>
          <w:p w14:paraId="0D3A14A2" w14:textId="77777777" w:rsidR="00624EE0" w:rsidRPr="00624EE0" w:rsidRDefault="00624EE0" w:rsidP="00624EE0">
            <w:pPr>
              <w:pStyle w:val="NoSpacing"/>
            </w:pPr>
            <w:r w:rsidRPr="00624EE0">
              <w:t>1.12 [1.03, 1.21]</w:t>
            </w:r>
          </w:p>
        </w:tc>
        <w:tc>
          <w:tcPr>
            <w:tcW w:w="0" w:type="auto"/>
          </w:tcPr>
          <w:p w14:paraId="08364A78" w14:textId="77777777" w:rsidR="00624EE0" w:rsidRPr="00624EE0" w:rsidRDefault="00624EE0" w:rsidP="00624EE0">
            <w:pPr>
              <w:pStyle w:val="NoSpacing"/>
            </w:pPr>
            <w:r w:rsidRPr="00624EE0">
              <w:t>80.9 (80.3, 81.6)</w:t>
            </w:r>
          </w:p>
        </w:tc>
      </w:tr>
      <w:tr w:rsidR="00624EE0" w:rsidRPr="00624EE0" w14:paraId="46BA1FDC" w14:textId="77777777" w:rsidTr="008E6217">
        <w:trPr>
          <w:trHeight w:val="179"/>
        </w:trPr>
        <w:tc>
          <w:tcPr>
            <w:tcW w:w="0" w:type="auto"/>
          </w:tcPr>
          <w:p w14:paraId="2C3A0CD2" w14:textId="6B8C0F35" w:rsidR="00624EE0" w:rsidRPr="00624EE0" w:rsidRDefault="00624EE0" w:rsidP="008E7E85">
            <w:pPr>
              <w:pStyle w:val="NoSpacing"/>
            </w:pPr>
            <w:r w:rsidRPr="00624EE0">
              <w:t>Step 3: informant report current behavior</w:t>
            </w:r>
          </w:p>
        </w:tc>
        <w:tc>
          <w:tcPr>
            <w:tcW w:w="0" w:type="auto"/>
          </w:tcPr>
          <w:p w14:paraId="4A0AA849" w14:textId="77777777" w:rsidR="00624EE0" w:rsidRPr="00624EE0" w:rsidRDefault="00624EE0" w:rsidP="00624EE0">
            <w:pPr>
              <w:pStyle w:val="NoSpacing"/>
            </w:pPr>
          </w:p>
        </w:tc>
        <w:tc>
          <w:tcPr>
            <w:tcW w:w="0" w:type="auto"/>
          </w:tcPr>
          <w:p w14:paraId="15E6C3C0" w14:textId="77777777" w:rsidR="00624EE0" w:rsidRPr="00624EE0" w:rsidRDefault="00624EE0" w:rsidP="00624EE0">
            <w:pPr>
              <w:pStyle w:val="NoSpacing"/>
            </w:pPr>
          </w:p>
        </w:tc>
        <w:tc>
          <w:tcPr>
            <w:tcW w:w="0" w:type="auto"/>
          </w:tcPr>
          <w:p w14:paraId="50F05E50" w14:textId="77777777" w:rsidR="00624EE0" w:rsidRPr="00624EE0" w:rsidRDefault="00624EE0" w:rsidP="00624EE0">
            <w:pPr>
              <w:pStyle w:val="NoSpacing"/>
            </w:pPr>
          </w:p>
        </w:tc>
        <w:tc>
          <w:tcPr>
            <w:tcW w:w="0" w:type="auto"/>
          </w:tcPr>
          <w:p w14:paraId="305EFA6E" w14:textId="77777777" w:rsidR="00624EE0" w:rsidRPr="00624EE0" w:rsidRDefault="00624EE0" w:rsidP="00624EE0">
            <w:pPr>
              <w:pStyle w:val="NoSpacing"/>
            </w:pPr>
          </w:p>
        </w:tc>
      </w:tr>
      <w:tr w:rsidR="00624EE0" w:rsidRPr="00624EE0" w14:paraId="6602B525" w14:textId="77777777" w:rsidTr="008E6217">
        <w:trPr>
          <w:trHeight w:val="179"/>
        </w:trPr>
        <w:tc>
          <w:tcPr>
            <w:tcW w:w="0" w:type="auto"/>
          </w:tcPr>
          <w:p w14:paraId="6A8D3B18" w14:textId="2716510B" w:rsidR="00624EE0" w:rsidRPr="00624EE0" w:rsidRDefault="00624EE0" w:rsidP="00624EE0">
            <w:pPr>
              <w:pStyle w:val="NoSpacing"/>
            </w:pPr>
            <w:r w:rsidRPr="00624EE0">
              <w:t>Informant ADHD symptom score</w:t>
            </w:r>
          </w:p>
        </w:tc>
        <w:tc>
          <w:tcPr>
            <w:tcW w:w="0" w:type="auto"/>
          </w:tcPr>
          <w:p w14:paraId="4720F1BE" w14:textId="3C658A66" w:rsidR="00624EE0" w:rsidRPr="00624EE0" w:rsidRDefault="005A051D" w:rsidP="00624EE0">
            <w:pPr>
              <w:pStyle w:val="NoSpacing"/>
            </w:pPr>
            <w:r w:rsidRPr="00624EE0">
              <w:t xml:space="preserve">.19 </w:t>
            </w:r>
          </w:p>
        </w:tc>
        <w:tc>
          <w:tcPr>
            <w:tcW w:w="0" w:type="auto"/>
          </w:tcPr>
          <w:p w14:paraId="55E6E0B0" w14:textId="2810AEAD" w:rsidR="00624EE0" w:rsidRPr="00624EE0" w:rsidRDefault="005A051D" w:rsidP="00624EE0">
            <w:pPr>
              <w:pStyle w:val="NoSpacing"/>
            </w:pPr>
            <w:r w:rsidRPr="00624EE0">
              <w:t xml:space="preserve">&lt;.001, </w:t>
            </w:r>
          </w:p>
        </w:tc>
        <w:tc>
          <w:tcPr>
            <w:tcW w:w="0" w:type="auto"/>
          </w:tcPr>
          <w:p w14:paraId="1546918A" w14:textId="2E1344CD" w:rsidR="00624EE0" w:rsidRPr="00624EE0" w:rsidRDefault="005A051D" w:rsidP="00624EE0">
            <w:pPr>
              <w:pStyle w:val="NoSpacing"/>
            </w:pPr>
            <w:r w:rsidRPr="00624EE0">
              <w:t xml:space="preserve">1.21 [1.15, 1.27] </w:t>
            </w:r>
          </w:p>
        </w:tc>
        <w:tc>
          <w:tcPr>
            <w:tcW w:w="0" w:type="auto"/>
          </w:tcPr>
          <w:p w14:paraId="4F4A0731" w14:textId="34432B0A" w:rsidR="00624EE0" w:rsidRPr="00624EE0" w:rsidRDefault="005A051D" w:rsidP="00624EE0">
            <w:pPr>
              <w:pStyle w:val="NoSpacing"/>
            </w:pPr>
            <w:r w:rsidRPr="00624EE0">
              <w:t>82.6 (81.9</w:t>
            </w:r>
            <w:r>
              <w:t xml:space="preserve">, </w:t>
            </w:r>
            <w:r w:rsidRPr="00624EE0">
              <w:t>83.5)</w:t>
            </w:r>
          </w:p>
        </w:tc>
      </w:tr>
      <w:tr w:rsidR="00E94244" w:rsidRPr="00624EE0" w14:paraId="76B98342" w14:textId="77777777" w:rsidTr="008E6217">
        <w:trPr>
          <w:trHeight w:val="179"/>
        </w:trPr>
        <w:tc>
          <w:tcPr>
            <w:tcW w:w="0" w:type="auto"/>
          </w:tcPr>
          <w:p w14:paraId="5592AAB8" w14:textId="68D25B8B" w:rsidR="00E94244" w:rsidRPr="00624EE0" w:rsidRDefault="00E94244" w:rsidP="00624EE0">
            <w:pPr>
              <w:pStyle w:val="NoSpacing"/>
            </w:pPr>
            <w:r w:rsidRPr="00624EE0">
              <w:t>Step 4: family history of ADHD</w:t>
            </w:r>
          </w:p>
        </w:tc>
        <w:tc>
          <w:tcPr>
            <w:tcW w:w="0" w:type="auto"/>
          </w:tcPr>
          <w:p w14:paraId="76AC295C" w14:textId="77777777" w:rsidR="00E94244" w:rsidRPr="00624EE0" w:rsidRDefault="00E94244" w:rsidP="00624EE0">
            <w:pPr>
              <w:pStyle w:val="NoSpacing"/>
            </w:pPr>
          </w:p>
        </w:tc>
        <w:tc>
          <w:tcPr>
            <w:tcW w:w="0" w:type="auto"/>
          </w:tcPr>
          <w:p w14:paraId="45BBAA6E" w14:textId="77777777" w:rsidR="00E94244" w:rsidRPr="00624EE0" w:rsidRDefault="00E94244" w:rsidP="00624EE0">
            <w:pPr>
              <w:pStyle w:val="NoSpacing"/>
            </w:pPr>
          </w:p>
        </w:tc>
        <w:tc>
          <w:tcPr>
            <w:tcW w:w="0" w:type="auto"/>
          </w:tcPr>
          <w:p w14:paraId="4B86091D" w14:textId="77777777" w:rsidR="00E94244" w:rsidRPr="00624EE0" w:rsidRDefault="00E94244" w:rsidP="00624EE0">
            <w:pPr>
              <w:pStyle w:val="NoSpacing"/>
            </w:pPr>
          </w:p>
        </w:tc>
        <w:tc>
          <w:tcPr>
            <w:tcW w:w="0" w:type="auto"/>
          </w:tcPr>
          <w:p w14:paraId="70187E7D" w14:textId="77777777" w:rsidR="00E94244" w:rsidRPr="00624EE0" w:rsidRDefault="00E94244" w:rsidP="00624EE0">
            <w:pPr>
              <w:pStyle w:val="NoSpacing"/>
            </w:pPr>
          </w:p>
        </w:tc>
      </w:tr>
      <w:tr w:rsidR="005A051D" w:rsidRPr="00624EE0" w14:paraId="0AB10D96" w14:textId="77777777" w:rsidTr="008E6217">
        <w:trPr>
          <w:trHeight w:val="179"/>
        </w:trPr>
        <w:tc>
          <w:tcPr>
            <w:tcW w:w="0" w:type="auto"/>
          </w:tcPr>
          <w:p w14:paraId="35978DB5" w14:textId="427BDC0B" w:rsidR="005A051D" w:rsidRPr="00624EE0" w:rsidRDefault="005A051D" w:rsidP="005A051D">
            <w:pPr>
              <w:pStyle w:val="NoSpacing"/>
            </w:pPr>
            <w:r w:rsidRPr="00624EE0">
              <w:t>First degree family member with ADHD</w:t>
            </w:r>
          </w:p>
        </w:tc>
        <w:tc>
          <w:tcPr>
            <w:tcW w:w="0" w:type="auto"/>
          </w:tcPr>
          <w:p w14:paraId="12242BDA" w14:textId="24B57AF9" w:rsidR="005A051D" w:rsidRPr="00624EE0" w:rsidRDefault="005A051D" w:rsidP="005A051D">
            <w:pPr>
              <w:pStyle w:val="NoSpacing"/>
            </w:pPr>
            <w:r w:rsidRPr="00624EE0">
              <w:t>1.24</w:t>
            </w:r>
          </w:p>
        </w:tc>
        <w:tc>
          <w:tcPr>
            <w:tcW w:w="0" w:type="auto"/>
          </w:tcPr>
          <w:p w14:paraId="10B30E88" w14:textId="613B684A" w:rsidR="005A051D" w:rsidRPr="00624EE0" w:rsidRDefault="005A051D" w:rsidP="005A051D">
            <w:pPr>
              <w:pStyle w:val="NoSpacing"/>
            </w:pPr>
            <w:r w:rsidRPr="00624EE0">
              <w:t>.033</w:t>
            </w:r>
          </w:p>
        </w:tc>
        <w:tc>
          <w:tcPr>
            <w:tcW w:w="0" w:type="auto"/>
          </w:tcPr>
          <w:p w14:paraId="4041440F" w14:textId="3F1CC3D0" w:rsidR="005A051D" w:rsidRPr="00624EE0" w:rsidRDefault="005A051D" w:rsidP="005A051D">
            <w:pPr>
              <w:pStyle w:val="NoSpacing"/>
            </w:pPr>
            <w:r w:rsidRPr="00624EE0">
              <w:t>3.5 [1.5, 7.8]</w:t>
            </w:r>
          </w:p>
        </w:tc>
        <w:tc>
          <w:tcPr>
            <w:tcW w:w="0" w:type="auto"/>
          </w:tcPr>
          <w:p w14:paraId="22DCC652" w14:textId="4D90CFBD" w:rsidR="005A051D" w:rsidRPr="00624EE0" w:rsidRDefault="005A051D" w:rsidP="005A051D">
            <w:pPr>
              <w:pStyle w:val="NoSpacing"/>
            </w:pPr>
            <w:r w:rsidRPr="00624EE0">
              <w:t>85.2 (81.9, 89.3)</w:t>
            </w:r>
          </w:p>
        </w:tc>
      </w:tr>
      <w:tr w:rsidR="005A051D" w:rsidRPr="00624EE0" w14:paraId="059BF556" w14:textId="77777777" w:rsidTr="008E6217">
        <w:trPr>
          <w:trHeight w:val="179"/>
        </w:trPr>
        <w:tc>
          <w:tcPr>
            <w:tcW w:w="0" w:type="auto"/>
          </w:tcPr>
          <w:p w14:paraId="7041DC68" w14:textId="477E62F2" w:rsidR="005A051D" w:rsidRPr="00624EE0" w:rsidRDefault="005A051D" w:rsidP="005A051D">
            <w:pPr>
              <w:pStyle w:val="NoSpacing"/>
            </w:pPr>
            <w:r w:rsidRPr="00624EE0">
              <w:t>Step 5: neurocognitive test cut scores</w:t>
            </w:r>
          </w:p>
        </w:tc>
        <w:tc>
          <w:tcPr>
            <w:tcW w:w="0" w:type="auto"/>
          </w:tcPr>
          <w:p w14:paraId="29B1752C" w14:textId="77777777" w:rsidR="005A051D" w:rsidRPr="00624EE0" w:rsidRDefault="005A051D" w:rsidP="005A051D">
            <w:pPr>
              <w:pStyle w:val="NoSpacing"/>
            </w:pPr>
          </w:p>
        </w:tc>
        <w:tc>
          <w:tcPr>
            <w:tcW w:w="0" w:type="auto"/>
          </w:tcPr>
          <w:p w14:paraId="17E8E856" w14:textId="77777777" w:rsidR="005A051D" w:rsidRPr="00624EE0" w:rsidRDefault="005A051D" w:rsidP="005A051D">
            <w:pPr>
              <w:pStyle w:val="NoSpacing"/>
            </w:pPr>
          </w:p>
        </w:tc>
        <w:tc>
          <w:tcPr>
            <w:tcW w:w="0" w:type="auto"/>
          </w:tcPr>
          <w:p w14:paraId="5D25EC6E" w14:textId="77777777" w:rsidR="005A051D" w:rsidRPr="00624EE0" w:rsidRDefault="005A051D" w:rsidP="005A051D">
            <w:pPr>
              <w:pStyle w:val="NoSpacing"/>
            </w:pPr>
          </w:p>
        </w:tc>
        <w:tc>
          <w:tcPr>
            <w:tcW w:w="0" w:type="auto"/>
          </w:tcPr>
          <w:p w14:paraId="12EC12DA" w14:textId="77777777" w:rsidR="005A051D" w:rsidRPr="00624EE0" w:rsidRDefault="005A051D" w:rsidP="005A051D">
            <w:pPr>
              <w:pStyle w:val="NoSpacing"/>
            </w:pPr>
          </w:p>
        </w:tc>
      </w:tr>
      <w:tr w:rsidR="005A051D" w:rsidRPr="00624EE0" w14:paraId="409A66FB" w14:textId="77777777" w:rsidTr="008E6217">
        <w:trPr>
          <w:trHeight w:val="179"/>
        </w:trPr>
        <w:tc>
          <w:tcPr>
            <w:tcW w:w="0" w:type="auto"/>
          </w:tcPr>
          <w:p w14:paraId="17275B26" w14:textId="56A6BD39" w:rsidR="005A051D" w:rsidRPr="00624EE0" w:rsidRDefault="005A051D" w:rsidP="005A051D">
            <w:pPr>
              <w:pStyle w:val="NoSpacing"/>
            </w:pPr>
            <w:r w:rsidRPr="00624EE0">
              <w:t>TOVA reaction time variability</w:t>
            </w:r>
          </w:p>
        </w:tc>
        <w:tc>
          <w:tcPr>
            <w:tcW w:w="0" w:type="auto"/>
          </w:tcPr>
          <w:p w14:paraId="5BE07F85" w14:textId="55B60F58" w:rsidR="005A051D" w:rsidRPr="00624EE0" w:rsidRDefault="005A051D" w:rsidP="005A051D">
            <w:pPr>
              <w:pStyle w:val="NoSpacing"/>
            </w:pPr>
            <w:r w:rsidRPr="00624EE0">
              <w:t>1.14</w:t>
            </w:r>
          </w:p>
        </w:tc>
        <w:tc>
          <w:tcPr>
            <w:tcW w:w="0" w:type="auto"/>
          </w:tcPr>
          <w:p w14:paraId="4E88EC6E" w14:textId="4477826D" w:rsidR="005A051D" w:rsidRPr="00624EE0" w:rsidRDefault="005A051D" w:rsidP="005A051D">
            <w:pPr>
              <w:pStyle w:val="NoSpacing"/>
            </w:pPr>
            <w:r w:rsidRPr="00624EE0">
              <w:t>.023</w:t>
            </w:r>
          </w:p>
        </w:tc>
        <w:tc>
          <w:tcPr>
            <w:tcW w:w="0" w:type="auto"/>
          </w:tcPr>
          <w:p w14:paraId="75E30D00" w14:textId="37D3792C" w:rsidR="005A051D" w:rsidRPr="00624EE0" w:rsidRDefault="005A051D" w:rsidP="005A051D">
            <w:pPr>
              <w:pStyle w:val="NoSpacing"/>
            </w:pPr>
            <w:r w:rsidRPr="00624EE0">
              <w:t>3.1 [1.1, 8.9]</w:t>
            </w:r>
          </w:p>
        </w:tc>
        <w:tc>
          <w:tcPr>
            <w:tcW w:w="0" w:type="auto"/>
          </w:tcPr>
          <w:p w14:paraId="2276BF6C" w14:textId="46DC6433" w:rsidR="005A051D" w:rsidRPr="00624EE0" w:rsidRDefault="005A051D" w:rsidP="005A051D">
            <w:pPr>
              <w:pStyle w:val="NoSpacing"/>
            </w:pPr>
            <w:r w:rsidRPr="00624EE0">
              <w:t>87.4 (86.6, 88.3)</w:t>
            </w:r>
          </w:p>
        </w:tc>
      </w:tr>
    </w:tbl>
    <w:p w14:paraId="0522C6D0" w14:textId="70DF2BD7" w:rsidR="00624EE0" w:rsidRPr="00624EE0" w:rsidRDefault="00343527" w:rsidP="00624EE0">
      <w:pPr>
        <w:pStyle w:val="NoSpacing"/>
      </w:pPr>
      <w:r w:rsidRPr="00343527">
        <w:rPr>
          <w:b/>
          <w:bCs/>
        </w:rPr>
        <w:t>Note.</w:t>
      </w:r>
      <w:r w:rsidRPr="00343527">
        <w:t xml:space="preserve"> ADHD _ attention-deficit/hyperactivity disorder; BDI = Beck Depression Inventory; TOVA = Test of Variables of Attention.</w:t>
      </w:r>
    </w:p>
    <w:p w14:paraId="39960341" w14:textId="3CA1D9EE" w:rsidR="00E42001" w:rsidRDefault="00E42001" w:rsidP="00E42001">
      <w:pPr>
        <w:pStyle w:val="Heading1"/>
      </w:pPr>
      <w:r>
        <w:lastRenderedPageBreak/>
        <w:t>Discussion</w:t>
      </w:r>
    </w:p>
    <w:p w14:paraId="74D02168" w14:textId="18AA4774" w:rsidR="007902F1" w:rsidRDefault="007902F1" w:rsidP="007902F1">
      <w:pPr>
        <w:pStyle w:val="NoSpacing"/>
      </w:pPr>
      <w:r>
        <w:t xml:space="preserve">The current study examined multiple neuropsychological test measures in conjunction with self- and informant ratings of current and childhood ADHD symptoms in order to ascertain the extent to which inclusion of these behavioral measures might improve the diagnostic accuracy of adult ADHD assessment. The current work sought to extend past research in this area by examining a large battery of neuropsychological test measures as well as several PVTs and SVTs, among a diverse sample of adults with ADHD as well as </w:t>
      </w:r>
      <w:proofErr w:type="spellStart"/>
      <w:r>
        <w:t>nondisordered</w:t>
      </w:r>
      <w:proofErr w:type="spellEnd"/>
      <w:r>
        <w:t xml:space="preserve"> controls and adults with depression.</w:t>
      </w:r>
    </w:p>
    <w:p w14:paraId="5783E3C3" w14:textId="77777777" w:rsidR="007902F1" w:rsidRDefault="007902F1" w:rsidP="007902F1">
      <w:pPr>
        <w:pStyle w:val="NoSpacing"/>
      </w:pPr>
    </w:p>
    <w:p w14:paraId="6F9E996D" w14:textId="1B8E8F78" w:rsidR="007902F1" w:rsidRDefault="007902F1" w:rsidP="007902F1">
      <w:pPr>
        <w:pStyle w:val="NoSpacing"/>
      </w:pPr>
      <w:r>
        <w:t>There are four sets of notable findings stemming from this work. First, our analyses found that a combined approach that utilized self and informant ADHD symptom ratings, family history of ADHD, and neuropsychological test measures yielded a classification accuracy of approximately 87% when distinguishing participants with and without ADHD. Similar to past work, our findings support including retrospective ratings of childhood symptoms, particularly inattention (</w:t>
      </w:r>
      <w:proofErr w:type="spellStart"/>
      <w:r>
        <w:fldChar w:fldCharType="begin"/>
      </w:r>
      <w:r>
        <w:instrText xml:space="preserve"> HYPERLINK "https://0-web-b-ebscohost-com.libus.csd.mu.edu/ehost/detail/detail?vid=3&amp;sid=ba31a4a0-7759-4744-8a4b-f3a61b5b9fee%40pdc-v-sessmgr01&amp;bdata=JnNpdGU9ZWhvc3QtbGl2ZQ%3d%3d" \l "c45" </w:instrText>
      </w:r>
      <w:r>
        <w:fldChar w:fldCharType="separate"/>
      </w:r>
      <w:r>
        <w:rPr>
          <w:rStyle w:val="Hyperlink"/>
        </w:rPr>
        <w:t>Kooij</w:t>
      </w:r>
      <w:proofErr w:type="spellEnd"/>
      <w:r>
        <w:rPr>
          <w:rStyle w:val="Hyperlink"/>
        </w:rPr>
        <w:t xml:space="preserve"> et al., 2010</w:t>
      </w:r>
      <w:r>
        <w:fldChar w:fldCharType="end"/>
      </w:r>
      <w:r>
        <w:t>), along with informant ratings of behavior in the diagnostic assessment of ADHD (</w:t>
      </w:r>
      <w:hyperlink r:id="rId88" w:anchor="c69" w:history="1">
        <w:r>
          <w:rPr>
            <w:rStyle w:val="Hyperlink"/>
          </w:rPr>
          <w:t>Sibley et al., 2017</w:t>
        </w:r>
      </w:hyperlink>
      <w:r>
        <w:t>). Additionally, inclusion of ADHD family history, which is sometimes (although not always) gathered as part of an unstructured interview, significantly increased the classification accuracy. This suggests that it may be advantageous to gather this information in research and clinical assessment of ADHD, even if that information is not formally part of the diagnostic criteria.</w:t>
      </w:r>
    </w:p>
    <w:p w14:paraId="4722AF42" w14:textId="77777777" w:rsidR="007902F1" w:rsidRDefault="007902F1" w:rsidP="007902F1">
      <w:pPr>
        <w:pStyle w:val="NoSpacing"/>
      </w:pPr>
    </w:p>
    <w:p w14:paraId="3270EB1A" w14:textId="03F8C7CA" w:rsidR="007902F1" w:rsidRDefault="007902F1" w:rsidP="007902F1">
      <w:pPr>
        <w:pStyle w:val="NoSpacing"/>
      </w:pPr>
      <w:r>
        <w:t>Second, our findings regarding the role of neuropsychological test measures in the diagnostic assessment of ADHD were mixed. ROC analyses as well as linear and logistic regression analyses identified a subset of measures that each uniquely added to the discrimination between ADHD and non-ADHD adults. These measures included indices of working memory, inhibition, response speed and variability, and sustained attention, all domains which largely correspond to the largest group-difference effect sizes in the ADHD neurocognitive literature (</w:t>
      </w:r>
      <w:proofErr w:type="spellStart"/>
      <w:r>
        <w:fldChar w:fldCharType="begin"/>
      </w:r>
      <w:r>
        <w:instrText xml:space="preserve"> HYPERLINK "https://0-web-b-ebscohost-com.libus.csd.mu.edu/ehost/detail/detail?vid=3&amp;sid=ba31a4a0-7759-4744-8a4b-f3a61b5b9fee%40pdc-v-sessmgr01&amp;bdata=JnNpdGU9ZWhvc3QtbGl2ZQ%3d%3d" \l "c82" </w:instrText>
      </w:r>
      <w:r>
        <w:fldChar w:fldCharType="separate"/>
      </w:r>
      <w:r>
        <w:rPr>
          <w:rStyle w:val="Hyperlink"/>
        </w:rPr>
        <w:t>Willcutt</w:t>
      </w:r>
      <w:proofErr w:type="spellEnd"/>
      <w:r>
        <w:rPr>
          <w:rStyle w:val="Hyperlink"/>
        </w:rPr>
        <w:t xml:space="preserve">, Doyle, </w:t>
      </w:r>
      <w:proofErr w:type="spellStart"/>
      <w:r>
        <w:rPr>
          <w:rStyle w:val="Hyperlink"/>
        </w:rPr>
        <w:t>Nigg</w:t>
      </w:r>
      <w:proofErr w:type="spellEnd"/>
      <w:r>
        <w:rPr>
          <w:rStyle w:val="Hyperlink"/>
        </w:rPr>
        <w:t xml:space="preserve">, </w:t>
      </w:r>
      <w:proofErr w:type="spellStart"/>
      <w:r>
        <w:rPr>
          <w:rStyle w:val="Hyperlink"/>
        </w:rPr>
        <w:t>Faraone</w:t>
      </w:r>
      <w:proofErr w:type="spellEnd"/>
      <w:r>
        <w:rPr>
          <w:rStyle w:val="Hyperlink"/>
        </w:rPr>
        <w:t>, &amp; Pennington, 2005</w:t>
      </w:r>
      <w:r>
        <w:fldChar w:fldCharType="end"/>
      </w:r>
      <w:r>
        <w:t>). Notably, three of these six measures were from the TOVA, suggesting that indices of response speed, response variability, and sustained attention may be particularly important for identifying adult ADHD. However, the TOVA may have also emerged as a salient predictor of diagnostic group due to its superior measurement precision (e.g., RTs and accuracy of performance are measured via computer and calculated in milliseconds), which may increase the sensitivity of this test for identifying deficits in sustained attention.</w:t>
      </w:r>
    </w:p>
    <w:p w14:paraId="7A153B3D" w14:textId="77777777" w:rsidR="007902F1" w:rsidRDefault="007902F1" w:rsidP="007902F1">
      <w:pPr>
        <w:pStyle w:val="NoSpacing"/>
      </w:pPr>
    </w:p>
    <w:p w14:paraId="30F80BB4" w14:textId="7C7CCDAA" w:rsidR="007902F1" w:rsidRDefault="007902F1" w:rsidP="007902F1">
      <w:pPr>
        <w:pStyle w:val="NoSpacing"/>
      </w:pPr>
      <w:r>
        <w:t xml:space="preserve">Furthermore, </w:t>
      </w:r>
      <w:proofErr w:type="gramStart"/>
      <w:r>
        <w:t>similar to</w:t>
      </w:r>
      <w:proofErr w:type="gramEnd"/>
      <w:r>
        <w:t xml:space="preserve"> much of the past work in this area, each single neuropsychological test measure poorly discriminated individuals with and without ADHD, based on the ROC analyses. In fact, several measures commonly used in clinical practice (i.e., the PASAT, NAB Numbers and Letters) were no better than chance at distinguishing individuals with and without ADHD (i.e., controls and depressed participants) Thus, inclusion of a long and extensive neuropsychological testing battery does not appear to yield much in terms of improving the diagnostic accuracy of adult ADHD assessment.</w:t>
      </w:r>
    </w:p>
    <w:p w14:paraId="5AEAFD00" w14:textId="77777777" w:rsidR="007902F1" w:rsidRDefault="007902F1" w:rsidP="007902F1">
      <w:pPr>
        <w:pStyle w:val="NoSpacing"/>
      </w:pPr>
    </w:p>
    <w:p w14:paraId="36E5C844" w14:textId="4B42766D" w:rsidR="007902F1" w:rsidRDefault="007902F1" w:rsidP="007902F1">
      <w:pPr>
        <w:pStyle w:val="NoSpacing"/>
      </w:pPr>
      <w:r>
        <w:t>Third, additional analyses of these neuropsychological test measures that aimed to maximize the sensitivity and specificity of their prediction of ADHD diagnostic status revealed cut scores that were largely in the average range relative to the norms developed for each measure. This may be due, in part, to the overall higher levels of educational attainment and intellectual functioning in this sample. Some prior work has suggested that higher intellectual functioning may potentially “mask” executive functioning deficits in particular among adults with ADHD (</w:t>
      </w:r>
      <w:proofErr w:type="spellStart"/>
      <w:r>
        <w:fldChar w:fldCharType="begin"/>
      </w:r>
      <w:r>
        <w:instrText xml:space="preserve"> HYPERLINK "https://0-web-b-ebscohost-com.libus.csd.mu.edu/ehost/detail/detail?vid=3&amp;sid=ba31a4a0-7759-4744-8a4b-f3a61b5b9fee%40pdc-v-sessmgr01&amp;bdata=JnNpdGU9ZWhvc3QtbGl2ZQ%3d%3d" \l "c51" </w:instrText>
      </w:r>
      <w:r>
        <w:fldChar w:fldCharType="separate"/>
      </w:r>
      <w:r>
        <w:rPr>
          <w:rStyle w:val="Hyperlink"/>
        </w:rPr>
        <w:t>Milioni</w:t>
      </w:r>
      <w:proofErr w:type="spellEnd"/>
      <w:r>
        <w:rPr>
          <w:rStyle w:val="Hyperlink"/>
        </w:rPr>
        <w:t xml:space="preserve"> et al., 2017</w:t>
      </w:r>
      <w:r>
        <w:fldChar w:fldCharType="end"/>
      </w:r>
      <w:r>
        <w:t>). Further, these findings are in line with past work, which has suggested that adults with ADHD may exhibit less severe neuropsychological impairment (</w:t>
      </w:r>
      <w:proofErr w:type="spellStart"/>
      <w:r>
        <w:fldChar w:fldCharType="begin"/>
      </w:r>
      <w:r>
        <w:instrText xml:space="preserve"> HYPERLINK "https://0-web-b-ebscohost-com.libus.csd.mu.edu/ehost/detail/detail?vid=3&amp;sid=ba31a4a0-7759-4744-8a4b-f3a61b5b9fee%40pdc-v-sessmgr01&amp;bdata=JnNpdGU9ZWhvc3QtbGl2ZQ%3d%3d" \l "c66" </w:instrText>
      </w:r>
      <w:r>
        <w:fldChar w:fldCharType="separate"/>
      </w:r>
      <w:r>
        <w:rPr>
          <w:rStyle w:val="Hyperlink"/>
        </w:rPr>
        <w:t>Salomone</w:t>
      </w:r>
      <w:proofErr w:type="spellEnd"/>
      <w:r>
        <w:rPr>
          <w:rStyle w:val="Hyperlink"/>
        </w:rPr>
        <w:t>, Fleming, Bramham, O’Connell, &amp; Robertson, 2016</w:t>
      </w:r>
      <w:r>
        <w:fldChar w:fldCharType="end"/>
      </w:r>
      <w:r>
        <w:t>), but may instead show more heterogeneity in terms of degree and types of cognitive deficits (</w:t>
      </w:r>
      <w:hyperlink r:id="rId89" w:anchor="c53" w:history="1">
        <w:r>
          <w:rPr>
            <w:rStyle w:val="Hyperlink"/>
          </w:rPr>
          <w:t>Mostert et al., 2018</w:t>
        </w:r>
      </w:hyperlink>
      <w:r>
        <w:t>). Regardless, this set of findings may be particularly relevant in the assessment of ADHD among college students. That is, adults with above average global cognitive abilities may underperform on some of these tasks relative to their IQ, even though their performance may be within an average range when compared with a broader population of adults. (</w:t>
      </w:r>
      <w:proofErr w:type="spellStart"/>
      <w:r>
        <w:fldChar w:fldCharType="begin"/>
      </w:r>
      <w:r>
        <w:instrText xml:space="preserve"> HYPERLINK "https://0-web-b-ebscohost-com.libus.csd.mu.edu/ehost/detail/detail?vid=3&amp;sid=ba31a4a0-7759-4744-8a4b-f3a61b5b9fee%40pdc-v-sessmgr01&amp;bdata=JnNpdGU9ZWhvc3QtbGl2ZQ%3d%3d" \l "c209" </w:instrText>
      </w:r>
      <w:r>
        <w:fldChar w:fldCharType="separate"/>
      </w:r>
      <w:r>
        <w:rPr>
          <w:rStyle w:val="Hyperlink"/>
        </w:rPr>
        <w:t>Weyandt</w:t>
      </w:r>
      <w:proofErr w:type="spellEnd"/>
      <w:r>
        <w:rPr>
          <w:rStyle w:val="Hyperlink"/>
        </w:rPr>
        <w:t xml:space="preserve"> et al., 2013</w:t>
      </w:r>
      <w:r>
        <w:fldChar w:fldCharType="end"/>
      </w:r>
      <w:r>
        <w:t>).</w:t>
      </w:r>
    </w:p>
    <w:p w14:paraId="4FC610BC" w14:textId="77777777" w:rsidR="007902F1" w:rsidRDefault="007902F1" w:rsidP="007902F1">
      <w:pPr>
        <w:pStyle w:val="NoSpacing"/>
      </w:pPr>
    </w:p>
    <w:p w14:paraId="2840A44F" w14:textId="1CF6568E" w:rsidR="007902F1" w:rsidRDefault="007902F1" w:rsidP="007902F1">
      <w:pPr>
        <w:pStyle w:val="NoSpacing"/>
      </w:pPr>
      <w:r>
        <w:lastRenderedPageBreak/>
        <w:t xml:space="preserve">Further, our findings of average-range cut scores that discriminated ADHD and non-ADHD participants within our sample may also explain findings from prior work regarding the lack of utility of neuropsychological tests in diagnosing adult ADHD. That is, neuropsychological tests may not have appeared to be useful for diagnosis in some prior work if an individual had to score substantially below the included norms (rather than low relative to a comparison or peer group) to be deemed impaired on a </w:t>
      </w:r>
      <w:proofErr w:type="gramStart"/>
      <w:r>
        <w:t>particular measure</w:t>
      </w:r>
      <w:proofErr w:type="gramEnd"/>
      <w:r>
        <w:t>. While this may not account for all of the mixed findings in past research regarding the utility of neuropsychological tests in diagnosing adult ADHD, our findings strongly suggest that the criteria used to identify impairment on any neuropsychological tests be considered carefully and in relation to the individual’s appropriate reference group (e.g., college-educated adults, high-average intellectual functioning). Future work may benefit by developing college-level norms for some measures commonly used in neuropsychological research and in evaluations of young adults with ADHD (</w:t>
      </w:r>
      <w:proofErr w:type="spellStart"/>
      <w:r>
        <w:fldChar w:fldCharType="begin"/>
      </w:r>
      <w:r>
        <w:instrText xml:space="preserve"> HYPERLINK "https://0-web-b-ebscohost-com.libus.csd.mu.edu/ehost/detail/detail?vid=3&amp;sid=ba31a4a0-7759-4744-8a4b-f3a61b5b9fee%40pdc-v-sessmgr01&amp;bdata=JnNpdGU9ZWhvc3QtbGl2ZQ%3d%3d" \l "c209" </w:instrText>
      </w:r>
      <w:r>
        <w:fldChar w:fldCharType="separate"/>
      </w:r>
      <w:r>
        <w:rPr>
          <w:rStyle w:val="Hyperlink"/>
        </w:rPr>
        <w:t>Weyandt</w:t>
      </w:r>
      <w:proofErr w:type="spellEnd"/>
      <w:r>
        <w:rPr>
          <w:rStyle w:val="Hyperlink"/>
        </w:rPr>
        <w:t xml:space="preserve"> et al., 2013</w:t>
      </w:r>
      <w:r>
        <w:fldChar w:fldCharType="end"/>
      </w:r>
      <w:r>
        <w:t>).</w:t>
      </w:r>
    </w:p>
    <w:p w14:paraId="31635862" w14:textId="77777777" w:rsidR="007902F1" w:rsidRDefault="007902F1" w:rsidP="007902F1">
      <w:pPr>
        <w:pStyle w:val="NoSpacing"/>
      </w:pPr>
    </w:p>
    <w:p w14:paraId="52EC28BD" w14:textId="5249706A" w:rsidR="007902F1" w:rsidRDefault="007902F1" w:rsidP="007902F1">
      <w:pPr>
        <w:pStyle w:val="NoSpacing"/>
      </w:pPr>
      <w:r>
        <w:t xml:space="preserve">Fourth, our findings did not reveal many problems with invalid symptom presentation based on the results of PVTs and a symptom validity measure. Only 2% of the participants in this study were identified as making an invalid symptom presentation (i.e., below thresholds on 2 or more PVTs/SVTs). This is a substantially lower percentage than those found in studies of young adult patients presenting for ADHD assessment in clinical settings. Based on the conservative </w:t>
      </w:r>
      <w:hyperlink r:id="rId90" w:anchor="c206" w:history="1">
        <w:r>
          <w:rPr>
            <w:rStyle w:val="Hyperlink"/>
          </w:rPr>
          <w:t>Slick, Sherman, and Iverson (1999)</w:t>
        </w:r>
      </w:hyperlink>
      <w:r>
        <w:t xml:space="preserve"> malingering criteria, prior work has estimated that 27% (</w:t>
      </w:r>
      <w:hyperlink r:id="rId91" w:anchor="c48" w:history="1">
        <w:r>
          <w:rPr>
            <w:rStyle w:val="Hyperlink"/>
          </w:rPr>
          <w:t>Marshall et al., 2016</w:t>
        </w:r>
      </w:hyperlink>
      <w:r>
        <w:t>), 22% (</w:t>
      </w:r>
      <w:hyperlink r:id="rId92" w:anchor="c49" w:history="1">
        <w:r>
          <w:rPr>
            <w:rStyle w:val="Hyperlink"/>
          </w:rPr>
          <w:t>Marshall, et al., 2010</w:t>
        </w:r>
      </w:hyperlink>
      <w:r>
        <w:t>), and 10% (</w:t>
      </w:r>
      <w:hyperlink r:id="rId93" w:anchor="c59" w:history="1">
        <w:r>
          <w:rPr>
            <w:rStyle w:val="Hyperlink"/>
          </w:rPr>
          <w:t xml:space="preserve">Pella, Hill, Shelton, Elliott, &amp; </w:t>
        </w:r>
        <w:proofErr w:type="spellStart"/>
        <w:r>
          <w:rPr>
            <w:rStyle w:val="Hyperlink"/>
          </w:rPr>
          <w:t>Gouvier</w:t>
        </w:r>
        <w:proofErr w:type="spellEnd"/>
        <w:r>
          <w:rPr>
            <w:rStyle w:val="Hyperlink"/>
          </w:rPr>
          <w:t>, 2012</w:t>
        </w:r>
      </w:hyperlink>
      <w:r>
        <w:t>) of college students made a suspect effort in their cognitive assessments. However, the participants in the current study had already been diagnosed with ADHD and their retaining this diagnosis was not in question. Therefore, it is highly likely that the participants in our study did not have the same set of incentives or motivations for making an invalid symptom presentation. Unfortunately, this unusually small percentage of individuals making an invalid symptom presentation prevented this study from producing meaningful data concerning the incremental predictive validity of including validity measures in an ADHD assessment battery. Nevertheless, prior work and clinical practice guidelines have strongly supported the need for such PVTs in order to identify invalid symptom presentation in this group, which may obscure clinical assessment and diagnosis of adults with ADHD (</w:t>
      </w:r>
      <w:hyperlink r:id="rId94" w:anchor="c21" w:history="1">
        <w:r>
          <w:rPr>
            <w:rStyle w:val="Hyperlink"/>
          </w:rPr>
          <w:t>Bush et al., 2005</w:t>
        </w:r>
      </w:hyperlink>
      <w:r>
        <w:t xml:space="preserve">; </w:t>
      </w:r>
      <w:hyperlink r:id="rId95" w:anchor="c36" w:history="1">
        <w:proofErr w:type="spellStart"/>
        <w:r>
          <w:rPr>
            <w:rStyle w:val="Hyperlink"/>
          </w:rPr>
          <w:t>Heilbronner</w:t>
        </w:r>
        <w:proofErr w:type="spellEnd"/>
        <w:r>
          <w:rPr>
            <w:rStyle w:val="Hyperlink"/>
          </w:rPr>
          <w:t xml:space="preserve"> et al., 2009</w:t>
        </w:r>
      </w:hyperlink>
      <w:r>
        <w:t xml:space="preserve">; </w:t>
      </w:r>
      <w:hyperlink r:id="rId96" w:anchor="c48" w:history="1">
        <w:r>
          <w:rPr>
            <w:rStyle w:val="Hyperlink"/>
          </w:rPr>
          <w:t>Marshall et al., 2016</w:t>
        </w:r>
      </w:hyperlink>
      <w:r>
        <w:t xml:space="preserve">; </w:t>
      </w:r>
      <w:hyperlink r:id="rId97" w:anchor="c207" w:history="1">
        <w:proofErr w:type="spellStart"/>
        <w:r>
          <w:rPr>
            <w:rStyle w:val="Hyperlink"/>
          </w:rPr>
          <w:t>Tucha</w:t>
        </w:r>
        <w:proofErr w:type="spellEnd"/>
        <w:r>
          <w:rPr>
            <w:rStyle w:val="Hyperlink"/>
          </w:rPr>
          <w:t xml:space="preserve">, </w:t>
        </w:r>
        <w:proofErr w:type="spellStart"/>
        <w:r>
          <w:rPr>
            <w:rStyle w:val="Hyperlink"/>
          </w:rPr>
          <w:t>Fuermaier</w:t>
        </w:r>
        <w:proofErr w:type="spellEnd"/>
        <w:r>
          <w:rPr>
            <w:rStyle w:val="Hyperlink"/>
          </w:rPr>
          <w:t xml:space="preserve">, Koerts, Groen, &amp; </w:t>
        </w:r>
        <w:proofErr w:type="spellStart"/>
        <w:r>
          <w:rPr>
            <w:rStyle w:val="Hyperlink"/>
          </w:rPr>
          <w:t>Thome</w:t>
        </w:r>
        <w:proofErr w:type="spellEnd"/>
        <w:r>
          <w:rPr>
            <w:rStyle w:val="Hyperlink"/>
          </w:rPr>
          <w:t>, 2015</w:t>
        </w:r>
      </w:hyperlink>
      <w:r>
        <w:t>).</w:t>
      </w:r>
    </w:p>
    <w:p w14:paraId="666A7423" w14:textId="77777777" w:rsidR="007902F1" w:rsidRDefault="007902F1" w:rsidP="007902F1">
      <w:pPr>
        <w:pStyle w:val="NoSpacing"/>
      </w:pPr>
    </w:p>
    <w:p w14:paraId="48E3C3C9" w14:textId="23BEE2DA" w:rsidR="007902F1" w:rsidRDefault="007902F1" w:rsidP="007902F1">
      <w:pPr>
        <w:pStyle w:val="NoSpacing"/>
      </w:pPr>
      <w:r>
        <w:t>Overall, our findings supported including the following measures in a diagnostic assessment of ADHD (in addition to the clinical interview): (a) self-reports of ADHD, functional impairment, and potential comorbid problems, including depression; (b) retrospective reports of childhood ADHD symptoms; (c) informant reports of symptoms; (d) any positive family history of ADHD diagnoses; (e) performance and symptom validity measures; and (f) the TOVA or similar computerized continuous performance task. While our findings only offer some support for inclusion of neuropsychological tests in the diagnostic assessment of adult ADHD, more work is needed to determine if such tests significantly benefit diagnostic decision making in situations in which the results of other means of assessment (i.e., rating scales, clinical interview) are equivocal. Additionally, while these neuropsychological measures may slightly increase diagnostic accuracy, assessments of neurocognitive functioning, via testing or behavior ratings (e.g., the BDEFS), may be beneficial for understanding impairment and treatment targets in studies of intervention (</w:t>
      </w:r>
      <w:proofErr w:type="spellStart"/>
      <w:r>
        <w:fldChar w:fldCharType="begin"/>
      </w:r>
      <w:r>
        <w:instrText xml:space="preserve"> HYPERLINK "https://0-web-b-ebscohost-com.libus.csd.mu.edu/ehost/detail/detail?vid=3&amp;sid=ba31a4a0-7759-4744-8a4b-f3a61b5b9fee%40pdc-v-sessmgr01&amp;bdata=JnNpdGU9ZWhvc3QtbGl2ZQ%3d%3d" \l "c45" </w:instrText>
      </w:r>
      <w:r>
        <w:fldChar w:fldCharType="separate"/>
      </w:r>
      <w:r>
        <w:rPr>
          <w:rStyle w:val="Hyperlink"/>
        </w:rPr>
        <w:t>Kooij</w:t>
      </w:r>
      <w:proofErr w:type="spellEnd"/>
      <w:r>
        <w:rPr>
          <w:rStyle w:val="Hyperlink"/>
        </w:rPr>
        <w:t xml:space="preserve"> et al., 2010</w:t>
      </w:r>
      <w:r>
        <w:fldChar w:fldCharType="end"/>
      </w:r>
      <w:r>
        <w:t xml:space="preserve">; </w:t>
      </w:r>
      <w:hyperlink r:id="rId98" w:anchor="c70" w:history="1">
        <w:proofErr w:type="spellStart"/>
        <w:r>
          <w:rPr>
            <w:rStyle w:val="Hyperlink"/>
          </w:rPr>
          <w:t>Solanto</w:t>
        </w:r>
        <w:proofErr w:type="spellEnd"/>
        <w:r>
          <w:rPr>
            <w:rStyle w:val="Hyperlink"/>
          </w:rPr>
          <w:t xml:space="preserve"> et al., 2010</w:t>
        </w:r>
      </w:hyperlink>
      <w:r>
        <w:t>). Further, recent work focusing on neuropsychological test performance among adults with ADHD has demonstrated significant heterogeneity in performance across individuals (</w:t>
      </w:r>
      <w:hyperlink r:id="rId99" w:anchor="c73" w:history="1">
        <w:r>
          <w:rPr>
            <w:rStyle w:val="Hyperlink"/>
          </w:rPr>
          <w:t xml:space="preserve">van </w:t>
        </w:r>
        <w:proofErr w:type="spellStart"/>
        <w:r>
          <w:rPr>
            <w:rStyle w:val="Hyperlink"/>
          </w:rPr>
          <w:t>Lieshout</w:t>
        </w:r>
        <w:proofErr w:type="spellEnd"/>
        <w:r>
          <w:rPr>
            <w:rStyle w:val="Hyperlink"/>
          </w:rPr>
          <w:t xml:space="preserve"> et al., 2013</w:t>
        </w:r>
      </w:hyperlink>
      <w:r>
        <w:t>), some of which does not appear to be connected to the persistence or remittance of ADHD symptoms. Indeed, recent controversial work has even suggested that adult-onset ADHD may be a separate syndrome and associated with disparate risk factors and outcomes (</w:t>
      </w:r>
      <w:hyperlink r:id="rId100" w:anchor="c52" w:history="1">
        <w:r>
          <w:rPr>
            <w:rStyle w:val="Hyperlink"/>
          </w:rPr>
          <w:t>Moffitt et al., 2015</w:t>
        </w:r>
      </w:hyperlink>
      <w:r>
        <w:t>), although this possibility has also been questioned (</w:t>
      </w:r>
      <w:hyperlink r:id="rId101" w:anchor="c2" w:history="1">
        <w:r>
          <w:rPr>
            <w:rStyle w:val="Hyperlink"/>
          </w:rPr>
          <w:t>Agnew-</w:t>
        </w:r>
        <w:proofErr w:type="spellStart"/>
        <w:r>
          <w:rPr>
            <w:rStyle w:val="Hyperlink"/>
          </w:rPr>
          <w:t>Blais</w:t>
        </w:r>
        <w:proofErr w:type="spellEnd"/>
        <w:r>
          <w:rPr>
            <w:rStyle w:val="Hyperlink"/>
          </w:rPr>
          <w:t xml:space="preserve"> et al., 2016</w:t>
        </w:r>
      </w:hyperlink>
      <w:r>
        <w:t>).</w:t>
      </w:r>
    </w:p>
    <w:p w14:paraId="6D117885" w14:textId="77777777" w:rsidR="007902F1" w:rsidRDefault="007902F1" w:rsidP="007902F1">
      <w:pPr>
        <w:pStyle w:val="NoSpacing"/>
      </w:pPr>
    </w:p>
    <w:p w14:paraId="64DAC9CA" w14:textId="38CDBA5B" w:rsidR="007902F1" w:rsidRDefault="007902F1" w:rsidP="007902F1">
      <w:pPr>
        <w:pStyle w:val="NoSpacing"/>
      </w:pPr>
      <w:r>
        <w:t>There are several limitations to the current work. First, while our battery was comprehensive, some potentially ADHD-related behavioral problem domains may not have been properly covered in our measures. Measures of reward responsivity (</w:t>
      </w:r>
      <w:hyperlink r:id="rId102" w:anchor="c76" w:history="1">
        <w:r>
          <w:rPr>
            <w:rStyle w:val="Hyperlink"/>
          </w:rPr>
          <w:t>von Rhein et al., 2015</w:t>
        </w:r>
      </w:hyperlink>
      <w:r>
        <w:t xml:space="preserve">; </w:t>
      </w:r>
      <w:hyperlink r:id="rId103" w:anchor="c79" w:history="1">
        <w:r>
          <w:rPr>
            <w:rStyle w:val="Hyperlink"/>
          </w:rPr>
          <w:t>Wetterling et al., 2015</w:t>
        </w:r>
      </w:hyperlink>
      <w:r>
        <w:t>), emotional dysregulation (</w:t>
      </w:r>
      <w:hyperlink r:id="rId104" w:anchor="c11" w:history="1">
        <w:r>
          <w:rPr>
            <w:rStyle w:val="Hyperlink"/>
          </w:rPr>
          <w:t>Barkley, 2015</w:t>
        </w:r>
      </w:hyperlink>
      <w:r>
        <w:t>), and temporal discounting (</w:t>
      </w:r>
      <w:hyperlink r:id="rId105" w:anchor="c38" w:history="1">
        <w:r>
          <w:rPr>
            <w:rStyle w:val="Hyperlink"/>
          </w:rPr>
          <w:t>Jackson &amp; MacKillop, 2016</w:t>
        </w:r>
      </w:hyperlink>
      <w:r>
        <w:t xml:space="preserve">), in particular, may provide additional utility in </w:t>
      </w:r>
      <w:r>
        <w:lastRenderedPageBreak/>
        <w:t>distinguishing adults with and without ADHD. Second, the limited precision of cognitive processing speed measurement on some tasks may have limited their utility. Future work may benefit by incorporating computerized measures of several of these tasks to determine if improvement in cognitive processing speed measurement precision may enhance their usefulness in clinical assessment. For example, computerized working memory tests that include speed and accuracy measures might significantly increase the sensitivity of these tests to ADHD-related deficits (</w:t>
      </w:r>
      <w:hyperlink r:id="rId106" w:anchor="c3" w:history="1">
        <w:r>
          <w:rPr>
            <w:rStyle w:val="Hyperlink"/>
          </w:rPr>
          <w:t>Alderson et al., 2013</w:t>
        </w:r>
      </w:hyperlink>
      <w:r>
        <w:t>).</w:t>
      </w:r>
    </w:p>
    <w:p w14:paraId="47730CCD" w14:textId="77777777" w:rsidR="007902F1" w:rsidRDefault="007902F1" w:rsidP="007902F1">
      <w:pPr>
        <w:pStyle w:val="NoSpacing"/>
      </w:pPr>
    </w:p>
    <w:p w14:paraId="387C2712" w14:textId="529510CB" w:rsidR="007902F1" w:rsidRDefault="007902F1" w:rsidP="007902F1">
      <w:pPr>
        <w:pStyle w:val="NoSpacing"/>
      </w:pPr>
      <w:r>
        <w:t>This work was also limited by considering only one clinical comparison group (e.g., depression). Examination of the degree to which these measures may distinguish among those with ADHD and other common comorbidities in adulthood, particularly anxiety disorders, as well as the impact of comorbid ADHD and internalizing symptoms on multiple domains of cognitive functioning, will be essential to future research in this area. We also excluded many individuals with comorbid neurodevelopmental problems (e.g., learning disorders). While there is evidence of shared deficits among individuals with ADHD and learning disorders, and enhanced deficits among those with comorbid profiles, we elected to exclude individuals with learning disorders in the current study. This decision may have then actually contributed to an underestimation of group differences observed, given that these excluded individuals with comorbid profiles may have performed equally poor or worse on our test battery relative to those with ADHD alone. Additionally, the relative smaller size of the depressed group may limit the generalizability of our findings regarding distinctions (or lack thereof) in cognitive performance among adults with ADHD and those with depressive disorders.</w:t>
      </w:r>
    </w:p>
    <w:p w14:paraId="3BB20DF1" w14:textId="77777777" w:rsidR="007902F1" w:rsidRDefault="007902F1" w:rsidP="007902F1">
      <w:pPr>
        <w:pStyle w:val="NoSpacing"/>
      </w:pPr>
    </w:p>
    <w:p w14:paraId="0DF3AB78" w14:textId="1015478E" w:rsidR="007902F1" w:rsidRDefault="007902F1" w:rsidP="007902F1">
      <w:pPr>
        <w:pStyle w:val="NoSpacing"/>
      </w:pPr>
      <w:r>
        <w:t xml:space="preserve">Future work would also benefit by examining neuropsychological tests and symptom validity measures as predictors of ADHD diagnosis </w:t>
      </w:r>
      <w:proofErr w:type="gramStart"/>
      <w:r>
        <w:t>in particular cases</w:t>
      </w:r>
      <w:proofErr w:type="gramEnd"/>
      <w:r>
        <w:t xml:space="preserve"> in which traditional clinical interviews and rating scales have produced equivocal findings. That is, some of these measures may not have considerable utility in distinguishing those individuals at the extreme end of the symptomatology distributions (i.e., those with severe ADHD symptoms, those with no ADHD symptoms). However, they may be more useful in distinguishing among those in the middle portion of the symptom severity distribution, particularly given the arbitrary nature of diagnostic cut points. That is, the utility of neuropsychological tests in identifying ADHD may indeed vary as a function of symptom severity.</w:t>
      </w:r>
    </w:p>
    <w:p w14:paraId="1B66D20E" w14:textId="77777777" w:rsidR="007902F1" w:rsidRDefault="007902F1" w:rsidP="007902F1">
      <w:pPr>
        <w:pStyle w:val="NoSpacing"/>
      </w:pPr>
    </w:p>
    <w:p w14:paraId="5805CA79" w14:textId="27C0C842" w:rsidR="007902F1" w:rsidRDefault="007902F1" w:rsidP="007902F1">
      <w:pPr>
        <w:pStyle w:val="NoSpacing"/>
      </w:pPr>
      <w:r>
        <w:t xml:space="preserve">Lastly, our sample was limited to volunteer research participants who were predominately Caucasian and who had completed a college degree. These three factors (self-selection, ethnic homogeneity, higher education level) may limit the generalizability of our findings. It is also important to note that we implemented multiple measures of symptom and performance validity into our battery, in line with current concerns regarding adults feigning ADHD (see the December 2017 issue of </w:t>
      </w:r>
      <w:r>
        <w:rPr>
          <w:rStyle w:val="Strong"/>
          <w:i/>
          <w:iCs/>
        </w:rPr>
        <w:t>Psychological Assessment</w:t>
      </w:r>
      <w:r>
        <w:t xml:space="preserve"> including </w:t>
      </w:r>
      <w:hyperlink r:id="rId107" w:anchor="c204" w:history="1">
        <w:proofErr w:type="spellStart"/>
        <w:r>
          <w:rPr>
            <w:rStyle w:val="Hyperlink"/>
          </w:rPr>
          <w:t>Fuermaier</w:t>
        </w:r>
        <w:proofErr w:type="spellEnd"/>
        <w:r>
          <w:rPr>
            <w:rStyle w:val="Hyperlink"/>
          </w:rPr>
          <w:t xml:space="preserve"> et al., 2017</w:t>
        </w:r>
      </w:hyperlink>
      <w:r>
        <w:t xml:space="preserve">; </w:t>
      </w:r>
      <w:hyperlink r:id="rId108" w:anchor="c208" w:history="1">
        <w:r>
          <w:rPr>
            <w:rStyle w:val="Hyperlink"/>
          </w:rPr>
          <w:t>Walls, Wallace, Brothers, &amp; Berry, 2017</w:t>
        </w:r>
      </w:hyperlink>
      <w:r>
        <w:t>). However, our ADHD participants had already been diagnosed previously, which may be one reason that our validity measures revealed few participants with questionable performance. Even so, examination of symptom and performance validity remains of paramount concern in assessment of adult ADHD.</w:t>
      </w:r>
    </w:p>
    <w:p w14:paraId="29CF484C" w14:textId="77777777" w:rsidR="007902F1" w:rsidRDefault="007902F1" w:rsidP="007902F1">
      <w:pPr>
        <w:pStyle w:val="NoSpacing"/>
      </w:pPr>
    </w:p>
    <w:p w14:paraId="28325EFF" w14:textId="53D8533D" w:rsidR="00343527" w:rsidRPr="00343527" w:rsidRDefault="007902F1" w:rsidP="00343527">
      <w:pPr>
        <w:pStyle w:val="NoSpacing"/>
      </w:pPr>
      <w:r>
        <w:t xml:space="preserve">Overall, findings from the current study indicated that neuropsychological testing added incrementally in predicting ADHD diagnoses among young adults. However, effects were </w:t>
      </w:r>
      <w:proofErr w:type="gramStart"/>
      <w:r>
        <w:t>small</w:t>
      </w:r>
      <w:proofErr w:type="gramEnd"/>
      <w:r>
        <w:t xml:space="preserve"> and the utility of individual tests was modest in the absence of other assessment information. A diagnostic protocol that included self- and informant ratings of current and childhood symptoms, family history of ADHD, and performance on a continuous performance test had high classification accuracy and appeared to be the most efficient in diagnosing ADHD among adults. Future work should incorporate performance and validity assessments as well as determine the utility of this battery in predicting ADHD diagnosis and related impairments across the spectrum of ADHD symptom severity.</w:t>
      </w:r>
    </w:p>
    <w:p w14:paraId="5A5C98FD" w14:textId="3A285E8B" w:rsidR="00E42001" w:rsidRDefault="00E42001" w:rsidP="00E42001">
      <w:pPr>
        <w:pStyle w:val="Heading1"/>
      </w:pPr>
      <w:r>
        <w:lastRenderedPageBreak/>
        <w:t>References</w:t>
      </w:r>
    </w:p>
    <w:p w14:paraId="0FBD624F" w14:textId="77777777" w:rsidR="00B13E09" w:rsidRPr="00B13E09" w:rsidRDefault="00B13E09" w:rsidP="00B13E09">
      <w:pPr>
        <w:pStyle w:val="NoSpacing"/>
        <w:ind w:left="720" w:hanging="720"/>
      </w:pPr>
      <w:proofErr w:type="spellStart"/>
      <w:r w:rsidRPr="00B13E09">
        <w:t>Advokat</w:t>
      </w:r>
      <w:proofErr w:type="spellEnd"/>
      <w:r w:rsidRPr="00B13E09">
        <w:t xml:space="preserve">, C., Lane, S. M., &amp; Luo, C. (2011). College students with and without ADHD: Comparison of self-report of medication usage, study habits, and academic achievement. </w:t>
      </w:r>
      <w:r w:rsidRPr="00B13E09">
        <w:rPr>
          <w:i/>
          <w:iCs/>
        </w:rPr>
        <w:t>Journal of Attention Disorders</w:t>
      </w:r>
      <w:r w:rsidRPr="00B13E09">
        <w:t xml:space="preserve">, </w:t>
      </w:r>
      <w:r w:rsidRPr="00B13E09">
        <w:rPr>
          <w:i/>
          <w:iCs/>
        </w:rPr>
        <w:t>15</w:t>
      </w:r>
      <w:r w:rsidRPr="00B13E09">
        <w:t>, 656–666. 10.1177/1087054710371168</w:t>
      </w:r>
    </w:p>
    <w:p w14:paraId="6F71315C" w14:textId="77777777" w:rsidR="00B13E09" w:rsidRPr="00B13E09" w:rsidRDefault="00B13E09" w:rsidP="00B13E09">
      <w:pPr>
        <w:pStyle w:val="NoSpacing"/>
        <w:ind w:left="720" w:hanging="720"/>
      </w:pPr>
      <w:r w:rsidRPr="00B13E09">
        <w:t>Agnew-</w:t>
      </w:r>
      <w:proofErr w:type="spellStart"/>
      <w:r w:rsidRPr="00B13E09">
        <w:t>Blais</w:t>
      </w:r>
      <w:proofErr w:type="spellEnd"/>
      <w:r w:rsidRPr="00B13E09">
        <w:t xml:space="preserve">, J. C., </w:t>
      </w:r>
      <w:proofErr w:type="spellStart"/>
      <w:r w:rsidRPr="00B13E09">
        <w:t>Polanczyk</w:t>
      </w:r>
      <w:proofErr w:type="spellEnd"/>
      <w:r w:rsidRPr="00B13E09">
        <w:t xml:space="preserve">, G. V., </w:t>
      </w:r>
      <w:proofErr w:type="spellStart"/>
      <w:r w:rsidRPr="00B13E09">
        <w:t>Danese</w:t>
      </w:r>
      <w:proofErr w:type="spellEnd"/>
      <w:r w:rsidRPr="00B13E09">
        <w:t xml:space="preserve">, A., Wertz, J., Moffitt, T. E., &amp; Arseneault, L. (2016). Evaluation of the persistence, remission, and emergence of attention-deficit/hyperactivity disorder in young adulthood. </w:t>
      </w:r>
      <w:r w:rsidRPr="00B13E09">
        <w:rPr>
          <w:i/>
          <w:iCs/>
        </w:rPr>
        <w:t>Journal of the American Medical Association Psychiatry</w:t>
      </w:r>
      <w:r w:rsidRPr="00B13E09">
        <w:t xml:space="preserve">, </w:t>
      </w:r>
      <w:r w:rsidRPr="00B13E09">
        <w:rPr>
          <w:i/>
          <w:iCs/>
        </w:rPr>
        <w:t>73</w:t>
      </w:r>
      <w:r w:rsidRPr="00B13E09">
        <w:t>, 713–720. 10.1001/jamapsychiatry.2016.0465</w:t>
      </w:r>
    </w:p>
    <w:p w14:paraId="647F8D42" w14:textId="77777777" w:rsidR="00B13E09" w:rsidRPr="00B13E09" w:rsidRDefault="00B13E09" w:rsidP="00B13E09">
      <w:pPr>
        <w:pStyle w:val="NoSpacing"/>
        <w:ind w:left="720" w:hanging="720"/>
      </w:pPr>
      <w:r w:rsidRPr="00B13E09">
        <w:t xml:space="preserve">Alderson, R. M., Kasper, L. J., </w:t>
      </w:r>
      <w:proofErr w:type="spellStart"/>
      <w:r w:rsidRPr="00B13E09">
        <w:t>Hudec</w:t>
      </w:r>
      <w:proofErr w:type="spellEnd"/>
      <w:r w:rsidRPr="00B13E09">
        <w:t xml:space="preserve">, K. L., &amp; </w:t>
      </w:r>
      <w:proofErr w:type="spellStart"/>
      <w:r w:rsidRPr="00B13E09">
        <w:t>Patros</w:t>
      </w:r>
      <w:proofErr w:type="spellEnd"/>
      <w:r w:rsidRPr="00B13E09">
        <w:t xml:space="preserve">, C. H. G. (2013). Attention-deficit/hyperactivity disorder (ADHD) and working memory in adults: A meta-analytic review. </w:t>
      </w:r>
      <w:r w:rsidRPr="00B13E09">
        <w:rPr>
          <w:i/>
          <w:iCs/>
        </w:rPr>
        <w:t>Neuropsychology</w:t>
      </w:r>
      <w:r w:rsidRPr="00B13E09">
        <w:t xml:space="preserve">, </w:t>
      </w:r>
      <w:r w:rsidRPr="00B13E09">
        <w:rPr>
          <w:i/>
          <w:iCs/>
        </w:rPr>
        <w:t>27</w:t>
      </w:r>
      <w:r w:rsidRPr="00B13E09">
        <w:t>, 287–302. 10.1037/a0032371</w:t>
      </w:r>
    </w:p>
    <w:p w14:paraId="0C5AFA1E" w14:textId="77777777" w:rsidR="00B13E09" w:rsidRPr="00B13E09" w:rsidRDefault="00B13E09" w:rsidP="00B13E09">
      <w:pPr>
        <w:pStyle w:val="NoSpacing"/>
        <w:ind w:left="720" w:hanging="720"/>
      </w:pPr>
      <w:r w:rsidRPr="00B13E09">
        <w:t xml:space="preserve">American Psychiatric Association. (2013). </w:t>
      </w:r>
      <w:r w:rsidRPr="00B13E09">
        <w:rPr>
          <w:i/>
          <w:iCs/>
        </w:rPr>
        <w:t>Diagnostic and statistical manual of mental disorders</w:t>
      </w:r>
      <w:r w:rsidRPr="00B13E09">
        <w:t xml:space="preserve"> (5th ed.). Arlington, VA: Author.</w:t>
      </w:r>
    </w:p>
    <w:p w14:paraId="1939FBE9" w14:textId="77777777" w:rsidR="00B13E09" w:rsidRPr="00B13E09" w:rsidRDefault="00B13E09" w:rsidP="00B13E09">
      <w:pPr>
        <w:pStyle w:val="NoSpacing"/>
        <w:ind w:left="720" w:hanging="720"/>
      </w:pPr>
      <w:proofErr w:type="spellStart"/>
      <w:r w:rsidRPr="00B13E09">
        <w:t>Arria</w:t>
      </w:r>
      <w:proofErr w:type="spellEnd"/>
      <w:r w:rsidRPr="00B13E09">
        <w:t xml:space="preserve">, A. M., </w:t>
      </w:r>
      <w:proofErr w:type="spellStart"/>
      <w:r w:rsidRPr="00B13E09">
        <w:t>Caldeira</w:t>
      </w:r>
      <w:proofErr w:type="spellEnd"/>
      <w:r w:rsidRPr="00B13E09">
        <w:t xml:space="preserve">, K. M., O’Grady, K. E., Vincent, K. B., Johnson, E. P., &amp; Wish, E. D. (2008). Nonmedical use of prescription stimulants among college students: associations with attention-deficit–hyperactivity disorder and polydrug use. </w:t>
      </w:r>
      <w:r w:rsidRPr="00B13E09">
        <w:rPr>
          <w:i/>
          <w:iCs/>
        </w:rPr>
        <w:t>Pharmacotherapy</w:t>
      </w:r>
      <w:r w:rsidRPr="00B13E09">
        <w:t xml:space="preserve">, </w:t>
      </w:r>
      <w:r w:rsidRPr="00B13E09">
        <w:rPr>
          <w:i/>
          <w:iCs/>
        </w:rPr>
        <w:t>28</w:t>
      </w:r>
      <w:r w:rsidRPr="00B13E09">
        <w:t>, 156–169. 10.1592/phco.28.2.156</w:t>
      </w:r>
    </w:p>
    <w:p w14:paraId="6081D729" w14:textId="77777777" w:rsidR="00B13E09" w:rsidRPr="00B13E09" w:rsidRDefault="00B13E09" w:rsidP="00B13E09">
      <w:pPr>
        <w:pStyle w:val="NoSpacing"/>
        <w:ind w:left="720" w:hanging="720"/>
      </w:pPr>
      <w:proofErr w:type="spellStart"/>
      <w:r w:rsidRPr="00B13E09">
        <w:t>Babikian</w:t>
      </w:r>
      <w:proofErr w:type="spellEnd"/>
      <w:r w:rsidRPr="00B13E09">
        <w:t xml:space="preserve">, T., Boone, K. B., Lu, P., &amp; Arnold, G. (2006). Sensitivity and specificity of various digit span scores in the detection of suspect effort. </w:t>
      </w:r>
      <w:r w:rsidRPr="00B13E09">
        <w:rPr>
          <w:i/>
          <w:iCs/>
        </w:rPr>
        <w:t>The Clinical Neuropsychologist</w:t>
      </w:r>
      <w:r w:rsidRPr="00B13E09">
        <w:t xml:space="preserve">, </w:t>
      </w:r>
      <w:r w:rsidRPr="00B13E09">
        <w:rPr>
          <w:i/>
          <w:iCs/>
        </w:rPr>
        <w:t>20</w:t>
      </w:r>
      <w:r w:rsidRPr="00B13E09">
        <w:t>, 145–159. 10.1080/13854040590947362</w:t>
      </w:r>
    </w:p>
    <w:p w14:paraId="70281E9A" w14:textId="77777777" w:rsidR="00B13E09" w:rsidRPr="00B13E09" w:rsidRDefault="00B13E09" w:rsidP="00B13E09">
      <w:pPr>
        <w:pStyle w:val="NoSpacing"/>
        <w:ind w:left="720" w:hanging="720"/>
      </w:pPr>
      <w:r w:rsidRPr="00B13E09">
        <w:t xml:space="preserve">Barkley, R. A. (2011a). </w:t>
      </w:r>
      <w:r w:rsidRPr="00B13E09">
        <w:rPr>
          <w:i/>
          <w:iCs/>
        </w:rPr>
        <w:t>Barkley Adult ADHD Rating Scale (BAARS-IV)</w:t>
      </w:r>
      <w:r w:rsidRPr="00B13E09">
        <w:t>. New York, NY: Guilford Press.</w:t>
      </w:r>
    </w:p>
    <w:p w14:paraId="4E2AEA90" w14:textId="77777777" w:rsidR="00B13E09" w:rsidRPr="00B13E09" w:rsidRDefault="00B13E09" w:rsidP="00B13E09">
      <w:pPr>
        <w:pStyle w:val="NoSpacing"/>
        <w:ind w:left="720" w:hanging="720"/>
      </w:pPr>
      <w:r w:rsidRPr="00B13E09">
        <w:t xml:space="preserve">Barkley, R. A. (2011b). </w:t>
      </w:r>
      <w:r w:rsidRPr="00B13E09">
        <w:rPr>
          <w:i/>
          <w:iCs/>
        </w:rPr>
        <w:t>Barkley Deficits in Executive Function Scale (BDEFS)</w:t>
      </w:r>
      <w:r w:rsidRPr="00B13E09">
        <w:t>. New York, NY: Guilford Press.</w:t>
      </w:r>
    </w:p>
    <w:p w14:paraId="5F757073" w14:textId="77777777" w:rsidR="00B13E09" w:rsidRPr="00B13E09" w:rsidRDefault="00B13E09" w:rsidP="00B13E09">
      <w:pPr>
        <w:pStyle w:val="NoSpacing"/>
        <w:ind w:left="720" w:hanging="720"/>
      </w:pPr>
      <w:r w:rsidRPr="00B13E09">
        <w:t xml:space="preserve">Barkley, R. A. (2011c). </w:t>
      </w:r>
      <w:r w:rsidRPr="00B13E09">
        <w:rPr>
          <w:i/>
          <w:iCs/>
        </w:rPr>
        <w:t>Barkley Functional Impairment Scale (BFIS)</w:t>
      </w:r>
      <w:r w:rsidRPr="00B13E09">
        <w:t>. New York, NY: Guilford Press.</w:t>
      </w:r>
    </w:p>
    <w:p w14:paraId="3767D953" w14:textId="77777777" w:rsidR="00B13E09" w:rsidRPr="00B13E09" w:rsidRDefault="00B13E09" w:rsidP="00B13E09">
      <w:pPr>
        <w:pStyle w:val="NoSpacing"/>
        <w:ind w:left="720" w:hanging="720"/>
      </w:pPr>
      <w:r w:rsidRPr="00B13E09">
        <w:t xml:space="preserve">Barkley, R. (2015). Emotional dysregulation is a core component of ADHD. In </w:t>
      </w:r>
      <w:proofErr w:type="spellStart"/>
      <w:proofErr w:type="gramStart"/>
      <w:r w:rsidRPr="00B13E09">
        <w:t>R.Barkley</w:t>
      </w:r>
      <w:proofErr w:type="spellEnd"/>
      <w:proofErr w:type="gramEnd"/>
      <w:r w:rsidRPr="00B13E09">
        <w:t xml:space="preserve"> (Ed.), </w:t>
      </w:r>
      <w:r w:rsidRPr="00B13E09">
        <w:rPr>
          <w:i/>
          <w:iCs/>
        </w:rPr>
        <w:t>Attention–deficit hyperactivity disorder: A handbook for diagnosis and treatment</w:t>
      </w:r>
      <w:r w:rsidRPr="00B13E09">
        <w:t xml:space="preserve"> (4th ed., pp. 81–115). New York, NY: Guilford Press.</w:t>
      </w:r>
    </w:p>
    <w:p w14:paraId="26090E0F" w14:textId="77777777" w:rsidR="00B13E09" w:rsidRPr="00B13E09" w:rsidRDefault="00B13E09" w:rsidP="00B13E09">
      <w:pPr>
        <w:pStyle w:val="NoSpacing"/>
        <w:ind w:left="720" w:hanging="720"/>
      </w:pPr>
      <w:r w:rsidRPr="00B13E09">
        <w:t xml:space="preserve">Barkley, R. A., Murphy, K. R., &amp; Fischer, M. (2008). </w:t>
      </w:r>
      <w:r w:rsidRPr="00B13E09">
        <w:rPr>
          <w:i/>
          <w:iCs/>
        </w:rPr>
        <w:t>ADHD in Adults: What the Science Says</w:t>
      </w:r>
      <w:r w:rsidRPr="00B13E09">
        <w:t>. New York, NY: The Guilford Press.</w:t>
      </w:r>
    </w:p>
    <w:p w14:paraId="446D252C" w14:textId="77777777" w:rsidR="00B13E09" w:rsidRPr="00B13E09" w:rsidRDefault="00B13E09" w:rsidP="00B13E09">
      <w:pPr>
        <w:pStyle w:val="NoSpacing"/>
        <w:ind w:left="720" w:hanging="720"/>
      </w:pPr>
      <w:r w:rsidRPr="00B13E09">
        <w:t xml:space="preserve">Beck, A. T., &amp; Steer, R. A. (1993). </w:t>
      </w:r>
      <w:r w:rsidRPr="00B13E09">
        <w:rPr>
          <w:i/>
          <w:iCs/>
        </w:rPr>
        <w:t>Beck Anxiety Inventory manual</w:t>
      </w:r>
      <w:r w:rsidRPr="00B13E09">
        <w:t>. San Antonio, TX: Psychological Corporation.</w:t>
      </w:r>
    </w:p>
    <w:p w14:paraId="2A37ED04" w14:textId="77777777" w:rsidR="00B13E09" w:rsidRPr="00B13E09" w:rsidRDefault="00B13E09" w:rsidP="00B13E09">
      <w:pPr>
        <w:pStyle w:val="NoSpacing"/>
        <w:ind w:left="720" w:hanging="720"/>
      </w:pPr>
      <w:r w:rsidRPr="00B13E09">
        <w:t xml:space="preserve">Beck, A. T., Steer, R. A., &amp; Brown, G. K. (1996). </w:t>
      </w:r>
      <w:r w:rsidRPr="00B13E09">
        <w:rPr>
          <w:i/>
          <w:iCs/>
        </w:rPr>
        <w:t>Manual for the Beck Depression Inventory-II</w:t>
      </w:r>
      <w:r w:rsidRPr="00B13E09">
        <w:t>. San Antonio, TX: Psychological Corporation.</w:t>
      </w:r>
    </w:p>
    <w:p w14:paraId="3E8C78BC" w14:textId="77777777" w:rsidR="00B13E09" w:rsidRPr="00B13E09" w:rsidRDefault="00B13E09" w:rsidP="00B13E09">
      <w:pPr>
        <w:pStyle w:val="NoSpacing"/>
        <w:ind w:left="720" w:hanging="720"/>
      </w:pPr>
      <w:r w:rsidRPr="00B13E09">
        <w:t xml:space="preserve">Bell, A. S. (2011). A critical review of ADHD diagnostic criteria: What to address in the </w:t>
      </w:r>
      <w:r w:rsidRPr="00B13E09">
        <w:rPr>
          <w:i/>
          <w:iCs/>
        </w:rPr>
        <w:t>DSM-V</w:t>
      </w:r>
      <w:r w:rsidRPr="00B13E09">
        <w:t xml:space="preserve">. </w:t>
      </w:r>
      <w:r w:rsidRPr="00B13E09">
        <w:rPr>
          <w:i/>
          <w:iCs/>
        </w:rPr>
        <w:t>Journal of Attention Disorders</w:t>
      </w:r>
      <w:r w:rsidRPr="00B13E09">
        <w:t xml:space="preserve">, </w:t>
      </w:r>
      <w:r w:rsidRPr="00B13E09">
        <w:rPr>
          <w:i/>
          <w:iCs/>
        </w:rPr>
        <w:t>15</w:t>
      </w:r>
      <w:r w:rsidRPr="00B13E09">
        <w:t>, 3–10. 10.1177/1087054710365982</w:t>
      </w:r>
    </w:p>
    <w:p w14:paraId="2E00ACAC" w14:textId="77777777" w:rsidR="00B13E09" w:rsidRPr="00B13E09" w:rsidRDefault="00B13E09" w:rsidP="00B13E09">
      <w:pPr>
        <w:pStyle w:val="NoSpacing"/>
        <w:ind w:left="720" w:hanging="720"/>
      </w:pPr>
      <w:r w:rsidRPr="00B13E09">
        <w:t xml:space="preserve">Bledsoe, J. C., Xiao, D., </w:t>
      </w:r>
      <w:proofErr w:type="spellStart"/>
      <w:r w:rsidRPr="00B13E09">
        <w:t>Chaovalitwongse</w:t>
      </w:r>
      <w:proofErr w:type="spellEnd"/>
      <w:r w:rsidRPr="00B13E09">
        <w:t xml:space="preserve">, A., Mehta, S., Grabowski, T. J., </w:t>
      </w:r>
      <w:proofErr w:type="spellStart"/>
      <w:r w:rsidRPr="00B13E09">
        <w:t>Semrud-Clikeman</w:t>
      </w:r>
      <w:proofErr w:type="spellEnd"/>
      <w:r w:rsidRPr="00B13E09">
        <w:t>, M., . . .</w:t>
      </w:r>
      <w:proofErr w:type="spellStart"/>
      <w:r w:rsidRPr="00B13E09">
        <w:t>Breiger</w:t>
      </w:r>
      <w:proofErr w:type="spellEnd"/>
      <w:r w:rsidRPr="00B13E09">
        <w:t xml:space="preserve">, D. (2016). Diagnostic classification of ADHD versus control. </w:t>
      </w:r>
      <w:r w:rsidRPr="00B13E09">
        <w:rPr>
          <w:i/>
          <w:iCs/>
        </w:rPr>
        <w:t>Journal of Attention Disorders</w:t>
      </w:r>
      <w:r w:rsidRPr="00B13E09">
        <w:t>. Advance online publication. 10.1177/1087054716649666</w:t>
      </w:r>
    </w:p>
    <w:p w14:paraId="6AED1D4C" w14:textId="77777777" w:rsidR="00B13E09" w:rsidRPr="00B13E09" w:rsidRDefault="00B13E09" w:rsidP="00B13E09">
      <w:pPr>
        <w:pStyle w:val="NoSpacing"/>
        <w:ind w:left="720" w:hanging="720"/>
      </w:pPr>
      <w:r w:rsidRPr="00B13E09">
        <w:t xml:space="preserve">Boone, K. B. (2009). The need for continuous and comprehensive sampling of effort/response bias during neuropsychological examinations. </w:t>
      </w:r>
      <w:r w:rsidRPr="00B13E09">
        <w:rPr>
          <w:i/>
          <w:iCs/>
        </w:rPr>
        <w:t>The Clinical Neuropsychologist</w:t>
      </w:r>
      <w:r w:rsidRPr="00B13E09">
        <w:t xml:space="preserve">, </w:t>
      </w:r>
      <w:r w:rsidRPr="00B13E09">
        <w:rPr>
          <w:i/>
          <w:iCs/>
        </w:rPr>
        <w:t>23</w:t>
      </w:r>
      <w:r w:rsidRPr="00B13E09">
        <w:t>, 729–741. 10.1080/13854040802427803</w:t>
      </w:r>
    </w:p>
    <w:p w14:paraId="2589CC25" w14:textId="77777777" w:rsidR="00B13E09" w:rsidRPr="00B13E09" w:rsidRDefault="00B13E09" w:rsidP="00B13E09">
      <w:pPr>
        <w:pStyle w:val="NoSpacing"/>
        <w:ind w:left="720" w:hanging="720"/>
      </w:pPr>
      <w:r w:rsidRPr="00B13E09">
        <w:t xml:space="preserve">Boone, K., Lu, P., &amp; Herzberg, D. (2002a). </w:t>
      </w:r>
      <w:r w:rsidRPr="00B13E09">
        <w:rPr>
          <w:i/>
          <w:iCs/>
        </w:rPr>
        <w:t>The b-test</w:t>
      </w:r>
      <w:r w:rsidRPr="00B13E09">
        <w:t>. Los Angeles, CA: Western Psychological Services.</w:t>
      </w:r>
    </w:p>
    <w:p w14:paraId="326971B2" w14:textId="77777777" w:rsidR="00B13E09" w:rsidRPr="00B13E09" w:rsidRDefault="00B13E09" w:rsidP="00B13E09">
      <w:pPr>
        <w:pStyle w:val="NoSpacing"/>
        <w:ind w:left="720" w:hanging="720"/>
      </w:pPr>
      <w:r w:rsidRPr="00B13E09">
        <w:t xml:space="preserve">Boone, K., Lu, P., &amp; Herzberg, D. (2002b). </w:t>
      </w:r>
      <w:r w:rsidRPr="00B13E09">
        <w:rPr>
          <w:i/>
          <w:iCs/>
        </w:rPr>
        <w:t>The Dot Counting Test</w:t>
      </w:r>
      <w:r w:rsidRPr="00B13E09">
        <w:t>. Los Angeles, CA: Western Psychological Services.</w:t>
      </w:r>
    </w:p>
    <w:p w14:paraId="123B93BB" w14:textId="77777777" w:rsidR="00B13E09" w:rsidRPr="00B13E09" w:rsidRDefault="00B13E09" w:rsidP="00B13E09">
      <w:pPr>
        <w:pStyle w:val="NoSpacing"/>
        <w:ind w:left="720" w:hanging="720"/>
      </w:pPr>
      <w:proofErr w:type="spellStart"/>
      <w:r w:rsidRPr="00B13E09">
        <w:t>Boonstra</w:t>
      </w:r>
      <w:proofErr w:type="spellEnd"/>
      <w:r w:rsidRPr="00B13E09">
        <w:t xml:space="preserve">, A. M., </w:t>
      </w:r>
      <w:proofErr w:type="spellStart"/>
      <w:r w:rsidRPr="00B13E09">
        <w:t>Oosterlaan</w:t>
      </w:r>
      <w:proofErr w:type="spellEnd"/>
      <w:r w:rsidRPr="00B13E09">
        <w:t xml:space="preserve">, J., Sergeant, J. A., &amp; </w:t>
      </w:r>
      <w:proofErr w:type="spellStart"/>
      <w:r w:rsidRPr="00B13E09">
        <w:t>Buitelaar</w:t>
      </w:r>
      <w:proofErr w:type="spellEnd"/>
      <w:r w:rsidRPr="00B13E09">
        <w:t xml:space="preserve">, J. K. (2005). Executive functioning in adult ADHD: A meta-analytic review. </w:t>
      </w:r>
      <w:r w:rsidRPr="00B13E09">
        <w:rPr>
          <w:i/>
          <w:iCs/>
        </w:rPr>
        <w:t>Psychological Medicine</w:t>
      </w:r>
      <w:r w:rsidRPr="00B13E09">
        <w:t xml:space="preserve">, </w:t>
      </w:r>
      <w:r w:rsidRPr="00B13E09">
        <w:rPr>
          <w:i/>
          <w:iCs/>
        </w:rPr>
        <w:t>35</w:t>
      </w:r>
      <w:r w:rsidRPr="00B13E09">
        <w:t>, 1097–1108.</w:t>
      </w:r>
    </w:p>
    <w:p w14:paraId="129F2D26" w14:textId="77777777" w:rsidR="00B13E09" w:rsidRPr="00B13E09" w:rsidRDefault="00B13E09" w:rsidP="00B13E09">
      <w:pPr>
        <w:pStyle w:val="NoSpacing"/>
        <w:ind w:left="720" w:hanging="720"/>
      </w:pPr>
      <w:r w:rsidRPr="00B13E09">
        <w:t xml:space="preserve">Bracken, B., &amp; Boatwright, B. (2005). </w:t>
      </w:r>
      <w:r w:rsidRPr="00B13E09">
        <w:rPr>
          <w:i/>
          <w:iCs/>
        </w:rPr>
        <w:t>CAT-A. Clinical Assessment of Attention Deficit—Adult professional manual</w:t>
      </w:r>
      <w:r w:rsidRPr="00B13E09">
        <w:t xml:space="preserve">. Lutz, FL: </w:t>
      </w:r>
      <w:r w:rsidRPr="00B13E09">
        <w:rPr>
          <w:b/>
          <w:bCs/>
        </w:rPr>
        <w:t>Psychological Assessment</w:t>
      </w:r>
      <w:r w:rsidRPr="00B13E09">
        <w:t xml:space="preserve"> Resources.</w:t>
      </w:r>
    </w:p>
    <w:p w14:paraId="7F93D7D4" w14:textId="77777777" w:rsidR="00B13E09" w:rsidRPr="00B13E09" w:rsidRDefault="00B13E09" w:rsidP="00B13E09">
      <w:pPr>
        <w:pStyle w:val="NoSpacing"/>
        <w:ind w:left="720" w:hanging="720"/>
      </w:pPr>
      <w:r w:rsidRPr="00B13E09">
        <w:t xml:space="preserve">Bush, S. S., Ruff, R. M., </w:t>
      </w:r>
      <w:proofErr w:type="spellStart"/>
      <w:r w:rsidRPr="00B13E09">
        <w:t>Tröster</w:t>
      </w:r>
      <w:proofErr w:type="spellEnd"/>
      <w:r w:rsidRPr="00B13E09">
        <w:t xml:space="preserve">, A. I., Barth, J. T., Koffler, S. P., </w:t>
      </w:r>
      <w:proofErr w:type="spellStart"/>
      <w:r w:rsidRPr="00B13E09">
        <w:t>Pliskin</w:t>
      </w:r>
      <w:proofErr w:type="spellEnd"/>
      <w:r w:rsidRPr="00B13E09">
        <w:t xml:space="preserve">, N. H., . . .Silver, C. H. (2005). Symptom validity assessment: Practice issues and medical necessity NAN policy &amp; planning committee. </w:t>
      </w:r>
      <w:r w:rsidRPr="00B13E09">
        <w:rPr>
          <w:i/>
          <w:iCs/>
        </w:rPr>
        <w:t>Archives of Clinical Neuropsychology</w:t>
      </w:r>
      <w:r w:rsidRPr="00B13E09">
        <w:t xml:space="preserve">, </w:t>
      </w:r>
      <w:r w:rsidRPr="00B13E09">
        <w:rPr>
          <w:i/>
          <w:iCs/>
        </w:rPr>
        <w:t>20</w:t>
      </w:r>
      <w:r w:rsidRPr="00B13E09">
        <w:t>, 419–426. 10.1016/j.acn.2005.02.002</w:t>
      </w:r>
    </w:p>
    <w:p w14:paraId="65CBD5BA" w14:textId="77777777" w:rsidR="00B13E09" w:rsidRPr="00B13E09" w:rsidRDefault="00B13E09" w:rsidP="00B13E09">
      <w:pPr>
        <w:pStyle w:val="NoSpacing"/>
        <w:ind w:left="720" w:hanging="720"/>
      </w:pPr>
      <w:r w:rsidRPr="00B13E09">
        <w:t xml:space="preserve">Delis, D., Kaplan, E., &amp; Kramer, J. H. (2001). </w:t>
      </w:r>
      <w:r w:rsidRPr="00B13E09">
        <w:rPr>
          <w:i/>
          <w:iCs/>
        </w:rPr>
        <w:t>Delis-Kaplan executive function system</w:t>
      </w:r>
      <w:r w:rsidRPr="00B13E09">
        <w:t>. San Antonio, TX: The Psychological Corporation.</w:t>
      </w:r>
    </w:p>
    <w:p w14:paraId="57D32832" w14:textId="77777777" w:rsidR="00B13E09" w:rsidRPr="00B13E09" w:rsidRDefault="00B13E09" w:rsidP="00B13E09">
      <w:pPr>
        <w:pStyle w:val="NoSpacing"/>
        <w:ind w:left="720" w:hanging="720"/>
      </w:pPr>
      <w:r w:rsidRPr="00B13E09">
        <w:lastRenderedPageBreak/>
        <w:t xml:space="preserve">Delis, D., Kramer, J. H., Kaplan, E., &amp; Ober, B. A. (2000). </w:t>
      </w:r>
      <w:r w:rsidRPr="00B13E09">
        <w:rPr>
          <w:i/>
          <w:iCs/>
        </w:rPr>
        <w:t>California Verbal Learning Test</w:t>
      </w:r>
      <w:r w:rsidRPr="00B13E09">
        <w:t xml:space="preserve"> (2nd ed.). San Antonio, TX: The Psychological Corporation, Harcourt Assessment Company.</w:t>
      </w:r>
    </w:p>
    <w:p w14:paraId="5AB9E805" w14:textId="77777777" w:rsidR="00B13E09" w:rsidRPr="00B13E09" w:rsidRDefault="00B13E09" w:rsidP="00B13E09">
      <w:pPr>
        <w:pStyle w:val="NoSpacing"/>
        <w:ind w:left="720" w:hanging="720"/>
      </w:pPr>
      <w:proofErr w:type="spellStart"/>
      <w:r w:rsidRPr="00B13E09">
        <w:t>Diehr</w:t>
      </w:r>
      <w:proofErr w:type="spellEnd"/>
      <w:r w:rsidRPr="00B13E09">
        <w:t xml:space="preserve">, M. C., </w:t>
      </w:r>
      <w:proofErr w:type="spellStart"/>
      <w:r w:rsidRPr="00B13E09">
        <w:t>Cherner</w:t>
      </w:r>
      <w:proofErr w:type="spellEnd"/>
      <w:r w:rsidRPr="00B13E09">
        <w:t xml:space="preserve">, M., Wolfson, T. J., Miller, S. W., Grant, I., Heaton, R. K., &amp; the HIV Neurobehavioral Research Center. (2003). The 50- and 100-item short forms of the Paced Auditory Serial Addition Task (PASAT): Demographically corrected norms and comparisons with the full PASAT in normal and clinical samples. </w:t>
      </w:r>
      <w:r w:rsidRPr="00B13E09">
        <w:rPr>
          <w:i/>
          <w:iCs/>
        </w:rPr>
        <w:t>Journal of Clinical and Experimental Neuropsychology</w:t>
      </w:r>
      <w:r w:rsidRPr="00B13E09">
        <w:t xml:space="preserve">, </w:t>
      </w:r>
      <w:r w:rsidRPr="00B13E09">
        <w:rPr>
          <w:i/>
          <w:iCs/>
        </w:rPr>
        <w:t>25</w:t>
      </w:r>
      <w:r w:rsidRPr="00B13E09">
        <w:t>, 571–585. 10.1076/jcen.25.4.571.13876</w:t>
      </w:r>
    </w:p>
    <w:p w14:paraId="2906EA33" w14:textId="77777777" w:rsidR="00B13E09" w:rsidRPr="00B13E09" w:rsidRDefault="00B13E09" w:rsidP="00B13E09">
      <w:pPr>
        <w:pStyle w:val="NoSpacing"/>
        <w:ind w:left="720" w:hanging="720"/>
      </w:pPr>
      <w:r w:rsidRPr="00B13E09">
        <w:t xml:space="preserve">Doyle, A. E., Biederman, J., Seidman, L. J., Weber, W., &amp; </w:t>
      </w:r>
      <w:proofErr w:type="spellStart"/>
      <w:r w:rsidRPr="00B13E09">
        <w:t>Faraone</w:t>
      </w:r>
      <w:proofErr w:type="spellEnd"/>
      <w:r w:rsidRPr="00B13E09">
        <w:t xml:space="preserve">, S. V. (2000). Diagnostic efficiency of neuropsychological test scores for discriminating boys with and without attention deficit-hyperactivity disorder. </w:t>
      </w:r>
      <w:r w:rsidRPr="00B13E09">
        <w:rPr>
          <w:i/>
          <w:iCs/>
        </w:rPr>
        <w:t>Journal of Consulting and Clinical Psychology</w:t>
      </w:r>
      <w:r w:rsidRPr="00B13E09">
        <w:t xml:space="preserve">, </w:t>
      </w:r>
      <w:r w:rsidRPr="00B13E09">
        <w:rPr>
          <w:i/>
          <w:iCs/>
        </w:rPr>
        <w:t>68</w:t>
      </w:r>
      <w:r w:rsidRPr="00B13E09">
        <w:t>, 477–488. 10.1037/0022-006X.68.3.477</w:t>
      </w:r>
    </w:p>
    <w:p w14:paraId="09536CF7" w14:textId="77777777" w:rsidR="00B13E09" w:rsidRPr="00B13E09" w:rsidRDefault="00B13E09" w:rsidP="00B13E09">
      <w:pPr>
        <w:pStyle w:val="NoSpacing"/>
        <w:ind w:left="720" w:hanging="720"/>
      </w:pPr>
      <w:r w:rsidRPr="00B13E09">
        <w:t xml:space="preserve">Drake, M. B., Riccio, C. A., &amp; Hale, N. S. (2017). Assessment of adult ADHD with college students. </w:t>
      </w:r>
      <w:r w:rsidRPr="00B13E09">
        <w:rPr>
          <w:i/>
          <w:iCs/>
        </w:rPr>
        <w:t>Journal of Attention Disorders</w:t>
      </w:r>
      <w:r w:rsidRPr="00B13E09">
        <w:t>, Advance online publication. 10.1177/1087054717698222</w:t>
      </w:r>
    </w:p>
    <w:p w14:paraId="6087E950" w14:textId="77777777" w:rsidR="00B13E09" w:rsidRPr="00B13E09" w:rsidRDefault="00B13E09" w:rsidP="00B13E09">
      <w:pPr>
        <w:pStyle w:val="NoSpacing"/>
        <w:ind w:left="720" w:hanging="720"/>
      </w:pPr>
      <w:proofErr w:type="spellStart"/>
      <w:r w:rsidRPr="00B13E09">
        <w:t>DuPaul</w:t>
      </w:r>
      <w:proofErr w:type="spellEnd"/>
      <w:r w:rsidRPr="00B13E09">
        <w:t xml:space="preserve">, G. J., </w:t>
      </w:r>
      <w:proofErr w:type="spellStart"/>
      <w:r w:rsidRPr="00B13E09">
        <w:t>Weyandt</w:t>
      </w:r>
      <w:proofErr w:type="spellEnd"/>
      <w:r w:rsidRPr="00B13E09">
        <w:t xml:space="preserve">, L. L., O’Dell, S. M., &amp; Varejao, M. (2009). College students with ADHD: Current status and future directions. </w:t>
      </w:r>
      <w:r w:rsidRPr="00B13E09">
        <w:rPr>
          <w:i/>
          <w:iCs/>
        </w:rPr>
        <w:t>Journal of Attention Disorders</w:t>
      </w:r>
      <w:r w:rsidRPr="00B13E09">
        <w:t xml:space="preserve">, </w:t>
      </w:r>
      <w:r w:rsidRPr="00B13E09">
        <w:rPr>
          <w:i/>
          <w:iCs/>
        </w:rPr>
        <w:t>13</w:t>
      </w:r>
      <w:r w:rsidRPr="00B13E09">
        <w:t>, 234–250. 10.1177/1087054709340650</w:t>
      </w:r>
    </w:p>
    <w:p w14:paraId="590E9AFF" w14:textId="77777777" w:rsidR="00B13E09" w:rsidRPr="00B13E09" w:rsidRDefault="00B13E09" w:rsidP="00B13E09">
      <w:pPr>
        <w:pStyle w:val="NoSpacing"/>
        <w:ind w:left="720" w:hanging="720"/>
      </w:pPr>
      <w:proofErr w:type="spellStart"/>
      <w:r w:rsidRPr="00B13E09">
        <w:t>Dvorsky</w:t>
      </w:r>
      <w:proofErr w:type="spellEnd"/>
      <w:r w:rsidRPr="00B13E09">
        <w:t xml:space="preserve">, M. R., Langberg, J. M., Molitor, S. J., &amp; </w:t>
      </w:r>
      <w:proofErr w:type="spellStart"/>
      <w:r w:rsidRPr="00B13E09">
        <w:t>Bourchtein</w:t>
      </w:r>
      <w:proofErr w:type="spellEnd"/>
      <w:r w:rsidRPr="00B13E09">
        <w:t xml:space="preserve">, E. (2016). Clinical utility and predictive validity of parent and college student symptom ratings in predicting an ADHD diagnosis. </w:t>
      </w:r>
      <w:r w:rsidRPr="00B13E09">
        <w:rPr>
          <w:i/>
          <w:iCs/>
        </w:rPr>
        <w:t>Journal of Clinical Psychology</w:t>
      </w:r>
      <w:r w:rsidRPr="00B13E09">
        <w:t xml:space="preserve">, </w:t>
      </w:r>
      <w:r w:rsidRPr="00B13E09">
        <w:rPr>
          <w:i/>
          <w:iCs/>
        </w:rPr>
        <w:t>72</w:t>
      </w:r>
      <w:r w:rsidRPr="00B13E09">
        <w:t>, 401–418. 10.1002/jclp.22268</w:t>
      </w:r>
    </w:p>
    <w:p w14:paraId="205D08EC" w14:textId="77777777" w:rsidR="00B13E09" w:rsidRPr="00B13E09" w:rsidRDefault="00B13E09" w:rsidP="00B13E09">
      <w:pPr>
        <w:pStyle w:val="NoSpacing"/>
        <w:ind w:left="720" w:hanging="720"/>
      </w:pPr>
      <w:r w:rsidRPr="00B13E09">
        <w:t xml:space="preserve">Epstein, J. N., Kelleher, K. J., Baum, R., Brinkman, W. B., </w:t>
      </w:r>
      <w:proofErr w:type="spellStart"/>
      <w:r w:rsidRPr="00B13E09">
        <w:t>Peugh</w:t>
      </w:r>
      <w:proofErr w:type="spellEnd"/>
      <w:r w:rsidRPr="00B13E09">
        <w:t xml:space="preserve">, J., Gardner, W., . . .Langberg, J. (2014). Variability in ADHD care in community-based pediatrics. </w:t>
      </w:r>
      <w:r w:rsidRPr="00B13E09">
        <w:rPr>
          <w:i/>
          <w:iCs/>
        </w:rPr>
        <w:t>Pediatrics</w:t>
      </w:r>
      <w:r w:rsidRPr="00B13E09">
        <w:t xml:space="preserve">, </w:t>
      </w:r>
      <w:r w:rsidRPr="00B13E09">
        <w:rPr>
          <w:i/>
          <w:iCs/>
        </w:rPr>
        <w:t>134</w:t>
      </w:r>
      <w:r w:rsidRPr="00B13E09">
        <w:t>, 1136–1143. 10.1542/peds.2014-1500</w:t>
      </w:r>
    </w:p>
    <w:p w14:paraId="2C2C08DF" w14:textId="77777777" w:rsidR="00B13E09" w:rsidRPr="00B13E09" w:rsidRDefault="00B13E09" w:rsidP="00B13E09">
      <w:pPr>
        <w:pStyle w:val="NoSpacing"/>
        <w:ind w:left="720" w:hanging="720"/>
      </w:pPr>
      <w:r w:rsidRPr="00B13E09">
        <w:t xml:space="preserve">Fair, D. A., </w:t>
      </w:r>
      <w:proofErr w:type="spellStart"/>
      <w:r w:rsidRPr="00B13E09">
        <w:t>Bathula</w:t>
      </w:r>
      <w:proofErr w:type="spellEnd"/>
      <w:r w:rsidRPr="00B13E09">
        <w:t xml:space="preserve">, D., Nikolas, M. A., &amp; </w:t>
      </w:r>
      <w:proofErr w:type="spellStart"/>
      <w:r w:rsidRPr="00B13E09">
        <w:t>Nigg</w:t>
      </w:r>
      <w:proofErr w:type="spellEnd"/>
      <w:r w:rsidRPr="00B13E09">
        <w:t xml:space="preserve">, J. T. (2012). Distinct neuropsychological subgroups in typically developing youth inform heterogeneity in children with ADHD. </w:t>
      </w:r>
      <w:r w:rsidRPr="00B13E09">
        <w:rPr>
          <w:i/>
          <w:iCs/>
        </w:rPr>
        <w:t>Proceedings of the National Academy of Sciences of the United States of America</w:t>
      </w:r>
      <w:r w:rsidRPr="00B13E09">
        <w:t xml:space="preserve">, </w:t>
      </w:r>
      <w:r w:rsidRPr="00B13E09">
        <w:rPr>
          <w:i/>
          <w:iCs/>
        </w:rPr>
        <w:t>109</w:t>
      </w:r>
      <w:r w:rsidRPr="00B13E09">
        <w:t>, 6769–6774. 10.1073/pnas.1115365109</w:t>
      </w:r>
    </w:p>
    <w:p w14:paraId="305D2343" w14:textId="77777777" w:rsidR="00B13E09" w:rsidRPr="00B13E09" w:rsidRDefault="00B13E09" w:rsidP="00B13E09">
      <w:pPr>
        <w:pStyle w:val="NoSpacing"/>
        <w:ind w:left="720" w:hanging="720"/>
      </w:pPr>
      <w:r w:rsidRPr="00B13E09">
        <w:t xml:space="preserve">Frazier, T. W., </w:t>
      </w:r>
      <w:proofErr w:type="spellStart"/>
      <w:r w:rsidRPr="00B13E09">
        <w:t>Demaree</w:t>
      </w:r>
      <w:proofErr w:type="spellEnd"/>
      <w:r w:rsidRPr="00B13E09">
        <w:t xml:space="preserve">, H. A., &amp; </w:t>
      </w:r>
      <w:proofErr w:type="spellStart"/>
      <w:r w:rsidRPr="00B13E09">
        <w:t>Youngstrom</w:t>
      </w:r>
      <w:proofErr w:type="spellEnd"/>
      <w:r w:rsidRPr="00B13E09">
        <w:t xml:space="preserve">, E. A. (2004). Meta-analysis of intellectual and neuropsychological test performance in attention-deficit/hyperactivity disorder. </w:t>
      </w:r>
      <w:r w:rsidRPr="00B13E09">
        <w:rPr>
          <w:i/>
          <w:iCs/>
        </w:rPr>
        <w:t>Neuropsychology</w:t>
      </w:r>
      <w:r w:rsidRPr="00B13E09">
        <w:t xml:space="preserve">, </w:t>
      </w:r>
      <w:r w:rsidRPr="00B13E09">
        <w:rPr>
          <w:i/>
          <w:iCs/>
        </w:rPr>
        <w:t>18</w:t>
      </w:r>
      <w:r w:rsidRPr="00B13E09">
        <w:t>, 543–555. 10.1037/0894-4105.18.3.543</w:t>
      </w:r>
    </w:p>
    <w:p w14:paraId="001E896D" w14:textId="77777777" w:rsidR="00B13E09" w:rsidRPr="00B13E09" w:rsidRDefault="00B13E09" w:rsidP="00B13E09">
      <w:pPr>
        <w:pStyle w:val="NoSpacing"/>
        <w:ind w:left="720" w:hanging="720"/>
      </w:pPr>
      <w:proofErr w:type="spellStart"/>
      <w:r w:rsidRPr="00B13E09">
        <w:t>Fuermaier</w:t>
      </w:r>
      <w:proofErr w:type="spellEnd"/>
      <w:r w:rsidRPr="00B13E09">
        <w:t xml:space="preserve">, A. B. M., </w:t>
      </w:r>
      <w:proofErr w:type="spellStart"/>
      <w:r w:rsidRPr="00B13E09">
        <w:t>Tucha</w:t>
      </w:r>
      <w:proofErr w:type="spellEnd"/>
      <w:r w:rsidRPr="00B13E09">
        <w:t xml:space="preserve">, O., Koerts, J., Lange, K. W., </w:t>
      </w:r>
      <w:proofErr w:type="spellStart"/>
      <w:r w:rsidRPr="00B13E09">
        <w:t>Weisbrod</w:t>
      </w:r>
      <w:proofErr w:type="spellEnd"/>
      <w:r w:rsidRPr="00B13E09">
        <w:t xml:space="preserve">, M., </w:t>
      </w:r>
      <w:proofErr w:type="spellStart"/>
      <w:r w:rsidRPr="00B13E09">
        <w:t>Aschenbrenner</w:t>
      </w:r>
      <w:proofErr w:type="spellEnd"/>
      <w:r w:rsidRPr="00B13E09">
        <w:t xml:space="preserve">, S., &amp; </w:t>
      </w:r>
      <w:proofErr w:type="spellStart"/>
      <w:r w:rsidRPr="00B13E09">
        <w:t>Tucha</w:t>
      </w:r>
      <w:proofErr w:type="spellEnd"/>
      <w:r w:rsidRPr="00B13E09">
        <w:t xml:space="preserve">, L. (2017). Noncredible cognitive performance at clinical evaluation of adult ADHD: An embedded validity indicator in a visuospatial working memory test. </w:t>
      </w:r>
      <w:r w:rsidRPr="00B13E09">
        <w:rPr>
          <w:b/>
          <w:bCs/>
          <w:i/>
          <w:iCs/>
        </w:rPr>
        <w:t>Psychological Assessment</w:t>
      </w:r>
      <w:r w:rsidRPr="00B13E09">
        <w:t xml:space="preserve">, </w:t>
      </w:r>
      <w:r w:rsidRPr="00B13E09">
        <w:rPr>
          <w:i/>
          <w:iCs/>
        </w:rPr>
        <w:t>29</w:t>
      </w:r>
      <w:r w:rsidRPr="00B13E09">
        <w:t>, 1466–1479. 10.1037/pas0000534</w:t>
      </w:r>
    </w:p>
    <w:p w14:paraId="2E8AC409" w14:textId="77777777" w:rsidR="00B13E09" w:rsidRPr="00B13E09" w:rsidRDefault="00B13E09" w:rsidP="00B13E09">
      <w:pPr>
        <w:pStyle w:val="NoSpacing"/>
        <w:ind w:left="720" w:hanging="720"/>
      </w:pPr>
      <w:r w:rsidRPr="00B13E09">
        <w:t xml:space="preserve">Green, P. (2003). </w:t>
      </w:r>
      <w:r w:rsidRPr="00B13E09">
        <w:rPr>
          <w:i/>
          <w:iCs/>
        </w:rPr>
        <w:t>The Word Memory Test</w:t>
      </w:r>
      <w:r w:rsidRPr="00B13E09">
        <w:t>. Seattle, WA: Green’s.</w:t>
      </w:r>
    </w:p>
    <w:p w14:paraId="1C8F51E8" w14:textId="77777777" w:rsidR="00B13E09" w:rsidRPr="00B13E09" w:rsidRDefault="00B13E09" w:rsidP="00B13E09">
      <w:pPr>
        <w:pStyle w:val="NoSpacing"/>
        <w:ind w:left="720" w:hanging="720"/>
      </w:pPr>
      <w:r w:rsidRPr="00B13E09">
        <w:t xml:space="preserve">Greenberg, L., </w:t>
      </w:r>
      <w:proofErr w:type="spellStart"/>
      <w:r w:rsidRPr="00B13E09">
        <w:t>Kindschi</w:t>
      </w:r>
      <w:proofErr w:type="spellEnd"/>
      <w:r w:rsidRPr="00B13E09">
        <w:t xml:space="preserve">, C., Dupuy, T., &amp; Corman, C. (1996). </w:t>
      </w:r>
      <w:r w:rsidRPr="00B13E09">
        <w:rPr>
          <w:i/>
          <w:iCs/>
        </w:rPr>
        <w:t>Test of Variables of Attention</w:t>
      </w:r>
      <w:r w:rsidRPr="00B13E09">
        <w:t>. Los Alamitos, CA: Universal Attention Disorders.</w:t>
      </w:r>
    </w:p>
    <w:p w14:paraId="414601D4" w14:textId="77777777" w:rsidR="00B13E09" w:rsidRPr="00B13E09" w:rsidRDefault="00B13E09" w:rsidP="00B13E09">
      <w:pPr>
        <w:pStyle w:val="NoSpacing"/>
        <w:ind w:left="720" w:hanging="720"/>
      </w:pPr>
      <w:proofErr w:type="spellStart"/>
      <w:r w:rsidRPr="00B13E09">
        <w:t>Grodzinsky</w:t>
      </w:r>
      <w:proofErr w:type="spellEnd"/>
      <w:r w:rsidRPr="00B13E09">
        <w:t xml:space="preserve">, G. M., &amp; Barkley, R. A. (1999). Predictive power of frontal lobe tests in the diagnosis of attention deficit hyperactivity disorder. </w:t>
      </w:r>
      <w:r w:rsidRPr="00B13E09">
        <w:rPr>
          <w:i/>
          <w:iCs/>
        </w:rPr>
        <w:t>Clinical Neuropsychologist</w:t>
      </w:r>
      <w:r w:rsidRPr="00B13E09">
        <w:t xml:space="preserve">, </w:t>
      </w:r>
      <w:r w:rsidRPr="00B13E09">
        <w:rPr>
          <w:i/>
          <w:iCs/>
        </w:rPr>
        <w:t>13</w:t>
      </w:r>
      <w:r w:rsidRPr="00B13E09">
        <w:t>, 12–21. 10.1076/clin.13.1.12.1983</w:t>
      </w:r>
    </w:p>
    <w:p w14:paraId="35C105F9" w14:textId="77777777" w:rsidR="00B13E09" w:rsidRPr="00B13E09" w:rsidRDefault="00B13E09" w:rsidP="00B13E09">
      <w:pPr>
        <w:pStyle w:val="NoSpacing"/>
        <w:ind w:left="720" w:hanging="720"/>
      </w:pPr>
      <w:proofErr w:type="spellStart"/>
      <w:r w:rsidRPr="00B13E09">
        <w:t>Heilbronner</w:t>
      </w:r>
      <w:proofErr w:type="spellEnd"/>
      <w:r w:rsidRPr="00B13E09">
        <w:t xml:space="preserve">, R. L., Sweet, J. J., Morgan, J. E., Larrabee, G. J., &amp; Millis, S. R., &amp; Conference Participants. (2009). American Academy of Clinical Neuropsychology Consensus Conference Statement on the neuropsychological assessment of effort, response bias, and malingering. </w:t>
      </w:r>
      <w:r w:rsidRPr="00B13E09">
        <w:rPr>
          <w:i/>
          <w:iCs/>
        </w:rPr>
        <w:t>The Clinical Neuropsychologist</w:t>
      </w:r>
      <w:r w:rsidRPr="00B13E09">
        <w:t xml:space="preserve">, </w:t>
      </w:r>
      <w:r w:rsidRPr="00B13E09">
        <w:rPr>
          <w:i/>
          <w:iCs/>
        </w:rPr>
        <w:t>23</w:t>
      </w:r>
      <w:r w:rsidRPr="00B13E09">
        <w:t>, 1093–1129. 10.1080/13854040903155063</w:t>
      </w:r>
    </w:p>
    <w:p w14:paraId="490EE0C5" w14:textId="77777777" w:rsidR="00B13E09" w:rsidRPr="00B13E09" w:rsidRDefault="00B13E09" w:rsidP="00B13E09">
      <w:pPr>
        <w:pStyle w:val="NoSpacing"/>
        <w:ind w:left="720" w:hanging="720"/>
      </w:pPr>
      <w:r w:rsidRPr="00B13E09">
        <w:t xml:space="preserve">Hervey, A. S., Epstein, J. N., &amp; Curry, J. F. (2004). Neuropsychology of adults with attention-deficit/hyperactivity disorder: A meta-analytic review. </w:t>
      </w:r>
      <w:r w:rsidRPr="00B13E09">
        <w:rPr>
          <w:i/>
          <w:iCs/>
        </w:rPr>
        <w:t>Neuropsychology</w:t>
      </w:r>
      <w:r w:rsidRPr="00B13E09">
        <w:t xml:space="preserve">, </w:t>
      </w:r>
      <w:r w:rsidRPr="00B13E09">
        <w:rPr>
          <w:i/>
          <w:iCs/>
        </w:rPr>
        <w:t>18</w:t>
      </w:r>
      <w:r w:rsidRPr="00B13E09">
        <w:t>, 485–503. 10.1037/0894-4105.18.3.485</w:t>
      </w:r>
    </w:p>
    <w:p w14:paraId="5AD1D210" w14:textId="77777777" w:rsidR="00B13E09" w:rsidRPr="00B13E09" w:rsidRDefault="00B13E09" w:rsidP="00B13E09">
      <w:pPr>
        <w:pStyle w:val="NoSpacing"/>
        <w:ind w:left="720" w:hanging="720"/>
      </w:pPr>
      <w:r w:rsidRPr="00B13E09">
        <w:t xml:space="preserve">Hinshaw, S. P., &amp; </w:t>
      </w:r>
      <w:proofErr w:type="spellStart"/>
      <w:r w:rsidRPr="00B13E09">
        <w:t>Sheffler</w:t>
      </w:r>
      <w:proofErr w:type="spellEnd"/>
      <w:r w:rsidRPr="00B13E09">
        <w:t xml:space="preserve">, R. M. (2014). </w:t>
      </w:r>
      <w:r w:rsidRPr="00B13E09">
        <w:rPr>
          <w:i/>
          <w:iCs/>
        </w:rPr>
        <w:t>The ADHD explosion: Myths, medication, money and today’s push for performance</w:t>
      </w:r>
      <w:r w:rsidRPr="00B13E09">
        <w:t>. New York, NY: Oxford University Press.</w:t>
      </w:r>
    </w:p>
    <w:p w14:paraId="3E748A40" w14:textId="77777777" w:rsidR="00B13E09" w:rsidRPr="00B13E09" w:rsidRDefault="00B13E09" w:rsidP="00B13E09">
      <w:pPr>
        <w:pStyle w:val="NoSpacing"/>
        <w:ind w:left="720" w:hanging="720"/>
      </w:pPr>
      <w:r w:rsidRPr="00B13E09">
        <w:t xml:space="preserve">Jackson, J. N. S., &amp; MacKillop, J. (2016). Attention-deficit/hyperactivity disorder and monetary delay discounting: A meta-analysis of case-control studies. </w:t>
      </w:r>
      <w:r w:rsidRPr="00B13E09">
        <w:rPr>
          <w:i/>
          <w:iCs/>
        </w:rPr>
        <w:t>Biological Psychiatry: Cognitive Neuroscience and Neuroimaging</w:t>
      </w:r>
      <w:r w:rsidRPr="00B13E09">
        <w:t xml:space="preserve">, </w:t>
      </w:r>
      <w:r w:rsidRPr="00B13E09">
        <w:rPr>
          <w:i/>
          <w:iCs/>
        </w:rPr>
        <w:t>1</w:t>
      </w:r>
      <w:r w:rsidRPr="00B13E09">
        <w:t>, 316–325.</w:t>
      </w:r>
    </w:p>
    <w:p w14:paraId="17E89C4F" w14:textId="77777777" w:rsidR="00B13E09" w:rsidRPr="00B13E09" w:rsidRDefault="00B13E09" w:rsidP="00B13E09">
      <w:pPr>
        <w:pStyle w:val="NoSpacing"/>
        <w:ind w:left="720" w:hanging="720"/>
      </w:pPr>
      <w:r w:rsidRPr="00B13E09">
        <w:t xml:space="preserve">Johansen, M. E., Matic, K., &amp; </w:t>
      </w:r>
      <w:proofErr w:type="spellStart"/>
      <w:r w:rsidRPr="00B13E09">
        <w:t>McAlearney</w:t>
      </w:r>
      <w:proofErr w:type="spellEnd"/>
      <w:r w:rsidRPr="00B13E09">
        <w:t xml:space="preserve">, A. S. (2015). Attention deficit hyperactivity disorder medication use among teens and young adults. </w:t>
      </w:r>
      <w:r w:rsidRPr="00B13E09">
        <w:rPr>
          <w:i/>
          <w:iCs/>
        </w:rPr>
        <w:t>Journal of Adolescent Health</w:t>
      </w:r>
      <w:r w:rsidRPr="00B13E09">
        <w:t xml:space="preserve">, </w:t>
      </w:r>
      <w:r w:rsidRPr="00B13E09">
        <w:rPr>
          <w:i/>
          <w:iCs/>
        </w:rPr>
        <w:t>57</w:t>
      </w:r>
      <w:r w:rsidRPr="00B13E09">
        <w:t>, 192–197. 10.1016/j.jadohealth.2015.04.009</w:t>
      </w:r>
    </w:p>
    <w:p w14:paraId="51C13B1F" w14:textId="77777777" w:rsidR="00B13E09" w:rsidRPr="00B13E09" w:rsidRDefault="00B13E09" w:rsidP="00B13E09">
      <w:pPr>
        <w:pStyle w:val="NoSpacing"/>
        <w:ind w:left="720" w:hanging="720"/>
      </w:pPr>
      <w:r w:rsidRPr="00B13E09">
        <w:t xml:space="preserve">Kessler, R. C., Adler, L., Barkley, R., Biederman, J., </w:t>
      </w:r>
      <w:proofErr w:type="spellStart"/>
      <w:r w:rsidRPr="00B13E09">
        <w:t>Conners</w:t>
      </w:r>
      <w:proofErr w:type="spellEnd"/>
      <w:r w:rsidRPr="00B13E09">
        <w:t xml:space="preserve">, C. K., </w:t>
      </w:r>
      <w:proofErr w:type="spellStart"/>
      <w:r w:rsidRPr="00B13E09">
        <w:t>Demler</w:t>
      </w:r>
      <w:proofErr w:type="spellEnd"/>
      <w:r w:rsidRPr="00B13E09">
        <w:t>, O., . . .</w:t>
      </w:r>
      <w:proofErr w:type="spellStart"/>
      <w:r w:rsidRPr="00B13E09">
        <w:t>Zaslavsky</w:t>
      </w:r>
      <w:proofErr w:type="spellEnd"/>
      <w:r w:rsidRPr="00B13E09">
        <w:t xml:space="preserve">, A. M. (2006). The prevalence and correlates of adult ADHD in the United States: Results from the National Comorbidity Survey Replication. </w:t>
      </w:r>
      <w:r w:rsidRPr="00B13E09">
        <w:rPr>
          <w:i/>
          <w:iCs/>
        </w:rPr>
        <w:t>The American Journal of Psychiatry</w:t>
      </w:r>
      <w:r w:rsidRPr="00B13E09">
        <w:t xml:space="preserve">, </w:t>
      </w:r>
      <w:r w:rsidRPr="00B13E09">
        <w:rPr>
          <w:i/>
          <w:iCs/>
        </w:rPr>
        <w:t>163</w:t>
      </w:r>
      <w:r w:rsidRPr="00B13E09">
        <w:t>, 716–723. 10.1176/ajp.2006.163.4.716</w:t>
      </w:r>
    </w:p>
    <w:p w14:paraId="7D05E57B" w14:textId="77777777" w:rsidR="00B13E09" w:rsidRPr="00B13E09" w:rsidRDefault="00B13E09" w:rsidP="00B13E09">
      <w:pPr>
        <w:pStyle w:val="NoSpacing"/>
        <w:ind w:left="720" w:hanging="720"/>
      </w:pPr>
      <w:r w:rsidRPr="00B13E09">
        <w:lastRenderedPageBreak/>
        <w:t xml:space="preserve">Kessler, R. C., Adler, L. A., Barkley, R., Biederman, J., </w:t>
      </w:r>
      <w:proofErr w:type="spellStart"/>
      <w:r w:rsidRPr="00B13E09">
        <w:t>Conners</w:t>
      </w:r>
      <w:proofErr w:type="spellEnd"/>
      <w:r w:rsidRPr="00B13E09">
        <w:t xml:space="preserve">, C. K., </w:t>
      </w:r>
      <w:proofErr w:type="spellStart"/>
      <w:r w:rsidRPr="00B13E09">
        <w:t>Faraone</w:t>
      </w:r>
      <w:proofErr w:type="spellEnd"/>
      <w:r w:rsidRPr="00B13E09">
        <w:t>, S. V., . . .</w:t>
      </w:r>
      <w:proofErr w:type="spellStart"/>
      <w:r w:rsidRPr="00B13E09">
        <w:t>Zaslavsky</w:t>
      </w:r>
      <w:proofErr w:type="spellEnd"/>
      <w:r w:rsidRPr="00B13E09">
        <w:t xml:space="preserve">, A. M. (2005). Patterns and predictors of attention-deficit/hyperactivity disorder persistence into adulthood: Results from the national comorbidity survey replication. </w:t>
      </w:r>
      <w:r w:rsidRPr="00B13E09">
        <w:rPr>
          <w:i/>
          <w:iCs/>
        </w:rPr>
        <w:t>Biological Psychiatry</w:t>
      </w:r>
      <w:r w:rsidRPr="00B13E09">
        <w:t xml:space="preserve">, </w:t>
      </w:r>
      <w:r w:rsidRPr="00B13E09">
        <w:rPr>
          <w:i/>
          <w:iCs/>
        </w:rPr>
        <w:t>57</w:t>
      </w:r>
      <w:r w:rsidRPr="00B13E09">
        <w:t>, 1442–1451. 10.1016/j.biopsych.2005.04.001</w:t>
      </w:r>
    </w:p>
    <w:p w14:paraId="66419BFD" w14:textId="77777777" w:rsidR="00B13E09" w:rsidRPr="00B13E09" w:rsidRDefault="00B13E09" w:rsidP="00B13E09">
      <w:pPr>
        <w:pStyle w:val="NoSpacing"/>
        <w:ind w:left="720" w:hanging="720"/>
      </w:pPr>
      <w:r w:rsidRPr="00B13E09">
        <w:t xml:space="preserve">Kessler, R. C., Green, J. G., Adler, L. A., Barkley, R. A., </w:t>
      </w:r>
      <w:proofErr w:type="spellStart"/>
      <w:r w:rsidRPr="00B13E09">
        <w:t>Chatterji</w:t>
      </w:r>
      <w:proofErr w:type="spellEnd"/>
      <w:r w:rsidRPr="00B13E09">
        <w:t xml:space="preserve">, S., </w:t>
      </w:r>
      <w:proofErr w:type="spellStart"/>
      <w:r w:rsidRPr="00B13E09">
        <w:t>Faraone</w:t>
      </w:r>
      <w:proofErr w:type="spellEnd"/>
      <w:r w:rsidRPr="00B13E09">
        <w:t xml:space="preserve">, S. V., . . .Van Brunt, D. L. (2010). Structure and diagnosis of adult attention-deficit/hyperactivity disorder: Analysis of expanded symptom criteria from the Adult ADHD Clinical Diagnostic Scale. </w:t>
      </w:r>
      <w:r w:rsidRPr="00B13E09">
        <w:rPr>
          <w:i/>
          <w:iCs/>
        </w:rPr>
        <w:t>Archives of General Psychiatry</w:t>
      </w:r>
      <w:r w:rsidRPr="00B13E09">
        <w:t xml:space="preserve">, </w:t>
      </w:r>
      <w:r w:rsidRPr="00B13E09">
        <w:rPr>
          <w:i/>
          <w:iCs/>
        </w:rPr>
        <w:t>67</w:t>
      </w:r>
      <w:r w:rsidRPr="00B13E09">
        <w:t>, 1168–1178. 10.1001/archgenpsychiatry.2010.146</w:t>
      </w:r>
    </w:p>
    <w:p w14:paraId="7E0A1FEF" w14:textId="77777777" w:rsidR="00B13E09" w:rsidRPr="00B13E09" w:rsidRDefault="00B13E09" w:rsidP="00B13E09">
      <w:pPr>
        <w:pStyle w:val="NoSpacing"/>
        <w:ind w:left="720" w:hanging="720"/>
      </w:pPr>
      <w:proofErr w:type="spellStart"/>
      <w:r w:rsidRPr="00B13E09">
        <w:t>Kieling</w:t>
      </w:r>
      <w:proofErr w:type="spellEnd"/>
      <w:r w:rsidRPr="00B13E09">
        <w:t xml:space="preserve">, C., </w:t>
      </w:r>
      <w:proofErr w:type="spellStart"/>
      <w:r w:rsidRPr="00B13E09">
        <w:t>Kieling</w:t>
      </w:r>
      <w:proofErr w:type="spellEnd"/>
      <w:r w:rsidRPr="00B13E09">
        <w:t xml:space="preserve">, R. R., Rohde, L. A., Frick, P. J., Moffitt, T., </w:t>
      </w:r>
      <w:proofErr w:type="spellStart"/>
      <w:r w:rsidRPr="00B13E09">
        <w:t>Nigg</w:t>
      </w:r>
      <w:proofErr w:type="spellEnd"/>
      <w:r w:rsidRPr="00B13E09">
        <w:t xml:space="preserve">, J. T., . . .Castellanos, F. X. (2010). The age at onset of attention deficit hyperactivity disorder. </w:t>
      </w:r>
      <w:r w:rsidRPr="00B13E09">
        <w:rPr>
          <w:i/>
          <w:iCs/>
        </w:rPr>
        <w:t>The American Journal of Psychiatry</w:t>
      </w:r>
      <w:r w:rsidRPr="00B13E09">
        <w:t xml:space="preserve">, </w:t>
      </w:r>
      <w:r w:rsidRPr="00B13E09">
        <w:rPr>
          <w:i/>
          <w:iCs/>
        </w:rPr>
        <w:t>167</w:t>
      </w:r>
      <w:r w:rsidRPr="00B13E09">
        <w:t>, 14–16. 10.1176/appi.ajp.2009.09060796</w:t>
      </w:r>
    </w:p>
    <w:p w14:paraId="65780AA9" w14:textId="77777777" w:rsidR="00B13E09" w:rsidRPr="00B13E09" w:rsidRDefault="00B13E09" w:rsidP="00B13E09">
      <w:pPr>
        <w:pStyle w:val="NoSpacing"/>
        <w:ind w:left="720" w:hanging="720"/>
      </w:pPr>
      <w:proofErr w:type="spellStart"/>
      <w:r w:rsidRPr="00B13E09">
        <w:t>Kooij</w:t>
      </w:r>
      <w:proofErr w:type="spellEnd"/>
      <w:r w:rsidRPr="00B13E09">
        <w:t xml:space="preserve">, S. J. J., </w:t>
      </w:r>
      <w:proofErr w:type="spellStart"/>
      <w:r w:rsidRPr="00B13E09">
        <w:t>Bejerot</w:t>
      </w:r>
      <w:proofErr w:type="spellEnd"/>
      <w:r w:rsidRPr="00B13E09">
        <w:t xml:space="preserve">, S., Blackwell, A., </w:t>
      </w:r>
      <w:proofErr w:type="spellStart"/>
      <w:r w:rsidRPr="00B13E09">
        <w:t>Caci</w:t>
      </w:r>
      <w:proofErr w:type="spellEnd"/>
      <w:r w:rsidRPr="00B13E09">
        <w:t>, H., Casas-</w:t>
      </w:r>
      <w:proofErr w:type="spellStart"/>
      <w:r w:rsidRPr="00B13E09">
        <w:t>Brugué</w:t>
      </w:r>
      <w:proofErr w:type="spellEnd"/>
      <w:r w:rsidRPr="00B13E09">
        <w:t xml:space="preserve">, M., </w:t>
      </w:r>
      <w:proofErr w:type="spellStart"/>
      <w:r w:rsidRPr="00B13E09">
        <w:t>Carpentier</w:t>
      </w:r>
      <w:proofErr w:type="spellEnd"/>
      <w:r w:rsidRPr="00B13E09">
        <w:t>, P. J., . . .</w:t>
      </w:r>
      <w:proofErr w:type="spellStart"/>
      <w:r w:rsidRPr="00B13E09">
        <w:t>Asherson</w:t>
      </w:r>
      <w:proofErr w:type="spellEnd"/>
      <w:r w:rsidRPr="00B13E09">
        <w:t xml:space="preserve">, P. (2010). European consensus statement on diagnosis and treatment of adult ADHD: The European Network Adult ADHD. </w:t>
      </w:r>
      <w:r w:rsidRPr="00B13E09">
        <w:rPr>
          <w:i/>
          <w:iCs/>
        </w:rPr>
        <w:t>BMC Psychiatry</w:t>
      </w:r>
      <w:r w:rsidRPr="00B13E09">
        <w:t xml:space="preserve">, </w:t>
      </w:r>
      <w:r w:rsidRPr="00B13E09">
        <w:rPr>
          <w:i/>
          <w:iCs/>
        </w:rPr>
        <w:t>10</w:t>
      </w:r>
      <w:r w:rsidRPr="00B13E09">
        <w:t>, 67. 10.1186/1471-244X-10-67</w:t>
      </w:r>
    </w:p>
    <w:p w14:paraId="493DD288" w14:textId="77777777" w:rsidR="00B13E09" w:rsidRPr="00B13E09" w:rsidRDefault="00B13E09" w:rsidP="00B13E09">
      <w:pPr>
        <w:pStyle w:val="NoSpacing"/>
        <w:ind w:left="720" w:hanging="720"/>
      </w:pPr>
      <w:r w:rsidRPr="00B13E09">
        <w:t xml:space="preserve">Lovejoy, D. W., Ball, J. D., Keats, M., </w:t>
      </w:r>
      <w:proofErr w:type="spellStart"/>
      <w:r w:rsidRPr="00B13E09">
        <w:t>Stutts</w:t>
      </w:r>
      <w:proofErr w:type="spellEnd"/>
      <w:r w:rsidRPr="00B13E09">
        <w:t xml:space="preserve">, M. L., Spain, E. H., </w:t>
      </w:r>
      <w:proofErr w:type="spellStart"/>
      <w:r w:rsidRPr="00B13E09">
        <w:t>Janda</w:t>
      </w:r>
      <w:proofErr w:type="spellEnd"/>
      <w:r w:rsidRPr="00B13E09">
        <w:t xml:space="preserve">, L., &amp; </w:t>
      </w:r>
      <w:proofErr w:type="spellStart"/>
      <w:r w:rsidRPr="00B13E09">
        <w:t>Janusz</w:t>
      </w:r>
      <w:proofErr w:type="spellEnd"/>
      <w:r w:rsidRPr="00B13E09">
        <w:t xml:space="preserve">, J. (1999). Neuropsychological performance of adults with attention deficit hyperactivity disorder (ADHD): Diagnostic classification estimates for measures of frontal lobe/executive functioning. </w:t>
      </w:r>
      <w:r w:rsidRPr="00B13E09">
        <w:rPr>
          <w:i/>
          <w:iCs/>
        </w:rPr>
        <w:t>Journal of the International Neuropsychological Society</w:t>
      </w:r>
      <w:r w:rsidRPr="00B13E09">
        <w:t xml:space="preserve">, </w:t>
      </w:r>
      <w:r w:rsidRPr="00B13E09">
        <w:rPr>
          <w:i/>
          <w:iCs/>
        </w:rPr>
        <w:t>5</w:t>
      </w:r>
      <w:r w:rsidRPr="00B13E09">
        <w:t>, 222–233. 10.1017/S1355617799533055</w:t>
      </w:r>
    </w:p>
    <w:p w14:paraId="63C27CC7" w14:textId="77777777" w:rsidR="00B13E09" w:rsidRPr="00B13E09" w:rsidRDefault="00B13E09" w:rsidP="00B13E09">
      <w:pPr>
        <w:pStyle w:val="NoSpacing"/>
        <w:ind w:left="720" w:hanging="720"/>
      </w:pPr>
      <w:proofErr w:type="spellStart"/>
      <w:r w:rsidRPr="00B13E09">
        <w:t>Mannuzza</w:t>
      </w:r>
      <w:proofErr w:type="spellEnd"/>
      <w:r w:rsidRPr="00B13E09">
        <w:t xml:space="preserve">, S., Klein, R. G., Klein, D. F., </w:t>
      </w:r>
      <w:proofErr w:type="spellStart"/>
      <w:r w:rsidRPr="00B13E09">
        <w:t>Bessler</w:t>
      </w:r>
      <w:proofErr w:type="spellEnd"/>
      <w:r w:rsidRPr="00B13E09">
        <w:t xml:space="preserve">, A., &amp; </w:t>
      </w:r>
      <w:proofErr w:type="spellStart"/>
      <w:r w:rsidRPr="00B13E09">
        <w:t>Shrout</w:t>
      </w:r>
      <w:proofErr w:type="spellEnd"/>
      <w:r w:rsidRPr="00B13E09">
        <w:t xml:space="preserve">, P. (2002). Accuracy of adult recall of childhood attention deficit hyperactivity disorder. </w:t>
      </w:r>
      <w:r w:rsidRPr="00B13E09">
        <w:rPr>
          <w:i/>
          <w:iCs/>
        </w:rPr>
        <w:t>The American Journal of Psychiatry</w:t>
      </w:r>
      <w:r w:rsidRPr="00B13E09">
        <w:t xml:space="preserve">, </w:t>
      </w:r>
      <w:r w:rsidRPr="00B13E09">
        <w:rPr>
          <w:i/>
          <w:iCs/>
        </w:rPr>
        <w:t>159</w:t>
      </w:r>
      <w:r w:rsidRPr="00B13E09">
        <w:t>, 1882–1888. 10.1176/appi.ajp.159.11.1882</w:t>
      </w:r>
    </w:p>
    <w:p w14:paraId="3739C22C" w14:textId="77777777" w:rsidR="00B13E09" w:rsidRPr="00B13E09" w:rsidRDefault="00B13E09" w:rsidP="00B13E09">
      <w:pPr>
        <w:pStyle w:val="NoSpacing"/>
        <w:ind w:left="720" w:hanging="720"/>
      </w:pPr>
      <w:r w:rsidRPr="00B13E09">
        <w:t xml:space="preserve">Marshall, P. S., </w:t>
      </w:r>
      <w:proofErr w:type="spellStart"/>
      <w:r w:rsidRPr="00B13E09">
        <w:t>Hoelzle</w:t>
      </w:r>
      <w:proofErr w:type="spellEnd"/>
      <w:r w:rsidRPr="00B13E09">
        <w:t xml:space="preserve">, J. B., Heyerdahl, D., &amp; Nelson, N. W. (2016). The impact of failing to identify suspect effort in patients undergoing adult attention-deficit/hyperactivity disorder (ADHD) assessment. </w:t>
      </w:r>
      <w:r w:rsidRPr="00B13E09">
        <w:rPr>
          <w:b/>
          <w:bCs/>
          <w:i/>
          <w:iCs/>
        </w:rPr>
        <w:t>Psychological Assessment</w:t>
      </w:r>
      <w:r w:rsidRPr="00B13E09">
        <w:t xml:space="preserve">, </w:t>
      </w:r>
      <w:r w:rsidRPr="00B13E09">
        <w:rPr>
          <w:i/>
          <w:iCs/>
        </w:rPr>
        <w:t>28</w:t>
      </w:r>
      <w:r w:rsidRPr="00B13E09">
        <w:t>, 1290–1302. 10.1037/pas0000247</w:t>
      </w:r>
    </w:p>
    <w:p w14:paraId="3DDAF0B2" w14:textId="77777777" w:rsidR="00B13E09" w:rsidRPr="00B13E09" w:rsidRDefault="00B13E09" w:rsidP="00B13E09">
      <w:pPr>
        <w:pStyle w:val="NoSpacing"/>
        <w:ind w:left="720" w:hanging="720"/>
      </w:pPr>
      <w:r w:rsidRPr="00B13E09">
        <w:t xml:space="preserve">Marshall, P., Schroeder, R., O’Brien, J., Fischer, R., </w:t>
      </w:r>
      <w:proofErr w:type="spellStart"/>
      <w:r w:rsidRPr="00B13E09">
        <w:t>Ries</w:t>
      </w:r>
      <w:proofErr w:type="spellEnd"/>
      <w:r w:rsidRPr="00B13E09">
        <w:t xml:space="preserve">, A., </w:t>
      </w:r>
      <w:proofErr w:type="spellStart"/>
      <w:r w:rsidRPr="00B13E09">
        <w:t>Blesi</w:t>
      </w:r>
      <w:proofErr w:type="spellEnd"/>
      <w:r w:rsidRPr="00B13E09">
        <w:t xml:space="preserve">, B., &amp; Barker, J. (2010). Effectiveness of symptom validity measures in identifying cognitive and behavioral symptom exaggeration in adult attention deficit hyperactivity disorder. </w:t>
      </w:r>
      <w:r w:rsidRPr="00B13E09">
        <w:rPr>
          <w:i/>
          <w:iCs/>
        </w:rPr>
        <w:t>The Clinical Neuropsychologist</w:t>
      </w:r>
      <w:r w:rsidRPr="00B13E09">
        <w:t xml:space="preserve">, </w:t>
      </w:r>
      <w:r w:rsidRPr="00B13E09">
        <w:rPr>
          <w:i/>
          <w:iCs/>
        </w:rPr>
        <w:t>24</w:t>
      </w:r>
      <w:r w:rsidRPr="00B13E09">
        <w:t>, 1204–1237. 10.1080/13854046.2010.514290</w:t>
      </w:r>
    </w:p>
    <w:p w14:paraId="1350A6EC" w14:textId="77777777" w:rsidR="00B13E09" w:rsidRPr="00B13E09" w:rsidRDefault="00B13E09" w:rsidP="00B13E09">
      <w:pPr>
        <w:pStyle w:val="NoSpacing"/>
        <w:ind w:left="720" w:hanging="720"/>
      </w:pPr>
      <w:r w:rsidRPr="00B13E09">
        <w:t xml:space="preserve">Matte, B., </w:t>
      </w:r>
      <w:proofErr w:type="spellStart"/>
      <w:r w:rsidRPr="00B13E09">
        <w:t>Anselmi</w:t>
      </w:r>
      <w:proofErr w:type="spellEnd"/>
      <w:r w:rsidRPr="00B13E09">
        <w:t xml:space="preserve">, L., </w:t>
      </w:r>
      <w:proofErr w:type="spellStart"/>
      <w:r w:rsidRPr="00B13E09">
        <w:t>Salum</w:t>
      </w:r>
      <w:proofErr w:type="spellEnd"/>
      <w:r w:rsidRPr="00B13E09">
        <w:t xml:space="preserve">, G. A., </w:t>
      </w:r>
      <w:proofErr w:type="spellStart"/>
      <w:r w:rsidRPr="00B13E09">
        <w:t>Kieling</w:t>
      </w:r>
      <w:proofErr w:type="spellEnd"/>
      <w:r w:rsidRPr="00B13E09">
        <w:t xml:space="preserve">, C., Gonçalves, H., Menezes, A., . . .Rohde, L. A. (2015). ADHD in </w:t>
      </w:r>
      <w:r w:rsidRPr="00B13E09">
        <w:rPr>
          <w:i/>
          <w:iCs/>
        </w:rPr>
        <w:t>DSM–5</w:t>
      </w:r>
      <w:r w:rsidRPr="00B13E09">
        <w:t xml:space="preserve">: A field trial in a large, representative sample of 18- to 19-year-old adults. </w:t>
      </w:r>
      <w:r w:rsidRPr="00B13E09">
        <w:rPr>
          <w:i/>
          <w:iCs/>
        </w:rPr>
        <w:t>Psychological Medicine</w:t>
      </w:r>
      <w:r w:rsidRPr="00B13E09">
        <w:t xml:space="preserve">, </w:t>
      </w:r>
      <w:r w:rsidRPr="00B13E09">
        <w:rPr>
          <w:i/>
          <w:iCs/>
        </w:rPr>
        <w:t>45</w:t>
      </w:r>
      <w:r w:rsidRPr="00B13E09">
        <w:t>, 361–373. 10.1017/S0033291714001470</w:t>
      </w:r>
    </w:p>
    <w:p w14:paraId="18205F70" w14:textId="77777777" w:rsidR="00B13E09" w:rsidRPr="00B13E09" w:rsidRDefault="00B13E09" w:rsidP="00B13E09">
      <w:pPr>
        <w:pStyle w:val="NoSpacing"/>
        <w:ind w:left="720" w:hanging="720"/>
      </w:pPr>
      <w:proofErr w:type="spellStart"/>
      <w:r w:rsidRPr="00B13E09">
        <w:t>Milioni</w:t>
      </w:r>
      <w:proofErr w:type="spellEnd"/>
      <w:r w:rsidRPr="00B13E09">
        <w:t xml:space="preserve">, A. L. V., Chaim, T. M., </w:t>
      </w:r>
      <w:proofErr w:type="spellStart"/>
      <w:r w:rsidRPr="00B13E09">
        <w:t>Cavallet</w:t>
      </w:r>
      <w:proofErr w:type="spellEnd"/>
      <w:r w:rsidRPr="00B13E09">
        <w:t xml:space="preserve">, M., de Oliveira, N. M., </w:t>
      </w:r>
      <w:proofErr w:type="spellStart"/>
      <w:r w:rsidRPr="00B13E09">
        <w:t>Annes</w:t>
      </w:r>
      <w:proofErr w:type="spellEnd"/>
      <w:r w:rsidRPr="00B13E09">
        <w:t xml:space="preserve">, M., Dos Santos, B., . . .Cunha, P. J. (2017). High IQ may “mask” the diagnosis of ADHD by compensating for deficits in executive functions in treatment-naïve adults with ADHD. </w:t>
      </w:r>
      <w:r w:rsidRPr="00B13E09">
        <w:rPr>
          <w:i/>
          <w:iCs/>
        </w:rPr>
        <w:t>Journal of Attention Disorders</w:t>
      </w:r>
      <w:r w:rsidRPr="00B13E09">
        <w:t xml:space="preserve">, </w:t>
      </w:r>
      <w:r w:rsidRPr="00B13E09">
        <w:rPr>
          <w:i/>
          <w:iCs/>
        </w:rPr>
        <w:t>21</w:t>
      </w:r>
      <w:r w:rsidRPr="00B13E09">
        <w:t>, 455–464. 10.1177/1087054714554933</w:t>
      </w:r>
    </w:p>
    <w:p w14:paraId="2CFA0BE7" w14:textId="77777777" w:rsidR="00B13E09" w:rsidRPr="00B13E09" w:rsidRDefault="00B13E09" w:rsidP="00B13E09">
      <w:pPr>
        <w:pStyle w:val="NoSpacing"/>
        <w:ind w:left="720" w:hanging="720"/>
      </w:pPr>
      <w:r w:rsidRPr="00B13E09">
        <w:t xml:space="preserve">Moffitt, T. E., </w:t>
      </w:r>
      <w:proofErr w:type="spellStart"/>
      <w:r w:rsidRPr="00B13E09">
        <w:t>Houts</w:t>
      </w:r>
      <w:proofErr w:type="spellEnd"/>
      <w:r w:rsidRPr="00B13E09">
        <w:t xml:space="preserve">, R., </w:t>
      </w:r>
      <w:proofErr w:type="spellStart"/>
      <w:r w:rsidRPr="00B13E09">
        <w:t>Asherson</w:t>
      </w:r>
      <w:proofErr w:type="spellEnd"/>
      <w:r w:rsidRPr="00B13E09">
        <w:t xml:space="preserve">, P., Belsky, D. W., Corcoran, D. L., </w:t>
      </w:r>
      <w:proofErr w:type="spellStart"/>
      <w:r w:rsidRPr="00B13E09">
        <w:t>Hammerle</w:t>
      </w:r>
      <w:proofErr w:type="spellEnd"/>
      <w:r w:rsidRPr="00B13E09">
        <w:t xml:space="preserve">, M., . . .Caspi, A. (2015). Is adult ADHD a childhood-onset neurodevelopmental disorder? Evidence from a four-decade longitudinal cohort study. </w:t>
      </w:r>
      <w:r w:rsidRPr="00B13E09">
        <w:rPr>
          <w:i/>
          <w:iCs/>
        </w:rPr>
        <w:t>The American Journal of Psychiatry</w:t>
      </w:r>
      <w:r w:rsidRPr="00B13E09">
        <w:t xml:space="preserve">, </w:t>
      </w:r>
      <w:r w:rsidRPr="00B13E09">
        <w:rPr>
          <w:i/>
          <w:iCs/>
        </w:rPr>
        <w:t>172</w:t>
      </w:r>
      <w:r w:rsidRPr="00B13E09">
        <w:t>, 967–977. 10.1176/appi.ajp.2015.14101266</w:t>
      </w:r>
    </w:p>
    <w:p w14:paraId="0FA769F3" w14:textId="77777777" w:rsidR="00B13E09" w:rsidRPr="00B13E09" w:rsidRDefault="00B13E09" w:rsidP="00B13E09">
      <w:pPr>
        <w:pStyle w:val="NoSpacing"/>
        <w:ind w:left="720" w:hanging="720"/>
      </w:pPr>
      <w:r w:rsidRPr="00B13E09">
        <w:t xml:space="preserve">Mostert, J. C., </w:t>
      </w:r>
      <w:proofErr w:type="spellStart"/>
      <w:r w:rsidRPr="00B13E09">
        <w:t>Hoogman</w:t>
      </w:r>
      <w:proofErr w:type="spellEnd"/>
      <w:r w:rsidRPr="00B13E09">
        <w:t xml:space="preserve">, M., </w:t>
      </w:r>
      <w:proofErr w:type="spellStart"/>
      <w:r w:rsidRPr="00B13E09">
        <w:t>Onnink</w:t>
      </w:r>
      <w:proofErr w:type="spellEnd"/>
      <w:r w:rsidRPr="00B13E09">
        <w:t xml:space="preserve">, A. M. H., van </w:t>
      </w:r>
      <w:proofErr w:type="spellStart"/>
      <w:r w:rsidRPr="00B13E09">
        <w:t>Rooij</w:t>
      </w:r>
      <w:proofErr w:type="spellEnd"/>
      <w:r w:rsidRPr="00B13E09">
        <w:t xml:space="preserve">, D., von Rhein, D., van </w:t>
      </w:r>
      <w:proofErr w:type="spellStart"/>
      <w:r w:rsidRPr="00B13E09">
        <w:t>Hulzen</w:t>
      </w:r>
      <w:proofErr w:type="spellEnd"/>
      <w:r w:rsidRPr="00B13E09">
        <w:t xml:space="preserve">, K. J. E., . . .Franke, B. (2018). Similar subgroups based on cognitive performance parse heterogeneity in adults with ADHD and healthy controls. </w:t>
      </w:r>
      <w:r w:rsidRPr="00B13E09">
        <w:rPr>
          <w:i/>
          <w:iCs/>
        </w:rPr>
        <w:t>Journal of Attention Disorders</w:t>
      </w:r>
      <w:r w:rsidRPr="00B13E09">
        <w:t xml:space="preserve">, </w:t>
      </w:r>
      <w:r w:rsidRPr="00B13E09">
        <w:rPr>
          <w:i/>
          <w:iCs/>
        </w:rPr>
        <w:t>22</w:t>
      </w:r>
      <w:r w:rsidRPr="00B13E09">
        <w:t>, 281–292. 10.1177/1087054715602332</w:t>
      </w:r>
    </w:p>
    <w:p w14:paraId="24983844" w14:textId="77777777" w:rsidR="00B13E09" w:rsidRPr="00B13E09" w:rsidRDefault="00B13E09" w:rsidP="00B13E09">
      <w:pPr>
        <w:pStyle w:val="NoSpacing"/>
        <w:ind w:left="720" w:hanging="720"/>
      </w:pPr>
      <w:r w:rsidRPr="00B13E09">
        <w:t xml:space="preserve">Mostert, J. C., </w:t>
      </w:r>
      <w:proofErr w:type="spellStart"/>
      <w:r w:rsidRPr="00B13E09">
        <w:t>Onnink</w:t>
      </w:r>
      <w:proofErr w:type="spellEnd"/>
      <w:r w:rsidRPr="00B13E09">
        <w:t xml:space="preserve">, A. M. H., Klein, M., </w:t>
      </w:r>
      <w:proofErr w:type="spellStart"/>
      <w:r w:rsidRPr="00B13E09">
        <w:t>Dammers</w:t>
      </w:r>
      <w:proofErr w:type="spellEnd"/>
      <w:r w:rsidRPr="00B13E09">
        <w:t xml:space="preserve">, J., </w:t>
      </w:r>
      <w:proofErr w:type="spellStart"/>
      <w:r w:rsidRPr="00B13E09">
        <w:t>Harneit</w:t>
      </w:r>
      <w:proofErr w:type="spellEnd"/>
      <w:r w:rsidRPr="00B13E09">
        <w:t xml:space="preserve">, A., </w:t>
      </w:r>
      <w:proofErr w:type="spellStart"/>
      <w:r w:rsidRPr="00B13E09">
        <w:t>Schulten</w:t>
      </w:r>
      <w:proofErr w:type="spellEnd"/>
      <w:r w:rsidRPr="00B13E09">
        <w:t>, T., . . .</w:t>
      </w:r>
      <w:proofErr w:type="spellStart"/>
      <w:r w:rsidRPr="00B13E09">
        <w:t>Hoogman</w:t>
      </w:r>
      <w:proofErr w:type="spellEnd"/>
      <w:r w:rsidRPr="00B13E09">
        <w:t xml:space="preserve">, M. (2015). Cognitive heterogeneity in adult attention deficit/hyperactivity disorder: A systematic analysis of neuropsychological measurements. </w:t>
      </w:r>
      <w:r w:rsidRPr="00B13E09">
        <w:rPr>
          <w:i/>
          <w:iCs/>
        </w:rPr>
        <w:t>European Neuropsychopharmacology</w:t>
      </w:r>
      <w:r w:rsidRPr="00B13E09">
        <w:t xml:space="preserve">, </w:t>
      </w:r>
      <w:r w:rsidRPr="00B13E09">
        <w:rPr>
          <w:i/>
          <w:iCs/>
        </w:rPr>
        <w:t>25</w:t>
      </w:r>
      <w:r w:rsidRPr="00B13E09">
        <w:t>, 2062–2074. 10.1016/j.euroneuro.2015.08.010</w:t>
      </w:r>
    </w:p>
    <w:p w14:paraId="7EB349E3" w14:textId="77777777" w:rsidR="00B13E09" w:rsidRPr="00B13E09" w:rsidRDefault="00B13E09" w:rsidP="00B13E09">
      <w:pPr>
        <w:pStyle w:val="NoSpacing"/>
        <w:ind w:left="720" w:hanging="720"/>
      </w:pPr>
      <w:proofErr w:type="spellStart"/>
      <w:r w:rsidRPr="00B13E09">
        <w:t>Musso</w:t>
      </w:r>
      <w:proofErr w:type="spellEnd"/>
      <w:r w:rsidRPr="00B13E09">
        <w:t xml:space="preserve">, M. W., &amp; </w:t>
      </w:r>
      <w:proofErr w:type="spellStart"/>
      <w:r w:rsidRPr="00B13E09">
        <w:t>Gouvier</w:t>
      </w:r>
      <w:proofErr w:type="spellEnd"/>
      <w:r w:rsidRPr="00B13E09">
        <w:t xml:space="preserve">, W. D. (2014). “Why is this so hard?” A review of detection of malingered ADHD in college students. </w:t>
      </w:r>
      <w:r w:rsidRPr="00B13E09">
        <w:rPr>
          <w:i/>
          <w:iCs/>
        </w:rPr>
        <w:t>Journal of Attention Disorders</w:t>
      </w:r>
      <w:r w:rsidRPr="00B13E09">
        <w:t xml:space="preserve">, </w:t>
      </w:r>
      <w:r w:rsidRPr="00B13E09">
        <w:rPr>
          <w:i/>
          <w:iCs/>
        </w:rPr>
        <w:t>18</w:t>
      </w:r>
      <w:r w:rsidRPr="00B13E09">
        <w:t>, 186–201. 10.1177/1087054712441970</w:t>
      </w:r>
    </w:p>
    <w:p w14:paraId="3F268AB7" w14:textId="77777777" w:rsidR="00B13E09" w:rsidRPr="00B13E09" w:rsidRDefault="00B13E09" w:rsidP="00B13E09">
      <w:pPr>
        <w:pStyle w:val="NoSpacing"/>
        <w:ind w:left="720" w:hanging="720"/>
      </w:pPr>
      <w:r w:rsidRPr="00B13E09">
        <w:t xml:space="preserve">Nelson, J. M., Whipple, B., Lindstrom, W., &amp; </w:t>
      </w:r>
      <w:proofErr w:type="spellStart"/>
      <w:r w:rsidRPr="00B13E09">
        <w:t>Foels</w:t>
      </w:r>
      <w:proofErr w:type="spellEnd"/>
      <w:r w:rsidRPr="00B13E09">
        <w:t xml:space="preserve">, P. A. (2014). How is ADHD assessed and documented? Examination of psychological reports submitted to determine eligibility for postsecondary disability. </w:t>
      </w:r>
      <w:r w:rsidRPr="00B13E09">
        <w:rPr>
          <w:i/>
          <w:iCs/>
        </w:rPr>
        <w:t>Journal of Attention Disorders</w:t>
      </w:r>
      <w:r w:rsidRPr="00B13E09">
        <w:t>. Advance online publication. 10.1177/1087054714561860</w:t>
      </w:r>
    </w:p>
    <w:p w14:paraId="44A4750F" w14:textId="77777777" w:rsidR="00B13E09" w:rsidRPr="00B13E09" w:rsidRDefault="00B13E09" w:rsidP="00B13E09">
      <w:pPr>
        <w:pStyle w:val="NoSpacing"/>
        <w:ind w:left="720" w:hanging="720"/>
      </w:pPr>
      <w:r w:rsidRPr="00B13E09">
        <w:lastRenderedPageBreak/>
        <w:t xml:space="preserve">Nikolas, M. A., &amp; Burt, S. A. (2010). Genetic and environmental influences on ADHD symptom dimensions of inattention and hyperactivity: A meta-analysis. </w:t>
      </w:r>
      <w:r w:rsidRPr="00B13E09">
        <w:rPr>
          <w:i/>
          <w:iCs/>
        </w:rPr>
        <w:t>Journal of Abnormal Psychology</w:t>
      </w:r>
      <w:r w:rsidRPr="00B13E09">
        <w:t xml:space="preserve">, </w:t>
      </w:r>
      <w:r w:rsidRPr="00B13E09">
        <w:rPr>
          <w:i/>
          <w:iCs/>
        </w:rPr>
        <w:t>119</w:t>
      </w:r>
      <w:r w:rsidRPr="00B13E09">
        <w:t>, 1–17. 10.1037/a0018010</w:t>
      </w:r>
    </w:p>
    <w:p w14:paraId="742B8D79" w14:textId="77777777" w:rsidR="00B13E09" w:rsidRPr="00B13E09" w:rsidRDefault="00B13E09" w:rsidP="00B13E09">
      <w:pPr>
        <w:pStyle w:val="NoSpacing"/>
        <w:ind w:left="720" w:hanging="720"/>
      </w:pPr>
      <w:r w:rsidRPr="00B13E09">
        <w:t xml:space="preserve">Paris, J., Bhat, V., &amp; Thombs, B. (2015). Is adult attention-deficit hyperactivity disorder being </w:t>
      </w:r>
      <w:proofErr w:type="spellStart"/>
      <w:proofErr w:type="gramStart"/>
      <w:r w:rsidRPr="00B13E09">
        <w:t>overdiagnosed?</w:t>
      </w:r>
      <w:r w:rsidRPr="00B13E09">
        <w:rPr>
          <w:i/>
          <w:iCs/>
        </w:rPr>
        <w:t>The</w:t>
      </w:r>
      <w:proofErr w:type="spellEnd"/>
      <w:proofErr w:type="gramEnd"/>
      <w:r w:rsidRPr="00B13E09">
        <w:rPr>
          <w:i/>
          <w:iCs/>
        </w:rPr>
        <w:t xml:space="preserve"> Canadian Journal of Psychiatry/La Revue </w:t>
      </w:r>
      <w:proofErr w:type="spellStart"/>
      <w:r w:rsidRPr="00B13E09">
        <w:rPr>
          <w:i/>
          <w:iCs/>
        </w:rPr>
        <w:t>canadienne</w:t>
      </w:r>
      <w:proofErr w:type="spellEnd"/>
      <w:r w:rsidRPr="00B13E09">
        <w:rPr>
          <w:i/>
          <w:iCs/>
        </w:rPr>
        <w:t xml:space="preserve"> de </w:t>
      </w:r>
      <w:proofErr w:type="spellStart"/>
      <w:r w:rsidRPr="00B13E09">
        <w:rPr>
          <w:i/>
          <w:iCs/>
        </w:rPr>
        <w:t>psychiatrie</w:t>
      </w:r>
      <w:proofErr w:type="spellEnd"/>
      <w:r w:rsidRPr="00B13E09">
        <w:t xml:space="preserve">, </w:t>
      </w:r>
      <w:r w:rsidRPr="00B13E09">
        <w:rPr>
          <w:i/>
          <w:iCs/>
        </w:rPr>
        <w:t>60</w:t>
      </w:r>
      <w:r w:rsidRPr="00B13E09">
        <w:t>, 324–328. 10.1177/070674371506000705</w:t>
      </w:r>
    </w:p>
    <w:p w14:paraId="45DF50AB" w14:textId="77777777" w:rsidR="00B13E09" w:rsidRPr="00B13E09" w:rsidRDefault="00B13E09" w:rsidP="00B13E09">
      <w:pPr>
        <w:pStyle w:val="NoSpacing"/>
        <w:ind w:left="720" w:hanging="720"/>
      </w:pPr>
      <w:r w:rsidRPr="00B13E09">
        <w:t xml:space="preserve">Pella, R. D., Hill, B. D., Shelton, J. T., Elliott, E., &amp; </w:t>
      </w:r>
      <w:proofErr w:type="spellStart"/>
      <w:r w:rsidRPr="00B13E09">
        <w:t>Gouvier</w:t>
      </w:r>
      <w:proofErr w:type="spellEnd"/>
      <w:r w:rsidRPr="00B13E09">
        <w:t xml:space="preserve">, W. D. (2012). Evaluation of embedded malingering indices in a non-litigating clinical sample using control, clinical, and derived groups. </w:t>
      </w:r>
      <w:r w:rsidRPr="00B13E09">
        <w:rPr>
          <w:i/>
          <w:iCs/>
        </w:rPr>
        <w:t>Archives of Clinical Neuropsychology</w:t>
      </w:r>
      <w:r w:rsidRPr="00B13E09">
        <w:t xml:space="preserve">, </w:t>
      </w:r>
      <w:r w:rsidRPr="00B13E09">
        <w:rPr>
          <w:i/>
          <w:iCs/>
        </w:rPr>
        <w:t>27</w:t>
      </w:r>
      <w:r w:rsidRPr="00B13E09">
        <w:t>, 45–57. 10.1093/</w:t>
      </w:r>
      <w:proofErr w:type="spellStart"/>
      <w:r w:rsidRPr="00B13E09">
        <w:t>arclin</w:t>
      </w:r>
      <w:proofErr w:type="spellEnd"/>
      <w:r w:rsidRPr="00B13E09">
        <w:t>/acr090</w:t>
      </w:r>
    </w:p>
    <w:p w14:paraId="232697C0" w14:textId="77777777" w:rsidR="00B13E09" w:rsidRPr="00B13E09" w:rsidRDefault="00B13E09" w:rsidP="00B13E09">
      <w:pPr>
        <w:pStyle w:val="NoSpacing"/>
        <w:ind w:left="720" w:hanging="720"/>
      </w:pPr>
      <w:proofErr w:type="spellStart"/>
      <w:r w:rsidRPr="00B13E09">
        <w:t>Perugini</w:t>
      </w:r>
      <w:proofErr w:type="spellEnd"/>
      <w:r w:rsidRPr="00B13E09">
        <w:t xml:space="preserve">, E. M., Harvey, E. A., Lovejoy, D. W., Sandstrom, K., &amp; Webb, A. H. (2000). The predictive power of combined neuropsychological measures for attention-deficit/hyperactivity disorder in children. </w:t>
      </w:r>
      <w:r w:rsidRPr="00B13E09">
        <w:rPr>
          <w:i/>
          <w:iCs/>
        </w:rPr>
        <w:t>Child Neuropsychology</w:t>
      </w:r>
      <w:r w:rsidRPr="00B13E09">
        <w:t xml:space="preserve">, </w:t>
      </w:r>
      <w:r w:rsidRPr="00B13E09">
        <w:rPr>
          <w:i/>
          <w:iCs/>
        </w:rPr>
        <w:t>6</w:t>
      </w:r>
      <w:r w:rsidRPr="00B13E09">
        <w:t>, 101–114. 10.1076/chin.6.2.101.7059</w:t>
      </w:r>
    </w:p>
    <w:p w14:paraId="1A985C3F" w14:textId="77777777" w:rsidR="00B13E09" w:rsidRPr="00B13E09" w:rsidRDefault="00B13E09" w:rsidP="00B13E09">
      <w:pPr>
        <w:pStyle w:val="NoSpacing"/>
        <w:ind w:left="720" w:hanging="720"/>
      </w:pPr>
      <w:proofErr w:type="spellStart"/>
      <w:r w:rsidRPr="00B13E09">
        <w:t>Prevatt</w:t>
      </w:r>
      <w:proofErr w:type="spellEnd"/>
      <w:r w:rsidRPr="00B13E09">
        <w:t xml:space="preserve">, F., </w:t>
      </w:r>
      <w:proofErr w:type="spellStart"/>
      <w:r w:rsidRPr="00B13E09">
        <w:t>Dehili</w:t>
      </w:r>
      <w:proofErr w:type="spellEnd"/>
      <w:r w:rsidRPr="00B13E09">
        <w:t xml:space="preserve">, V., Taylor, N., &amp; Marshall, D. (2015). Anxiety in college students with ADHD: Relationship to cognitive functioning. </w:t>
      </w:r>
      <w:r w:rsidRPr="00B13E09">
        <w:rPr>
          <w:i/>
          <w:iCs/>
        </w:rPr>
        <w:t>Journal of Attention Disorders</w:t>
      </w:r>
      <w:r w:rsidRPr="00B13E09">
        <w:t xml:space="preserve">, </w:t>
      </w:r>
      <w:r w:rsidRPr="00B13E09">
        <w:rPr>
          <w:i/>
          <w:iCs/>
        </w:rPr>
        <w:t>19</w:t>
      </w:r>
      <w:r w:rsidRPr="00B13E09">
        <w:t>, 222–230. 10.1177/1087054712457037</w:t>
      </w:r>
    </w:p>
    <w:p w14:paraId="621798E7" w14:textId="77777777" w:rsidR="00B13E09" w:rsidRPr="00B13E09" w:rsidRDefault="00B13E09" w:rsidP="00B13E09">
      <w:pPr>
        <w:pStyle w:val="NoSpacing"/>
        <w:ind w:left="720" w:hanging="720"/>
      </w:pPr>
      <w:r w:rsidRPr="00B13E09">
        <w:t xml:space="preserve">Ramsey, J. (2015). </w:t>
      </w:r>
      <w:r w:rsidRPr="00B13E09">
        <w:rPr>
          <w:b/>
          <w:bCs/>
        </w:rPr>
        <w:t>Psychological assessment</w:t>
      </w:r>
      <w:r w:rsidRPr="00B13E09">
        <w:t xml:space="preserve"> of adults with ADHD. In </w:t>
      </w:r>
      <w:proofErr w:type="spellStart"/>
      <w:proofErr w:type="gramStart"/>
      <w:r w:rsidRPr="00B13E09">
        <w:t>R.Barkley</w:t>
      </w:r>
      <w:proofErr w:type="spellEnd"/>
      <w:proofErr w:type="gramEnd"/>
      <w:r w:rsidRPr="00B13E09">
        <w:t xml:space="preserve"> (Ed.), </w:t>
      </w:r>
      <w:r w:rsidRPr="00B13E09">
        <w:rPr>
          <w:i/>
          <w:iCs/>
        </w:rPr>
        <w:t>Attention-deficit hyperactivity disorder—A handbook for diagnosis and treatment</w:t>
      </w:r>
      <w:r w:rsidRPr="00B13E09">
        <w:t xml:space="preserve"> (4th ed., pp. 475–500). New York, NY: Guilford Press.</w:t>
      </w:r>
    </w:p>
    <w:p w14:paraId="3E51C2B7" w14:textId="77777777" w:rsidR="00B13E09" w:rsidRPr="00B13E09" w:rsidRDefault="00B13E09" w:rsidP="00B13E09">
      <w:pPr>
        <w:pStyle w:val="NoSpacing"/>
        <w:ind w:left="720" w:hanging="720"/>
      </w:pPr>
      <w:r w:rsidRPr="00B13E09">
        <w:t xml:space="preserve">Rapport, L. J., Van </w:t>
      </w:r>
      <w:proofErr w:type="spellStart"/>
      <w:r w:rsidRPr="00B13E09">
        <w:t>Voorhis</w:t>
      </w:r>
      <w:proofErr w:type="spellEnd"/>
      <w:r w:rsidRPr="00B13E09">
        <w:t xml:space="preserve">, A., </w:t>
      </w:r>
      <w:proofErr w:type="spellStart"/>
      <w:r w:rsidRPr="00B13E09">
        <w:t>Tzelepis</w:t>
      </w:r>
      <w:proofErr w:type="spellEnd"/>
      <w:r w:rsidRPr="00B13E09">
        <w:t xml:space="preserve">, A., &amp; Friedman, S. R. (2001). Executive functioning in adult attention-deficit hyperactivity disorder. </w:t>
      </w:r>
      <w:r w:rsidRPr="00B13E09">
        <w:rPr>
          <w:i/>
          <w:iCs/>
        </w:rPr>
        <w:t>The Clinical Neuropsychologist</w:t>
      </w:r>
      <w:r w:rsidRPr="00B13E09">
        <w:t xml:space="preserve">, </w:t>
      </w:r>
      <w:r w:rsidRPr="00B13E09">
        <w:rPr>
          <w:i/>
          <w:iCs/>
        </w:rPr>
        <w:t>15</w:t>
      </w:r>
      <w:r w:rsidRPr="00B13E09">
        <w:t>, 479–491. 10.1076/clin.15.4.479.1878</w:t>
      </w:r>
    </w:p>
    <w:p w14:paraId="61A7B66D" w14:textId="77777777" w:rsidR="00B13E09" w:rsidRPr="00B13E09" w:rsidRDefault="00B13E09" w:rsidP="00B13E09">
      <w:pPr>
        <w:pStyle w:val="NoSpacing"/>
        <w:ind w:left="720" w:hanging="720"/>
      </w:pPr>
      <w:proofErr w:type="spellStart"/>
      <w:r w:rsidRPr="00B13E09">
        <w:t>Renoux</w:t>
      </w:r>
      <w:proofErr w:type="spellEnd"/>
      <w:r w:rsidRPr="00B13E09">
        <w:t xml:space="preserve">, C., Shin, J.-Y., </w:t>
      </w:r>
      <w:proofErr w:type="spellStart"/>
      <w:r w:rsidRPr="00B13E09">
        <w:t>Dell’Aniello</w:t>
      </w:r>
      <w:proofErr w:type="spellEnd"/>
      <w:r w:rsidRPr="00B13E09">
        <w:t xml:space="preserve">, S., Fergusson, E., &amp; </w:t>
      </w:r>
      <w:proofErr w:type="spellStart"/>
      <w:r w:rsidRPr="00B13E09">
        <w:t>Suissa</w:t>
      </w:r>
      <w:proofErr w:type="spellEnd"/>
      <w:r w:rsidRPr="00B13E09">
        <w:t xml:space="preserve">, S. (2016). Prescribing trends of attention-deficit hyperactivity disorder (ADHD) medications in U. K. primary care, 1995–2015. </w:t>
      </w:r>
      <w:r w:rsidRPr="00B13E09">
        <w:rPr>
          <w:i/>
          <w:iCs/>
        </w:rPr>
        <w:t>British Journal of Clinical Pharmacology</w:t>
      </w:r>
      <w:r w:rsidRPr="00B13E09">
        <w:t xml:space="preserve">, </w:t>
      </w:r>
      <w:r w:rsidRPr="00B13E09">
        <w:rPr>
          <w:i/>
          <w:iCs/>
        </w:rPr>
        <w:t>82</w:t>
      </w:r>
      <w:r w:rsidRPr="00B13E09">
        <w:t>, 858–868. 10.1111/bcp.13000</w:t>
      </w:r>
    </w:p>
    <w:p w14:paraId="7A0E6C87" w14:textId="77777777" w:rsidR="00B13E09" w:rsidRPr="00B13E09" w:rsidRDefault="00B13E09" w:rsidP="00B13E09">
      <w:pPr>
        <w:pStyle w:val="NoSpacing"/>
        <w:ind w:left="720" w:hanging="720"/>
      </w:pPr>
      <w:r w:rsidRPr="00B13E09">
        <w:t xml:space="preserve">Root, J. C., Robbins, R. N., Chang, L., &amp; Van </w:t>
      </w:r>
      <w:proofErr w:type="spellStart"/>
      <w:r w:rsidRPr="00B13E09">
        <w:t>Gorp</w:t>
      </w:r>
      <w:proofErr w:type="spellEnd"/>
      <w:r w:rsidRPr="00B13E09">
        <w:t xml:space="preserve">, W. G. (2006). Detection of inadequate effort on the California Verbal Learning Test-2nd ed.: Forced choice recognition and critical item analysis. </w:t>
      </w:r>
      <w:r w:rsidRPr="00B13E09">
        <w:rPr>
          <w:i/>
          <w:iCs/>
        </w:rPr>
        <w:t>Journal of the International Neuropsychological Society</w:t>
      </w:r>
      <w:r w:rsidRPr="00B13E09">
        <w:t xml:space="preserve">, </w:t>
      </w:r>
      <w:r w:rsidRPr="00B13E09">
        <w:rPr>
          <w:i/>
          <w:iCs/>
        </w:rPr>
        <w:t>12</w:t>
      </w:r>
      <w:r w:rsidRPr="00B13E09">
        <w:t>, 688–696. 10.1017/S1355617706060838</w:t>
      </w:r>
    </w:p>
    <w:p w14:paraId="16667DB1" w14:textId="77777777" w:rsidR="00B13E09" w:rsidRPr="00B13E09" w:rsidRDefault="00B13E09" w:rsidP="00B13E09">
      <w:pPr>
        <w:pStyle w:val="NoSpacing"/>
        <w:ind w:left="720" w:hanging="720"/>
      </w:pPr>
      <w:proofErr w:type="spellStart"/>
      <w:r w:rsidRPr="00B13E09">
        <w:t>Salomone</w:t>
      </w:r>
      <w:proofErr w:type="spellEnd"/>
      <w:r w:rsidRPr="00B13E09">
        <w:t xml:space="preserve">, S., Fleming, G. R., Bramham, J., O’Connell, R. G., &amp; Robertson, I. H. (2016). Neuropsychological deficits in adult ADHD: Evidence for differential attentional impairments, deficient executive functions, and high self-reported functional impairments. </w:t>
      </w:r>
      <w:r w:rsidRPr="00B13E09">
        <w:rPr>
          <w:i/>
          <w:iCs/>
        </w:rPr>
        <w:t>Journal of Attention Disorders</w:t>
      </w:r>
      <w:r w:rsidRPr="00B13E09">
        <w:t>. Advance online publication. 10.1177/1087054715623045</w:t>
      </w:r>
    </w:p>
    <w:p w14:paraId="74F0B282" w14:textId="77777777" w:rsidR="00B13E09" w:rsidRPr="00B13E09" w:rsidRDefault="00B13E09" w:rsidP="00B13E09">
      <w:pPr>
        <w:pStyle w:val="NoSpacing"/>
        <w:ind w:left="720" w:hanging="720"/>
      </w:pPr>
      <w:r w:rsidRPr="00B13E09">
        <w:t xml:space="preserve">Salthouse, T. (1994). The aging of working memory. </w:t>
      </w:r>
      <w:r w:rsidRPr="00B13E09">
        <w:rPr>
          <w:i/>
          <w:iCs/>
        </w:rPr>
        <w:t>Neuropsychology</w:t>
      </w:r>
      <w:r w:rsidRPr="00B13E09">
        <w:t xml:space="preserve">, </w:t>
      </w:r>
      <w:r w:rsidRPr="00B13E09">
        <w:rPr>
          <w:i/>
          <w:iCs/>
        </w:rPr>
        <w:t>8</w:t>
      </w:r>
      <w:r w:rsidRPr="00B13E09">
        <w:t>, 535–543. 10.1037/0894-4105.8.4.535</w:t>
      </w:r>
    </w:p>
    <w:p w14:paraId="50FD22CE" w14:textId="77777777" w:rsidR="00B13E09" w:rsidRPr="00B13E09" w:rsidRDefault="00B13E09" w:rsidP="00B13E09">
      <w:pPr>
        <w:pStyle w:val="NoSpacing"/>
        <w:ind w:left="720" w:hanging="720"/>
      </w:pPr>
      <w:r w:rsidRPr="00B13E09">
        <w:t xml:space="preserve">Schroeder, R. W., &amp; Marshall, P. S. (2010). Validation of the sentence repetition test as a measure of suspect effort. </w:t>
      </w:r>
      <w:r w:rsidRPr="00B13E09">
        <w:rPr>
          <w:i/>
          <w:iCs/>
        </w:rPr>
        <w:t>The Clinical Neuropsychologist</w:t>
      </w:r>
      <w:r w:rsidRPr="00B13E09">
        <w:t xml:space="preserve">, </w:t>
      </w:r>
      <w:r w:rsidRPr="00B13E09">
        <w:rPr>
          <w:i/>
          <w:iCs/>
        </w:rPr>
        <w:t>24</w:t>
      </w:r>
      <w:r w:rsidRPr="00B13E09">
        <w:t>, 326–343. 10.1080/13854040903369441</w:t>
      </w:r>
    </w:p>
    <w:p w14:paraId="1A2D2329" w14:textId="77777777" w:rsidR="00B13E09" w:rsidRPr="00B13E09" w:rsidRDefault="00B13E09" w:rsidP="00B13E09">
      <w:pPr>
        <w:pStyle w:val="NoSpacing"/>
        <w:ind w:left="720" w:hanging="720"/>
      </w:pPr>
      <w:r w:rsidRPr="00B13E09">
        <w:t xml:space="preserve">Sibley, M. H., </w:t>
      </w:r>
      <w:proofErr w:type="spellStart"/>
      <w:r w:rsidRPr="00B13E09">
        <w:t>Coxe</w:t>
      </w:r>
      <w:proofErr w:type="spellEnd"/>
      <w:r w:rsidRPr="00B13E09">
        <w:t xml:space="preserve">, S., &amp; Molina, B. S. G. (2017). Refining diagnostic procedures for adults with symptoms of ADHD. </w:t>
      </w:r>
      <w:r w:rsidRPr="00B13E09">
        <w:rPr>
          <w:i/>
          <w:iCs/>
        </w:rPr>
        <w:t>Assessment</w:t>
      </w:r>
      <w:r w:rsidRPr="00B13E09">
        <w:t xml:space="preserve">, </w:t>
      </w:r>
      <w:r w:rsidRPr="00B13E09">
        <w:rPr>
          <w:i/>
          <w:iCs/>
        </w:rPr>
        <w:t>24</w:t>
      </w:r>
      <w:r w:rsidRPr="00B13E09">
        <w:t>, 290–296. 10.1177/1073191116676890</w:t>
      </w:r>
    </w:p>
    <w:p w14:paraId="50AAAC11" w14:textId="77777777" w:rsidR="00B13E09" w:rsidRPr="00B13E09" w:rsidRDefault="00B13E09" w:rsidP="00B13E09">
      <w:pPr>
        <w:pStyle w:val="NoSpacing"/>
        <w:ind w:left="720" w:hanging="720"/>
      </w:pPr>
      <w:r w:rsidRPr="00B13E09">
        <w:t xml:space="preserve">Slick, D. J., Sherman, E. M., &amp; Iverson, G. L. (1999). Diagnostic criteria for malingered neurocognitive dysfunction: proposed standards for clinical practice and research. </w:t>
      </w:r>
      <w:r w:rsidRPr="00B13E09">
        <w:rPr>
          <w:i/>
          <w:iCs/>
        </w:rPr>
        <w:t>The Clinical Neuropsychologist</w:t>
      </w:r>
      <w:r w:rsidRPr="00B13E09">
        <w:t xml:space="preserve">, </w:t>
      </w:r>
      <w:r w:rsidRPr="00B13E09">
        <w:rPr>
          <w:i/>
          <w:iCs/>
        </w:rPr>
        <w:t>13</w:t>
      </w:r>
      <w:r w:rsidRPr="00B13E09">
        <w:t>, 545–561. 10.1076/1385-4046(199911)13:04;1-</w:t>
      </w:r>
      <w:proofErr w:type="gramStart"/>
      <w:r w:rsidRPr="00B13E09">
        <w:t>Y;FT</w:t>
      </w:r>
      <w:proofErr w:type="gramEnd"/>
      <w:r w:rsidRPr="00B13E09">
        <w:t>545</w:t>
      </w:r>
    </w:p>
    <w:p w14:paraId="3E97EFA7" w14:textId="77777777" w:rsidR="00B13E09" w:rsidRPr="00B13E09" w:rsidRDefault="00B13E09" w:rsidP="00B13E09">
      <w:pPr>
        <w:pStyle w:val="NoSpacing"/>
        <w:ind w:left="720" w:hanging="720"/>
      </w:pPr>
      <w:proofErr w:type="spellStart"/>
      <w:r w:rsidRPr="00B13E09">
        <w:t>Solanto</w:t>
      </w:r>
      <w:proofErr w:type="spellEnd"/>
      <w:r w:rsidRPr="00B13E09">
        <w:t xml:space="preserve">, M. V., Marks, D. J., Wasserstein, J., Mitchell, K., </w:t>
      </w:r>
      <w:proofErr w:type="spellStart"/>
      <w:r w:rsidRPr="00B13E09">
        <w:t>Abikoff</w:t>
      </w:r>
      <w:proofErr w:type="spellEnd"/>
      <w:r w:rsidRPr="00B13E09">
        <w:t xml:space="preserve">, H., </w:t>
      </w:r>
      <w:proofErr w:type="spellStart"/>
      <w:r w:rsidRPr="00B13E09">
        <w:t>Alvir</w:t>
      </w:r>
      <w:proofErr w:type="spellEnd"/>
      <w:r w:rsidRPr="00B13E09">
        <w:t xml:space="preserve">, J. M. J., &amp; </w:t>
      </w:r>
      <w:proofErr w:type="spellStart"/>
      <w:r w:rsidRPr="00B13E09">
        <w:t>Kofman</w:t>
      </w:r>
      <w:proofErr w:type="spellEnd"/>
      <w:r w:rsidRPr="00B13E09">
        <w:t xml:space="preserve">, M. D. (2010). Efficacy of meta-cognitive therapy for adult ADHD. </w:t>
      </w:r>
      <w:r w:rsidRPr="00B13E09">
        <w:rPr>
          <w:i/>
          <w:iCs/>
        </w:rPr>
        <w:t>The American Journal of Psychiatry</w:t>
      </w:r>
      <w:r w:rsidRPr="00B13E09">
        <w:t xml:space="preserve">, </w:t>
      </w:r>
      <w:r w:rsidRPr="00B13E09">
        <w:rPr>
          <w:i/>
          <w:iCs/>
        </w:rPr>
        <w:t>167</w:t>
      </w:r>
      <w:r w:rsidRPr="00B13E09">
        <w:t>, 958–968. 10.1176/appi.ajp.2009.09081123</w:t>
      </w:r>
    </w:p>
    <w:p w14:paraId="65D1AD96" w14:textId="77777777" w:rsidR="00B13E09" w:rsidRPr="00B13E09" w:rsidRDefault="00B13E09" w:rsidP="00B13E09">
      <w:pPr>
        <w:pStyle w:val="NoSpacing"/>
        <w:ind w:left="720" w:hanging="720"/>
      </w:pPr>
      <w:r w:rsidRPr="00B13E09">
        <w:t xml:space="preserve">Spencer, T. J., Biederman, J., &amp; Mick, E. (2007). Attention-deficit/hyperactivity disorder: Diagnosis, lifespan, comorbidities, and neurobiology. </w:t>
      </w:r>
      <w:r w:rsidRPr="00B13E09">
        <w:rPr>
          <w:i/>
          <w:iCs/>
        </w:rPr>
        <w:t>Journal of Pediatric Psychology</w:t>
      </w:r>
      <w:r w:rsidRPr="00B13E09">
        <w:t xml:space="preserve">, </w:t>
      </w:r>
      <w:r w:rsidRPr="00B13E09">
        <w:rPr>
          <w:i/>
          <w:iCs/>
        </w:rPr>
        <w:t>32</w:t>
      </w:r>
      <w:r w:rsidRPr="00B13E09">
        <w:t>, 631–642. 10.1093/</w:t>
      </w:r>
      <w:proofErr w:type="spellStart"/>
      <w:r w:rsidRPr="00B13E09">
        <w:t>jpepsy</w:t>
      </w:r>
      <w:proofErr w:type="spellEnd"/>
      <w:r w:rsidRPr="00B13E09">
        <w:t>/jsm005</w:t>
      </w:r>
    </w:p>
    <w:p w14:paraId="37FD3E1E" w14:textId="77777777" w:rsidR="00B13E09" w:rsidRPr="00B13E09" w:rsidRDefault="00B13E09" w:rsidP="00B13E09">
      <w:pPr>
        <w:pStyle w:val="NoSpacing"/>
        <w:ind w:left="720" w:hanging="720"/>
      </w:pPr>
      <w:r w:rsidRPr="00B13E09">
        <w:t xml:space="preserve">Strauss, E., Sherman, E. M., &amp; </w:t>
      </w:r>
      <w:proofErr w:type="spellStart"/>
      <w:r w:rsidRPr="00B13E09">
        <w:t>Spreen</w:t>
      </w:r>
      <w:proofErr w:type="spellEnd"/>
      <w:r w:rsidRPr="00B13E09">
        <w:t xml:space="preserve">, O. (2006). </w:t>
      </w:r>
      <w:r w:rsidRPr="00B13E09">
        <w:rPr>
          <w:i/>
          <w:iCs/>
        </w:rPr>
        <w:t>A compendium of neuropsychological tests: Administration, norms, and commentary</w:t>
      </w:r>
      <w:r w:rsidRPr="00B13E09">
        <w:t>. New York, NY: Oxford University Press.</w:t>
      </w:r>
    </w:p>
    <w:p w14:paraId="0944CA96" w14:textId="77777777" w:rsidR="00B13E09" w:rsidRPr="00B13E09" w:rsidRDefault="00B13E09" w:rsidP="00B13E09">
      <w:pPr>
        <w:pStyle w:val="NoSpacing"/>
        <w:ind w:left="720" w:hanging="720"/>
      </w:pPr>
      <w:proofErr w:type="spellStart"/>
      <w:r w:rsidRPr="00B13E09">
        <w:t>Tucha</w:t>
      </w:r>
      <w:proofErr w:type="spellEnd"/>
      <w:r w:rsidRPr="00B13E09">
        <w:t xml:space="preserve">, L., </w:t>
      </w:r>
      <w:proofErr w:type="spellStart"/>
      <w:r w:rsidRPr="00B13E09">
        <w:t>Fuermaier</w:t>
      </w:r>
      <w:proofErr w:type="spellEnd"/>
      <w:r w:rsidRPr="00B13E09">
        <w:t xml:space="preserve">, A. B. M., Koerts, J., Groen, Y., &amp; </w:t>
      </w:r>
      <w:proofErr w:type="spellStart"/>
      <w:r w:rsidRPr="00B13E09">
        <w:t>Thome</w:t>
      </w:r>
      <w:proofErr w:type="spellEnd"/>
      <w:r w:rsidRPr="00B13E09">
        <w:t xml:space="preserve">, J. (2015). Detection of feigned attention deficit hyperactivity disorder. </w:t>
      </w:r>
      <w:r w:rsidRPr="00B13E09">
        <w:rPr>
          <w:i/>
          <w:iCs/>
        </w:rPr>
        <w:t>Journal of Neural Transmission</w:t>
      </w:r>
      <w:r w:rsidRPr="00B13E09">
        <w:t xml:space="preserve">, </w:t>
      </w:r>
      <w:r w:rsidRPr="00B13E09">
        <w:rPr>
          <w:i/>
          <w:iCs/>
        </w:rPr>
        <w:t>122</w:t>
      </w:r>
      <w:r w:rsidRPr="00B13E09">
        <w:t>(Suppl. 1), S123–134. 10.1007/s00702-014-1274-3</w:t>
      </w:r>
    </w:p>
    <w:p w14:paraId="2F1C8D1F" w14:textId="77777777" w:rsidR="00B13E09" w:rsidRPr="00B13E09" w:rsidRDefault="00B13E09" w:rsidP="00B13E09">
      <w:pPr>
        <w:pStyle w:val="NoSpacing"/>
        <w:ind w:left="720" w:hanging="720"/>
      </w:pPr>
      <w:r w:rsidRPr="00B13E09">
        <w:t xml:space="preserve">van </w:t>
      </w:r>
      <w:proofErr w:type="spellStart"/>
      <w:r w:rsidRPr="00B13E09">
        <w:t>Lieshout</w:t>
      </w:r>
      <w:proofErr w:type="spellEnd"/>
      <w:r w:rsidRPr="00B13E09">
        <w:t xml:space="preserve">, M., </w:t>
      </w:r>
      <w:proofErr w:type="spellStart"/>
      <w:r w:rsidRPr="00B13E09">
        <w:t>Luman</w:t>
      </w:r>
      <w:proofErr w:type="spellEnd"/>
      <w:r w:rsidRPr="00B13E09">
        <w:t xml:space="preserve">, M., </w:t>
      </w:r>
      <w:proofErr w:type="spellStart"/>
      <w:r w:rsidRPr="00B13E09">
        <w:t>Buitelaar</w:t>
      </w:r>
      <w:proofErr w:type="spellEnd"/>
      <w:r w:rsidRPr="00B13E09">
        <w:t xml:space="preserve">, J., </w:t>
      </w:r>
      <w:proofErr w:type="spellStart"/>
      <w:r w:rsidRPr="00B13E09">
        <w:t>Rommelse</w:t>
      </w:r>
      <w:proofErr w:type="spellEnd"/>
      <w:r w:rsidRPr="00B13E09">
        <w:t xml:space="preserve">, N. N. J., &amp; </w:t>
      </w:r>
      <w:proofErr w:type="spellStart"/>
      <w:r w:rsidRPr="00B13E09">
        <w:t>Oosterlaan</w:t>
      </w:r>
      <w:proofErr w:type="spellEnd"/>
      <w:r w:rsidRPr="00B13E09">
        <w:t xml:space="preserve">, J. (2013). Does neurocognitive functioning predict future or persistence of ADHD? A systematic review. </w:t>
      </w:r>
      <w:r w:rsidRPr="00B13E09">
        <w:rPr>
          <w:i/>
          <w:iCs/>
        </w:rPr>
        <w:t>Clinical Psychology Review</w:t>
      </w:r>
      <w:r w:rsidRPr="00B13E09">
        <w:t xml:space="preserve">, </w:t>
      </w:r>
      <w:r w:rsidRPr="00B13E09">
        <w:rPr>
          <w:i/>
          <w:iCs/>
        </w:rPr>
        <w:t>33</w:t>
      </w:r>
      <w:r w:rsidRPr="00B13E09">
        <w:t>, 539–560. 10.1016/j.cpr.2013.02.003</w:t>
      </w:r>
    </w:p>
    <w:p w14:paraId="755EB3AD" w14:textId="77777777" w:rsidR="00B13E09" w:rsidRPr="00B13E09" w:rsidRDefault="00B13E09" w:rsidP="00B13E09">
      <w:pPr>
        <w:pStyle w:val="NoSpacing"/>
        <w:ind w:left="720" w:hanging="720"/>
      </w:pPr>
      <w:r w:rsidRPr="00B13E09">
        <w:lastRenderedPageBreak/>
        <w:t xml:space="preserve">Visser, S. N., Danielson, M. L., </w:t>
      </w:r>
      <w:proofErr w:type="spellStart"/>
      <w:r w:rsidRPr="00B13E09">
        <w:t>Bitsko</w:t>
      </w:r>
      <w:proofErr w:type="spellEnd"/>
      <w:r w:rsidRPr="00B13E09">
        <w:t xml:space="preserve">, R. H., Holbrook, J. R., Kogan, M. D., </w:t>
      </w:r>
      <w:proofErr w:type="spellStart"/>
      <w:r w:rsidRPr="00B13E09">
        <w:t>Ghandour</w:t>
      </w:r>
      <w:proofErr w:type="spellEnd"/>
      <w:r w:rsidRPr="00B13E09">
        <w:t xml:space="preserve">, R. M., . . .Blumberg, S. J. (2014). Trends in the parent-report of health care provider-diagnosed and medicated attention-deficit/hyperactivity disorder: United States, 2003–2011. </w:t>
      </w:r>
      <w:r w:rsidRPr="00B13E09">
        <w:rPr>
          <w:i/>
          <w:iCs/>
        </w:rPr>
        <w:t>Journal of the American Academy of Child &amp; Adolescent Psychiatry</w:t>
      </w:r>
      <w:r w:rsidRPr="00B13E09">
        <w:t xml:space="preserve">, </w:t>
      </w:r>
      <w:r w:rsidRPr="00B13E09">
        <w:rPr>
          <w:i/>
          <w:iCs/>
        </w:rPr>
        <w:t>53</w:t>
      </w:r>
      <w:r w:rsidRPr="00B13E09">
        <w:t>, 34–</w:t>
      </w:r>
      <w:proofErr w:type="gramStart"/>
      <w:r w:rsidRPr="00B13E09">
        <w:t>46.e</w:t>
      </w:r>
      <w:proofErr w:type="gramEnd"/>
      <w:r w:rsidRPr="00B13E09">
        <w:t>2. 10.1016/j.jaac.2013.09.001</w:t>
      </w:r>
    </w:p>
    <w:p w14:paraId="4D1FF6BF" w14:textId="77777777" w:rsidR="00B13E09" w:rsidRPr="00B13E09" w:rsidRDefault="00B13E09" w:rsidP="00B13E09">
      <w:pPr>
        <w:pStyle w:val="NoSpacing"/>
        <w:ind w:left="720" w:hanging="720"/>
      </w:pPr>
      <w:proofErr w:type="spellStart"/>
      <w:r w:rsidRPr="00B13E09">
        <w:t>Vitola</w:t>
      </w:r>
      <w:proofErr w:type="spellEnd"/>
      <w:r w:rsidRPr="00B13E09">
        <w:t xml:space="preserve">, E. S., </w:t>
      </w:r>
      <w:proofErr w:type="spellStart"/>
      <w:r w:rsidRPr="00B13E09">
        <w:t>Bau</w:t>
      </w:r>
      <w:proofErr w:type="spellEnd"/>
      <w:r w:rsidRPr="00B13E09">
        <w:t xml:space="preserve">, C. H. D., </w:t>
      </w:r>
      <w:proofErr w:type="spellStart"/>
      <w:r w:rsidRPr="00B13E09">
        <w:t>Salum</w:t>
      </w:r>
      <w:proofErr w:type="spellEnd"/>
      <w:r w:rsidRPr="00B13E09">
        <w:t>, G. A., Horta, B. L., Quevedo, L., Barros, F. C., . . .</w:t>
      </w:r>
      <w:proofErr w:type="spellStart"/>
      <w:r w:rsidRPr="00B13E09">
        <w:t>Grevet</w:t>
      </w:r>
      <w:proofErr w:type="spellEnd"/>
      <w:r w:rsidRPr="00B13E09">
        <w:t xml:space="preserve">, E. H. (2017). Exploring </w:t>
      </w:r>
      <w:r w:rsidRPr="00B13E09">
        <w:rPr>
          <w:i/>
          <w:iCs/>
        </w:rPr>
        <w:t>DSM–5</w:t>
      </w:r>
      <w:r w:rsidRPr="00B13E09">
        <w:t xml:space="preserve"> ADHD criteria beyond young adulthood: Phenomenology, psychometric properties and prevalence in a large three-decade birth cohort. </w:t>
      </w:r>
      <w:r w:rsidRPr="00B13E09">
        <w:rPr>
          <w:i/>
          <w:iCs/>
        </w:rPr>
        <w:t>Psychological Medicine</w:t>
      </w:r>
      <w:r w:rsidRPr="00B13E09">
        <w:t xml:space="preserve">, </w:t>
      </w:r>
      <w:r w:rsidRPr="00B13E09">
        <w:rPr>
          <w:i/>
          <w:iCs/>
        </w:rPr>
        <w:t>47</w:t>
      </w:r>
      <w:r w:rsidRPr="00B13E09">
        <w:t>, 744–754. 10.1017/S0033291716002853</w:t>
      </w:r>
    </w:p>
    <w:p w14:paraId="5E49E3D0" w14:textId="77777777" w:rsidR="00B13E09" w:rsidRPr="00B13E09" w:rsidRDefault="00B13E09" w:rsidP="00B13E09">
      <w:pPr>
        <w:pStyle w:val="NoSpacing"/>
        <w:ind w:left="720" w:hanging="720"/>
      </w:pPr>
      <w:r w:rsidRPr="00B13E09">
        <w:t xml:space="preserve">von Rhein, D., Cools, R., Zwiers, M. P., van der Schaaf, M., Franke, B., </w:t>
      </w:r>
      <w:proofErr w:type="spellStart"/>
      <w:r w:rsidRPr="00B13E09">
        <w:t>Luman</w:t>
      </w:r>
      <w:proofErr w:type="spellEnd"/>
      <w:r w:rsidRPr="00B13E09">
        <w:t>, M., . . .</w:t>
      </w:r>
      <w:proofErr w:type="spellStart"/>
      <w:r w:rsidRPr="00B13E09">
        <w:t>Buitelaar</w:t>
      </w:r>
      <w:proofErr w:type="spellEnd"/>
      <w:r w:rsidRPr="00B13E09">
        <w:t xml:space="preserve">, J. (2015). Increased neural responses to reward in adolescents and young adults with attention-deficit/hyperactivity disorder and their unaffected siblings. </w:t>
      </w:r>
      <w:r w:rsidRPr="00B13E09">
        <w:rPr>
          <w:i/>
          <w:iCs/>
        </w:rPr>
        <w:t>Journal of the American Academy of Child &amp; Adolescent Psychiatry</w:t>
      </w:r>
      <w:r w:rsidRPr="00B13E09">
        <w:t xml:space="preserve">, </w:t>
      </w:r>
      <w:r w:rsidRPr="00B13E09">
        <w:rPr>
          <w:i/>
          <w:iCs/>
        </w:rPr>
        <w:t>54</w:t>
      </w:r>
      <w:r w:rsidRPr="00B13E09">
        <w:t>, 394–402. 10.1016/j.jaac.2015.02.012</w:t>
      </w:r>
    </w:p>
    <w:p w14:paraId="53B58804" w14:textId="77777777" w:rsidR="00B13E09" w:rsidRPr="00B13E09" w:rsidRDefault="00B13E09" w:rsidP="00B13E09">
      <w:pPr>
        <w:pStyle w:val="NoSpacing"/>
        <w:ind w:left="720" w:hanging="720"/>
      </w:pPr>
      <w:r w:rsidRPr="00B13E09">
        <w:t xml:space="preserve">Walls, B. D., Wallace, E. R., Brothers, S. L., &amp; Berry, D. T. R. (2017). Utility of the </w:t>
      </w:r>
      <w:proofErr w:type="spellStart"/>
      <w:r w:rsidRPr="00B13E09">
        <w:t>Conners</w:t>
      </w:r>
      <w:proofErr w:type="spellEnd"/>
      <w:r w:rsidRPr="00B13E09">
        <w:t xml:space="preserve">’ Adult ADHD Rating Scale validity scales in identifying simulated attention-deficit hyperactivity disorder and random responding. </w:t>
      </w:r>
      <w:r w:rsidRPr="00B13E09">
        <w:rPr>
          <w:b/>
          <w:bCs/>
          <w:i/>
          <w:iCs/>
        </w:rPr>
        <w:t>Psychological Assessment</w:t>
      </w:r>
      <w:r w:rsidRPr="00B13E09">
        <w:t xml:space="preserve">, </w:t>
      </w:r>
      <w:r w:rsidRPr="00B13E09">
        <w:rPr>
          <w:i/>
          <w:iCs/>
        </w:rPr>
        <w:t>29</w:t>
      </w:r>
      <w:r w:rsidRPr="00B13E09">
        <w:t>, 1437–1446. 10.1037/pas0000530</w:t>
      </w:r>
    </w:p>
    <w:p w14:paraId="762FD90B" w14:textId="77777777" w:rsidR="00B13E09" w:rsidRPr="00B13E09" w:rsidRDefault="00B13E09" w:rsidP="00B13E09">
      <w:pPr>
        <w:pStyle w:val="NoSpacing"/>
        <w:ind w:left="720" w:hanging="720"/>
      </w:pPr>
      <w:r w:rsidRPr="00B13E09">
        <w:t xml:space="preserve">Wechsler, D. (2008a). </w:t>
      </w:r>
      <w:r w:rsidRPr="00B13E09">
        <w:rPr>
          <w:i/>
          <w:iCs/>
        </w:rPr>
        <w:t>Wechsler Adult Intelligence Scale</w:t>
      </w:r>
      <w:r w:rsidRPr="00B13E09">
        <w:t xml:space="preserve"> (4th ed.). San Antonio, TX: The Psychological Corporation.</w:t>
      </w:r>
    </w:p>
    <w:p w14:paraId="24A661CD" w14:textId="77777777" w:rsidR="00B13E09" w:rsidRPr="00B13E09" w:rsidRDefault="00B13E09" w:rsidP="00B13E09">
      <w:pPr>
        <w:pStyle w:val="NoSpacing"/>
        <w:ind w:left="720" w:hanging="720"/>
      </w:pPr>
      <w:r w:rsidRPr="00B13E09">
        <w:t xml:space="preserve">Wechsler, D. (2008b). </w:t>
      </w:r>
      <w:r w:rsidRPr="00B13E09">
        <w:rPr>
          <w:i/>
          <w:iCs/>
        </w:rPr>
        <w:t>Wechsler Memory Scale</w:t>
      </w:r>
      <w:r w:rsidRPr="00B13E09">
        <w:t xml:space="preserve"> (4th ed.). San Antonio, TX: The Psychological Corporation.</w:t>
      </w:r>
    </w:p>
    <w:p w14:paraId="1E02B10B" w14:textId="77777777" w:rsidR="00B13E09" w:rsidRPr="00B13E09" w:rsidRDefault="00B13E09" w:rsidP="00B13E09">
      <w:pPr>
        <w:pStyle w:val="NoSpacing"/>
        <w:ind w:left="720" w:hanging="720"/>
      </w:pPr>
      <w:r w:rsidRPr="00B13E09">
        <w:t xml:space="preserve">Wetterling, F., McCarthy, H., </w:t>
      </w:r>
      <w:proofErr w:type="spellStart"/>
      <w:r w:rsidRPr="00B13E09">
        <w:t>Tozzi</w:t>
      </w:r>
      <w:proofErr w:type="spellEnd"/>
      <w:r w:rsidRPr="00B13E09">
        <w:t xml:space="preserve">, L., </w:t>
      </w:r>
      <w:proofErr w:type="spellStart"/>
      <w:r w:rsidRPr="00B13E09">
        <w:t>Skokauskas</w:t>
      </w:r>
      <w:proofErr w:type="spellEnd"/>
      <w:r w:rsidRPr="00B13E09">
        <w:t xml:space="preserve">, N., </w:t>
      </w:r>
      <w:proofErr w:type="spellStart"/>
      <w:r w:rsidRPr="00B13E09">
        <w:t>O’Doherty</w:t>
      </w:r>
      <w:proofErr w:type="spellEnd"/>
      <w:r w:rsidRPr="00B13E09">
        <w:t>, J. P., Mulligan, A., . . .</w:t>
      </w:r>
      <w:proofErr w:type="spellStart"/>
      <w:r w:rsidRPr="00B13E09">
        <w:t>Frodl</w:t>
      </w:r>
      <w:proofErr w:type="spellEnd"/>
      <w:r w:rsidRPr="00B13E09">
        <w:t xml:space="preserve">, T. (2015). Impaired reward processing in the human prefrontal cortex distinguishes between persistent and remittent attention deficit hyperactivity disorder. </w:t>
      </w:r>
      <w:r w:rsidRPr="00B13E09">
        <w:rPr>
          <w:i/>
          <w:iCs/>
        </w:rPr>
        <w:t>Human Brain Mapping</w:t>
      </w:r>
      <w:r w:rsidRPr="00B13E09">
        <w:t xml:space="preserve">, </w:t>
      </w:r>
      <w:r w:rsidRPr="00B13E09">
        <w:rPr>
          <w:i/>
          <w:iCs/>
        </w:rPr>
        <w:t>36</w:t>
      </w:r>
      <w:r w:rsidRPr="00B13E09">
        <w:t>, 4648–4663. 10.1002/hbm.22944</w:t>
      </w:r>
    </w:p>
    <w:p w14:paraId="684EB5FB" w14:textId="77777777" w:rsidR="00B13E09" w:rsidRPr="00B13E09" w:rsidRDefault="00B13E09" w:rsidP="00B13E09">
      <w:pPr>
        <w:pStyle w:val="NoSpacing"/>
        <w:ind w:left="720" w:hanging="720"/>
      </w:pPr>
      <w:proofErr w:type="spellStart"/>
      <w:r w:rsidRPr="00B13E09">
        <w:t>Weyandt</w:t>
      </w:r>
      <w:proofErr w:type="spellEnd"/>
      <w:r w:rsidRPr="00B13E09">
        <w:t xml:space="preserve">, L., </w:t>
      </w:r>
      <w:proofErr w:type="spellStart"/>
      <w:r w:rsidRPr="00B13E09">
        <w:t>DuPaul</w:t>
      </w:r>
      <w:proofErr w:type="spellEnd"/>
      <w:r w:rsidRPr="00B13E09">
        <w:t xml:space="preserve">, G. J., Verdi, G., Rossi, J. S., </w:t>
      </w:r>
      <w:proofErr w:type="spellStart"/>
      <w:r w:rsidRPr="00B13E09">
        <w:t>Swentosky</w:t>
      </w:r>
      <w:proofErr w:type="spellEnd"/>
      <w:r w:rsidRPr="00B13E09">
        <w:t xml:space="preserve">, A. J., </w:t>
      </w:r>
      <w:proofErr w:type="spellStart"/>
      <w:r w:rsidRPr="00B13E09">
        <w:t>Vilardo</w:t>
      </w:r>
      <w:proofErr w:type="spellEnd"/>
      <w:r w:rsidRPr="00B13E09">
        <w:t xml:space="preserve">, B. S., . . .Carson, K. (2013). The performance of college students with and without ADHD: Neuropsychological, academic, and psychosocial functioning. </w:t>
      </w:r>
      <w:r w:rsidRPr="00B13E09">
        <w:rPr>
          <w:i/>
          <w:iCs/>
        </w:rPr>
        <w:t>Journal of Psychopathology and Behavioral Assessment</w:t>
      </w:r>
      <w:r w:rsidRPr="00B13E09">
        <w:t xml:space="preserve">, </w:t>
      </w:r>
      <w:r w:rsidRPr="00B13E09">
        <w:rPr>
          <w:i/>
          <w:iCs/>
        </w:rPr>
        <w:t>35</w:t>
      </w:r>
      <w:r w:rsidRPr="00B13E09">
        <w:t>, 421–435.</w:t>
      </w:r>
    </w:p>
    <w:p w14:paraId="2EA846DC" w14:textId="77777777" w:rsidR="00B13E09" w:rsidRPr="00B13E09" w:rsidRDefault="00B13E09" w:rsidP="00B13E09">
      <w:pPr>
        <w:pStyle w:val="NoSpacing"/>
        <w:ind w:left="720" w:hanging="720"/>
      </w:pPr>
      <w:proofErr w:type="spellStart"/>
      <w:r w:rsidRPr="00B13E09">
        <w:t>Weyandt</w:t>
      </w:r>
      <w:proofErr w:type="spellEnd"/>
      <w:r w:rsidRPr="00B13E09">
        <w:t xml:space="preserve">, L. L., Oster, D. R., </w:t>
      </w:r>
      <w:proofErr w:type="spellStart"/>
      <w:r w:rsidRPr="00B13E09">
        <w:t>Gudmundsdottir</w:t>
      </w:r>
      <w:proofErr w:type="spellEnd"/>
      <w:r w:rsidRPr="00B13E09">
        <w:t xml:space="preserve">, B. G., </w:t>
      </w:r>
      <w:proofErr w:type="spellStart"/>
      <w:r w:rsidRPr="00B13E09">
        <w:t>DuPaul</w:t>
      </w:r>
      <w:proofErr w:type="spellEnd"/>
      <w:r w:rsidRPr="00B13E09">
        <w:t xml:space="preserve">, G. J., &amp; </w:t>
      </w:r>
      <w:proofErr w:type="spellStart"/>
      <w:r w:rsidRPr="00B13E09">
        <w:t>Anastopoulos</w:t>
      </w:r>
      <w:proofErr w:type="spellEnd"/>
      <w:r w:rsidRPr="00B13E09">
        <w:t xml:space="preserve">, A. D. (2017). Neuropsychological functioning in college students with and without ADHD. </w:t>
      </w:r>
      <w:r w:rsidRPr="00B13E09">
        <w:rPr>
          <w:i/>
          <w:iCs/>
        </w:rPr>
        <w:t>Neuropsychology</w:t>
      </w:r>
      <w:r w:rsidRPr="00B13E09">
        <w:t xml:space="preserve">, </w:t>
      </w:r>
      <w:r w:rsidRPr="00B13E09">
        <w:rPr>
          <w:i/>
          <w:iCs/>
        </w:rPr>
        <w:t>31</w:t>
      </w:r>
      <w:r w:rsidRPr="00B13E09">
        <w:t>, 160–172. 10.1037/neu0000326</w:t>
      </w:r>
    </w:p>
    <w:p w14:paraId="08B33640" w14:textId="77777777" w:rsidR="00B13E09" w:rsidRPr="00B13E09" w:rsidRDefault="00B13E09" w:rsidP="00B13E09">
      <w:pPr>
        <w:pStyle w:val="NoSpacing"/>
        <w:ind w:left="720" w:hanging="720"/>
      </w:pPr>
      <w:r w:rsidRPr="00B13E09">
        <w:t xml:space="preserve">White, T., &amp; Stern, R. (2003). </w:t>
      </w:r>
      <w:r w:rsidRPr="00B13E09">
        <w:rPr>
          <w:i/>
          <w:iCs/>
        </w:rPr>
        <w:t>Neuropsychological Assessment Battery</w:t>
      </w:r>
      <w:r w:rsidRPr="00B13E09">
        <w:t xml:space="preserve">. Lutz, FL: </w:t>
      </w:r>
      <w:r w:rsidRPr="00B13E09">
        <w:rPr>
          <w:b/>
          <w:bCs/>
        </w:rPr>
        <w:t>Psychological Assessment</w:t>
      </w:r>
      <w:r w:rsidRPr="00B13E09">
        <w:t xml:space="preserve"> Resources.</w:t>
      </w:r>
    </w:p>
    <w:p w14:paraId="5E34DDEF" w14:textId="77777777" w:rsidR="00B13E09" w:rsidRPr="00B13E09" w:rsidRDefault="00B13E09" w:rsidP="00B13E09">
      <w:pPr>
        <w:pStyle w:val="NoSpacing"/>
        <w:ind w:left="720" w:hanging="720"/>
      </w:pPr>
      <w:proofErr w:type="spellStart"/>
      <w:r w:rsidRPr="00B13E09">
        <w:t>Willcutt</w:t>
      </w:r>
      <w:proofErr w:type="spellEnd"/>
      <w:r w:rsidRPr="00B13E09">
        <w:t xml:space="preserve">, E. G., Doyle, A. E., </w:t>
      </w:r>
      <w:proofErr w:type="spellStart"/>
      <w:r w:rsidRPr="00B13E09">
        <w:t>Nigg</w:t>
      </w:r>
      <w:proofErr w:type="spellEnd"/>
      <w:r w:rsidRPr="00B13E09">
        <w:t xml:space="preserve">, J. T., </w:t>
      </w:r>
      <w:proofErr w:type="spellStart"/>
      <w:r w:rsidRPr="00B13E09">
        <w:t>Faraone</w:t>
      </w:r>
      <w:proofErr w:type="spellEnd"/>
      <w:r w:rsidRPr="00B13E09">
        <w:t xml:space="preserve">, S. V., &amp; Pennington, B. F. (2005). Validity of the executive function theory of attention-deficit/hyperactivity disorder: A meta-analytic review. </w:t>
      </w:r>
      <w:r w:rsidRPr="00B13E09">
        <w:rPr>
          <w:i/>
          <w:iCs/>
        </w:rPr>
        <w:t>Biological Psychiatry</w:t>
      </w:r>
      <w:r w:rsidRPr="00B13E09">
        <w:t xml:space="preserve">, </w:t>
      </w:r>
      <w:r w:rsidRPr="00B13E09">
        <w:rPr>
          <w:i/>
          <w:iCs/>
        </w:rPr>
        <w:t>57</w:t>
      </w:r>
      <w:r w:rsidRPr="00B13E09">
        <w:t>, 1336–1346. 10.1016/j.biopsych.2005.02.006</w:t>
      </w:r>
    </w:p>
    <w:sectPr w:rsidR="00B13E09" w:rsidRPr="00B13E09"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Universal-GreekwithMathPi">
    <w:altName w:val="Calibri"/>
    <w:panose1 w:val="00000000000000000000"/>
    <w:charset w:val="00"/>
    <w:family w:val="auto"/>
    <w:notTrueType/>
    <w:pitch w:val="default"/>
    <w:sig w:usb0="00000003" w:usb1="00000000" w:usb2="00000000" w:usb3="00000000" w:csb0="00000001" w:csb1="00000000"/>
  </w:font>
  <w:font w:name="Adobe Myungjo Std M">
    <w:panose1 w:val="02020600000000000000"/>
    <w:charset w:val="80"/>
    <w:family w:val="roman"/>
    <w:notTrueType/>
    <w:pitch w:val="variable"/>
    <w:sig w:usb0="00000203" w:usb1="29D72C10" w:usb2="00000010" w:usb3="00000000" w:csb0="002A0005" w:csb1="00000000"/>
  </w:font>
  <w:font w:name="Maiandra GD">
    <w:panose1 w:val="020E0502030308020204"/>
    <w:charset w:val="00"/>
    <w:family w:val="swiss"/>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113704"/>
    <w:multiLevelType w:val="hybridMultilevel"/>
    <w:tmpl w:val="9D8A4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B677A6"/>
    <w:multiLevelType w:val="hybridMultilevel"/>
    <w:tmpl w:val="B6705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F52473"/>
    <w:multiLevelType w:val="multilevel"/>
    <w:tmpl w:val="25D2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AE7D1B"/>
    <w:multiLevelType w:val="hybridMultilevel"/>
    <w:tmpl w:val="A2B6A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89175B"/>
    <w:multiLevelType w:val="multilevel"/>
    <w:tmpl w:val="60C0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F0E3D9B"/>
    <w:multiLevelType w:val="multilevel"/>
    <w:tmpl w:val="55EE1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5"/>
  </w:num>
  <w:num w:numId="3">
    <w:abstractNumId w:val="9"/>
  </w:num>
  <w:num w:numId="4">
    <w:abstractNumId w:val="10"/>
  </w:num>
  <w:num w:numId="5">
    <w:abstractNumId w:val="12"/>
  </w:num>
  <w:num w:numId="6">
    <w:abstractNumId w:val="5"/>
  </w:num>
  <w:num w:numId="7">
    <w:abstractNumId w:val="15"/>
  </w:num>
  <w:num w:numId="8">
    <w:abstractNumId w:val="21"/>
  </w:num>
  <w:num w:numId="9">
    <w:abstractNumId w:val="17"/>
  </w:num>
  <w:num w:numId="10">
    <w:abstractNumId w:val="18"/>
  </w:num>
  <w:num w:numId="11">
    <w:abstractNumId w:val="4"/>
  </w:num>
  <w:num w:numId="12">
    <w:abstractNumId w:val="20"/>
  </w:num>
  <w:num w:numId="13">
    <w:abstractNumId w:val="14"/>
  </w:num>
  <w:num w:numId="14">
    <w:abstractNumId w:val="19"/>
  </w:num>
  <w:num w:numId="15">
    <w:abstractNumId w:val="26"/>
  </w:num>
  <w:num w:numId="16">
    <w:abstractNumId w:val="11"/>
  </w:num>
  <w:num w:numId="17">
    <w:abstractNumId w:val="29"/>
  </w:num>
  <w:num w:numId="18">
    <w:abstractNumId w:val="16"/>
  </w:num>
  <w:num w:numId="19">
    <w:abstractNumId w:val="0"/>
  </w:num>
  <w:num w:numId="20">
    <w:abstractNumId w:val="23"/>
  </w:num>
  <w:num w:numId="21">
    <w:abstractNumId w:val="22"/>
  </w:num>
  <w:num w:numId="22">
    <w:abstractNumId w:val="2"/>
  </w:num>
  <w:num w:numId="23">
    <w:abstractNumId w:val="28"/>
  </w:num>
  <w:num w:numId="24">
    <w:abstractNumId w:val="8"/>
  </w:num>
  <w:num w:numId="25">
    <w:abstractNumId w:val="32"/>
  </w:num>
  <w:num w:numId="26">
    <w:abstractNumId w:val="1"/>
  </w:num>
  <w:num w:numId="27">
    <w:abstractNumId w:val="31"/>
  </w:num>
  <w:num w:numId="28">
    <w:abstractNumId w:val="30"/>
  </w:num>
  <w:num w:numId="29">
    <w:abstractNumId w:val="27"/>
  </w:num>
  <w:num w:numId="30">
    <w:abstractNumId w:val="13"/>
  </w:num>
  <w:num w:numId="31">
    <w:abstractNumId w:val="6"/>
  </w:num>
  <w:num w:numId="32">
    <w:abstractNumId w:val="3"/>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ocumentProtection w:edit="readOnly" w:formatting="1" w:enforcement="1" w:cryptProviderType="rsaAES" w:cryptAlgorithmClass="hash" w:cryptAlgorithmType="typeAny" w:cryptAlgorithmSid="14" w:cryptSpinCount="100000" w:hash="OqN/q5/h6YAF/9wxhmkC9GWH+4RxOqFIj8hdfcagN1mqMfIV5zAYqa11aZhvyFFgvfXHXN0kdMDHQ58OFM7ltw==" w:salt="cow3YBlzxa0JoSnH4/69l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A71"/>
    <w:rsid w:val="00003562"/>
    <w:rsid w:val="000049AF"/>
    <w:rsid w:val="0000729D"/>
    <w:rsid w:val="0001072F"/>
    <w:rsid w:val="0001279B"/>
    <w:rsid w:val="00014622"/>
    <w:rsid w:val="00014F38"/>
    <w:rsid w:val="00017940"/>
    <w:rsid w:val="000233C1"/>
    <w:rsid w:val="00024048"/>
    <w:rsid w:val="00026BC7"/>
    <w:rsid w:val="0003036D"/>
    <w:rsid w:val="00030E72"/>
    <w:rsid w:val="00034205"/>
    <w:rsid w:val="00034A31"/>
    <w:rsid w:val="00035704"/>
    <w:rsid w:val="000404D8"/>
    <w:rsid w:val="00041C27"/>
    <w:rsid w:val="000437DE"/>
    <w:rsid w:val="00043C8E"/>
    <w:rsid w:val="00044EBA"/>
    <w:rsid w:val="0004637E"/>
    <w:rsid w:val="0004717F"/>
    <w:rsid w:val="000525F1"/>
    <w:rsid w:val="0005413F"/>
    <w:rsid w:val="000551CC"/>
    <w:rsid w:val="000575B3"/>
    <w:rsid w:val="00057D20"/>
    <w:rsid w:val="000606A8"/>
    <w:rsid w:val="00061102"/>
    <w:rsid w:val="0006495D"/>
    <w:rsid w:val="00064ECB"/>
    <w:rsid w:val="00071537"/>
    <w:rsid w:val="00072612"/>
    <w:rsid w:val="000735D6"/>
    <w:rsid w:val="00074B64"/>
    <w:rsid w:val="000769FD"/>
    <w:rsid w:val="00077000"/>
    <w:rsid w:val="00082637"/>
    <w:rsid w:val="00083102"/>
    <w:rsid w:val="000846CC"/>
    <w:rsid w:val="000849E9"/>
    <w:rsid w:val="00085797"/>
    <w:rsid w:val="00087367"/>
    <w:rsid w:val="0009064A"/>
    <w:rsid w:val="00091815"/>
    <w:rsid w:val="00092DFF"/>
    <w:rsid w:val="00093C1A"/>
    <w:rsid w:val="0009796F"/>
    <w:rsid w:val="00097FBC"/>
    <w:rsid w:val="000A0975"/>
    <w:rsid w:val="000A16D2"/>
    <w:rsid w:val="000A266C"/>
    <w:rsid w:val="000A7622"/>
    <w:rsid w:val="000A7F84"/>
    <w:rsid w:val="000B1D71"/>
    <w:rsid w:val="000B1EEB"/>
    <w:rsid w:val="000B22D3"/>
    <w:rsid w:val="000B2768"/>
    <w:rsid w:val="000B3464"/>
    <w:rsid w:val="000B389E"/>
    <w:rsid w:val="000B41D8"/>
    <w:rsid w:val="000B501D"/>
    <w:rsid w:val="000B5170"/>
    <w:rsid w:val="000B53FA"/>
    <w:rsid w:val="000C0E5B"/>
    <w:rsid w:val="000C43B7"/>
    <w:rsid w:val="000C6BA7"/>
    <w:rsid w:val="000D3573"/>
    <w:rsid w:val="000D4F0B"/>
    <w:rsid w:val="000D6BF2"/>
    <w:rsid w:val="000E2076"/>
    <w:rsid w:val="000E69EF"/>
    <w:rsid w:val="000E7C46"/>
    <w:rsid w:val="000F0449"/>
    <w:rsid w:val="000F08DA"/>
    <w:rsid w:val="000F14F0"/>
    <w:rsid w:val="000F1D5E"/>
    <w:rsid w:val="000F33D0"/>
    <w:rsid w:val="00101A98"/>
    <w:rsid w:val="00104CE6"/>
    <w:rsid w:val="00107EA8"/>
    <w:rsid w:val="00114114"/>
    <w:rsid w:val="00115F37"/>
    <w:rsid w:val="00117F89"/>
    <w:rsid w:val="00120313"/>
    <w:rsid w:val="001233A5"/>
    <w:rsid w:val="00123BC0"/>
    <w:rsid w:val="00123E80"/>
    <w:rsid w:val="00125F2C"/>
    <w:rsid w:val="00131A15"/>
    <w:rsid w:val="00131C28"/>
    <w:rsid w:val="0013311A"/>
    <w:rsid w:val="001346A0"/>
    <w:rsid w:val="00134CF7"/>
    <w:rsid w:val="0014182B"/>
    <w:rsid w:val="0014490B"/>
    <w:rsid w:val="00146A5C"/>
    <w:rsid w:val="00146E50"/>
    <w:rsid w:val="00150DB6"/>
    <w:rsid w:val="00152B2C"/>
    <w:rsid w:val="001530C5"/>
    <w:rsid w:val="0015343A"/>
    <w:rsid w:val="00154D34"/>
    <w:rsid w:val="0015757F"/>
    <w:rsid w:val="00160E1F"/>
    <w:rsid w:val="00161372"/>
    <w:rsid w:val="001622DB"/>
    <w:rsid w:val="00163F71"/>
    <w:rsid w:val="00164B07"/>
    <w:rsid w:val="00171494"/>
    <w:rsid w:val="00173556"/>
    <w:rsid w:val="00177615"/>
    <w:rsid w:val="00180DC4"/>
    <w:rsid w:val="0018114F"/>
    <w:rsid w:val="00181ADF"/>
    <w:rsid w:val="00183A38"/>
    <w:rsid w:val="001854EA"/>
    <w:rsid w:val="00185C26"/>
    <w:rsid w:val="00192D40"/>
    <w:rsid w:val="00194D61"/>
    <w:rsid w:val="00196C7C"/>
    <w:rsid w:val="001A17CB"/>
    <w:rsid w:val="001A1C71"/>
    <w:rsid w:val="001A1DF4"/>
    <w:rsid w:val="001A34C4"/>
    <w:rsid w:val="001B12F5"/>
    <w:rsid w:val="001B3B99"/>
    <w:rsid w:val="001B6E76"/>
    <w:rsid w:val="001B7C24"/>
    <w:rsid w:val="001C3A3F"/>
    <w:rsid w:val="001D1087"/>
    <w:rsid w:val="001D2448"/>
    <w:rsid w:val="001D3ADE"/>
    <w:rsid w:val="001D3F5D"/>
    <w:rsid w:val="001D58D3"/>
    <w:rsid w:val="001D69BB"/>
    <w:rsid w:val="001D776C"/>
    <w:rsid w:val="001D7BCC"/>
    <w:rsid w:val="001E18FE"/>
    <w:rsid w:val="001E683C"/>
    <w:rsid w:val="001F2E45"/>
    <w:rsid w:val="001F70BC"/>
    <w:rsid w:val="001F7FBE"/>
    <w:rsid w:val="002016B1"/>
    <w:rsid w:val="00201875"/>
    <w:rsid w:val="00201AFD"/>
    <w:rsid w:val="00201FDC"/>
    <w:rsid w:val="002022D8"/>
    <w:rsid w:val="00206486"/>
    <w:rsid w:val="00206CC8"/>
    <w:rsid w:val="00211422"/>
    <w:rsid w:val="00212109"/>
    <w:rsid w:val="002224E2"/>
    <w:rsid w:val="0022403A"/>
    <w:rsid w:val="00224240"/>
    <w:rsid w:val="00226FA2"/>
    <w:rsid w:val="0024134B"/>
    <w:rsid w:val="00242F22"/>
    <w:rsid w:val="00251132"/>
    <w:rsid w:val="002535DF"/>
    <w:rsid w:val="002558EB"/>
    <w:rsid w:val="00255B43"/>
    <w:rsid w:val="00255BDC"/>
    <w:rsid w:val="00255BEA"/>
    <w:rsid w:val="00261403"/>
    <w:rsid w:val="00261F59"/>
    <w:rsid w:val="00272AF4"/>
    <w:rsid w:val="00274137"/>
    <w:rsid w:val="00276C06"/>
    <w:rsid w:val="00280198"/>
    <w:rsid w:val="00282094"/>
    <w:rsid w:val="00283283"/>
    <w:rsid w:val="002843BC"/>
    <w:rsid w:val="00284A84"/>
    <w:rsid w:val="0029129F"/>
    <w:rsid w:val="00296B90"/>
    <w:rsid w:val="00297296"/>
    <w:rsid w:val="002A0668"/>
    <w:rsid w:val="002A6B8B"/>
    <w:rsid w:val="002A7FBB"/>
    <w:rsid w:val="002B1ED8"/>
    <w:rsid w:val="002B45EC"/>
    <w:rsid w:val="002B463B"/>
    <w:rsid w:val="002B62C6"/>
    <w:rsid w:val="002B7A78"/>
    <w:rsid w:val="002C17A7"/>
    <w:rsid w:val="002C2DA5"/>
    <w:rsid w:val="002C4714"/>
    <w:rsid w:val="002C6160"/>
    <w:rsid w:val="002D02F2"/>
    <w:rsid w:val="002D28EA"/>
    <w:rsid w:val="002D51BB"/>
    <w:rsid w:val="002D5BAE"/>
    <w:rsid w:val="002D5DDC"/>
    <w:rsid w:val="002D6AA3"/>
    <w:rsid w:val="002E4C15"/>
    <w:rsid w:val="002E57CE"/>
    <w:rsid w:val="002E5C33"/>
    <w:rsid w:val="002E5D29"/>
    <w:rsid w:val="00300411"/>
    <w:rsid w:val="00300EE4"/>
    <w:rsid w:val="0030197F"/>
    <w:rsid w:val="0030223E"/>
    <w:rsid w:val="00303A1E"/>
    <w:rsid w:val="00303BBD"/>
    <w:rsid w:val="0031287B"/>
    <w:rsid w:val="00313440"/>
    <w:rsid w:val="00314FCD"/>
    <w:rsid w:val="00324290"/>
    <w:rsid w:val="003253AA"/>
    <w:rsid w:val="00326905"/>
    <w:rsid w:val="00331737"/>
    <w:rsid w:val="0033243D"/>
    <w:rsid w:val="0033652E"/>
    <w:rsid w:val="00336791"/>
    <w:rsid w:val="00340617"/>
    <w:rsid w:val="00340B13"/>
    <w:rsid w:val="00340CDB"/>
    <w:rsid w:val="003427C6"/>
    <w:rsid w:val="00343472"/>
    <w:rsid w:val="00343527"/>
    <w:rsid w:val="003455AA"/>
    <w:rsid w:val="00347634"/>
    <w:rsid w:val="00351E90"/>
    <w:rsid w:val="00354B1F"/>
    <w:rsid w:val="00360206"/>
    <w:rsid w:val="003624EE"/>
    <w:rsid w:val="003632E1"/>
    <w:rsid w:val="00363CD3"/>
    <w:rsid w:val="003656A9"/>
    <w:rsid w:val="00366852"/>
    <w:rsid w:val="00366CF9"/>
    <w:rsid w:val="003706EF"/>
    <w:rsid w:val="00370BE4"/>
    <w:rsid w:val="00371D56"/>
    <w:rsid w:val="0037755D"/>
    <w:rsid w:val="00381F0E"/>
    <w:rsid w:val="0038492E"/>
    <w:rsid w:val="0038549B"/>
    <w:rsid w:val="0038628A"/>
    <w:rsid w:val="0038634F"/>
    <w:rsid w:val="00391C48"/>
    <w:rsid w:val="00394337"/>
    <w:rsid w:val="003A437A"/>
    <w:rsid w:val="003A503E"/>
    <w:rsid w:val="003A6039"/>
    <w:rsid w:val="003A6253"/>
    <w:rsid w:val="003A6733"/>
    <w:rsid w:val="003A76B2"/>
    <w:rsid w:val="003B232A"/>
    <w:rsid w:val="003B47FA"/>
    <w:rsid w:val="003B6208"/>
    <w:rsid w:val="003B7F8F"/>
    <w:rsid w:val="003C3596"/>
    <w:rsid w:val="003C4172"/>
    <w:rsid w:val="003C437D"/>
    <w:rsid w:val="003C4456"/>
    <w:rsid w:val="003D3301"/>
    <w:rsid w:val="003D3872"/>
    <w:rsid w:val="003D4641"/>
    <w:rsid w:val="003E05B7"/>
    <w:rsid w:val="003E0C0A"/>
    <w:rsid w:val="003E6CFF"/>
    <w:rsid w:val="003F56E3"/>
    <w:rsid w:val="004010E3"/>
    <w:rsid w:val="00402FC5"/>
    <w:rsid w:val="00404D29"/>
    <w:rsid w:val="004055B8"/>
    <w:rsid w:val="0040709D"/>
    <w:rsid w:val="00411905"/>
    <w:rsid w:val="004122F9"/>
    <w:rsid w:val="004124D3"/>
    <w:rsid w:val="004139BA"/>
    <w:rsid w:val="00421CBC"/>
    <w:rsid w:val="00426345"/>
    <w:rsid w:val="0043008C"/>
    <w:rsid w:val="00430B91"/>
    <w:rsid w:val="004349B9"/>
    <w:rsid w:val="004374EF"/>
    <w:rsid w:val="00440F61"/>
    <w:rsid w:val="00441594"/>
    <w:rsid w:val="004441CB"/>
    <w:rsid w:val="00450DB8"/>
    <w:rsid w:val="00451C14"/>
    <w:rsid w:val="00453D2C"/>
    <w:rsid w:val="00454851"/>
    <w:rsid w:val="00456070"/>
    <w:rsid w:val="00456B26"/>
    <w:rsid w:val="004570E7"/>
    <w:rsid w:val="00460A1D"/>
    <w:rsid w:val="004613DF"/>
    <w:rsid w:val="00461BB2"/>
    <w:rsid w:val="00463F96"/>
    <w:rsid w:val="004660BE"/>
    <w:rsid w:val="0046696C"/>
    <w:rsid w:val="00466C95"/>
    <w:rsid w:val="00466DD7"/>
    <w:rsid w:val="00471F7D"/>
    <w:rsid w:val="00473B19"/>
    <w:rsid w:val="00474C3C"/>
    <w:rsid w:val="00474CB3"/>
    <w:rsid w:val="00474ECD"/>
    <w:rsid w:val="004757B5"/>
    <w:rsid w:val="004806AE"/>
    <w:rsid w:val="004816ED"/>
    <w:rsid w:val="0048309F"/>
    <w:rsid w:val="004834F0"/>
    <w:rsid w:val="00487185"/>
    <w:rsid w:val="004873AE"/>
    <w:rsid w:val="00487718"/>
    <w:rsid w:val="00490ABE"/>
    <w:rsid w:val="004932A8"/>
    <w:rsid w:val="00493B34"/>
    <w:rsid w:val="00497E47"/>
    <w:rsid w:val="004A0368"/>
    <w:rsid w:val="004A2715"/>
    <w:rsid w:val="004A2894"/>
    <w:rsid w:val="004A2B41"/>
    <w:rsid w:val="004A3B3E"/>
    <w:rsid w:val="004A5455"/>
    <w:rsid w:val="004B2226"/>
    <w:rsid w:val="004B6BED"/>
    <w:rsid w:val="004B77C2"/>
    <w:rsid w:val="004C0B3D"/>
    <w:rsid w:val="004C2D7B"/>
    <w:rsid w:val="004C45D2"/>
    <w:rsid w:val="004C5EEF"/>
    <w:rsid w:val="004D0DD5"/>
    <w:rsid w:val="004D118A"/>
    <w:rsid w:val="004D1CB9"/>
    <w:rsid w:val="004D21C9"/>
    <w:rsid w:val="004E1C1B"/>
    <w:rsid w:val="004E34F8"/>
    <w:rsid w:val="004E3C84"/>
    <w:rsid w:val="004E528B"/>
    <w:rsid w:val="004F146C"/>
    <w:rsid w:val="004F1F3C"/>
    <w:rsid w:val="0050408D"/>
    <w:rsid w:val="00504C6A"/>
    <w:rsid w:val="00510364"/>
    <w:rsid w:val="005116C9"/>
    <w:rsid w:val="00511BEE"/>
    <w:rsid w:val="005175E9"/>
    <w:rsid w:val="00520368"/>
    <w:rsid w:val="0052658A"/>
    <w:rsid w:val="005272B3"/>
    <w:rsid w:val="00533270"/>
    <w:rsid w:val="00540146"/>
    <w:rsid w:val="005404D4"/>
    <w:rsid w:val="00543C22"/>
    <w:rsid w:val="0054405B"/>
    <w:rsid w:val="0054567F"/>
    <w:rsid w:val="00546B44"/>
    <w:rsid w:val="00553291"/>
    <w:rsid w:val="005546FF"/>
    <w:rsid w:val="00555711"/>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051D"/>
    <w:rsid w:val="005A12F0"/>
    <w:rsid w:val="005A5291"/>
    <w:rsid w:val="005A6FD1"/>
    <w:rsid w:val="005B08F1"/>
    <w:rsid w:val="005B47BC"/>
    <w:rsid w:val="005B4FF8"/>
    <w:rsid w:val="005C00EC"/>
    <w:rsid w:val="005C15C9"/>
    <w:rsid w:val="005C30E9"/>
    <w:rsid w:val="005C663B"/>
    <w:rsid w:val="005D1C38"/>
    <w:rsid w:val="005D1ED6"/>
    <w:rsid w:val="005D767A"/>
    <w:rsid w:val="005E2628"/>
    <w:rsid w:val="005E5F66"/>
    <w:rsid w:val="005F46EC"/>
    <w:rsid w:val="005F49C9"/>
    <w:rsid w:val="005F71CE"/>
    <w:rsid w:val="005F7A68"/>
    <w:rsid w:val="00601529"/>
    <w:rsid w:val="00601980"/>
    <w:rsid w:val="0060332C"/>
    <w:rsid w:val="00604C5A"/>
    <w:rsid w:val="00607F1D"/>
    <w:rsid w:val="006103F8"/>
    <w:rsid w:val="00612DE8"/>
    <w:rsid w:val="00615A83"/>
    <w:rsid w:val="00620EA0"/>
    <w:rsid w:val="00623E47"/>
    <w:rsid w:val="00624CD2"/>
    <w:rsid w:val="00624EE0"/>
    <w:rsid w:val="0062795C"/>
    <w:rsid w:val="00631A06"/>
    <w:rsid w:val="00632F23"/>
    <w:rsid w:val="00633D28"/>
    <w:rsid w:val="00633F1B"/>
    <w:rsid w:val="00634D07"/>
    <w:rsid w:val="00635799"/>
    <w:rsid w:val="00635949"/>
    <w:rsid w:val="00636A77"/>
    <w:rsid w:val="0064051B"/>
    <w:rsid w:val="00645D2C"/>
    <w:rsid w:val="00650724"/>
    <w:rsid w:val="006517B5"/>
    <w:rsid w:val="00652076"/>
    <w:rsid w:val="00653DA3"/>
    <w:rsid w:val="00654D37"/>
    <w:rsid w:val="006621F0"/>
    <w:rsid w:val="006647E7"/>
    <w:rsid w:val="00666FD4"/>
    <w:rsid w:val="00667217"/>
    <w:rsid w:val="006702C6"/>
    <w:rsid w:val="0067490E"/>
    <w:rsid w:val="006769E6"/>
    <w:rsid w:val="00676C63"/>
    <w:rsid w:val="00682333"/>
    <w:rsid w:val="006844CA"/>
    <w:rsid w:val="006871E0"/>
    <w:rsid w:val="00687A0F"/>
    <w:rsid w:val="00693B53"/>
    <w:rsid w:val="00697377"/>
    <w:rsid w:val="006A147C"/>
    <w:rsid w:val="006A1F61"/>
    <w:rsid w:val="006A533C"/>
    <w:rsid w:val="006A5409"/>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7E70"/>
    <w:rsid w:val="00703D2B"/>
    <w:rsid w:val="007065D3"/>
    <w:rsid w:val="007071B1"/>
    <w:rsid w:val="00707EC1"/>
    <w:rsid w:val="00710582"/>
    <w:rsid w:val="00714EE9"/>
    <w:rsid w:val="00721876"/>
    <w:rsid w:val="007246B0"/>
    <w:rsid w:val="007258CB"/>
    <w:rsid w:val="00730E29"/>
    <w:rsid w:val="00731E5A"/>
    <w:rsid w:val="00732FF6"/>
    <w:rsid w:val="00735393"/>
    <w:rsid w:val="00735C37"/>
    <w:rsid w:val="00745E32"/>
    <w:rsid w:val="007466F7"/>
    <w:rsid w:val="00757D89"/>
    <w:rsid w:val="0076194B"/>
    <w:rsid w:val="00763676"/>
    <w:rsid w:val="00765C79"/>
    <w:rsid w:val="00766245"/>
    <w:rsid w:val="00772776"/>
    <w:rsid w:val="00774A9F"/>
    <w:rsid w:val="00776E56"/>
    <w:rsid w:val="00781619"/>
    <w:rsid w:val="007902F1"/>
    <w:rsid w:val="007906C7"/>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68B3"/>
    <w:rsid w:val="007F7A0B"/>
    <w:rsid w:val="0080037D"/>
    <w:rsid w:val="008061E0"/>
    <w:rsid w:val="0080711D"/>
    <w:rsid w:val="00813292"/>
    <w:rsid w:val="00813E40"/>
    <w:rsid w:val="00816489"/>
    <w:rsid w:val="00817C16"/>
    <w:rsid w:val="00820049"/>
    <w:rsid w:val="0082013E"/>
    <w:rsid w:val="00822617"/>
    <w:rsid w:val="00824B15"/>
    <w:rsid w:val="00831AE9"/>
    <w:rsid w:val="008322E3"/>
    <w:rsid w:val="00834DF7"/>
    <w:rsid w:val="00836F01"/>
    <w:rsid w:val="008406F5"/>
    <w:rsid w:val="00841F1E"/>
    <w:rsid w:val="00842203"/>
    <w:rsid w:val="00850E3E"/>
    <w:rsid w:val="00855CDB"/>
    <w:rsid w:val="00864432"/>
    <w:rsid w:val="008649A3"/>
    <w:rsid w:val="0086670A"/>
    <w:rsid w:val="00870BA1"/>
    <w:rsid w:val="00873CDE"/>
    <w:rsid w:val="00874421"/>
    <w:rsid w:val="0087538D"/>
    <w:rsid w:val="00875997"/>
    <w:rsid w:val="0087796C"/>
    <w:rsid w:val="00880932"/>
    <w:rsid w:val="008825B5"/>
    <w:rsid w:val="00884A5A"/>
    <w:rsid w:val="00885E74"/>
    <w:rsid w:val="00886B14"/>
    <w:rsid w:val="008927F4"/>
    <w:rsid w:val="00893B58"/>
    <w:rsid w:val="00894E4C"/>
    <w:rsid w:val="0089642A"/>
    <w:rsid w:val="008A1743"/>
    <w:rsid w:val="008A23DD"/>
    <w:rsid w:val="008A6C51"/>
    <w:rsid w:val="008B15CF"/>
    <w:rsid w:val="008B2242"/>
    <w:rsid w:val="008B3EC6"/>
    <w:rsid w:val="008B4AD1"/>
    <w:rsid w:val="008B6D93"/>
    <w:rsid w:val="008B7AF1"/>
    <w:rsid w:val="008C3543"/>
    <w:rsid w:val="008C7216"/>
    <w:rsid w:val="008D0F0D"/>
    <w:rsid w:val="008D0FF2"/>
    <w:rsid w:val="008D14D6"/>
    <w:rsid w:val="008D1D7F"/>
    <w:rsid w:val="008D3526"/>
    <w:rsid w:val="008E1269"/>
    <w:rsid w:val="008E6217"/>
    <w:rsid w:val="008E7E85"/>
    <w:rsid w:val="008F0401"/>
    <w:rsid w:val="008F04C1"/>
    <w:rsid w:val="008F2457"/>
    <w:rsid w:val="008F252A"/>
    <w:rsid w:val="008F493C"/>
    <w:rsid w:val="008F55DB"/>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25C"/>
    <w:rsid w:val="0094737A"/>
    <w:rsid w:val="00950094"/>
    <w:rsid w:val="0095139E"/>
    <w:rsid w:val="00951536"/>
    <w:rsid w:val="00952B32"/>
    <w:rsid w:val="00952C61"/>
    <w:rsid w:val="00954B3E"/>
    <w:rsid w:val="009554A6"/>
    <w:rsid w:val="00956FEB"/>
    <w:rsid w:val="00961BD2"/>
    <w:rsid w:val="00963E52"/>
    <w:rsid w:val="009650D5"/>
    <w:rsid w:val="0096535F"/>
    <w:rsid w:val="00965F35"/>
    <w:rsid w:val="00966500"/>
    <w:rsid w:val="009729A3"/>
    <w:rsid w:val="00976CE3"/>
    <w:rsid w:val="00977F1D"/>
    <w:rsid w:val="00982217"/>
    <w:rsid w:val="00984AD1"/>
    <w:rsid w:val="00984B39"/>
    <w:rsid w:val="00986A83"/>
    <w:rsid w:val="00990645"/>
    <w:rsid w:val="00991B7F"/>
    <w:rsid w:val="009A130B"/>
    <w:rsid w:val="009A2639"/>
    <w:rsid w:val="009A397F"/>
    <w:rsid w:val="009A7D12"/>
    <w:rsid w:val="009B1A9A"/>
    <w:rsid w:val="009B4F83"/>
    <w:rsid w:val="009B6983"/>
    <w:rsid w:val="009C2FA8"/>
    <w:rsid w:val="009C5450"/>
    <w:rsid w:val="009C5716"/>
    <w:rsid w:val="009D316A"/>
    <w:rsid w:val="009D3527"/>
    <w:rsid w:val="009D5368"/>
    <w:rsid w:val="009D54DF"/>
    <w:rsid w:val="009E56AC"/>
    <w:rsid w:val="009E56AF"/>
    <w:rsid w:val="009E5E22"/>
    <w:rsid w:val="009E678D"/>
    <w:rsid w:val="009F28E2"/>
    <w:rsid w:val="009F4BDF"/>
    <w:rsid w:val="009F60BA"/>
    <w:rsid w:val="009F7F44"/>
    <w:rsid w:val="00A01B8D"/>
    <w:rsid w:val="00A034AE"/>
    <w:rsid w:val="00A035F5"/>
    <w:rsid w:val="00A03D4A"/>
    <w:rsid w:val="00A11F34"/>
    <w:rsid w:val="00A1350A"/>
    <w:rsid w:val="00A231A4"/>
    <w:rsid w:val="00A27850"/>
    <w:rsid w:val="00A310DA"/>
    <w:rsid w:val="00A32FCB"/>
    <w:rsid w:val="00A3561C"/>
    <w:rsid w:val="00A400BC"/>
    <w:rsid w:val="00A40701"/>
    <w:rsid w:val="00A41B82"/>
    <w:rsid w:val="00A42169"/>
    <w:rsid w:val="00A424F1"/>
    <w:rsid w:val="00A426B2"/>
    <w:rsid w:val="00A42DA7"/>
    <w:rsid w:val="00A45EE8"/>
    <w:rsid w:val="00A465FC"/>
    <w:rsid w:val="00A47B50"/>
    <w:rsid w:val="00A50459"/>
    <w:rsid w:val="00A506CB"/>
    <w:rsid w:val="00A52369"/>
    <w:rsid w:val="00A52A88"/>
    <w:rsid w:val="00A55701"/>
    <w:rsid w:val="00A56ED1"/>
    <w:rsid w:val="00A648A4"/>
    <w:rsid w:val="00A650B2"/>
    <w:rsid w:val="00A6640D"/>
    <w:rsid w:val="00A7290A"/>
    <w:rsid w:val="00A7438E"/>
    <w:rsid w:val="00A75006"/>
    <w:rsid w:val="00A81E28"/>
    <w:rsid w:val="00A82932"/>
    <w:rsid w:val="00A82D07"/>
    <w:rsid w:val="00A868FB"/>
    <w:rsid w:val="00A915ED"/>
    <w:rsid w:val="00A91CF2"/>
    <w:rsid w:val="00A93BA4"/>
    <w:rsid w:val="00A9416E"/>
    <w:rsid w:val="00A9691F"/>
    <w:rsid w:val="00AA493D"/>
    <w:rsid w:val="00AB4807"/>
    <w:rsid w:val="00AB4813"/>
    <w:rsid w:val="00AC0052"/>
    <w:rsid w:val="00AC04D6"/>
    <w:rsid w:val="00AC20A5"/>
    <w:rsid w:val="00AD0685"/>
    <w:rsid w:val="00AD0902"/>
    <w:rsid w:val="00AD38C1"/>
    <w:rsid w:val="00AD5A78"/>
    <w:rsid w:val="00AE1456"/>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5C24"/>
    <w:rsid w:val="00B079F6"/>
    <w:rsid w:val="00B1094A"/>
    <w:rsid w:val="00B10D81"/>
    <w:rsid w:val="00B129D1"/>
    <w:rsid w:val="00B12F61"/>
    <w:rsid w:val="00B13E09"/>
    <w:rsid w:val="00B14CBC"/>
    <w:rsid w:val="00B1760D"/>
    <w:rsid w:val="00B17FF0"/>
    <w:rsid w:val="00B30468"/>
    <w:rsid w:val="00B311D4"/>
    <w:rsid w:val="00B32160"/>
    <w:rsid w:val="00B32B07"/>
    <w:rsid w:val="00B336E9"/>
    <w:rsid w:val="00B3397D"/>
    <w:rsid w:val="00B3426B"/>
    <w:rsid w:val="00B34F7B"/>
    <w:rsid w:val="00B35999"/>
    <w:rsid w:val="00B36252"/>
    <w:rsid w:val="00B44237"/>
    <w:rsid w:val="00B47D09"/>
    <w:rsid w:val="00B50108"/>
    <w:rsid w:val="00B52024"/>
    <w:rsid w:val="00B525D3"/>
    <w:rsid w:val="00B55B5C"/>
    <w:rsid w:val="00B56290"/>
    <w:rsid w:val="00B611B3"/>
    <w:rsid w:val="00B61B54"/>
    <w:rsid w:val="00B62874"/>
    <w:rsid w:val="00B6351D"/>
    <w:rsid w:val="00B64203"/>
    <w:rsid w:val="00B6519E"/>
    <w:rsid w:val="00B66AF1"/>
    <w:rsid w:val="00B70245"/>
    <w:rsid w:val="00B703C2"/>
    <w:rsid w:val="00B74E41"/>
    <w:rsid w:val="00B75BDF"/>
    <w:rsid w:val="00B7740D"/>
    <w:rsid w:val="00B80210"/>
    <w:rsid w:val="00B82F58"/>
    <w:rsid w:val="00B839A9"/>
    <w:rsid w:val="00B84C63"/>
    <w:rsid w:val="00B85BAE"/>
    <w:rsid w:val="00B86814"/>
    <w:rsid w:val="00B910CB"/>
    <w:rsid w:val="00B91743"/>
    <w:rsid w:val="00B91D38"/>
    <w:rsid w:val="00B927D2"/>
    <w:rsid w:val="00B935A4"/>
    <w:rsid w:val="00B945E5"/>
    <w:rsid w:val="00B9636B"/>
    <w:rsid w:val="00B974AD"/>
    <w:rsid w:val="00BA22C6"/>
    <w:rsid w:val="00BA316D"/>
    <w:rsid w:val="00BA5FEF"/>
    <w:rsid w:val="00BA7628"/>
    <w:rsid w:val="00BB19E9"/>
    <w:rsid w:val="00BB2130"/>
    <w:rsid w:val="00BB30B6"/>
    <w:rsid w:val="00BB40CB"/>
    <w:rsid w:val="00BB7C37"/>
    <w:rsid w:val="00BC168F"/>
    <w:rsid w:val="00BC1E95"/>
    <w:rsid w:val="00BC2262"/>
    <w:rsid w:val="00BC3D81"/>
    <w:rsid w:val="00BC420A"/>
    <w:rsid w:val="00BC540B"/>
    <w:rsid w:val="00BC7302"/>
    <w:rsid w:val="00BC7482"/>
    <w:rsid w:val="00BD01F3"/>
    <w:rsid w:val="00BD0D8D"/>
    <w:rsid w:val="00BD1297"/>
    <w:rsid w:val="00BD168E"/>
    <w:rsid w:val="00BD439F"/>
    <w:rsid w:val="00BD4F14"/>
    <w:rsid w:val="00BE2644"/>
    <w:rsid w:val="00BE42F3"/>
    <w:rsid w:val="00BE551C"/>
    <w:rsid w:val="00BF6ECD"/>
    <w:rsid w:val="00BF790B"/>
    <w:rsid w:val="00C019BB"/>
    <w:rsid w:val="00C01E67"/>
    <w:rsid w:val="00C04590"/>
    <w:rsid w:val="00C05302"/>
    <w:rsid w:val="00C06B6B"/>
    <w:rsid w:val="00C06F37"/>
    <w:rsid w:val="00C0799A"/>
    <w:rsid w:val="00C13438"/>
    <w:rsid w:val="00C170FF"/>
    <w:rsid w:val="00C173E1"/>
    <w:rsid w:val="00C2019E"/>
    <w:rsid w:val="00C27AEF"/>
    <w:rsid w:val="00C3110E"/>
    <w:rsid w:val="00C3466C"/>
    <w:rsid w:val="00C34E4E"/>
    <w:rsid w:val="00C355FF"/>
    <w:rsid w:val="00C41A64"/>
    <w:rsid w:val="00C47122"/>
    <w:rsid w:val="00C47959"/>
    <w:rsid w:val="00C47CEA"/>
    <w:rsid w:val="00C515E0"/>
    <w:rsid w:val="00C531A3"/>
    <w:rsid w:val="00C57F24"/>
    <w:rsid w:val="00C63EA6"/>
    <w:rsid w:val="00C6619F"/>
    <w:rsid w:val="00C6624A"/>
    <w:rsid w:val="00C70110"/>
    <w:rsid w:val="00C742C3"/>
    <w:rsid w:val="00C75559"/>
    <w:rsid w:val="00C76D88"/>
    <w:rsid w:val="00C7785D"/>
    <w:rsid w:val="00C77A26"/>
    <w:rsid w:val="00C82229"/>
    <w:rsid w:val="00C85BDD"/>
    <w:rsid w:val="00C86B81"/>
    <w:rsid w:val="00C91557"/>
    <w:rsid w:val="00C92F74"/>
    <w:rsid w:val="00C95B86"/>
    <w:rsid w:val="00CA1C19"/>
    <w:rsid w:val="00CA204D"/>
    <w:rsid w:val="00CA2E14"/>
    <w:rsid w:val="00CA60CD"/>
    <w:rsid w:val="00CA7038"/>
    <w:rsid w:val="00CB10E9"/>
    <w:rsid w:val="00CB11D6"/>
    <w:rsid w:val="00CB1B29"/>
    <w:rsid w:val="00CB5475"/>
    <w:rsid w:val="00CB665E"/>
    <w:rsid w:val="00CB6661"/>
    <w:rsid w:val="00CB6E09"/>
    <w:rsid w:val="00CC09A7"/>
    <w:rsid w:val="00CC0FD9"/>
    <w:rsid w:val="00CC1F8F"/>
    <w:rsid w:val="00CD12DD"/>
    <w:rsid w:val="00CD139B"/>
    <w:rsid w:val="00CD5E59"/>
    <w:rsid w:val="00CD7831"/>
    <w:rsid w:val="00CE05D4"/>
    <w:rsid w:val="00CE40F2"/>
    <w:rsid w:val="00CE4712"/>
    <w:rsid w:val="00CF53EE"/>
    <w:rsid w:val="00D01E5B"/>
    <w:rsid w:val="00D02378"/>
    <w:rsid w:val="00D02BE9"/>
    <w:rsid w:val="00D101DD"/>
    <w:rsid w:val="00D14423"/>
    <w:rsid w:val="00D15F27"/>
    <w:rsid w:val="00D17394"/>
    <w:rsid w:val="00D17B7F"/>
    <w:rsid w:val="00D21541"/>
    <w:rsid w:val="00D22C7B"/>
    <w:rsid w:val="00D23FFF"/>
    <w:rsid w:val="00D2778A"/>
    <w:rsid w:val="00D31043"/>
    <w:rsid w:val="00D32077"/>
    <w:rsid w:val="00D324C0"/>
    <w:rsid w:val="00D34914"/>
    <w:rsid w:val="00D34A13"/>
    <w:rsid w:val="00D35075"/>
    <w:rsid w:val="00D3640D"/>
    <w:rsid w:val="00D42AE0"/>
    <w:rsid w:val="00D43F4A"/>
    <w:rsid w:val="00D45330"/>
    <w:rsid w:val="00D45705"/>
    <w:rsid w:val="00D45A48"/>
    <w:rsid w:val="00D45DB8"/>
    <w:rsid w:val="00D45FAE"/>
    <w:rsid w:val="00D505CD"/>
    <w:rsid w:val="00D50821"/>
    <w:rsid w:val="00D52575"/>
    <w:rsid w:val="00D52D25"/>
    <w:rsid w:val="00D54DFC"/>
    <w:rsid w:val="00D632EF"/>
    <w:rsid w:val="00D65A57"/>
    <w:rsid w:val="00D661C4"/>
    <w:rsid w:val="00D66306"/>
    <w:rsid w:val="00D66B18"/>
    <w:rsid w:val="00D726DB"/>
    <w:rsid w:val="00D73164"/>
    <w:rsid w:val="00D75572"/>
    <w:rsid w:val="00D77E53"/>
    <w:rsid w:val="00D8135F"/>
    <w:rsid w:val="00D81DD5"/>
    <w:rsid w:val="00D87BB8"/>
    <w:rsid w:val="00D90BD9"/>
    <w:rsid w:val="00D911EC"/>
    <w:rsid w:val="00D932C5"/>
    <w:rsid w:val="00D939A7"/>
    <w:rsid w:val="00D9581C"/>
    <w:rsid w:val="00D95DCB"/>
    <w:rsid w:val="00D96228"/>
    <w:rsid w:val="00DA5459"/>
    <w:rsid w:val="00DB357A"/>
    <w:rsid w:val="00DB4233"/>
    <w:rsid w:val="00DB5097"/>
    <w:rsid w:val="00DB64BD"/>
    <w:rsid w:val="00DC4F7C"/>
    <w:rsid w:val="00DC7134"/>
    <w:rsid w:val="00DC74F2"/>
    <w:rsid w:val="00DC7C2C"/>
    <w:rsid w:val="00DD2256"/>
    <w:rsid w:val="00DD4B55"/>
    <w:rsid w:val="00DD5871"/>
    <w:rsid w:val="00DE2F66"/>
    <w:rsid w:val="00DE4173"/>
    <w:rsid w:val="00DE4592"/>
    <w:rsid w:val="00DF6125"/>
    <w:rsid w:val="00E04175"/>
    <w:rsid w:val="00E05332"/>
    <w:rsid w:val="00E10ED2"/>
    <w:rsid w:val="00E13E05"/>
    <w:rsid w:val="00E14F85"/>
    <w:rsid w:val="00E15784"/>
    <w:rsid w:val="00E16734"/>
    <w:rsid w:val="00E179BE"/>
    <w:rsid w:val="00E20401"/>
    <w:rsid w:val="00E229E0"/>
    <w:rsid w:val="00E264D8"/>
    <w:rsid w:val="00E319F9"/>
    <w:rsid w:val="00E331C7"/>
    <w:rsid w:val="00E33BB8"/>
    <w:rsid w:val="00E35240"/>
    <w:rsid w:val="00E36E18"/>
    <w:rsid w:val="00E37099"/>
    <w:rsid w:val="00E40A15"/>
    <w:rsid w:val="00E40CCE"/>
    <w:rsid w:val="00E42001"/>
    <w:rsid w:val="00E43654"/>
    <w:rsid w:val="00E459FA"/>
    <w:rsid w:val="00E45A4B"/>
    <w:rsid w:val="00E46996"/>
    <w:rsid w:val="00E50522"/>
    <w:rsid w:val="00E52F87"/>
    <w:rsid w:val="00E6120D"/>
    <w:rsid w:val="00E61D06"/>
    <w:rsid w:val="00E64908"/>
    <w:rsid w:val="00E7043E"/>
    <w:rsid w:val="00E712D5"/>
    <w:rsid w:val="00E747D9"/>
    <w:rsid w:val="00E75D5D"/>
    <w:rsid w:val="00E766CA"/>
    <w:rsid w:val="00E77E7C"/>
    <w:rsid w:val="00E81F85"/>
    <w:rsid w:val="00E8413D"/>
    <w:rsid w:val="00E84C2A"/>
    <w:rsid w:val="00E90CA1"/>
    <w:rsid w:val="00E91D25"/>
    <w:rsid w:val="00E94244"/>
    <w:rsid w:val="00E94465"/>
    <w:rsid w:val="00E94720"/>
    <w:rsid w:val="00E95F4D"/>
    <w:rsid w:val="00E97067"/>
    <w:rsid w:val="00EA6E8E"/>
    <w:rsid w:val="00EA7978"/>
    <w:rsid w:val="00EA7D19"/>
    <w:rsid w:val="00EB4D40"/>
    <w:rsid w:val="00EB7F70"/>
    <w:rsid w:val="00EC4657"/>
    <w:rsid w:val="00EC4C2A"/>
    <w:rsid w:val="00EC6764"/>
    <w:rsid w:val="00EC726F"/>
    <w:rsid w:val="00EC7743"/>
    <w:rsid w:val="00EC7B8C"/>
    <w:rsid w:val="00ED055B"/>
    <w:rsid w:val="00ED2540"/>
    <w:rsid w:val="00ED48A6"/>
    <w:rsid w:val="00ED48F0"/>
    <w:rsid w:val="00ED521A"/>
    <w:rsid w:val="00EE1F48"/>
    <w:rsid w:val="00EE3C5A"/>
    <w:rsid w:val="00EE4E0F"/>
    <w:rsid w:val="00EE504D"/>
    <w:rsid w:val="00EE66A2"/>
    <w:rsid w:val="00EE75E3"/>
    <w:rsid w:val="00EE7777"/>
    <w:rsid w:val="00EF0C86"/>
    <w:rsid w:val="00EF2D7A"/>
    <w:rsid w:val="00EF586D"/>
    <w:rsid w:val="00F00B9A"/>
    <w:rsid w:val="00F0246E"/>
    <w:rsid w:val="00F026DB"/>
    <w:rsid w:val="00F04133"/>
    <w:rsid w:val="00F05BCE"/>
    <w:rsid w:val="00F12233"/>
    <w:rsid w:val="00F12CE1"/>
    <w:rsid w:val="00F14096"/>
    <w:rsid w:val="00F14820"/>
    <w:rsid w:val="00F30DED"/>
    <w:rsid w:val="00F31DB2"/>
    <w:rsid w:val="00F33F5D"/>
    <w:rsid w:val="00F37720"/>
    <w:rsid w:val="00F401FB"/>
    <w:rsid w:val="00F4046D"/>
    <w:rsid w:val="00F40A6C"/>
    <w:rsid w:val="00F42D15"/>
    <w:rsid w:val="00F44EA5"/>
    <w:rsid w:val="00F4518D"/>
    <w:rsid w:val="00F454F6"/>
    <w:rsid w:val="00F46AEA"/>
    <w:rsid w:val="00F46C28"/>
    <w:rsid w:val="00F46CF6"/>
    <w:rsid w:val="00F51019"/>
    <w:rsid w:val="00F52179"/>
    <w:rsid w:val="00F52B79"/>
    <w:rsid w:val="00F559A5"/>
    <w:rsid w:val="00F55F9D"/>
    <w:rsid w:val="00F56E1A"/>
    <w:rsid w:val="00F60EEE"/>
    <w:rsid w:val="00F6204B"/>
    <w:rsid w:val="00F62B71"/>
    <w:rsid w:val="00F62CDA"/>
    <w:rsid w:val="00F6448C"/>
    <w:rsid w:val="00F65D8A"/>
    <w:rsid w:val="00F74422"/>
    <w:rsid w:val="00F76222"/>
    <w:rsid w:val="00F83712"/>
    <w:rsid w:val="00F85F61"/>
    <w:rsid w:val="00F86BEC"/>
    <w:rsid w:val="00F90084"/>
    <w:rsid w:val="00F9069A"/>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4CF2"/>
    <w:rsid w:val="00FE73C3"/>
    <w:rsid w:val="00FE750D"/>
    <w:rsid w:val="00FE7BAB"/>
    <w:rsid w:val="00FF0780"/>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731E5A"/>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rsid w:val="00E05332"/>
    <w:pPr>
      <w:autoSpaceDE w:val="0"/>
      <w:autoSpaceDN w:val="0"/>
      <w:adjustRightInd w:val="0"/>
      <w:spacing w:after="0" w:line="240" w:lineRule="auto"/>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E05332"/>
    <w:rPr>
      <w:rFonts w:ascii="Times New Roman" w:hAnsi="Times New Roman" w:cs="Times New Roman"/>
      <w:sz w:val="16"/>
      <w:szCs w:val="16"/>
    </w:rPr>
  </w:style>
  <w:style w:type="paragraph" w:customStyle="1" w:styleId="TableParagraph">
    <w:name w:val="Table Paragraph"/>
    <w:basedOn w:val="Normal"/>
    <w:uiPriority w:val="1"/>
    <w:qFormat/>
    <w:rsid w:val="00E05332"/>
    <w:pPr>
      <w:autoSpaceDE w:val="0"/>
      <w:autoSpaceDN w:val="0"/>
      <w:adjustRightInd w:val="0"/>
      <w:spacing w:after="0" w:line="160" w:lineRule="exact"/>
    </w:pPr>
    <w:rPr>
      <w:rFonts w:ascii="Times New Roman" w:hAnsi="Times New Roman" w:cs="Times New Roman"/>
      <w:sz w:val="24"/>
      <w:szCs w:val="24"/>
    </w:rPr>
  </w:style>
  <w:style w:type="character" w:customStyle="1" w:styleId="medium-normal">
    <w:name w:val="medium-normal"/>
    <w:basedOn w:val="DefaultParagraphFont"/>
    <w:rsid w:val="00012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931">
      <w:bodyDiv w:val="1"/>
      <w:marLeft w:val="0"/>
      <w:marRight w:val="0"/>
      <w:marTop w:val="0"/>
      <w:marBottom w:val="0"/>
      <w:divBdr>
        <w:top w:val="none" w:sz="0" w:space="0" w:color="auto"/>
        <w:left w:val="none" w:sz="0" w:space="0" w:color="auto"/>
        <w:bottom w:val="none" w:sz="0" w:space="0" w:color="auto"/>
        <w:right w:val="none" w:sz="0" w:space="0" w:color="auto"/>
      </w:divBdr>
    </w:div>
    <w:div w:id="26029645">
      <w:bodyDiv w:val="1"/>
      <w:marLeft w:val="0"/>
      <w:marRight w:val="0"/>
      <w:marTop w:val="0"/>
      <w:marBottom w:val="0"/>
      <w:divBdr>
        <w:top w:val="none" w:sz="0" w:space="0" w:color="auto"/>
        <w:left w:val="none" w:sz="0" w:space="0" w:color="auto"/>
        <w:bottom w:val="none" w:sz="0" w:space="0" w:color="auto"/>
        <w:right w:val="none" w:sz="0" w:space="0" w:color="auto"/>
      </w:divBdr>
    </w:div>
    <w:div w:id="102459511">
      <w:bodyDiv w:val="1"/>
      <w:marLeft w:val="0"/>
      <w:marRight w:val="0"/>
      <w:marTop w:val="0"/>
      <w:marBottom w:val="0"/>
      <w:divBdr>
        <w:top w:val="none" w:sz="0" w:space="0" w:color="auto"/>
        <w:left w:val="none" w:sz="0" w:space="0" w:color="auto"/>
        <w:bottom w:val="none" w:sz="0" w:space="0" w:color="auto"/>
        <w:right w:val="none" w:sz="0" w:space="0" w:color="auto"/>
      </w:divBdr>
    </w:div>
    <w:div w:id="155801511">
      <w:bodyDiv w:val="1"/>
      <w:marLeft w:val="0"/>
      <w:marRight w:val="0"/>
      <w:marTop w:val="0"/>
      <w:marBottom w:val="0"/>
      <w:divBdr>
        <w:top w:val="none" w:sz="0" w:space="0" w:color="auto"/>
        <w:left w:val="none" w:sz="0" w:space="0" w:color="auto"/>
        <w:bottom w:val="none" w:sz="0" w:space="0" w:color="auto"/>
        <w:right w:val="none" w:sz="0" w:space="0" w:color="auto"/>
      </w:divBdr>
    </w:div>
    <w:div w:id="178393380">
      <w:bodyDiv w:val="1"/>
      <w:marLeft w:val="0"/>
      <w:marRight w:val="0"/>
      <w:marTop w:val="0"/>
      <w:marBottom w:val="0"/>
      <w:divBdr>
        <w:top w:val="none" w:sz="0" w:space="0" w:color="auto"/>
        <w:left w:val="none" w:sz="0" w:space="0" w:color="auto"/>
        <w:bottom w:val="none" w:sz="0" w:space="0" w:color="auto"/>
        <w:right w:val="none" w:sz="0" w:space="0" w:color="auto"/>
      </w:divBdr>
    </w:div>
    <w:div w:id="193886027">
      <w:bodyDiv w:val="1"/>
      <w:marLeft w:val="0"/>
      <w:marRight w:val="0"/>
      <w:marTop w:val="0"/>
      <w:marBottom w:val="0"/>
      <w:divBdr>
        <w:top w:val="none" w:sz="0" w:space="0" w:color="auto"/>
        <w:left w:val="none" w:sz="0" w:space="0" w:color="auto"/>
        <w:bottom w:val="none" w:sz="0" w:space="0" w:color="auto"/>
        <w:right w:val="none" w:sz="0" w:space="0" w:color="auto"/>
      </w:divBdr>
    </w:div>
    <w:div w:id="232743977">
      <w:bodyDiv w:val="1"/>
      <w:marLeft w:val="0"/>
      <w:marRight w:val="0"/>
      <w:marTop w:val="0"/>
      <w:marBottom w:val="0"/>
      <w:divBdr>
        <w:top w:val="none" w:sz="0" w:space="0" w:color="auto"/>
        <w:left w:val="none" w:sz="0" w:space="0" w:color="auto"/>
        <w:bottom w:val="none" w:sz="0" w:space="0" w:color="auto"/>
        <w:right w:val="none" w:sz="0" w:space="0" w:color="auto"/>
      </w:divBdr>
    </w:div>
    <w:div w:id="281573472">
      <w:bodyDiv w:val="1"/>
      <w:marLeft w:val="0"/>
      <w:marRight w:val="0"/>
      <w:marTop w:val="0"/>
      <w:marBottom w:val="0"/>
      <w:divBdr>
        <w:top w:val="none" w:sz="0" w:space="0" w:color="auto"/>
        <w:left w:val="none" w:sz="0" w:space="0" w:color="auto"/>
        <w:bottom w:val="none" w:sz="0" w:space="0" w:color="auto"/>
        <w:right w:val="none" w:sz="0" w:space="0" w:color="auto"/>
      </w:divBdr>
    </w:div>
    <w:div w:id="367486127">
      <w:bodyDiv w:val="1"/>
      <w:marLeft w:val="0"/>
      <w:marRight w:val="0"/>
      <w:marTop w:val="0"/>
      <w:marBottom w:val="0"/>
      <w:divBdr>
        <w:top w:val="none" w:sz="0" w:space="0" w:color="auto"/>
        <w:left w:val="none" w:sz="0" w:space="0" w:color="auto"/>
        <w:bottom w:val="none" w:sz="0" w:space="0" w:color="auto"/>
        <w:right w:val="none" w:sz="0" w:space="0" w:color="auto"/>
      </w:divBdr>
    </w:div>
    <w:div w:id="381291373">
      <w:bodyDiv w:val="1"/>
      <w:marLeft w:val="0"/>
      <w:marRight w:val="0"/>
      <w:marTop w:val="0"/>
      <w:marBottom w:val="0"/>
      <w:divBdr>
        <w:top w:val="none" w:sz="0" w:space="0" w:color="auto"/>
        <w:left w:val="none" w:sz="0" w:space="0" w:color="auto"/>
        <w:bottom w:val="none" w:sz="0" w:space="0" w:color="auto"/>
        <w:right w:val="none" w:sz="0" w:space="0" w:color="auto"/>
      </w:divBdr>
    </w:div>
    <w:div w:id="390151307">
      <w:bodyDiv w:val="1"/>
      <w:marLeft w:val="0"/>
      <w:marRight w:val="0"/>
      <w:marTop w:val="0"/>
      <w:marBottom w:val="0"/>
      <w:divBdr>
        <w:top w:val="none" w:sz="0" w:space="0" w:color="auto"/>
        <w:left w:val="none" w:sz="0" w:space="0" w:color="auto"/>
        <w:bottom w:val="none" w:sz="0" w:space="0" w:color="auto"/>
        <w:right w:val="none" w:sz="0" w:space="0" w:color="auto"/>
      </w:divBdr>
    </w:div>
    <w:div w:id="397943517">
      <w:bodyDiv w:val="1"/>
      <w:marLeft w:val="0"/>
      <w:marRight w:val="0"/>
      <w:marTop w:val="0"/>
      <w:marBottom w:val="0"/>
      <w:divBdr>
        <w:top w:val="none" w:sz="0" w:space="0" w:color="auto"/>
        <w:left w:val="none" w:sz="0" w:space="0" w:color="auto"/>
        <w:bottom w:val="none" w:sz="0" w:space="0" w:color="auto"/>
        <w:right w:val="none" w:sz="0" w:space="0" w:color="auto"/>
      </w:divBdr>
    </w:div>
    <w:div w:id="441150390">
      <w:bodyDiv w:val="1"/>
      <w:marLeft w:val="0"/>
      <w:marRight w:val="0"/>
      <w:marTop w:val="0"/>
      <w:marBottom w:val="0"/>
      <w:divBdr>
        <w:top w:val="none" w:sz="0" w:space="0" w:color="auto"/>
        <w:left w:val="none" w:sz="0" w:space="0" w:color="auto"/>
        <w:bottom w:val="none" w:sz="0" w:space="0" w:color="auto"/>
        <w:right w:val="none" w:sz="0" w:space="0" w:color="auto"/>
      </w:divBdr>
    </w:div>
    <w:div w:id="498469569">
      <w:bodyDiv w:val="1"/>
      <w:marLeft w:val="0"/>
      <w:marRight w:val="0"/>
      <w:marTop w:val="0"/>
      <w:marBottom w:val="0"/>
      <w:divBdr>
        <w:top w:val="none" w:sz="0" w:space="0" w:color="auto"/>
        <w:left w:val="none" w:sz="0" w:space="0" w:color="auto"/>
        <w:bottom w:val="none" w:sz="0" w:space="0" w:color="auto"/>
        <w:right w:val="none" w:sz="0" w:space="0" w:color="auto"/>
      </w:divBdr>
    </w:div>
    <w:div w:id="528613902">
      <w:bodyDiv w:val="1"/>
      <w:marLeft w:val="0"/>
      <w:marRight w:val="0"/>
      <w:marTop w:val="0"/>
      <w:marBottom w:val="0"/>
      <w:divBdr>
        <w:top w:val="none" w:sz="0" w:space="0" w:color="auto"/>
        <w:left w:val="none" w:sz="0" w:space="0" w:color="auto"/>
        <w:bottom w:val="none" w:sz="0" w:space="0" w:color="auto"/>
        <w:right w:val="none" w:sz="0" w:space="0" w:color="auto"/>
      </w:divBdr>
      <w:divsChild>
        <w:div w:id="4086216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576941631">
      <w:bodyDiv w:val="1"/>
      <w:marLeft w:val="0"/>
      <w:marRight w:val="0"/>
      <w:marTop w:val="0"/>
      <w:marBottom w:val="0"/>
      <w:divBdr>
        <w:top w:val="none" w:sz="0" w:space="0" w:color="auto"/>
        <w:left w:val="none" w:sz="0" w:space="0" w:color="auto"/>
        <w:bottom w:val="none" w:sz="0" w:space="0" w:color="auto"/>
        <w:right w:val="none" w:sz="0" w:space="0" w:color="auto"/>
      </w:divBdr>
    </w:div>
    <w:div w:id="596640159">
      <w:bodyDiv w:val="1"/>
      <w:marLeft w:val="0"/>
      <w:marRight w:val="0"/>
      <w:marTop w:val="0"/>
      <w:marBottom w:val="0"/>
      <w:divBdr>
        <w:top w:val="none" w:sz="0" w:space="0" w:color="auto"/>
        <w:left w:val="none" w:sz="0" w:space="0" w:color="auto"/>
        <w:bottom w:val="none" w:sz="0" w:space="0" w:color="auto"/>
        <w:right w:val="none" w:sz="0" w:space="0" w:color="auto"/>
      </w:divBdr>
    </w:div>
    <w:div w:id="636573447">
      <w:bodyDiv w:val="1"/>
      <w:marLeft w:val="0"/>
      <w:marRight w:val="0"/>
      <w:marTop w:val="0"/>
      <w:marBottom w:val="0"/>
      <w:divBdr>
        <w:top w:val="none" w:sz="0" w:space="0" w:color="auto"/>
        <w:left w:val="none" w:sz="0" w:space="0" w:color="auto"/>
        <w:bottom w:val="none" w:sz="0" w:space="0" w:color="auto"/>
        <w:right w:val="none" w:sz="0" w:space="0" w:color="auto"/>
      </w:divBdr>
    </w:div>
    <w:div w:id="676275175">
      <w:bodyDiv w:val="1"/>
      <w:marLeft w:val="0"/>
      <w:marRight w:val="0"/>
      <w:marTop w:val="0"/>
      <w:marBottom w:val="0"/>
      <w:divBdr>
        <w:top w:val="none" w:sz="0" w:space="0" w:color="auto"/>
        <w:left w:val="none" w:sz="0" w:space="0" w:color="auto"/>
        <w:bottom w:val="none" w:sz="0" w:space="0" w:color="auto"/>
        <w:right w:val="none" w:sz="0" w:space="0" w:color="auto"/>
      </w:divBdr>
    </w:div>
    <w:div w:id="732196370">
      <w:bodyDiv w:val="1"/>
      <w:marLeft w:val="0"/>
      <w:marRight w:val="0"/>
      <w:marTop w:val="0"/>
      <w:marBottom w:val="0"/>
      <w:divBdr>
        <w:top w:val="none" w:sz="0" w:space="0" w:color="auto"/>
        <w:left w:val="none" w:sz="0" w:space="0" w:color="auto"/>
        <w:bottom w:val="none" w:sz="0" w:space="0" w:color="auto"/>
        <w:right w:val="none" w:sz="0" w:space="0" w:color="auto"/>
      </w:divBdr>
    </w:div>
    <w:div w:id="740523480">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95703811">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021205277">
      <w:bodyDiv w:val="1"/>
      <w:marLeft w:val="0"/>
      <w:marRight w:val="0"/>
      <w:marTop w:val="0"/>
      <w:marBottom w:val="0"/>
      <w:divBdr>
        <w:top w:val="none" w:sz="0" w:space="0" w:color="auto"/>
        <w:left w:val="none" w:sz="0" w:space="0" w:color="auto"/>
        <w:bottom w:val="none" w:sz="0" w:space="0" w:color="auto"/>
        <w:right w:val="none" w:sz="0" w:space="0" w:color="auto"/>
      </w:divBdr>
    </w:div>
    <w:div w:id="1023898975">
      <w:bodyDiv w:val="1"/>
      <w:marLeft w:val="0"/>
      <w:marRight w:val="0"/>
      <w:marTop w:val="0"/>
      <w:marBottom w:val="0"/>
      <w:divBdr>
        <w:top w:val="none" w:sz="0" w:space="0" w:color="auto"/>
        <w:left w:val="none" w:sz="0" w:space="0" w:color="auto"/>
        <w:bottom w:val="none" w:sz="0" w:space="0" w:color="auto"/>
        <w:right w:val="none" w:sz="0" w:space="0" w:color="auto"/>
      </w:divBdr>
    </w:div>
    <w:div w:id="1039281618">
      <w:bodyDiv w:val="1"/>
      <w:marLeft w:val="0"/>
      <w:marRight w:val="0"/>
      <w:marTop w:val="0"/>
      <w:marBottom w:val="0"/>
      <w:divBdr>
        <w:top w:val="none" w:sz="0" w:space="0" w:color="auto"/>
        <w:left w:val="none" w:sz="0" w:space="0" w:color="auto"/>
        <w:bottom w:val="none" w:sz="0" w:space="0" w:color="auto"/>
        <w:right w:val="none" w:sz="0" w:space="0" w:color="auto"/>
      </w:divBdr>
    </w:div>
    <w:div w:id="1046876314">
      <w:bodyDiv w:val="1"/>
      <w:marLeft w:val="0"/>
      <w:marRight w:val="0"/>
      <w:marTop w:val="0"/>
      <w:marBottom w:val="0"/>
      <w:divBdr>
        <w:top w:val="none" w:sz="0" w:space="0" w:color="auto"/>
        <w:left w:val="none" w:sz="0" w:space="0" w:color="auto"/>
        <w:bottom w:val="none" w:sz="0" w:space="0" w:color="auto"/>
        <w:right w:val="none" w:sz="0" w:space="0" w:color="auto"/>
      </w:divBdr>
    </w:div>
    <w:div w:id="1144659693">
      <w:bodyDiv w:val="1"/>
      <w:marLeft w:val="0"/>
      <w:marRight w:val="0"/>
      <w:marTop w:val="0"/>
      <w:marBottom w:val="0"/>
      <w:divBdr>
        <w:top w:val="none" w:sz="0" w:space="0" w:color="auto"/>
        <w:left w:val="none" w:sz="0" w:space="0" w:color="auto"/>
        <w:bottom w:val="none" w:sz="0" w:space="0" w:color="auto"/>
        <w:right w:val="none" w:sz="0" w:space="0" w:color="auto"/>
      </w:divBdr>
    </w:div>
    <w:div w:id="1161308891">
      <w:bodyDiv w:val="1"/>
      <w:marLeft w:val="0"/>
      <w:marRight w:val="0"/>
      <w:marTop w:val="0"/>
      <w:marBottom w:val="0"/>
      <w:divBdr>
        <w:top w:val="none" w:sz="0" w:space="0" w:color="auto"/>
        <w:left w:val="none" w:sz="0" w:space="0" w:color="auto"/>
        <w:bottom w:val="none" w:sz="0" w:space="0" w:color="auto"/>
        <w:right w:val="none" w:sz="0" w:space="0" w:color="auto"/>
      </w:divBdr>
    </w:div>
    <w:div w:id="1172140981">
      <w:bodyDiv w:val="1"/>
      <w:marLeft w:val="0"/>
      <w:marRight w:val="0"/>
      <w:marTop w:val="0"/>
      <w:marBottom w:val="0"/>
      <w:divBdr>
        <w:top w:val="none" w:sz="0" w:space="0" w:color="auto"/>
        <w:left w:val="none" w:sz="0" w:space="0" w:color="auto"/>
        <w:bottom w:val="none" w:sz="0" w:space="0" w:color="auto"/>
        <w:right w:val="none" w:sz="0" w:space="0" w:color="auto"/>
      </w:divBdr>
    </w:div>
    <w:div w:id="1218669151">
      <w:bodyDiv w:val="1"/>
      <w:marLeft w:val="0"/>
      <w:marRight w:val="0"/>
      <w:marTop w:val="0"/>
      <w:marBottom w:val="0"/>
      <w:divBdr>
        <w:top w:val="none" w:sz="0" w:space="0" w:color="auto"/>
        <w:left w:val="none" w:sz="0" w:space="0" w:color="auto"/>
        <w:bottom w:val="none" w:sz="0" w:space="0" w:color="auto"/>
        <w:right w:val="none" w:sz="0" w:space="0" w:color="auto"/>
      </w:divBdr>
    </w:div>
    <w:div w:id="1262374006">
      <w:bodyDiv w:val="1"/>
      <w:marLeft w:val="0"/>
      <w:marRight w:val="0"/>
      <w:marTop w:val="0"/>
      <w:marBottom w:val="0"/>
      <w:divBdr>
        <w:top w:val="none" w:sz="0" w:space="0" w:color="auto"/>
        <w:left w:val="none" w:sz="0" w:space="0" w:color="auto"/>
        <w:bottom w:val="none" w:sz="0" w:space="0" w:color="auto"/>
        <w:right w:val="none" w:sz="0" w:space="0" w:color="auto"/>
      </w:divBdr>
    </w:div>
    <w:div w:id="1325625806">
      <w:bodyDiv w:val="1"/>
      <w:marLeft w:val="0"/>
      <w:marRight w:val="0"/>
      <w:marTop w:val="0"/>
      <w:marBottom w:val="0"/>
      <w:divBdr>
        <w:top w:val="none" w:sz="0" w:space="0" w:color="auto"/>
        <w:left w:val="none" w:sz="0" w:space="0" w:color="auto"/>
        <w:bottom w:val="none" w:sz="0" w:space="0" w:color="auto"/>
        <w:right w:val="none" w:sz="0" w:space="0" w:color="auto"/>
      </w:divBdr>
      <w:divsChild>
        <w:div w:id="590313846">
          <w:marLeft w:val="0"/>
          <w:marRight w:val="0"/>
          <w:marTop w:val="0"/>
          <w:marBottom w:val="0"/>
          <w:divBdr>
            <w:top w:val="none" w:sz="0" w:space="0" w:color="auto"/>
            <w:left w:val="none" w:sz="0" w:space="0" w:color="auto"/>
            <w:bottom w:val="none" w:sz="0" w:space="0" w:color="auto"/>
            <w:right w:val="none" w:sz="0" w:space="0" w:color="auto"/>
          </w:divBdr>
        </w:div>
      </w:divsChild>
    </w:div>
    <w:div w:id="1330057472">
      <w:bodyDiv w:val="1"/>
      <w:marLeft w:val="0"/>
      <w:marRight w:val="0"/>
      <w:marTop w:val="0"/>
      <w:marBottom w:val="0"/>
      <w:divBdr>
        <w:top w:val="none" w:sz="0" w:space="0" w:color="auto"/>
        <w:left w:val="none" w:sz="0" w:space="0" w:color="auto"/>
        <w:bottom w:val="none" w:sz="0" w:space="0" w:color="auto"/>
        <w:right w:val="none" w:sz="0" w:space="0" w:color="auto"/>
      </w:divBdr>
    </w:div>
    <w:div w:id="1365205876">
      <w:bodyDiv w:val="1"/>
      <w:marLeft w:val="0"/>
      <w:marRight w:val="0"/>
      <w:marTop w:val="0"/>
      <w:marBottom w:val="0"/>
      <w:divBdr>
        <w:top w:val="none" w:sz="0" w:space="0" w:color="auto"/>
        <w:left w:val="none" w:sz="0" w:space="0" w:color="auto"/>
        <w:bottom w:val="none" w:sz="0" w:space="0" w:color="auto"/>
        <w:right w:val="none" w:sz="0" w:space="0" w:color="auto"/>
      </w:divBdr>
    </w:div>
    <w:div w:id="1377968940">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13837854">
      <w:bodyDiv w:val="1"/>
      <w:marLeft w:val="0"/>
      <w:marRight w:val="0"/>
      <w:marTop w:val="0"/>
      <w:marBottom w:val="0"/>
      <w:divBdr>
        <w:top w:val="none" w:sz="0" w:space="0" w:color="auto"/>
        <w:left w:val="none" w:sz="0" w:space="0" w:color="auto"/>
        <w:bottom w:val="none" w:sz="0" w:space="0" w:color="auto"/>
        <w:right w:val="none" w:sz="0" w:space="0" w:color="auto"/>
      </w:divBdr>
      <w:divsChild>
        <w:div w:id="262424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7692085">
      <w:bodyDiv w:val="1"/>
      <w:marLeft w:val="0"/>
      <w:marRight w:val="0"/>
      <w:marTop w:val="0"/>
      <w:marBottom w:val="0"/>
      <w:divBdr>
        <w:top w:val="none" w:sz="0" w:space="0" w:color="auto"/>
        <w:left w:val="none" w:sz="0" w:space="0" w:color="auto"/>
        <w:bottom w:val="none" w:sz="0" w:space="0" w:color="auto"/>
        <w:right w:val="none" w:sz="0" w:space="0" w:color="auto"/>
      </w:divBdr>
    </w:div>
    <w:div w:id="1572154286">
      <w:bodyDiv w:val="1"/>
      <w:marLeft w:val="0"/>
      <w:marRight w:val="0"/>
      <w:marTop w:val="0"/>
      <w:marBottom w:val="0"/>
      <w:divBdr>
        <w:top w:val="none" w:sz="0" w:space="0" w:color="auto"/>
        <w:left w:val="none" w:sz="0" w:space="0" w:color="auto"/>
        <w:bottom w:val="none" w:sz="0" w:space="0" w:color="auto"/>
        <w:right w:val="none" w:sz="0" w:space="0" w:color="auto"/>
      </w:divBdr>
    </w:div>
    <w:div w:id="1583487260">
      <w:bodyDiv w:val="1"/>
      <w:marLeft w:val="0"/>
      <w:marRight w:val="0"/>
      <w:marTop w:val="0"/>
      <w:marBottom w:val="0"/>
      <w:divBdr>
        <w:top w:val="none" w:sz="0" w:space="0" w:color="auto"/>
        <w:left w:val="none" w:sz="0" w:space="0" w:color="auto"/>
        <w:bottom w:val="none" w:sz="0" w:space="0" w:color="auto"/>
        <w:right w:val="none" w:sz="0" w:space="0" w:color="auto"/>
      </w:divBdr>
    </w:div>
    <w:div w:id="1627077462">
      <w:bodyDiv w:val="1"/>
      <w:marLeft w:val="0"/>
      <w:marRight w:val="0"/>
      <w:marTop w:val="0"/>
      <w:marBottom w:val="0"/>
      <w:divBdr>
        <w:top w:val="none" w:sz="0" w:space="0" w:color="auto"/>
        <w:left w:val="none" w:sz="0" w:space="0" w:color="auto"/>
        <w:bottom w:val="none" w:sz="0" w:space="0" w:color="auto"/>
        <w:right w:val="none" w:sz="0" w:space="0" w:color="auto"/>
      </w:divBdr>
    </w:div>
    <w:div w:id="1628855998">
      <w:bodyDiv w:val="1"/>
      <w:marLeft w:val="0"/>
      <w:marRight w:val="0"/>
      <w:marTop w:val="0"/>
      <w:marBottom w:val="0"/>
      <w:divBdr>
        <w:top w:val="none" w:sz="0" w:space="0" w:color="auto"/>
        <w:left w:val="none" w:sz="0" w:space="0" w:color="auto"/>
        <w:bottom w:val="none" w:sz="0" w:space="0" w:color="auto"/>
        <w:right w:val="none" w:sz="0" w:space="0" w:color="auto"/>
      </w:divBdr>
    </w:div>
    <w:div w:id="1637955858">
      <w:bodyDiv w:val="1"/>
      <w:marLeft w:val="0"/>
      <w:marRight w:val="0"/>
      <w:marTop w:val="0"/>
      <w:marBottom w:val="0"/>
      <w:divBdr>
        <w:top w:val="none" w:sz="0" w:space="0" w:color="auto"/>
        <w:left w:val="none" w:sz="0" w:space="0" w:color="auto"/>
        <w:bottom w:val="none" w:sz="0" w:space="0" w:color="auto"/>
        <w:right w:val="none" w:sz="0" w:space="0" w:color="auto"/>
      </w:divBdr>
    </w:div>
    <w:div w:id="1724207394">
      <w:bodyDiv w:val="1"/>
      <w:marLeft w:val="0"/>
      <w:marRight w:val="0"/>
      <w:marTop w:val="0"/>
      <w:marBottom w:val="0"/>
      <w:divBdr>
        <w:top w:val="none" w:sz="0" w:space="0" w:color="auto"/>
        <w:left w:val="none" w:sz="0" w:space="0" w:color="auto"/>
        <w:bottom w:val="none" w:sz="0" w:space="0" w:color="auto"/>
        <w:right w:val="none" w:sz="0" w:space="0" w:color="auto"/>
      </w:divBdr>
    </w:div>
    <w:div w:id="1735277872">
      <w:bodyDiv w:val="1"/>
      <w:marLeft w:val="0"/>
      <w:marRight w:val="0"/>
      <w:marTop w:val="0"/>
      <w:marBottom w:val="0"/>
      <w:divBdr>
        <w:top w:val="none" w:sz="0" w:space="0" w:color="auto"/>
        <w:left w:val="none" w:sz="0" w:space="0" w:color="auto"/>
        <w:bottom w:val="none" w:sz="0" w:space="0" w:color="auto"/>
        <w:right w:val="none" w:sz="0" w:space="0" w:color="auto"/>
      </w:divBdr>
    </w:div>
    <w:div w:id="1736851602">
      <w:bodyDiv w:val="1"/>
      <w:marLeft w:val="0"/>
      <w:marRight w:val="0"/>
      <w:marTop w:val="0"/>
      <w:marBottom w:val="0"/>
      <w:divBdr>
        <w:top w:val="none" w:sz="0" w:space="0" w:color="auto"/>
        <w:left w:val="none" w:sz="0" w:space="0" w:color="auto"/>
        <w:bottom w:val="none" w:sz="0" w:space="0" w:color="auto"/>
        <w:right w:val="none" w:sz="0" w:space="0" w:color="auto"/>
      </w:divBdr>
    </w:div>
    <w:div w:id="1737363650">
      <w:bodyDiv w:val="1"/>
      <w:marLeft w:val="0"/>
      <w:marRight w:val="0"/>
      <w:marTop w:val="0"/>
      <w:marBottom w:val="0"/>
      <w:divBdr>
        <w:top w:val="none" w:sz="0" w:space="0" w:color="auto"/>
        <w:left w:val="none" w:sz="0" w:space="0" w:color="auto"/>
        <w:bottom w:val="none" w:sz="0" w:space="0" w:color="auto"/>
        <w:right w:val="none" w:sz="0" w:space="0" w:color="auto"/>
      </w:divBdr>
    </w:div>
    <w:div w:id="1749035542">
      <w:bodyDiv w:val="1"/>
      <w:marLeft w:val="0"/>
      <w:marRight w:val="0"/>
      <w:marTop w:val="0"/>
      <w:marBottom w:val="0"/>
      <w:divBdr>
        <w:top w:val="none" w:sz="0" w:space="0" w:color="auto"/>
        <w:left w:val="none" w:sz="0" w:space="0" w:color="auto"/>
        <w:bottom w:val="none" w:sz="0" w:space="0" w:color="auto"/>
        <w:right w:val="none" w:sz="0" w:space="0" w:color="auto"/>
      </w:divBdr>
    </w:div>
    <w:div w:id="1756432827">
      <w:bodyDiv w:val="1"/>
      <w:marLeft w:val="0"/>
      <w:marRight w:val="0"/>
      <w:marTop w:val="0"/>
      <w:marBottom w:val="0"/>
      <w:divBdr>
        <w:top w:val="none" w:sz="0" w:space="0" w:color="auto"/>
        <w:left w:val="none" w:sz="0" w:space="0" w:color="auto"/>
        <w:bottom w:val="none" w:sz="0" w:space="0" w:color="auto"/>
        <w:right w:val="none" w:sz="0" w:space="0" w:color="auto"/>
      </w:divBdr>
    </w:div>
    <w:div w:id="1775518244">
      <w:bodyDiv w:val="1"/>
      <w:marLeft w:val="0"/>
      <w:marRight w:val="0"/>
      <w:marTop w:val="0"/>
      <w:marBottom w:val="0"/>
      <w:divBdr>
        <w:top w:val="none" w:sz="0" w:space="0" w:color="auto"/>
        <w:left w:val="none" w:sz="0" w:space="0" w:color="auto"/>
        <w:bottom w:val="none" w:sz="0" w:space="0" w:color="auto"/>
        <w:right w:val="none" w:sz="0" w:space="0" w:color="auto"/>
      </w:divBdr>
    </w:div>
    <w:div w:id="179655563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54950970">
      <w:bodyDiv w:val="1"/>
      <w:marLeft w:val="0"/>
      <w:marRight w:val="0"/>
      <w:marTop w:val="0"/>
      <w:marBottom w:val="0"/>
      <w:divBdr>
        <w:top w:val="none" w:sz="0" w:space="0" w:color="auto"/>
        <w:left w:val="none" w:sz="0" w:space="0" w:color="auto"/>
        <w:bottom w:val="none" w:sz="0" w:space="0" w:color="auto"/>
        <w:right w:val="none" w:sz="0" w:space="0" w:color="auto"/>
      </w:divBdr>
    </w:div>
    <w:div w:id="1860660658">
      <w:bodyDiv w:val="1"/>
      <w:marLeft w:val="0"/>
      <w:marRight w:val="0"/>
      <w:marTop w:val="0"/>
      <w:marBottom w:val="0"/>
      <w:divBdr>
        <w:top w:val="none" w:sz="0" w:space="0" w:color="auto"/>
        <w:left w:val="none" w:sz="0" w:space="0" w:color="auto"/>
        <w:bottom w:val="none" w:sz="0" w:space="0" w:color="auto"/>
        <w:right w:val="none" w:sz="0" w:space="0" w:color="auto"/>
      </w:divBdr>
    </w:div>
    <w:div w:id="1898203432">
      <w:bodyDiv w:val="1"/>
      <w:marLeft w:val="0"/>
      <w:marRight w:val="0"/>
      <w:marTop w:val="0"/>
      <w:marBottom w:val="0"/>
      <w:divBdr>
        <w:top w:val="none" w:sz="0" w:space="0" w:color="auto"/>
        <w:left w:val="none" w:sz="0" w:space="0" w:color="auto"/>
        <w:bottom w:val="none" w:sz="0" w:space="0" w:color="auto"/>
        <w:right w:val="none" w:sz="0" w:space="0" w:color="auto"/>
      </w:divBdr>
    </w:div>
    <w:div w:id="1908764926">
      <w:bodyDiv w:val="1"/>
      <w:marLeft w:val="0"/>
      <w:marRight w:val="0"/>
      <w:marTop w:val="0"/>
      <w:marBottom w:val="0"/>
      <w:divBdr>
        <w:top w:val="none" w:sz="0" w:space="0" w:color="auto"/>
        <w:left w:val="none" w:sz="0" w:space="0" w:color="auto"/>
        <w:bottom w:val="none" w:sz="0" w:space="0" w:color="auto"/>
        <w:right w:val="none" w:sz="0" w:space="0" w:color="auto"/>
      </w:divBdr>
    </w:div>
    <w:div w:id="1919514860">
      <w:bodyDiv w:val="1"/>
      <w:marLeft w:val="0"/>
      <w:marRight w:val="0"/>
      <w:marTop w:val="0"/>
      <w:marBottom w:val="0"/>
      <w:divBdr>
        <w:top w:val="none" w:sz="0" w:space="0" w:color="auto"/>
        <w:left w:val="none" w:sz="0" w:space="0" w:color="auto"/>
        <w:bottom w:val="none" w:sz="0" w:space="0" w:color="auto"/>
        <w:right w:val="none" w:sz="0" w:space="0" w:color="auto"/>
      </w:divBdr>
    </w:div>
    <w:div w:id="1952858098">
      <w:bodyDiv w:val="1"/>
      <w:marLeft w:val="0"/>
      <w:marRight w:val="0"/>
      <w:marTop w:val="0"/>
      <w:marBottom w:val="0"/>
      <w:divBdr>
        <w:top w:val="none" w:sz="0" w:space="0" w:color="auto"/>
        <w:left w:val="none" w:sz="0" w:space="0" w:color="auto"/>
        <w:bottom w:val="none" w:sz="0" w:space="0" w:color="auto"/>
        <w:right w:val="none" w:sz="0" w:space="0" w:color="auto"/>
      </w:divBdr>
    </w:div>
    <w:div w:id="1962493357">
      <w:bodyDiv w:val="1"/>
      <w:marLeft w:val="0"/>
      <w:marRight w:val="0"/>
      <w:marTop w:val="0"/>
      <w:marBottom w:val="0"/>
      <w:divBdr>
        <w:top w:val="none" w:sz="0" w:space="0" w:color="auto"/>
        <w:left w:val="none" w:sz="0" w:space="0" w:color="auto"/>
        <w:bottom w:val="none" w:sz="0" w:space="0" w:color="auto"/>
        <w:right w:val="none" w:sz="0" w:space="0" w:color="auto"/>
      </w:divBdr>
    </w:div>
    <w:div w:id="1983608527">
      <w:bodyDiv w:val="1"/>
      <w:marLeft w:val="0"/>
      <w:marRight w:val="0"/>
      <w:marTop w:val="0"/>
      <w:marBottom w:val="0"/>
      <w:divBdr>
        <w:top w:val="none" w:sz="0" w:space="0" w:color="auto"/>
        <w:left w:val="none" w:sz="0" w:space="0" w:color="auto"/>
        <w:bottom w:val="none" w:sz="0" w:space="0" w:color="auto"/>
        <w:right w:val="none" w:sz="0" w:space="0" w:color="auto"/>
      </w:divBdr>
    </w:div>
    <w:div w:id="1986159418">
      <w:bodyDiv w:val="1"/>
      <w:marLeft w:val="0"/>
      <w:marRight w:val="0"/>
      <w:marTop w:val="0"/>
      <w:marBottom w:val="0"/>
      <w:divBdr>
        <w:top w:val="none" w:sz="0" w:space="0" w:color="auto"/>
        <w:left w:val="none" w:sz="0" w:space="0" w:color="auto"/>
        <w:bottom w:val="none" w:sz="0" w:space="0" w:color="auto"/>
        <w:right w:val="none" w:sz="0" w:space="0" w:color="auto"/>
      </w:divBdr>
    </w:div>
    <w:div w:id="2065833332">
      <w:bodyDiv w:val="1"/>
      <w:marLeft w:val="0"/>
      <w:marRight w:val="0"/>
      <w:marTop w:val="0"/>
      <w:marBottom w:val="0"/>
      <w:divBdr>
        <w:top w:val="none" w:sz="0" w:space="0" w:color="auto"/>
        <w:left w:val="none" w:sz="0" w:space="0" w:color="auto"/>
        <w:bottom w:val="none" w:sz="0" w:space="0" w:color="auto"/>
        <w:right w:val="none" w:sz="0" w:space="0" w:color="auto"/>
      </w:divBdr>
    </w:div>
    <w:div w:id="214515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web-b-ebscohost-com.libus.csd.mu.edu/ehost/detail/detail?vid=3&amp;sid=ba31a4a0-7759-4744-8a4b-f3a61b5b9fee%40pdc-v-sessmgr01&amp;bdata=JnNpdGU9ZWhvc3QtbGl2ZQ%3d%3d" TargetMode="External"/><Relationship Id="rId21" Type="http://schemas.openxmlformats.org/officeDocument/2006/relationships/hyperlink" Target="https://0-web-b-ebscohost-com.libus.csd.mu.edu/ehost/detail/detail?vid=3&amp;sid=ba31a4a0-7759-4744-8a4b-f3a61b5b9fee%40pdc-v-sessmgr01&amp;bdata=JnNpdGU9ZWhvc3QtbGl2ZQ%3d%3d" TargetMode="External"/><Relationship Id="rId42" Type="http://schemas.openxmlformats.org/officeDocument/2006/relationships/hyperlink" Target="https://0-web-b-ebscohost-com.libus.csd.mu.edu/ehost/detail/detail?vid=3&amp;sid=ba31a4a0-7759-4744-8a4b-f3a61b5b9fee%40pdc-v-sessmgr01&amp;bdata=JnNpdGU9ZWhvc3QtbGl2ZQ%3d%3d" TargetMode="External"/><Relationship Id="rId47" Type="http://schemas.openxmlformats.org/officeDocument/2006/relationships/image" Target="media/image1.gif"/><Relationship Id="rId63" Type="http://schemas.openxmlformats.org/officeDocument/2006/relationships/hyperlink" Target="https://0-web-b-ebscohost-com.libus.csd.mu.edu/ehost/detail/detail?vid=3&amp;sid=ba31a4a0-7759-4744-8a4b-f3a61b5b9fee%40pdc-v-sessmgr01&amp;bdata=JnNpdGU9ZWhvc3QtbGl2ZQ%3d%3d" TargetMode="External"/><Relationship Id="rId68" Type="http://schemas.openxmlformats.org/officeDocument/2006/relationships/hyperlink" Target="https://0-web-b-ebscohost-com.libus.csd.mu.edu/ehost/detail/detail?vid=3&amp;sid=ba31a4a0-7759-4744-8a4b-f3a61b5b9fee%40pdc-v-sessmgr01&amp;bdata=JnNpdGU9ZWhvc3QtbGl2ZQ%3d%3d" TargetMode="External"/><Relationship Id="rId84" Type="http://schemas.openxmlformats.org/officeDocument/2006/relationships/hyperlink" Target="https://0-web-b-ebscohost-com.libus.csd.mu.edu/ehost/detail/detail?vid=3&amp;sid=ba31a4a0-7759-4744-8a4b-f3a61b5b9fee%40pdc-v-sessmgr01&amp;bdata=JnNpdGU9ZWhvc3QtbGl2ZQ%3d%3d" TargetMode="External"/><Relationship Id="rId89" Type="http://schemas.openxmlformats.org/officeDocument/2006/relationships/hyperlink" Target="https://0-web-b-ebscohost-com.libus.csd.mu.edu/ehost/detail/detail?vid=3&amp;sid=ba31a4a0-7759-4744-8a4b-f3a61b5b9fee%40pdc-v-sessmgr01&amp;bdata=JnNpdGU9ZWhvc3QtbGl2ZQ%3d%3d" TargetMode="External"/><Relationship Id="rId16" Type="http://schemas.openxmlformats.org/officeDocument/2006/relationships/hyperlink" Target="https://0-web-b-ebscohost-com.libus.csd.mu.edu/ehost/detail/detail?vid=3&amp;sid=ba31a4a0-7759-4744-8a4b-f3a61b5b9fee%40pdc-v-sessmgr01&amp;bdata=JnNpdGU9ZWhvc3QtbGl2ZQ%3d%3d" TargetMode="External"/><Relationship Id="rId107" Type="http://schemas.openxmlformats.org/officeDocument/2006/relationships/hyperlink" Target="https://0-web-b-ebscohost-com.libus.csd.mu.edu/ehost/detail/detail?vid=3&amp;sid=ba31a4a0-7759-4744-8a4b-f3a61b5b9fee%40pdc-v-sessmgr01&amp;bdata=JnNpdGU9ZWhvc3QtbGl2ZQ%3d%3d" TargetMode="External"/><Relationship Id="rId11" Type="http://schemas.openxmlformats.org/officeDocument/2006/relationships/hyperlink" Target="https://0-web-b-ebscohost-com.libus.csd.mu.edu/ehost/detail/detail?vid=3&amp;sid=ba31a4a0-7759-4744-8a4b-f3a61b5b9fee%40pdc-v-sessmgr01&amp;bdata=JnNpdGU9ZWhvc3QtbGl2ZQ%3d%3d" TargetMode="External"/><Relationship Id="rId32" Type="http://schemas.openxmlformats.org/officeDocument/2006/relationships/hyperlink" Target="https://0-web-b-ebscohost-com.libus.csd.mu.edu/ehost/detail/detail?vid=3&amp;sid=ba31a4a0-7759-4744-8a4b-f3a61b5b9fee%40pdc-v-sessmgr01&amp;bdata=JnNpdGU9ZWhvc3QtbGl2ZQ%3d%3d" TargetMode="External"/><Relationship Id="rId37" Type="http://schemas.openxmlformats.org/officeDocument/2006/relationships/hyperlink" Target="https://0-web-b-ebscohost-com.libus.csd.mu.edu/ehost/detail/detail?vid=3&amp;sid=ba31a4a0-7759-4744-8a4b-f3a61b5b9fee%40pdc-v-sessmgr01&amp;bdata=JnNpdGU9ZWhvc3QtbGl2ZQ%3d%3d" TargetMode="External"/><Relationship Id="rId53" Type="http://schemas.openxmlformats.org/officeDocument/2006/relationships/hyperlink" Target="https://0-web-b-ebscohost-com.libus.csd.mu.edu/ehost/detail/detail?vid=3&amp;sid=ba31a4a0-7759-4744-8a4b-f3a61b5b9fee%40pdc-v-sessmgr01&amp;bdata=JnNpdGU9ZWhvc3QtbGl2ZQ%3d%3d" TargetMode="External"/><Relationship Id="rId58" Type="http://schemas.openxmlformats.org/officeDocument/2006/relationships/hyperlink" Target="https://0-web-b-ebscohost-com.libus.csd.mu.edu/ehost/detail/detail?vid=3&amp;sid=ba31a4a0-7759-4744-8a4b-f3a61b5b9fee%40pdc-v-sessmgr01&amp;bdata=JnNpdGU9ZWhvc3QtbGl2ZQ%3d%3d" TargetMode="External"/><Relationship Id="rId74" Type="http://schemas.openxmlformats.org/officeDocument/2006/relationships/hyperlink" Target="https://0-web-b-ebscohost-com.libus.csd.mu.edu/ehost/detail/detail?vid=3&amp;sid=ba31a4a0-7759-4744-8a4b-f3a61b5b9fee%40pdc-v-sessmgr01&amp;bdata=JnNpdGU9ZWhvc3QtbGl2ZQ%3d%3d" TargetMode="External"/><Relationship Id="rId79" Type="http://schemas.openxmlformats.org/officeDocument/2006/relationships/hyperlink" Target="https://0-web-b-ebscohost-com.libus.csd.mu.edu/ehost/detail/detail?vid=3&amp;sid=ba31a4a0-7759-4744-8a4b-f3a61b5b9fee%40pdc-v-sessmgr01&amp;bdata=JnNpdGU9ZWhvc3QtbGl2ZQ%3d%3d" TargetMode="External"/><Relationship Id="rId102" Type="http://schemas.openxmlformats.org/officeDocument/2006/relationships/hyperlink" Target="https://0-web-b-ebscohost-com.libus.csd.mu.edu/ehost/detail/detail?vid=3&amp;sid=ba31a4a0-7759-4744-8a4b-f3a61b5b9fee%40pdc-v-sessmgr01&amp;bdata=JnNpdGU9ZWhvc3QtbGl2ZQ%3d%3d" TargetMode="External"/><Relationship Id="rId5" Type="http://schemas.openxmlformats.org/officeDocument/2006/relationships/numbering" Target="numbering.xml"/><Relationship Id="rId90" Type="http://schemas.openxmlformats.org/officeDocument/2006/relationships/hyperlink" Target="https://0-web-b-ebscohost-com.libus.csd.mu.edu/ehost/detail/detail?vid=3&amp;sid=ba31a4a0-7759-4744-8a4b-f3a61b5b9fee%40pdc-v-sessmgr01&amp;bdata=JnNpdGU9ZWhvc3QtbGl2ZQ%3d%3d" TargetMode="External"/><Relationship Id="rId95" Type="http://schemas.openxmlformats.org/officeDocument/2006/relationships/hyperlink" Target="https://0-web-b-ebscohost-com.libus.csd.mu.edu/ehost/detail/detail?vid=3&amp;sid=ba31a4a0-7759-4744-8a4b-f3a61b5b9fee%40pdc-v-sessmgr01&amp;bdata=JnNpdGU9ZWhvc3QtbGl2ZQ%3d%3d" TargetMode="External"/><Relationship Id="rId22" Type="http://schemas.openxmlformats.org/officeDocument/2006/relationships/hyperlink" Target="https://0-web-b-ebscohost-com.libus.csd.mu.edu/ehost/detail/detail?vid=3&amp;sid=ba31a4a0-7759-4744-8a4b-f3a61b5b9fee%40pdc-v-sessmgr01&amp;bdata=JnNpdGU9ZWhvc3QtbGl2ZQ%3d%3d" TargetMode="External"/><Relationship Id="rId27" Type="http://schemas.openxmlformats.org/officeDocument/2006/relationships/hyperlink" Target="https://0-web-b-ebscohost-com.libus.csd.mu.edu/ehost/detail/detail?vid=3&amp;sid=ba31a4a0-7759-4744-8a4b-f3a61b5b9fee%40pdc-v-sessmgr01&amp;bdata=JnNpdGU9ZWhvc3QtbGl2ZQ%3d%3d" TargetMode="External"/><Relationship Id="rId43" Type="http://schemas.openxmlformats.org/officeDocument/2006/relationships/hyperlink" Target="https://0-web-b-ebscohost-com.libus.csd.mu.edu/ehost/detail/detail?vid=3&amp;sid=ba31a4a0-7759-4744-8a4b-f3a61b5b9fee%40pdc-v-sessmgr01&amp;bdata=JnNpdGU9ZWhvc3QtbGl2ZQ%3d%3d" TargetMode="External"/><Relationship Id="rId48" Type="http://schemas.openxmlformats.org/officeDocument/2006/relationships/hyperlink" Target="https://0-web-b-ebscohost-com.libus.csd.mu.edu/ehost/detail/detail?vid=3&amp;sid=ba31a4a0-7759-4744-8a4b-f3a61b5b9fee%40pdc-v-sessmgr01&amp;bdata=JnNpdGU9ZWhvc3QtbGl2ZQ%3d%3d" TargetMode="External"/><Relationship Id="rId64" Type="http://schemas.openxmlformats.org/officeDocument/2006/relationships/hyperlink" Target="https://0-web-b-ebscohost-com.libus.csd.mu.edu/ehost/detail/detail?vid=3&amp;sid=ba31a4a0-7759-4744-8a4b-f3a61b5b9fee%40pdc-v-sessmgr01&amp;bdata=JnNpdGU9ZWhvc3QtbGl2ZQ%3d%3d" TargetMode="External"/><Relationship Id="rId69" Type="http://schemas.openxmlformats.org/officeDocument/2006/relationships/hyperlink" Target="https://0-web-b-ebscohost-com.libus.csd.mu.edu/ehost/detail/detail?vid=3&amp;sid=ba31a4a0-7759-4744-8a4b-f3a61b5b9fee%40pdc-v-sessmgr01&amp;bdata=JnNpdGU9ZWhvc3QtbGl2ZQ%3d%3d" TargetMode="External"/><Relationship Id="rId80" Type="http://schemas.openxmlformats.org/officeDocument/2006/relationships/hyperlink" Target="https://0-web-b-ebscohost-com.libus.csd.mu.edu/ehost/detail/detail?vid=3&amp;sid=ba31a4a0-7759-4744-8a4b-f3a61b5b9fee%40pdc-v-sessmgr01&amp;bdata=JnNpdGU9ZWhvc3QtbGl2ZQ%3d%3d" TargetMode="External"/><Relationship Id="rId85" Type="http://schemas.openxmlformats.org/officeDocument/2006/relationships/hyperlink" Target="https://0-web-b-ebscohost-com.libus.csd.mu.edu/ehost/detail/detail?vid=3&amp;sid=ba31a4a0-7759-4744-8a4b-f3a61b5b9fee%40pdc-v-sessmgr01&amp;bdata=JnNpdGU9ZWhvc3QtbGl2ZQ%3d%3d" TargetMode="External"/><Relationship Id="rId12" Type="http://schemas.openxmlformats.org/officeDocument/2006/relationships/hyperlink" Target="https://0-web-b-ebscohost-com.libus.csd.mu.edu/ehost/detail/detail?vid=3&amp;sid=ba31a4a0-7759-4744-8a4b-f3a61b5b9fee%40pdc-v-sessmgr01&amp;bdata=JnNpdGU9ZWhvc3QtbGl2ZQ%3d%3d" TargetMode="External"/><Relationship Id="rId17" Type="http://schemas.openxmlformats.org/officeDocument/2006/relationships/hyperlink" Target="https://0-web-b-ebscohost-com.libus.csd.mu.edu/ehost/detail/detail?vid=3&amp;sid=ba31a4a0-7759-4744-8a4b-f3a61b5b9fee%40pdc-v-sessmgr01&amp;bdata=JnNpdGU9ZWhvc3QtbGl2ZQ%3d%3d" TargetMode="External"/><Relationship Id="rId33" Type="http://schemas.openxmlformats.org/officeDocument/2006/relationships/hyperlink" Target="https://0-web-b-ebscohost-com.libus.csd.mu.edu/ehost/detail/detail?vid=3&amp;sid=ba31a4a0-7759-4744-8a4b-f3a61b5b9fee%40pdc-v-sessmgr01&amp;bdata=JnNpdGU9ZWhvc3QtbGl2ZQ%3d%3d" TargetMode="External"/><Relationship Id="rId38" Type="http://schemas.openxmlformats.org/officeDocument/2006/relationships/hyperlink" Target="https://0-web-b-ebscohost-com.libus.csd.mu.edu/ehost/detail/detail?vid=3&amp;sid=ba31a4a0-7759-4744-8a4b-f3a61b5b9fee%40pdc-v-sessmgr01&amp;bdata=JnNpdGU9ZWhvc3QtbGl2ZQ%3d%3d" TargetMode="External"/><Relationship Id="rId59" Type="http://schemas.openxmlformats.org/officeDocument/2006/relationships/hyperlink" Target="https://0-web-b-ebscohost-com.libus.csd.mu.edu/ehost/detail/detail?vid=3&amp;sid=ba31a4a0-7759-4744-8a4b-f3a61b5b9fee%40pdc-v-sessmgr01&amp;bdata=JnNpdGU9ZWhvc3QtbGl2ZQ%3d%3d" TargetMode="External"/><Relationship Id="rId103" Type="http://schemas.openxmlformats.org/officeDocument/2006/relationships/hyperlink" Target="https://0-web-b-ebscohost-com.libus.csd.mu.edu/ehost/detail/detail?vid=3&amp;sid=ba31a4a0-7759-4744-8a4b-f3a61b5b9fee%40pdc-v-sessmgr01&amp;bdata=JnNpdGU9ZWhvc3QtbGl2ZQ%3d%3d" TargetMode="External"/><Relationship Id="rId108" Type="http://schemas.openxmlformats.org/officeDocument/2006/relationships/hyperlink" Target="https://0-web-b-ebscohost-com.libus.csd.mu.edu/ehost/detail/detail?vid=3&amp;sid=ba31a4a0-7759-4744-8a4b-f3a61b5b9fee%40pdc-v-sessmgr01&amp;bdata=JnNpdGU9ZWhvc3QtbGl2ZQ%3d%3d" TargetMode="External"/><Relationship Id="rId54" Type="http://schemas.openxmlformats.org/officeDocument/2006/relationships/hyperlink" Target="https://0-web-b-ebscohost-com.libus.csd.mu.edu/ehost/detail/detail?vid=3&amp;sid=ba31a4a0-7759-4744-8a4b-f3a61b5b9fee%40pdc-v-sessmgr01&amp;bdata=JnNpdGU9ZWhvc3QtbGl2ZQ%3d%3d" TargetMode="External"/><Relationship Id="rId70" Type="http://schemas.openxmlformats.org/officeDocument/2006/relationships/hyperlink" Target="https://0-web-b-ebscohost-com.libus.csd.mu.edu/ehost/detail/detail?vid=3&amp;sid=ba31a4a0-7759-4744-8a4b-f3a61b5b9fee%40pdc-v-sessmgr01&amp;bdata=JnNpdGU9ZWhvc3QtbGl2ZQ%3d%3d" TargetMode="External"/><Relationship Id="rId75" Type="http://schemas.openxmlformats.org/officeDocument/2006/relationships/hyperlink" Target="https://0-web-b-ebscohost-com.libus.csd.mu.edu/ehost/detail/detail?vid=3&amp;sid=ba31a4a0-7759-4744-8a4b-f3a61b5b9fee%40pdc-v-sessmgr01&amp;bdata=JnNpdGU9ZWhvc3QtbGl2ZQ%3d%3d" TargetMode="External"/><Relationship Id="rId91" Type="http://schemas.openxmlformats.org/officeDocument/2006/relationships/hyperlink" Target="https://0-web-b-ebscohost-com.libus.csd.mu.edu/ehost/detail/detail?vid=3&amp;sid=ba31a4a0-7759-4744-8a4b-f3a61b5b9fee%40pdc-v-sessmgr01&amp;bdata=JnNpdGU9ZWhvc3QtbGl2ZQ%3d%3d" TargetMode="External"/><Relationship Id="rId96" Type="http://schemas.openxmlformats.org/officeDocument/2006/relationships/hyperlink" Target="https://0-web-b-ebscohost-com.libus.csd.mu.edu/ehost/detail/detail?vid=3&amp;sid=ba31a4a0-7759-4744-8a4b-f3a61b5b9fee%40pdc-v-sessmgr01&amp;bdata=JnNpdGU9ZWhvc3QtbGl2ZQ%3d%3d"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0-web-b-ebscohost-com.libus.csd.mu.edu/ehost/detail/detail?vid=3&amp;sid=ba31a4a0-7759-4744-8a4b-f3a61b5b9fee%40pdc-v-sessmgr01&amp;bdata=JnNpdGU9ZWhvc3QtbGl2ZQ%3d%3d" TargetMode="External"/><Relationship Id="rId23" Type="http://schemas.openxmlformats.org/officeDocument/2006/relationships/hyperlink" Target="https://0-web-b-ebscohost-com.libus.csd.mu.edu/ehost/detail/detail?vid=3&amp;sid=ba31a4a0-7759-4744-8a4b-f3a61b5b9fee%40pdc-v-sessmgr01&amp;bdata=JnNpdGU9ZWhvc3QtbGl2ZQ%3d%3d" TargetMode="External"/><Relationship Id="rId28" Type="http://schemas.openxmlformats.org/officeDocument/2006/relationships/hyperlink" Target="https://0-web-b-ebscohost-com.libus.csd.mu.edu/ehost/detail/detail?vid=3&amp;sid=ba31a4a0-7759-4744-8a4b-f3a61b5b9fee%40pdc-v-sessmgr01&amp;bdata=JnNpdGU9ZWhvc3QtbGl2ZQ%3d%3d" TargetMode="External"/><Relationship Id="rId36" Type="http://schemas.openxmlformats.org/officeDocument/2006/relationships/hyperlink" Target="https://0-web-b-ebscohost-com.libus.csd.mu.edu/ehost/detail/detail?vid=3&amp;sid=ba31a4a0-7759-4744-8a4b-f3a61b5b9fee%40pdc-v-sessmgr01&amp;bdata=JnNpdGU9ZWhvc3QtbGl2ZQ%3d%3d" TargetMode="External"/><Relationship Id="rId49" Type="http://schemas.openxmlformats.org/officeDocument/2006/relationships/hyperlink" Target="https://0-web-b-ebscohost-com.libus.csd.mu.edu/ehost/detail/detail?vid=3&amp;sid=ba31a4a0-7759-4744-8a4b-f3a61b5b9fee%40pdc-v-sessmgr01&amp;bdata=JnNpdGU9ZWhvc3QtbGl2ZQ%3d%3d" TargetMode="External"/><Relationship Id="rId57" Type="http://schemas.openxmlformats.org/officeDocument/2006/relationships/hyperlink" Target="https://0-web-b-ebscohost-com.libus.csd.mu.edu/ehost/detail/detail?vid=3&amp;sid=ba31a4a0-7759-4744-8a4b-f3a61b5b9fee%40pdc-v-sessmgr01&amp;bdata=JnNpdGU9ZWhvc3QtbGl2ZQ%3d%3d" TargetMode="External"/><Relationship Id="rId106" Type="http://schemas.openxmlformats.org/officeDocument/2006/relationships/hyperlink" Target="https://0-web-b-ebscohost-com.libus.csd.mu.edu/ehost/detail/detail?vid=3&amp;sid=ba31a4a0-7759-4744-8a4b-f3a61b5b9fee%40pdc-v-sessmgr01&amp;bdata=JnNpdGU9ZWhvc3QtbGl2ZQ%3d%3d" TargetMode="External"/><Relationship Id="rId10" Type="http://schemas.openxmlformats.org/officeDocument/2006/relationships/hyperlink" Target="http://epublications.marquette.edu/" TargetMode="External"/><Relationship Id="rId31" Type="http://schemas.openxmlformats.org/officeDocument/2006/relationships/hyperlink" Target="https://0-web-b-ebscohost-com.libus.csd.mu.edu/ehost/detail/detail?vid=3&amp;sid=ba31a4a0-7759-4744-8a4b-f3a61b5b9fee%40pdc-v-sessmgr01&amp;bdata=JnNpdGU9ZWhvc3QtbGl2ZQ%3d%3d" TargetMode="External"/><Relationship Id="rId44" Type="http://schemas.openxmlformats.org/officeDocument/2006/relationships/hyperlink" Target="https://0-web-b-ebscohost-com.libus.csd.mu.edu/ehost/detail/detail?vid=3&amp;sid=ba31a4a0-7759-4744-8a4b-f3a61b5b9fee%40pdc-v-sessmgr01&amp;bdata=JnNpdGU9ZWhvc3QtbGl2ZQ%3d%3d" TargetMode="External"/><Relationship Id="rId52" Type="http://schemas.openxmlformats.org/officeDocument/2006/relationships/hyperlink" Target="https://0-web-b-ebscohost-com.libus.csd.mu.edu/ehost/detail/detail?vid=3&amp;sid=ba31a4a0-7759-4744-8a4b-f3a61b5b9fee%40pdc-v-sessmgr01&amp;bdata=JnNpdGU9ZWhvc3QtbGl2ZQ%3d%3d" TargetMode="External"/><Relationship Id="rId60" Type="http://schemas.openxmlformats.org/officeDocument/2006/relationships/hyperlink" Target="https://0-web-b-ebscohost-com.libus.csd.mu.edu/ehost/detail/detail?vid=3&amp;sid=ba31a4a0-7759-4744-8a4b-f3a61b5b9fee%40pdc-v-sessmgr01&amp;bdata=JnNpdGU9ZWhvc3QtbGl2ZQ%3d%3d" TargetMode="External"/><Relationship Id="rId65" Type="http://schemas.openxmlformats.org/officeDocument/2006/relationships/hyperlink" Target="https://0-web-b-ebscohost-com.libus.csd.mu.edu/ehost/detail/detail?vid=3&amp;sid=ba31a4a0-7759-4744-8a4b-f3a61b5b9fee%40pdc-v-sessmgr01&amp;bdata=JnNpdGU9ZWhvc3QtbGl2ZQ%3d%3d" TargetMode="External"/><Relationship Id="rId73" Type="http://schemas.openxmlformats.org/officeDocument/2006/relationships/hyperlink" Target="https://0-web-b-ebscohost-com.libus.csd.mu.edu/ehost/detail/detail?vid=3&amp;sid=ba31a4a0-7759-4744-8a4b-f3a61b5b9fee%40pdc-v-sessmgr01&amp;bdata=JnNpdGU9ZWhvc3QtbGl2ZQ%3d%3d" TargetMode="External"/><Relationship Id="rId78" Type="http://schemas.openxmlformats.org/officeDocument/2006/relationships/hyperlink" Target="https://0-web-b-ebscohost-com.libus.csd.mu.edu/ehost/detail/detail?vid=3&amp;sid=ba31a4a0-7759-4744-8a4b-f3a61b5b9fee%40pdc-v-sessmgr01&amp;bdata=JnNpdGU9ZWhvc3QtbGl2ZQ%3d%3d" TargetMode="External"/><Relationship Id="rId81" Type="http://schemas.openxmlformats.org/officeDocument/2006/relationships/hyperlink" Target="https://0-web-b-ebscohost-com.libus.csd.mu.edu/ehost/detail/detail?vid=3&amp;sid=ba31a4a0-7759-4744-8a4b-f3a61b5b9fee%40pdc-v-sessmgr01&amp;bdata=JnNpdGU9ZWhvc3QtbGl2ZQ%3d%3d" TargetMode="External"/><Relationship Id="rId86" Type="http://schemas.openxmlformats.org/officeDocument/2006/relationships/hyperlink" Target="https://0-web-b-ebscohost-com.libus.csd.mu.edu/ehost/detail/detail?vid=3&amp;sid=ba31a4a0-7759-4744-8a4b-f3a61b5b9fee%40pdc-v-sessmgr01&amp;bdata=JnNpdGU9ZWhvc3QtbGl2ZQ%3d%3d" TargetMode="External"/><Relationship Id="rId94" Type="http://schemas.openxmlformats.org/officeDocument/2006/relationships/hyperlink" Target="https://0-web-b-ebscohost-com.libus.csd.mu.edu/ehost/detail/detail?vid=3&amp;sid=ba31a4a0-7759-4744-8a4b-f3a61b5b9fee%40pdc-v-sessmgr01&amp;bdata=JnNpdGU9ZWhvc3QtbGl2ZQ%3d%3d" TargetMode="External"/><Relationship Id="rId99" Type="http://schemas.openxmlformats.org/officeDocument/2006/relationships/hyperlink" Target="https://0-web-b-ebscohost-com.libus.csd.mu.edu/ehost/detail/detail?vid=3&amp;sid=ba31a4a0-7759-4744-8a4b-f3a61b5b9fee%40pdc-v-sessmgr01&amp;bdata=JnNpdGU9ZWhvc3QtbGl2ZQ%3d%3d" TargetMode="External"/><Relationship Id="rId101" Type="http://schemas.openxmlformats.org/officeDocument/2006/relationships/hyperlink" Target="https://0-web-b-ebscohost-com.libus.csd.mu.edu/ehost/detail/detail?vid=3&amp;sid=ba31a4a0-7759-4744-8a4b-f3a61b5b9fee%40pdc-v-sessmgr01&amp;bdata=JnNpdGU9ZWhvc3QtbGl2ZQ%3d%3d" TargetMode="External"/><Relationship Id="rId4" Type="http://schemas.openxmlformats.org/officeDocument/2006/relationships/customXml" Target="../customXml/item4.xml"/><Relationship Id="rId9" Type="http://schemas.openxmlformats.org/officeDocument/2006/relationships/hyperlink" Target="file:///C:\Users\8596scholbd\Desktop\10.1037\pas0000688" TargetMode="External"/><Relationship Id="rId13" Type="http://schemas.openxmlformats.org/officeDocument/2006/relationships/hyperlink" Target="https://0-web-b-ebscohost-com.libus.csd.mu.edu/ehost/detail/detail?vid=3&amp;sid=ba31a4a0-7759-4744-8a4b-f3a61b5b9fee%40pdc-v-sessmgr01&amp;bdata=JnNpdGU9ZWhvc3QtbGl2ZQ%3d%3d" TargetMode="External"/><Relationship Id="rId18" Type="http://schemas.openxmlformats.org/officeDocument/2006/relationships/hyperlink" Target="https://0-web-b-ebscohost-com.libus.csd.mu.edu/ehost/detail/detail?vid=3&amp;sid=ba31a4a0-7759-4744-8a4b-f3a61b5b9fee%40pdc-v-sessmgr01&amp;bdata=JnNpdGU9ZWhvc3QtbGl2ZQ%3d%3d" TargetMode="External"/><Relationship Id="rId39" Type="http://schemas.openxmlformats.org/officeDocument/2006/relationships/hyperlink" Target="https://0-web-b-ebscohost-com.libus.csd.mu.edu/ehost/detail/detail?vid=3&amp;sid=ba31a4a0-7759-4744-8a4b-f3a61b5b9fee%40pdc-v-sessmgr01&amp;bdata=JnNpdGU9ZWhvc3QtbGl2ZQ%3d%3d" TargetMode="External"/><Relationship Id="rId109" Type="http://schemas.openxmlformats.org/officeDocument/2006/relationships/fontTable" Target="fontTable.xml"/><Relationship Id="rId34" Type="http://schemas.openxmlformats.org/officeDocument/2006/relationships/hyperlink" Target="https://0-web-b-ebscohost-com.libus.csd.mu.edu/ehost/detail/detail?vid=3&amp;sid=ba31a4a0-7759-4744-8a4b-f3a61b5b9fee%40pdc-v-sessmgr01&amp;bdata=JnNpdGU9ZWhvc3QtbGl2ZQ%3d%3d" TargetMode="External"/><Relationship Id="rId50" Type="http://schemas.openxmlformats.org/officeDocument/2006/relationships/hyperlink" Target="https://0-web-b-ebscohost-com.libus.csd.mu.edu/ehost/detail/detail?vid=3&amp;sid=ba31a4a0-7759-4744-8a4b-f3a61b5b9fee%40pdc-v-sessmgr01&amp;bdata=JnNpdGU9ZWhvc3QtbGl2ZQ%3d%3d" TargetMode="External"/><Relationship Id="rId55" Type="http://schemas.openxmlformats.org/officeDocument/2006/relationships/hyperlink" Target="https://0-web-b-ebscohost-com.libus.csd.mu.edu/ehost/detail/detail?vid=3&amp;sid=ba31a4a0-7759-4744-8a4b-f3a61b5b9fee%40pdc-v-sessmgr01&amp;bdata=JnNpdGU9ZWhvc3QtbGl2ZQ%3d%3d" TargetMode="External"/><Relationship Id="rId76" Type="http://schemas.openxmlformats.org/officeDocument/2006/relationships/hyperlink" Target="https://0-web-b-ebscohost-com.libus.csd.mu.edu/ehost/detail/detail?vid=3&amp;sid=ba31a4a0-7759-4744-8a4b-f3a61b5b9fee%40pdc-v-sessmgr01&amp;bdata=JnNpdGU9ZWhvc3QtbGl2ZQ%3d%3d" TargetMode="External"/><Relationship Id="rId97" Type="http://schemas.openxmlformats.org/officeDocument/2006/relationships/hyperlink" Target="https://0-web-b-ebscohost-com.libus.csd.mu.edu/ehost/detail/detail?vid=3&amp;sid=ba31a4a0-7759-4744-8a4b-f3a61b5b9fee%40pdc-v-sessmgr01&amp;bdata=JnNpdGU9ZWhvc3QtbGl2ZQ%3d%3d" TargetMode="External"/><Relationship Id="rId104" Type="http://schemas.openxmlformats.org/officeDocument/2006/relationships/hyperlink" Target="https://0-web-b-ebscohost-com.libus.csd.mu.edu/ehost/detail/detail?vid=3&amp;sid=ba31a4a0-7759-4744-8a4b-f3a61b5b9fee%40pdc-v-sessmgr01&amp;bdata=JnNpdGU9ZWhvc3QtbGl2ZQ%3d%3d" TargetMode="External"/><Relationship Id="rId7" Type="http://schemas.openxmlformats.org/officeDocument/2006/relationships/settings" Target="settings.xml"/><Relationship Id="rId71" Type="http://schemas.openxmlformats.org/officeDocument/2006/relationships/hyperlink" Target="https://0-web-b-ebscohost-com.libus.csd.mu.edu/ehost/detail/detail?vid=3&amp;sid=ba31a4a0-7759-4744-8a4b-f3a61b5b9fee%40pdc-v-sessmgr01&amp;bdata=JnNpdGU9ZWhvc3QtbGl2ZQ%3d%3d" TargetMode="External"/><Relationship Id="rId92" Type="http://schemas.openxmlformats.org/officeDocument/2006/relationships/hyperlink" Target="https://0-web-b-ebscohost-com.libus.csd.mu.edu/ehost/detail/detail?vid=3&amp;sid=ba31a4a0-7759-4744-8a4b-f3a61b5b9fee%40pdc-v-sessmgr01&amp;bdata=JnNpdGU9ZWhvc3QtbGl2ZQ%3d%3d" TargetMode="External"/><Relationship Id="rId2" Type="http://schemas.openxmlformats.org/officeDocument/2006/relationships/customXml" Target="../customXml/item2.xml"/><Relationship Id="rId29" Type="http://schemas.openxmlformats.org/officeDocument/2006/relationships/hyperlink" Target="https://0-web-b-ebscohost-com.libus.csd.mu.edu/ehost/detail/detail?vid=3&amp;sid=ba31a4a0-7759-4744-8a4b-f3a61b5b9fee%40pdc-v-sessmgr01&amp;bdata=JnNpdGU9ZWhvc3QtbGl2ZQ%3d%3d" TargetMode="External"/><Relationship Id="rId24" Type="http://schemas.openxmlformats.org/officeDocument/2006/relationships/hyperlink" Target="https://0-web-b-ebscohost-com.libus.csd.mu.edu/ehost/detail/detail?vid=3&amp;sid=ba31a4a0-7759-4744-8a4b-f3a61b5b9fee%40pdc-v-sessmgr01&amp;bdata=JnNpdGU9ZWhvc3QtbGl2ZQ%3d%3d" TargetMode="External"/><Relationship Id="rId40" Type="http://schemas.openxmlformats.org/officeDocument/2006/relationships/hyperlink" Target="https://0-web-b-ebscohost-com.libus.csd.mu.edu/ehost/detail/detail?vid=3&amp;sid=ba31a4a0-7759-4744-8a4b-f3a61b5b9fee%40pdc-v-sessmgr01&amp;bdata=JnNpdGU9ZWhvc3QtbGl2ZQ%3d%3d" TargetMode="External"/><Relationship Id="rId45" Type="http://schemas.openxmlformats.org/officeDocument/2006/relationships/hyperlink" Target="https://0-web-b-ebscohost-com.libus.csd.mu.edu/ehost/detail/detail?vid=3&amp;sid=ba31a4a0-7759-4744-8a4b-f3a61b5b9fee%40pdc-v-sessmgr01&amp;bdata=JnNpdGU9ZWhvc3QtbGl2ZQ%3d%3d" TargetMode="External"/><Relationship Id="rId66" Type="http://schemas.openxmlformats.org/officeDocument/2006/relationships/hyperlink" Target="https://0-web-b-ebscohost-com.libus.csd.mu.edu/ehost/detail/detail?vid=3&amp;sid=ba31a4a0-7759-4744-8a4b-f3a61b5b9fee%40pdc-v-sessmgr01&amp;bdata=JnNpdGU9ZWhvc3QtbGl2ZQ%3d%3d" TargetMode="External"/><Relationship Id="rId87" Type="http://schemas.openxmlformats.org/officeDocument/2006/relationships/hyperlink" Target="https://0-web-b-ebscohost-com.libus.csd.mu.edu/ehost/detail/detail?vid=3&amp;sid=ba31a4a0-7759-4744-8a4b-f3a61b5b9fee%40pdc-v-sessmgr01&amp;bdata=JnNpdGU9ZWhvc3QtbGl2ZQ%3d%3d" TargetMode="External"/><Relationship Id="rId110" Type="http://schemas.openxmlformats.org/officeDocument/2006/relationships/theme" Target="theme/theme1.xml"/><Relationship Id="rId61" Type="http://schemas.openxmlformats.org/officeDocument/2006/relationships/hyperlink" Target="https://0-web-b-ebscohost-com.libus.csd.mu.edu/ehost/detail/detail?vid=3&amp;sid=ba31a4a0-7759-4744-8a4b-f3a61b5b9fee%40pdc-v-sessmgr01&amp;bdata=JnNpdGU9ZWhvc3QtbGl2ZQ%3d%3d" TargetMode="External"/><Relationship Id="rId82" Type="http://schemas.openxmlformats.org/officeDocument/2006/relationships/hyperlink" Target="https://0-web-b-ebscohost-com.libus.csd.mu.edu/ehost/detail/detail?vid=3&amp;sid=ba31a4a0-7759-4744-8a4b-f3a61b5b9fee%40pdc-v-sessmgr01&amp;bdata=JnNpdGU9ZWhvc3QtbGl2ZQ%3d%3d" TargetMode="External"/><Relationship Id="rId19" Type="http://schemas.openxmlformats.org/officeDocument/2006/relationships/hyperlink" Target="https://0-web-b-ebscohost-com.libus.csd.mu.edu/ehost/detail/detail?vid=3&amp;sid=ba31a4a0-7759-4744-8a4b-f3a61b5b9fee%40pdc-v-sessmgr01&amp;bdata=JnNpdGU9ZWhvc3QtbGl2ZQ%3d%3d" TargetMode="External"/><Relationship Id="rId14" Type="http://schemas.openxmlformats.org/officeDocument/2006/relationships/hyperlink" Target="https://0-web-b-ebscohost-com.libus.csd.mu.edu/ehost/detail/detail?vid=3&amp;sid=ba31a4a0-7759-4744-8a4b-f3a61b5b9fee%40pdc-v-sessmgr01&amp;bdata=JnNpdGU9ZWhvc3QtbGl2ZQ%3d%3d" TargetMode="External"/><Relationship Id="rId30" Type="http://schemas.openxmlformats.org/officeDocument/2006/relationships/hyperlink" Target="https://0-web-b-ebscohost-com.libus.csd.mu.edu/ehost/detail/detail?vid=3&amp;sid=ba31a4a0-7759-4744-8a4b-f3a61b5b9fee%40pdc-v-sessmgr01&amp;bdata=JnNpdGU9ZWhvc3QtbGl2ZQ%3d%3d" TargetMode="External"/><Relationship Id="rId35" Type="http://schemas.openxmlformats.org/officeDocument/2006/relationships/hyperlink" Target="https://0-web-b-ebscohost-com.libus.csd.mu.edu/ehost/detail/detail?vid=3&amp;sid=ba31a4a0-7759-4744-8a4b-f3a61b5b9fee%40pdc-v-sessmgr01&amp;bdata=JnNpdGU9ZWhvc3QtbGl2ZQ%3d%3d" TargetMode="External"/><Relationship Id="rId56" Type="http://schemas.openxmlformats.org/officeDocument/2006/relationships/hyperlink" Target="https://0-web-b-ebscohost-com.libus.csd.mu.edu/ehost/detail/detail?vid=3&amp;sid=ba31a4a0-7759-4744-8a4b-f3a61b5b9fee%40pdc-v-sessmgr01&amp;bdata=JnNpdGU9ZWhvc3QtbGl2ZQ%3d%3d" TargetMode="External"/><Relationship Id="rId77" Type="http://schemas.openxmlformats.org/officeDocument/2006/relationships/hyperlink" Target="https://0-web-b-ebscohost-com.libus.csd.mu.edu/ehost/detail/detail?vid=3&amp;sid=ba31a4a0-7759-4744-8a4b-f3a61b5b9fee%40pdc-v-sessmgr01&amp;bdata=JnNpdGU9ZWhvc3QtbGl2ZQ%3d%3d" TargetMode="External"/><Relationship Id="rId100" Type="http://schemas.openxmlformats.org/officeDocument/2006/relationships/hyperlink" Target="https://0-web-b-ebscohost-com.libus.csd.mu.edu/ehost/detail/detail?vid=3&amp;sid=ba31a4a0-7759-4744-8a4b-f3a61b5b9fee%40pdc-v-sessmgr01&amp;bdata=JnNpdGU9ZWhvc3QtbGl2ZQ%3d%3d" TargetMode="External"/><Relationship Id="rId105" Type="http://schemas.openxmlformats.org/officeDocument/2006/relationships/hyperlink" Target="https://0-web-b-ebscohost-com.libus.csd.mu.edu/ehost/detail/detail?vid=3&amp;sid=ba31a4a0-7759-4744-8a4b-f3a61b5b9fee%40pdc-v-sessmgr01&amp;bdata=JnNpdGU9ZWhvc3QtbGl2ZQ%3d%3d" TargetMode="External"/><Relationship Id="rId8" Type="http://schemas.openxmlformats.org/officeDocument/2006/relationships/webSettings" Target="webSettings.xml"/><Relationship Id="rId51" Type="http://schemas.openxmlformats.org/officeDocument/2006/relationships/hyperlink" Target="https://0-web-b-ebscohost-com.libus.csd.mu.edu/ehost/detail/detail?vid=3&amp;sid=ba31a4a0-7759-4744-8a4b-f3a61b5b9fee%40pdc-v-sessmgr01&amp;bdata=JnNpdGU9ZWhvc3QtbGl2ZQ%3d%3d" TargetMode="External"/><Relationship Id="rId72" Type="http://schemas.openxmlformats.org/officeDocument/2006/relationships/hyperlink" Target="https://0-web-b-ebscohost-com.libus.csd.mu.edu/ehost/detail/detail?vid=3&amp;sid=ba31a4a0-7759-4744-8a4b-f3a61b5b9fee%40pdc-v-sessmgr01&amp;bdata=JnNpdGU9ZWhvc3QtbGl2ZQ%3d%3d" TargetMode="External"/><Relationship Id="rId93" Type="http://schemas.openxmlformats.org/officeDocument/2006/relationships/hyperlink" Target="https://0-web-b-ebscohost-com.libus.csd.mu.edu/ehost/detail/detail?vid=3&amp;sid=ba31a4a0-7759-4744-8a4b-f3a61b5b9fee%40pdc-v-sessmgr01&amp;bdata=JnNpdGU9ZWhvc3QtbGl2ZQ%3d%3d" TargetMode="External"/><Relationship Id="rId98" Type="http://schemas.openxmlformats.org/officeDocument/2006/relationships/hyperlink" Target="https://0-web-b-ebscohost-com.libus.csd.mu.edu/ehost/detail/detail?vid=3&amp;sid=ba31a4a0-7759-4744-8a4b-f3a61b5b9fee%40pdc-v-sessmgr01&amp;bdata=JnNpdGU9ZWhvc3QtbGl2ZQ%3d%3d" TargetMode="External"/><Relationship Id="rId3" Type="http://schemas.openxmlformats.org/officeDocument/2006/relationships/customXml" Target="../customXml/item3.xml"/><Relationship Id="rId25" Type="http://schemas.openxmlformats.org/officeDocument/2006/relationships/hyperlink" Target="https://0-web-b-ebscohost-com.libus.csd.mu.edu/ehost/detail/detail?vid=3&amp;sid=ba31a4a0-7759-4744-8a4b-f3a61b5b9fee%40pdc-v-sessmgr01&amp;bdata=JnNpdGU9ZWhvc3QtbGl2ZQ%3d%3d" TargetMode="External"/><Relationship Id="rId46" Type="http://schemas.openxmlformats.org/officeDocument/2006/relationships/hyperlink" Target="https://0-web-b-ebscohost-com.libus.csd.mu.edu/ehost/detail/detail?vid=3&amp;sid=ba31a4a0-7759-4744-8a4b-f3a61b5b9fee%40pdc-v-sessmgr01&amp;bdata=JnNpdGU9ZWhvc3QtbGl2ZQ%3d%3d" TargetMode="External"/><Relationship Id="rId67" Type="http://schemas.openxmlformats.org/officeDocument/2006/relationships/hyperlink" Target="https://0-web-b-ebscohost-com.libus.csd.mu.edu/ehost/detail/detail?vid=3&amp;sid=ba31a4a0-7759-4744-8a4b-f3a61b5b9fee%40pdc-v-sessmgr01&amp;bdata=JnNpdGU9ZWhvc3QtbGl2ZQ%3d%3d" TargetMode="External"/><Relationship Id="rId20" Type="http://schemas.openxmlformats.org/officeDocument/2006/relationships/hyperlink" Target="https://0-web-b-ebscohost-com.libus.csd.mu.edu/ehost/detail/detail?vid=3&amp;sid=ba31a4a0-7759-4744-8a4b-f3a61b5b9fee%40pdc-v-sessmgr01&amp;bdata=JnNpdGU9ZWhvc3QtbGl2ZQ%3d%3d" TargetMode="External"/><Relationship Id="rId41" Type="http://schemas.openxmlformats.org/officeDocument/2006/relationships/hyperlink" Target="https://0-web-b-ebscohost-com.libus.csd.mu.edu/ehost/detail/detail?vid=3&amp;sid=ba31a4a0-7759-4744-8a4b-f3a61b5b9fee%40pdc-v-sessmgr01&amp;bdata=JnNpdGU9ZWhvc3QtbGl2ZQ%3d%3d" TargetMode="External"/><Relationship Id="rId62" Type="http://schemas.openxmlformats.org/officeDocument/2006/relationships/hyperlink" Target="https://0-web-b-ebscohost-com.libus.csd.mu.edu/ehost/detail/detail?vid=3&amp;sid=ba31a4a0-7759-4744-8a4b-f3a61b5b9fee%40pdc-v-sessmgr01&amp;bdata=JnNpdGU9ZWhvc3QtbGl2ZQ%3d%3d" TargetMode="External"/><Relationship Id="rId83" Type="http://schemas.openxmlformats.org/officeDocument/2006/relationships/hyperlink" Target="https://0-web-b-ebscohost-com.libus.csd.mu.edu/ehost/detail/detail?vid=3&amp;sid=ba31a4a0-7759-4744-8a4b-f3a61b5b9fee%40pdc-v-sessmgr01&amp;bdata=JnNpdGU9ZWhvc3QtbGl2ZQ%3d%3d" TargetMode="External"/><Relationship Id="rId88" Type="http://schemas.openxmlformats.org/officeDocument/2006/relationships/hyperlink" Target="https://0-web-b-ebscohost-com.libus.csd.mu.edu/ehost/detail/detail?vid=3&amp;sid=ba31a4a0-7759-4744-8a4b-f3a61b5b9fee%40pdc-v-sessmgr01&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0E004-6043-404F-9699-E0DD2039C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43409C-512D-41FF-9F01-A44D46B1B9C6}">
  <ds:schemaRefs>
    <ds:schemaRef ds:uri="http://schemas.microsoft.com/sharepoint/v3/contenttype/forms"/>
  </ds:schemaRefs>
</ds:datastoreItem>
</file>

<file path=customXml/itemProps3.xml><?xml version="1.0" encoding="utf-8"?>
<ds:datastoreItem xmlns:ds="http://schemas.openxmlformats.org/officeDocument/2006/customXml" ds:itemID="{04561C64-DD99-409F-AC10-8872EC75F1B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C22704-11C8-482D-B738-D9116F465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21</Pages>
  <Words>14628</Words>
  <Characters>86159</Characters>
  <Application>Microsoft Office Word</Application>
  <DocSecurity>8</DocSecurity>
  <Lines>1958</Lines>
  <Paragraphs>1072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62</cp:revision>
  <dcterms:created xsi:type="dcterms:W3CDTF">2019-08-01T13:29:00Z</dcterms:created>
  <dcterms:modified xsi:type="dcterms:W3CDTF">2019-08-01T14:39:00Z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