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proofErr w:type="spellStart"/>
      <w:r w:rsidRPr="00C04F25">
        <w:rPr>
          <w:rFonts w:cstheme="minorHAnsi"/>
          <w:b/>
          <w:bCs/>
          <w:color w:val="316192"/>
          <w:sz w:val="40"/>
          <w:szCs w:val="36"/>
        </w:rPr>
        <w:t>e-Publications@Marquette</w:t>
      </w:r>
      <w:proofErr w:type="spellEnd"/>
    </w:p>
    <w:p w14:paraId="689ACF87" w14:textId="77777777" w:rsidR="000A7622" w:rsidRPr="006F33A4" w:rsidRDefault="000A7622" w:rsidP="00D14423">
      <w:pPr>
        <w:autoSpaceDE w:val="0"/>
        <w:autoSpaceDN w:val="0"/>
        <w:adjustRightInd w:val="0"/>
        <w:rPr>
          <w:rFonts w:cstheme="minorHAnsi"/>
          <w:b/>
          <w:bCs/>
          <w:i/>
          <w:iCs/>
        </w:rPr>
      </w:pPr>
    </w:p>
    <w:p w14:paraId="161853CC" w14:textId="694141BB" w:rsidR="000A7622" w:rsidRPr="00C04F25" w:rsidRDefault="002D7BAF" w:rsidP="00D14423">
      <w:pPr>
        <w:autoSpaceDE w:val="0"/>
        <w:autoSpaceDN w:val="0"/>
        <w:adjustRightInd w:val="0"/>
        <w:rPr>
          <w:rFonts w:cstheme="minorHAnsi"/>
          <w:b/>
          <w:bCs/>
          <w:i/>
          <w:iCs/>
          <w:sz w:val="32"/>
          <w:szCs w:val="32"/>
        </w:rPr>
      </w:pPr>
      <w:r>
        <w:rPr>
          <w:rFonts w:cstheme="minorHAnsi"/>
          <w:b/>
          <w:bCs/>
          <w:i/>
          <w:iCs/>
          <w:sz w:val="32"/>
          <w:szCs w:val="32"/>
        </w:rPr>
        <w:t xml:space="preserve">Psychology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Pr>
          <w:rFonts w:cstheme="minorHAnsi"/>
          <w:b/>
          <w:bCs/>
          <w:i/>
          <w:iCs/>
          <w:sz w:val="32"/>
          <w:szCs w:val="32"/>
        </w:rPr>
        <w:t>Arts and Sciences</w:t>
      </w:r>
    </w:p>
    <w:p w14:paraId="3E538636" w14:textId="77777777" w:rsidR="000A7622" w:rsidRPr="006F33A4" w:rsidRDefault="000A7622" w:rsidP="00D14423">
      <w:pPr>
        <w:jc w:val="center"/>
        <w:rPr>
          <w:rFonts w:cstheme="minorHAnsi"/>
          <w:b/>
          <w:bCs/>
          <w:i/>
          <w:iCs/>
        </w:rPr>
      </w:pPr>
      <w:bookmarkStart w:id="2" w:name="_GoBack"/>
      <w:bookmarkEnd w:id="0"/>
    </w:p>
    <w:bookmarkEnd w:id="2"/>
    <w:p w14:paraId="25509BF0" w14:textId="119151E9" w:rsidR="000A7622" w:rsidRPr="00C04F25" w:rsidRDefault="000A7622" w:rsidP="00D14423">
      <w:pPr>
        <w:jc w:val="center"/>
        <w:rPr>
          <w:rFonts w:cstheme="minorHAnsi"/>
          <w:sz w:val="24"/>
          <w:szCs w:val="24"/>
        </w:rPr>
      </w:pPr>
      <w:r w:rsidRPr="00C04F25">
        <w:rPr>
          <w:rFonts w:cstheme="minorHAnsi"/>
          <w:b/>
          <w:bCs/>
          <w:i/>
          <w:iCs/>
          <w:sz w:val="24"/>
          <w:szCs w:val="24"/>
        </w:rPr>
        <w:t xml:space="preserve">This paper is NOT THE PUBLISHED VERSION; </w:t>
      </w:r>
      <w:r w:rsidRPr="00C04F25">
        <w:rPr>
          <w:rFonts w:cstheme="minorHAnsi"/>
          <w:b/>
          <w:bCs/>
          <w:sz w:val="24"/>
          <w:szCs w:val="24"/>
        </w:rPr>
        <w:t xml:space="preserve">but the author’s final, peer-reviewed manuscript. </w:t>
      </w:r>
      <w:r w:rsidRPr="00C04F25">
        <w:rPr>
          <w:rFonts w:cstheme="minorHAnsi"/>
          <w:sz w:val="24"/>
          <w:szCs w:val="24"/>
        </w:rPr>
        <w:t>The published version may be accessed by following the link in th</w:t>
      </w:r>
      <w:r w:rsidR="00C85AAE">
        <w:rPr>
          <w:rFonts w:cstheme="minorHAnsi"/>
          <w:sz w:val="24"/>
          <w:szCs w:val="24"/>
        </w:rPr>
        <w:t>e</w:t>
      </w:r>
      <w:r w:rsidRPr="00C04F25">
        <w:rPr>
          <w:rFonts w:cstheme="minorHAnsi"/>
          <w:sz w:val="24"/>
          <w:szCs w:val="24"/>
        </w:rPr>
        <w:t xml:space="preserve"> citation below.</w:t>
      </w:r>
    </w:p>
    <w:p w14:paraId="207B0342" w14:textId="77777777" w:rsidR="000A7622" w:rsidRPr="00C04F25" w:rsidRDefault="000A7622" w:rsidP="00D14423">
      <w:pPr>
        <w:jc w:val="center"/>
        <w:rPr>
          <w:rFonts w:cstheme="minorHAnsi"/>
          <w:sz w:val="24"/>
          <w:szCs w:val="24"/>
        </w:rPr>
      </w:pPr>
    </w:p>
    <w:p w14:paraId="2A38AFE1" w14:textId="159EDA05" w:rsidR="000A7622" w:rsidRPr="00C04F25" w:rsidRDefault="002D7BAF" w:rsidP="00D14423">
      <w:pPr>
        <w:rPr>
          <w:rFonts w:cstheme="minorHAnsi"/>
          <w:sz w:val="24"/>
          <w:szCs w:val="24"/>
        </w:rPr>
      </w:pPr>
      <w:r>
        <w:rPr>
          <w:rFonts w:cstheme="minorHAnsi"/>
          <w:i/>
          <w:sz w:val="24"/>
          <w:szCs w:val="24"/>
          <w:lang w:val="fr-FR"/>
        </w:rPr>
        <w:t xml:space="preserve">Journal of Attention </w:t>
      </w:r>
      <w:proofErr w:type="spellStart"/>
      <w:r>
        <w:rPr>
          <w:rFonts w:cstheme="minorHAnsi"/>
          <w:i/>
          <w:sz w:val="24"/>
          <w:szCs w:val="24"/>
          <w:lang w:val="fr-FR"/>
        </w:rPr>
        <w:t>Disorders</w:t>
      </w:r>
      <w:proofErr w:type="spellEnd"/>
      <w:r w:rsidR="000A7622" w:rsidRPr="00C04F25">
        <w:rPr>
          <w:rFonts w:cstheme="minorHAnsi"/>
          <w:sz w:val="24"/>
          <w:szCs w:val="24"/>
          <w:lang w:val="fr-FR"/>
        </w:rPr>
        <w:t>, (</w:t>
      </w:r>
      <w:r w:rsidR="001073E8">
        <w:rPr>
          <w:rFonts w:cstheme="minorHAnsi"/>
          <w:sz w:val="24"/>
          <w:szCs w:val="24"/>
          <w:lang w:val="fr-FR"/>
        </w:rPr>
        <w:t>2019</w:t>
      </w:r>
      <w:proofErr w:type="gramStart"/>
      <w:r w:rsidR="000A7622" w:rsidRPr="00C04F25">
        <w:rPr>
          <w:rFonts w:cstheme="minorHAnsi"/>
          <w:sz w:val="24"/>
          <w:szCs w:val="24"/>
          <w:lang w:val="fr-FR"/>
        </w:rPr>
        <w:t>):</w:t>
      </w:r>
      <w:proofErr w:type="gramEnd"/>
      <w:r w:rsidR="000A7622" w:rsidRPr="00C04F25">
        <w:rPr>
          <w:rFonts w:cstheme="minorHAnsi"/>
          <w:sz w:val="24"/>
          <w:szCs w:val="24"/>
          <w:lang w:val="fr-FR"/>
        </w:rPr>
        <w:t xml:space="preserve"> </w:t>
      </w:r>
      <w:r w:rsidR="001073E8">
        <w:rPr>
          <w:rFonts w:cstheme="minorHAnsi"/>
          <w:sz w:val="24"/>
          <w:szCs w:val="24"/>
          <w:lang w:val="fr-FR"/>
        </w:rPr>
        <w:t>1-16</w:t>
      </w:r>
      <w:r w:rsidR="000A7622" w:rsidRPr="00C04F25">
        <w:rPr>
          <w:rFonts w:cstheme="minorHAnsi"/>
          <w:sz w:val="24"/>
          <w:szCs w:val="24"/>
          <w:lang w:val="fr-FR"/>
        </w:rPr>
        <w:t xml:space="preserve">. </w:t>
      </w:r>
      <w:hyperlink r:id="rId7" w:history="1">
        <w:r w:rsidR="000A7622" w:rsidRPr="00C04F25">
          <w:rPr>
            <w:rFonts w:cstheme="minorHAnsi"/>
            <w:color w:val="0563C1" w:themeColor="hyperlink"/>
            <w:sz w:val="24"/>
            <w:szCs w:val="24"/>
            <w:u w:val="single"/>
            <w:lang w:val="fr-FR"/>
          </w:rPr>
          <w:t>DOI</w:t>
        </w:r>
      </w:hyperlink>
      <w:r w:rsidR="000A7622" w:rsidRPr="00C04F25">
        <w:rPr>
          <w:rFonts w:cstheme="minorHAnsi"/>
          <w:sz w:val="24"/>
          <w:szCs w:val="24"/>
          <w:lang w:val="fr-FR"/>
        </w:rPr>
        <w:t xml:space="preserve">. </w:t>
      </w:r>
      <w:r w:rsidR="000A7622" w:rsidRPr="00C04F25">
        <w:rPr>
          <w:rFonts w:cstheme="minorHAnsi"/>
          <w:sz w:val="24"/>
          <w:szCs w:val="24"/>
        </w:rPr>
        <w:t>This article is ©</w:t>
      </w:r>
      <w:r w:rsidR="001073E8">
        <w:rPr>
          <w:rFonts w:cstheme="minorHAnsi"/>
          <w:sz w:val="24"/>
          <w:szCs w:val="24"/>
        </w:rPr>
        <w:t xml:space="preserve"> SAGE publications</w:t>
      </w:r>
      <w:r w:rsidR="000A7622" w:rsidRPr="00C04F25">
        <w:rPr>
          <w:rFonts w:cstheme="minorHAnsi"/>
          <w:sz w:val="24"/>
          <w:szCs w:val="24"/>
        </w:rPr>
        <w:t xml:space="preserve"> and permission has been granted for this version to appear in </w:t>
      </w:r>
      <w:hyperlink r:id="rId8" w:history="1">
        <w:proofErr w:type="spellStart"/>
        <w:r w:rsidR="000A7622" w:rsidRPr="00C04F25">
          <w:rPr>
            <w:rFonts w:cstheme="minorHAnsi"/>
            <w:color w:val="0563C1" w:themeColor="hyperlink"/>
            <w:sz w:val="24"/>
            <w:szCs w:val="24"/>
            <w:u w:val="single"/>
          </w:rPr>
          <w:t>e-Publications@Marquette</w:t>
        </w:r>
        <w:proofErr w:type="spellEnd"/>
      </w:hyperlink>
      <w:r w:rsidR="000A7622" w:rsidRPr="00C04F25">
        <w:rPr>
          <w:rFonts w:cstheme="minorHAnsi"/>
          <w:sz w:val="24"/>
          <w:szCs w:val="24"/>
        </w:rPr>
        <w:t xml:space="preserve">. </w:t>
      </w:r>
      <w:r w:rsidR="001073E8">
        <w:rPr>
          <w:rFonts w:cstheme="minorHAnsi"/>
          <w:sz w:val="24"/>
          <w:szCs w:val="24"/>
        </w:rPr>
        <w:t>SAGE publications</w:t>
      </w:r>
      <w:r w:rsidR="001073E8" w:rsidRPr="00C04F25">
        <w:rPr>
          <w:rFonts w:cstheme="minorHAnsi"/>
          <w:sz w:val="24"/>
          <w:szCs w:val="24"/>
        </w:rPr>
        <w:t xml:space="preserve"> </w:t>
      </w:r>
      <w:proofErr w:type="gramStart"/>
      <w:r w:rsidR="000A7622" w:rsidRPr="00C04F25">
        <w:rPr>
          <w:rFonts w:cstheme="minorHAnsi"/>
          <w:sz w:val="24"/>
          <w:szCs w:val="24"/>
        </w:rPr>
        <w:t>does</w:t>
      </w:r>
      <w:proofErr w:type="gramEnd"/>
      <w:r w:rsidR="000A7622" w:rsidRPr="00C04F25">
        <w:rPr>
          <w:rFonts w:cstheme="minorHAnsi"/>
          <w:sz w:val="24"/>
          <w:szCs w:val="24"/>
        </w:rPr>
        <w:t xml:space="preserve"> not grant permission for this article to be further copied/distributed or hosted elsewhere without the express permission from </w:t>
      </w:r>
      <w:r w:rsidR="001073E8">
        <w:rPr>
          <w:rFonts w:cstheme="minorHAnsi"/>
          <w:sz w:val="24"/>
          <w:szCs w:val="24"/>
        </w:rPr>
        <w:t>SAGE publications.</w:t>
      </w:r>
    </w:p>
    <w:bookmarkEnd w:id="1"/>
    <w:p w14:paraId="5BC0075B" w14:textId="0A1EAD77" w:rsidR="000A7622" w:rsidRDefault="000A7622" w:rsidP="001073E8">
      <w:pPr>
        <w:pStyle w:val="NoSpacing"/>
      </w:pPr>
    </w:p>
    <w:p w14:paraId="55F151D2" w14:textId="25DCC9D8" w:rsidR="001073E8" w:rsidRDefault="001073E8" w:rsidP="001073E8">
      <w:pPr>
        <w:pStyle w:val="NoSpacing"/>
      </w:pPr>
    </w:p>
    <w:p w14:paraId="09C9B5FD" w14:textId="7E5D50AD" w:rsidR="00AC6F7E" w:rsidRDefault="00AC6F7E" w:rsidP="00AC6F7E">
      <w:pPr>
        <w:pStyle w:val="Title"/>
      </w:pPr>
      <w:r>
        <w:t xml:space="preserve">Feasibility, Acceptability, and Preliminary Outcomes of a Culturally Adapted Evidence-Based Treatment for Latino Youth With ADHD </w:t>
      </w:r>
    </w:p>
    <w:p w14:paraId="5CECE8D1" w14:textId="07AC9064" w:rsidR="00AC6F7E" w:rsidRPr="0027257B" w:rsidRDefault="00AC6F7E" w:rsidP="0027257B">
      <w:pPr>
        <w:pStyle w:val="NoSpacing"/>
      </w:pPr>
    </w:p>
    <w:p w14:paraId="100C04BA" w14:textId="77ABC2EF" w:rsidR="00AC6F7E" w:rsidRPr="0027257B" w:rsidRDefault="00AC6F7E" w:rsidP="0027257B">
      <w:pPr>
        <w:pStyle w:val="NoSpacing"/>
        <w:rPr>
          <w:rStyle w:val="contribdegrees"/>
          <w:sz w:val="28"/>
          <w:szCs w:val="28"/>
        </w:rPr>
      </w:pPr>
      <w:proofErr w:type="spellStart"/>
      <w:r w:rsidRPr="0027257B">
        <w:rPr>
          <w:rStyle w:val="contribdegrees"/>
          <w:sz w:val="28"/>
          <w:szCs w:val="28"/>
        </w:rPr>
        <w:t>Ayson</w:t>
      </w:r>
      <w:proofErr w:type="spellEnd"/>
      <w:r w:rsidRPr="0027257B">
        <w:rPr>
          <w:rStyle w:val="contribdegrees"/>
          <w:sz w:val="28"/>
          <w:szCs w:val="28"/>
        </w:rPr>
        <w:t xml:space="preserve"> C. Gerdes</w:t>
      </w:r>
    </w:p>
    <w:p w14:paraId="51C79EB6" w14:textId="58A1427B" w:rsidR="00AC6F7E" w:rsidRDefault="00AC6F7E" w:rsidP="0027257B">
      <w:pPr>
        <w:pStyle w:val="NoSpacing"/>
      </w:pPr>
      <w:r>
        <w:t>Marquette University, Milwaukee, WI, USA</w:t>
      </w:r>
    </w:p>
    <w:p w14:paraId="65DD6D16" w14:textId="77777777" w:rsidR="0027257B" w:rsidRDefault="0027257B" w:rsidP="0027257B">
      <w:pPr>
        <w:pStyle w:val="NoSpacing"/>
        <w:rPr>
          <w:rStyle w:val="contribdegrees"/>
        </w:rPr>
      </w:pPr>
    </w:p>
    <w:p w14:paraId="7F4AE068" w14:textId="29DB872C" w:rsidR="00AC6F7E" w:rsidRPr="0027257B" w:rsidRDefault="00AC6F7E" w:rsidP="0027257B">
      <w:pPr>
        <w:pStyle w:val="NoSpacing"/>
        <w:rPr>
          <w:rStyle w:val="contribdegrees"/>
          <w:sz w:val="28"/>
          <w:szCs w:val="28"/>
        </w:rPr>
      </w:pPr>
      <w:r w:rsidRPr="0027257B">
        <w:rPr>
          <w:rStyle w:val="contribdegrees"/>
          <w:sz w:val="28"/>
          <w:szCs w:val="28"/>
        </w:rPr>
        <w:t xml:space="preserve">Theresa L. </w:t>
      </w:r>
      <w:proofErr w:type="spellStart"/>
      <w:r w:rsidRPr="0027257B">
        <w:rPr>
          <w:rStyle w:val="contribdegrees"/>
          <w:sz w:val="28"/>
          <w:szCs w:val="28"/>
        </w:rPr>
        <w:t>Kapke</w:t>
      </w:r>
      <w:proofErr w:type="spellEnd"/>
    </w:p>
    <w:p w14:paraId="7B6D4420" w14:textId="77777777" w:rsidR="0027257B" w:rsidRDefault="0027257B" w:rsidP="0027257B">
      <w:pPr>
        <w:pStyle w:val="NoSpacing"/>
      </w:pPr>
      <w:r>
        <w:t>Marquette University, Milwaukee, WI, USA</w:t>
      </w:r>
    </w:p>
    <w:p w14:paraId="15B560D3" w14:textId="77777777" w:rsidR="00AC6F7E" w:rsidRDefault="00AC6F7E" w:rsidP="0027257B">
      <w:pPr>
        <w:pStyle w:val="NoSpacing"/>
        <w:rPr>
          <w:rStyle w:val="contribdegrees"/>
        </w:rPr>
      </w:pPr>
    </w:p>
    <w:p w14:paraId="5B918CD8" w14:textId="6DE8FE52" w:rsidR="00AC6F7E" w:rsidRPr="0027257B" w:rsidRDefault="00AC6F7E" w:rsidP="0027257B">
      <w:pPr>
        <w:pStyle w:val="NoSpacing"/>
        <w:rPr>
          <w:rStyle w:val="contribdegrees"/>
          <w:sz w:val="28"/>
          <w:szCs w:val="28"/>
        </w:rPr>
      </w:pPr>
      <w:r w:rsidRPr="0027257B">
        <w:rPr>
          <w:rStyle w:val="contribdegrees"/>
          <w:sz w:val="28"/>
          <w:szCs w:val="28"/>
        </w:rPr>
        <w:t>Margaret Grace</w:t>
      </w:r>
    </w:p>
    <w:p w14:paraId="4FFB6C0E" w14:textId="77777777" w:rsidR="0027257B" w:rsidRDefault="0027257B" w:rsidP="0027257B">
      <w:pPr>
        <w:pStyle w:val="NoSpacing"/>
      </w:pPr>
      <w:r>
        <w:t>Marquette University, Milwaukee, WI, USA</w:t>
      </w:r>
    </w:p>
    <w:p w14:paraId="0458B126" w14:textId="77777777" w:rsidR="00AC6F7E" w:rsidRDefault="00AC6F7E" w:rsidP="0027257B">
      <w:pPr>
        <w:pStyle w:val="NoSpacing"/>
        <w:rPr>
          <w:rStyle w:val="contribdegrees"/>
        </w:rPr>
      </w:pPr>
    </w:p>
    <w:p w14:paraId="66974477" w14:textId="0620CFDA" w:rsidR="00AC6F7E" w:rsidRPr="0027257B" w:rsidRDefault="00AC6F7E" w:rsidP="0027257B">
      <w:pPr>
        <w:pStyle w:val="NoSpacing"/>
        <w:rPr>
          <w:sz w:val="28"/>
          <w:szCs w:val="28"/>
        </w:rPr>
      </w:pPr>
      <w:r w:rsidRPr="0027257B">
        <w:rPr>
          <w:rStyle w:val="contribdegrees"/>
          <w:sz w:val="28"/>
          <w:szCs w:val="28"/>
        </w:rPr>
        <w:t>Al Castro</w:t>
      </w:r>
    </w:p>
    <w:p w14:paraId="022C067A" w14:textId="3702AAC2" w:rsidR="00AC6F7E" w:rsidRPr="0027257B" w:rsidRDefault="0027257B" w:rsidP="0027257B">
      <w:pPr>
        <w:pStyle w:val="NoSpacing"/>
      </w:pPr>
      <w:r w:rsidRPr="0027257B">
        <w:rPr>
          <w:rStyle w:val="contribdegrees"/>
        </w:rPr>
        <w:t>United Community Center, Milwaukee, WI, USA</w:t>
      </w:r>
    </w:p>
    <w:p w14:paraId="2238342B" w14:textId="77777777" w:rsidR="001073E8" w:rsidRDefault="001073E8" w:rsidP="001073E8">
      <w:pPr>
        <w:pStyle w:val="NoSpacing"/>
      </w:pPr>
    </w:p>
    <w:p w14:paraId="447B8193" w14:textId="77777777" w:rsidR="00450F81" w:rsidRDefault="00450F81" w:rsidP="0027257B">
      <w:pPr>
        <w:pStyle w:val="Heading1"/>
      </w:pPr>
      <w:r>
        <w:lastRenderedPageBreak/>
        <w:t>Abstract</w:t>
      </w:r>
    </w:p>
    <w:p w14:paraId="208D7881" w14:textId="77777777" w:rsidR="0027257B" w:rsidRDefault="00450F81" w:rsidP="0027257B">
      <w:pPr>
        <w:pStyle w:val="NoSpacing"/>
      </w:pPr>
      <w:r w:rsidRPr="0027257B">
        <w:rPr>
          <w:rStyle w:val="Heading2Char"/>
        </w:rPr>
        <w:t>Objective:</w:t>
      </w:r>
      <w:r>
        <w:t> To advance our knowledge about the most effective way to treat Latino youth with ADHD, the current feasibility and pilot study compared a culturally adapted evidence-based treatment (CAT) for ADHD to standard evidence-based treatment (EBT). </w:t>
      </w:r>
    </w:p>
    <w:p w14:paraId="43525057" w14:textId="77777777" w:rsidR="0027257B" w:rsidRDefault="0027257B" w:rsidP="0027257B">
      <w:pPr>
        <w:pStyle w:val="NoSpacing"/>
      </w:pPr>
    </w:p>
    <w:p w14:paraId="07FCF5D4" w14:textId="77777777" w:rsidR="0027257B" w:rsidRDefault="00450F81" w:rsidP="0027257B">
      <w:pPr>
        <w:pStyle w:val="NoSpacing"/>
      </w:pPr>
      <w:r w:rsidRPr="0027257B">
        <w:rPr>
          <w:rStyle w:val="Heading2Char"/>
        </w:rPr>
        <w:t>Method:</w:t>
      </w:r>
      <w:r>
        <w:t> </w:t>
      </w:r>
      <w:r w:rsidRPr="0027257B">
        <w:t>Following a comprehensive ADHD assessment, 61 Latino families of school-aged children (mean age of 8 years) were randomly assigned to either CAT or standard EBT (i.e., parent management training)</w:t>
      </w:r>
      <w:r>
        <w:t>. </w:t>
      </w:r>
    </w:p>
    <w:p w14:paraId="67CDE5D5" w14:textId="77777777" w:rsidR="0027257B" w:rsidRDefault="0027257B" w:rsidP="0027257B">
      <w:pPr>
        <w:pStyle w:val="NoSpacing"/>
      </w:pPr>
    </w:p>
    <w:p w14:paraId="1DCB185D" w14:textId="0E6F8855" w:rsidR="0027257B" w:rsidRDefault="00450F81" w:rsidP="0027257B">
      <w:pPr>
        <w:pStyle w:val="NoSpacing"/>
      </w:pPr>
      <w:r w:rsidRPr="0027257B">
        <w:rPr>
          <w:rStyle w:val="Heading2Char"/>
        </w:rPr>
        <w:t>Results:</w:t>
      </w:r>
      <w:r>
        <w:t> </w:t>
      </w:r>
      <w:r w:rsidRPr="0027257B">
        <w:t>CAT outperformed standard EBT when examining homework completion and mother-reported treatment satisfaction. Apart from two trends favoring CAT, CAT and EBT both resulted in significant improvements in parent- and teacher-reported ADHD symptoms and functional impairment, as well as mother- and father-reported parental functioning.</w:t>
      </w:r>
      <w:r>
        <w:t> </w:t>
      </w:r>
    </w:p>
    <w:p w14:paraId="24CDAEE5" w14:textId="77777777" w:rsidR="0027257B" w:rsidRDefault="0027257B" w:rsidP="0027257B">
      <w:pPr>
        <w:pStyle w:val="NoSpacing"/>
      </w:pPr>
    </w:p>
    <w:p w14:paraId="7DCD9E6D" w14:textId="56B14A74" w:rsidR="0027257B" w:rsidRPr="0027257B" w:rsidRDefault="00450F81" w:rsidP="0027257B">
      <w:pPr>
        <w:pStyle w:val="NoSpacing"/>
      </w:pPr>
      <w:r w:rsidRPr="0027257B">
        <w:rPr>
          <w:rStyle w:val="Heading2Char"/>
        </w:rPr>
        <w:t>Conclusion:</w:t>
      </w:r>
      <w:r>
        <w:t> </w:t>
      </w:r>
      <w:r w:rsidRPr="0027257B">
        <w:t>CAT outperformed standard EBT when examining several engagement and acceptability outcomes. CAT and EBT were equally effective when examining traditional treatment outcomes, which is impressive considering the robustness of standard EBT, especially when delivered by culturally competent staff.</w:t>
      </w:r>
    </w:p>
    <w:p w14:paraId="1E6577BE" w14:textId="77777777" w:rsidR="0027257B" w:rsidRPr="0027257B" w:rsidRDefault="00450F81" w:rsidP="0027257B">
      <w:pPr>
        <w:pStyle w:val="Heading1"/>
      </w:pPr>
      <w:r w:rsidRPr="0027257B">
        <w:rPr>
          <w:rStyle w:val="Heading1Char"/>
        </w:rPr>
        <w:t>Keywords</w:t>
      </w:r>
      <w:r w:rsidRPr="0027257B">
        <w:t> </w:t>
      </w:r>
    </w:p>
    <w:p w14:paraId="53F5FDDF" w14:textId="6A8234D5" w:rsidR="00450F81" w:rsidRDefault="00450F81" w:rsidP="0027257B">
      <w:pPr>
        <w:pStyle w:val="NoSpacing"/>
      </w:pPr>
      <w:r w:rsidRPr="0027257B">
        <w:t>ADHD</w:t>
      </w:r>
      <w:r>
        <w:rPr>
          <w:color w:val="555555"/>
          <w:sz w:val="27"/>
          <w:szCs w:val="27"/>
        </w:rPr>
        <w:t>, </w:t>
      </w:r>
      <w:r w:rsidRPr="0027257B">
        <w:t>parent management training</w:t>
      </w:r>
      <w:r>
        <w:rPr>
          <w:color w:val="555555"/>
          <w:sz w:val="27"/>
          <w:szCs w:val="27"/>
        </w:rPr>
        <w:t>, </w:t>
      </w:r>
      <w:r w:rsidRPr="0027257B">
        <w:t>cultural adaptations</w:t>
      </w:r>
      <w:r>
        <w:rPr>
          <w:color w:val="555555"/>
          <w:sz w:val="27"/>
          <w:szCs w:val="27"/>
        </w:rPr>
        <w:t>, </w:t>
      </w:r>
      <w:r w:rsidRPr="0027257B">
        <w:t>Latino</w:t>
      </w:r>
      <w:r>
        <w:rPr>
          <w:color w:val="555555"/>
          <w:sz w:val="27"/>
          <w:szCs w:val="27"/>
        </w:rPr>
        <w:t>, </w:t>
      </w:r>
      <w:r w:rsidRPr="0027257B">
        <w:t>mental health disparities</w:t>
      </w:r>
    </w:p>
    <w:p w14:paraId="2031B06A" w14:textId="30704C21" w:rsidR="0027257B" w:rsidRDefault="0027257B" w:rsidP="0027257B">
      <w:pPr>
        <w:pStyle w:val="Heading1"/>
      </w:pPr>
      <w:r>
        <w:t>Introduction</w:t>
      </w:r>
    </w:p>
    <w:p w14:paraId="1F192CF4" w14:textId="77777777" w:rsidR="00450F81" w:rsidRPr="00EB1A84" w:rsidRDefault="00450F81" w:rsidP="0027257B">
      <w:pPr>
        <w:pStyle w:val="NoSpacing"/>
        <w:rPr>
          <w:rFonts w:cstheme="minorHAnsi"/>
        </w:rPr>
      </w:pPr>
      <w:r w:rsidRPr="00EB1A84">
        <w:rPr>
          <w:rFonts w:cstheme="minorHAnsi"/>
        </w:rPr>
        <w:t>The last decade has seen a surge in the Latino population in the United States, an increased recognition of mental health disparities, and a call for more culturally sensitive treatment (</w:t>
      </w:r>
      <w:proofErr w:type="spellStart"/>
      <w:r w:rsidR="001C2B51">
        <w:fldChar w:fldCharType="begin"/>
      </w:r>
      <w:r w:rsidR="001C2B51">
        <w:instrText xml:space="preserve"> HYPERLINK "https://journals.sagepub.com/doi/10.1177/1087054718821729" </w:instrText>
      </w:r>
      <w:r w:rsidR="001C2B51">
        <w:fldChar w:fldCharType="separate"/>
      </w:r>
      <w:r w:rsidRPr="00EB1A84">
        <w:rPr>
          <w:rStyle w:val="Hyperlink"/>
          <w:rFonts w:eastAsiaTheme="majorEastAsia" w:cstheme="minorHAnsi"/>
          <w:color w:val="006ACC"/>
        </w:rPr>
        <w:t>Alegría</w:t>
      </w:r>
      <w:proofErr w:type="spellEnd"/>
      <w:r w:rsidRPr="00EB1A84">
        <w:rPr>
          <w:rStyle w:val="Hyperlink"/>
          <w:rFonts w:eastAsiaTheme="majorEastAsia" w:cstheme="minorHAnsi"/>
          <w:color w:val="006ACC"/>
        </w:rPr>
        <w:t xml:space="preserve">, </w:t>
      </w:r>
      <w:proofErr w:type="spellStart"/>
      <w:r w:rsidRPr="00EB1A84">
        <w:rPr>
          <w:rStyle w:val="Hyperlink"/>
          <w:rFonts w:eastAsiaTheme="majorEastAsia" w:cstheme="minorHAnsi"/>
          <w:color w:val="006ACC"/>
        </w:rPr>
        <w:t>Vallas</w:t>
      </w:r>
      <w:proofErr w:type="spellEnd"/>
      <w:r w:rsidRPr="00EB1A84">
        <w:rPr>
          <w:rStyle w:val="Hyperlink"/>
          <w:rFonts w:eastAsiaTheme="majorEastAsia" w:cstheme="minorHAnsi"/>
          <w:color w:val="006ACC"/>
        </w:rPr>
        <w:t xml:space="preserve">, &amp; </w:t>
      </w:r>
      <w:proofErr w:type="spellStart"/>
      <w:r w:rsidRPr="00EB1A84">
        <w:rPr>
          <w:rStyle w:val="Hyperlink"/>
          <w:rFonts w:eastAsiaTheme="majorEastAsia" w:cstheme="minorHAnsi"/>
          <w:color w:val="006ACC"/>
        </w:rPr>
        <w:t>Pumariega</w:t>
      </w:r>
      <w:proofErr w:type="spellEnd"/>
      <w:r w:rsidRPr="00EB1A84">
        <w:rPr>
          <w:rStyle w:val="Hyperlink"/>
          <w:rFonts w:eastAsiaTheme="majorEastAsia" w:cstheme="minorHAnsi"/>
          <w:color w:val="006ACC"/>
        </w:rPr>
        <w:t>, 2010</w:t>
      </w:r>
      <w:r w:rsidR="001C2B51">
        <w:rPr>
          <w:rStyle w:val="Hyperlink"/>
          <w:rFonts w:eastAsiaTheme="majorEastAsia" w:cstheme="minorHAnsi"/>
          <w:color w:val="006ACC"/>
        </w:rPr>
        <w:fldChar w:fldCharType="end"/>
      </w:r>
      <w:r w:rsidRPr="00EB1A84">
        <w:rPr>
          <w:rFonts w:cstheme="minorHAnsi"/>
        </w:rPr>
        <w:t>; </w:t>
      </w:r>
      <w:proofErr w:type="spellStart"/>
      <w:r w:rsidR="001C2B51">
        <w:fldChar w:fldCharType="begin"/>
      </w:r>
      <w:r w:rsidR="001C2B51">
        <w:instrText xml:space="preserve"> HYPERLINK "https://journals.sagepub.com/doi/10.1177/1087054718821729" </w:instrText>
      </w:r>
      <w:r w:rsidR="001C2B51">
        <w:fldChar w:fldCharType="separate"/>
      </w:r>
      <w:r w:rsidRPr="00EB1A84">
        <w:rPr>
          <w:rStyle w:val="Hyperlink"/>
          <w:rFonts w:eastAsiaTheme="majorEastAsia" w:cstheme="minorHAnsi"/>
          <w:color w:val="006ACC"/>
        </w:rPr>
        <w:t>Cabassa</w:t>
      </w:r>
      <w:proofErr w:type="spellEnd"/>
      <w:r w:rsidRPr="00EB1A84">
        <w:rPr>
          <w:rStyle w:val="Hyperlink"/>
          <w:rFonts w:eastAsiaTheme="majorEastAsia" w:cstheme="minorHAnsi"/>
          <w:color w:val="006ACC"/>
        </w:rPr>
        <w:t>, Zayas, &amp; Hansen, 2006</w:t>
      </w:r>
      <w:r w:rsidR="001C2B51">
        <w:rPr>
          <w:rStyle w:val="Hyperlink"/>
          <w:rFonts w:eastAsiaTheme="majorEastAsia" w:cstheme="minorHAnsi"/>
          <w:color w:val="006ACC"/>
        </w:rPr>
        <w:fldChar w:fldCharType="end"/>
      </w:r>
      <w:r w:rsidRPr="00EB1A84">
        <w:rPr>
          <w:rFonts w:cstheme="minorHAnsi"/>
        </w:rPr>
        <w:t>; </w:t>
      </w:r>
      <w:hyperlink r:id="rId9" w:history="1">
        <w:r w:rsidRPr="00EB1A84">
          <w:rPr>
            <w:rStyle w:val="Hyperlink"/>
            <w:rFonts w:eastAsiaTheme="majorEastAsia" w:cstheme="minorHAnsi"/>
            <w:color w:val="006ACC"/>
          </w:rPr>
          <w:t>Centers for Disease Control and Prevention [CDC], 2018</w:t>
        </w:r>
      </w:hyperlink>
      <w:r w:rsidRPr="00EB1A84">
        <w:rPr>
          <w:rFonts w:cstheme="minorHAnsi"/>
        </w:rPr>
        <w:t>; </w:t>
      </w:r>
      <w:hyperlink r:id="rId10" w:history="1">
        <w:r w:rsidRPr="00EB1A84">
          <w:rPr>
            <w:rStyle w:val="Hyperlink"/>
            <w:rFonts w:eastAsiaTheme="majorEastAsia" w:cstheme="minorHAnsi"/>
            <w:color w:val="006ACC"/>
          </w:rPr>
          <w:t>Sue, Zane, Nagayama Hall, &amp; Berger, 2009</w:t>
        </w:r>
      </w:hyperlink>
      <w:r w:rsidRPr="00EB1A84">
        <w:rPr>
          <w:rFonts w:cstheme="minorHAnsi"/>
        </w:rPr>
        <w:t>). There is a crucial need for research on effective treatments for Latino youth with ADHD, as it is one of the most common mental health disorders in childhood (</w:t>
      </w:r>
      <w:hyperlink r:id="rId11" w:history="1">
        <w:r w:rsidRPr="00EB1A84">
          <w:rPr>
            <w:rStyle w:val="Hyperlink"/>
            <w:rFonts w:eastAsiaTheme="majorEastAsia" w:cstheme="minorHAnsi"/>
            <w:color w:val="006ACC"/>
          </w:rPr>
          <w:t>American Psychiatric Association, 2013</w:t>
        </w:r>
      </w:hyperlink>
      <w:r w:rsidRPr="00EB1A84">
        <w:rPr>
          <w:rFonts w:cstheme="minorHAnsi"/>
        </w:rPr>
        <w:t>). Current evidence indicates that Latino parents perceive some aspects of parent management training (PMT), the leading psychosocial treatment for ADHD, negatively, which may diminish their engagement and motivation in the treatment process (</w:t>
      </w:r>
      <w:hyperlink r:id="rId12" w:history="1">
        <w:r w:rsidRPr="00EB1A84">
          <w:rPr>
            <w:rStyle w:val="Hyperlink"/>
            <w:rFonts w:eastAsiaTheme="majorEastAsia" w:cstheme="minorHAnsi"/>
            <w:color w:val="006ACC"/>
          </w:rPr>
          <w:t xml:space="preserve">Gerdes, </w:t>
        </w:r>
        <w:proofErr w:type="spellStart"/>
        <w:r w:rsidRPr="00EB1A84">
          <w:rPr>
            <w:rStyle w:val="Hyperlink"/>
            <w:rFonts w:eastAsiaTheme="majorEastAsia" w:cstheme="minorHAnsi"/>
            <w:color w:val="006ACC"/>
          </w:rPr>
          <w:t>Kapke</w:t>
        </w:r>
        <w:proofErr w:type="spellEnd"/>
        <w:r w:rsidRPr="00EB1A84">
          <w:rPr>
            <w:rStyle w:val="Hyperlink"/>
            <w:rFonts w:eastAsiaTheme="majorEastAsia" w:cstheme="minorHAnsi"/>
            <w:color w:val="006ACC"/>
          </w:rPr>
          <w:t xml:space="preserve">, Lawton, Grace, &amp; </w:t>
        </w:r>
        <w:proofErr w:type="spellStart"/>
        <w:r w:rsidRPr="00EB1A84">
          <w:rPr>
            <w:rStyle w:val="Hyperlink"/>
            <w:rFonts w:eastAsiaTheme="majorEastAsia" w:cstheme="minorHAnsi"/>
            <w:color w:val="006ACC"/>
          </w:rPr>
          <w:t>Dieguez</w:t>
        </w:r>
        <w:proofErr w:type="spellEnd"/>
        <w:r w:rsidRPr="00EB1A84">
          <w:rPr>
            <w:rStyle w:val="Hyperlink"/>
            <w:rFonts w:eastAsiaTheme="majorEastAsia" w:cstheme="minorHAnsi"/>
            <w:color w:val="006ACC"/>
          </w:rPr>
          <w:t xml:space="preserve"> Hurtado, 2015</w:t>
        </w:r>
      </w:hyperlink>
      <w:r w:rsidRPr="00EB1A84">
        <w:rPr>
          <w:rFonts w:cstheme="minorHAnsi"/>
        </w:rPr>
        <w:t>). Thus, the current feasibility and pilot study compared a culturally adapted evidence-based treatment (CAT) for ADHD to standard evidence-based treatment (EBT) to advance our knowledge about the most effective way to treat Latino youth with ADHD.</w:t>
      </w:r>
    </w:p>
    <w:p w14:paraId="23DE576C" w14:textId="77777777" w:rsidR="00450F81" w:rsidRPr="00EB1A84" w:rsidRDefault="00450F81" w:rsidP="00EB1A84">
      <w:pPr>
        <w:pStyle w:val="Heading1"/>
      </w:pPr>
      <w:bookmarkStart w:id="3" w:name="_i1"/>
      <w:bookmarkEnd w:id="3"/>
      <w:r w:rsidRPr="00EB1A84">
        <w:t>EBTs for Ethnic Minority Youth</w:t>
      </w:r>
    </w:p>
    <w:p w14:paraId="23CC885A" w14:textId="229F5098" w:rsidR="00450F81" w:rsidRPr="00EB1A84" w:rsidRDefault="00450F81" w:rsidP="00EB1A84">
      <w:pPr>
        <w:pStyle w:val="NoSpacing"/>
        <w:rPr>
          <w:rFonts w:cstheme="minorHAnsi"/>
        </w:rPr>
      </w:pPr>
      <w:r w:rsidRPr="00EB1A84">
        <w:rPr>
          <w:rFonts w:cstheme="minorHAnsi"/>
        </w:rPr>
        <w:t>Recent estimates suggest that nearly one million Latino youth in the United States have ADHD, and the lifetime prevalence of ADHD in Latinos increased by 53% from 2003 to 2007 (CDC, 2013; </w:t>
      </w:r>
      <w:hyperlink r:id="rId13" w:history="1">
        <w:r w:rsidRPr="00EB1A84">
          <w:rPr>
            <w:rStyle w:val="Hyperlink"/>
            <w:rFonts w:eastAsiaTheme="majorEastAsia" w:cstheme="minorHAnsi"/>
            <w:color w:val="006ACC"/>
          </w:rPr>
          <w:t>U.S. Census Bureau, 2015</w:t>
        </w:r>
      </w:hyperlink>
      <w:r w:rsidRPr="00EB1A84">
        <w:rPr>
          <w:rFonts w:cstheme="minorHAnsi"/>
        </w:rPr>
        <w:t>; </w:t>
      </w:r>
      <w:hyperlink r:id="rId14" w:history="1">
        <w:r w:rsidRPr="00EB1A84">
          <w:rPr>
            <w:rStyle w:val="Hyperlink"/>
            <w:rFonts w:eastAsiaTheme="majorEastAsia" w:cstheme="minorHAnsi"/>
            <w:color w:val="006ACC"/>
          </w:rPr>
          <w:t xml:space="preserve">Visser, </w:t>
        </w:r>
        <w:proofErr w:type="spellStart"/>
        <w:r w:rsidRPr="00EB1A84">
          <w:rPr>
            <w:rStyle w:val="Hyperlink"/>
            <w:rFonts w:eastAsiaTheme="majorEastAsia" w:cstheme="minorHAnsi"/>
            <w:color w:val="006ACC"/>
          </w:rPr>
          <w:t>Bitsko</w:t>
        </w:r>
        <w:proofErr w:type="spellEnd"/>
        <w:r w:rsidRPr="00EB1A84">
          <w:rPr>
            <w:rStyle w:val="Hyperlink"/>
            <w:rFonts w:eastAsiaTheme="majorEastAsia" w:cstheme="minorHAnsi"/>
            <w:color w:val="006ACC"/>
          </w:rPr>
          <w:t xml:space="preserve">, Danielson, </w:t>
        </w:r>
        <w:proofErr w:type="spellStart"/>
        <w:r w:rsidRPr="00EB1A84">
          <w:rPr>
            <w:rStyle w:val="Hyperlink"/>
            <w:rFonts w:eastAsiaTheme="majorEastAsia" w:cstheme="minorHAnsi"/>
            <w:color w:val="006ACC"/>
          </w:rPr>
          <w:t>Perou</w:t>
        </w:r>
        <w:proofErr w:type="spellEnd"/>
        <w:r w:rsidRPr="00EB1A84">
          <w:rPr>
            <w:rStyle w:val="Hyperlink"/>
            <w:rFonts w:eastAsiaTheme="majorEastAsia" w:cstheme="minorHAnsi"/>
            <w:color w:val="006ACC"/>
          </w:rPr>
          <w:t>, &amp; Blumberg, 2010</w:t>
        </w:r>
      </w:hyperlink>
      <w:r w:rsidRPr="00EB1A84">
        <w:rPr>
          <w:rFonts w:cstheme="minorHAnsi"/>
        </w:rPr>
        <w:t>). Despite these findings, Latino youth have not been well represented in treatment outcome studies examining PMT for ADHD (</w:t>
      </w:r>
      <w:hyperlink r:id="rId15" w:history="1">
        <w:r w:rsidRPr="00EB1A84">
          <w:rPr>
            <w:rStyle w:val="Hyperlink"/>
            <w:rFonts w:eastAsiaTheme="majorEastAsia" w:cstheme="minorHAnsi"/>
            <w:color w:val="006ACC"/>
          </w:rPr>
          <w:t>Huey &amp; Polo, 2008</w:t>
        </w:r>
      </w:hyperlink>
      <w:r w:rsidRPr="00EB1A84">
        <w:rPr>
          <w:rFonts w:cstheme="minorHAnsi"/>
        </w:rPr>
        <w:t>; </w:t>
      </w:r>
      <w:hyperlink r:id="rId16" w:history="1">
        <w:r w:rsidRPr="00EB1A84">
          <w:rPr>
            <w:rStyle w:val="Hyperlink"/>
            <w:rFonts w:eastAsiaTheme="majorEastAsia" w:cstheme="minorHAnsi"/>
            <w:color w:val="006ACC"/>
          </w:rPr>
          <w:t>Miranda et al., 2005</w:t>
        </w:r>
      </w:hyperlink>
      <w:r w:rsidRPr="00EB1A84">
        <w:rPr>
          <w:rFonts w:cstheme="minorHAnsi"/>
        </w:rPr>
        <w:t>). Although the Multimodal Treatment Study of Children With ADHD (MTA) examined the effects of ethnicity on treatment outcomes in children with ADHD (</w:t>
      </w:r>
      <w:hyperlink r:id="rId17" w:history="1">
        <w:r w:rsidRPr="00EB1A84">
          <w:rPr>
            <w:rStyle w:val="Hyperlink"/>
            <w:rFonts w:eastAsiaTheme="majorEastAsia" w:cstheme="minorHAnsi"/>
            <w:color w:val="006ACC"/>
          </w:rPr>
          <w:t>Arnold et al., 2003</w:t>
        </w:r>
      </w:hyperlink>
      <w:r w:rsidRPr="00EB1A84">
        <w:rPr>
          <w:rFonts w:cstheme="minorHAnsi"/>
        </w:rPr>
        <w:t>), these findings are unlikely to generalize to Latino families less oriented to U.S. mainstream culture (e.g., families who report Spanish as their only or predominant language and who report higher orientation to Latino culture than U.S. mainstream culture) due to the inclusion criteria that was employed. Participation in the MTA required parents to be fluent English speakers and to agree to medication if their child was randomly assigned to that treatment condition, yet many Latino parents do not believe medication to be a suitable treatment for ADHD (</w:t>
      </w:r>
      <w:proofErr w:type="spellStart"/>
      <w:r w:rsidR="001C2B51">
        <w:fldChar w:fldCharType="begin"/>
      </w:r>
      <w:r w:rsidR="001C2B51">
        <w:instrText xml:space="preserve"> HYPERLINK "htt</w:instrText>
      </w:r>
      <w:r w:rsidR="001C2B51">
        <w:instrText xml:space="preserve">ps://journals.sagepub.com/doi/10.1177/1087054718821729" </w:instrText>
      </w:r>
      <w:r w:rsidR="001C2B51">
        <w:fldChar w:fldCharType="separate"/>
      </w:r>
      <w:r w:rsidRPr="00EB1A84">
        <w:rPr>
          <w:rStyle w:val="Hyperlink"/>
          <w:rFonts w:eastAsiaTheme="majorEastAsia" w:cstheme="minorHAnsi"/>
          <w:color w:val="006ACC"/>
        </w:rPr>
        <w:t>Arcia</w:t>
      </w:r>
      <w:proofErr w:type="spellEnd"/>
      <w:r w:rsidRPr="00EB1A84">
        <w:rPr>
          <w:rStyle w:val="Hyperlink"/>
          <w:rFonts w:eastAsiaTheme="majorEastAsia" w:cstheme="minorHAnsi"/>
          <w:color w:val="006ACC"/>
        </w:rPr>
        <w:t xml:space="preserve">, Fernández, &amp; </w:t>
      </w:r>
      <w:proofErr w:type="spellStart"/>
      <w:r w:rsidRPr="00EB1A84">
        <w:rPr>
          <w:rStyle w:val="Hyperlink"/>
          <w:rFonts w:eastAsiaTheme="majorEastAsia" w:cstheme="minorHAnsi"/>
          <w:color w:val="006ACC"/>
        </w:rPr>
        <w:t>Jáquez</w:t>
      </w:r>
      <w:proofErr w:type="spellEnd"/>
      <w:r w:rsidRPr="00EB1A84">
        <w:rPr>
          <w:rStyle w:val="Hyperlink"/>
          <w:rFonts w:eastAsiaTheme="majorEastAsia" w:cstheme="minorHAnsi"/>
          <w:color w:val="006ACC"/>
        </w:rPr>
        <w:t>, 2004</w:t>
      </w:r>
      <w:r w:rsidR="001C2B51">
        <w:rPr>
          <w:rStyle w:val="Hyperlink"/>
          <w:rFonts w:eastAsiaTheme="majorEastAsia" w:cstheme="minorHAnsi"/>
          <w:color w:val="006ACC"/>
        </w:rPr>
        <w:fldChar w:fldCharType="end"/>
      </w:r>
      <w:r w:rsidRPr="00EB1A84">
        <w:rPr>
          <w:rFonts w:cstheme="minorHAnsi"/>
        </w:rPr>
        <w:t>). Thus, to date, there is little empirical evidence to support the effectiveness of PMT for ADHD in Latino families, especially families less oriented to U.S. mainstream culture.</w:t>
      </w:r>
    </w:p>
    <w:p w14:paraId="54E3A332" w14:textId="77777777" w:rsidR="00EB1A84" w:rsidRPr="00EB1A84" w:rsidRDefault="00EB1A84" w:rsidP="00EB1A84">
      <w:pPr>
        <w:pStyle w:val="NoSpacing"/>
        <w:rPr>
          <w:rFonts w:cstheme="minorHAnsi"/>
        </w:rPr>
      </w:pPr>
    </w:p>
    <w:p w14:paraId="7897AE6C" w14:textId="3BF8960C" w:rsidR="00450F81" w:rsidRPr="00EB1A84" w:rsidRDefault="00450F81" w:rsidP="00EB1A84">
      <w:pPr>
        <w:pStyle w:val="NoSpacing"/>
        <w:rPr>
          <w:rFonts w:cstheme="minorHAnsi"/>
        </w:rPr>
      </w:pPr>
      <w:r w:rsidRPr="00EB1A84">
        <w:rPr>
          <w:rFonts w:cstheme="minorHAnsi"/>
        </w:rPr>
        <w:t>Importantly, initial reviews examining EBT outcomes in ethnic minority youth have reported promising findings for many disorders, including conduct problems, mood disorders, and anxiety disorders; however, most studies summarized in these reviews compared ethnic minority youth to European American youth to determine whether groups differed regarding their response to standard EBT or examined ethnic-minority-only samples to determine the effects of a culturally adapted treatment (</w:t>
      </w:r>
      <w:hyperlink r:id="rId18" w:history="1">
        <w:r w:rsidRPr="00EB1A84">
          <w:rPr>
            <w:rStyle w:val="Hyperlink"/>
            <w:rFonts w:eastAsiaTheme="majorEastAsia" w:cstheme="minorHAnsi"/>
            <w:color w:val="006ACC"/>
          </w:rPr>
          <w:t>Huey &amp; Polo, 2008</w:t>
        </w:r>
      </w:hyperlink>
      <w:r w:rsidRPr="00EB1A84">
        <w:rPr>
          <w:rFonts w:cstheme="minorHAnsi"/>
        </w:rPr>
        <w:t>; </w:t>
      </w:r>
      <w:hyperlink r:id="rId19" w:history="1">
        <w:r w:rsidRPr="00EB1A84">
          <w:rPr>
            <w:rStyle w:val="Hyperlink"/>
            <w:rFonts w:eastAsiaTheme="majorEastAsia" w:cstheme="minorHAnsi"/>
            <w:color w:val="006ACC"/>
          </w:rPr>
          <w:t>Miranda et al., 2005</w:t>
        </w:r>
      </w:hyperlink>
      <w:r w:rsidRPr="00EB1A84">
        <w:rPr>
          <w:rFonts w:cstheme="minorHAnsi"/>
        </w:rPr>
        <w:t>). </w:t>
      </w:r>
      <w:hyperlink r:id="rId20" w:history="1">
        <w:r w:rsidRPr="00EB1A84">
          <w:rPr>
            <w:rStyle w:val="Hyperlink"/>
            <w:rFonts w:eastAsiaTheme="majorEastAsia" w:cstheme="minorHAnsi"/>
            <w:color w:val="006ACC"/>
          </w:rPr>
          <w:t>Baumann and colleagues (2015)</w:t>
        </w:r>
      </w:hyperlink>
      <w:r w:rsidRPr="00EB1A84">
        <w:rPr>
          <w:rFonts w:cstheme="minorHAnsi"/>
        </w:rPr>
        <w:t> conducted a recent review focused on evidence-based parent training programs and concluded that studies examining “rigorously” developed culturally adapted parent training programs are rare. Furthermore, although the studies summarized in the Baumann review typically demonstrated the superiority of culturally adapted interventions over control or wait list groups, only one examined whether a culturally adapted evidence-based program outperformed a standard evidence-based program.</w:t>
      </w:r>
    </w:p>
    <w:p w14:paraId="4AA11EE1" w14:textId="77777777" w:rsidR="00EB1A84" w:rsidRPr="00EB1A84" w:rsidRDefault="00EB1A84" w:rsidP="00EB1A84">
      <w:pPr>
        <w:pStyle w:val="NoSpacing"/>
        <w:rPr>
          <w:rFonts w:cstheme="minorHAnsi"/>
        </w:rPr>
      </w:pPr>
    </w:p>
    <w:p w14:paraId="6E0B5B3E" w14:textId="222A7362" w:rsidR="00450F81" w:rsidRPr="00EB1A84" w:rsidRDefault="00450F81" w:rsidP="00EB1A84">
      <w:pPr>
        <w:pStyle w:val="NoSpacing"/>
        <w:rPr>
          <w:rFonts w:cstheme="minorHAnsi"/>
        </w:rPr>
      </w:pPr>
      <w:r w:rsidRPr="00EB1A84">
        <w:rPr>
          <w:rFonts w:cstheme="minorHAnsi"/>
        </w:rPr>
        <w:t>In fact, except for an intervention examining youth with conduct problems (</w:t>
      </w:r>
      <w:hyperlink r:id="rId21" w:history="1">
        <w:r w:rsidRPr="00EB1A84">
          <w:rPr>
            <w:rStyle w:val="Hyperlink"/>
            <w:rFonts w:eastAsiaTheme="majorEastAsia" w:cstheme="minorHAnsi"/>
            <w:color w:val="006ACC"/>
          </w:rPr>
          <w:t>McCabe &amp; Yeh, 2009</w:t>
        </w:r>
      </w:hyperlink>
      <w:r w:rsidRPr="00EB1A84">
        <w:rPr>
          <w:rFonts w:cstheme="minorHAnsi"/>
        </w:rPr>
        <w:t>), no research has directly compared a culturally adapted intervention to a standard evidence-based intervention to determine whether an adapted treatment actually outperforms an existing EBT. Even more unique, </w:t>
      </w:r>
      <w:hyperlink r:id="rId22" w:history="1">
        <w:r w:rsidRPr="00EB1A84">
          <w:rPr>
            <w:rStyle w:val="Hyperlink"/>
            <w:rFonts w:eastAsiaTheme="majorEastAsia" w:cstheme="minorHAnsi"/>
            <w:color w:val="006ACC"/>
          </w:rPr>
          <w:t xml:space="preserve">McCabe, Yeh, Lau, and </w:t>
        </w:r>
        <w:proofErr w:type="spellStart"/>
        <w:r w:rsidRPr="00EB1A84">
          <w:rPr>
            <w:rStyle w:val="Hyperlink"/>
            <w:rFonts w:eastAsiaTheme="majorEastAsia" w:cstheme="minorHAnsi"/>
            <w:color w:val="006ACC"/>
          </w:rPr>
          <w:t>Argote</w:t>
        </w:r>
        <w:proofErr w:type="spellEnd"/>
        <w:r w:rsidRPr="00EB1A84">
          <w:rPr>
            <w:rStyle w:val="Hyperlink"/>
            <w:rFonts w:eastAsiaTheme="majorEastAsia" w:cstheme="minorHAnsi"/>
            <w:color w:val="006ACC"/>
          </w:rPr>
          <w:t xml:space="preserve"> (2012)</w:t>
        </w:r>
      </w:hyperlink>
      <w:r w:rsidRPr="00EB1A84">
        <w:rPr>
          <w:rFonts w:cstheme="minorHAnsi"/>
        </w:rPr>
        <w:t> also conducted a follow-up of their direct comparison. They demonstrated that both Parent–Child Interaction Therapy (PCIT) and its cultural adaptation (</w:t>
      </w:r>
      <w:proofErr w:type="spellStart"/>
      <w:r w:rsidRPr="00EB1A84">
        <w:rPr>
          <w:rFonts w:cstheme="minorHAnsi"/>
        </w:rPr>
        <w:t>Guiando</w:t>
      </w:r>
      <w:proofErr w:type="spellEnd"/>
      <w:r w:rsidRPr="00EB1A84">
        <w:rPr>
          <w:rFonts w:cstheme="minorHAnsi"/>
        </w:rPr>
        <w:t xml:space="preserve"> a </w:t>
      </w:r>
      <w:proofErr w:type="spellStart"/>
      <w:r w:rsidRPr="00EB1A84">
        <w:rPr>
          <w:rFonts w:cstheme="minorHAnsi"/>
        </w:rPr>
        <w:t>Niños</w:t>
      </w:r>
      <w:proofErr w:type="spellEnd"/>
      <w:r w:rsidRPr="00EB1A84">
        <w:rPr>
          <w:rFonts w:cstheme="minorHAnsi"/>
        </w:rPr>
        <w:t xml:space="preserve"> </w:t>
      </w:r>
      <w:proofErr w:type="spellStart"/>
      <w:r w:rsidRPr="00EB1A84">
        <w:rPr>
          <w:rFonts w:cstheme="minorHAnsi"/>
        </w:rPr>
        <w:t>Activos</w:t>
      </w:r>
      <w:proofErr w:type="spellEnd"/>
      <w:r w:rsidRPr="00EB1A84">
        <w:rPr>
          <w:rFonts w:cstheme="minorHAnsi"/>
        </w:rPr>
        <w:t xml:space="preserve"> [GANA]) maintained the posttreatment improvements documented in the original study and that GANA, but not PCIT, outperformed treatment as usual at follow-up. Treatment outcome studies of this nature are imperative, as they will allow clinicians and researchers to determine whether it is necessary to adapt EBTs for use with ethnic minority families.</w:t>
      </w:r>
    </w:p>
    <w:p w14:paraId="519941AE" w14:textId="77777777" w:rsidR="00EB1A84" w:rsidRPr="00EB1A84" w:rsidRDefault="00EB1A84" w:rsidP="00EB1A84">
      <w:pPr>
        <w:pStyle w:val="NoSpacing"/>
        <w:rPr>
          <w:rFonts w:cstheme="minorHAnsi"/>
        </w:rPr>
      </w:pPr>
    </w:p>
    <w:p w14:paraId="44B85D06" w14:textId="77777777" w:rsidR="00450F81" w:rsidRDefault="00450F81" w:rsidP="00EB1A84">
      <w:pPr>
        <w:pStyle w:val="Heading1"/>
      </w:pPr>
      <w:bookmarkStart w:id="4" w:name="_i2"/>
      <w:bookmarkEnd w:id="4"/>
      <w:r>
        <w:t>Latino Youth in the United States</w:t>
      </w:r>
    </w:p>
    <w:p w14:paraId="6FD580A0" w14:textId="267DCCEC" w:rsidR="00450F81" w:rsidRPr="00EB1A84" w:rsidRDefault="00450F81" w:rsidP="00EB1A84">
      <w:pPr>
        <w:pStyle w:val="NoSpacing"/>
        <w:rPr>
          <w:rFonts w:cstheme="minorHAnsi"/>
        </w:rPr>
      </w:pPr>
      <w:r w:rsidRPr="00EB1A84">
        <w:rPr>
          <w:rFonts w:cstheme="minorHAnsi"/>
        </w:rPr>
        <w:t>Latinos are the largest, most rapidly growing ethnic minority group in the United States, with estimates predicting that nearly 40% of the children in the country will identify as Latino by 2060 (</w:t>
      </w:r>
      <w:hyperlink r:id="rId23" w:history="1">
        <w:r w:rsidRPr="00EB1A84">
          <w:rPr>
            <w:rStyle w:val="Hyperlink"/>
            <w:rFonts w:eastAsiaTheme="majorEastAsia" w:cstheme="minorHAnsi"/>
            <w:color w:val="006ACC"/>
          </w:rPr>
          <w:t>U.S. Census Bureau, 2015</w:t>
        </w:r>
      </w:hyperlink>
      <w:r w:rsidRPr="00EB1A84">
        <w:rPr>
          <w:rFonts w:cstheme="minorHAnsi"/>
        </w:rPr>
        <w:t>). Recent studies suggest that although Latino and European American youth exhibit similar rates of ADHD symptomatology, Latino youth are less likely to be diagnosed and receive treatment (</w:t>
      </w:r>
      <w:proofErr w:type="spellStart"/>
      <w:r w:rsidR="001C2B51">
        <w:fldChar w:fldCharType="begin"/>
      </w:r>
      <w:r w:rsidR="001C2B51">
        <w:instrText xml:space="preserve"> HYPERLINK "https://journals.sagepub.com/doi/10.1177/1087054718821729" </w:instrText>
      </w:r>
      <w:r w:rsidR="001C2B51">
        <w:fldChar w:fldCharType="separate"/>
      </w:r>
      <w:r w:rsidRPr="00EB1A84">
        <w:rPr>
          <w:rStyle w:val="Hyperlink"/>
          <w:rFonts w:eastAsiaTheme="majorEastAsia" w:cstheme="minorHAnsi"/>
          <w:color w:val="006ACC"/>
        </w:rPr>
        <w:t>Eiraldi</w:t>
      </w:r>
      <w:proofErr w:type="spellEnd"/>
      <w:r w:rsidRPr="00EB1A84">
        <w:rPr>
          <w:rStyle w:val="Hyperlink"/>
          <w:rFonts w:eastAsiaTheme="majorEastAsia" w:cstheme="minorHAnsi"/>
          <w:color w:val="006ACC"/>
        </w:rPr>
        <w:t xml:space="preserve"> &amp; Diaz, 2010</w:t>
      </w:r>
      <w:r w:rsidR="001C2B51">
        <w:rPr>
          <w:rStyle w:val="Hyperlink"/>
          <w:rFonts w:eastAsiaTheme="majorEastAsia" w:cstheme="minorHAnsi"/>
          <w:color w:val="006ACC"/>
        </w:rPr>
        <w:fldChar w:fldCharType="end"/>
      </w:r>
      <w:r w:rsidRPr="00EB1A84">
        <w:rPr>
          <w:rFonts w:cstheme="minorHAnsi"/>
        </w:rPr>
        <w:t>; </w:t>
      </w:r>
      <w:hyperlink r:id="rId24" w:history="1">
        <w:r w:rsidRPr="00EB1A84">
          <w:rPr>
            <w:rStyle w:val="Hyperlink"/>
            <w:rFonts w:eastAsiaTheme="majorEastAsia" w:cstheme="minorHAnsi"/>
            <w:color w:val="006ACC"/>
          </w:rPr>
          <w:t xml:space="preserve">Leslie, Lambros, Aarons, </w:t>
        </w:r>
        <w:proofErr w:type="spellStart"/>
        <w:r w:rsidRPr="00EB1A84">
          <w:rPr>
            <w:rStyle w:val="Hyperlink"/>
            <w:rFonts w:eastAsiaTheme="majorEastAsia" w:cstheme="minorHAnsi"/>
            <w:color w:val="006ACC"/>
          </w:rPr>
          <w:t>Haine</w:t>
        </w:r>
        <w:proofErr w:type="spellEnd"/>
        <w:r w:rsidRPr="00EB1A84">
          <w:rPr>
            <w:rStyle w:val="Hyperlink"/>
            <w:rFonts w:eastAsiaTheme="majorEastAsia" w:cstheme="minorHAnsi"/>
            <w:color w:val="006ACC"/>
          </w:rPr>
          <w:t>, &amp; Hough, 2008</w:t>
        </w:r>
      </w:hyperlink>
      <w:r w:rsidRPr="00EB1A84">
        <w:rPr>
          <w:rFonts w:cstheme="minorHAnsi"/>
        </w:rPr>
        <w:t>; </w:t>
      </w:r>
      <w:hyperlink r:id="rId25" w:history="1">
        <w:r w:rsidRPr="00EB1A84">
          <w:rPr>
            <w:rStyle w:val="Hyperlink"/>
            <w:rFonts w:eastAsiaTheme="majorEastAsia" w:cstheme="minorHAnsi"/>
            <w:color w:val="006ACC"/>
          </w:rPr>
          <w:t xml:space="preserve">Morgan, </w:t>
        </w:r>
        <w:proofErr w:type="spellStart"/>
        <w:r w:rsidRPr="00EB1A84">
          <w:rPr>
            <w:rStyle w:val="Hyperlink"/>
            <w:rFonts w:eastAsiaTheme="majorEastAsia" w:cstheme="minorHAnsi"/>
            <w:color w:val="006ACC"/>
          </w:rPr>
          <w:t>Hillemeier</w:t>
        </w:r>
        <w:proofErr w:type="spellEnd"/>
        <w:r w:rsidRPr="00EB1A84">
          <w:rPr>
            <w:rStyle w:val="Hyperlink"/>
            <w:rFonts w:eastAsiaTheme="majorEastAsia" w:cstheme="minorHAnsi"/>
            <w:color w:val="006ACC"/>
          </w:rPr>
          <w:t xml:space="preserve">, Farkas, &amp; </w:t>
        </w:r>
        <w:proofErr w:type="spellStart"/>
        <w:r w:rsidRPr="00EB1A84">
          <w:rPr>
            <w:rStyle w:val="Hyperlink"/>
            <w:rFonts w:eastAsiaTheme="majorEastAsia" w:cstheme="minorHAnsi"/>
            <w:color w:val="006ACC"/>
          </w:rPr>
          <w:t>Maczuga</w:t>
        </w:r>
        <w:proofErr w:type="spellEnd"/>
        <w:r w:rsidRPr="00EB1A84">
          <w:rPr>
            <w:rStyle w:val="Hyperlink"/>
            <w:rFonts w:eastAsiaTheme="majorEastAsia" w:cstheme="minorHAnsi"/>
            <w:color w:val="006ACC"/>
          </w:rPr>
          <w:t>, 2014</w:t>
        </w:r>
      </w:hyperlink>
      <w:r w:rsidRPr="00EB1A84">
        <w:rPr>
          <w:rFonts w:cstheme="minorHAnsi"/>
        </w:rPr>
        <w:t>). Many barriers contributing to these mental health disparities have been identified. Stigma associated with seeking mental health services, poverty, lack of health insurance, transportation and scheduling difficulties, and language differences, as well as negative interactions with mental health providers and use of culturally insensitive assessment tools, have been reported (</w:t>
      </w:r>
      <w:proofErr w:type="spellStart"/>
      <w:r w:rsidR="001C2B51">
        <w:fldChar w:fldCharType="begin"/>
      </w:r>
      <w:r w:rsidR="001C2B51">
        <w:instrText xml:space="preserve"> HYPERLINK "https://journals.sagepub.com/doi/10.1177/1087054718821729" </w:instrText>
      </w:r>
      <w:r w:rsidR="001C2B51">
        <w:fldChar w:fldCharType="separate"/>
      </w:r>
      <w:r w:rsidRPr="00EB1A84">
        <w:rPr>
          <w:rStyle w:val="Hyperlink"/>
          <w:rFonts w:eastAsiaTheme="majorEastAsia" w:cstheme="minorHAnsi"/>
          <w:color w:val="006ACC"/>
        </w:rPr>
        <w:t>Alegría</w:t>
      </w:r>
      <w:proofErr w:type="spellEnd"/>
      <w:r w:rsidRPr="00EB1A84">
        <w:rPr>
          <w:rStyle w:val="Hyperlink"/>
          <w:rFonts w:eastAsiaTheme="majorEastAsia" w:cstheme="minorHAnsi"/>
          <w:color w:val="006ACC"/>
        </w:rPr>
        <w:t xml:space="preserve"> &amp; Woo, 2009</w:t>
      </w:r>
      <w:r w:rsidR="001C2B51">
        <w:rPr>
          <w:rStyle w:val="Hyperlink"/>
          <w:rFonts w:eastAsiaTheme="majorEastAsia" w:cstheme="minorHAnsi"/>
          <w:color w:val="006ACC"/>
        </w:rPr>
        <w:fldChar w:fldCharType="end"/>
      </w:r>
      <w:r w:rsidRPr="00EB1A84">
        <w:rPr>
          <w:rFonts w:cstheme="minorHAnsi"/>
        </w:rPr>
        <w:t>; </w:t>
      </w:r>
      <w:hyperlink r:id="rId26" w:history="1">
        <w:r w:rsidRPr="00EB1A84">
          <w:rPr>
            <w:rStyle w:val="Hyperlink"/>
            <w:rFonts w:eastAsiaTheme="majorEastAsia" w:cstheme="minorHAnsi"/>
            <w:color w:val="006ACC"/>
          </w:rPr>
          <w:t xml:space="preserve">Gerdes, Lawton, Haack, &amp; </w:t>
        </w:r>
        <w:proofErr w:type="spellStart"/>
        <w:r w:rsidRPr="00EB1A84">
          <w:rPr>
            <w:rStyle w:val="Hyperlink"/>
            <w:rFonts w:eastAsiaTheme="majorEastAsia" w:cstheme="minorHAnsi"/>
            <w:color w:val="006ACC"/>
          </w:rPr>
          <w:t>Dieguez</w:t>
        </w:r>
        <w:proofErr w:type="spellEnd"/>
        <w:r w:rsidRPr="00EB1A84">
          <w:rPr>
            <w:rStyle w:val="Hyperlink"/>
            <w:rFonts w:eastAsiaTheme="majorEastAsia" w:cstheme="minorHAnsi"/>
            <w:color w:val="006ACC"/>
          </w:rPr>
          <w:t xml:space="preserve"> Hurtado, 2013</w:t>
        </w:r>
      </w:hyperlink>
      <w:r w:rsidRPr="00EB1A84">
        <w:rPr>
          <w:rFonts w:cstheme="minorHAnsi"/>
        </w:rPr>
        <w:t>; </w:t>
      </w:r>
      <w:proofErr w:type="spellStart"/>
      <w:r w:rsidR="001C2B51">
        <w:fldChar w:fldCharType="begin"/>
      </w:r>
      <w:r w:rsidR="001C2B51">
        <w:instrText xml:space="preserve"> HYPERLINK "https://journals.sagepub.com/doi/10.1177/1087054718821729" </w:instrText>
      </w:r>
      <w:r w:rsidR="001C2B51">
        <w:fldChar w:fldCharType="separate"/>
      </w:r>
      <w:r w:rsidRPr="00EB1A84">
        <w:rPr>
          <w:rStyle w:val="Hyperlink"/>
          <w:rFonts w:eastAsiaTheme="majorEastAsia" w:cstheme="minorHAnsi"/>
          <w:color w:val="006ACC"/>
        </w:rPr>
        <w:t>Kouyoumdjian</w:t>
      </w:r>
      <w:proofErr w:type="spellEnd"/>
      <w:r w:rsidRPr="00EB1A84">
        <w:rPr>
          <w:rStyle w:val="Hyperlink"/>
          <w:rFonts w:eastAsiaTheme="majorEastAsia" w:cstheme="minorHAnsi"/>
          <w:color w:val="006ACC"/>
        </w:rPr>
        <w:t>, Zamboanga, &amp; Hansen, 2003</w:t>
      </w:r>
      <w:r w:rsidR="001C2B51">
        <w:rPr>
          <w:rStyle w:val="Hyperlink"/>
          <w:rFonts w:eastAsiaTheme="majorEastAsia" w:cstheme="minorHAnsi"/>
          <w:color w:val="006ACC"/>
        </w:rPr>
        <w:fldChar w:fldCharType="end"/>
      </w:r>
      <w:r w:rsidRPr="00EB1A84">
        <w:rPr>
          <w:rFonts w:cstheme="minorHAnsi"/>
        </w:rPr>
        <w:t>).</w:t>
      </w:r>
    </w:p>
    <w:p w14:paraId="432B3EBE" w14:textId="77777777" w:rsidR="00EB1A84" w:rsidRPr="00EB1A84" w:rsidRDefault="00EB1A84" w:rsidP="00EB1A84">
      <w:pPr>
        <w:pStyle w:val="NoSpacing"/>
        <w:rPr>
          <w:rFonts w:cstheme="minorHAnsi"/>
        </w:rPr>
      </w:pPr>
    </w:p>
    <w:p w14:paraId="6CB464F8" w14:textId="77777777" w:rsidR="00450F81" w:rsidRDefault="00450F81" w:rsidP="00EB1A84">
      <w:pPr>
        <w:pStyle w:val="Heading1"/>
      </w:pPr>
      <w:bookmarkStart w:id="5" w:name="_i3"/>
      <w:bookmarkEnd w:id="5"/>
      <w:r>
        <w:t>ADHD Treatment</w:t>
      </w:r>
    </w:p>
    <w:p w14:paraId="5F927F32" w14:textId="3EDB1F72" w:rsidR="00450F81" w:rsidRPr="00EB1A84" w:rsidRDefault="00450F81" w:rsidP="00EB1A84">
      <w:pPr>
        <w:pStyle w:val="NoSpacing"/>
        <w:rPr>
          <w:rFonts w:cstheme="minorHAnsi"/>
        </w:rPr>
      </w:pPr>
      <w:r w:rsidRPr="00EB1A84">
        <w:rPr>
          <w:rFonts w:cstheme="minorHAnsi"/>
        </w:rPr>
        <w:t>ADHD is one of the most commonly diagnosed mental health disorders in youth. To receive a diagnosis of ADHD, both developmentally inappropriate levels of inattention and/or hyperactivity/impulsivity and functional impairment must be present (</w:t>
      </w:r>
      <w:hyperlink r:id="rId27" w:history="1">
        <w:r w:rsidRPr="00EB1A84">
          <w:rPr>
            <w:rStyle w:val="Hyperlink"/>
            <w:rFonts w:eastAsiaTheme="majorEastAsia" w:cstheme="minorHAnsi"/>
            <w:color w:val="006ACC"/>
          </w:rPr>
          <w:t>American Psychiatric Association, 2013</w:t>
        </w:r>
      </w:hyperlink>
      <w:r w:rsidRPr="00EB1A84">
        <w:rPr>
          <w:rFonts w:cstheme="minorHAnsi"/>
        </w:rPr>
        <w:t>). Follow-up research of youth diagnosed with ADHD suggests that these children continue to experience impairment in various domains as they move into adolescence and adulthood (</w:t>
      </w:r>
      <w:hyperlink r:id="rId28" w:history="1">
        <w:r w:rsidRPr="00EB1A84">
          <w:rPr>
            <w:rStyle w:val="Hyperlink"/>
            <w:rFonts w:eastAsiaTheme="majorEastAsia" w:cstheme="minorHAnsi"/>
            <w:color w:val="006ACC"/>
          </w:rPr>
          <w:t>Biederman et al., 2012</w:t>
        </w:r>
      </w:hyperlink>
      <w:r w:rsidRPr="00EB1A84">
        <w:rPr>
          <w:rFonts w:cstheme="minorHAnsi"/>
        </w:rPr>
        <w:t>). Research supports the effectiveness of PMT at improving child behavior and parental functioning in youth with ADHD from predominantly European American families, as well as Latino families more oriented to U.S. mainstream culture (</w:t>
      </w:r>
      <w:hyperlink r:id="rId29" w:history="1">
        <w:r w:rsidRPr="00EB1A84">
          <w:rPr>
            <w:rStyle w:val="Hyperlink"/>
            <w:rFonts w:eastAsiaTheme="majorEastAsia" w:cstheme="minorHAnsi"/>
            <w:color w:val="006ACC"/>
          </w:rPr>
          <w:t>Arnold et al., 2003</w:t>
        </w:r>
      </w:hyperlink>
      <w:r w:rsidRPr="00EB1A84">
        <w:rPr>
          <w:rFonts w:cstheme="minorHAnsi"/>
        </w:rPr>
        <w:t>; </w:t>
      </w:r>
      <w:hyperlink r:id="rId30" w:history="1">
        <w:r w:rsidRPr="00EB1A84">
          <w:rPr>
            <w:rStyle w:val="Hyperlink"/>
            <w:rFonts w:eastAsiaTheme="majorEastAsia" w:cstheme="minorHAnsi"/>
            <w:color w:val="006ACC"/>
          </w:rPr>
          <w:t>Gerdes, Haack, &amp; Schneider, 2012</w:t>
        </w:r>
      </w:hyperlink>
      <w:r w:rsidRPr="00EB1A84">
        <w:rPr>
          <w:rFonts w:cstheme="minorHAnsi"/>
        </w:rPr>
        <w:t>; </w:t>
      </w:r>
      <w:hyperlink r:id="rId31" w:history="1">
        <w:r w:rsidRPr="00EB1A84">
          <w:rPr>
            <w:rStyle w:val="Hyperlink"/>
            <w:rFonts w:eastAsiaTheme="majorEastAsia" w:cstheme="minorHAnsi"/>
            <w:color w:val="006ACC"/>
          </w:rPr>
          <w:t>Pelham &amp; Fabiano, 2008</w:t>
        </w:r>
      </w:hyperlink>
      <w:r w:rsidRPr="00EB1A84">
        <w:rPr>
          <w:rFonts w:cstheme="minorHAnsi"/>
        </w:rPr>
        <w:t>); however, no published research has examined its effectiveness with Latino families less oriented to U.S. mainstream culture.</w:t>
      </w:r>
    </w:p>
    <w:p w14:paraId="77522058" w14:textId="77777777" w:rsidR="00EB1A84" w:rsidRPr="00EB1A84" w:rsidRDefault="00EB1A84" w:rsidP="00EB1A84">
      <w:pPr>
        <w:pStyle w:val="NoSpacing"/>
        <w:rPr>
          <w:rFonts w:cstheme="minorHAnsi"/>
        </w:rPr>
      </w:pPr>
    </w:p>
    <w:p w14:paraId="122679CF" w14:textId="24AFB832" w:rsidR="00450F81" w:rsidRPr="00EB1A84" w:rsidRDefault="00450F81" w:rsidP="00EB1A84">
      <w:pPr>
        <w:pStyle w:val="NoSpacing"/>
        <w:rPr>
          <w:rFonts w:cstheme="minorHAnsi"/>
        </w:rPr>
      </w:pPr>
      <w:r w:rsidRPr="00EB1A84">
        <w:rPr>
          <w:rFonts w:cstheme="minorHAnsi"/>
        </w:rPr>
        <w:t>The increased recognition and need for culturally adapted treatments have resulted in several researchers putting forth guidelines and models for how to adapt existing EBTs most effectively (</w:t>
      </w:r>
      <w:hyperlink r:id="rId32" w:history="1">
        <w:r w:rsidRPr="00EB1A84">
          <w:rPr>
            <w:rStyle w:val="Hyperlink"/>
            <w:rFonts w:eastAsiaTheme="majorEastAsia" w:cstheme="minorHAnsi"/>
            <w:color w:val="006ACC"/>
          </w:rPr>
          <w:t>Bernal &amp; Domenech Rodríguez, 2012</w:t>
        </w:r>
      </w:hyperlink>
      <w:r w:rsidRPr="00EB1A84">
        <w:rPr>
          <w:rFonts w:cstheme="minorHAnsi"/>
        </w:rPr>
        <w:t>; </w:t>
      </w:r>
      <w:hyperlink r:id="rId33" w:history="1">
        <w:r w:rsidRPr="00EB1A84">
          <w:rPr>
            <w:rStyle w:val="Hyperlink"/>
            <w:rFonts w:eastAsiaTheme="majorEastAsia" w:cstheme="minorHAnsi"/>
            <w:color w:val="006ACC"/>
          </w:rPr>
          <w:t>Bernal, Jiménez-</w:t>
        </w:r>
        <w:proofErr w:type="spellStart"/>
        <w:r w:rsidRPr="00EB1A84">
          <w:rPr>
            <w:rStyle w:val="Hyperlink"/>
            <w:rFonts w:eastAsiaTheme="majorEastAsia" w:cstheme="minorHAnsi"/>
            <w:color w:val="006ACC"/>
          </w:rPr>
          <w:t>Chafey</w:t>
        </w:r>
        <w:proofErr w:type="spellEnd"/>
        <w:r w:rsidRPr="00EB1A84">
          <w:rPr>
            <w:rStyle w:val="Hyperlink"/>
            <w:rFonts w:eastAsiaTheme="majorEastAsia" w:cstheme="minorHAnsi"/>
            <w:color w:val="006ACC"/>
          </w:rPr>
          <w:t>, Domenech, &amp; Rodríguez, 2009</w:t>
        </w:r>
      </w:hyperlink>
      <w:r w:rsidRPr="00EB1A84">
        <w:rPr>
          <w:rFonts w:cstheme="minorHAnsi"/>
        </w:rPr>
        <w:t xml:space="preserve">). Employing many of these guidelines </w:t>
      </w:r>
      <w:r w:rsidRPr="00EB1A84">
        <w:rPr>
          <w:rFonts w:cstheme="minorHAnsi"/>
        </w:rPr>
        <w:lastRenderedPageBreak/>
        <w:t>and following the Ecological Validity Model (</w:t>
      </w:r>
      <w:hyperlink r:id="rId34" w:history="1">
        <w:r w:rsidRPr="00EB1A84">
          <w:rPr>
            <w:rStyle w:val="Hyperlink"/>
            <w:rFonts w:eastAsiaTheme="majorEastAsia" w:cstheme="minorHAnsi"/>
            <w:color w:val="006ACC"/>
          </w:rPr>
          <w:t>Baumann et al., 2015</w:t>
        </w:r>
      </w:hyperlink>
      <w:r w:rsidRPr="00EB1A84">
        <w:rPr>
          <w:rFonts w:cstheme="minorHAnsi"/>
        </w:rPr>
        <w:t>), with a particular focus on language, content, goals, and persons, </w:t>
      </w:r>
      <w:hyperlink r:id="rId35" w:history="1">
        <w:r w:rsidRPr="00EB1A84">
          <w:rPr>
            <w:rStyle w:val="Hyperlink"/>
            <w:rFonts w:eastAsiaTheme="majorEastAsia" w:cstheme="minorHAnsi"/>
            <w:color w:val="006ACC"/>
          </w:rPr>
          <w:t>Gerdes and colleagues’ (2015)</w:t>
        </w:r>
      </w:hyperlink>
      <w:r w:rsidRPr="00EB1A84">
        <w:rPr>
          <w:rFonts w:cstheme="minorHAnsi"/>
        </w:rPr>
        <w:t> cultural adaptation of PMT for Latino families less oriented to U.S. mainstream culture supports the need for cultural adaptations that will ensure parental engagement and motivation in treatment. Specifically, focus groups with Latino parents suggested that several sessions of standard PMT (i.e., time out and token economy) likely would not be well received by families and that several sessions (e.g., positive reinforcement) should include more culturally congruent rationales for skills, as the strategies are inconsistent with common parenting beliefs held by some Latino parents (e.g., some Latino parents may be less likely to provide praise, especially for expected behavior, than their European American counterparts; for more detail, see </w:t>
      </w:r>
      <w:hyperlink r:id="rId36" w:history="1">
        <w:r w:rsidRPr="00EB1A84">
          <w:rPr>
            <w:rStyle w:val="Hyperlink"/>
            <w:rFonts w:eastAsiaTheme="majorEastAsia" w:cstheme="minorHAnsi"/>
            <w:color w:val="006ACC"/>
          </w:rPr>
          <w:t>Gerdes et al., 2015</w:t>
        </w:r>
      </w:hyperlink>
      <w:r w:rsidRPr="00EB1A84">
        <w:rPr>
          <w:rFonts w:cstheme="minorHAnsi"/>
        </w:rPr>
        <w:t>). Integrating this focus group data with research examining Latino cultural values and recommendations from bicultural mental health providers, </w:t>
      </w:r>
      <w:hyperlink r:id="rId37" w:history="1">
        <w:r w:rsidRPr="00EB1A84">
          <w:rPr>
            <w:rStyle w:val="Hyperlink"/>
            <w:rFonts w:eastAsiaTheme="majorEastAsia" w:cstheme="minorHAnsi"/>
            <w:color w:val="006ACC"/>
          </w:rPr>
          <w:t>Gerdes and colleagues (2015)</w:t>
        </w:r>
      </w:hyperlink>
      <w:r w:rsidRPr="00EB1A84">
        <w:rPr>
          <w:rFonts w:cstheme="minorHAnsi"/>
        </w:rPr>
        <w:t> developed a culturally adapted PMT program for Latino youth with ADHD. Treatment outcomes from an initial pilot study were positive, although the sample size was small (</w:t>
      </w:r>
      <w:r w:rsidRPr="00EB1A84">
        <w:rPr>
          <w:rFonts w:cstheme="minorHAnsi"/>
          <w:i/>
          <w:iCs/>
        </w:rPr>
        <w:t>n</w:t>
      </w:r>
      <w:r w:rsidRPr="00EB1A84">
        <w:rPr>
          <w:rFonts w:cstheme="minorHAnsi"/>
        </w:rPr>
        <w:t> = 5), and no comparison to standard EBT was examined (</w:t>
      </w:r>
      <w:hyperlink r:id="rId38" w:history="1">
        <w:r w:rsidRPr="00EB1A84">
          <w:rPr>
            <w:rStyle w:val="Hyperlink"/>
            <w:rFonts w:eastAsiaTheme="majorEastAsia" w:cstheme="minorHAnsi"/>
            <w:color w:val="006ACC"/>
          </w:rPr>
          <w:t>Gerdes et al., 2015</w:t>
        </w:r>
      </w:hyperlink>
      <w:r w:rsidRPr="00EB1A84">
        <w:rPr>
          <w:rFonts w:cstheme="minorHAnsi"/>
        </w:rPr>
        <w:t>).</w:t>
      </w:r>
    </w:p>
    <w:p w14:paraId="043A231F" w14:textId="77777777" w:rsidR="00EB1A84" w:rsidRPr="00EB1A84" w:rsidRDefault="00EB1A84" w:rsidP="00EB1A84">
      <w:pPr>
        <w:pStyle w:val="NoSpacing"/>
        <w:rPr>
          <w:rFonts w:cstheme="minorHAnsi"/>
        </w:rPr>
      </w:pPr>
    </w:p>
    <w:p w14:paraId="691BA91A" w14:textId="77777777" w:rsidR="00450F81" w:rsidRDefault="00450F81" w:rsidP="00EB1A84">
      <w:pPr>
        <w:pStyle w:val="Heading1"/>
      </w:pPr>
      <w:bookmarkStart w:id="6" w:name="_i4"/>
      <w:bookmarkEnd w:id="6"/>
      <w:r>
        <w:t>Current Study</w:t>
      </w:r>
    </w:p>
    <w:p w14:paraId="201267D4" w14:textId="2C482400" w:rsidR="00EB1A84" w:rsidRPr="00EB1A84" w:rsidRDefault="00450F81" w:rsidP="00EB1A84">
      <w:pPr>
        <w:pStyle w:val="NoSpacing"/>
      </w:pPr>
      <w:r>
        <w:t>Thus, the current larger feasibility and pilot study aimed to close the existing gap in our knowledge about effective psychosocial treatments for Latino families by determining whether CAT for ADHD outperforms standard EBT when examining engagement and acceptability outcomes, as well as symptomatology and child and parental functioning. The current study is the first to compare a culturally adapted treatment for ADHD to standard EBT, and it is the first to examine treatment outcomes for ADHD in school-aged Latino youth from families less oriented to U.S. mainstream culture (i.e., families living in the United States for more than a decade who report Spanish as their only or predominant language and who report higher orientation to Latino culture than U.S. mainstream culture on measures of acculturation). Given the pilot nature of the study, as well as the fact that the vast majority of treatment outcome studies examining cultural adaptations, to date, have not employed a direct comparison of a culturally adapted treatment to an EBT, specific predictions were not made; however, three aims guided the analyses. Aim 1 was to explore whether CAT results in better engagement and acceptability outcomes (i.e., parental attendance, retention, engagement, and satisfaction) than standard EBT. Aim 2 was to explore whether CAT results in improvements in ADHD symptomatology and functioning and to explore whether the CAT results in similar or greater improvements than standard EBT. Aim 3 was to explore whether CAT results in improvements in parental and family functioning (i.e., parenting stress, parental efficacy, and family chaos) and to explore whether CAT results in similar or greater improvements than standard EBT.</w:t>
      </w:r>
    </w:p>
    <w:p w14:paraId="7A14675F" w14:textId="77777777" w:rsidR="00450F81" w:rsidRDefault="00450F81" w:rsidP="00EB1A84">
      <w:pPr>
        <w:pStyle w:val="Heading1"/>
      </w:pPr>
      <w:bookmarkStart w:id="7" w:name="_i5"/>
      <w:bookmarkEnd w:id="7"/>
      <w:r>
        <w:t>Method</w:t>
      </w:r>
    </w:p>
    <w:p w14:paraId="7BCEAB9B" w14:textId="77777777" w:rsidR="00450F81" w:rsidRDefault="00450F81" w:rsidP="00EB1A84">
      <w:pPr>
        <w:pStyle w:val="Heading2"/>
        <w:rPr>
          <w:sz w:val="27"/>
          <w:szCs w:val="27"/>
        </w:rPr>
      </w:pPr>
      <w:r>
        <w:t>Participants</w:t>
      </w:r>
    </w:p>
    <w:p w14:paraId="429A6281" w14:textId="6699ED9D" w:rsidR="00450F81" w:rsidRPr="00EB1A84" w:rsidRDefault="00450F81" w:rsidP="00EB1A84">
      <w:pPr>
        <w:pStyle w:val="NoSpacing"/>
        <w:rPr>
          <w:rFonts w:cstheme="minorHAnsi"/>
        </w:rPr>
      </w:pPr>
      <w:r w:rsidRPr="00EB1A84">
        <w:rPr>
          <w:rFonts w:cstheme="minorHAnsi"/>
        </w:rPr>
        <w:t>Families were recruited in a moderate-sized city in the Midwest through local schools, a community mental health clinic serving the Latino community, and word of mouth referrals. To be eligible to participate, children had to self-identify as Latino, be between the ages of 5 and 13 years at the time of the initial assessment, receive a primary diagnosis of ADHD, and be on a stable dose of medication for at least 2 weeks prior to the assessment if they were being medicated for ADHD. Children were excluded if parents or teachers reported behaviors suggesting the presence of intellectual disability (ID), autism spectrum disorder (ASD), or a psychotic disorder or if clinicians noted these behaviors during the assessment, in which case families were provided with appropriate resources. Participating parents had to self-identify as Latino, be fluent in Spanish, be able and willing to provide informed consent and comply with the study procedures, including being assigned to one of two treatments, and have no immediate plans to pursue other treatment for their child’s ADHD or to change their child’s ADHD medication (if already medicated) over the next 8 weeks.</w:t>
      </w:r>
    </w:p>
    <w:p w14:paraId="3A3D832A" w14:textId="77777777" w:rsidR="00EB1A84" w:rsidRPr="00EB1A84" w:rsidRDefault="00EB1A84" w:rsidP="00EB1A84">
      <w:pPr>
        <w:pStyle w:val="NoSpacing"/>
        <w:rPr>
          <w:rFonts w:cstheme="minorHAnsi"/>
        </w:rPr>
      </w:pPr>
    </w:p>
    <w:p w14:paraId="37C1B8D1" w14:textId="64DDC802" w:rsidR="00450F81" w:rsidRPr="00EB1A84" w:rsidRDefault="00450F81" w:rsidP="00EB1A84">
      <w:pPr>
        <w:pStyle w:val="NoSpacing"/>
        <w:rPr>
          <w:rFonts w:cstheme="minorHAnsi"/>
        </w:rPr>
      </w:pPr>
      <w:r w:rsidRPr="00EB1A84">
        <w:rPr>
          <w:rFonts w:cstheme="minorHAnsi"/>
        </w:rPr>
        <w:t xml:space="preserve">Over the course of 2 years, 74 families were recruited and assessed. Sixty-one of these families were randomly assigned to a treatment condition; 10 did not meet criteria for ADHD, one met exclusion criteria (i.e., active </w:t>
      </w:r>
      <w:r w:rsidRPr="00EB1A84">
        <w:rPr>
          <w:rFonts w:cstheme="minorHAnsi"/>
        </w:rPr>
        <w:lastRenderedPageBreak/>
        <w:t>psychosis), and two did not finish the assessment (see </w:t>
      </w:r>
      <w:hyperlink r:id="rId39" w:tooltip="Open Figure Viewer" w:history="1">
        <w:r w:rsidRPr="00EB1A84">
          <w:rPr>
            <w:rStyle w:val="Hyperlink"/>
            <w:rFonts w:eastAsiaTheme="majorEastAsia" w:cstheme="minorHAnsi"/>
            <w:color w:val="006ACC"/>
          </w:rPr>
          <w:t>Figure 1</w:t>
        </w:r>
      </w:hyperlink>
      <w:r w:rsidRPr="00EB1A84">
        <w:rPr>
          <w:rFonts w:cstheme="minorHAnsi"/>
        </w:rPr>
        <w:t>). Of the children whose families were assigned to a treatment condition, 100% identified as Latino, and 72% were male with a mean age of 7.98 years (</w:t>
      </w:r>
      <w:r w:rsidRPr="00EB1A84">
        <w:rPr>
          <w:rFonts w:cstheme="minorHAnsi"/>
          <w:i/>
          <w:iCs/>
        </w:rPr>
        <w:t>SD</w:t>
      </w:r>
      <w:r w:rsidRPr="00EB1A84">
        <w:rPr>
          <w:rFonts w:cstheme="minorHAnsi"/>
        </w:rPr>
        <w:t> = 2.57; range = 5-13 years). Twenty-six received a diagnosis of ADHD, Predominantly Inattentive Presentation, seven received a diagnosis of ADHD, Predominantly Hyperactive-Impulsive Presentation, and 28 received a diagnosis of ADHD, Combined Presentation. Twelve of these children were on ADHD medication. Eighteen children had a comorbid diagnosis (14 with a conduct-related disorder and four with a mood/anxiety disorder). The mean socioeconomic status (SES) of families suggests that the average family would fall into the semiskilled worker category (</w:t>
      </w:r>
      <w:hyperlink r:id="rId40" w:history="1">
        <w:r w:rsidRPr="00EB1A84">
          <w:rPr>
            <w:rStyle w:val="Hyperlink"/>
            <w:rFonts w:eastAsiaTheme="majorEastAsia" w:cstheme="minorHAnsi"/>
            <w:color w:val="006ACC"/>
          </w:rPr>
          <w:t>Hollingshead, 1975</w:t>
        </w:r>
      </w:hyperlink>
      <w:r w:rsidRPr="00EB1A84">
        <w:rPr>
          <w:rFonts w:cstheme="minorHAnsi"/>
        </w:rPr>
        <w:t>). Eighty-two percent of mothers and 85% of fathers identified Mexico as their country of origin; 68% of mothers and 81% of fathers reported living in the United States for more than 10 years; and 75% of mothers and 85% of fathers identified Spanish as their only or predominant language. Means on acculturation measures suggests that mothers and fathers were more oriented to Latino culture than U.S. mainstream culture. Demographic and cultural variables broken down by treatment condition may be found in </w:t>
      </w:r>
      <w:hyperlink r:id="rId41" w:history="1">
        <w:r w:rsidRPr="00EB1A84">
          <w:rPr>
            <w:rStyle w:val="Hyperlink"/>
            <w:rFonts w:eastAsiaTheme="majorEastAsia" w:cstheme="minorHAnsi"/>
            <w:color w:val="006ACC"/>
          </w:rPr>
          <w:t>Table 1</w:t>
        </w:r>
      </w:hyperlink>
      <w:r w:rsidRPr="00EB1A84">
        <w:rPr>
          <w:rFonts w:cstheme="minorHAnsi"/>
        </w:rPr>
        <w:t>.</w:t>
      </w:r>
    </w:p>
    <w:p w14:paraId="2B4EE831" w14:textId="77777777" w:rsidR="00EB1A84" w:rsidRPr="00EB1A84" w:rsidRDefault="00EB1A84" w:rsidP="00EB1A84">
      <w:pPr>
        <w:pStyle w:val="NoSpacing"/>
        <w:rPr>
          <w:rFonts w:cstheme="minorHAnsi"/>
        </w:rPr>
      </w:pPr>
    </w:p>
    <w:p w14:paraId="1B013D3C" w14:textId="77777777" w:rsidR="00A43181" w:rsidRDefault="00450F81" w:rsidP="00A43181">
      <w:pPr>
        <w:shd w:val="clear" w:color="auto" w:fill="FFFFFF"/>
        <w:spacing w:line="390" w:lineRule="atLeast"/>
        <w:rPr>
          <w:rStyle w:val="captionlabel"/>
          <w:b/>
          <w:bCs/>
        </w:rPr>
      </w:pPr>
      <w:r>
        <w:rPr>
          <w:rFonts w:ascii="Arial" w:hAnsi="Arial" w:cs="Arial"/>
          <w:noProof/>
          <w:color w:val="006ACC"/>
        </w:rPr>
        <w:drawing>
          <wp:inline distT="0" distB="0" distL="0" distR="0" wp14:anchorId="2E7084EA" wp14:editId="7813D572">
            <wp:extent cx="3657600" cy="3282696"/>
            <wp:effectExtent l="0" t="0" r="0" b="0"/>
            <wp:docPr id="12" name="Picture 12" descr="Figure 1. CONSORT figure.&#10;&#10;Note. ST = standard evidence-based treatment; CAT = culturally adapted evidence-based treatment.&#10;">
              <a:hlinkClick xmlns:a="http://schemas.openxmlformats.org/drawingml/2006/main" r:id="rId16" tooltip="&quot;Open Figure Viewer&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0;                        figure&#10;                    ">
                      <a:hlinkClick r:id="rId20" tooltip="&quot;Open Figure Viewer&quot;"/>
                    </pic:cNvPr>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3657600" cy="3282696"/>
                    </a:xfrm>
                    <a:prstGeom prst="rect">
                      <a:avLst/>
                    </a:prstGeom>
                    <a:noFill/>
                    <a:ln>
                      <a:noFill/>
                    </a:ln>
                  </pic:spPr>
                </pic:pic>
              </a:graphicData>
            </a:graphic>
          </wp:inline>
        </w:drawing>
      </w:r>
    </w:p>
    <w:p w14:paraId="1E245562" w14:textId="461E7F2A" w:rsidR="00450F81" w:rsidRDefault="00450F81" w:rsidP="00A43181">
      <w:pPr>
        <w:shd w:val="clear" w:color="auto" w:fill="FFFFFF"/>
        <w:spacing w:line="390" w:lineRule="atLeast"/>
      </w:pPr>
      <w:r w:rsidRPr="00681BDD">
        <w:rPr>
          <w:rStyle w:val="captionlabel"/>
          <w:b/>
          <w:bCs/>
        </w:rPr>
        <w:t>Figure 1.</w:t>
      </w:r>
      <w:r w:rsidRPr="00681BDD">
        <w:t> CONSORT figure.</w:t>
      </w:r>
    </w:p>
    <w:p w14:paraId="45360A0C" w14:textId="77777777" w:rsidR="00681BDD" w:rsidRPr="00681BDD" w:rsidRDefault="00681BDD" w:rsidP="00681BDD">
      <w:pPr>
        <w:pStyle w:val="NoSpacing"/>
      </w:pPr>
    </w:p>
    <w:p w14:paraId="72EC5C20" w14:textId="19BA9AEA" w:rsidR="00450F81" w:rsidRDefault="00450F81" w:rsidP="00681BDD">
      <w:pPr>
        <w:pStyle w:val="NoSpacing"/>
      </w:pPr>
      <w:r>
        <w:rPr>
          <w:i/>
          <w:iCs/>
        </w:rPr>
        <w:t>Note</w:t>
      </w:r>
      <w:r>
        <w:t>. ST = standard evidence-based treatment; CAT = culturally adapted evidence-based treatment.</w:t>
      </w:r>
    </w:p>
    <w:p w14:paraId="26D5BFF7" w14:textId="0ECCF971" w:rsidR="00681BDD" w:rsidRDefault="00681BDD" w:rsidP="00681BDD">
      <w:pPr>
        <w:pStyle w:val="NoSpacing"/>
      </w:pPr>
    </w:p>
    <w:p w14:paraId="5CD38776" w14:textId="77777777" w:rsidR="00564FA1" w:rsidRPr="00B4374F" w:rsidRDefault="00564FA1" w:rsidP="00B4374F">
      <w:pPr>
        <w:pStyle w:val="NoSpacing"/>
      </w:pPr>
      <w:r w:rsidRPr="00B4374F">
        <w:rPr>
          <w:b/>
          <w:bCs/>
        </w:rPr>
        <w:t>Table 1.</w:t>
      </w:r>
      <w:r w:rsidRPr="00B4374F">
        <w:t xml:space="preserve"> Parent and Child Demographic and Cultural Variables.</w:t>
      </w:r>
    </w:p>
    <w:tbl>
      <w:tblPr>
        <w:tblStyle w:val="TableGridLight"/>
        <w:tblW w:w="0" w:type="auto"/>
        <w:tblLook w:val="0020" w:firstRow="1" w:lastRow="0" w:firstColumn="0" w:lastColumn="0" w:noHBand="0" w:noVBand="0"/>
      </w:tblPr>
      <w:tblGrid>
        <w:gridCol w:w="3131"/>
        <w:gridCol w:w="1403"/>
        <w:gridCol w:w="1403"/>
        <w:gridCol w:w="1601"/>
      </w:tblGrid>
      <w:tr w:rsidR="00DA02DC" w:rsidRPr="00B4374F" w14:paraId="68AA8C96" w14:textId="77777777" w:rsidTr="002952B0">
        <w:trPr>
          <w:trHeight w:val="355"/>
        </w:trPr>
        <w:tc>
          <w:tcPr>
            <w:tcW w:w="0" w:type="auto"/>
          </w:tcPr>
          <w:p w14:paraId="3A00A35E" w14:textId="77777777" w:rsidR="00564FA1" w:rsidRPr="00B4374F" w:rsidRDefault="00564FA1" w:rsidP="00B4374F">
            <w:pPr>
              <w:rPr>
                <w:rFonts w:cstheme="minorHAnsi"/>
                <w:b/>
                <w:bCs/>
              </w:rPr>
            </w:pPr>
          </w:p>
        </w:tc>
        <w:tc>
          <w:tcPr>
            <w:tcW w:w="0" w:type="auto"/>
          </w:tcPr>
          <w:p w14:paraId="45881D66" w14:textId="77777777" w:rsidR="00564FA1" w:rsidRPr="00B4374F" w:rsidRDefault="00564FA1" w:rsidP="00B4374F">
            <w:pPr>
              <w:rPr>
                <w:rFonts w:cstheme="minorHAnsi"/>
                <w:b/>
                <w:bCs/>
                <w:color w:val="231F20"/>
              </w:rPr>
            </w:pPr>
            <w:r w:rsidRPr="00B4374F">
              <w:rPr>
                <w:rFonts w:cstheme="minorHAnsi"/>
                <w:b/>
                <w:bCs/>
                <w:color w:val="231F20"/>
              </w:rPr>
              <w:t>CAT</w:t>
            </w:r>
          </w:p>
        </w:tc>
        <w:tc>
          <w:tcPr>
            <w:tcW w:w="0" w:type="auto"/>
          </w:tcPr>
          <w:p w14:paraId="11DC9A24" w14:textId="77777777" w:rsidR="00564FA1" w:rsidRPr="00B4374F" w:rsidRDefault="00564FA1" w:rsidP="00B4374F">
            <w:pPr>
              <w:rPr>
                <w:rFonts w:cstheme="minorHAnsi"/>
                <w:b/>
                <w:bCs/>
                <w:color w:val="231F20"/>
              </w:rPr>
            </w:pPr>
            <w:r w:rsidRPr="00B4374F">
              <w:rPr>
                <w:rFonts w:cstheme="minorHAnsi"/>
                <w:b/>
                <w:bCs/>
                <w:color w:val="231F20"/>
              </w:rPr>
              <w:t>ST</w:t>
            </w:r>
          </w:p>
        </w:tc>
        <w:tc>
          <w:tcPr>
            <w:tcW w:w="0" w:type="auto"/>
          </w:tcPr>
          <w:p w14:paraId="57120083" w14:textId="77777777" w:rsidR="00564FA1" w:rsidRPr="00B4374F" w:rsidRDefault="00564FA1" w:rsidP="00B4374F">
            <w:pPr>
              <w:rPr>
                <w:rFonts w:cstheme="minorHAnsi"/>
                <w:b/>
                <w:bCs/>
                <w:color w:val="231F20"/>
              </w:rPr>
            </w:pPr>
            <w:r w:rsidRPr="00B4374F">
              <w:rPr>
                <w:rFonts w:cstheme="minorHAnsi"/>
                <w:b/>
                <w:bCs/>
                <w:color w:val="231F20"/>
              </w:rPr>
              <w:t>Statistic</w:t>
            </w:r>
          </w:p>
        </w:tc>
      </w:tr>
      <w:tr w:rsidR="00DA02DC" w:rsidRPr="00B4374F" w14:paraId="689FAF32" w14:textId="77777777" w:rsidTr="002952B0">
        <w:trPr>
          <w:trHeight w:val="274"/>
        </w:trPr>
        <w:tc>
          <w:tcPr>
            <w:tcW w:w="0" w:type="auto"/>
          </w:tcPr>
          <w:p w14:paraId="71E03F04" w14:textId="77777777" w:rsidR="00564FA1" w:rsidRPr="00B4374F" w:rsidRDefault="00564FA1" w:rsidP="00B4374F">
            <w:pPr>
              <w:rPr>
                <w:rFonts w:cstheme="minorHAnsi"/>
                <w:color w:val="231F20"/>
              </w:rPr>
            </w:pPr>
            <w:r w:rsidRPr="00B4374F">
              <w:rPr>
                <w:rFonts w:cstheme="minorHAnsi"/>
                <w:color w:val="231F20"/>
              </w:rPr>
              <w:t>Child variables</w:t>
            </w:r>
          </w:p>
        </w:tc>
        <w:tc>
          <w:tcPr>
            <w:tcW w:w="0" w:type="auto"/>
          </w:tcPr>
          <w:p w14:paraId="42DE6534" w14:textId="77777777" w:rsidR="00564FA1" w:rsidRPr="00B4374F" w:rsidRDefault="00564FA1" w:rsidP="00B4374F">
            <w:pPr>
              <w:rPr>
                <w:rFonts w:cstheme="minorHAnsi"/>
              </w:rPr>
            </w:pPr>
          </w:p>
        </w:tc>
        <w:tc>
          <w:tcPr>
            <w:tcW w:w="0" w:type="auto"/>
          </w:tcPr>
          <w:p w14:paraId="68DD5354" w14:textId="77777777" w:rsidR="00564FA1" w:rsidRPr="00B4374F" w:rsidRDefault="00564FA1" w:rsidP="00B4374F">
            <w:pPr>
              <w:rPr>
                <w:rFonts w:cstheme="minorHAnsi"/>
              </w:rPr>
            </w:pPr>
          </w:p>
        </w:tc>
        <w:tc>
          <w:tcPr>
            <w:tcW w:w="0" w:type="auto"/>
          </w:tcPr>
          <w:p w14:paraId="0DD2BCBF" w14:textId="77777777" w:rsidR="00564FA1" w:rsidRPr="00B4374F" w:rsidRDefault="00564FA1" w:rsidP="00B4374F">
            <w:pPr>
              <w:rPr>
                <w:rFonts w:cstheme="minorHAnsi"/>
              </w:rPr>
            </w:pPr>
          </w:p>
        </w:tc>
      </w:tr>
      <w:tr w:rsidR="00DA02DC" w:rsidRPr="00B4374F" w14:paraId="6FE7A9C5" w14:textId="77777777" w:rsidTr="002952B0">
        <w:trPr>
          <w:trHeight w:val="270"/>
        </w:trPr>
        <w:tc>
          <w:tcPr>
            <w:tcW w:w="0" w:type="auto"/>
          </w:tcPr>
          <w:p w14:paraId="134A9D90" w14:textId="4E43F97D" w:rsidR="00564FA1" w:rsidRPr="00B4374F" w:rsidRDefault="00564FA1" w:rsidP="0094086F">
            <w:pPr>
              <w:rPr>
                <w:rFonts w:cstheme="minorHAnsi"/>
                <w:color w:val="231F20"/>
              </w:rPr>
            </w:pPr>
            <w:r w:rsidRPr="00B4374F">
              <w:rPr>
                <w:rFonts w:cstheme="minorHAnsi"/>
                <w:color w:val="231F20"/>
              </w:rPr>
              <w:t xml:space="preserve">Age, </w:t>
            </w:r>
            <w:r w:rsidRPr="00B4374F">
              <w:rPr>
                <w:rFonts w:cstheme="minorHAnsi"/>
                <w:i/>
                <w:iCs/>
                <w:color w:val="231F20"/>
              </w:rPr>
              <w:t xml:space="preserve">M </w:t>
            </w:r>
            <w:r w:rsidRPr="00B4374F">
              <w:rPr>
                <w:rFonts w:cstheme="minorHAnsi"/>
                <w:color w:val="231F20"/>
              </w:rPr>
              <w:t>(</w:t>
            </w:r>
            <w:r w:rsidRPr="00B4374F">
              <w:rPr>
                <w:rFonts w:cstheme="minorHAnsi"/>
                <w:i/>
                <w:iCs/>
                <w:color w:val="231F20"/>
              </w:rPr>
              <w:t>SD</w:t>
            </w:r>
            <w:r w:rsidRPr="00B4374F">
              <w:rPr>
                <w:rFonts w:cstheme="minorHAnsi"/>
                <w:color w:val="231F20"/>
              </w:rPr>
              <w:t>)</w:t>
            </w:r>
          </w:p>
        </w:tc>
        <w:tc>
          <w:tcPr>
            <w:tcW w:w="0" w:type="auto"/>
          </w:tcPr>
          <w:p w14:paraId="308B4A1F" w14:textId="77777777" w:rsidR="00564FA1" w:rsidRPr="00B4374F" w:rsidRDefault="00564FA1" w:rsidP="00B4374F">
            <w:pPr>
              <w:rPr>
                <w:rFonts w:cstheme="minorHAnsi"/>
                <w:color w:val="231F20"/>
              </w:rPr>
            </w:pPr>
            <w:r w:rsidRPr="00B4374F">
              <w:rPr>
                <w:rFonts w:cstheme="minorHAnsi"/>
                <w:color w:val="231F20"/>
              </w:rPr>
              <w:t>7.84 (2.49)</w:t>
            </w:r>
          </w:p>
        </w:tc>
        <w:tc>
          <w:tcPr>
            <w:tcW w:w="0" w:type="auto"/>
          </w:tcPr>
          <w:p w14:paraId="6AA75290" w14:textId="77777777" w:rsidR="00564FA1" w:rsidRPr="00B4374F" w:rsidRDefault="00564FA1" w:rsidP="00B4374F">
            <w:pPr>
              <w:rPr>
                <w:rFonts w:cstheme="minorHAnsi"/>
                <w:color w:val="231F20"/>
              </w:rPr>
            </w:pPr>
            <w:r w:rsidRPr="00B4374F">
              <w:rPr>
                <w:rFonts w:cstheme="minorHAnsi"/>
                <w:color w:val="231F20"/>
              </w:rPr>
              <w:t>8.13 (2.68)</w:t>
            </w:r>
          </w:p>
        </w:tc>
        <w:tc>
          <w:tcPr>
            <w:tcW w:w="0" w:type="auto"/>
          </w:tcPr>
          <w:p w14:paraId="08F9BD81" w14:textId="5AF7B5BE" w:rsidR="00564FA1" w:rsidRPr="00B4374F" w:rsidRDefault="00564FA1" w:rsidP="0094086F">
            <w:pPr>
              <w:rPr>
                <w:rFonts w:cstheme="minorHAnsi"/>
                <w:color w:val="231F20"/>
              </w:rPr>
            </w:pPr>
            <w:proofErr w:type="gramStart"/>
            <w:r w:rsidRPr="00B4374F">
              <w:rPr>
                <w:rFonts w:cstheme="minorHAnsi"/>
                <w:i/>
                <w:iCs/>
                <w:color w:val="231F20"/>
              </w:rPr>
              <w:t>F</w:t>
            </w:r>
            <w:r w:rsidRPr="00B4374F">
              <w:rPr>
                <w:rFonts w:cstheme="minorHAnsi"/>
                <w:color w:val="231F20"/>
              </w:rPr>
              <w:t>(</w:t>
            </w:r>
            <w:proofErr w:type="gramEnd"/>
            <w:r w:rsidRPr="00B4374F">
              <w:rPr>
                <w:rFonts w:cstheme="minorHAnsi"/>
                <w:color w:val="231F20"/>
              </w:rPr>
              <w:t>1, 59) = 0.20</w:t>
            </w:r>
          </w:p>
        </w:tc>
      </w:tr>
      <w:tr w:rsidR="0094086F" w:rsidRPr="00B4374F" w14:paraId="26C9F2AF" w14:textId="77777777" w:rsidTr="002952B0">
        <w:trPr>
          <w:trHeight w:val="255"/>
        </w:trPr>
        <w:tc>
          <w:tcPr>
            <w:tcW w:w="0" w:type="auto"/>
          </w:tcPr>
          <w:p w14:paraId="786E5E42" w14:textId="41317E07" w:rsidR="0094086F" w:rsidRPr="00B4374F" w:rsidRDefault="0094086F" w:rsidP="00B4374F">
            <w:pPr>
              <w:rPr>
                <w:rFonts w:cstheme="minorHAnsi"/>
                <w:color w:val="231F20"/>
              </w:rPr>
            </w:pPr>
            <w:r w:rsidRPr="00B4374F">
              <w:rPr>
                <w:rFonts w:cstheme="minorHAnsi"/>
                <w:color w:val="231F20"/>
              </w:rPr>
              <w:t xml:space="preserve">Gender, </w:t>
            </w:r>
            <w:r w:rsidRPr="00B4374F">
              <w:rPr>
                <w:rFonts w:cstheme="minorHAnsi"/>
                <w:i/>
                <w:iCs/>
                <w:color w:val="231F20"/>
              </w:rPr>
              <w:t xml:space="preserve">n </w:t>
            </w:r>
            <w:r w:rsidRPr="00B4374F">
              <w:rPr>
                <w:rFonts w:cstheme="minorHAnsi"/>
                <w:color w:val="231F20"/>
              </w:rPr>
              <w:t>(%)</w:t>
            </w:r>
          </w:p>
        </w:tc>
        <w:tc>
          <w:tcPr>
            <w:tcW w:w="0" w:type="auto"/>
          </w:tcPr>
          <w:p w14:paraId="3D22F413" w14:textId="77777777" w:rsidR="0094086F" w:rsidRPr="00B4374F" w:rsidRDefault="0094086F" w:rsidP="00B4374F">
            <w:pPr>
              <w:rPr>
                <w:rFonts w:cstheme="minorHAnsi"/>
                <w:color w:val="231F20"/>
              </w:rPr>
            </w:pPr>
          </w:p>
        </w:tc>
        <w:tc>
          <w:tcPr>
            <w:tcW w:w="0" w:type="auto"/>
          </w:tcPr>
          <w:p w14:paraId="00FA5E8A" w14:textId="77777777" w:rsidR="0094086F" w:rsidRPr="00B4374F" w:rsidRDefault="0094086F" w:rsidP="00B4374F">
            <w:pPr>
              <w:rPr>
                <w:rFonts w:cstheme="minorHAnsi"/>
                <w:color w:val="231F20"/>
              </w:rPr>
            </w:pPr>
          </w:p>
        </w:tc>
        <w:tc>
          <w:tcPr>
            <w:tcW w:w="0" w:type="auto"/>
          </w:tcPr>
          <w:p w14:paraId="20097B3F" w14:textId="2E1B1E40" w:rsidR="0094086F" w:rsidRPr="00B4374F" w:rsidRDefault="0094086F" w:rsidP="00B4374F">
            <w:pPr>
              <w:rPr>
                <w:rFonts w:cstheme="minorHAnsi"/>
                <w:i/>
                <w:iCs/>
                <w:color w:val="231F20"/>
              </w:rPr>
            </w:pPr>
            <w:r w:rsidRPr="00B4374F">
              <w:rPr>
                <w:rFonts w:cstheme="minorHAnsi"/>
                <w:color w:val="231F20"/>
              </w:rPr>
              <w:t>χ</w:t>
            </w:r>
            <w:r w:rsidRPr="00B4374F">
              <w:rPr>
                <w:rFonts w:cstheme="minorHAnsi"/>
                <w:color w:val="231F20"/>
                <w:vertAlign w:val="superscript"/>
              </w:rPr>
              <w:t>2</w:t>
            </w:r>
            <w:r w:rsidRPr="00B4374F">
              <w:rPr>
                <w:rFonts w:cstheme="minorHAnsi"/>
                <w:color w:val="231F20"/>
              </w:rPr>
              <w:t>(1) = 0.13</w:t>
            </w:r>
          </w:p>
        </w:tc>
      </w:tr>
      <w:tr w:rsidR="00DA02DC" w:rsidRPr="00B4374F" w14:paraId="302CF147" w14:textId="77777777" w:rsidTr="002952B0">
        <w:trPr>
          <w:trHeight w:val="226"/>
        </w:trPr>
        <w:tc>
          <w:tcPr>
            <w:tcW w:w="0" w:type="auto"/>
          </w:tcPr>
          <w:p w14:paraId="2568D557" w14:textId="77777777" w:rsidR="00564FA1" w:rsidRPr="00B4374F" w:rsidRDefault="00564FA1" w:rsidP="00B4374F">
            <w:pPr>
              <w:rPr>
                <w:rFonts w:cstheme="minorHAnsi"/>
                <w:color w:val="231F20"/>
              </w:rPr>
            </w:pPr>
            <w:r w:rsidRPr="00B4374F">
              <w:rPr>
                <w:rFonts w:cstheme="minorHAnsi"/>
                <w:color w:val="231F20"/>
              </w:rPr>
              <w:t>Female</w:t>
            </w:r>
          </w:p>
        </w:tc>
        <w:tc>
          <w:tcPr>
            <w:tcW w:w="0" w:type="auto"/>
          </w:tcPr>
          <w:p w14:paraId="41CD3E4D" w14:textId="77777777" w:rsidR="00564FA1" w:rsidRPr="00B4374F" w:rsidRDefault="00564FA1" w:rsidP="00B4374F">
            <w:pPr>
              <w:rPr>
                <w:rFonts w:cstheme="minorHAnsi"/>
                <w:color w:val="231F20"/>
              </w:rPr>
            </w:pPr>
            <w:r w:rsidRPr="00B4374F">
              <w:rPr>
                <w:rFonts w:cstheme="minorHAnsi"/>
                <w:color w:val="231F20"/>
              </w:rPr>
              <w:t>8 (25.81)</w:t>
            </w:r>
          </w:p>
        </w:tc>
        <w:tc>
          <w:tcPr>
            <w:tcW w:w="0" w:type="auto"/>
          </w:tcPr>
          <w:p w14:paraId="79DBE5B0" w14:textId="77777777" w:rsidR="00564FA1" w:rsidRPr="00B4374F" w:rsidRDefault="00564FA1" w:rsidP="00B4374F">
            <w:pPr>
              <w:rPr>
                <w:rFonts w:cstheme="minorHAnsi"/>
                <w:color w:val="231F20"/>
              </w:rPr>
            </w:pPr>
            <w:r w:rsidRPr="00B4374F">
              <w:rPr>
                <w:rFonts w:cstheme="minorHAnsi"/>
                <w:color w:val="231F20"/>
              </w:rPr>
              <w:t>9 (30.00)</w:t>
            </w:r>
          </w:p>
        </w:tc>
        <w:tc>
          <w:tcPr>
            <w:tcW w:w="0" w:type="auto"/>
          </w:tcPr>
          <w:p w14:paraId="0407895A" w14:textId="77777777" w:rsidR="00564FA1" w:rsidRPr="00B4374F" w:rsidRDefault="00564FA1" w:rsidP="00B4374F">
            <w:pPr>
              <w:rPr>
                <w:rFonts w:cstheme="minorHAnsi"/>
              </w:rPr>
            </w:pPr>
          </w:p>
        </w:tc>
      </w:tr>
      <w:tr w:rsidR="00DA02DC" w:rsidRPr="00B4374F" w14:paraId="1019BE04" w14:textId="77777777" w:rsidTr="002952B0">
        <w:trPr>
          <w:trHeight w:val="255"/>
        </w:trPr>
        <w:tc>
          <w:tcPr>
            <w:tcW w:w="0" w:type="auto"/>
          </w:tcPr>
          <w:p w14:paraId="3BA9061B" w14:textId="756C2A2F" w:rsidR="00564FA1" w:rsidRPr="00B4374F" w:rsidRDefault="00564FA1" w:rsidP="0094086F">
            <w:pPr>
              <w:rPr>
                <w:rFonts w:cstheme="minorHAnsi"/>
                <w:color w:val="231F20"/>
              </w:rPr>
            </w:pPr>
            <w:r w:rsidRPr="00B4374F">
              <w:rPr>
                <w:rFonts w:cstheme="minorHAnsi"/>
                <w:color w:val="231F20"/>
              </w:rPr>
              <w:t>Male</w:t>
            </w:r>
          </w:p>
        </w:tc>
        <w:tc>
          <w:tcPr>
            <w:tcW w:w="0" w:type="auto"/>
          </w:tcPr>
          <w:p w14:paraId="5E5C1AEA" w14:textId="77777777" w:rsidR="00564FA1" w:rsidRPr="00B4374F" w:rsidRDefault="00564FA1" w:rsidP="00B4374F">
            <w:pPr>
              <w:rPr>
                <w:rFonts w:cstheme="minorHAnsi"/>
                <w:color w:val="231F20"/>
              </w:rPr>
            </w:pPr>
            <w:r w:rsidRPr="00B4374F">
              <w:rPr>
                <w:rFonts w:cstheme="minorHAnsi"/>
                <w:color w:val="231F20"/>
              </w:rPr>
              <w:t>23 (74.19)</w:t>
            </w:r>
          </w:p>
        </w:tc>
        <w:tc>
          <w:tcPr>
            <w:tcW w:w="0" w:type="auto"/>
          </w:tcPr>
          <w:p w14:paraId="0E816C6F" w14:textId="77777777" w:rsidR="00564FA1" w:rsidRPr="00B4374F" w:rsidRDefault="00564FA1" w:rsidP="00B4374F">
            <w:pPr>
              <w:rPr>
                <w:rFonts w:cstheme="minorHAnsi"/>
                <w:color w:val="231F20"/>
              </w:rPr>
            </w:pPr>
            <w:r w:rsidRPr="00B4374F">
              <w:rPr>
                <w:rFonts w:cstheme="minorHAnsi"/>
                <w:color w:val="231F20"/>
              </w:rPr>
              <w:t>21 (70.00)</w:t>
            </w:r>
          </w:p>
        </w:tc>
        <w:tc>
          <w:tcPr>
            <w:tcW w:w="0" w:type="auto"/>
          </w:tcPr>
          <w:p w14:paraId="570FB182" w14:textId="12C445F5" w:rsidR="00564FA1" w:rsidRPr="00B4374F" w:rsidRDefault="00564FA1" w:rsidP="00B4374F">
            <w:pPr>
              <w:rPr>
                <w:rFonts w:cstheme="minorHAnsi"/>
                <w:color w:val="231F20"/>
              </w:rPr>
            </w:pPr>
          </w:p>
        </w:tc>
      </w:tr>
      <w:tr w:rsidR="0094086F" w:rsidRPr="00B4374F" w14:paraId="242247EA" w14:textId="77777777" w:rsidTr="002952B0">
        <w:trPr>
          <w:trHeight w:val="267"/>
        </w:trPr>
        <w:tc>
          <w:tcPr>
            <w:tcW w:w="0" w:type="auto"/>
          </w:tcPr>
          <w:p w14:paraId="7F1BA0A5" w14:textId="52D361F3" w:rsidR="0094086F" w:rsidRPr="00B4374F" w:rsidRDefault="0094086F" w:rsidP="00B4374F">
            <w:pPr>
              <w:rPr>
                <w:rFonts w:cstheme="minorHAnsi"/>
                <w:color w:val="231F20"/>
              </w:rPr>
            </w:pPr>
            <w:r w:rsidRPr="00B4374F">
              <w:rPr>
                <w:rFonts w:cstheme="minorHAnsi"/>
                <w:color w:val="231F20"/>
              </w:rPr>
              <w:t xml:space="preserve">ADHD subtype, </w:t>
            </w:r>
            <w:r w:rsidRPr="00B4374F">
              <w:rPr>
                <w:rFonts w:cstheme="minorHAnsi"/>
                <w:i/>
                <w:iCs/>
                <w:color w:val="231F20"/>
              </w:rPr>
              <w:t xml:space="preserve">n </w:t>
            </w:r>
            <w:r w:rsidRPr="00B4374F">
              <w:rPr>
                <w:rFonts w:cstheme="minorHAnsi"/>
                <w:color w:val="231F20"/>
              </w:rPr>
              <w:t>(%)</w:t>
            </w:r>
          </w:p>
        </w:tc>
        <w:tc>
          <w:tcPr>
            <w:tcW w:w="0" w:type="auto"/>
          </w:tcPr>
          <w:p w14:paraId="61EEE528" w14:textId="77777777" w:rsidR="0094086F" w:rsidRPr="00B4374F" w:rsidRDefault="0094086F" w:rsidP="00B4374F">
            <w:pPr>
              <w:rPr>
                <w:rFonts w:cstheme="minorHAnsi"/>
                <w:color w:val="231F20"/>
              </w:rPr>
            </w:pPr>
          </w:p>
        </w:tc>
        <w:tc>
          <w:tcPr>
            <w:tcW w:w="0" w:type="auto"/>
          </w:tcPr>
          <w:p w14:paraId="24DA1C41" w14:textId="77777777" w:rsidR="0094086F" w:rsidRPr="00B4374F" w:rsidRDefault="0094086F" w:rsidP="00B4374F">
            <w:pPr>
              <w:rPr>
                <w:rFonts w:cstheme="minorHAnsi"/>
                <w:color w:val="231F20"/>
              </w:rPr>
            </w:pPr>
          </w:p>
        </w:tc>
        <w:tc>
          <w:tcPr>
            <w:tcW w:w="0" w:type="auto"/>
          </w:tcPr>
          <w:p w14:paraId="5E7AB298" w14:textId="0EBC7F28" w:rsidR="0094086F" w:rsidRPr="00B4374F" w:rsidRDefault="0094086F" w:rsidP="00B4374F">
            <w:pPr>
              <w:rPr>
                <w:rFonts w:cstheme="minorHAnsi"/>
                <w:color w:val="231F20"/>
              </w:rPr>
            </w:pPr>
            <w:r w:rsidRPr="00B4374F">
              <w:rPr>
                <w:rFonts w:cstheme="minorHAnsi"/>
                <w:color w:val="231F20"/>
              </w:rPr>
              <w:t>χ</w:t>
            </w:r>
            <w:r w:rsidRPr="00B4374F">
              <w:rPr>
                <w:rFonts w:cstheme="minorHAnsi"/>
                <w:color w:val="231F20"/>
                <w:vertAlign w:val="superscript"/>
              </w:rPr>
              <w:t>2</w:t>
            </w:r>
            <w:r w:rsidRPr="00B4374F">
              <w:rPr>
                <w:rFonts w:cstheme="minorHAnsi"/>
                <w:color w:val="231F20"/>
              </w:rPr>
              <w:t>(2) = 2.08</w:t>
            </w:r>
          </w:p>
        </w:tc>
      </w:tr>
      <w:tr w:rsidR="00DA02DC" w:rsidRPr="00B4374F" w14:paraId="0DA8F6D9" w14:textId="77777777" w:rsidTr="002952B0">
        <w:trPr>
          <w:trHeight w:val="226"/>
        </w:trPr>
        <w:tc>
          <w:tcPr>
            <w:tcW w:w="0" w:type="auto"/>
          </w:tcPr>
          <w:p w14:paraId="469B679C" w14:textId="77777777" w:rsidR="00564FA1" w:rsidRPr="00B4374F" w:rsidRDefault="00564FA1" w:rsidP="00B4374F">
            <w:pPr>
              <w:rPr>
                <w:rFonts w:cstheme="minorHAnsi"/>
                <w:color w:val="231F20"/>
              </w:rPr>
            </w:pPr>
            <w:r w:rsidRPr="00B4374F">
              <w:rPr>
                <w:rFonts w:cstheme="minorHAnsi"/>
                <w:color w:val="231F20"/>
              </w:rPr>
              <w:t>Hyperactive/impulsive</w:t>
            </w:r>
          </w:p>
        </w:tc>
        <w:tc>
          <w:tcPr>
            <w:tcW w:w="0" w:type="auto"/>
          </w:tcPr>
          <w:p w14:paraId="52E2A270" w14:textId="77777777" w:rsidR="00564FA1" w:rsidRPr="00B4374F" w:rsidRDefault="00564FA1" w:rsidP="00B4374F">
            <w:pPr>
              <w:rPr>
                <w:rFonts w:cstheme="minorHAnsi"/>
                <w:color w:val="231F20"/>
              </w:rPr>
            </w:pPr>
            <w:r w:rsidRPr="00B4374F">
              <w:rPr>
                <w:rFonts w:cstheme="minorHAnsi"/>
                <w:color w:val="231F20"/>
              </w:rPr>
              <w:t>3 (9.68)</w:t>
            </w:r>
          </w:p>
        </w:tc>
        <w:tc>
          <w:tcPr>
            <w:tcW w:w="0" w:type="auto"/>
          </w:tcPr>
          <w:p w14:paraId="5B7E8990" w14:textId="77777777" w:rsidR="00564FA1" w:rsidRPr="00B4374F" w:rsidRDefault="00564FA1" w:rsidP="00B4374F">
            <w:pPr>
              <w:rPr>
                <w:rFonts w:cstheme="minorHAnsi"/>
                <w:color w:val="231F20"/>
              </w:rPr>
            </w:pPr>
            <w:r w:rsidRPr="00B4374F">
              <w:rPr>
                <w:rFonts w:cstheme="minorHAnsi"/>
                <w:color w:val="231F20"/>
              </w:rPr>
              <w:t>4 (13.33)</w:t>
            </w:r>
          </w:p>
        </w:tc>
        <w:tc>
          <w:tcPr>
            <w:tcW w:w="0" w:type="auto"/>
          </w:tcPr>
          <w:p w14:paraId="20704237" w14:textId="77777777" w:rsidR="00564FA1" w:rsidRPr="00B4374F" w:rsidRDefault="00564FA1" w:rsidP="00B4374F">
            <w:pPr>
              <w:rPr>
                <w:rFonts w:cstheme="minorHAnsi"/>
              </w:rPr>
            </w:pPr>
          </w:p>
        </w:tc>
      </w:tr>
      <w:tr w:rsidR="00DA02DC" w:rsidRPr="00B4374F" w14:paraId="4AE5961A" w14:textId="77777777" w:rsidTr="002952B0">
        <w:trPr>
          <w:trHeight w:val="230"/>
        </w:trPr>
        <w:tc>
          <w:tcPr>
            <w:tcW w:w="0" w:type="auto"/>
          </w:tcPr>
          <w:p w14:paraId="2612A585" w14:textId="77777777" w:rsidR="00564FA1" w:rsidRPr="00B4374F" w:rsidRDefault="00564FA1" w:rsidP="00B4374F">
            <w:pPr>
              <w:rPr>
                <w:rFonts w:cstheme="minorHAnsi"/>
                <w:color w:val="231F20"/>
              </w:rPr>
            </w:pPr>
            <w:r w:rsidRPr="00B4374F">
              <w:rPr>
                <w:rFonts w:cstheme="minorHAnsi"/>
                <w:color w:val="231F20"/>
              </w:rPr>
              <w:t>Inattentive</w:t>
            </w:r>
          </w:p>
        </w:tc>
        <w:tc>
          <w:tcPr>
            <w:tcW w:w="0" w:type="auto"/>
          </w:tcPr>
          <w:p w14:paraId="3464AC1E" w14:textId="77777777" w:rsidR="00564FA1" w:rsidRPr="00B4374F" w:rsidRDefault="00564FA1" w:rsidP="00B4374F">
            <w:pPr>
              <w:rPr>
                <w:rFonts w:cstheme="minorHAnsi"/>
                <w:color w:val="231F20"/>
              </w:rPr>
            </w:pPr>
            <w:r w:rsidRPr="00B4374F">
              <w:rPr>
                <w:rFonts w:cstheme="minorHAnsi"/>
                <w:color w:val="231F20"/>
              </w:rPr>
              <w:t>16 (51.61)</w:t>
            </w:r>
          </w:p>
        </w:tc>
        <w:tc>
          <w:tcPr>
            <w:tcW w:w="0" w:type="auto"/>
          </w:tcPr>
          <w:p w14:paraId="152BDBB5" w14:textId="77777777" w:rsidR="00564FA1" w:rsidRPr="00B4374F" w:rsidRDefault="00564FA1" w:rsidP="00B4374F">
            <w:pPr>
              <w:rPr>
                <w:rFonts w:cstheme="minorHAnsi"/>
                <w:color w:val="231F20"/>
              </w:rPr>
            </w:pPr>
            <w:r w:rsidRPr="00B4374F">
              <w:rPr>
                <w:rFonts w:cstheme="minorHAnsi"/>
                <w:color w:val="231F20"/>
              </w:rPr>
              <w:t>10 (33.33)</w:t>
            </w:r>
          </w:p>
        </w:tc>
        <w:tc>
          <w:tcPr>
            <w:tcW w:w="0" w:type="auto"/>
          </w:tcPr>
          <w:p w14:paraId="4E987C4E" w14:textId="77777777" w:rsidR="00564FA1" w:rsidRPr="00B4374F" w:rsidRDefault="00564FA1" w:rsidP="00B4374F">
            <w:pPr>
              <w:rPr>
                <w:rFonts w:cstheme="minorHAnsi"/>
              </w:rPr>
            </w:pPr>
          </w:p>
        </w:tc>
      </w:tr>
      <w:tr w:rsidR="00DA02DC" w:rsidRPr="00B4374F" w14:paraId="588DB52C" w14:textId="77777777" w:rsidTr="002952B0">
        <w:trPr>
          <w:trHeight w:val="195"/>
        </w:trPr>
        <w:tc>
          <w:tcPr>
            <w:tcW w:w="0" w:type="auto"/>
          </w:tcPr>
          <w:p w14:paraId="22434551" w14:textId="36F90D50" w:rsidR="00564FA1" w:rsidRPr="00B4374F" w:rsidRDefault="00564FA1" w:rsidP="00B4374F">
            <w:pPr>
              <w:rPr>
                <w:rFonts w:cstheme="minorHAnsi"/>
                <w:color w:val="231F20"/>
              </w:rPr>
            </w:pPr>
            <w:r w:rsidRPr="00B4374F">
              <w:rPr>
                <w:rFonts w:cstheme="minorHAnsi"/>
                <w:color w:val="231F20"/>
              </w:rPr>
              <w:t>Combined</w:t>
            </w:r>
          </w:p>
        </w:tc>
        <w:tc>
          <w:tcPr>
            <w:tcW w:w="0" w:type="auto"/>
          </w:tcPr>
          <w:p w14:paraId="09C70248" w14:textId="77777777" w:rsidR="00564FA1" w:rsidRPr="00B4374F" w:rsidRDefault="00564FA1" w:rsidP="00B4374F">
            <w:pPr>
              <w:rPr>
                <w:rFonts w:cstheme="minorHAnsi"/>
                <w:color w:val="231F20"/>
              </w:rPr>
            </w:pPr>
            <w:r w:rsidRPr="00B4374F">
              <w:rPr>
                <w:rFonts w:cstheme="minorHAnsi"/>
                <w:color w:val="231F20"/>
              </w:rPr>
              <w:t>12 (38.71)</w:t>
            </w:r>
          </w:p>
        </w:tc>
        <w:tc>
          <w:tcPr>
            <w:tcW w:w="0" w:type="auto"/>
          </w:tcPr>
          <w:p w14:paraId="32AF2D11" w14:textId="77777777" w:rsidR="00564FA1" w:rsidRPr="00B4374F" w:rsidRDefault="00564FA1" w:rsidP="00B4374F">
            <w:pPr>
              <w:rPr>
                <w:rFonts w:cstheme="minorHAnsi"/>
                <w:color w:val="231F20"/>
              </w:rPr>
            </w:pPr>
            <w:r w:rsidRPr="00B4374F">
              <w:rPr>
                <w:rFonts w:cstheme="minorHAnsi"/>
                <w:color w:val="231F20"/>
              </w:rPr>
              <w:t>16 (53.33)</w:t>
            </w:r>
          </w:p>
        </w:tc>
        <w:tc>
          <w:tcPr>
            <w:tcW w:w="0" w:type="auto"/>
          </w:tcPr>
          <w:p w14:paraId="6C8F827C" w14:textId="14D55EC7" w:rsidR="00564FA1" w:rsidRPr="00B4374F" w:rsidRDefault="00564FA1" w:rsidP="00B4374F">
            <w:pPr>
              <w:rPr>
                <w:rFonts w:cstheme="minorHAnsi"/>
                <w:color w:val="231F20"/>
              </w:rPr>
            </w:pPr>
          </w:p>
        </w:tc>
      </w:tr>
      <w:tr w:rsidR="00DA02DC" w:rsidRPr="00B4374F" w14:paraId="4D83876A" w14:textId="77777777" w:rsidTr="002952B0">
        <w:trPr>
          <w:trHeight w:val="330"/>
        </w:trPr>
        <w:tc>
          <w:tcPr>
            <w:tcW w:w="0" w:type="auto"/>
          </w:tcPr>
          <w:p w14:paraId="309996E6" w14:textId="15DE54E5" w:rsidR="00DA02DC" w:rsidRPr="00B4374F" w:rsidRDefault="00DA02DC" w:rsidP="00DA02DC">
            <w:pPr>
              <w:rPr>
                <w:rFonts w:cstheme="minorHAnsi"/>
                <w:color w:val="231F20"/>
              </w:rPr>
            </w:pPr>
            <w:r w:rsidRPr="00B4374F">
              <w:rPr>
                <w:rFonts w:cstheme="minorHAnsi"/>
                <w:color w:val="231F20"/>
              </w:rPr>
              <w:lastRenderedPageBreak/>
              <w:t xml:space="preserve">Medication status, </w:t>
            </w:r>
            <w:r w:rsidRPr="00B4374F">
              <w:rPr>
                <w:rFonts w:cstheme="minorHAnsi"/>
                <w:i/>
                <w:iCs/>
                <w:color w:val="231F20"/>
              </w:rPr>
              <w:t xml:space="preserve">n </w:t>
            </w:r>
            <w:r w:rsidRPr="00B4374F">
              <w:rPr>
                <w:rFonts w:cstheme="minorHAnsi"/>
                <w:color w:val="231F20"/>
              </w:rPr>
              <w:t>(%)</w:t>
            </w:r>
          </w:p>
        </w:tc>
        <w:tc>
          <w:tcPr>
            <w:tcW w:w="0" w:type="auto"/>
          </w:tcPr>
          <w:p w14:paraId="0F3ED1DF" w14:textId="77777777" w:rsidR="00DA02DC" w:rsidRPr="00B4374F" w:rsidRDefault="00DA02DC" w:rsidP="00B4374F">
            <w:pPr>
              <w:rPr>
                <w:rFonts w:cstheme="minorHAnsi"/>
                <w:color w:val="231F20"/>
              </w:rPr>
            </w:pPr>
          </w:p>
        </w:tc>
        <w:tc>
          <w:tcPr>
            <w:tcW w:w="0" w:type="auto"/>
          </w:tcPr>
          <w:p w14:paraId="78060318" w14:textId="77777777" w:rsidR="00DA02DC" w:rsidRPr="00B4374F" w:rsidRDefault="00DA02DC" w:rsidP="00B4374F">
            <w:pPr>
              <w:rPr>
                <w:rFonts w:cstheme="minorHAnsi"/>
                <w:color w:val="231F20"/>
              </w:rPr>
            </w:pPr>
          </w:p>
        </w:tc>
        <w:tc>
          <w:tcPr>
            <w:tcW w:w="0" w:type="auto"/>
          </w:tcPr>
          <w:p w14:paraId="19B19A92" w14:textId="655EAB3C" w:rsidR="00DA02DC" w:rsidRPr="00B4374F" w:rsidRDefault="00DA02DC" w:rsidP="00DA02DC">
            <w:pPr>
              <w:rPr>
                <w:rFonts w:cstheme="minorHAnsi"/>
              </w:rPr>
            </w:pPr>
            <w:r w:rsidRPr="00B4374F">
              <w:rPr>
                <w:rFonts w:cstheme="minorHAnsi"/>
                <w:color w:val="231F20"/>
              </w:rPr>
              <w:t>χ</w:t>
            </w:r>
            <w:r w:rsidRPr="00B4374F">
              <w:rPr>
                <w:rFonts w:cstheme="minorHAnsi"/>
                <w:color w:val="231F20"/>
                <w:vertAlign w:val="superscript"/>
              </w:rPr>
              <w:t>2</w:t>
            </w:r>
            <w:r w:rsidRPr="00B4374F">
              <w:rPr>
                <w:rFonts w:cstheme="minorHAnsi"/>
                <w:color w:val="231F20"/>
              </w:rPr>
              <w:t>(1) = 0.004</w:t>
            </w:r>
          </w:p>
        </w:tc>
      </w:tr>
      <w:tr w:rsidR="0094086F" w:rsidRPr="00B4374F" w14:paraId="6D88A70A" w14:textId="77777777" w:rsidTr="002952B0">
        <w:trPr>
          <w:trHeight w:val="270"/>
        </w:trPr>
        <w:tc>
          <w:tcPr>
            <w:tcW w:w="0" w:type="auto"/>
          </w:tcPr>
          <w:p w14:paraId="4D423C12" w14:textId="77777777" w:rsidR="0094086F" w:rsidRPr="00B4374F" w:rsidRDefault="0094086F" w:rsidP="00B4374F">
            <w:pPr>
              <w:rPr>
                <w:rFonts w:cstheme="minorHAnsi"/>
                <w:color w:val="231F20"/>
              </w:rPr>
            </w:pPr>
          </w:p>
        </w:tc>
        <w:tc>
          <w:tcPr>
            <w:tcW w:w="0" w:type="auto"/>
          </w:tcPr>
          <w:p w14:paraId="01076F4F" w14:textId="77777777" w:rsidR="0094086F" w:rsidRPr="00B4374F" w:rsidRDefault="0094086F" w:rsidP="00B4374F">
            <w:pPr>
              <w:rPr>
                <w:rFonts w:cstheme="minorHAnsi"/>
                <w:color w:val="231F20"/>
              </w:rPr>
            </w:pPr>
          </w:p>
        </w:tc>
        <w:tc>
          <w:tcPr>
            <w:tcW w:w="0" w:type="auto"/>
          </w:tcPr>
          <w:p w14:paraId="1545EB57" w14:textId="77777777" w:rsidR="0094086F" w:rsidRPr="00B4374F" w:rsidRDefault="0094086F" w:rsidP="00B4374F">
            <w:pPr>
              <w:rPr>
                <w:rFonts w:cstheme="minorHAnsi"/>
                <w:color w:val="231F20"/>
              </w:rPr>
            </w:pPr>
          </w:p>
        </w:tc>
        <w:tc>
          <w:tcPr>
            <w:tcW w:w="0" w:type="auto"/>
          </w:tcPr>
          <w:p w14:paraId="36622094" w14:textId="77777777" w:rsidR="0094086F" w:rsidRPr="00B4374F" w:rsidRDefault="0094086F" w:rsidP="00B4374F">
            <w:pPr>
              <w:rPr>
                <w:rFonts w:cstheme="minorHAnsi"/>
              </w:rPr>
            </w:pPr>
          </w:p>
        </w:tc>
      </w:tr>
      <w:tr w:rsidR="00DA02DC" w:rsidRPr="00B4374F" w14:paraId="35F5B72F" w14:textId="77777777" w:rsidTr="002952B0">
        <w:trPr>
          <w:trHeight w:val="226"/>
        </w:trPr>
        <w:tc>
          <w:tcPr>
            <w:tcW w:w="0" w:type="auto"/>
          </w:tcPr>
          <w:p w14:paraId="4F6C4900" w14:textId="77777777" w:rsidR="00564FA1" w:rsidRPr="00B4374F" w:rsidRDefault="00564FA1" w:rsidP="00B4374F">
            <w:pPr>
              <w:rPr>
                <w:rFonts w:cstheme="minorHAnsi"/>
                <w:color w:val="231F20"/>
              </w:rPr>
            </w:pPr>
            <w:r w:rsidRPr="00B4374F">
              <w:rPr>
                <w:rFonts w:cstheme="minorHAnsi"/>
                <w:color w:val="231F20"/>
              </w:rPr>
              <w:t>Yes</w:t>
            </w:r>
          </w:p>
        </w:tc>
        <w:tc>
          <w:tcPr>
            <w:tcW w:w="0" w:type="auto"/>
          </w:tcPr>
          <w:p w14:paraId="0839740C" w14:textId="77777777" w:rsidR="00564FA1" w:rsidRPr="00B4374F" w:rsidRDefault="00564FA1" w:rsidP="00B4374F">
            <w:pPr>
              <w:rPr>
                <w:rFonts w:cstheme="minorHAnsi"/>
                <w:color w:val="231F20"/>
              </w:rPr>
            </w:pPr>
            <w:r w:rsidRPr="00B4374F">
              <w:rPr>
                <w:rFonts w:cstheme="minorHAnsi"/>
                <w:color w:val="231F20"/>
              </w:rPr>
              <w:t>6 (19.35)</w:t>
            </w:r>
          </w:p>
        </w:tc>
        <w:tc>
          <w:tcPr>
            <w:tcW w:w="0" w:type="auto"/>
          </w:tcPr>
          <w:p w14:paraId="1F25AB2E" w14:textId="77777777" w:rsidR="00564FA1" w:rsidRPr="00B4374F" w:rsidRDefault="00564FA1" w:rsidP="00B4374F">
            <w:pPr>
              <w:rPr>
                <w:rFonts w:cstheme="minorHAnsi"/>
                <w:color w:val="231F20"/>
              </w:rPr>
            </w:pPr>
            <w:r w:rsidRPr="00B4374F">
              <w:rPr>
                <w:rFonts w:cstheme="minorHAnsi"/>
                <w:color w:val="231F20"/>
              </w:rPr>
              <w:t>6 (20.00)</w:t>
            </w:r>
          </w:p>
        </w:tc>
        <w:tc>
          <w:tcPr>
            <w:tcW w:w="0" w:type="auto"/>
          </w:tcPr>
          <w:p w14:paraId="0324CDBE" w14:textId="77777777" w:rsidR="00564FA1" w:rsidRPr="00B4374F" w:rsidRDefault="00564FA1" w:rsidP="00B4374F">
            <w:pPr>
              <w:rPr>
                <w:rFonts w:cstheme="minorHAnsi"/>
              </w:rPr>
            </w:pPr>
          </w:p>
        </w:tc>
      </w:tr>
      <w:tr w:rsidR="00DA02DC" w:rsidRPr="00B4374F" w14:paraId="5A3EE709" w14:textId="77777777" w:rsidTr="002952B0">
        <w:trPr>
          <w:trHeight w:val="255"/>
        </w:trPr>
        <w:tc>
          <w:tcPr>
            <w:tcW w:w="0" w:type="auto"/>
          </w:tcPr>
          <w:p w14:paraId="324CB393" w14:textId="1C98305E" w:rsidR="00564FA1" w:rsidRPr="00B4374F" w:rsidRDefault="00564FA1" w:rsidP="00DA02DC">
            <w:pPr>
              <w:rPr>
                <w:rFonts w:cstheme="minorHAnsi"/>
                <w:color w:val="231F20"/>
              </w:rPr>
            </w:pPr>
            <w:r w:rsidRPr="00B4374F">
              <w:rPr>
                <w:rFonts w:cstheme="minorHAnsi"/>
                <w:color w:val="231F20"/>
              </w:rPr>
              <w:t>No</w:t>
            </w:r>
          </w:p>
        </w:tc>
        <w:tc>
          <w:tcPr>
            <w:tcW w:w="0" w:type="auto"/>
          </w:tcPr>
          <w:p w14:paraId="4391DF40" w14:textId="77777777" w:rsidR="00564FA1" w:rsidRPr="00B4374F" w:rsidRDefault="00564FA1" w:rsidP="00B4374F">
            <w:pPr>
              <w:rPr>
                <w:rFonts w:cstheme="minorHAnsi"/>
                <w:color w:val="231F20"/>
              </w:rPr>
            </w:pPr>
            <w:r w:rsidRPr="00B4374F">
              <w:rPr>
                <w:rFonts w:cstheme="minorHAnsi"/>
                <w:color w:val="231F20"/>
              </w:rPr>
              <w:t>25 (80.65)</w:t>
            </w:r>
          </w:p>
        </w:tc>
        <w:tc>
          <w:tcPr>
            <w:tcW w:w="0" w:type="auto"/>
          </w:tcPr>
          <w:p w14:paraId="4E2E73B7" w14:textId="77777777" w:rsidR="00564FA1" w:rsidRPr="00B4374F" w:rsidRDefault="00564FA1" w:rsidP="00B4374F">
            <w:pPr>
              <w:rPr>
                <w:rFonts w:cstheme="minorHAnsi"/>
                <w:color w:val="231F20"/>
              </w:rPr>
            </w:pPr>
            <w:r w:rsidRPr="00B4374F">
              <w:rPr>
                <w:rFonts w:cstheme="minorHAnsi"/>
                <w:color w:val="231F20"/>
              </w:rPr>
              <w:t>24 (80.00)</w:t>
            </w:r>
          </w:p>
        </w:tc>
        <w:tc>
          <w:tcPr>
            <w:tcW w:w="0" w:type="auto"/>
          </w:tcPr>
          <w:p w14:paraId="6CCB9C7A" w14:textId="2264DC5A" w:rsidR="00564FA1" w:rsidRPr="00B4374F" w:rsidRDefault="00564FA1" w:rsidP="00B4374F">
            <w:pPr>
              <w:rPr>
                <w:rFonts w:cstheme="minorHAnsi"/>
                <w:color w:val="231F20"/>
              </w:rPr>
            </w:pPr>
          </w:p>
        </w:tc>
      </w:tr>
      <w:tr w:rsidR="00DA02DC" w:rsidRPr="00B4374F" w14:paraId="4DE36A8C" w14:textId="77777777" w:rsidTr="002952B0">
        <w:trPr>
          <w:trHeight w:val="270"/>
        </w:trPr>
        <w:tc>
          <w:tcPr>
            <w:tcW w:w="0" w:type="auto"/>
          </w:tcPr>
          <w:p w14:paraId="40F3AA07" w14:textId="7F65B1A9" w:rsidR="00DA02DC" w:rsidRPr="00B4374F" w:rsidRDefault="00DA02DC" w:rsidP="00B4374F">
            <w:pPr>
              <w:rPr>
                <w:rFonts w:cstheme="minorHAnsi"/>
                <w:color w:val="231F20"/>
              </w:rPr>
            </w:pPr>
            <w:r w:rsidRPr="00B4374F">
              <w:rPr>
                <w:rFonts w:cstheme="minorHAnsi"/>
                <w:color w:val="231F20"/>
              </w:rPr>
              <w:t xml:space="preserve">Comorbidity status, </w:t>
            </w:r>
            <w:r w:rsidRPr="00B4374F">
              <w:rPr>
                <w:rFonts w:cstheme="minorHAnsi"/>
                <w:i/>
                <w:iCs/>
                <w:color w:val="231F20"/>
              </w:rPr>
              <w:t xml:space="preserve">n </w:t>
            </w:r>
            <w:r w:rsidRPr="00B4374F">
              <w:rPr>
                <w:rFonts w:cstheme="minorHAnsi"/>
                <w:color w:val="231F20"/>
              </w:rPr>
              <w:t>(%)</w:t>
            </w:r>
          </w:p>
        </w:tc>
        <w:tc>
          <w:tcPr>
            <w:tcW w:w="0" w:type="auto"/>
          </w:tcPr>
          <w:p w14:paraId="5ECE9E6A" w14:textId="77777777" w:rsidR="00DA02DC" w:rsidRPr="00B4374F" w:rsidRDefault="00DA02DC" w:rsidP="00B4374F">
            <w:pPr>
              <w:rPr>
                <w:rFonts w:cstheme="minorHAnsi"/>
                <w:color w:val="231F20"/>
              </w:rPr>
            </w:pPr>
          </w:p>
        </w:tc>
        <w:tc>
          <w:tcPr>
            <w:tcW w:w="0" w:type="auto"/>
          </w:tcPr>
          <w:p w14:paraId="37A03A79" w14:textId="77777777" w:rsidR="00DA02DC" w:rsidRPr="00B4374F" w:rsidRDefault="00DA02DC" w:rsidP="00B4374F">
            <w:pPr>
              <w:rPr>
                <w:rFonts w:cstheme="minorHAnsi"/>
                <w:color w:val="231F20"/>
              </w:rPr>
            </w:pPr>
          </w:p>
        </w:tc>
        <w:tc>
          <w:tcPr>
            <w:tcW w:w="0" w:type="auto"/>
          </w:tcPr>
          <w:p w14:paraId="18F0185D" w14:textId="126625FD" w:rsidR="00DA02DC" w:rsidRPr="00B4374F" w:rsidRDefault="00DA02DC" w:rsidP="00B4374F">
            <w:pPr>
              <w:rPr>
                <w:rFonts w:cstheme="minorHAnsi"/>
              </w:rPr>
            </w:pPr>
            <w:r w:rsidRPr="00B4374F">
              <w:rPr>
                <w:rFonts w:cstheme="minorHAnsi"/>
                <w:color w:val="231F20"/>
              </w:rPr>
              <w:t>χ</w:t>
            </w:r>
            <w:r w:rsidRPr="00B4374F">
              <w:rPr>
                <w:rFonts w:cstheme="minorHAnsi"/>
                <w:color w:val="231F20"/>
                <w:vertAlign w:val="superscript"/>
              </w:rPr>
              <w:t>2</w:t>
            </w:r>
            <w:r w:rsidRPr="00B4374F">
              <w:rPr>
                <w:rFonts w:cstheme="minorHAnsi"/>
                <w:color w:val="231F20"/>
              </w:rPr>
              <w:t>(1) = 0.42</w:t>
            </w:r>
          </w:p>
        </w:tc>
      </w:tr>
      <w:tr w:rsidR="00DA02DC" w:rsidRPr="00B4374F" w14:paraId="7D048944" w14:textId="77777777" w:rsidTr="002952B0">
        <w:trPr>
          <w:trHeight w:val="226"/>
        </w:trPr>
        <w:tc>
          <w:tcPr>
            <w:tcW w:w="0" w:type="auto"/>
          </w:tcPr>
          <w:p w14:paraId="3A3221B5" w14:textId="77777777" w:rsidR="00564FA1" w:rsidRPr="00B4374F" w:rsidRDefault="00564FA1" w:rsidP="00B4374F">
            <w:pPr>
              <w:rPr>
                <w:rFonts w:cstheme="minorHAnsi"/>
                <w:color w:val="231F20"/>
              </w:rPr>
            </w:pPr>
            <w:r w:rsidRPr="00B4374F">
              <w:rPr>
                <w:rFonts w:cstheme="minorHAnsi"/>
                <w:color w:val="231F20"/>
              </w:rPr>
              <w:t>Yes</w:t>
            </w:r>
          </w:p>
        </w:tc>
        <w:tc>
          <w:tcPr>
            <w:tcW w:w="0" w:type="auto"/>
          </w:tcPr>
          <w:p w14:paraId="3043E3A3" w14:textId="77777777" w:rsidR="00564FA1" w:rsidRPr="00B4374F" w:rsidRDefault="00564FA1" w:rsidP="00B4374F">
            <w:pPr>
              <w:rPr>
                <w:rFonts w:cstheme="minorHAnsi"/>
                <w:color w:val="231F20"/>
              </w:rPr>
            </w:pPr>
            <w:r w:rsidRPr="00B4374F">
              <w:rPr>
                <w:rFonts w:cstheme="minorHAnsi"/>
                <w:color w:val="231F20"/>
              </w:rPr>
              <w:t>8 (25.81)</w:t>
            </w:r>
          </w:p>
        </w:tc>
        <w:tc>
          <w:tcPr>
            <w:tcW w:w="0" w:type="auto"/>
          </w:tcPr>
          <w:p w14:paraId="3780B79C" w14:textId="77777777" w:rsidR="00564FA1" w:rsidRPr="00B4374F" w:rsidRDefault="00564FA1" w:rsidP="00B4374F">
            <w:pPr>
              <w:rPr>
                <w:rFonts w:cstheme="minorHAnsi"/>
                <w:color w:val="231F20"/>
              </w:rPr>
            </w:pPr>
            <w:r w:rsidRPr="00B4374F">
              <w:rPr>
                <w:rFonts w:cstheme="minorHAnsi"/>
                <w:color w:val="231F20"/>
              </w:rPr>
              <w:t>10 (33.33)</w:t>
            </w:r>
          </w:p>
        </w:tc>
        <w:tc>
          <w:tcPr>
            <w:tcW w:w="0" w:type="auto"/>
          </w:tcPr>
          <w:p w14:paraId="6010BBE1" w14:textId="77777777" w:rsidR="00564FA1" w:rsidRPr="00B4374F" w:rsidRDefault="00564FA1" w:rsidP="00B4374F">
            <w:pPr>
              <w:rPr>
                <w:rFonts w:cstheme="minorHAnsi"/>
              </w:rPr>
            </w:pPr>
          </w:p>
        </w:tc>
      </w:tr>
      <w:tr w:rsidR="00DA02DC" w:rsidRPr="00B4374F" w14:paraId="10E34671" w14:textId="77777777" w:rsidTr="002952B0">
        <w:trPr>
          <w:trHeight w:val="222"/>
        </w:trPr>
        <w:tc>
          <w:tcPr>
            <w:tcW w:w="0" w:type="auto"/>
          </w:tcPr>
          <w:p w14:paraId="1B9EC08C" w14:textId="5D01DA5D" w:rsidR="00564FA1" w:rsidRPr="00B4374F" w:rsidRDefault="00564FA1" w:rsidP="00B4374F">
            <w:pPr>
              <w:rPr>
                <w:rFonts w:cstheme="minorHAnsi"/>
                <w:color w:val="231F20"/>
              </w:rPr>
            </w:pPr>
            <w:r w:rsidRPr="00B4374F">
              <w:rPr>
                <w:rFonts w:cstheme="minorHAnsi"/>
                <w:color w:val="231F20"/>
              </w:rPr>
              <w:t>No</w:t>
            </w:r>
          </w:p>
        </w:tc>
        <w:tc>
          <w:tcPr>
            <w:tcW w:w="0" w:type="auto"/>
          </w:tcPr>
          <w:p w14:paraId="344D75C1" w14:textId="77777777" w:rsidR="00564FA1" w:rsidRPr="00B4374F" w:rsidRDefault="00564FA1" w:rsidP="00B4374F">
            <w:pPr>
              <w:rPr>
                <w:rFonts w:cstheme="minorHAnsi"/>
                <w:color w:val="231F20"/>
              </w:rPr>
            </w:pPr>
            <w:r w:rsidRPr="00B4374F">
              <w:rPr>
                <w:rFonts w:cstheme="minorHAnsi"/>
                <w:color w:val="231F20"/>
              </w:rPr>
              <w:t>23 (74.19)</w:t>
            </w:r>
          </w:p>
        </w:tc>
        <w:tc>
          <w:tcPr>
            <w:tcW w:w="0" w:type="auto"/>
          </w:tcPr>
          <w:p w14:paraId="1AAB3E1D" w14:textId="77777777" w:rsidR="00564FA1" w:rsidRPr="00B4374F" w:rsidRDefault="00564FA1" w:rsidP="00B4374F">
            <w:pPr>
              <w:rPr>
                <w:rFonts w:cstheme="minorHAnsi"/>
                <w:color w:val="231F20"/>
              </w:rPr>
            </w:pPr>
            <w:r w:rsidRPr="00B4374F">
              <w:rPr>
                <w:rFonts w:cstheme="minorHAnsi"/>
                <w:color w:val="231F20"/>
              </w:rPr>
              <w:t>20 (66.67)</w:t>
            </w:r>
          </w:p>
        </w:tc>
        <w:tc>
          <w:tcPr>
            <w:tcW w:w="0" w:type="auto"/>
          </w:tcPr>
          <w:p w14:paraId="1948975B" w14:textId="72A54985" w:rsidR="00564FA1" w:rsidRPr="00B4374F" w:rsidRDefault="00564FA1" w:rsidP="00B4374F">
            <w:pPr>
              <w:rPr>
                <w:rFonts w:cstheme="minorHAnsi"/>
                <w:color w:val="231F20"/>
              </w:rPr>
            </w:pPr>
          </w:p>
        </w:tc>
      </w:tr>
      <w:tr w:rsidR="0094086F" w:rsidRPr="00B4374F" w14:paraId="5F2642F8" w14:textId="77777777" w:rsidTr="002952B0">
        <w:trPr>
          <w:trHeight w:val="300"/>
        </w:trPr>
        <w:tc>
          <w:tcPr>
            <w:tcW w:w="0" w:type="auto"/>
          </w:tcPr>
          <w:p w14:paraId="43FF9205" w14:textId="070915DD" w:rsidR="0094086F" w:rsidRPr="00B4374F" w:rsidRDefault="0094086F" w:rsidP="0094086F">
            <w:pPr>
              <w:rPr>
                <w:rFonts w:cstheme="minorHAnsi"/>
                <w:color w:val="231F20"/>
              </w:rPr>
            </w:pPr>
            <w:r w:rsidRPr="00B4374F">
              <w:rPr>
                <w:rFonts w:cstheme="minorHAnsi"/>
                <w:color w:val="231F20"/>
              </w:rPr>
              <w:t xml:space="preserve">Referral source, </w:t>
            </w:r>
            <w:r w:rsidRPr="00B4374F">
              <w:rPr>
                <w:rFonts w:cstheme="minorHAnsi"/>
                <w:i/>
                <w:iCs/>
                <w:color w:val="231F20"/>
              </w:rPr>
              <w:t xml:space="preserve">n </w:t>
            </w:r>
            <w:r w:rsidRPr="00B4374F">
              <w:rPr>
                <w:rFonts w:cstheme="minorHAnsi"/>
                <w:color w:val="231F20"/>
              </w:rPr>
              <w:t>(%)</w:t>
            </w:r>
          </w:p>
        </w:tc>
        <w:tc>
          <w:tcPr>
            <w:tcW w:w="0" w:type="auto"/>
          </w:tcPr>
          <w:p w14:paraId="3E9193C5" w14:textId="77777777" w:rsidR="0094086F" w:rsidRPr="00B4374F" w:rsidRDefault="0094086F" w:rsidP="00B4374F">
            <w:pPr>
              <w:rPr>
                <w:rFonts w:cstheme="minorHAnsi"/>
                <w:color w:val="231F20"/>
              </w:rPr>
            </w:pPr>
          </w:p>
        </w:tc>
        <w:tc>
          <w:tcPr>
            <w:tcW w:w="0" w:type="auto"/>
          </w:tcPr>
          <w:p w14:paraId="71DED11E" w14:textId="77777777" w:rsidR="0094086F" w:rsidRPr="00B4374F" w:rsidRDefault="0094086F" w:rsidP="00B4374F">
            <w:pPr>
              <w:rPr>
                <w:rFonts w:cstheme="minorHAnsi"/>
                <w:color w:val="231F20"/>
              </w:rPr>
            </w:pPr>
          </w:p>
        </w:tc>
        <w:tc>
          <w:tcPr>
            <w:tcW w:w="0" w:type="auto"/>
          </w:tcPr>
          <w:p w14:paraId="0C0962F7" w14:textId="40BCAE6C" w:rsidR="0094086F" w:rsidRPr="00B4374F" w:rsidRDefault="0094086F" w:rsidP="0094086F">
            <w:pPr>
              <w:rPr>
                <w:rFonts w:cstheme="minorHAnsi"/>
              </w:rPr>
            </w:pPr>
            <w:r w:rsidRPr="00B4374F">
              <w:rPr>
                <w:rFonts w:cstheme="minorHAnsi"/>
                <w:color w:val="231F20"/>
              </w:rPr>
              <w:t>χ</w:t>
            </w:r>
            <w:r w:rsidRPr="00B4374F">
              <w:rPr>
                <w:rFonts w:cstheme="minorHAnsi"/>
                <w:color w:val="231F20"/>
                <w:vertAlign w:val="superscript"/>
              </w:rPr>
              <w:t>2</w:t>
            </w:r>
            <w:r w:rsidRPr="00B4374F">
              <w:rPr>
                <w:rFonts w:cstheme="minorHAnsi"/>
                <w:color w:val="231F20"/>
              </w:rPr>
              <w:t>(2) = 0.06</w:t>
            </w:r>
          </w:p>
        </w:tc>
      </w:tr>
      <w:tr w:rsidR="00DA02DC" w:rsidRPr="00B4374F" w14:paraId="33A257BC" w14:textId="77777777" w:rsidTr="002952B0">
        <w:trPr>
          <w:trHeight w:val="226"/>
        </w:trPr>
        <w:tc>
          <w:tcPr>
            <w:tcW w:w="0" w:type="auto"/>
          </w:tcPr>
          <w:p w14:paraId="7A12225B" w14:textId="77777777" w:rsidR="00564FA1" w:rsidRPr="00B4374F" w:rsidRDefault="00564FA1" w:rsidP="00B4374F">
            <w:pPr>
              <w:rPr>
                <w:rFonts w:cstheme="minorHAnsi"/>
                <w:color w:val="231F20"/>
              </w:rPr>
            </w:pPr>
            <w:r w:rsidRPr="00B4374F">
              <w:rPr>
                <w:rFonts w:cstheme="minorHAnsi"/>
                <w:color w:val="231F20"/>
              </w:rPr>
              <w:t>Medical institution</w:t>
            </w:r>
          </w:p>
        </w:tc>
        <w:tc>
          <w:tcPr>
            <w:tcW w:w="0" w:type="auto"/>
          </w:tcPr>
          <w:p w14:paraId="24BCFDF0" w14:textId="77777777" w:rsidR="00564FA1" w:rsidRPr="00B4374F" w:rsidRDefault="00564FA1" w:rsidP="00B4374F">
            <w:pPr>
              <w:rPr>
                <w:rFonts w:cstheme="minorHAnsi"/>
                <w:color w:val="231F20"/>
              </w:rPr>
            </w:pPr>
            <w:r w:rsidRPr="00B4374F">
              <w:rPr>
                <w:rFonts w:cstheme="minorHAnsi"/>
                <w:color w:val="231F20"/>
              </w:rPr>
              <w:t>7 (22.58)</w:t>
            </w:r>
          </w:p>
        </w:tc>
        <w:tc>
          <w:tcPr>
            <w:tcW w:w="0" w:type="auto"/>
          </w:tcPr>
          <w:p w14:paraId="0166A3DA" w14:textId="77777777" w:rsidR="00564FA1" w:rsidRPr="00B4374F" w:rsidRDefault="00564FA1" w:rsidP="00B4374F">
            <w:pPr>
              <w:rPr>
                <w:rFonts w:cstheme="minorHAnsi"/>
                <w:color w:val="231F20"/>
              </w:rPr>
            </w:pPr>
            <w:r w:rsidRPr="00B4374F">
              <w:rPr>
                <w:rFonts w:cstheme="minorHAnsi"/>
                <w:color w:val="231F20"/>
              </w:rPr>
              <w:t>6 (20.00)</w:t>
            </w:r>
          </w:p>
        </w:tc>
        <w:tc>
          <w:tcPr>
            <w:tcW w:w="0" w:type="auto"/>
          </w:tcPr>
          <w:p w14:paraId="59A8967E" w14:textId="77777777" w:rsidR="00564FA1" w:rsidRPr="00B4374F" w:rsidRDefault="00564FA1" w:rsidP="00B4374F">
            <w:pPr>
              <w:rPr>
                <w:rFonts w:cstheme="minorHAnsi"/>
              </w:rPr>
            </w:pPr>
          </w:p>
        </w:tc>
      </w:tr>
      <w:tr w:rsidR="00DA02DC" w:rsidRPr="00B4374F" w14:paraId="79465F32" w14:textId="77777777" w:rsidTr="002952B0">
        <w:trPr>
          <w:trHeight w:val="230"/>
        </w:trPr>
        <w:tc>
          <w:tcPr>
            <w:tcW w:w="0" w:type="auto"/>
          </w:tcPr>
          <w:p w14:paraId="760CA52E" w14:textId="77777777" w:rsidR="00564FA1" w:rsidRPr="00B4374F" w:rsidRDefault="00564FA1" w:rsidP="00B4374F">
            <w:pPr>
              <w:rPr>
                <w:rFonts w:cstheme="minorHAnsi"/>
                <w:color w:val="231F20"/>
              </w:rPr>
            </w:pPr>
            <w:r w:rsidRPr="00B4374F">
              <w:rPr>
                <w:rFonts w:cstheme="minorHAnsi"/>
                <w:color w:val="231F20"/>
              </w:rPr>
              <w:t>School</w:t>
            </w:r>
          </w:p>
        </w:tc>
        <w:tc>
          <w:tcPr>
            <w:tcW w:w="0" w:type="auto"/>
          </w:tcPr>
          <w:p w14:paraId="5E29C667" w14:textId="77777777" w:rsidR="00564FA1" w:rsidRPr="00B4374F" w:rsidRDefault="00564FA1" w:rsidP="00B4374F">
            <w:pPr>
              <w:rPr>
                <w:rFonts w:cstheme="minorHAnsi"/>
                <w:color w:val="231F20"/>
              </w:rPr>
            </w:pPr>
            <w:r w:rsidRPr="00B4374F">
              <w:rPr>
                <w:rFonts w:cstheme="minorHAnsi"/>
                <w:color w:val="231F20"/>
              </w:rPr>
              <w:t>13 (41.94)</w:t>
            </w:r>
          </w:p>
        </w:tc>
        <w:tc>
          <w:tcPr>
            <w:tcW w:w="0" w:type="auto"/>
          </w:tcPr>
          <w:p w14:paraId="03AD3E74" w14:textId="77777777" w:rsidR="00564FA1" w:rsidRPr="00B4374F" w:rsidRDefault="00564FA1" w:rsidP="00B4374F">
            <w:pPr>
              <w:rPr>
                <w:rFonts w:cstheme="minorHAnsi"/>
                <w:color w:val="231F20"/>
              </w:rPr>
            </w:pPr>
            <w:r w:rsidRPr="00B4374F">
              <w:rPr>
                <w:rFonts w:cstheme="minorHAnsi"/>
                <w:color w:val="231F20"/>
              </w:rPr>
              <w:t>13 (43.33)</w:t>
            </w:r>
          </w:p>
        </w:tc>
        <w:tc>
          <w:tcPr>
            <w:tcW w:w="0" w:type="auto"/>
          </w:tcPr>
          <w:p w14:paraId="2841A43C" w14:textId="77777777" w:rsidR="00564FA1" w:rsidRPr="00B4374F" w:rsidRDefault="00564FA1" w:rsidP="00B4374F">
            <w:pPr>
              <w:rPr>
                <w:rFonts w:cstheme="minorHAnsi"/>
              </w:rPr>
            </w:pPr>
          </w:p>
        </w:tc>
      </w:tr>
      <w:tr w:rsidR="00DA02DC" w:rsidRPr="00B4374F" w14:paraId="7413EC83" w14:textId="77777777" w:rsidTr="002952B0">
        <w:trPr>
          <w:trHeight w:val="219"/>
        </w:trPr>
        <w:tc>
          <w:tcPr>
            <w:tcW w:w="0" w:type="auto"/>
          </w:tcPr>
          <w:p w14:paraId="1BBEF35B" w14:textId="77777777" w:rsidR="00564FA1" w:rsidRPr="00B4374F" w:rsidRDefault="00564FA1" w:rsidP="00B4374F">
            <w:pPr>
              <w:rPr>
                <w:rFonts w:cstheme="minorHAnsi"/>
                <w:color w:val="231F20"/>
              </w:rPr>
            </w:pPr>
            <w:r w:rsidRPr="00B4374F">
              <w:rPr>
                <w:rFonts w:cstheme="minorHAnsi"/>
                <w:color w:val="231F20"/>
              </w:rPr>
              <w:t>Self</w:t>
            </w:r>
          </w:p>
        </w:tc>
        <w:tc>
          <w:tcPr>
            <w:tcW w:w="0" w:type="auto"/>
          </w:tcPr>
          <w:p w14:paraId="078ABD02" w14:textId="77777777" w:rsidR="00564FA1" w:rsidRPr="00B4374F" w:rsidRDefault="00564FA1" w:rsidP="00B4374F">
            <w:pPr>
              <w:rPr>
                <w:rFonts w:cstheme="minorHAnsi"/>
                <w:color w:val="231F20"/>
              </w:rPr>
            </w:pPr>
            <w:r w:rsidRPr="00B4374F">
              <w:rPr>
                <w:rFonts w:cstheme="minorHAnsi"/>
                <w:color w:val="231F20"/>
              </w:rPr>
              <w:t>11 (35.48)</w:t>
            </w:r>
          </w:p>
        </w:tc>
        <w:tc>
          <w:tcPr>
            <w:tcW w:w="0" w:type="auto"/>
          </w:tcPr>
          <w:p w14:paraId="7081AC1F" w14:textId="77777777" w:rsidR="00564FA1" w:rsidRPr="00B4374F" w:rsidRDefault="00564FA1" w:rsidP="00B4374F">
            <w:pPr>
              <w:rPr>
                <w:rFonts w:cstheme="minorHAnsi"/>
                <w:color w:val="231F20"/>
              </w:rPr>
            </w:pPr>
            <w:r w:rsidRPr="00B4374F">
              <w:rPr>
                <w:rFonts w:cstheme="minorHAnsi"/>
                <w:color w:val="231F20"/>
              </w:rPr>
              <w:t>11 (36.67)</w:t>
            </w:r>
          </w:p>
        </w:tc>
        <w:tc>
          <w:tcPr>
            <w:tcW w:w="0" w:type="auto"/>
          </w:tcPr>
          <w:p w14:paraId="39B51C85" w14:textId="77777777" w:rsidR="00564FA1" w:rsidRPr="00B4374F" w:rsidRDefault="00564FA1" w:rsidP="00B4374F">
            <w:pPr>
              <w:rPr>
                <w:rFonts w:cstheme="minorHAnsi"/>
              </w:rPr>
            </w:pPr>
          </w:p>
        </w:tc>
      </w:tr>
      <w:tr w:rsidR="00DA02DC" w:rsidRPr="00B4374F" w14:paraId="66ACB044" w14:textId="77777777" w:rsidTr="002952B0">
        <w:trPr>
          <w:trHeight w:val="252"/>
        </w:trPr>
        <w:tc>
          <w:tcPr>
            <w:tcW w:w="0" w:type="auto"/>
          </w:tcPr>
          <w:p w14:paraId="3B654165" w14:textId="02D27CD7" w:rsidR="00564FA1" w:rsidRPr="00B4374F" w:rsidRDefault="00564FA1" w:rsidP="00B4374F">
            <w:pPr>
              <w:rPr>
                <w:rFonts w:cstheme="minorHAnsi"/>
                <w:color w:val="231F20"/>
              </w:rPr>
            </w:pPr>
            <w:r w:rsidRPr="00B4374F">
              <w:rPr>
                <w:rFonts w:cstheme="minorHAnsi"/>
                <w:color w:val="231F20"/>
              </w:rPr>
              <w:t xml:space="preserve">Parent variables </w:t>
            </w:r>
          </w:p>
        </w:tc>
        <w:tc>
          <w:tcPr>
            <w:tcW w:w="0" w:type="auto"/>
          </w:tcPr>
          <w:p w14:paraId="368A976F" w14:textId="77777777" w:rsidR="00564FA1" w:rsidRPr="00B4374F" w:rsidRDefault="00564FA1" w:rsidP="00B4374F">
            <w:pPr>
              <w:rPr>
                <w:rFonts w:cstheme="minorHAnsi"/>
              </w:rPr>
            </w:pPr>
          </w:p>
        </w:tc>
        <w:tc>
          <w:tcPr>
            <w:tcW w:w="0" w:type="auto"/>
          </w:tcPr>
          <w:p w14:paraId="7DE04BB2" w14:textId="77777777" w:rsidR="00564FA1" w:rsidRPr="00B4374F" w:rsidRDefault="00564FA1" w:rsidP="00B4374F">
            <w:pPr>
              <w:rPr>
                <w:rFonts w:cstheme="minorHAnsi"/>
              </w:rPr>
            </w:pPr>
          </w:p>
        </w:tc>
        <w:tc>
          <w:tcPr>
            <w:tcW w:w="0" w:type="auto"/>
          </w:tcPr>
          <w:p w14:paraId="3D93B5A8" w14:textId="28EF3E7B" w:rsidR="00564FA1" w:rsidRPr="00B4374F" w:rsidRDefault="00564FA1" w:rsidP="00B4374F">
            <w:pPr>
              <w:rPr>
                <w:rFonts w:cstheme="minorHAnsi"/>
                <w:color w:val="231F20"/>
              </w:rPr>
            </w:pPr>
          </w:p>
        </w:tc>
      </w:tr>
      <w:tr w:rsidR="00DA02DC" w:rsidRPr="00B4374F" w14:paraId="2D0920D6" w14:textId="77777777" w:rsidTr="002952B0">
        <w:trPr>
          <w:trHeight w:val="270"/>
        </w:trPr>
        <w:tc>
          <w:tcPr>
            <w:tcW w:w="0" w:type="auto"/>
          </w:tcPr>
          <w:p w14:paraId="1618F2B8" w14:textId="7E153DD2" w:rsidR="00DA02DC" w:rsidRPr="00B4374F" w:rsidRDefault="00DA02DC" w:rsidP="00DA02DC">
            <w:pPr>
              <w:rPr>
                <w:rFonts w:cstheme="minorHAnsi"/>
                <w:color w:val="231F20"/>
              </w:rPr>
            </w:pPr>
            <w:r w:rsidRPr="00B4374F">
              <w:rPr>
                <w:rFonts w:cstheme="minorHAnsi"/>
                <w:color w:val="231F20"/>
              </w:rPr>
              <w:t xml:space="preserve">Marital status, </w:t>
            </w:r>
            <w:r w:rsidRPr="00B4374F">
              <w:rPr>
                <w:rFonts w:cstheme="minorHAnsi"/>
                <w:i/>
                <w:iCs/>
                <w:color w:val="231F20"/>
              </w:rPr>
              <w:t xml:space="preserve">n </w:t>
            </w:r>
            <w:r w:rsidRPr="00B4374F">
              <w:rPr>
                <w:rFonts w:cstheme="minorHAnsi"/>
                <w:color w:val="231F20"/>
              </w:rPr>
              <w:t>(%)</w:t>
            </w:r>
          </w:p>
        </w:tc>
        <w:tc>
          <w:tcPr>
            <w:tcW w:w="0" w:type="auto"/>
          </w:tcPr>
          <w:p w14:paraId="56242BBF" w14:textId="77777777" w:rsidR="00DA02DC" w:rsidRPr="00B4374F" w:rsidRDefault="00DA02DC" w:rsidP="00B4374F">
            <w:pPr>
              <w:rPr>
                <w:rFonts w:cstheme="minorHAnsi"/>
              </w:rPr>
            </w:pPr>
          </w:p>
        </w:tc>
        <w:tc>
          <w:tcPr>
            <w:tcW w:w="0" w:type="auto"/>
          </w:tcPr>
          <w:p w14:paraId="44AF335A" w14:textId="77777777" w:rsidR="00DA02DC" w:rsidRPr="00B4374F" w:rsidRDefault="00DA02DC" w:rsidP="00B4374F">
            <w:pPr>
              <w:rPr>
                <w:rFonts w:cstheme="minorHAnsi"/>
              </w:rPr>
            </w:pPr>
          </w:p>
        </w:tc>
        <w:tc>
          <w:tcPr>
            <w:tcW w:w="0" w:type="auto"/>
          </w:tcPr>
          <w:p w14:paraId="1051CBEE" w14:textId="50950E3D" w:rsidR="00DA02DC" w:rsidRPr="00B4374F" w:rsidRDefault="00DA02DC" w:rsidP="00DA02DC">
            <w:pPr>
              <w:rPr>
                <w:rFonts w:cstheme="minorHAnsi"/>
              </w:rPr>
            </w:pPr>
            <w:r w:rsidRPr="00B4374F">
              <w:rPr>
                <w:rFonts w:cstheme="minorHAnsi"/>
                <w:color w:val="231F20"/>
              </w:rPr>
              <w:t>χ</w:t>
            </w:r>
            <w:r w:rsidRPr="00B4374F">
              <w:rPr>
                <w:rFonts w:cstheme="minorHAnsi"/>
                <w:color w:val="231F20"/>
                <w:vertAlign w:val="superscript"/>
              </w:rPr>
              <w:t>2</w:t>
            </w:r>
            <w:r w:rsidRPr="00B4374F">
              <w:rPr>
                <w:rFonts w:cstheme="minorHAnsi"/>
                <w:color w:val="231F20"/>
              </w:rPr>
              <w:t>(1) = 0.84</w:t>
            </w:r>
          </w:p>
        </w:tc>
      </w:tr>
      <w:tr w:rsidR="00DA02DC" w:rsidRPr="00B4374F" w14:paraId="30D66EED" w14:textId="77777777" w:rsidTr="002952B0">
        <w:trPr>
          <w:trHeight w:val="226"/>
        </w:trPr>
        <w:tc>
          <w:tcPr>
            <w:tcW w:w="0" w:type="auto"/>
          </w:tcPr>
          <w:p w14:paraId="09F3106D" w14:textId="77777777" w:rsidR="00564FA1" w:rsidRPr="00B4374F" w:rsidRDefault="00564FA1" w:rsidP="00B4374F">
            <w:pPr>
              <w:rPr>
                <w:rFonts w:cstheme="minorHAnsi"/>
                <w:color w:val="231F20"/>
              </w:rPr>
            </w:pPr>
            <w:r w:rsidRPr="00B4374F">
              <w:rPr>
                <w:rFonts w:cstheme="minorHAnsi"/>
                <w:color w:val="231F20"/>
              </w:rPr>
              <w:t>Married/cohabitating</w:t>
            </w:r>
          </w:p>
        </w:tc>
        <w:tc>
          <w:tcPr>
            <w:tcW w:w="0" w:type="auto"/>
          </w:tcPr>
          <w:p w14:paraId="4CC9D268" w14:textId="77777777" w:rsidR="00564FA1" w:rsidRPr="00B4374F" w:rsidRDefault="00564FA1" w:rsidP="00B4374F">
            <w:pPr>
              <w:rPr>
                <w:rFonts w:cstheme="minorHAnsi"/>
                <w:color w:val="231F20"/>
              </w:rPr>
            </w:pPr>
            <w:r w:rsidRPr="00B4374F">
              <w:rPr>
                <w:rFonts w:cstheme="minorHAnsi"/>
                <w:color w:val="231F20"/>
              </w:rPr>
              <w:t>23 (74.19)</w:t>
            </w:r>
          </w:p>
        </w:tc>
        <w:tc>
          <w:tcPr>
            <w:tcW w:w="0" w:type="auto"/>
          </w:tcPr>
          <w:p w14:paraId="7599AB15" w14:textId="77777777" w:rsidR="00564FA1" w:rsidRPr="00B4374F" w:rsidRDefault="00564FA1" w:rsidP="00B4374F">
            <w:pPr>
              <w:rPr>
                <w:rFonts w:cstheme="minorHAnsi"/>
                <w:color w:val="231F20"/>
              </w:rPr>
            </w:pPr>
            <w:r w:rsidRPr="00B4374F">
              <w:rPr>
                <w:rFonts w:cstheme="minorHAnsi"/>
                <w:color w:val="231F20"/>
              </w:rPr>
              <w:t>19 (63.33)</w:t>
            </w:r>
          </w:p>
        </w:tc>
        <w:tc>
          <w:tcPr>
            <w:tcW w:w="0" w:type="auto"/>
          </w:tcPr>
          <w:p w14:paraId="23453386" w14:textId="77777777" w:rsidR="00564FA1" w:rsidRPr="00B4374F" w:rsidRDefault="00564FA1" w:rsidP="00B4374F">
            <w:pPr>
              <w:rPr>
                <w:rFonts w:cstheme="minorHAnsi"/>
              </w:rPr>
            </w:pPr>
          </w:p>
        </w:tc>
      </w:tr>
      <w:tr w:rsidR="00DA02DC" w:rsidRPr="00B4374F" w14:paraId="54736D5E" w14:textId="77777777" w:rsidTr="002952B0">
        <w:trPr>
          <w:trHeight w:val="223"/>
        </w:trPr>
        <w:tc>
          <w:tcPr>
            <w:tcW w:w="0" w:type="auto"/>
          </w:tcPr>
          <w:p w14:paraId="2D6A4C5F" w14:textId="77777777" w:rsidR="00564FA1" w:rsidRPr="00B4374F" w:rsidRDefault="00564FA1" w:rsidP="00B4374F">
            <w:pPr>
              <w:rPr>
                <w:rFonts w:cstheme="minorHAnsi"/>
                <w:color w:val="231F20"/>
              </w:rPr>
            </w:pPr>
            <w:r w:rsidRPr="00B4374F">
              <w:rPr>
                <w:rFonts w:cstheme="minorHAnsi"/>
                <w:color w:val="231F20"/>
              </w:rPr>
              <w:t>Separated/divorced</w:t>
            </w:r>
          </w:p>
        </w:tc>
        <w:tc>
          <w:tcPr>
            <w:tcW w:w="0" w:type="auto"/>
          </w:tcPr>
          <w:p w14:paraId="62009CEB" w14:textId="77777777" w:rsidR="00564FA1" w:rsidRPr="00B4374F" w:rsidRDefault="00564FA1" w:rsidP="00B4374F">
            <w:pPr>
              <w:rPr>
                <w:rFonts w:cstheme="minorHAnsi"/>
                <w:color w:val="231F20"/>
              </w:rPr>
            </w:pPr>
            <w:r w:rsidRPr="00B4374F">
              <w:rPr>
                <w:rFonts w:cstheme="minorHAnsi"/>
                <w:color w:val="231F20"/>
              </w:rPr>
              <w:t>8 (25.81)</w:t>
            </w:r>
          </w:p>
        </w:tc>
        <w:tc>
          <w:tcPr>
            <w:tcW w:w="0" w:type="auto"/>
          </w:tcPr>
          <w:p w14:paraId="4C90DD5B" w14:textId="77777777" w:rsidR="00564FA1" w:rsidRPr="00B4374F" w:rsidRDefault="00564FA1" w:rsidP="00B4374F">
            <w:pPr>
              <w:rPr>
                <w:rFonts w:cstheme="minorHAnsi"/>
                <w:color w:val="231F20"/>
              </w:rPr>
            </w:pPr>
            <w:r w:rsidRPr="00B4374F">
              <w:rPr>
                <w:rFonts w:cstheme="minorHAnsi"/>
                <w:color w:val="231F20"/>
              </w:rPr>
              <w:t>11 (36.67)</w:t>
            </w:r>
          </w:p>
        </w:tc>
        <w:tc>
          <w:tcPr>
            <w:tcW w:w="0" w:type="auto"/>
          </w:tcPr>
          <w:p w14:paraId="6C88BACE" w14:textId="77777777" w:rsidR="00564FA1" w:rsidRPr="00B4374F" w:rsidRDefault="00564FA1" w:rsidP="00B4374F">
            <w:pPr>
              <w:rPr>
                <w:rFonts w:cstheme="minorHAnsi"/>
              </w:rPr>
            </w:pPr>
          </w:p>
        </w:tc>
      </w:tr>
      <w:tr w:rsidR="00DA02DC" w:rsidRPr="00B4374F" w14:paraId="4046A75E" w14:textId="77777777" w:rsidTr="002952B0">
        <w:trPr>
          <w:trHeight w:val="233"/>
        </w:trPr>
        <w:tc>
          <w:tcPr>
            <w:tcW w:w="0" w:type="auto"/>
          </w:tcPr>
          <w:p w14:paraId="6B3784CA" w14:textId="77777777" w:rsidR="00564FA1" w:rsidRPr="00B4374F" w:rsidRDefault="00564FA1" w:rsidP="00B4374F">
            <w:pPr>
              <w:rPr>
                <w:rFonts w:cstheme="minorHAnsi"/>
                <w:color w:val="231F20"/>
              </w:rPr>
            </w:pPr>
            <w:r w:rsidRPr="00B4374F">
              <w:rPr>
                <w:rFonts w:cstheme="minorHAnsi"/>
                <w:color w:val="231F20"/>
              </w:rPr>
              <w:t xml:space="preserve">Family SES, </w:t>
            </w:r>
            <w:r w:rsidRPr="00B4374F">
              <w:rPr>
                <w:rFonts w:cstheme="minorHAnsi"/>
                <w:i/>
                <w:iCs/>
                <w:color w:val="231F20"/>
              </w:rPr>
              <w:t xml:space="preserve">M </w:t>
            </w:r>
            <w:r w:rsidRPr="00B4374F">
              <w:rPr>
                <w:rFonts w:cstheme="minorHAnsi"/>
                <w:color w:val="231F20"/>
              </w:rPr>
              <w:t>(</w:t>
            </w:r>
            <w:r w:rsidRPr="00B4374F">
              <w:rPr>
                <w:rFonts w:cstheme="minorHAnsi"/>
                <w:i/>
                <w:iCs/>
                <w:color w:val="231F20"/>
              </w:rPr>
              <w:t>SD</w:t>
            </w:r>
            <w:r w:rsidRPr="00B4374F">
              <w:rPr>
                <w:rFonts w:cstheme="minorHAnsi"/>
                <w:color w:val="231F20"/>
              </w:rPr>
              <w:t>)</w:t>
            </w:r>
          </w:p>
        </w:tc>
        <w:tc>
          <w:tcPr>
            <w:tcW w:w="0" w:type="auto"/>
          </w:tcPr>
          <w:p w14:paraId="4BEE2AD3" w14:textId="77777777" w:rsidR="00564FA1" w:rsidRPr="00B4374F" w:rsidRDefault="00564FA1" w:rsidP="00B4374F">
            <w:pPr>
              <w:rPr>
                <w:rFonts w:cstheme="minorHAnsi"/>
                <w:color w:val="231F20"/>
              </w:rPr>
            </w:pPr>
            <w:r w:rsidRPr="00B4374F">
              <w:rPr>
                <w:rFonts w:cstheme="minorHAnsi"/>
                <w:color w:val="231F20"/>
              </w:rPr>
              <w:t>23.47 (11.34)</w:t>
            </w:r>
          </w:p>
        </w:tc>
        <w:tc>
          <w:tcPr>
            <w:tcW w:w="0" w:type="auto"/>
          </w:tcPr>
          <w:p w14:paraId="0AEDBACB" w14:textId="77777777" w:rsidR="00564FA1" w:rsidRPr="00B4374F" w:rsidRDefault="00564FA1" w:rsidP="00B4374F">
            <w:pPr>
              <w:rPr>
                <w:rFonts w:cstheme="minorHAnsi"/>
                <w:color w:val="231F20"/>
              </w:rPr>
            </w:pPr>
            <w:r w:rsidRPr="00B4374F">
              <w:rPr>
                <w:rFonts w:cstheme="minorHAnsi"/>
                <w:color w:val="231F20"/>
              </w:rPr>
              <w:t>23.38 (11.10)</w:t>
            </w:r>
          </w:p>
        </w:tc>
        <w:tc>
          <w:tcPr>
            <w:tcW w:w="0" w:type="auto"/>
          </w:tcPr>
          <w:p w14:paraId="5D23C4ED" w14:textId="77777777" w:rsidR="00564FA1" w:rsidRPr="00B4374F" w:rsidRDefault="00564FA1" w:rsidP="00B4374F">
            <w:pPr>
              <w:rPr>
                <w:rFonts w:cstheme="minorHAnsi"/>
                <w:color w:val="231F20"/>
              </w:rPr>
            </w:pPr>
            <w:proofErr w:type="gramStart"/>
            <w:r w:rsidRPr="00B4374F">
              <w:rPr>
                <w:rFonts w:cstheme="minorHAnsi"/>
                <w:i/>
                <w:iCs/>
                <w:color w:val="231F20"/>
              </w:rPr>
              <w:t>F</w:t>
            </w:r>
            <w:r w:rsidRPr="00B4374F">
              <w:rPr>
                <w:rFonts w:cstheme="minorHAnsi"/>
                <w:color w:val="231F20"/>
              </w:rPr>
              <w:t>(</w:t>
            </w:r>
            <w:proofErr w:type="gramEnd"/>
            <w:r w:rsidRPr="00B4374F">
              <w:rPr>
                <w:rFonts w:cstheme="minorHAnsi"/>
                <w:color w:val="231F20"/>
              </w:rPr>
              <w:t>1, 59) = 0.001</w:t>
            </w:r>
          </w:p>
        </w:tc>
      </w:tr>
      <w:tr w:rsidR="00DA02DC" w:rsidRPr="00B4374F" w14:paraId="2382797A" w14:textId="77777777" w:rsidTr="002952B0">
        <w:trPr>
          <w:trHeight w:val="230"/>
        </w:trPr>
        <w:tc>
          <w:tcPr>
            <w:tcW w:w="0" w:type="auto"/>
          </w:tcPr>
          <w:p w14:paraId="718F90DF" w14:textId="77777777" w:rsidR="00564FA1" w:rsidRPr="00B4374F" w:rsidRDefault="00564FA1" w:rsidP="00B4374F">
            <w:pPr>
              <w:rPr>
                <w:rFonts w:cstheme="minorHAnsi"/>
                <w:color w:val="231F20"/>
              </w:rPr>
            </w:pPr>
            <w:r w:rsidRPr="00B4374F">
              <w:rPr>
                <w:rFonts w:cstheme="minorHAnsi"/>
                <w:color w:val="231F20"/>
              </w:rPr>
              <w:t xml:space="preserve">Mother’s age </w:t>
            </w:r>
            <w:r w:rsidRPr="00B4374F">
              <w:rPr>
                <w:rFonts w:cstheme="minorHAnsi"/>
                <w:i/>
                <w:iCs/>
                <w:color w:val="231F20"/>
              </w:rPr>
              <w:t xml:space="preserve">M </w:t>
            </w:r>
            <w:r w:rsidRPr="00B4374F">
              <w:rPr>
                <w:rFonts w:cstheme="minorHAnsi"/>
                <w:color w:val="231F20"/>
              </w:rPr>
              <w:t>(</w:t>
            </w:r>
            <w:r w:rsidRPr="00B4374F">
              <w:rPr>
                <w:rFonts w:cstheme="minorHAnsi"/>
                <w:i/>
                <w:iCs/>
                <w:color w:val="231F20"/>
              </w:rPr>
              <w:t>SD</w:t>
            </w:r>
            <w:r w:rsidRPr="00B4374F">
              <w:rPr>
                <w:rFonts w:cstheme="minorHAnsi"/>
                <w:color w:val="231F20"/>
              </w:rPr>
              <w:t>)</w:t>
            </w:r>
          </w:p>
        </w:tc>
        <w:tc>
          <w:tcPr>
            <w:tcW w:w="0" w:type="auto"/>
          </w:tcPr>
          <w:p w14:paraId="2BB59F0B" w14:textId="77777777" w:rsidR="00564FA1" w:rsidRPr="00B4374F" w:rsidRDefault="00564FA1" w:rsidP="00B4374F">
            <w:pPr>
              <w:rPr>
                <w:rFonts w:cstheme="minorHAnsi"/>
                <w:color w:val="231F20"/>
              </w:rPr>
            </w:pPr>
            <w:r w:rsidRPr="00B4374F">
              <w:rPr>
                <w:rFonts w:cstheme="minorHAnsi"/>
                <w:color w:val="231F20"/>
              </w:rPr>
              <w:t>34.27 (4.86)</w:t>
            </w:r>
          </w:p>
        </w:tc>
        <w:tc>
          <w:tcPr>
            <w:tcW w:w="0" w:type="auto"/>
          </w:tcPr>
          <w:p w14:paraId="71A32F5A" w14:textId="77777777" w:rsidR="00564FA1" w:rsidRPr="00B4374F" w:rsidRDefault="00564FA1" w:rsidP="00B4374F">
            <w:pPr>
              <w:rPr>
                <w:rFonts w:cstheme="minorHAnsi"/>
                <w:color w:val="231F20"/>
              </w:rPr>
            </w:pPr>
            <w:r w:rsidRPr="00B4374F">
              <w:rPr>
                <w:rFonts w:cstheme="minorHAnsi"/>
                <w:color w:val="231F20"/>
              </w:rPr>
              <w:t>36.40 (4.93)</w:t>
            </w:r>
          </w:p>
        </w:tc>
        <w:tc>
          <w:tcPr>
            <w:tcW w:w="0" w:type="auto"/>
          </w:tcPr>
          <w:p w14:paraId="1C5C7F0B" w14:textId="77777777" w:rsidR="00564FA1" w:rsidRPr="00B4374F" w:rsidRDefault="00564FA1" w:rsidP="00B4374F">
            <w:pPr>
              <w:rPr>
                <w:rFonts w:cstheme="minorHAnsi"/>
                <w:color w:val="231F20"/>
              </w:rPr>
            </w:pPr>
            <w:proofErr w:type="gramStart"/>
            <w:r w:rsidRPr="00B4374F">
              <w:rPr>
                <w:rFonts w:cstheme="minorHAnsi"/>
                <w:i/>
                <w:iCs/>
                <w:color w:val="231F20"/>
              </w:rPr>
              <w:t>F</w:t>
            </w:r>
            <w:r w:rsidRPr="00B4374F">
              <w:rPr>
                <w:rFonts w:cstheme="minorHAnsi"/>
                <w:color w:val="231F20"/>
              </w:rPr>
              <w:t>(</w:t>
            </w:r>
            <w:proofErr w:type="gramEnd"/>
            <w:r w:rsidRPr="00B4374F">
              <w:rPr>
                <w:rFonts w:cstheme="minorHAnsi"/>
                <w:color w:val="231F20"/>
              </w:rPr>
              <w:t>1, 58) = 2.85</w:t>
            </w:r>
          </w:p>
        </w:tc>
      </w:tr>
      <w:tr w:rsidR="00DA02DC" w:rsidRPr="00B4374F" w14:paraId="6B1AB568" w14:textId="77777777" w:rsidTr="002952B0">
        <w:trPr>
          <w:trHeight w:val="270"/>
        </w:trPr>
        <w:tc>
          <w:tcPr>
            <w:tcW w:w="0" w:type="auto"/>
          </w:tcPr>
          <w:p w14:paraId="0D741141" w14:textId="15228BAA" w:rsidR="00564FA1" w:rsidRPr="00B4374F" w:rsidRDefault="00564FA1" w:rsidP="00DA02DC">
            <w:pPr>
              <w:rPr>
                <w:rFonts w:cstheme="minorHAnsi"/>
                <w:color w:val="231F20"/>
              </w:rPr>
            </w:pPr>
            <w:r w:rsidRPr="00B4374F">
              <w:rPr>
                <w:rFonts w:cstheme="minorHAnsi"/>
                <w:color w:val="231F20"/>
              </w:rPr>
              <w:t xml:space="preserve">Father’s age </w:t>
            </w:r>
            <w:r w:rsidRPr="00B4374F">
              <w:rPr>
                <w:rFonts w:cstheme="minorHAnsi"/>
                <w:i/>
                <w:iCs/>
                <w:color w:val="231F20"/>
              </w:rPr>
              <w:t xml:space="preserve">M </w:t>
            </w:r>
            <w:r w:rsidRPr="00B4374F">
              <w:rPr>
                <w:rFonts w:cstheme="minorHAnsi"/>
                <w:color w:val="231F20"/>
              </w:rPr>
              <w:t>(</w:t>
            </w:r>
            <w:r w:rsidRPr="00B4374F">
              <w:rPr>
                <w:rFonts w:cstheme="minorHAnsi"/>
                <w:i/>
                <w:iCs/>
                <w:color w:val="231F20"/>
              </w:rPr>
              <w:t>SD</w:t>
            </w:r>
            <w:r w:rsidRPr="00B4374F">
              <w:rPr>
                <w:rFonts w:cstheme="minorHAnsi"/>
                <w:color w:val="231F20"/>
              </w:rPr>
              <w:t>)</w:t>
            </w:r>
          </w:p>
        </w:tc>
        <w:tc>
          <w:tcPr>
            <w:tcW w:w="0" w:type="auto"/>
          </w:tcPr>
          <w:p w14:paraId="38C6A9DB" w14:textId="77777777" w:rsidR="00564FA1" w:rsidRPr="00B4374F" w:rsidRDefault="00564FA1" w:rsidP="00B4374F">
            <w:pPr>
              <w:rPr>
                <w:rFonts w:cstheme="minorHAnsi"/>
                <w:color w:val="231F20"/>
              </w:rPr>
            </w:pPr>
            <w:r w:rsidRPr="00B4374F">
              <w:rPr>
                <w:rFonts w:cstheme="minorHAnsi"/>
                <w:color w:val="231F20"/>
              </w:rPr>
              <w:t>37.94 (7.12)</w:t>
            </w:r>
          </w:p>
        </w:tc>
        <w:tc>
          <w:tcPr>
            <w:tcW w:w="0" w:type="auto"/>
          </w:tcPr>
          <w:p w14:paraId="386EF5B9" w14:textId="77777777" w:rsidR="00564FA1" w:rsidRPr="00B4374F" w:rsidRDefault="00564FA1" w:rsidP="00B4374F">
            <w:pPr>
              <w:rPr>
                <w:rFonts w:cstheme="minorHAnsi"/>
                <w:color w:val="231F20"/>
              </w:rPr>
            </w:pPr>
            <w:r w:rsidRPr="00B4374F">
              <w:rPr>
                <w:rFonts w:cstheme="minorHAnsi"/>
                <w:color w:val="231F20"/>
              </w:rPr>
              <w:t>40.70 (12.85)</w:t>
            </w:r>
          </w:p>
        </w:tc>
        <w:tc>
          <w:tcPr>
            <w:tcW w:w="0" w:type="auto"/>
          </w:tcPr>
          <w:p w14:paraId="045279E3" w14:textId="557BA0C8" w:rsidR="00564FA1" w:rsidRPr="00B4374F" w:rsidRDefault="00564FA1" w:rsidP="00DA02DC">
            <w:pPr>
              <w:rPr>
                <w:rFonts w:cstheme="minorHAnsi"/>
                <w:color w:val="231F20"/>
              </w:rPr>
            </w:pPr>
            <w:proofErr w:type="gramStart"/>
            <w:r w:rsidRPr="00B4374F">
              <w:rPr>
                <w:rFonts w:cstheme="minorHAnsi"/>
                <w:i/>
                <w:iCs/>
                <w:color w:val="231F20"/>
              </w:rPr>
              <w:t>F</w:t>
            </w:r>
            <w:r w:rsidRPr="00B4374F">
              <w:rPr>
                <w:rFonts w:cstheme="minorHAnsi"/>
                <w:color w:val="231F20"/>
              </w:rPr>
              <w:t>(</w:t>
            </w:r>
            <w:proofErr w:type="gramEnd"/>
            <w:r w:rsidRPr="00B4374F">
              <w:rPr>
                <w:rFonts w:cstheme="minorHAnsi"/>
                <w:color w:val="231F20"/>
              </w:rPr>
              <w:t>1, 25) = 0.52</w:t>
            </w:r>
          </w:p>
        </w:tc>
      </w:tr>
      <w:tr w:rsidR="00DA02DC" w:rsidRPr="00B4374F" w14:paraId="567F5E65" w14:textId="77777777" w:rsidTr="002952B0">
        <w:trPr>
          <w:trHeight w:val="255"/>
        </w:trPr>
        <w:tc>
          <w:tcPr>
            <w:tcW w:w="0" w:type="auto"/>
          </w:tcPr>
          <w:p w14:paraId="4DB7D9A0" w14:textId="48557336" w:rsidR="00DA02DC" w:rsidRPr="00B4374F" w:rsidRDefault="00DA02DC" w:rsidP="00B4374F">
            <w:pPr>
              <w:rPr>
                <w:rFonts w:cstheme="minorHAnsi"/>
                <w:color w:val="231F20"/>
              </w:rPr>
            </w:pPr>
            <w:r w:rsidRPr="00B4374F">
              <w:rPr>
                <w:rFonts w:cstheme="minorHAnsi"/>
                <w:color w:val="231F20"/>
              </w:rPr>
              <w:t xml:space="preserve">Mother’s country of origin, </w:t>
            </w:r>
            <w:r w:rsidRPr="00B4374F">
              <w:rPr>
                <w:rFonts w:cstheme="minorHAnsi"/>
                <w:i/>
                <w:iCs/>
                <w:color w:val="231F20"/>
              </w:rPr>
              <w:t xml:space="preserve">n </w:t>
            </w:r>
            <w:r w:rsidRPr="00B4374F">
              <w:rPr>
                <w:rFonts w:cstheme="minorHAnsi"/>
                <w:color w:val="231F20"/>
              </w:rPr>
              <w:t>(%)</w:t>
            </w:r>
          </w:p>
        </w:tc>
        <w:tc>
          <w:tcPr>
            <w:tcW w:w="0" w:type="auto"/>
          </w:tcPr>
          <w:p w14:paraId="2124A838" w14:textId="77777777" w:rsidR="00DA02DC" w:rsidRPr="00B4374F" w:rsidRDefault="00DA02DC" w:rsidP="00B4374F">
            <w:pPr>
              <w:rPr>
                <w:rFonts w:cstheme="minorHAnsi"/>
                <w:color w:val="231F20"/>
              </w:rPr>
            </w:pPr>
          </w:p>
        </w:tc>
        <w:tc>
          <w:tcPr>
            <w:tcW w:w="0" w:type="auto"/>
          </w:tcPr>
          <w:p w14:paraId="16561EB3" w14:textId="77777777" w:rsidR="00DA02DC" w:rsidRPr="00B4374F" w:rsidRDefault="00DA02DC" w:rsidP="00B4374F">
            <w:pPr>
              <w:rPr>
                <w:rFonts w:cstheme="minorHAnsi"/>
                <w:color w:val="231F20"/>
              </w:rPr>
            </w:pPr>
          </w:p>
        </w:tc>
        <w:tc>
          <w:tcPr>
            <w:tcW w:w="0" w:type="auto"/>
          </w:tcPr>
          <w:p w14:paraId="00E46EE8" w14:textId="57597522" w:rsidR="00DA02DC" w:rsidRPr="00B4374F" w:rsidRDefault="00DA02DC" w:rsidP="00B4374F">
            <w:pPr>
              <w:rPr>
                <w:rFonts w:cstheme="minorHAnsi"/>
                <w:i/>
                <w:iCs/>
                <w:color w:val="231F20"/>
              </w:rPr>
            </w:pPr>
            <w:r w:rsidRPr="00B4374F">
              <w:rPr>
                <w:rFonts w:cstheme="minorHAnsi"/>
                <w:color w:val="231F20"/>
              </w:rPr>
              <w:t>χ</w:t>
            </w:r>
            <w:r w:rsidRPr="00B4374F">
              <w:rPr>
                <w:rFonts w:cstheme="minorHAnsi"/>
                <w:color w:val="231F20"/>
                <w:vertAlign w:val="superscript"/>
              </w:rPr>
              <w:t>2</w:t>
            </w:r>
            <w:r w:rsidRPr="00B4374F">
              <w:rPr>
                <w:rFonts w:cstheme="minorHAnsi"/>
                <w:color w:val="231F20"/>
              </w:rPr>
              <w:t>(2) = 1.18</w:t>
            </w:r>
          </w:p>
        </w:tc>
      </w:tr>
      <w:tr w:rsidR="00DA02DC" w:rsidRPr="00B4374F" w14:paraId="3F934EA4" w14:textId="77777777" w:rsidTr="002952B0">
        <w:trPr>
          <w:trHeight w:val="226"/>
        </w:trPr>
        <w:tc>
          <w:tcPr>
            <w:tcW w:w="0" w:type="auto"/>
          </w:tcPr>
          <w:p w14:paraId="7AAE3C9B" w14:textId="77777777" w:rsidR="00564FA1" w:rsidRPr="00B4374F" w:rsidRDefault="00564FA1" w:rsidP="00B4374F">
            <w:pPr>
              <w:rPr>
                <w:rFonts w:cstheme="minorHAnsi"/>
                <w:color w:val="231F20"/>
              </w:rPr>
            </w:pPr>
            <w:r w:rsidRPr="00B4374F">
              <w:rPr>
                <w:rFonts w:cstheme="minorHAnsi"/>
                <w:color w:val="231F20"/>
              </w:rPr>
              <w:t>Mexico</w:t>
            </w:r>
          </w:p>
        </w:tc>
        <w:tc>
          <w:tcPr>
            <w:tcW w:w="0" w:type="auto"/>
          </w:tcPr>
          <w:p w14:paraId="095800D2" w14:textId="77777777" w:rsidR="00564FA1" w:rsidRPr="00B4374F" w:rsidRDefault="00564FA1" w:rsidP="00B4374F">
            <w:pPr>
              <w:rPr>
                <w:rFonts w:cstheme="minorHAnsi"/>
                <w:color w:val="231F20"/>
              </w:rPr>
            </w:pPr>
            <w:r w:rsidRPr="00B4374F">
              <w:rPr>
                <w:rFonts w:cstheme="minorHAnsi"/>
                <w:color w:val="231F20"/>
              </w:rPr>
              <w:t>23 (76.67)</w:t>
            </w:r>
          </w:p>
        </w:tc>
        <w:tc>
          <w:tcPr>
            <w:tcW w:w="0" w:type="auto"/>
          </w:tcPr>
          <w:p w14:paraId="10242B2B" w14:textId="77777777" w:rsidR="00564FA1" w:rsidRPr="00B4374F" w:rsidRDefault="00564FA1" w:rsidP="00B4374F">
            <w:pPr>
              <w:rPr>
                <w:rFonts w:cstheme="minorHAnsi"/>
                <w:color w:val="231F20"/>
              </w:rPr>
            </w:pPr>
            <w:r w:rsidRPr="00B4374F">
              <w:rPr>
                <w:rFonts w:cstheme="minorHAnsi"/>
                <w:color w:val="231F20"/>
              </w:rPr>
              <w:t>26 (86.67)</w:t>
            </w:r>
          </w:p>
        </w:tc>
        <w:tc>
          <w:tcPr>
            <w:tcW w:w="0" w:type="auto"/>
          </w:tcPr>
          <w:p w14:paraId="5698D0E9" w14:textId="77777777" w:rsidR="00564FA1" w:rsidRPr="00B4374F" w:rsidRDefault="00564FA1" w:rsidP="00B4374F">
            <w:pPr>
              <w:rPr>
                <w:rFonts w:cstheme="minorHAnsi"/>
              </w:rPr>
            </w:pPr>
          </w:p>
        </w:tc>
      </w:tr>
      <w:tr w:rsidR="00DA02DC" w:rsidRPr="00B4374F" w14:paraId="43EBD919" w14:textId="77777777" w:rsidTr="002952B0">
        <w:trPr>
          <w:trHeight w:val="230"/>
        </w:trPr>
        <w:tc>
          <w:tcPr>
            <w:tcW w:w="0" w:type="auto"/>
          </w:tcPr>
          <w:p w14:paraId="113CB4CF" w14:textId="77777777" w:rsidR="00564FA1" w:rsidRPr="00B4374F" w:rsidRDefault="00564FA1" w:rsidP="00B4374F">
            <w:pPr>
              <w:rPr>
                <w:rFonts w:cstheme="minorHAnsi"/>
                <w:color w:val="231F20"/>
              </w:rPr>
            </w:pPr>
            <w:r w:rsidRPr="00B4374F">
              <w:rPr>
                <w:rFonts w:cstheme="minorHAnsi"/>
                <w:color w:val="231F20"/>
              </w:rPr>
              <w:t>Puerto Rico</w:t>
            </w:r>
          </w:p>
        </w:tc>
        <w:tc>
          <w:tcPr>
            <w:tcW w:w="0" w:type="auto"/>
          </w:tcPr>
          <w:p w14:paraId="60F12AC3" w14:textId="77777777" w:rsidR="00564FA1" w:rsidRPr="00B4374F" w:rsidRDefault="00564FA1" w:rsidP="00B4374F">
            <w:pPr>
              <w:rPr>
                <w:rFonts w:cstheme="minorHAnsi"/>
                <w:color w:val="231F20"/>
              </w:rPr>
            </w:pPr>
            <w:r w:rsidRPr="00B4374F">
              <w:rPr>
                <w:rFonts w:cstheme="minorHAnsi"/>
                <w:color w:val="231F20"/>
              </w:rPr>
              <w:t>1 (3.33)</w:t>
            </w:r>
          </w:p>
        </w:tc>
        <w:tc>
          <w:tcPr>
            <w:tcW w:w="0" w:type="auto"/>
          </w:tcPr>
          <w:p w14:paraId="1F025235" w14:textId="77777777" w:rsidR="00564FA1" w:rsidRPr="00B4374F" w:rsidRDefault="00564FA1" w:rsidP="00B4374F">
            <w:pPr>
              <w:rPr>
                <w:rFonts w:cstheme="minorHAnsi"/>
                <w:color w:val="231F20"/>
              </w:rPr>
            </w:pPr>
            <w:r w:rsidRPr="00B4374F">
              <w:rPr>
                <w:rFonts w:cstheme="minorHAnsi"/>
                <w:color w:val="231F20"/>
              </w:rPr>
              <w:t>1 (3.33)</w:t>
            </w:r>
          </w:p>
        </w:tc>
        <w:tc>
          <w:tcPr>
            <w:tcW w:w="0" w:type="auto"/>
          </w:tcPr>
          <w:p w14:paraId="37188D27" w14:textId="77777777" w:rsidR="00564FA1" w:rsidRPr="00B4374F" w:rsidRDefault="00564FA1" w:rsidP="00B4374F">
            <w:pPr>
              <w:rPr>
                <w:rFonts w:cstheme="minorHAnsi"/>
              </w:rPr>
            </w:pPr>
          </w:p>
        </w:tc>
      </w:tr>
      <w:tr w:rsidR="00DA02DC" w:rsidRPr="00B4374F" w14:paraId="792DA1F2" w14:textId="77777777" w:rsidTr="002952B0">
        <w:trPr>
          <w:trHeight w:val="240"/>
        </w:trPr>
        <w:tc>
          <w:tcPr>
            <w:tcW w:w="0" w:type="auto"/>
          </w:tcPr>
          <w:p w14:paraId="4351AF93" w14:textId="41190543" w:rsidR="00564FA1" w:rsidRPr="00B4374F" w:rsidRDefault="00564FA1" w:rsidP="00B4374F">
            <w:pPr>
              <w:rPr>
                <w:rFonts w:cstheme="minorHAnsi"/>
                <w:color w:val="231F20"/>
              </w:rPr>
            </w:pPr>
            <w:r w:rsidRPr="00B4374F">
              <w:rPr>
                <w:rFonts w:cstheme="minorHAnsi"/>
                <w:color w:val="231F20"/>
              </w:rPr>
              <w:t>Other</w:t>
            </w:r>
          </w:p>
        </w:tc>
        <w:tc>
          <w:tcPr>
            <w:tcW w:w="0" w:type="auto"/>
          </w:tcPr>
          <w:p w14:paraId="2FC9822E" w14:textId="77777777" w:rsidR="00564FA1" w:rsidRPr="00B4374F" w:rsidRDefault="00564FA1" w:rsidP="00B4374F">
            <w:pPr>
              <w:rPr>
                <w:rFonts w:cstheme="minorHAnsi"/>
                <w:color w:val="231F20"/>
              </w:rPr>
            </w:pPr>
            <w:r w:rsidRPr="00B4374F">
              <w:rPr>
                <w:rFonts w:cstheme="minorHAnsi"/>
                <w:color w:val="231F20"/>
              </w:rPr>
              <w:t>6 (20.00)</w:t>
            </w:r>
          </w:p>
        </w:tc>
        <w:tc>
          <w:tcPr>
            <w:tcW w:w="0" w:type="auto"/>
          </w:tcPr>
          <w:p w14:paraId="6093E824" w14:textId="77777777" w:rsidR="00564FA1" w:rsidRPr="00B4374F" w:rsidRDefault="00564FA1" w:rsidP="00B4374F">
            <w:pPr>
              <w:rPr>
                <w:rFonts w:cstheme="minorHAnsi"/>
                <w:color w:val="231F20"/>
              </w:rPr>
            </w:pPr>
            <w:r w:rsidRPr="00B4374F">
              <w:rPr>
                <w:rFonts w:cstheme="minorHAnsi"/>
                <w:color w:val="231F20"/>
              </w:rPr>
              <w:t>3 (10.00)</w:t>
            </w:r>
          </w:p>
        </w:tc>
        <w:tc>
          <w:tcPr>
            <w:tcW w:w="0" w:type="auto"/>
          </w:tcPr>
          <w:p w14:paraId="44793687" w14:textId="0AC1DA02" w:rsidR="00564FA1" w:rsidRPr="00B4374F" w:rsidRDefault="00564FA1" w:rsidP="00B4374F">
            <w:pPr>
              <w:rPr>
                <w:rFonts w:cstheme="minorHAnsi"/>
                <w:color w:val="231F20"/>
              </w:rPr>
            </w:pPr>
          </w:p>
        </w:tc>
      </w:tr>
      <w:tr w:rsidR="0094086F" w:rsidRPr="00B4374F" w14:paraId="7B602674" w14:textId="77777777" w:rsidTr="002952B0">
        <w:trPr>
          <w:trHeight w:val="285"/>
        </w:trPr>
        <w:tc>
          <w:tcPr>
            <w:tcW w:w="0" w:type="auto"/>
          </w:tcPr>
          <w:p w14:paraId="6AFDE11B" w14:textId="30C8EF47" w:rsidR="0094086F" w:rsidRPr="00B4374F" w:rsidRDefault="0094086F" w:rsidP="0094086F">
            <w:pPr>
              <w:rPr>
                <w:rFonts w:cstheme="minorHAnsi"/>
                <w:color w:val="231F20"/>
              </w:rPr>
            </w:pPr>
            <w:r w:rsidRPr="00B4374F">
              <w:rPr>
                <w:rFonts w:cstheme="minorHAnsi"/>
                <w:color w:val="231F20"/>
              </w:rPr>
              <w:t xml:space="preserve">Father’s country of origin, </w:t>
            </w:r>
            <w:r w:rsidRPr="00B4374F">
              <w:rPr>
                <w:rFonts w:cstheme="minorHAnsi"/>
                <w:i/>
                <w:iCs/>
                <w:color w:val="231F20"/>
              </w:rPr>
              <w:t xml:space="preserve">n </w:t>
            </w:r>
            <w:r w:rsidRPr="00B4374F">
              <w:rPr>
                <w:rFonts w:cstheme="minorHAnsi"/>
                <w:color w:val="231F20"/>
              </w:rPr>
              <w:t>(%)</w:t>
            </w:r>
          </w:p>
        </w:tc>
        <w:tc>
          <w:tcPr>
            <w:tcW w:w="0" w:type="auto"/>
          </w:tcPr>
          <w:p w14:paraId="28B1BBAD" w14:textId="77777777" w:rsidR="0094086F" w:rsidRPr="00B4374F" w:rsidRDefault="0094086F" w:rsidP="00B4374F">
            <w:pPr>
              <w:rPr>
                <w:rFonts w:cstheme="minorHAnsi"/>
                <w:color w:val="231F20"/>
              </w:rPr>
            </w:pPr>
          </w:p>
        </w:tc>
        <w:tc>
          <w:tcPr>
            <w:tcW w:w="0" w:type="auto"/>
          </w:tcPr>
          <w:p w14:paraId="4579A0DB" w14:textId="77777777" w:rsidR="0094086F" w:rsidRPr="00B4374F" w:rsidRDefault="0094086F" w:rsidP="00B4374F">
            <w:pPr>
              <w:rPr>
                <w:rFonts w:cstheme="minorHAnsi"/>
                <w:color w:val="231F20"/>
              </w:rPr>
            </w:pPr>
          </w:p>
        </w:tc>
        <w:tc>
          <w:tcPr>
            <w:tcW w:w="0" w:type="auto"/>
          </w:tcPr>
          <w:p w14:paraId="661CD68F" w14:textId="4BADA0D8" w:rsidR="0094086F" w:rsidRPr="00B4374F" w:rsidRDefault="0094086F" w:rsidP="0094086F">
            <w:pPr>
              <w:rPr>
                <w:rFonts w:cstheme="minorHAnsi"/>
              </w:rPr>
            </w:pPr>
            <w:r w:rsidRPr="00B4374F">
              <w:rPr>
                <w:rFonts w:cstheme="minorHAnsi"/>
                <w:color w:val="231F20"/>
              </w:rPr>
              <w:t>χ</w:t>
            </w:r>
            <w:r w:rsidRPr="00B4374F">
              <w:rPr>
                <w:rFonts w:cstheme="minorHAnsi"/>
                <w:color w:val="231F20"/>
                <w:vertAlign w:val="superscript"/>
              </w:rPr>
              <w:t>2</w:t>
            </w:r>
            <w:r w:rsidRPr="00B4374F">
              <w:rPr>
                <w:rFonts w:cstheme="minorHAnsi"/>
                <w:color w:val="231F20"/>
              </w:rPr>
              <w:t>(2) = 0.72</w:t>
            </w:r>
          </w:p>
        </w:tc>
      </w:tr>
      <w:tr w:rsidR="00DA02DC" w:rsidRPr="00B4374F" w14:paraId="295D7761" w14:textId="77777777" w:rsidTr="002952B0">
        <w:trPr>
          <w:trHeight w:val="226"/>
        </w:trPr>
        <w:tc>
          <w:tcPr>
            <w:tcW w:w="0" w:type="auto"/>
          </w:tcPr>
          <w:p w14:paraId="66AAB700" w14:textId="77777777" w:rsidR="00564FA1" w:rsidRPr="00B4374F" w:rsidRDefault="00564FA1" w:rsidP="00B4374F">
            <w:pPr>
              <w:rPr>
                <w:rFonts w:cstheme="minorHAnsi"/>
                <w:color w:val="231F20"/>
              </w:rPr>
            </w:pPr>
            <w:r w:rsidRPr="00B4374F">
              <w:rPr>
                <w:rFonts w:cstheme="minorHAnsi"/>
                <w:color w:val="231F20"/>
              </w:rPr>
              <w:t>Mexico</w:t>
            </w:r>
          </w:p>
        </w:tc>
        <w:tc>
          <w:tcPr>
            <w:tcW w:w="0" w:type="auto"/>
          </w:tcPr>
          <w:p w14:paraId="3E3B5F08" w14:textId="77777777" w:rsidR="00564FA1" w:rsidRPr="00B4374F" w:rsidRDefault="00564FA1" w:rsidP="00B4374F">
            <w:pPr>
              <w:rPr>
                <w:rFonts w:cstheme="minorHAnsi"/>
                <w:color w:val="231F20"/>
              </w:rPr>
            </w:pPr>
            <w:r w:rsidRPr="00B4374F">
              <w:rPr>
                <w:rFonts w:cstheme="minorHAnsi"/>
                <w:color w:val="231F20"/>
              </w:rPr>
              <w:t>14 (82.35)</w:t>
            </w:r>
          </w:p>
        </w:tc>
        <w:tc>
          <w:tcPr>
            <w:tcW w:w="0" w:type="auto"/>
          </w:tcPr>
          <w:p w14:paraId="06B97C31" w14:textId="77777777" w:rsidR="00564FA1" w:rsidRPr="00B4374F" w:rsidRDefault="00564FA1" w:rsidP="00B4374F">
            <w:pPr>
              <w:rPr>
                <w:rFonts w:cstheme="minorHAnsi"/>
                <w:color w:val="231F20"/>
              </w:rPr>
            </w:pPr>
            <w:r w:rsidRPr="00B4374F">
              <w:rPr>
                <w:rFonts w:cstheme="minorHAnsi"/>
                <w:color w:val="231F20"/>
              </w:rPr>
              <w:t>9 (90.00)</w:t>
            </w:r>
          </w:p>
        </w:tc>
        <w:tc>
          <w:tcPr>
            <w:tcW w:w="0" w:type="auto"/>
          </w:tcPr>
          <w:p w14:paraId="14DE25D1" w14:textId="77777777" w:rsidR="00564FA1" w:rsidRPr="00B4374F" w:rsidRDefault="00564FA1" w:rsidP="00B4374F">
            <w:pPr>
              <w:rPr>
                <w:rFonts w:cstheme="minorHAnsi"/>
              </w:rPr>
            </w:pPr>
          </w:p>
        </w:tc>
      </w:tr>
      <w:tr w:rsidR="00DA02DC" w:rsidRPr="00B4374F" w14:paraId="1D7C1471" w14:textId="77777777" w:rsidTr="002952B0">
        <w:trPr>
          <w:trHeight w:val="230"/>
        </w:trPr>
        <w:tc>
          <w:tcPr>
            <w:tcW w:w="0" w:type="auto"/>
          </w:tcPr>
          <w:p w14:paraId="01B97D6A" w14:textId="77777777" w:rsidR="00564FA1" w:rsidRPr="00B4374F" w:rsidRDefault="00564FA1" w:rsidP="00B4374F">
            <w:pPr>
              <w:rPr>
                <w:rFonts w:cstheme="minorHAnsi"/>
                <w:color w:val="231F20"/>
              </w:rPr>
            </w:pPr>
            <w:r w:rsidRPr="00B4374F">
              <w:rPr>
                <w:rFonts w:cstheme="minorHAnsi"/>
                <w:color w:val="231F20"/>
              </w:rPr>
              <w:t>Puerto Rico</w:t>
            </w:r>
          </w:p>
        </w:tc>
        <w:tc>
          <w:tcPr>
            <w:tcW w:w="0" w:type="auto"/>
          </w:tcPr>
          <w:p w14:paraId="440CEF53" w14:textId="77777777" w:rsidR="00564FA1" w:rsidRPr="00B4374F" w:rsidRDefault="00564FA1" w:rsidP="00B4374F">
            <w:pPr>
              <w:rPr>
                <w:rFonts w:cstheme="minorHAnsi"/>
                <w:color w:val="231F20"/>
              </w:rPr>
            </w:pPr>
            <w:r w:rsidRPr="00B4374F">
              <w:rPr>
                <w:rFonts w:cstheme="minorHAnsi"/>
                <w:color w:val="231F20"/>
              </w:rPr>
              <w:t>1 (6.25)</w:t>
            </w:r>
          </w:p>
        </w:tc>
        <w:tc>
          <w:tcPr>
            <w:tcW w:w="0" w:type="auto"/>
          </w:tcPr>
          <w:p w14:paraId="3F461640" w14:textId="77777777" w:rsidR="00564FA1" w:rsidRPr="00B4374F" w:rsidRDefault="00564FA1" w:rsidP="00B4374F">
            <w:pPr>
              <w:rPr>
                <w:rFonts w:cstheme="minorHAnsi"/>
                <w:color w:val="231F20"/>
              </w:rPr>
            </w:pPr>
            <w:r w:rsidRPr="00B4374F">
              <w:rPr>
                <w:rFonts w:cstheme="minorHAnsi"/>
                <w:color w:val="231F20"/>
              </w:rPr>
              <w:t>0 (0.00)</w:t>
            </w:r>
          </w:p>
        </w:tc>
        <w:tc>
          <w:tcPr>
            <w:tcW w:w="0" w:type="auto"/>
          </w:tcPr>
          <w:p w14:paraId="7ED07096" w14:textId="77777777" w:rsidR="00564FA1" w:rsidRPr="00B4374F" w:rsidRDefault="00564FA1" w:rsidP="00B4374F">
            <w:pPr>
              <w:rPr>
                <w:rFonts w:cstheme="minorHAnsi"/>
              </w:rPr>
            </w:pPr>
          </w:p>
        </w:tc>
      </w:tr>
      <w:tr w:rsidR="00DA02DC" w:rsidRPr="00B4374F" w14:paraId="1E444352" w14:textId="77777777" w:rsidTr="002952B0">
        <w:trPr>
          <w:trHeight w:val="219"/>
        </w:trPr>
        <w:tc>
          <w:tcPr>
            <w:tcW w:w="0" w:type="auto"/>
          </w:tcPr>
          <w:p w14:paraId="3C2906E5" w14:textId="77777777" w:rsidR="00564FA1" w:rsidRPr="00B4374F" w:rsidRDefault="00564FA1" w:rsidP="00B4374F">
            <w:pPr>
              <w:rPr>
                <w:rFonts w:cstheme="minorHAnsi"/>
                <w:color w:val="231F20"/>
              </w:rPr>
            </w:pPr>
            <w:r w:rsidRPr="00B4374F">
              <w:rPr>
                <w:rFonts w:cstheme="minorHAnsi"/>
                <w:color w:val="231F20"/>
              </w:rPr>
              <w:t>Other</w:t>
            </w:r>
          </w:p>
        </w:tc>
        <w:tc>
          <w:tcPr>
            <w:tcW w:w="0" w:type="auto"/>
          </w:tcPr>
          <w:p w14:paraId="0CFA62D9" w14:textId="77777777" w:rsidR="00564FA1" w:rsidRPr="00B4374F" w:rsidRDefault="00564FA1" w:rsidP="00B4374F">
            <w:pPr>
              <w:rPr>
                <w:rFonts w:cstheme="minorHAnsi"/>
                <w:color w:val="231F20"/>
              </w:rPr>
            </w:pPr>
            <w:r w:rsidRPr="00B4374F">
              <w:rPr>
                <w:rFonts w:cstheme="minorHAnsi"/>
                <w:color w:val="231F20"/>
              </w:rPr>
              <w:t>2 (12.50)</w:t>
            </w:r>
          </w:p>
        </w:tc>
        <w:tc>
          <w:tcPr>
            <w:tcW w:w="0" w:type="auto"/>
          </w:tcPr>
          <w:p w14:paraId="7CAEE8A2" w14:textId="77777777" w:rsidR="00564FA1" w:rsidRPr="00B4374F" w:rsidRDefault="00564FA1" w:rsidP="00B4374F">
            <w:pPr>
              <w:rPr>
                <w:rFonts w:cstheme="minorHAnsi"/>
                <w:color w:val="231F20"/>
              </w:rPr>
            </w:pPr>
            <w:r w:rsidRPr="00B4374F">
              <w:rPr>
                <w:rFonts w:cstheme="minorHAnsi"/>
                <w:color w:val="231F20"/>
              </w:rPr>
              <w:t>1 (10.00)</w:t>
            </w:r>
          </w:p>
        </w:tc>
        <w:tc>
          <w:tcPr>
            <w:tcW w:w="0" w:type="auto"/>
          </w:tcPr>
          <w:p w14:paraId="5D1F8BD5" w14:textId="77777777" w:rsidR="00564FA1" w:rsidRPr="00B4374F" w:rsidRDefault="00564FA1" w:rsidP="00B4374F">
            <w:pPr>
              <w:rPr>
                <w:rFonts w:cstheme="minorHAnsi"/>
              </w:rPr>
            </w:pPr>
          </w:p>
        </w:tc>
      </w:tr>
      <w:tr w:rsidR="00DA02DC" w:rsidRPr="00B4374F" w14:paraId="35ED1A0C" w14:textId="77777777" w:rsidTr="002952B0">
        <w:trPr>
          <w:trHeight w:val="230"/>
        </w:trPr>
        <w:tc>
          <w:tcPr>
            <w:tcW w:w="0" w:type="auto"/>
          </w:tcPr>
          <w:p w14:paraId="3BD76B91" w14:textId="77777777" w:rsidR="00564FA1" w:rsidRPr="00B4374F" w:rsidRDefault="00564FA1" w:rsidP="00B4374F">
            <w:pPr>
              <w:rPr>
                <w:rFonts w:cstheme="minorHAnsi"/>
                <w:color w:val="231F20"/>
              </w:rPr>
            </w:pPr>
            <w:r w:rsidRPr="00B4374F">
              <w:rPr>
                <w:rFonts w:cstheme="minorHAnsi"/>
                <w:color w:val="231F20"/>
              </w:rPr>
              <w:t xml:space="preserve">Mother acculturation, </w:t>
            </w:r>
            <w:r w:rsidRPr="00B4374F">
              <w:rPr>
                <w:rFonts w:cstheme="minorHAnsi"/>
                <w:i/>
                <w:iCs/>
                <w:color w:val="231F20"/>
              </w:rPr>
              <w:t xml:space="preserve">M </w:t>
            </w:r>
            <w:r w:rsidRPr="00B4374F">
              <w:rPr>
                <w:rFonts w:cstheme="minorHAnsi"/>
                <w:color w:val="231F20"/>
              </w:rPr>
              <w:t>(</w:t>
            </w:r>
            <w:r w:rsidRPr="00B4374F">
              <w:rPr>
                <w:rFonts w:cstheme="minorHAnsi"/>
                <w:i/>
                <w:iCs/>
                <w:color w:val="231F20"/>
              </w:rPr>
              <w:t>SD</w:t>
            </w:r>
            <w:r w:rsidRPr="00B4374F">
              <w:rPr>
                <w:rFonts w:cstheme="minorHAnsi"/>
                <w:color w:val="231F20"/>
              </w:rPr>
              <w:t>)</w:t>
            </w:r>
          </w:p>
        </w:tc>
        <w:tc>
          <w:tcPr>
            <w:tcW w:w="0" w:type="auto"/>
          </w:tcPr>
          <w:p w14:paraId="52467E27" w14:textId="77777777" w:rsidR="00564FA1" w:rsidRPr="00B4374F" w:rsidRDefault="00564FA1" w:rsidP="00B4374F">
            <w:pPr>
              <w:rPr>
                <w:rFonts w:cstheme="minorHAnsi"/>
              </w:rPr>
            </w:pPr>
          </w:p>
        </w:tc>
        <w:tc>
          <w:tcPr>
            <w:tcW w:w="0" w:type="auto"/>
          </w:tcPr>
          <w:p w14:paraId="75628E42" w14:textId="77777777" w:rsidR="00564FA1" w:rsidRPr="00B4374F" w:rsidRDefault="00564FA1" w:rsidP="00B4374F">
            <w:pPr>
              <w:rPr>
                <w:rFonts w:cstheme="minorHAnsi"/>
              </w:rPr>
            </w:pPr>
          </w:p>
        </w:tc>
        <w:tc>
          <w:tcPr>
            <w:tcW w:w="0" w:type="auto"/>
          </w:tcPr>
          <w:p w14:paraId="60F86FFD" w14:textId="77777777" w:rsidR="00564FA1" w:rsidRPr="00B4374F" w:rsidRDefault="00564FA1" w:rsidP="00B4374F">
            <w:pPr>
              <w:rPr>
                <w:rFonts w:cstheme="minorHAnsi"/>
              </w:rPr>
            </w:pPr>
          </w:p>
        </w:tc>
      </w:tr>
      <w:tr w:rsidR="00DA02DC" w:rsidRPr="00B4374F" w14:paraId="0EA284B7" w14:textId="77777777" w:rsidTr="002952B0">
        <w:trPr>
          <w:trHeight w:val="238"/>
        </w:trPr>
        <w:tc>
          <w:tcPr>
            <w:tcW w:w="0" w:type="auto"/>
          </w:tcPr>
          <w:p w14:paraId="640D0FBB" w14:textId="77777777" w:rsidR="00564FA1" w:rsidRPr="00B4374F" w:rsidRDefault="00564FA1" w:rsidP="00B4374F">
            <w:pPr>
              <w:rPr>
                <w:rFonts w:cstheme="minorHAnsi"/>
                <w:color w:val="231F20"/>
              </w:rPr>
            </w:pPr>
            <w:r w:rsidRPr="00B4374F">
              <w:rPr>
                <w:rFonts w:cstheme="minorHAnsi"/>
                <w:color w:val="231F20"/>
              </w:rPr>
              <w:t>MOS/LOS</w:t>
            </w:r>
          </w:p>
        </w:tc>
        <w:tc>
          <w:tcPr>
            <w:tcW w:w="0" w:type="auto"/>
          </w:tcPr>
          <w:p w14:paraId="64215CD0" w14:textId="77777777" w:rsidR="00564FA1" w:rsidRPr="00B4374F" w:rsidRDefault="00564FA1" w:rsidP="00B4374F">
            <w:pPr>
              <w:rPr>
                <w:rFonts w:cstheme="minorHAnsi"/>
                <w:color w:val="231F20"/>
              </w:rPr>
            </w:pPr>
            <w:r w:rsidRPr="00B4374F">
              <w:rPr>
                <w:rFonts w:cstheme="minorHAnsi"/>
                <w:color w:val="231F20"/>
              </w:rPr>
              <w:t>4.41 (0.48)</w:t>
            </w:r>
          </w:p>
        </w:tc>
        <w:tc>
          <w:tcPr>
            <w:tcW w:w="0" w:type="auto"/>
          </w:tcPr>
          <w:p w14:paraId="6EF27645" w14:textId="77777777" w:rsidR="00564FA1" w:rsidRPr="00B4374F" w:rsidRDefault="00564FA1" w:rsidP="00B4374F">
            <w:pPr>
              <w:rPr>
                <w:rFonts w:cstheme="minorHAnsi"/>
                <w:color w:val="231F20"/>
              </w:rPr>
            </w:pPr>
            <w:r w:rsidRPr="00B4374F">
              <w:rPr>
                <w:rFonts w:cstheme="minorHAnsi"/>
                <w:color w:val="231F20"/>
              </w:rPr>
              <w:t>4.51 (0.42)</w:t>
            </w:r>
          </w:p>
        </w:tc>
        <w:tc>
          <w:tcPr>
            <w:tcW w:w="0" w:type="auto"/>
          </w:tcPr>
          <w:p w14:paraId="66B025AE" w14:textId="77777777" w:rsidR="00564FA1" w:rsidRPr="00B4374F" w:rsidRDefault="00564FA1" w:rsidP="00B4374F">
            <w:pPr>
              <w:rPr>
                <w:rFonts w:cstheme="minorHAnsi"/>
                <w:color w:val="231F20"/>
              </w:rPr>
            </w:pPr>
            <w:proofErr w:type="gramStart"/>
            <w:r w:rsidRPr="00B4374F">
              <w:rPr>
                <w:rFonts w:cstheme="minorHAnsi"/>
                <w:i/>
                <w:iCs/>
                <w:color w:val="231F20"/>
              </w:rPr>
              <w:t>F</w:t>
            </w:r>
            <w:r w:rsidRPr="00B4374F">
              <w:rPr>
                <w:rFonts w:cstheme="minorHAnsi"/>
                <w:color w:val="231F20"/>
              </w:rPr>
              <w:t>(</w:t>
            </w:r>
            <w:proofErr w:type="gramEnd"/>
            <w:r w:rsidRPr="00B4374F">
              <w:rPr>
                <w:rFonts w:cstheme="minorHAnsi"/>
                <w:color w:val="231F20"/>
              </w:rPr>
              <w:t>1, 58) = 0.82</w:t>
            </w:r>
          </w:p>
        </w:tc>
      </w:tr>
      <w:tr w:rsidR="00DA02DC" w:rsidRPr="00B4374F" w14:paraId="4EB36EC3" w14:textId="77777777" w:rsidTr="002952B0">
        <w:trPr>
          <w:trHeight w:val="230"/>
        </w:trPr>
        <w:tc>
          <w:tcPr>
            <w:tcW w:w="0" w:type="auto"/>
          </w:tcPr>
          <w:p w14:paraId="0BCA27AA" w14:textId="77777777" w:rsidR="00564FA1" w:rsidRPr="00B4374F" w:rsidRDefault="00564FA1" w:rsidP="00B4374F">
            <w:pPr>
              <w:rPr>
                <w:rFonts w:cstheme="minorHAnsi"/>
                <w:color w:val="231F20"/>
              </w:rPr>
            </w:pPr>
            <w:r w:rsidRPr="00B4374F">
              <w:rPr>
                <w:rFonts w:cstheme="minorHAnsi"/>
                <w:color w:val="231F20"/>
              </w:rPr>
              <w:t>LAV</w:t>
            </w:r>
          </w:p>
        </w:tc>
        <w:tc>
          <w:tcPr>
            <w:tcW w:w="0" w:type="auto"/>
          </w:tcPr>
          <w:p w14:paraId="65606DA9" w14:textId="77777777" w:rsidR="00564FA1" w:rsidRPr="00B4374F" w:rsidRDefault="00564FA1" w:rsidP="00B4374F">
            <w:pPr>
              <w:rPr>
                <w:rFonts w:cstheme="minorHAnsi"/>
                <w:color w:val="231F20"/>
              </w:rPr>
            </w:pPr>
            <w:r w:rsidRPr="00B4374F">
              <w:rPr>
                <w:rFonts w:cstheme="minorHAnsi"/>
                <w:color w:val="231F20"/>
              </w:rPr>
              <w:t>3.94 (0.37)</w:t>
            </w:r>
          </w:p>
        </w:tc>
        <w:tc>
          <w:tcPr>
            <w:tcW w:w="0" w:type="auto"/>
          </w:tcPr>
          <w:p w14:paraId="3F5BE27B" w14:textId="77777777" w:rsidR="00564FA1" w:rsidRPr="00B4374F" w:rsidRDefault="00564FA1" w:rsidP="00B4374F">
            <w:pPr>
              <w:rPr>
                <w:rFonts w:cstheme="minorHAnsi"/>
                <w:color w:val="231F20"/>
              </w:rPr>
            </w:pPr>
            <w:r w:rsidRPr="00B4374F">
              <w:rPr>
                <w:rFonts w:cstheme="minorHAnsi"/>
                <w:color w:val="231F20"/>
              </w:rPr>
              <w:t>3.93 (0.53)</w:t>
            </w:r>
          </w:p>
        </w:tc>
        <w:tc>
          <w:tcPr>
            <w:tcW w:w="0" w:type="auto"/>
          </w:tcPr>
          <w:p w14:paraId="430C6CB7" w14:textId="77777777" w:rsidR="00564FA1" w:rsidRPr="00B4374F" w:rsidRDefault="00564FA1" w:rsidP="00B4374F">
            <w:pPr>
              <w:rPr>
                <w:rFonts w:cstheme="minorHAnsi"/>
                <w:color w:val="231F20"/>
              </w:rPr>
            </w:pPr>
            <w:proofErr w:type="gramStart"/>
            <w:r w:rsidRPr="00B4374F">
              <w:rPr>
                <w:rFonts w:cstheme="minorHAnsi"/>
                <w:i/>
                <w:iCs/>
                <w:color w:val="231F20"/>
              </w:rPr>
              <w:t>F</w:t>
            </w:r>
            <w:r w:rsidRPr="00B4374F">
              <w:rPr>
                <w:rFonts w:cstheme="minorHAnsi"/>
                <w:color w:val="231F20"/>
              </w:rPr>
              <w:t>(</w:t>
            </w:r>
            <w:proofErr w:type="gramEnd"/>
            <w:r w:rsidRPr="00B4374F">
              <w:rPr>
                <w:rFonts w:cstheme="minorHAnsi"/>
                <w:color w:val="231F20"/>
              </w:rPr>
              <w:t>1, 58) = 0.02</w:t>
            </w:r>
          </w:p>
        </w:tc>
      </w:tr>
      <w:tr w:rsidR="00DA02DC" w:rsidRPr="00B4374F" w14:paraId="22B99C58" w14:textId="77777777" w:rsidTr="002952B0">
        <w:trPr>
          <w:trHeight w:val="230"/>
        </w:trPr>
        <w:tc>
          <w:tcPr>
            <w:tcW w:w="0" w:type="auto"/>
          </w:tcPr>
          <w:p w14:paraId="54AD1737" w14:textId="77777777" w:rsidR="00564FA1" w:rsidRPr="00B4374F" w:rsidRDefault="00564FA1" w:rsidP="00B4374F">
            <w:pPr>
              <w:rPr>
                <w:rFonts w:cstheme="minorHAnsi"/>
                <w:color w:val="231F20"/>
              </w:rPr>
            </w:pPr>
            <w:r w:rsidRPr="00B4374F">
              <w:rPr>
                <w:rFonts w:cstheme="minorHAnsi"/>
                <w:color w:val="231F20"/>
              </w:rPr>
              <w:t>AOS</w:t>
            </w:r>
          </w:p>
        </w:tc>
        <w:tc>
          <w:tcPr>
            <w:tcW w:w="0" w:type="auto"/>
          </w:tcPr>
          <w:p w14:paraId="0F6073CC" w14:textId="77777777" w:rsidR="00564FA1" w:rsidRPr="00B4374F" w:rsidRDefault="00564FA1" w:rsidP="00B4374F">
            <w:pPr>
              <w:rPr>
                <w:rFonts w:cstheme="minorHAnsi"/>
                <w:color w:val="231F20"/>
              </w:rPr>
            </w:pPr>
            <w:r w:rsidRPr="00B4374F">
              <w:rPr>
                <w:rFonts w:cstheme="minorHAnsi"/>
                <w:color w:val="231F20"/>
              </w:rPr>
              <w:t>2.52 (0.84)</w:t>
            </w:r>
          </w:p>
        </w:tc>
        <w:tc>
          <w:tcPr>
            <w:tcW w:w="0" w:type="auto"/>
          </w:tcPr>
          <w:p w14:paraId="02471249" w14:textId="77777777" w:rsidR="00564FA1" w:rsidRPr="00B4374F" w:rsidRDefault="00564FA1" w:rsidP="00B4374F">
            <w:pPr>
              <w:rPr>
                <w:rFonts w:cstheme="minorHAnsi"/>
                <w:color w:val="231F20"/>
              </w:rPr>
            </w:pPr>
            <w:r w:rsidRPr="00B4374F">
              <w:rPr>
                <w:rFonts w:cstheme="minorHAnsi"/>
                <w:color w:val="231F20"/>
              </w:rPr>
              <w:t>2.36 (0.90)</w:t>
            </w:r>
          </w:p>
        </w:tc>
        <w:tc>
          <w:tcPr>
            <w:tcW w:w="0" w:type="auto"/>
          </w:tcPr>
          <w:p w14:paraId="7B951E55" w14:textId="77777777" w:rsidR="00564FA1" w:rsidRPr="00B4374F" w:rsidRDefault="00564FA1" w:rsidP="00B4374F">
            <w:pPr>
              <w:rPr>
                <w:rFonts w:cstheme="minorHAnsi"/>
                <w:color w:val="231F20"/>
              </w:rPr>
            </w:pPr>
            <w:proofErr w:type="gramStart"/>
            <w:r w:rsidRPr="00B4374F">
              <w:rPr>
                <w:rFonts w:cstheme="minorHAnsi"/>
                <w:i/>
                <w:iCs/>
                <w:color w:val="231F20"/>
              </w:rPr>
              <w:t>F</w:t>
            </w:r>
            <w:r w:rsidRPr="00B4374F">
              <w:rPr>
                <w:rFonts w:cstheme="minorHAnsi"/>
                <w:color w:val="231F20"/>
              </w:rPr>
              <w:t>(</w:t>
            </w:r>
            <w:proofErr w:type="gramEnd"/>
            <w:r w:rsidRPr="00B4374F">
              <w:rPr>
                <w:rFonts w:cstheme="minorHAnsi"/>
                <w:color w:val="231F20"/>
              </w:rPr>
              <w:t>1, 58) = 0.50</w:t>
            </w:r>
          </w:p>
        </w:tc>
      </w:tr>
      <w:tr w:rsidR="00DA02DC" w:rsidRPr="00B4374F" w14:paraId="0332FC06" w14:textId="77777777" w:rsidTr="002952B0">
        <w:trPr>
          <w:trHeight w:val="229"/>
        </w:trPr>
        <w:tc>
          <w:tcPr>
            <w:tcW w:w="0" w:type="auto"/>
          </w:tcPr>
          <w:p w14:paraId="45AF90F1" w14:textId="77777777" w:rsidR="00564FA1" w:rsidRPr="00B4374F" w:rsidRDefault="00564FA1" w:rsidP="00B4374F">
            <w:pPr>
              <w:rPr>
                <w:rFonts w:cstheme="minorHAnsi"/>
                <w:color w:val="231F20"/>
              </w:rPr>
            </w:pPr>
            <w:r w:rsidRPr="00B4374F">
              <w:rPr>
                <w:rFonts w:cstheme="minorHAnsi"/>
                <w:color w:val="231F20"/>
              </w:rPr>
              <w:t>MV</w:t>
            </w:r>
          </w:p>
        </w:tc>
        <w:tc>
          <w:tcPr>
            <w:tcW w:w="0" w:type="auto"/>
          </w:tcPr>
          <w:p w14:paraId="7B58577F" w14:textId="77777777" w:rsidR="00564FA1" w:rsidRPr="00B4374F" w:rsidRDefault="00564FA1" w:rsidP="00B4374F">
            <w:pPr>
              <w:rPr>
                <w:rFonts w:cstheme="minorHAnsi"/>
                <w:color w:val="231F20"/>
              </w:rPr>
            </w:pPr>
            <w:r w:rsidRPr="00B4374F">
              <w:rPr>
                <w:rFonts w:cstheme="minorHAnsi"/>
                <w:color w:val="231F20"/>
              </w:rPr>
              <w:t>2.78 (0.50)</w:t>
            </w:r>
          </w:p>
        </w:tc>
        <w:tc>
          <w:tcPr>
            <w:tcW w:w="0" w:type="auto"/>
          </w:tcPr>
          <w:p w14:paraId="07219D33" w14:textId="77777777" w:rsidR="00564FA1" w:rsidRPr="00B4374F" w:rsidRDefault="00564FA1" w:rsidP="00B4374F">
            <w:pPr>
              <w:rPr>
                <w:rFonts w:cstheme="minorHAnsi"/>
                <w:color w:val="231F20"/>
              </w:rPr>
            </w:pPr>
            <w:r w:rsidRPr="00B4374F">
              <w:rPr>
                <w:rFonts w:cstheme="minorHAnsi"/>
                <w:color w:val="231F20"/>
              </w:rPr>
              <w:t>2.83 (0.60)</w:t>
            </w:r>
          </w:p>
        </w:tc>
        <w:tc>
          <w:tcPr>
            <w:tcW w:w="0" w:type="auto"/>
          </w:tcPr>
          <w:p w14:paraId="2F985CF5" w14:textId="77777777" w:rsidR="00564FA1" w:rsidRPr="00B4374F" w:rsidRDefault="00564FA1" w:rsidP="00B4374F">
            <w:pPr>
              <w:rPr>
                <w:rFonts w:cstheme="minorHAnsi"/>
                <w:color w:val="231F20"/>
              </w:rPr>
            </w:pPr>
            <w:proofErr w:type="gramStart"/>
            <w:r w:rsidRPr="00B4374F">
              <w:rPr>
                <w:rFonts w:cstheme="minorHAnsi"/>
                <w:i/>
                <w:iCs/>
                <w:color w:val="231F20"/>
              </w:rPr>
              <w:t>F</w:t>
            </w:r>
            <w:r w:rsidRPr="00B4374F">
              <w:rPr>
                <w:rFonts w:cstheme="minorHAnsi"/>
                <w:color w:val="231F20"/>
              </w:rPr>
              <w:t>(</w:t>
            </w:r>
            <w:proofErr w:type="gramEnd"/>
            <w:r w:rsidRPr="00B4374F">
              <w:rPr>
                <w:rFonts w:cstheme="minorHAnsi"/>
                <w:color w:val="231F20"/>
              </w:rPr>
              <w:t>1, 58) = 0.12</w:t>
            </w:r>
          </w:p>
        </w:tc>
      </w:tr>
      <w:tr w:rsidR="00DA02DC" w:rsidRPr="00B4374F" w14:paraId="1A1AC570" w14:textId="77777777" w:rsidTr="002952B0">
        <w:trPr>
          <w:trHeight w:val="222"/>
        </w:trPr>
        <w:tc>
          <w:tcPr>
            <w:tcW w:w="0" w:type="auto"/>
          </w:tcPr>
          <w:p w14:paraId="55FB1D90" w14:textId="77777777" w:rsidR="00564FA1" w:rsidRPr="00B4374F" w:rsidRDefault="00564FA1" w:rsidP="00B4374F">
            <w:pPr>
              <w:rPr>
                <w:rFonts w:cstheme="minorHAnsi"/>
                <w:color w:val="231F20"/>
              </w:rPr>
            </w:pPr>
            <w:r w:rsidRPr="00B4374F">
              <w:rPr>
                <w:rFonts w:cstheme="minorHAnsi"/>
                <w:color w:val="231F20"/>
              </w:rPr>
              <w:t xml:space="preserve">Father acculturation, </w:t>
            </w:r>
            <w:r w:rsidRPr="00B4374F">
              <w:rPr>
                <w:rFonts w:cstheme="minorHAnsi"/>
                <w:i/>
                <w:iCs/>
                <w:color w:val="231F20"/>
              </w:rPr>
              <w:t xml:space="preserve">M </w:t>
            </w:r>
            <w:r w:rsidRPr="00B4374F">
              <w:rPr>
                <w:rFonts w:cstheme="minorHAnsi"/>
                <w:color w:val="231F20"/>
              </w:rPr>
              <w:t>(</w:t>
            </w:r>
            <w:r w:rsidRPr="00B4374F">
              <w:rPr>
                <w:rFonts w:cstheme="minorHAnsi"/>
                <w:i/>
                <w:iCs/>
                <w:color w:val="231F20"/>
              </w:rPr>
              <w:t>SD</w:t>
            </w:r>
            <w:r w:rsidRPr="00B4374F">
              <w:rPr>
                <w:rFonts w:cstheme="minorHAnsi"/>
                <w:color w:val="231F20"/>
              </w:rPr>
              <w:t>)</w:t>
            </w:r>
          </w:p>
        </w:tc>
        <w:tc>
          <w:tcPr>
            <w:tcW w:w="0" w:type="auto"/>
          </w:tcPr>
          <w:p w14:paraId="1DA9FDAD" w14:textId="77777777" w:rsidR="00564FA1" w:rsidRPr="00B4374F" w:rsidRDefault="00564FA1" w:rsidP="00B4374F">
            <w:pPr>
              <w:rPr>
                <w:rFonts w:cstheme="minorHAnsi"/>
              </w:rPr>
            </w:pPr>
          </w:p>
        </w:tc>
        <w:tc>
          <w:tcPr>
            <w:tcW w:w="0" w:type="auto"/>
          </w:tcPr>
          <w:p w14:paraId="1D759098" w14:textId="77777777" w:rsidR="00564FA1" w:rsidRPr="00B4374F" w:rsidRDefault="00564FA1" w:rsidP="00B4374F">
            <w:pPr>
              <w:rPr>
                <w:rFonts w:cstheme="minorHAnsi"/>
              </w:rPr>
            </w:pPr>
          </w:p>
        </w:tc>
        <w:tc>
          <w:tcPr>
            <w:tcW w:w="0" w:type="auto"/>
          </w:tcPr>
          <w:p w14:paraId="4238DA48" w14:textId="77777777" w:rsidR="00564FA1" w:rsidRPr="00B4374F" w:rsidRDefault="00564FA1" w:rsidP="00B4374F">
            <w:pPr>
              <w:rPr>
                <w:rFonts w:cstheme="minorHAnsi"/>
              </w:rPr>
            </w:pPr>
          </w:p>
        </w:tc>
      </w:tr>
      <w:tr w:rsidR="00DA02DC" w:rsidRPr="00B4374F" w14:paraId="6F6593C1" w14:textId="77777777" w:rsidTr="002952B0">
        <w:trPr>
          <w:trHeight w:val="238"/>
        </w:trPr>
        <w:tc>
          <w:tcPr>
            <w:tcW w:w="0" w:type="auto"/>
          </w:tcPr>
          <w:p w14:paraId="101525E5" w14:textId="77777777" w:rsidR="00564FA1" w:rsidRPr="00B4374F" w:rsidRDefault="00564FA1" w:rsidP="00B4374F">
            <w:pPr>
              <w:rPr>
                <w:rFonts w:cstheme="minorHAnsi"/>
                <w:color w:val="231F20"/>
              </w:rPr>
            </w:pPr>
            <w:r w:rsidRPr="00B4374F">
              <w:rPr>
                <w:rFonts w:cstheme="minorHAnsi"/>
                <w:color w:val="231F20"/>
              </w:rPr>
              <w:t>MOS/LOS</w:t>
            </w:r>
          </w:p>
        </w:tc>
        <w:tc>
          <w:tcPr>
            <w:tcW w:w="0" w:type="auto"/>
          </w:tcPr>
          <w:p w14:paraId="165B6B41" w14:textId="77777777" w:rsidR="00564FA1" w:rsidRPr="00B4374F" w:rsidRDefault="00564FA1" w:rsidP="00B4374F">
            <w:pPr>
              <w:rPr>
                <w:rFonts w:cstheme="minorHAnsi"/>
                <w:color w:val="231F20"/>
              </w:rPr>
            </w:pPr>
            <w:r w:rsidRPr="00B4374F">
              <w:rPr>
                <w:rFonts w:cstheme="minorHAnsi"/>
                <w:color w:val="231F20"/>
              </w:rPr>
              <w:t>4.12 (0.61)</w:t>
            </w:r>
          </w:p>
        </w:tc>
        <w:tc>
          <w:tcPr>
            <w:tcW w:w="0" w:type="auto"/>
          </w:tcPr>
          <w:p w14:paraId="4C2E64C5" w14:textId="77777777" w:rsidR="00564FA1" w:rsidRPr="00B4374F" w:rsidRDefault="00564FA1" w:rsidP="00B4374F">
            <w:pPr>
              <w:rPr>
                <w:rFonts w:cstheme="minorHAnsi"/>
                <w:color w:val="231F20"/>
              </w:rPr>
            </w:pPr>
            <w:r w:rsidRPr="00B4374F">
              <w:rPr>
                <w:rFonts w:cstheme="minorHAnsi"/>
                <w:color w:val="231F20"/>
              </w:rPr>
              <w:t>4.22 (0.53)</w:t>
            </w:r>
          </w:p>
        </w:tc>
        <w:tc>
          <w:tcPr>
            <w:tcW w:w="0" w:type="auto"/>
          </w:tcPr>
          <w:p w14:paraId="2ADCB056" w14:textId="77777777" w:rsidR="00564FA1" w:rsidRPr="00B4374F" w:rsidRDefault="00564FA1" w:rsidP="00B4374F">
            <w:pPr>
              <w:rPr>
                <w:rFonts w:cstheme="minorHAnsi"/>
                <w:color w:val="231F20"/>
              </w:rPr>
            </w:pPr>
            <w:proofErr w:type="gramStart"/>
            <w:r w:rsidRPr="00B4374F">
              <w:rPr>
                <w:rFonts w:cstheme="minorHAnsi"/>
                <w:i/>
                <w:iCs/>
                <w:color w:val="231F20"/>
              </w:rPr>
              <w:t>F</w:t>
            </w:r>
            <w:r w:rsidRPr="00B4374F">
              <w:rPr>
                <w:rFonts w:cstheme="minorHAnsi"/>
                <w:color w:val="231F20"/>
              </w:rPr>
              <w:t>(</w:t>
            </w:r>
            <w:proofErr w:type="gramEnd"/>
            <w:r w:rsidRPr="00B4374F">
              <w:rPr>
                <w:rFonts w:cstheme="minorHAnsi"/>
                <w:color w:val="231F20"/>
              </w:rPr>
              <w:t>1, 24) = 0.20</w:t>
            </w:r>
          </w:p>
        </w:tc>
      </w:tr>
      <w:tr w:rsidR="00DA02DC" w:rsidRPr="00B4374F" w14:paraId="0BDA4713" w14:textId="77777777" w:rsidTr="002952B0">
        <w:trPr>
          <w:trHeight w:val="230"/>
        </w:trPr>
        <w:tc>
          <w:tcPr>
            <w:tcW w:w="0" w:type="auto"/>
          </w:tcPr>
          <w:p w14:paraId="26E23C04" w14:textId="77777777" w:rsidR="00564FA1" w:rsidRPr="00B4374F" w:rsidRDefault="00564FA1" w:rsidP="00B4374F">
            <w:pPr>
              <w:rPr>
                <w:rFonts w:cstheme="minorHAnsi"/>
                <w:color w:val="231F20"/>
              </w:rPr>
            </w:pPr>
            <w:r w:rsidRPr="00B4374F">
              <w:rPr>
                <w:rFonts w:cstheme="minorHAnsi"/>
                <w:color w:val="231F20"/>
              </w:rPr>
              <w:t>LAV</w:t>
            </w:r>
          </w:p>
        </w:tc>
        <w:tc>
          <w:tcPr>
            <w:tcW w:w="0" w:type="auto"/>
          </w:tcPr>
          <w:p w14:paraId="50252451" w14:textId="77777777" w:rsidR="00564FA1" w:rsidRPr="00B4374F" w:rsidRDefault="00564FA1" w:rsidP="00B4374F">
            <w:pPr>
              <w:rPr>
                <w:rFonts w:cstheme="minorHAnsi"/>
                <w:color w:val="231F20"/>
              </w:rPr>
            </w:pPr>
            <w:r w:rsidRPr="00B4374F">
              <w:rPr>
                <w:rFonts w:cstheme="minorHAnsi"/>
                <w:color w:val="231F20"/>
              </w:rPr>
              <w:t>4.04 (0.43)</w:t>
            </w:r>
          </w:p>
        </w:tc>
        <w:tc>
          <w:tcPr>
            <w:tcW w:w="0" w:type="auto"/>
          </w:tcPr>
          <w:p w14:paraId="3BEF207A" w14:textId="77777777" w:rsidR="00564FA1" w:rsidRPr="00B4374F" w:rsidRDefault="00564FA1" w:rsidP="00B4374F">
            <w:pPr>
              <w:rPr>
                <w:rFonts w:cstheme="minorHAnsi"/>
                <w:color w:val="231F20"/>
              </w:rPr>
            </w:pPr>
            <w:r w:rsidRPr="00B4374F">
              <w:rPr>
                <w:rFonts w:cstheme="minorHAnsi"/>
                <w:color w:val="231F20"/>
              </w:rPr>
              <w:t>3.99 (0.47)</w:t>
            </w:r>
          </w:p>
        </w:tc>
        <w:tc>
          <w:tcPr>
            <w:tcW w:w="0" w:type="auto"/>
          </w:tcPr>
          <w:p w14:paraId="5FBDB51F" w14:textId="77777777" w:rsidR="00564FA1" w:rsidRPr="00B4374F" w:rsidRDefault="00564FA1" w:rsidP="00B4374F">
            <w:pPr>
              <w:rPr>
                <w:rFonts w:cstheme="minorHAnsi"/>
                <w:color w:val="231F20"/>
              </w:rPr>
            </w:pPr>
            <w:proofErr w:type="gramStart"/>
            <w:r w:rsidRPr="00B4374F">
              <w:rPr>
                <w:rFonts w:cstheme="minorHAnsi"/>
                <w:i/>
                <w:iCs/>
                <w:color w:val="231F20"/>
              </w:rPr>
              <w:t>F</w:t>
            </w:r>
            <w:r w:rsidRPr="00B4374F">
              <w:rPr>
                <w:rFonts w:cstheme="minorHAnsi"/>
                <w:color w:val="231F20"/>
              </w:rPr>
              <w:t>(</w:t>
            </w:r>
            <w:proofErr w:type="gramEnd"/>
            <w:r w:rsidRPr="00B4374F">
              <w:rPr>
                <w:rFonts w:cstheme="minorHAnsi"/>
                <w:color w:val="231F20"/>
              </w:rPr>
              <w:t>1, 24) = 0.06</w:t>
            </w:r>
          </w:p>
        </w:tc>
      </w:tr>
      <w:tr w:rsidR="00DA02DC" w:rsidRPr="00B4374F" w14:paraId="164EB360" w14:textId="77777777" w:rsidTr="002952B0">
        <w:trPr>
          <w:trHeight w:val="230"/>
        </w:trPr>
        <w:tc>
          <w:tcPr>
            <w:tcW w:w="0" w:type="auto"/>
          </w:tcPr>
          <w:p w14:paraId="4FE54B17" w14:textId="77777777" w:rsidR="00564FA1" w:rsidRPr="00B4374F" w:rsidRDefault="00564FA1" w:rsidP="00B4374F">
            <w:pPr>
              <w:rPr>
                <w:rFonts w:cstheme="minorHAnsi"/>
                <w:color w:val="231F20"/>
              </w:rPr>
            </w:pPr>
            <w:r w:rsidRPr="00B4374F">
              <w:rPr>
                <w:rFonts w:cstheme="minorHAnsi"/>
                <w:color w:val="231F20"/>
              </w:rPr>
              <w:t>AOS</w:t>
            </w:r>
          </w:p>
        </w:tc>
        <w:tc>
          <w:tcPr>
            <w:tcW w:w="0" w:type="auto"/>
          </w:tcPr>
          <w:p w14:paraId="2A7E8B1F" w14:textId="77777777" w:rsidR="00564FA1" w:rsidRPr="00B4374F" w:rsidRDefault="00564FA1" w:rsidP="00B4374F">
            <w:pPr>
              <w:rPr>
                <w:rFonts w:cstheme="minorHAnsi"/>
                <w:color w:val="231F20"/>
              </w:rPr>
            </w:pPr>
            <w:r w:rsidRPr="00B4374F">
              <w:rPr>
                <w:rFonts w:cstheme="minorHAnsi"/>
                <w:color w:val="231F20"/>
              </w:rPr>
              <w:t>2.67 (0.65)</w:t>
            </w:r>
          </w:p>
        </w:tc>
        <w:tc>
          <w:tcPr>
            <w:tcW w:w="0" w:type="auto"/>
          </w:tcPr>
          <w:p w14:paraId="53ABEEF7" w14:textId="77777777" w:rsidR="00564FA1" w:rsidRPr="00B4374F" w:rsidRDefault="00564FA1" w:rsidP="00B4374F">
            <w:pPr>
              <w:rPr>
                <w:rFonts w:cstheme="minorHAnsi"/>
                <w:color w:val="231F20"/>
              </w:rPr>
            </w:pPr>
            <w:r w:rsidRPr="00B4374F">
              <w:rPr>
                <w:rFonts w:cstheme="minorHAnsi"/>
                <w:color w:val="231F20"/>
              </w:rPr>
              <w:t>2.27 (1.01)</w:t>
            </w:r>
          </w:p>
        </w:tc>
        <w:tc>
          <w:tcPr>
            <w:tcW w:w="0" w:type="auto"/>
          </w:tcPr>
          <w:p w14:paraId="05FB573F" w14:textId="77777777" w:rsidR="00564FA1" w:rsidRPr="00B4374F" w:rsidRDefault="00564FA1" w:rsidP="00B4374F">
            <w:pPr>
              <w:rPr>
                <w:rFonts w:cstheme="minorHAnsi"/>
                <w:color w:val="231F20"/>
              </w:rPr>
            </w:pPr>
            <w:proofErr w:type="gramStart"/>
            <w:r w:rsidRPr="00B4374F">
              <w:rPr>
                <w:rFonts w:cstheme="minorHAnsi"/>
                <w:i/>
                <w:iCs/>
                <w:color w:val="231F20"/>
              </w:rPr>
              <w:t>F</w:t>
            </w:r>
            <w:r w:rsidRPr="00B4374F">
              <w:rPr>
                <w:rFonts w:cstheme="minorHAnsi"/>
                <w:color w:val="231F20"/>
              </w:rPr>
              <w:t>(</w:t>
            </w:r>
            <w:proofErr w:type="gramEnd"/>
            <w:r w:rsidRPr="00B4374F">
              <w:rPr>
                <w:rFonts w:cstheme="minorHAnsi"/>
                <w:color w:val="231F20"/>
              </w:rPr>
              <w:t>1, 24) = 1.55</w:t>
            </w:r>
          </w:p>
        </w:tc>
      </w:tr>
      <w:tr w:rsidR="00DA02DC" w:rsidRPr="00B4374F" w14:paraId="47179912" w14:textId="77777777" w:rsidTr="002952B0">
        <w:trPr>
          <w:trHeight w:val="291"/>
        </w:trPr>
        <w:tc>
          <w:tcPr>
            <w:tcW w:w="0" w:type="auto"/>
          </w:tcPr>
          <w:p w14:paraId="64443926" w14:textId="77777777" w:rsidR="00564FA1" w:rsidRPr="00B4374F" w:rsidRDefault="00564FA1" w:rsidP="00B4374F">
            <w:pPr>
              <w:rPr>
                <w:rFonts w:cstheme="minorHAnsi"/>
                <w:color w:val="231F20"/>
              </w:rPr>
            </w:pPr>
            <w:r w:rsidRPr="00B4374F">
              <w:rPr>
                <w:rFonts w:cstheme="minorHAnsi"/>
                <w:color w:val="231F20"/>
              </w:rPr>
              <w:t>MV</w:t>
            </w:r>
          </w:p>
        </w:tc>
        <w:tc>
          <w:tcPr>
            <w:tcW w:w="0" w:type="auto"/>
          </w:tcPr>
          <w:p w14:paraId="28514764" w14:textId="77777777" w:rsidR="00564FA1" w:rsidRPr="00B4374F" w:rsidRDefault="00564FA1" w:rsidP="00B4374F">
            <w:pPr>
              <w:rPr>
                <w:rFonts w:cstheme="minorHAnsi"/>
                <w:color w:val="231F20"/>
              </w:rPr>
            </w:pPr>
            <w:r w:rsidRPr="00B4374F">
              <w:rPr>
                <w:rFonts w:cstheme="minorHAnsi"/>
                <w:color w:val="231F20"/>
              </w:rPr>
              <w:t>3.03 (0.41)</w:t>
            </w:r>
          </w:p>
        </w:tc>
        <w:tc>
          <w:tcPr>
            <w:tcW w:w="0" w:type="auto"/>
          </w:tcPr>
          <w:p w14:paraId="512C7FF9" w14:textId="77777777" w:rsidR="00564FA1" w:rsidRPr="00B4374F" w:rsidRDefault="00564FA1" w:rsidP="00B4374F">
            <w:pPr>
              <w:rPr>
                <w:rFonts w:cstheme="minorHAnsi"/>
                <w:color w:val="231F20"/>
              </w:rPr>
            </w:pPr>
            <w:r w:rsidRPr="00B4374F">
              <w:rPr>
                <w:rFonts w:cstheme="minorHAnsi"/>
                <w:color w:val="231F20"/>
              </w:rPr>
              <w:t>2.83 (0.67)</w:t>
            </w:r>
          </w:p>
        </w:tc>
        <w:tc>
          <w:tcPr>
            <w:tcW w:w="0" w:type="auto"/>
          </w:tcPr>
          <w:p w14:paraId="33365996" w14:textId="77777777" w:rsidR="00564FA1" w:rsidRPr="00B4374F" w:rsidRDefault="00564FA1" w:rsidP="00B4374F">
            <w:pPr>
              <w:rPr>
                <w:rFonts w:cstheme="minorHAnsi"/>
                <w:color w:val="231F20"/>
              </w:rPr>
            </w:pPr>
            <w:proofErr w:type="gramStart"/>
            <w:r w:rsidRPr="00B4374F">
              <w:rPr>
                <w:rFonts w:cstheme="minorHAnsi"/>
                <w:i/>
                <w:iCs/>
                <w:color w:val="231F20"/>
              </w:rPr>
              <w:t>F</w:t>
            </w:r>
            <w:r w:rsidRPr="00B4374F">
              <w:rPr>
                <w:rFonts w:cstheme="minorHAnsi"/>
                <w:color w:val="231F20"/>
              </w:rPr>
              <w:t>(</w:t>
            </w:r>
            <w:proofErr w:type="gramEnd"/>
            <w:r w:rsidRPr="00B4374F">
              <w:rPr>
                <w:rFonts w:cstheme="minorHAnsi"/>
                <w:color w:val="231F20"/>
              </w:rPr>
              <w:t>1, 24) = 0.92</w:t>
            </w:r>
          </w:p>
        </w:tc>
      </w:tr>
    </w:tbl>
    <w:p w14:paraId="688A296F" w14:textId="46C78135" w:rsidR="00564FA1" w:rsidRDefault="00EB34C3" w:rsidP="00681BDD">
      <w:pPr>
        <w:pStyle w:val="NoSpacing"/>
      </w:pPr>
      <w:r w:rsidRPr="00EB34C3">
        <w:rPr>
          <w:b/>
          <w:bCs/>
        </w:rPr>
        <w:t>Note.</w:t>
      </w:r>
      <w:r w:rsidRPr="00EB34C3">
        <w:t xml:space="preserve"> Hollingshead’s Four Factor Index of Social Status (Hollingshead, 1975) was used to compute SES for each family. Child n = 61; Mother n = 60; Father n = 27. CAT = culturally adapted evidence-based treatment; ST = standard evidence-based treatment; SES = socioeconomic status; MOS/LOS = ARSMA-II Mexican/Latino Orientation Scale; MACVS LAV = Latino American Values Scale; ARSMA-II AOS = Anglo Orientation Scale; MACVS MV = Mainstream Values Scale.</w:t>
      </w:r>
    </w:p>
    <w:p w14:paraId="6EB4A83E" w14:textId="77777777" w:rsidR="00EB34C3" w:rsidRPr="00EB34C3" w:rsidRDefault="00EB34C3" w:rsidP="00681BDD">
      <w:pPr>
        <w:pStyle w:val="NoSpacing"/>
      </w:pPr>
    </w:p>
    <w:p w14:paraId="08E98709" w14:textId="77777777" w:rsidR="00450F81" w:rsidRDefault="00450F81" w:rsidP="00EB1A84">
      <w:pPr>
        <w:pStyle w:val="Heading2"/>
        <w:rPr>
          <w:sz w:val="27"/>
          <w:szCs w:val="27"/>
        </w:rPr>
      </w:pPr>
      <w:r>
        <w:t>Procedure</w:t>
      </w:r>
    </w:p>
    <w:p w14:paraId="01EE210A" w14:textId="6F29B909" w:rsidR="00450F81" w:rsidRDefault="00450F81" w:rsidP="00670DB4">
      <w:pPr>
        <w:pStyle w:val="NoSpacing"/>
      </w:pPr>
      <w:r>
        <w:t>The current study was approved by the Institutional Review Board at Marquette University. Written informed consent was obtained from parents and teachers, and written assent was obtained from children. Parents and teachers were compensated with gift cards for completing assessment and posttreatment measures. Assessment measures were completed prior to the start of treatment, and posttreatment measures were completed during the last week of treatment.</w:t>
      </w:r>
    </w:p>
    <w:p w14:paraId="2EAC72E6" w14:textId="77777777" w:rsidR="00670DB4" w:rsidRDefault="00670DB4" w:rsidP="00670DB4">
      <w:pPr>
        <w:pStyle w:val="NoSpacing"/>
      </w:pPr>
    </w:p>
    <w:p w14:paraId="27763C06" w14:textId="77777777" w:rsidR="00450F81" w:rsidRDefault="00450F81" w:rsidP="00EB1A84">
      <w:pPr>
        <w:pStyle w:val="Heading2"/>
      </w:pPr>
      <w:r>
        <w:t>Assessment and Diagnosis</w:t>
      </w:r>
    </w:p>
    <w:p w14:paraId="7DE97F48" w14:textId="28C0B94C" w:rsidR="00450F81" w:rsidRPr="00670DB4" w:rsidRDefault="00450F81" w:rsidP="00670DB4">
      <w:pPr>
        <w:pStyle w:val="NoSpacing"/>
        <w:rPr>
          <w:rFonts w:cstheme="minorHAnsi"/>
        </w:rPr>
      </w:pPr>
      <w:r w:rsidRPr="00670DB4">
        <w:rPr>
          <w:rFonts w:cstheme="minorHAnsi"/>
        </w:rPr>
        <w:t>Each child received a multi-method, multi-informant assessment, including parent, teacher, and child interviews and measures. Parents participated in a semi-structured clinical interview focused on the presenting problem and psychosocial history in Spanish, as well as the Spanish translation of the Disruptive Behavior Disorders (DBD) Structured Parent Interview, a diagnostic interview aimed at diagnosing ADHD and common comorbid disorders (</w:t>
      </w:r>
      <w:hyperlink r:id="rId43" w:history="1">
        <w:r w:rsidRPr="00670DB4">
          <w:rPr>
            <w:rStyle w:val="Hyperlink"/>
            <w:rFonts w:eastAsiaTheme="majorEastAsia" w:cstheme="minorHAnsi"/>
            <w:color w:val="006ACC"/>
          </w:rPr>
          <w:t>Gerdes et al., 2015</w:t>
        </w:r>
      </w:hyperlink>
      <w:r w:rsidRPr="00670DB4">
        <w:rPr>
          <w:rFonts w:cstheme="minorHAnsi"/>
        </w:rPr>
        <w:t>; </w:t>
      </w:r>
      <w:hyperlink r:id="rId44" w:history="1">
        <w:r w:rsidRPr="00670DB4">
          <w:rPr>
            <w:rStyle w:val="Hyperlink"/>
            <w:rFonts w:eastAsiaTheme="majorEastAsia" w:cstheme="minorHAnsi"/>
            <w:color w:val="006ACC"/>
          </w:rPr>
          <w:t>Pelham, 2002</w:t>
        </w:r>
      </w:hyperlink>
      <w:r w:rsidRPr="00670DB4">
        <w:rPr>
          <w:rFonts w:cstheme="minorHAnsi"/>
        </w:rPr>
        <w:t xml:space="preserve">). Teachers participated in a </w:t>
      </w:r>
      <w:proofErr w:type="gramStart"/>
      <w:r w:rsidRPr="00670DB4">
        <w:rPr>
          <w:rFonts w:cstheme="minorHAnsi"/>
        </w:rPr>
        <w:t>brief,</w:t>
      </w:r>
      <w:proofErr w:type="gramEnd"/>
      <w:r w:rsidRPr="00670DB4">
        <w:rPr>
          <w:rFonts w:cstheme="minorHAnsi"/>
        </w:rPr>
        <w:t xml:space="preserve"> in-person teacher interview focused on the presenting problem. All assessments were completed by one of two bilingual clinical psychology doctoral students.</w:t>
      </w:r>
    </w:p>
    <w:p w14:paraId="049166FD" w14:textId="77777777" w:rsidR="00670DB4" w:rsidRPr="00670DB4" w:rsidRDefault="00670DB4" w:rsidP="00670DB4">
      <w:pPr>
        <w:pStyle w:val="NoSpacing"/>
        <w:rPr>
          <w:rFonts w:cstheme="minorHAnsi"/>
        </w:rPr>
      </w:pPr>
    </w:p>
    <w:p w14:paraId="01C4DA7B" w14:textId="5928AB3C" w:rsidR="00450F81" w:rsidRPr="00670DB4" w:rsidRDefault="00450F81" w:rsidP="00670DB4">
      <w:pPr>
        <w:pStyle w:val="NoSpacing"/>
        <w:rPr>
          <w:rFonts w:cstheme="minorHAnsi"/>
        </w:rPr>
      </w:pPr>
      <w:r w:rsidRPr="00670DB4">
        <w:rPr>
          <w:rFonts w:cstheme="minorHAnsi"/>
        </w:rPr>
        <w:t>Parents and teachers also completed several measures, including the Child Behavior Checklist (CBCL)/Teacher’s Report Form (TRF; </w:t>
      </w:r>
      <w:hyperlink r:id="rId45" w:history="1">
        <w:r w:rsidRPr="00670DB4">
          <w:rPr>
            <w:rStyle w:val="Hyperlink"/>
            <w:rFonts w:eastAsiaTheme="majorEastAsia" w:cstheme="minorHAnsi"/>
            <w:color w:val="006ACC"/>
          </w:rPr>
          <w:t>Achenbach &amp; Rescorla, 2001</w:t>
        </w:r>
      </w:hyperlink>
      <w:r w:rsidRPr="00670DB4">
        <w:rPr>
          <w:rFonts w:cstheme="minorHAnsi"/>
        </w:rPr>
        <w:t>), Parent/Teacher DBD Rating Scale (</w:t>
      </w:r>
      <w:hyperlink r:id="rId46" w:history="1">
        <w:r w:rsidRPr="00670DB4">
          <w:rPr>
            <w:rStyle w:val="Hyperlink"/>
            <w:rFonts w:eastAsiaTheme="majorEastAsia" w:cstheme="minorHAnsi"/>
            <w:color w:val="006ACC"/>
          </w:rPr>
          <w:t>Pelham, Gnagy, Greenslade, &amp; Milich, 1992</w:t>
        </w:r>
      </w:hyperlink>
      <w:r w:rsidRPr="00670DB4">
        <w:rPr>
          <w:rFonts w:cstheme="minorHAnsi"/>
        </w:rPr>
        <w:t>), and ADHD-FX Scale (</w:t>
      </w:r>
      <w:hyperlink r:id="rId47" w:history="1">
        <w:r w:rsidRPr="00670DB4">
          <w:rPr>
            <w:rStyle w:val="Hyperlink"/>
            <w:rFonts w:eastAsiaTheme="majorEastAsia" w:cstheme="minorHAnsi"/>
            <w:color w:val="006ACC"/>
          </w:rPr>
          <w:t>Haack, Gerdes, Lawton, &amp; Schneider, 2016</w:t>
        </w:r>
      </w:hyperlink>
      <w:r w:rsidRPr="00670DB4">
        <w:rPr>
          <w:rFonts w:cstheme="minorHAnsi"/>
        </w:rPr>
        <w:t>). If a child was medicated for ADHD, unmedicated ratings on the DBD Rating Scale and ADHD-FX Scale were used for making diagnosis decisions. Finally, children participated in an unstructured clinical interview and completed the Children’s Depression Inventory 2 (CDI 2) and Revised Children’s Manifest Anxiety Scale–Second Edition (RCMAS-2; Kovacs &amp; </w:t>
      </w:r>
      <w:hyperlink r:id="rId48" w:history="1">
        <w:r w:rsidRPr="00670DB4">
          <w:rPr>
            <w:rStyle w:val="Hyperlink"/>
            <w:rFonts w:eastAsiaTheme="majorEastAsia" w:cstheme="minorHAnsi"/>
            <w:color w:val="006ACC"/>
          </w:rPr>
          <w:t>MHS Staff, 2011</w:t>
        </w:r>
      </w:hyperlink>
      <w:r w:rsidRPr="00670DB4">
        <w:rPr>
          <w:rFonts w:cstheme="minorHAnsi"/>
        </w:rPr>
        <w:t>; </w:t>
      </w:r>
      <w:hyperlink r:id="rId49" w:history="1">
        <w:r w:rsidRPr="00670DB4">
          <w:rPr>
            <w:rStyle w:val="Hyperlink"/>
            <w:rFonts w:eastAsiaTheme="majorEastAsia" w:cstheme="minorHAnsi"/>
            <w:color w:val="006ACC"/>
          </w:rPr>
          <w:t>Reynolds &amp; Richmond, 2008</w:t>
        </w:r>
      </w:hyperlink>
      <w:r w:rsidRPr="00670DB4">
        <w:rPr>
          <w:rFonts w:cstheme="minorHAnsi"/>
        </w:rPr>
        <w:t>). All measures are described in more detail below.</w:t>
      </w:r>
    </w:p>
    <w:p w14:paraId="083E06E6" w14:textId="77777777" w:rsidR="00670DB4" w:rsidRPr="00670DB4" w:rsidRDefault="00670DB4" w:rsidP="00670DB4">
      <w:pPr>
        <w:pStyle w:val="NoSpacing"/>
        <w:rPr>
          <w:rFonts w:cstheme="minorHAnsi"/>
        </w:rPr>
      </w:pPr>
    </w:p>
    <w:p w14:paraId="77FE54C1" w14:textId="4E9B60D3" w:rsidR="00450F81" w:rsidRPr="00670DB4" w:rsidRDefault="00450F81" w:rsidP="00670DB4">
      <w:pPr>
        <w:pStyle w:val="NoSpacing"/>
        <w:rPr>
          <w:rFonts w:cstheme="minorHAnsi"/>
        </w:rPr>
      </w:pPr>
      <w:r w:rsidRPr="00670DB4">
        <w:rPr>
          <w:rFonts w:cstheme="minorHAnsi"/>
        </w:rPr>
        <w:t>Consistent with recommendations from the American Academy of Pediatrics and previous research (</w:t>
      </w:r>
      <w:hyperlink r:id="rId50" w:history="1">
        <w:r w:rsidRPr="00670DB4">
          <w:rPr>
            <w:rStyle w:val="Hyperlink"/>
            <w:rFonts w:eastAsiaTheme="majorEastAsia" w:cstheme="minorHAnsi"/>
            <w:color w:val="006ACC"/>
          </w:rPr>
          <w:t>Lahey et al., 2004</w:t>
        </w:r>
      </w:hyperlink>
      <w:r w:rsidRPr="00670DB4">
        <w:rPr>
          <w:rFonts w:cstheme="minorHAnsi"/>
        </w:rPr>
        <w:t>), diagnostic decisions, including subtype classifications, were based on all sources of information gathered during the assessment, including clinical interviews, observations, and measures to determine whether </w:t>
      </w:r>
      <w:r w:rsidRPr="00670DB4">
        <w:rPr>
          <w:rFonts w:cstheme="minorHAnsi"/>
          <w:i/>
          <w:iCs/>
        </w:rPr>
        <w:t>Diagnostic and Statistical Manual of Mental Disorders</w:t>
      </w:r>
      <w:r w:rsidRPr="00670DB4">
        <w:rPr>
          <w:rFonts w:cstheme="minorHAnsi"/>
        </w:rPr>
        <w:t> (5th ed.; </w:t>
      </w:r>
      <w:r w:rsidRPr="00670DB4">
        <w:rPr>
          <w:rFonts w:cstheme="minorHAnsi"/>
          <w:i/>
          <w:iCs/>
        </w:rPr>
        <w:t>DSM-5</w:t>
      </w:r>
      <w:r w:rsidRPr="00670DB4">
        <w:rPr>
          <w:rFonts w:cstheme="minorHAnsi"/>
        </w:rPr>
        <w:t>; </w:t>
      </w:r>
      <w:hyperlink r:id="rId51" w:history="1">
        <w:r w:rsidRPr="00670DB4">
          <w:rPr>
            <w:rStyle w:val="Hyperlink"/>
            <w:rFonts w:eastAsiaTheme="majorEastAsia" w:cstheme="minorHAnsi"/>
            <w:color w:val="006ACC"/>
          </w:rPr>
          <w:t>American Psychiatric Association, 2013</w:t>
        </w:r>
      </w:hyperlink>
      <w:r w:rsidRPr="00670DB4">
        <w:rPr>
          <w:rFonts w:cstheme="minorHAnsi"/>
        </w:rPr>
        <w:t>) criteria for ADHD were met. Specifically, clinical doctoral-level students and a licensed supervisor and ADHD expert made a final clinical judgment on severity of each </w:t>
      </w:r>
      <w:r w:rsidRPr="00670DB4">
        <w:rPr>
          <w:rFonts w:cstheme="minorHAnsi"/>
          <w:i/>
          <w:iCs/>
        </w:rPr>
        <w:t>DSM</w:t>
      </w:r>
      <w:r w:rsidRPr="00670DB4">
        <w:rPr>
          <w:rFonts w:cstheme="minorHAnsi"/>
        </w:rPr>
        <w:t> symptom for every child assessed. If it was determined that the child met criteria for ADHD and all other study criteria were met, the family was randomly assigned to one of two treatment conditions described below. Families and teachers were blind to treatment condition. Regardless of treatment condition, parent groups consisted of seven to eight families, resulting in four groups for each treatment condition.</w:t>
      </w:r>
    </w:p>
    <w:p w14:paraId="39DE4C21" w14:textId="77777777" w:rsidR="00670DB4" w:rsidRPr="00670DB4" w:rsidRDefault="00670DB4" w:rsidP="00670DB4">
      <w:pPr>
        <w:pStyle w:val="NoSpacing"/>
        <w:rPr>
          <w:rFonts w:cstheme="minorHAnsi"/>
        </w:rPr>
      </w:pPr>
    </w:p>
    <w:p w14:paraId="73067988" w14:textId="77777777" w:rsidR="00450F81" w:rsidRDefault="00450F81" w:rsidP="00EB1A84">
      <w:pPr>
        <w:pStyle w:val="Heading2"/>
      </w:pPr>
      <w:r>
        <w:t>Treatment</w:t>
      </w:r>
    </w:p>
    <w:p w14:paraId="5A714C44" w14:textId="77777777" w:rsidR="00450F81" w:rsidRDefault="00450F81" w:rsidP="00EB1A84">
      <w:pPr>
        <w:pStyle w:val="Heading3"/>
        <w:rPr>
          <w:b/>
          <w:bCs/>
        </w:rPr>
      </w:pPr>
      <w:r>
        <w:t>Standard EBT</w:t>
      </w:r>
    </w:p>
    <w:p w14:paraId="4787C244" w14:textId="58746E36" w:rsidR="00450F81" w:rsidRDefault="00450F81" w:rsidP="00670DB4">
      <w:pPr>
        <w:pStyle w:val="NoSpacing"/>
      </w:pPr>
      <w:r>
        <w:t>Thirty families were assigned to standard EBT. Standard EBT consisted of eight group PMT sessions and an individualized behavioral classroom intervention in the form of a Daily Report Card (DRC). Consistent with standard outpatient therapy, sessions were held weekly in the evening at a university-based ADHD Clinic for approximately 2 hr. Childcare and snacks were provided. Sessions were based on </w:t>
      </w:r>
      <w:hyperlink r:id="rId52" w:history="1">
        <w:r>
          <w:rPr>
            <w:rStyle w:val="Hyperlink"/>
            <w:rFonts w:ascii="Arial" w:eastAsiaTheme="majorEastAsia" w:hAnsi="Arial" w:cs="Arial"/>
            <w:color w:val="006ACC"/>
          </w:rPr>
          <w:t>Barkley’s (1997)</w:t>
        </w:r>
      </w:hyperlink>
      <w:r>
        <w:t> manual and included DRC implementation, effective instructions, time out, positive reinforcement, token economy, planning ahead strategies, takeover of the DRC, and closing/wrap-up. All PMT groups were coled in Spanish by a bilingual clinical psychology doctoral student and a bilingual, bicultural social worker, both of whom had training in childhood ADHD and cultural competence (described in more detail below). Integrity checklists were completed by well-trained, bilingual undergraduate students each week (also described in more detail below).</w:t>
      </w:r>
    </w:p>
    <w:p w14:paraId="05B4F53F" w14:textId="77777777" w:rsidR="00670DB4" w:rsidRDefault="00670DB4" w:rsidP="00670DB4">
      <w:pPr>
        <w:pStyle w:val="NoSpacing"/>
      </w:pPr>
    </w:p>
    <w:p w14:paraId="3E348451" w14:textId="77777777" w:rsidR="00450F81" w:rsidRDefault="00450F81" w:rsidP="00EB1A84">
      <w:pPr>
        <w:pStyle w:val="Heading3"/>
      </w:pPr>
      <w:r>
        <w:t>CAT</w:t>
      </w:r>
    </w:p>
    <w:p w14:paraId="7FC4FA8D" w14:textId="0A312D62" w:rsidR="00450F81" w:rsidRDefault="00450F81" w:rsidP="00670DB4">
      <w:pPr>
        <w:pStyle w:val="NoSpacing"/>
      </w:pPr>
      <w:r>
        <w:t>Thirty-one families were assigned to CAT (</w:t>
      </w:r>
      <w:hyperlink r:id="rId53" w:history="1">
        <w:r>
          <w:rPr>
            <w:rStyle w:val="Hyperlink"/>
            <w:rFonts w:ascii="Arial" w:eastAsiaTheme="majorEastAsia" w:hAnsi="Arial" w:cs="Arial"/>
            <w:color w:val="006ACC"/>
          </w:rPr>
          <w:t>Gerdes et al., 2015</w:t>
        </w:r>
      </w:hyperlink>
      <w:r>
        <w:t xml:space="preserve">). CAT also consisted of eight group parent training classes and an individualized DRC; however, all classes were adapted and/or newly developed to be more culturally appropriate, and two home visits were added. Classes were held weekly in the evening at a neighborhood community center serving Latino families for approximately 2 hr. Childcare and dinner from a local Mexican restaurant were provided. Classes included DRC implementation, effective instructions, consistent consequences, positive attention and ignoring, managing routines—homework, managing routines—checklists, takeover of the DRC, and final tips for success. All CAT groups were coled in Spanish by a different bilingual </w:t>
      </w:r>
      <w:r>
        <w:lastRenderedPageBreak/>
        <w:t>clinical psychology doctoral student and the same bilingual, bicultural social worker who coled the PMT groups; both received training in childhood ADHD and cultural competence. Integrity checklists were completed by well-trained, bilingual undergraduate students each week.</w:t>
      </w:r>
    </w:p>
    <w:p w14:paraId="1BA6C49F" w14:textId="77777777" w:rsidR="00670DB4" w:rsidRDefault="00670DB4" w:rsidP="00670DB4">
      <w:pPr>
        <w:pStyle w:val="NoSpacing"/>
      </w:pPr>
    </w:p>
    <w:p w14:paraId="42CCFF57" w14:textId="67D1CE31" w:rsidR="00450F81" w:rsidRDefault="00450F81" w:rsidP="00670DB4">
      <w:pPr>
        <w:pStyle w:val="NoSpacing"/>
      </w:pPr>
      <w:r>
        <w:t>Briefly, all classes were adapted to include additional in-session role-plays and parental coaching, video demonstrations of skills, more visually appealing handouts, frequent discussion and review of child’s progress toward home- and school-based goals with the use of progress graphs, and efforts to include extended family members in treatment. Class-specific adaptations included the addition of relevant cultural reminders; culturally congruent rationales for skills and terminology (e.g., the rationale for the DRC is to empower parents and improve family communication); open discussion of parental concerns about skills and expectations for treatment (e.g., time is set aside to discuss concerns about rewarding expected behavior and about taking away privileges rather than spanking for misbehavior); emphasis of culturally valued, positive outcomes for the family with consistent use of the skills; and time dedicated to establishing a good working relationship between the parent and teacher. Finally, two classes were completely replaced with newly developed, more culturally congruent classes (i.e., consistent consequences replaced time out and managing routines replaced token economy) with home visits following each of these classes (see </w:t>
      </w:r>
      <w:hyperlink r:id="rId54" w:history="1">
        <w:r>
          <w:rPr>
            <w:rStyle w:val="Hyperlink"/>
            <w:rFonts w:ascii="Arial" w:eastAsiaTheme="majorEastAsia" w:hAnsi="Arial" w:cs="Arial"/>
            <w:color w:val="006ACC"/>
          </w:rPr>
          <w:t>Gerdes et al., 2015</w:t>
        </w:r>
      </w:hyperlink>
      <w:r>
        <w:t>, for more detail).</w:t>
      </w:r>
    </w:p>
    <w:p w14:paraId="76E0241C" w14:textId="77777777" w:rsidR="00670DB4" w:rsidRDefault="00670DB4" w:rsidP="00670DB4">
      <w:pPr>
        <w:pStyle w:val="NoSpacing"/>
      </w:pPr>
    </w:p>
    <w:p w14:paraId="4D6C79DB" w14:textId="77777777" w:rsidR="00450F81" w:rsidRDefault="00450F81" w:rsidP="00EB1A84">
      <w:pPr>
        <w:pStyle w:val="Heading2"/>
      </w:pPr>
      <w:r>
        <w:t>Clinician Training and Integrity Checklists</w:t>
      </w:r>
    </w:p>
    <w:p w14:paraId="558BAAD0" w14:textId="77777777" w:rsidR="00450F81" w:rsidRDefault="00450F81" w:rsidP="00EB1A84">
      <w:pPr>
        <w:pStyle w:val="Heading3"/>
        <w:rPr>
          <w:b/>
          <w:bCs/>
        </w:rPr>
      </w:pPr>
      <w:r>
        <w:t>Clinician training</w:t>
      </w:r>
    </w:p>
    <w:p w14:paraId="6A24C8BF" w14:textId="0FD63F1C" w:rsidR="00450F81" w:rsidRDefault="00450F81" w:rsidP="00670DB4">
      <w:pPr>
        <w:pStyle w:val="NoSpacing"/>
      </w:pPr>
      <w:r>
        <w:t>The bilingual clinical psychology doctoral students who served as the primary leads for the two treatment conditions received training regarding evidence-based assessment and treatment of childhood ADHD from the first author as part of their clinical training within their doctoral program. Coleaders for both treatments (i.e., the clinical psychology doctoral students and the bilingual, bicultural social worker) participated in an intensive training program specific to the research protocol over the course of 4 weeks, also led by the first author. The program included psychoeducation about childhood ADHD and thorough review of both treatment manuals, including a point-by-point review of each session/class outline. The relevant integrity checklist also was reviewed with each session/class outline to ensure adherence to both treatment manuals. Coleaders also participated in a 2-day cultural competence workshop provided by an expert in culturally competent mental health treatment and culturally adapted parent training programs. Throughout treatment, coleaders participated in weekly group supervision with the first author; adherence to integrity checklists also was discussed each week.</w:t>
      </w:r>
    </w:p>
    <w:p w14:paraId="293FCF3E" w14:textId="77777777" w:rsidR="00670DB4" w:rsidRDefault="00670DB4" w:rsidP="00670DB4">
      <w:pPr>
        <w:pStyle w:val="NoSpacing"/>
      </w:pPr>
    </w:p>
    <w:p w14:paraId="203649C4" w14:textId="77777777" w:rsidR="00450F81" w:rsidRDefault="00450F81" w:rsidP="00EB1A84">
      <w:pPr>
        <w:pStyle w:val="Heading3"/>
      </w:pPr>
      <w:r>
        <w:t>Integrity checklists</w:t>
      </w:r>
    </w:p>
    <w:p w14:paraId="5DB899C6" w14:textId="0FFE4E99" w:rsidR="00450F81" w:rsidRDefault="00450F81" w:rsidP="00670DB4">
      <w:pPr>
        <w:pStyle w:val="NoSpacing"/>
      </w:pPr>
      <w:r>
        <w:t>The bilingual undergraduate students who completed the integrity checklists participated in the same intensive training program, cultural competence workshop, and weekly supervision described above. To ensure adherence to the treatment manuals, these students were trained to check off each bullet point in the session/class outline as it was discussed and to alert the coleaders as soon as was feasible if a bullet point was missed. Given that the students were present during the sessions/classes, this system allowed the team to achieve 100% adherence to both treatment manuals.</w:t>
      </w:r>
    </w:p>
    <w:p w14:paraId="2A1A0B97" w14:textId="77777777" w:rsidR="00670DB4" w:rsidRDefault="00670DB4" w:rsidP="00670DB4">
      <w:pPr>
        <w:pStyle w:val="NoSpacing"/>
      </w:pPr>
    </w:p>
    <w:p w14:paraId="0DF03C44" w14:textId="77777777" w:rsidR="00450F81" w:rsidRDefault="00450F81" w:rsidP="00EB1A84">
      <w:pPr>
        <w:pStyle w:val="Heading2"/>
      </w:pPr>
      <w:r>
        <w:t>Assessment Only Measures</w:t>
      </w:r>
    </w:p>
    <w:p w14:paraId="5444AF6E" w14:textId="77777777" w:rsidR="00450F81" w:rsidRDefault="00450F81" w:rsidP="00EB1A84">
      <w:pPr>
        <w:pStyle w:val="Heading3"/>
        <w:rPr>
          <w:b/>
          <w:bCs/>
        </w:rPr>
      </w:pPr>
      <w:r>
        <w:t>Client information form</w:t>
      </w:r>
    </w:p>
    <w:p w14:paraId="6A0AE7AC" w14:textId="443B68B0" w:rsidR="00450F81" w:rsidRDefault="00450F81" w:rsidP="00670DB4">
      <w:pPr>
        <w:pStyle w:val="NoSpacing"/>
      </w:pPr>
      <w:r>
        <w:t>A client information form was completed by the primary caregiver as part of the comprehensive assessment. The form was used to collect basic demographic information, such as child age, gender, and ethnicity, as well as parental education and occupation.</w:t>
      </w:r>
    </w:p>
    <w:p w14:paraId="362BF0B2" w14:textId="77777777" w:rsidR="00670DB4" w:rsidRDefault="00670DB4" w:rsidP="00670DB4">
      <w:pPr>
        <w:pStyle w:val="NoSpacing"/>
      </w:pPr>
    </w:p>
    <w:p w14:paraId="3F66B416" w14:textId="77777777" w:rsidR="00450F81" w:rsidRDefault="00450F81" w:rsidP="00EB1A84">
      <w:pPr>
        <w:pStyle w:val="Heading3"/>
      </w:pPr>
      <w:r>
        <w:lastRenderedPageBreak/>
        <w:t>CBCL and TRF</w:t>
      </w:r>
    </w:p>
    <w:p w14:paraId="62177A78" w14:textId="16962792" w:rsidR="00450F81" w:rsidRPr="00670DB4" w:rsidRDefault="00450F81" w:rsidP="00670DB4">
      <w:pPr>
        <w:pStyle w:val="NoSpacing"/>
        <w:rPr>
          <w:rFonts w:cstheme="minorHAnsi"/>
        </w:rPr>
      </w:pPr>
      <w:r w:rsidRPr="00670DB4">
        <w:rPr>
          <w:rFonts w:cstheme="minorHAnsi"/>
        </w:rPr>
        <w:t>The age-appropriate version of the CBCL and TRF (</w:t>
      </w:r>
      <w:hyperlink r:id="rId55" w:history="1">
        <w:r w:rsidRPr="00670DB4">
          <w:rPr>
            <w:rStyle w:val="Hyperlink"/>
            <w:rFonts w:eastAsiaTheme="majorEastAsia" w:cstheme="minorHAnsi"/>
            <w:color w:val="006ACC"/>
          </w:rPr>
          <w:t>Achenbach &amp; Rescorla, 2001</w:t>
        </w:r>
      </w:hyperlink>
      <w:r w:rsidRPr="00670DB4">
        <w:rPr>
          <w:rFonts w:cstheme="minorHAnsi"/>
        </w:rPr>
        <w:t>), parent- and teacher-report measures, respectively, assessing a broad range of child behaviors, was completed by the primary caregiver and teacher as part of the assessment. The version for 6- to 18-year-olds consists of 112 to 113 items, and the version for 1½- to 5-year-olds consists of 100 items. Sound psychometrics for the Spanish translation of the CBCL and English version of the TRF completed in the current study have been reported (</w:t>
      </w:r>
      <w:hyperlink r:id="rId56" w:history="1">
        <w:r w:rsidRPr="00670DB4">
          <w:rPr>
            <w:rStyle w:val="Hyperlink"/>
            <w:rFonts w:eastAsiaTheme="majorEastAsia" w:cstheme="minorHAnsi"/>
            <w:color w:val="006ACC"/>
          </w:rPr>
          <w:t>Achenbach &amp; Rescorla, 2001</w:t>
        </w:r>
      </w:hyperlink>
      <w:r w:rsidRPr="00670DB4">
        <w:rPr>
          <w:rFonts w:cstheme="minorHAnsi"/>
        </w:rPr>
        <w:t>; </w:t>
      </w:r>
      <w:hyperlink r:id="rId57" w:history="1">
        <w:r w:rsidRPr="00670DB4">
          <w:rPr>
            <w:rStyle w:val="Hyperlink"/>
            <w:rFonts w:eastAsiaTheme="majorEastAsia" w:cstheme="minorHAnsi"/>
            <w:color w:val="006ACC"/>
          </w:rPr>
          <w:t>Rubio-Stipec, Bird, Canino, &amp; Gould, 1990</w:t>
        </w:r>
      </w:hyperlink>
      <w:r w:rsidRPr="00670DB4">
        <w:rPr>
          <w:rFonts w:cstheme="minorHAnsi"/>
        </w:rPr>
        <w:t>).</w:t>
      </w:r>
    </w:p>
    <w:p w14:paraId="1978C19E" w14:textId="77777777" w:rsidR="00670DB4" w:rsidRPr="00670DB4" w:rsidRDefault="00670DB4" w:rsidP="00670DB4">
      <w:pPr>
        <w:pStyle w:val="NoSpacing"/>
        <w:rPr>
          <w:rFonts w:cstheme="minorHAnsi"/>
        </w:rPr>
      </w:pPr>
    </w:p>
    <w:p w14:paraId="39C23C90" w14:textId="77777777" w:rsidR="00450F81" w:rsidRDefault="00450F81" w:rsidP="00EB1A84">
      <w:pPr>
        <w:pStyle w:val="Heading3"/>
      </w:pPr>
      <w:r>
        <w:t>CDI 2 and RCMAS-2</w:t>
      </w:r>
    </w:p>
    <w:p w14:paraId="6B9A3A86" w14:textId="39B19A97" w:rsidR="00450F81" w:rsidRPr="00670DB4" w:rsidRDefault="00450F81" w:rsidP="00670DB4">
      <w:pPr>
        <w:pStyle w:val="NoSpacing"/>
        <w:rPr>
          <w:rFonts w:cstheme="minorHAnsi"/>
          <w:color w:val="333333"/>
        </w:rPr>
      </w:pPr>
      <w:r w:rsidRPr="00670DB4">
        <w:rPr>
          <w:rFonts w:cstheme="minorHAnsi"/>
          <w:color w:val="333333"/>
        </w:rPr>
        <w:t>The CDI 2 and RCMAS-2 (</w:t>
      </w:r>
      <w:hyperlink r:id="rId58" w:history="1">
        <w:r w:rsidRPr="00670DB4">
          <w:rPr>
            <w:rStyle w:val="Hyperlink"/>
            <w:rFonts w:eastAsiaTheme="majorEastAsia" w:cstheme="minorHAnsi"/>
            <w:color w:val="006ACC"/>
          </w:rPr>
          <w:t>Kovacs &amp; MHS Staff, 2011</w:t>
        </w:r>
      </w:hyperlink>
      <w:r w:rsidRPr="00670DB4">
        <w:rPr>
          <w:rFonts w:cstheme="minorHAnsi"/>
          <w:color w:val="333333"/>
        </w:rPr>
        <w:t>; </w:t>
      </w:r>
      <w:hyperlink r:id="rId59" w:history="1">
        <w:r w:rsidRPr="00670DB4">
          <w:rPr>
            <w:rStyle w:val="Hyperlink"/>
            <w:rFonts w:eastAsiaTheme="majorEastAsia" w:cstheme="minorHAnsi"/>
            <w:color w:val="006ACC"/>
          </w:rPr>
          <w:t>Reynolds &amp; Richmond, 2008</w:t>
        </w:r>
      </w:hyperlink>
      <w:r w:rsidRPr="00670DB4">
        <w:rPr>
          <w:rFonts w:cstheme="minorHAnsi"/>
          <w:color w:val="333333"/>
        </w:rPr>
        <w:t>), self-report measures of depressive and anxiety symptoms, respectively, were completed by children who met the minimum age requirement at the time of the assessment. The CDI 2 consists of 28 items on a 3-point scale; the RCMAS-2 consists of 49 items presented in a yes or no format. Children completed the measures in either English or Spanish, depending on their language preference. Both English and Spanish versions of both measures have demonstrated good reliability (</w:t>
      </w:r>
      <w:hyperlink r:id="rId60" w:history="1">
        <w:r w:rsidRPr="00670DB4">
          <w:rPr>
            <w:rStyle w:val="Hyperlink"/>
            <w:rFonts w:eastAsiaTheme="majorEastAsia" w:cstheme="minorHAnsi"/>
            <w:color w:val="006ACC"/>
          </w:rPr>
          <w:t>Davanzo et al., 2004</w:t>
        </w:r>
      </w:hyperlink>
      <w:r w:rsidRPr="00670DB4">
        <w:rPr>
          <w:rFonts w:cstheme="minorHAnsi"/>
          <w:color w:val="333333"/>
        </w:rPr>
        <w:t>; Kovacs &amp; </w:t>
      </w:r>
      <w:hyperlink r:id="rId61" w:history="1">
        <w:r w:rsidRPr="00670DB4">
          <w:rPr>
            <w:rStyle w:val="Hyperlink"/>
            <w:rFonts w:eastAsiaTheme="majorEastAsia" w:cstheme="minorHAnsi"/>
            <w:color w:val="006ACC"/>
          </w:rPr>
          <w:t>MHS Staff, 2011</w:t>
        </w:r>
      </w:hyperlink>
      <w:r w:rsidRPr="00670DB4">
        <w:rPr>
          <w:rFonts w:cstheme="minorHAnsi"/>
          <w:color w:val="333333"/>
        </w:rPr>
        <w:t>; </w:t>
      </w:r>
      <w:hyperlink r:id="rId62" w:history="1">
        <w:r w:rsidRPr="00670DB4">
          <w:rPr>
            <w:rStyle w:val="Hyperlink"/>
            <w:rFonts w:eastAsiaTheme="majorEastAsia" w:cstheme="minorHAnsi"/>
            <w:color w:val="006ACC"/>
          </w:rPr>
          <w:t>Leibach et al., 2015</w:t>
        </w:r>
      </w:hyperlink>
      <w:r w:rsidRPr="00670DB4">
        <w:rPr>
          <w:rFonts w:cstheme="minorHAnsi"/>
          <w:color w:val="333333"/>
        </w:rPr>
        <w:t>; </w:t>
      </w:r>
      <w:hyperlink r:id="rId63" w:history="1">
        <w:r w:rsidRPr="00670DB4">
          <w:rPr>
            <w:rStyle w:val="Hyperlink"/>
            <w:rFonts w:eastAsiaTheme="majorEastAsia" w:cstheme="minorHAnsi"/>
            <w:color w:val="006ACC"/>
          </w:rPr>
          <w:t>Reynolds &amp; Richmond, 2008</w:t>
        </w:r>
      </w:hyperlink>
      <w:r w:rsidRPr="00670DB4">
        <w:rPr>
          <w:rFonts w:cstheme="minorHAnsi"/>
          <w:color w:val="333333"/>
        </w:rPr>
        <w:t>).</w:t>
      </w:r>
    </w:p>
    <w:p w14:paraId="6D8478C1" w14:textId="77777777" w:rsidR="00670DB4" w:rsidRPr="00670DB4" w:rsidRDefault="00670DB4" w:rsidP="00670DB4">
      <w:pPr>
        <w:pStyle w:val="NoSpacing"/>
        <w:rPr>
          <w:rFonts w:cstheme="minorHAnsi"/>
          <w:color w:val="333333"/>
        </w:rPr>
      </w:pPr>
    </w:p>
    <w:p w14:paraId="16C41B32" w14:textId="77777777" w:rsidR="00450F81" w:rsidRDefault="00450F81" w:rsidP="00EB1A84">
      <w:pPr>
        <w:pStyle w:val="Heading2"/>
      </w:pPr>
      <w:r>
        <w:t>Economic and Cultural Measures</w:t>
      </w:r>
    </w:p>
    <w:p w14:paraId="7C541205" w14:textId="77777777" w:rsidR="00450F81" w:rsidRDefault="00450F81" w:rsidP="00EB1A84">
      <w:pPr>
        <w:pStyle w:val="Heading3"/>
        <w:rPr>
          <w:b/>
          <w:bCs/>
        </w:rPr>
      </w:pPr>
      <w:r>
        <w:t>SES</w:t>
      </w:r>
    </w:p>
    <w:p w14:paraId="4044473F" w14:textId="1F5FB203" w:rsidR="00450F81" w:rsidRDefault="00450F81" w:rsidP="00670DB4">
      <w:pPr>
        <w:pStyle w:val="NoSpacing"/>
      </w:pPr>
      <w:r>
        <w:t>Hollingshead’s Four Factor Index of Social Status (</w:t>
      </w:r>
      <w:hyperlink r:id="rId64" w:history="1">
        <w:r>
          <w:rPr>
            <w:rStyle w:val="Hyperlink"/>
            <w:rFonts w:ascii="Arial" w:eastAsiaTheme="majorEastAsia" w:hAnsi="Arial" w:cs="Arial"/>
            <w:color w:val="006ACC"/>
          </w:rPr>
          <w:t>Hollingshead, 1975</w:t>
        </w:r>
      </w:hyperlink>
      <w:r>
        <w:t>) was used to compute SES for each family. Specifically, education and occupation of the parents currently living in the home at the time of the assessment were used to compute family SES. This information was provided in the Client Information Form described above.</w:t>
      </w:r>
    </w:p>
    <w:p w14:paraId="353CD5BD" w14:textId="77777777" w:rsidR="00670DB4" w:rsidRDefault="00670DB4" w:rsidP="00670DB4">
      <w:pPr>
        <w:pStyle w:val="NoSpacing"/>
      </w:pPr>
    </w:p>
    <w:p w14:paraId="166E186D" w14:textId="77777777" w:rsidR="00450F81" w:rsidRDefault="00450F81" w:rsidP="00EB1A84">
      <w:pPr>
        <w:pStyle w:val="Heading3"/>
      </w:pPr>
      <w:r>
        <w:t>Acculturation Rating Scale for Mexican Americans-II (ARSMA-II)</w:t>
      </w:r>
    </w:p>
    <w:p w14:paraId="18ABCD97" w14:textId="79E0736C" w:rsidR="00450F81" w:rsidRPr="00670DB4" w:rsidRDefault="00450F81" w:rsidP="00670DB4">
      <w:pPr>
        <w:pStyle w:val="NoSpacing"/>
        <w:rPr>
          <w:rFonts w:cstheme="minorHAnsi"/>
        </w:rPr>
      </w:pPr>
      <w:r w:rsidRPr="00670DB4">
        <w:rPr>
          <w:rFonts w:cstheme="minorHAnsi"/>
        </w:rPr>
        <w:t>The ARSMA-II, a self-report measure of behavioral acculturation, was completed individually by mothers and fathers prior to treatment (</w:t>
      </w:r>
      <w:hyperlink r:id="rId65" w:history="1">
        <w:r w:rsidRPr="00670DB4">
          <w:rPr>
            <w:rStyle w:val="Hyperlink"/>
            <w:rFonts w:eastAsiaTheme="majorEastAsia" w:cstheme="minorHAnsi"/>
            <w:color w:val="006ACC"/>
          </w:rPr>
          <w:t>Cuellar, Arnold, &amp; Maldonado, 1995</w:t>
        </w:r>
      </w:hyperlink>
      <w:r w:rsidRPr="00670DB4">
        <w:rPr>
          <w:rFonts w:cstheme="minorHAnsi"/>
        </w:rPr>
        <w:t>). It consists of 30 items, making up two subscales—Anglo Orientation (AOS) and Mexican/Latino Orientation (MOS/LOS), which were examined in the current study. Each item is rated on a 5-point scale, ranging from “not at all” to “extremely often/almost always,” with higher scores indicating greater orientation to Anglo or Mexican/Latino culture, depending on which subscale is being examined. Psychometric properties for the Spanish translation have been well-established (</w:t>
      </w:r>
      <w:hyperlink r:id="rId66" w:history="1">
        <w:r w:rsidRPr="00670DB4">
          <w:rPr>
            <w:rStyle w:val="Hyperlink"/>
            <w:rFonts w:eastAsiaTheme="majorEastAsia" w:cstheme="minorHAnsi"/>
            <w:color w:val="006ACC"/>
          </w:rPr>
          <w:t>Cuellar et al., 1995</w:t>
        </w:r>
      </w:hyperlink>
      <w:r w:rsidRPr="00670DB4">
        <w:rPr>
          <w:rFonts w:cstheme="minorHAnsi"/>
        </w:rPr>
        <w:t>) and were maintained when making minor wording changes to allow for a broader use of the measure (e.g., “Mexican” was changed to “Latino”; </w:t>
      </w:r>
      <w:hyperlink r:id="rId67" w:history="1">
        <w:r w:rsidRPr="00670DB4">
          <w:rPr>
            <w:rStyle w:val="Hyperlink"/>
            <w:rFonts w:eastAsiaTheme="majorEastAsia" w:cstheme="minorHAnsi"/>
            <w:color w:val="006ACC"/>
          </w:rPr>
          <w:t>Steidel &amp; Contreras, 2003</w:t>
        </w:r>
      </w:hyperlink>
      <w:r w:rsidRPr="00670DB4">
        <w:rPr>
          <w:rFonts w:cstheme="minorHAnsi"/>
        </w:rPr>
        <w:t>). In the current study, the measure displayed good reliability for the AOS and MOS/LOS subscales for mothers (Cronbach’s αs = .91 and .82, respectively) and fathers (Cronbach’s αs = .92 and .83, respectively).</w:t>
      </w:r>
    </w:p>
    <w:p w14:paraId="32B8E62E" w14:textId="77777777" w:rsidR="00670DB4" w:rsidRPr="00670DB4" w:rsidRDefault="00670DB4" w:rsidP="00670DB4">
      <w:pPr>
        <w:pStyle w:val="NoSpacing"/>
        <w:rPr>
          <w:rFonts w:cstheme="minorHAnsi"/>
        </w:rPr>
      </w:pPr>
    </w:p>
    <w:p w14:paraId="11FAD1FB" w14:textId="77777777" w:rsidR="00450F81" w:rsidRDefault="00450F81" w:rsidP="00EB1A84">
      <w:pPr>
        <w:pStyle w:val="Heading3"/>
      </w:pPr>
      <w:r>
        <w:t>Mexican American Cultural Values Scale for adolescents and adults (MACVS)</w:t>
      </w:r>
    </w:p>
    <w:p w14:paraId="5E563F88" w14:textId="22D22684" w:rsidR="00450F81" w:rsidRPr="00670DB4" w:rsidRDefault="00450F81" w:rsidP="00670DB4">
      <w:pPr>
        <w:pStyle w:val="NoSpacing"/>
        <w:rPr>
          <w:rFonts w:cstheme="minorHAnsi"/>
        </w:rPr>
      </w:pPr>
      <w:r w:rsidRPr="00670DB4">
        <w:rPr>
          <w:rFonts w:cstheme="minorHAnsi"/>
        </w:rPr>
        <w:t>The MACVS (</w:t>
      </w:r>
      <w:hyperlink r:id="rId68" w:history="1">
        <w:r w:rsidRPr="00670DB4">
          <w:rPr>
            <w:rStyle w:val="Hyperlink"/>
            <w:rFonts w:eastAsiaTheme="majorEastAsia" w:cstheme="minorHAnsi"/>
            <w:color w:val="006ACC"/>
          </w:rPr>
          <w:t>Knight et al., 2010</w:t>
        </w:r>
      </w:hyperlink>
      <w:r w:rsidRPr="00670DB4">
        <w:rPr>
          <w:rFonts w:cstheme="minorHAnsi"/>
        </w:rPr>
        <w:t>), a self-report measure of cultural value orientation, was completed individually by mothers and fathers prior to treatment. It consists of 50 items, making up two subscales—Mainstream Values (MV) and Latino American Values (LAV), both of which were examined in the current study. Items are rated on a 5-point scale, ranging from </w:t>
      </w:r>
      <w:r w:rsidRPr="00670DB4">
        <w:rPr>
          <w:rFonts w:cstheme="minorHAnsi"/>
          <w:i/>
          <w:iCs/>
        </w:rPr>
        <w:t>not at all</w:t>
      </w:r>
      <w:r w:rsidRPr="00670DB4">
        <w:rPr>
          <w:rFonts w:cstheme="minorHAnsi"/>
        </w:rPr>
        <w:t> to </w:t>
      </w:r>
      <w:r w:rsidRPr="00670DB4">
        <w:rPr>
          <w:rFonts w:cstheme="minorHAnsi"/>
          <w:i/>
          <w:iCs/>
        </w:rPr>
        <w:t>completely believe</w:t>
      </w:r>
      <w:r w:rsidRPr="00670DB4">
        <w:rPr>
          <w:rFonts w:cstheme="minorHAnsi"/>
        </w:rPr>
        <w:t>, with higher scores indicating greater orientation to MV or LAV, depending on which subscale is being examined. Strong psychometrics for the Spanish translation have been demonstrated (</w:t>
      </w:r>
      <w:hyperlink r:id="rId69" w:history="1">
        <w:r w:rsidRPr="00670DB4">
          <w:rPr>
            <w:rStyle w:val="Hyperlink"/>
            <w:rFonts w:eastAsiaTheme="majorEastAsia" w:cstheme="minorHAnsi"/>
            <w:color w:val="006ACC"/>
          </w:rPr>
          <w:t>Knight et al., 2010</w:t>
        </w:r>
      </w:hyperlink>
      <w:r w:rsidRPr="00670DB4">
        <w:rPr>
          <w:rFonts w:cstheme="minorHAnsi"/>
        </w:rPr>
        <w:t>). In the current study, the measure displayed good reliability for the MV and LAV for mothers (Cronbach’s αs = .70 and .88, respectively) and fathers (Cronbach’s αs = .73 and .89, respectively).</w:t>
      </w:r>
    </w:p>
    <w:p w14:paraId="731C5DE2" w14:textId="77777777" w:rsidR="00670DB4" w:rsidRPr="00670DB4" w:rsidRDefault="00670DB4" w:rsidP="00670DB4">
      <w:pPr>
        <w:pStyle w:val="NoSpacing"/>
        <w:rPr>
          <w:rFonts w:cstheme="minorHAnsi"/>
        </w:rPr>
      </w:pPr>
    </w:p>
    <w:p w14:paraId="2DD02AD6" w14:textId="77777777" w:rsidR="00450F81" w:rsidRDefault="00450F81" w:rsidP="00EB1A84">
      <w:pPr>
        <w:pStyle w:val="Heading2"/>
      </w:pPr>
      <w:r>
        <w:lastRenderedPageBreak/>
        <w:t>Child Symptomatology and Functional Impairment Measures</w:t>
      </w:r>
    </w:p>
    <w:p w14:paraId="260812D5" w14:textId="77777777" w:rsidR="00450F81" w:rsidRDefault="00450F81" w:rsidP="00EB1A84">
      <w:pPr>
        <w:pStyle w:val="Heading3"/>
        <w:rPr>
          <w:b/>
          <w:bCs/>
        </w:rPr>
      </w:pPr>
      <w:r>
        <w:t>DBD Rating Scale</w:t>
      </w:r>
    </w:p>
    <w:p w14:paraId="1EC74CF9" w14:textId="6F3BF9D6" w:rsidR="00450F81" w:rsidRPr="0008002D" w:rsidRDefault="00450F81" w:rsidP="0008002D">
      <w:pPr>
        <w:pStyle w:val="NoSpacing"/>
        <w:rPr>
          <w:rFonts w:cstheme="minorHAnsi"/>
        </w:rPr>
      </w:pPr>
      <w:r w:rsidRPr="0008002D">
        <w:rPr>
          <w:rFonts w:cstheme="minorHAnsi"/>
        </w:rPr>
        <w:t>The DBD Rating Scale, a parent- and teacher-report measure of the </w:t>
      </w:r>
      <w:r w:rsidRPr="0008002D">
        <w:rPr>
          <w:rFonts w:cstheme="minorHAnsi"/>
          <w:i/>
          <w:iCs/>
        </w:rPr>
        <w:t>DSM</w:t>
      </w:r>
      <w:r w:rsidRPr="0008002D">
        <w:rPr>
          <w:rFonts w:cstheme="minorHAnsi"/>
        </w:rPr>
        <w:t> symptoms of ADHD, Oppositional Defiant Disorder, and Conduct Disorder, was completed by the primary caregiver and primary teacher both pre- and posttreatment (</w:t>
      </w:r>
      <w:hyperlink r:id="rId70" w:history="1">
        <w:r w:rsidRPr="0008002D">
          <w:rPr>
            <w:rStyle w:val="Hyperlink"/>
            <w:rFonts w:eastAsiaTheme="majorEastAsia" w:cstheme="minorHAnsi"/>
            <w:color w:val="006ACC"/>
          </w:rPr>
          <w:t>Gerdes et al., 2013</w:t>
        </w:r>
      </w:hyperlink>
      <w:r w:rsidRPr="0008002D">
        <w:rPr>
          <w:rFonts w:cstheme="minorHAnsi"/>
        </w:rPr>
        <w:t>; </w:t>
      </w:r>
      <w:hyperlink r:id="rId71" w:history="1">
        <w:r w:rsidRPr="0008002D">
          <w:rPr>
            <w:rStyle w:val="Hyperlink"/>
            <w:rFonts w:eastAsiaTheme="majorEastAsia" w:cstheme="minorHAnsi"/>
            <w:color w:val="006ACC"/>
          </w:rPr>
          <w:t>Pelham et al., 1992</w:t>
        </w:r>
      </w:hyperlink>
      <w:r w:rsidRPr="0008002D">
        <w:rPr>
          <w:rFonts w:cstheme="minorHAnsi"/>
        </w:rPr>
        <w:t>). It consists of 45 items that are rated on a 4-point scale, ranging from </w:t>
      </w:r>
      <w:r w:rsidRPr="0008002D">
        <w:rPr>
          <w:rFonts w:cstheme="minorHAnsi"/>
          <w:i/>
          <w:iCs/>
        </w:rPr>
        <w:t>not at all present</w:t>
      </w:r>
      <w:r w:rsidRPr="0008002D">
        <w:rPr>
          <w:rFonts w:cstheme="minorHAnsi"/>
        </w:rPr>
        <w:t> to </w:t>
      </w:r>
      <w:r w:rsidRPr="0008002D">
        <w:rPr>
          <w:rFonts w:cstheme="minorHAnsi"/>
          <w:i/>
          <w:iCs/>
        </w:rPr>
        <w:t>very much present</w:t>
      </w:r>
      <w:r w:rsidRPr="0008002D">
        <w:rPr>
          <w:rFonts w:cstheme="minorHAnsi"/>
        </w:rPr>
        <w:t>. For purposes of the current study, a mean was computed for the nine inattentive items and the nine hyperactive/impulsive items, with higher scores representing greater symptomatology in those domains. Research demonstrates sound psychometrics for the original English version (completed by teachers; </w:t>
      </w:r>
      <w:hyperlink r:id="rId72" w:history="1">
        <w:r w:rsidRPr="0008002D">
          <w:rPr>
            <w:rStyle w:val="Hyperlink"/>
            <w:rFonts w:eastAsiaTheme="majorEastAsia" w:cstheme="minorHAnsi"/>
            <w:color w:val="006ACC"/>
          </w:rPr>
          <w:t>Pelham et al., 1992</w:t>
        </w:r>
      </w:hyperlink>
      <w:r w:rsidRPr="0008002D">
        <w:rPr>
          <w:rFonts w:cstheme="minorHAnsi"/>
        </w:rPr>
        <w:t>) and the Spanish translation (completed by parents; </w:t>
      </w:r>
      <w:hyperlink r:id="rId73" w:history="1">
        <w:r w:rsidRPr="0008002D">
          <w:rPr>
            <w:rStyle w:val="Hyperlink"/>
            <w:rFonts w:eastAsiaTheme="majorEastAsia" w:cstheme="minorHAnsi"/>
            <w:color w:val="006ACC"/>
          </w:rPr>
          <w:t>Gerdes et al., 2013</w:t>
        </w:r>
      </w:hyperlink>
      <w:r w:rsidRPr="0008002D">
        <w:rPr>
          <w:rFonts w:cstheme="minorHAnsi"/>
        </w:rPr>
        <w:t>). In the current study, the measure displayed good reliability for parent reports of inattention and hyperactivity/impulsivity (Cronbach’s αs = .90 and .89, respectively) and teacher reports of inattention and hyperactivity/impulsivity (Cronbach’s αs = .91 and .88, respectively).</w:t>
      </w:r>
    </w:p>
    <w:p w14:paraId="6AEC7735" w14:textId="77777777" w:rsidR="0008002D" w:rsidRPr="0008002D" w:rsidRDefault="0008002D" w:rsidP="0008002D">
      <w:pPr>
        <w:pStyle w:val="NoSpacing"/>
        <w:rPr>
          <w:rFonts w:cstheme="minorHAnsi"/>
        </w:rPr>
      </w:pPr>
    </w:p>
    <w:p w14:paraId="5EE0ACE5" w14:textId="77777777" w:rsidR="00450F81" w:rsidRDefault="00450F81" w:rsidP="00EB1A84">
      <w:pPr>
        <w:pStyle w:val="Heading3"/>
      </w:pPr>
      <w:r>
        <w:t>ADHD-FX Scale</w:t>
      </w:r>
    </w:p>
    <w:p w14:paraId="6C55AF1F" w14:textId="5696671C" w:rsidR="00450F81" w:rsidRPr="0008002D" w:rsidRDefault="00450F81" w:rsidP="0008002D">
      <w:pPr>
        <w:pStyle w:val="NoSpacing"/>
        <w:rPr>
          <w:rFonts w:cstheme="minorHAnsi"/>
        </w:rPr>
      </w:pPr>
      <w:r w:rsidRPr="0008002D">
        <w:rPr>
          <w:rFonts w:cstheme="minorHAnsi"/>
        </w:rPr>
        <w:t>The ADHD-FX Scale (</w:t>
      </w:r>
      <w:hyperlink r:id="rId74" w:history="1">
        <w:r w:rsidRPr="0008002D">
          <w:rPr>
            <w:rStyle w:val="Hyperlink"/>
            <w:rFonts w:eastAsiaTheme="majorEastAsia" w:cstheme="minorHAnsi"/>
            <w:color w:val="006ACC"/>
          </w:rPr>
          <w:t>Haack, Gerdes, et al., 2016</w:t>
        </w:r>
      </w:hyperlink>
      <w:r w:rsidRPr="0008002D">
        <w:rPr>
          <w:rFonts w:cstheme="minorHAnsi"/>
        </w:rPr>
        <w:t>), a parent- and teacher-report measure of functional impairment commonly experienced by youth with ADHD, was completed by the primary caregiver and primary teacher both pre- and posttreatment. The parent portion consists of 32 items across the domains of home and school, and the teacher portion consists of 19 items in the school setting. Items are rated on a 4-point scale, ranging from </w:t>
      </w:r>
      <w:r w:rsidRPr="0008002D">
        <w:rPr>
          <w:rFonts w:cstheme="minorHAnsi"/>
          <w:i/>
          <w:iCs/>
        </w:rPr>
        <w:t>not at all</w:t>
      </w:r>
      <w:r w:rsidRPr="0008002D">
        <w:rPr>
          <w:rFonts w:cstheme="minorHAnsi"/>
        </w:rPr>
        <w:t> to </w:t>
      </w:r>
      <w:r w:rsidRPr="0008002D">
        <w:rPr>
          <w:rFonts w:cstheme="minorHAnsi"/>
          <w:i/>
          <w:iCs/>
        </w:rPr>
        <w:t>a lot</w:t>
      </w:r>
      <w:r w:rsidRPr="0008002D">
        <w:rPr>
          <w:rFonts w:cstheme="minorHAnsi"/>
        </w:rPr>
        <w:t>. For purposes of the current study, a mean was computed for parent-report of functional impairment in the home and for teacher-report of functional impairment at school, with higher scores representing greater impairment. It is normed for youth aged 5 to 15 years and demonstrates sound psychometrics for both the English version (completed by teachers) and Spanish version (completed by parents; </w:t>
      </w:r>
      <w:hyperlink r:id="rId75" w:history="1">
        <w:r w:rsidRPr="0008002D">
          <w:rPr>
            <w:rStyle w:val="Hyperlink"/>
            <w:rFonts w:eastAsiaTheme="majorEastAsia" w:cstheme="minorHAnsi"/>
            <w:color w:val="006ACC"/>
          </w:rPr>
          <w:t>Haack, Gonring, Harris, Gerdes, &amp; Pfiffner, 2016</w:t>
        </w:r>
      </w:hyperlink>
      <w:r w:rsidRPr="0008002D">
        <w:rPr>
          <w:rFonts w:cstheme="minorHAnsi"/>
        </w:rPr>
        <w:t>). In the current study, the measure displayed good reliability for parent-reported home impairment (Cronbach’s α = .95) and teacher-reported school impairment (Cronbach’s α = .94).</w:t>
      </w:r>
    </w:p>
    <w:p w14:paraId="62FE7DC1" w14:textId="77777777" w:rsidR="0008002D" w:rsidRPr="0008002D" w:rsidRDefault="0008002D" w:rsidP="0008002D">
      <w:pPr>
        <w:pStyle w:val="NoSpacing"/>
        <w:rPr>
          <w:rFonts w:cstheme="minorHAnsi"/>
        </w:rPr>
      </w:pPr>
    </w:p>
    <w:p w14:paraId="2E2C219D" w14:textId="77777777" w:rsidR="00450F81" w:rsidRDefault="00450F81" w:rsidP="00EB1A84">
      <w:pPr>
        <w:pStyle w:val="Heading2"/>
      </w:pPr>
      <w:r>
        <w:t>Parental and Family Functioning Measures</w:t>
      </w:r>
    </w:p>
    <w:p w14:paraId="6E12467E" w14:textId="77777777" w:rsidR="00450F81" w:rsidRDefault="00450F81" w:rsidP="00EB1A84">
      <w:pPr>
        <w:pStyle w:val="Heading3"/>
        <w:rPr>
          <w:b/>
          <w:bCs/>
        </w:rPr>
      </w:pPr>
      <w:r>
        <w:t>Parenting Stress Index-4–Short Form (PSI-4-SF)</w:t>
      </w:r>
    </w:p>
    <w:p w14:paraId="4E275465" w14:textId="7D53DC6F" w:rsidR="00450F81" w:rsidRPr="0008002D" w:rsidRDefault="00450F81" w:rsidP="0008002D">
      <w:pPr>
        <w:pStyle w:val="NoSpacing"/>
        <w:rPr>
          <w:rFonts w:cstheme="minorHAnsi"/>
        </w:rPr>
      </w:pPr>
      <w:r w:rsidRPr="0008002D">
        <w:rPr>
          <w:rFonts w:cstheme="minorHAnsi"/>
        </w:rPr>
        <w:t>The PSI-4-SF (</w:t>
      </w:r>
      <w:hyperlink r:id="rId76" w:history="1">
        <w:r w:rsidRPr="0008002D">
          <w:rPr>
            <w:rStyle w:val="Hyperlink"/>
            <w:rFonts w:eastAsiaTheme="majorEastAsia" w:cstheme="minorHAnsi"/>
            <w:color w:val="006ACC"/>
          </w:rPr>
          <w:t>Abidin, 2012</w:t>
        </w:r>
      </w:hyperlink>
      <w:r w:rsidRPr="0008002D">
        <w:rPr>
          <w:rFonts w:cstheme="minorHAnsi"/>
        </w:rPr>
        <w:t>), a parent-report measure of parenting stress, was completed individually by mothers and fathers both pre- and posttreatment. It consists of 36 items rated on a 5-point scale, ranging from </w:t>
      </w:r>
      <w:r w:rsidRPr="0008002D">
        <w:rPr>
          <w:rFonts w:cstheme="minorHAnsi"/>
          <w:i/>
          <w:iCs/>
        </w:rPr>
        <w:t>strongly agree</w:t>
      </w:r>
      <w:r w:rsidRPr="0008002D">
        <w:rPr>
          <w:rFonts w:cstheme="minorHAnsi"/>
        </w:rPr>
        <w:t> to </w:t>
      </w:r>
      <w:r w:rsidRPr="0008002D">
        <w:rPr>
          <w:rFonts w:cstheme="minorHAnsi"/>
          <w:i/>
          <w:iCs/>
        </w:rPr>
        <w:t>strongly disagree</w:t>
      </w:r>
      <w:r w:rsidRPr="0008002D">
        <w:rPr>
          <w:rFonts w:cstheme="minorHAnsi"/>
        </w:rPr>
        <w:t>. Total parenting stress (sum of all 36 items) reported by each parent who participated in treatment was used in the current study, with higher scores indicating greater levels of parenting stress. </w:t>
      </w:r>
      <w:hyperlink r:id="rId77" w:history="1">
        <w:r w:rsidRPr="0008002D">
          <w:rPr>
            <w:rStyle w:val="Hyperlink"/>
            <w:rFonts w:eastAsiaTheme="majorEastAsia" w:cstheme="minorHAnsi"/>
            <w:color w:val="006ACC"/>
          </w:rPr>
          <w:t>Kim, Lau, and Chorpita (2016)</w:t>
        </w:r>
      </w:hyperlink>
      <w:r w:rsidRPr="0008002D">
        <w:rPr>
          <w:rFonts w:cstheme="minorHAnsi"/>
        </w:rPr>
        <w:t> reported sound psychometrics for the Spanish translation. Good internal consistency was found in the current study (.92 for mothers and .93 for fathers).</w:t>
      </w:r>
    </w:p>
    <w:p w14:paraId="153C8550" w14:textId="77777777" w:rsidR="0008002D" w:rsidRPr="0008002D" w:rsidRDefault="0008002D" w:rsidP="0008002D">
      <w:pPr>
        <w:pStyle w:val="NoSpacing"/>
        <w:rPr>
          <w:rFonts w:cstheme="minorHAnsi"/>
        </w:rPr>
      </w:pPr>
    </w:p>
    <w:p w14:paraId="55DD9403" w14:textId="77777777" w:rsidR="00450F81" w:rsidRDefault="00450F81" w:rsidP="00EB1A84">
      <w:pPr>
        <w:pStyle w:val="Heading3"/>
      </w:pPr>
      <w:r>
        <w:t>Parenting Sense of Competence Scale (PSOC)</w:t>
      </w:r>
    </w:p>
    <w:p w14:paraId="30841174" w14:textId="5CB6E67E" w:rsidR="00450F81" w:rsidRPr="0008002D" w:rsidRDefault="00450F81" w:rsidP="0008002D">
      <w:pPr>
        <w:pStyle w:val="NoSpacing"/>
        <w:rPr>
          <w:rFonts w:cstheme="minorHAnsi"/>
        </w:rPr>
      </w:pPr>
      <w:r w:rsidRPr="0008002D">
        <w:rPr>
          <w:rFonts w:cstheme="minorHAnsi"/>
        </w:rPr>
        <w:t>The Parenting Efficacy subscale of the PSOC (</w:t>
      </w:r>
      <w:hyperlink r:id="rId78" w:history="1">
        <w:r w:rsidRPr="0008002D">
          <w:rPr>
            <w:rStyle w:val="Hyperlink"/>
            <w:rFonts w:eastAsiaTheme="majorEastAsia" w:cstheme="minorHAnsi"/>
            <w:color w:val="006ACC"/>
          </w:rPr>
          <w:t>Johnston &amp; Mash, 1989</w:t>
        </w:r>
      </w:hyperlink>
      <w:r w:rsidRPr="0008002D">
        <w:rPr>
          <w:rFonts w:cstheme="minorHAnsi"/>
        </w:rPr>
        <w:t>), a parent-report measure of parental efficacy, was completed individually by mothers and fathers both pre- and posttreatment. Parents rated seven items on a 6-point scale, ranging from </w:t>
      </w:r>
      <w:r w:rsidRPr="0008002D">
        <w:rPr>
          <w:rFonts w:cstheme="minorHAnsi"/>
          <w:i/>
          <w:iCs/>
        </w:rPr>
        <w:t>strongly agree</w:t>
      </w:r>
      <w:r w:rsidRPr="0008002D">
        <w:rPr>
          <w:rFonts w:cstheme="minorHAnsi"/>
        </w:rPr>
        <w:t> to </w:t>
      </w:r>
      <w:r w:rsidRPr="0008002D">
        <w:rPr>
          <w:rFonts w:cstheme="minorHAnsi"/>
          <w:i/>
          <w:iCs/>
        </w:rPr>
        <w:t>strongly disagree</w:t>
      </w:r>
      <w:r w:rsidRPr="0008002D">
        <w:rPr>
          <w:rFonts w:cstheme="minorHAnsi"/>
        </w:rPr>
        <w:t>. For purposes of the current study, a mean was computed for each parent who participated in treatment, with higher scores suggesting higher perceived parental efficacy. Good internal consistency and validity have been reported for the Spanish translation used in the current study (</w:t>
      </w:r>
      <w:hyperlink r:id="rId79" w:history="1">
        <w:r w:rsidRPr="0008002D">
          <w:rPr>
            <w:rStyle w:val="Hyperlink"/>
            <w:rFonts w:eastAsiaTheme="majorEastAsia" w:cstheme="minorHAnsi"/>
            <w:color w:val="006ACC"/>
          </w:rPr>
          <w:t>Haack, Gerdes, Schneider, &amp; Dieguez Hurtado, 2011</w:t>
        </w:r>
      </w:hyperlink>
      <w:r w:rsidRPr="0008002D">
        <w:rPr>
          <w:rFonts w:cstheme="minorHAnsi"/>
        </w:rPr>
        <w:t>). Good internal consistency was found in the current study (.81 for mothers and .79 for fathers).</w:t>
      </w:r>
    </w:p>
    <w:p w14:paraId="6FB5506E" w14:textId="77777777" w:rsidR="0008002D" w:rsidRPr="0008002D" w:rsidRDefault="0008002D" w:rsidP="0008002D">
      <w:pPr>
        <w:pStyle w:val="NoSpacing"/>
        <w:rPr>
          <w:rFonts w:cstheme="minorHAnsi"/>
        </w:rPr>
      </w:pPr>
    </w:p>
    <w:p w14:paraId="559E6B3A" w14:textId="77777777" w:rsidR="00450F81" w:rsidRDefault="00450F81" w:rsidP="00EB1A84">
      <w:pPr>
        <w:pStyle w:val="Heading3"/>
      </w:pPr>
      <w:r>
        <w:t>Confusion, Hubbub, and Order Scale (CHAOS)</w:t>
      </w:r>
    </w:p>
    <w:p w14:paraId="398472FA" w14:textId="0F9C800B" w:rsidR="00450F81" w:rsidRPr="0008002D" w:rsidRDefault="00450F81" w:rsidP="0008002D">
      <w:pPr>
        <w:pStyle w:val="NoSpacing"/>
        <w:rPr>
          <w:rFonts w:cstheme="minorHAnsi"/>
        </w:rPr>
      </w:pPr>
      <w:r w:rsidRPr="0008002D">
        <w:rPr>
          <w:rFonts w:cstheme="minorHAnsi"/>
        </w:rPr>
        <w:t>The CHAOS (</w:t>
      </w:r>
      <w:hyperlink r:id="rId80" w:history="1">
        <w:r w:rsidRPr="0008002D">
          <w:rPr>
            <w:rStyle w:val="Hyperlink"/>
            <w:rFonts w:eastAsiaTheme="majorEastAsia" w:cstheme="minorHAnsi"/>
            <w:color w:val="006ACC"/>
          </w:rPr>
          <w:t>Matheny, Wachs, Ludwig, &amp; Phillips, 1995</w:t>
        </w:r>
      </w:hyperlink>
      <w:r w:rsidRPr="0008002D">
        <w:rPr>
          <w:rFonts w:cstheme="minorHAnsi"/>
        </w:rPr>
        <w:t>), a parent-report measure of environmental chaos in the home, was completed individually by mothers and fathers both pre- and posttreatment. Parents rated 15 items on a 6-point scale, ranging from </w:t>
      </w:r>
      <w:r w:rsidRPr="0008002D">
        <w:rPr>
          <w:rFonts w:cstheme="minorHAnsi"/>
          <w:i/>
          <w:iCs/>
        </w:rPr>
        <w:t>strongly agree</w:t>
      </w:r>
      <w:r w:rsidRPr="0008002D">
        <w:rPr>
          <w:rFonts w:cstheme="minorHAnsi"/>
        </w:rPr>
        <w:t> to </w:t>
      </w:r>
      <w:r w:rsidRPr="0008002D">
        <w:rPr>
          <w:rFonts w:cstheme="minorHAnsi"/>
          <w:i/>
          <w:iCs/>
        </w:rPr>
        <w:t>strongly disagree</w:t>
      </w:r>
      <w:r w:rsidRPr="0008002D">
        <w:rPr>
          <w:rFonts w:cstheme="minorHAnsi"/>
        </w:rPr>
        <w:t xml:space="preserve">. For purposes of the current study, a sum </w:t>
      </w:r>
      <w:r w:rsidRPr="0008002D">
        <w:rPr>
          <w:rFonts w:cstheme="minorHAnsi"/>
        </w:rPr>
        <w:lastRenderedPageBreak/>
        <w:t>was computed for each participating parent, with higher scores indicating more reported chaos in the home. </w:t>
      </w:r>
      <w:hyperlink r:id="rId81" w:history="1">
        <w:r w:rsidRPr="0008002D">
          <w:rPr>
            <w:rStyle w:val="Hyperlink"/>
            <w:rFonts w:eastAsiaTheme="majorEastAsia" w:cstheme="minorHAnsi"/>
            <w:color w:val="006ACC"/>
          </w:rPr>
          <w:t>Haack and colleagues (2011)</w:t>
        </w:r>
      </w:hyperlink>
      <w:r w:rsidRPr="0008002D">
        <w:rPr>
          <w:rFonts w:cstheme="minorHAnsi"/>
        </w:rPr>
        <w:t> reported good reliability and validity for the Spanish translation used in the current study. Good internal consistency was found in the current study (.77 for mothers and .81 for fathers).</w:t>
      </w:r>
    </w:p>
    <w:p w14:paraId="01E8EE02" w14:textId="77777777" w:rsidR="0008002D" w:rsidRPr="0008002D" w:rsidRDefault="0008002D" w:rsidP="0008002D">
      <w:pPr>
        <w:pStyle w:val="NoSpacing"/>
        <w:rPr>
          <w:rFonts w:cstheme="minorHAnsi"/>
        </w:rPr>
      </w:pPr>
    </w:p>
    <w:p w14:paraId="293BB1AB" w14:textId="77777777" w:rsidR="00450F81" w:rsidRDefault="00450F81" w:rsidP="00EB1A84">
      <w:pPr>
        <w:pStyle w:val="Heading2"/>
      </w:pPr>
      <w:r>
        <w:t>Additional Treatment Outcome Measures</w:t>
      </w:r>
    </w:p>
    <w:p w14:paraId="721BC695" w14:textId="77777777" w:rsidR="00450F81" w:rsidRDefault="00450F81" w:rsidP="00EB1A84">
      <w:pPr>
        <w:pStyle w:val="Heading3"/>
        <w:rPr>
          <w:b/>
          <w:bCs/>
        </w:rPr>
      </w:pPr>
      <w:r>
        <w:t>Treatment attendance and retention</w:t>
      </w:r>
    </w:p>
    <w:p w14:paraId="2E9E3DB0" w14:textId="3D06A670" w:rsidR="00450F81" w:rsidRDefault="00450F81" w:rsidP="0008002D">
      <w:pPr>
        <w:pStyle w:val="NoSpacing"/>
      </w:pPr>
      <w:r>
        <w:t>The number of sessions/classes attended was recorded for each family. Attendance was defined as the number of sessions/classes attended by at least one parent. Retention was operationalized as family completion of the final scheduled session/class.</w:t>
      </w:r>
    </w:p>
    <w:p w14:paraId="432BFB8B" w14:textId="77777777" w:rsidR="0008002D" w:rsidRDefault="0008002D" w:rsidP="0008002D">
      <w:pPr>
        <w:pStyle w:val="NoSpacing"/>
      </w:pPr>
    </w:p>
    <w:p w14:paraId="07B150A6" w14:textId="77777777" w:rsidR="00450F81" w:rsidRDefault="00450F81" w:rsidP="00EB1A84">
      <w:pPr>
        <w:pStyle w:val="Heading3"/>
      </w:pPr>
      <w:r>
        <w:t>Engagement</w:t>
      </w:r>
    </w:p>
    <w:p w14:paraId="386F9D43" w14:textId="095DC9B5" w:rsidR="00450F81" w:rsidRDefault="00450F81" w:rsidP="0008002D">
      <w:pPr>
        <w:pStyle w:val="NoSpacing"/>
      </w:pPr>
      <w:r>
        <w:t>Parents were assigned specific weekly homework related to practicing and/or implementing the parenting strategy taught during that week’s group or monitoring behaviors outlined on the treatment plan and were asked to bring the completed homework sheet to session/class each week. Engagement was measured by examining how frequently parents completed these homework assignments, for which a percentage of completed homework assignments was computed for each family. Coleaders for both treatment groups also rated each participating parent’s level of engagement on a 5-point scale (1 = </w:t>
      </w:r>
      <w:r>
        <w:rPr>
          <w:i/>
          <w:iCs/>
        </w:rPr>
        <w:t>very low</w:t>
      </w:r>
      <w:r>
        <w:t> to 5 = </w:t>
      </w:r>
      <w:r>
        <w:rPr>
          <w:i/>
          <w:iCs/>
        </w:rPr>
        <w:t>very high</w:t>
      </w:r>
      <w:r>
        <w:t>) at the end of treatment, and a mean of the coleaders’ ratings was computed for each participating parent. If two parents participated, a mean of both parents’ ratings was computed. These subjective ratings of parental engagement were based on the observed quality of parent participation and effort during the sessions/classes.</w:t>
      </w:r>
    </w:p>
    <w:p w14:paraId="6E0FDFCB" w14:textId="77777777" w:rsidR="0008002D" w:rsidRDefault="0008002D" w:rsidP="0008002D">
      <w:pPr>
        <w:pStyle w:val="NoSpacing"/>
      </w:pPr>
    </w:p>
    <w:p w14:paraId="2CF0EC95" w14:textId="77777777" w:rsidR="00450F81" w:rsidRDefault="00450F81" w:rsidP="00EB1A84">
      <w:pPr>
        <w:pStyle w:val="Heading3"/>
      </w:pPr>
      <w:r>
        <w:t>Therapy Attitude Inventory (TAI)</w:t>
      </w:r>
    </w:p>
    <w:p w14:paraId="31B0D06B" w14:textId="7209740A" w:rsidR="00450F81" w:rsidRPr="0008002D" w:rsidRDefault="00450F81" w:rsidP="0008002D">
      <w:pPr>
        <w:pStyle w:val="NoSpacing"/>
        <w:rPr>
          <w:rFonts w:cstheme="minorHAnsi"/>
        </w:rPr>
      </w:pPr>
      <w:r w:rsidRPr="0008002D">
        <w:rPr>
          <w:rFonts w:cstheme="minorHAnsi"/>
        </w:rPr>
        <w:t>The TAI (</w:t>
      </w:r>
      <w:hyperlink r:id="rId82" w:history="1">
        <w:r w:rsidRPr="0008002D">
          <w:rPr>
            <w:rStyle w:val="Hyperlink"/>
            <w:rFonts w:eastAsiaTheme="majorEastAsia" w:cstheme="minorHAnsi"/>
            <w:color w:val="006ACC"/>
          </w:rPr>
          <w:t>Eyberg, 1993</w:t>
        </w:r>
      </w:hyperlink>
      <w:r w:rsidRPr="0008002D">
        <w:rPr>
          <w:rFonts w:cstheme="minorHAnsi"/>
        </w:rPr>
        <w:t>), a 10-item parent-report measure assessing parental satisfaction with treatment, was completed individually by mothers and fathers posttreatment. Parents rated each item on a 5-point scale; a total score was computed, with higher scores indicating greater satisfaction with treatment. Good internal consistency and validity have been demonstrated for the English version (</w:t>
      </w:r>
      <w:hyperlink r:id="rId83" w:history="1">
        <w:r w:rsidRPr="0008002D">
          <w:rPr>
            <w:rStyle w:val="Hyperlink"/>
            <w:rFonts w:eastAsiaTheme="majorEastAsia" w:cstheme="minorHAnsi"/>
            <w:color w:val="006ACC"/>
          </w:rPr>
          <w:t>Eisenstadt, Eyberg, McNeil, Newcomb, &amp; Funderburk, 1993</w:t>
        </w:r>
      </w:hyperlink>
      <w:r w:rsidRPr="0008002D">
        <w:rPr>
          <w:rFonts w:cstheme="minorHAnsi"/>
        </w:rPr>
        <w:t>). The TAI was translated to Spanish by the first author’s research team. Good internal consistency was found in the current study (.84 for mothers and .81 for fathers).</w:t>
      </w:r>
    </w:p>
    <w:p w14:paraId="6FB5A93A" w14:textId="77777777" w:rsidR="0008002D" w:rsidRPr="0008002D" w:rsidRDefault="0008002D" w:rsidP="0008002D">
      <w:pPr>
        <w:pStyle w:val="NoSpacing"/>
        <w:rPr>
          <w:rFonts w:cstheme="minorHAnsi"/>
        </w:rPr>
      </w:pPr>
    </w:p>
    <w:p w14:paraId="67386CDD" w14:textId="77777777" w:rsidR="00450F81" w:rsidRDefault="00450F81" w:rsidP="00EB1A84">
      <w:pPr>
        <w:pStyle w:val="Heading3"/>
      </w:pPr>
      <w:r>
        <w:t>Data analytic plan</w:t>
      </w:r>
    </w:p>
    <w:p w14:paraId="7AB54BE0" w14:textId="44F9C2F5" w:rsidR="00450F81" w:rsidRDefault="00450F81" w:rsidP="0008002D">
      <w:pPr>
        <w:pStyle w:val="NoSpacing"/>
      </w:pPr>
      <w:r>
        <w:t>All parent and child measures were completed and returned to research staff who were present during completion, and teacher measures were returned to research staff in person. Thus, missing data were almost nonexistent. If an item was unintentionally left blank, the measure was returned for completion. The data analytic plan for preliminary analyses consisted of analyses of variance (ANOVAs) and chi-square tests for independence to examine demographic and cultural differences between treatment conditions, and correlations, chi-square tests for independence, and independent-samples </w:t>
      </w:r>
      <w:r>
        <w:rPr>
          <w:i/>
          <w:iCs/>
        </w:rPr>
        <w:t>t</w:t>
      </w:r>
      <w:r>
        <w:t> tests to examine demographic variables in relation to treatment outcome variables. The data analytic plan for primary analyses included independent-samples </w:t>
      </w:r>
      <w:r>
        <w:rPr>
          <w:i/>
          <w:iCs/>
        </w:rPr>
        <w:t>t</w:t>
      </w:r>
      <w:r>
        <w:t> tests and one chi-square test for independence to examine engagement and acceptability outcomes, paired-samples </w:t>
      </w:r>
      <w:r>
        <w:rPr>
          <w:i/>
          <w:iCs/>
        </w:rPr>
        <w:t>t</w:t>
      </w:r>
      <w:r>
        <w:t> tests to examine ADHD symptomatology, child functioning, and parent and family functioning outcomes by treatment condition, and repeated-measures ANOVAs to examine whether a treatment condition resulted in better treatment outcomes. SPSS 24 was employed to run all analyses.</w:t>
      </w:r>
    </w:p>
    <w:p w14:paraId="3CB90D8A" w14:textId="77777777" w:rsidR="0008002D" w:rsidRDefault="0008002D" w:rsidP="0008002D">
      <w:pPr>
        <w:pStyle w:val="NoSpacing"/>
      </w:pPr>
    </w:p>
    <w:p w14:paraId="182CB84E" w14:textId="77777777" w:rsidR="00450F81" w:rsidRDefault="00450F81" w:rsidP="00EB1A84">
      <w:pPr>
        <w:pStyle w:val="Heading1"/>
      </w:pPr>
      <w:bookmarkStart w:id="8" w:name="_i37"/>
      <w:bookmarkEnd w:id="8"/>
      <w:r>
        <w:lastRenderedPageBreak/>
        <w:t>Results</w:t>
      </w:r>
    </w:p>
    <w:p w14:paraId="06A7396B" w14:textId="77777777" w:rsidR="00450F81" w:rsidRDefault="00450F81" w:rsidP="00EB1A84">
      <w:pPr>
        <w:pStyle w:val="Heading2"/>
        <w:rPr>
          <w:sz w:val="27"/>
          <w:szCs w:val="27"/>
        </w:rPr>
      </w:pPr>
      <w:r>
        <w:t>Preliminary Analyses</w:t>
      </w:r>
    </w:p>
    <w:p w14:paraId="5852705F" w14:textId="77777777" w:rsidR="00450F81" w:rsidRDefault="00450F81" w:rsidP="00EB1A84">
      <w:pPr>
        <w:pStyle w:val="Heading3"/>
        <w:rPr>
          <w:b/>
          <w:bCs/>
        </w:rPr>
      </w:pPr>
      <w:r>
        <w:t>Demographic and cultural variables</w:t>
      </w:r>
    </w:p>
    <w:p w14:paraId="6DADD6AF" w14:textId="1D06791F" w:rsidR="00450F81" w:rsidRDefault="00450F81" w:rsidP="0008002D">
      <w:pPr>
        <w:pStyle w:val="NoSpacing"/>
      </w:pPr>
      <w:r>
        <w:t>To examine possible demographic and/or cultural differences between treatment conditions, ANOVAs and chi-square tests for independence were examined. As </w:t>
      </w:r>
      <w:hyperlink r:id="rId84" w:history="1">
        <w:r>
          <w:rPr>
            <w:rStyle w:val="Hyperlink"/>
            <w:rFonts w:ascii="Arial" w:eastAsiaTheme="majorEastAsia" w:hAnsi="Arial" w:cs="Arial"/>
            <w:color w:val="006ACC"/>
          </w:rPr>
          <w:t>Table 1</w:t>
        </w:r>
      </w:hyperlink>
      <w:r>
        <w:t> indicates, no significant differences between treatment conditions emerged for demographic variables (i.e., child age, child gender, ADHD subtype, medication status, comorbidity status, referral source, parents’ marital status, family SES, mother/father age, and mother/father country of origin). Similarly, no significant differences emerged for cultural variables (i.e., mother- and father-reported behavioral and cognitive acculturation).</w:t>
      </w:r>
    </w:p>
    <w:p w14:paraId="1C615A54" w14:textId="77777777" w:rsidR="0008002D" w:rsidRDefault="0008002D" w:rsidP="0008002D">
      <w:pPr>
        <w:pStyle w:val="NoSpacing"/>
      </w:pPr>
    </w:p>
    <w:p w14:paraId="4111E02D" w14:textId="77777777" w:rsidR="00450F81" w:rsidRDefault="00450F81" w:rsidP="00EB1A84">
      <w:pPr>
        <w:pStyle w:val="Heading3"/>
      </w:pPr>
      <w:r>
        <w:t>Further examination of potential covariates</w:t>
      </w:r>
    </w:p>
    <w:p w14:paraId="65D1E7B3" w14:textId="5DD3079B" w:rsidR="00450F81" w:rsidRDefault="00450F81" w:rsidP="0008002D">
      <w:pPr>
        <w:pStyle w:val="NoSpacing"/>
      </w:pPr>
      <w:r>
        <w:t>Prior to conducting our primary analyses, correlations, chi-square tests for independence, and independent-samples </w:t>
      </w:r>
      <w:r>
        <w:rPr>
          <w:i/>
          <w:iCs/>
        </w:rPr>
        <w:t>t</w:t>
      </w:r>
      <w:r>
        <w:t> tests were conducted for key demographic variables (i.e., child age, child gender, medication status, parents’ marital status, and family SES) and all treatment outcome variables to determine whether any covariates needed to be included in our primary analyses. Results were nonsignificant, and no covariates were included in the primary analyses.</w:t>
      </w:r>
    </w:p>
    <w:p w14:paraId="03D79CE7" w14:textId="77777777" w:rsidR="0008002D" w:rsidRDefault="0008002D" w:rsidP="0008002D">
      <w:pPr>
        <w:pStyle w:val="NoSpacing"/>
      </w:pPr>
    </w:p>
    <w:p w14:paraId="40B2B790" w14:textId="77777777" w:rsidR="00450F81" w:rsidRDefault="00450F81" w:rsidP="00EB1A84">
      <w:pPr>
        <w:pStyle w:val="Heading2"/>
      </w:pPr>
      <w:r>
        <w:t>Primary Analyses</w:t>
      </w:r>
    </w:p>
    <w:p w14:paraId="2338DA9E" w14:textId="77777777" w:rsidR="00450F81" w:rsidRDefault="00450F81" w:rsidP="00EB1A84">
      <w:pPr>
        <w:pStyle w:val="Heading3"/>
        <w:rPr>
          <w:b/>
          <w:bCs/>
        </w:rPr>
      </w:pPr>
      <w:r>
        <w:t>Aim 1—Engagement and acceptability outcomes</w:t>
      </w:r>
    </w:p>
    <w:p w14:paraId="5727A7EE" w14:textId="01AB0A5C" w:rsidR="00450F81" w:rsidRPr="00E74692" w:rsidRDefault="00450F81" w:rsidP="0008002D">
      <w:pPr>
        <w:pStyle w:val="NoSpacing"/>
        <w:rPr>
          <w:rFonts w:cstheme="minorHAnsi"/>
        </w:rPr>
      </w:pPr>
      <w:r w:rsidRPr="00E74692">
        <w:rPr>
          <w:rFonts w:cstheme="minorHAnsi"/>
        </w:rPr>
        <w:t>Independent-samples </w:t>
      </w:r>
      <w:r w:rsidRPr="00E74692">
        <w:rPr>
          <w:rFonts w:cstheme="minorHAnsi"/>
          <w:i/>
          <w:iCs/>
        </w:rPr>
        <w:t>t</w:t>
      </w:r>
      <w:r w:rsidRPr="00E74692">
        <w:rPr>
          <w:rFonts w:cstheme="minorHAnsi"/>
        </w:rPr>
        <w:t> tests and one chi-square test for independence were employed to examine whether CAT resulted in better engagement and acceptability outcomes than standard EBT. Specifically, </w:t>
      </w:r>
      <w:r w:rsidRPr="00E74692">
        <w:rPr>
          <w:rFonts w:cstheme="minorHAnsi"/>
          <w:i/>
          <w:iCs/>
        </w:rPr>
        <w:t>t</w:t>
      </w:r>
      <w:r w:rsidRPr="00E74692">
        <w:rPr>
          <w:rFonts w:cstheme="minorHAnsi"/>
        </w:rPr>
        <w:t> tests compared treatments on four outcomes—parental attendance, homework completion (objective measure of engagement), therapist-rated engagement, as well as mother- and father-reported satisfaction with treatment; a chi-square compared treatments on retention. As </w:t>
      </w:r>
      <w:hyperlink r:id="rId85" w:history="1">
        <w:r w:rsidRPr="00E74692">
          <w:rPr>
            <w:rStyle w:val="Hyperlink"/>
            <w:rFonts w:eastAsiaTheme="majorEastAsia" w:cstheme="minorHAnsi"/>
            <w:color w:val="006ACC"/>
          </w:rPr>
          <w:t>Table 2</w:t>
        </w:r>
      </w:hyperlink>
      <w:r w:rsidRPr="00E74692">
        <w:rPr>
          <w:rFonts w:cstheme="minorHAnsi"/>
        </w:rPr>
        <w:t> indicates, CAT outperformed standard EBT when examining homework completion and mother-reported treatment satisfaction. Examination of the means indicated that families who participated in CAT demonstrated greater engagement by completing their homework more frequently than families who participated in standard EBT, and mothers reported greater satisfaction with CAT than standard EBT. The effect sizes were medium to large. Two additional marginally significant findings emerged for attendance and retention; parents who participated in CAT attended more treatment sessions/classes and were more likely to complete treatment than parents who participated in standard EBT. The effect sizes were small to medium.</w:t>
      </w:r>
    </w:p>
    <w:p w14:paraId="19B926FE" w14:textId="77777777" w:rsidR="0008002D" w:rsidRPr="00E74692" w:rsidRDefault="0008002D" w:rsidP="0008002D">
      <w:pPr>
        <w:pStyle w:val="NoSpacing"/>
        <w:rPr>
          <w:rFonts w:cstheme="minorHAnsi"/>
        </w:rPr>
      </w:pPr>
    </w:p>
    <w:p w14:paraId="357849BF" w14:textId="5742E0BE" w:rsidR="0080405C" w:rsidRPr="0080405C" w:rsidRDefault="00450F81" w:rsidP="0080405C">
      <w:pPr>
        <w:pStyle w:val="NoSpacing"/>
      </w:pPr>
      <w:r w:rsidRPr="00944C1D">
        <w:rPr>
          <w:rStyle w:val="captionlabel"/>
          <w:b/>
          <w:bCs/>
        </w:rPr>
        <w:t>Table 2.</w:t>
      </w:r>
      <w:r w:rsidRPr="00944C1D">
        <w:t> Results of Independent Samples t Tests and Chi-Square Test for Independence for Engagement and Acceptability Outcomes by Treatment Condition.</w:t>
      </w:r>
    </w:p>
    <w:tbl>
      <w:tblPr>
        <w:tblStyle w:val="TableGridLight"/>
        <w:tblW w:w="0" w:type="auto"/>
        <w:tblLook w:val="0020" w:firstRow="1" w:lastRow="0" w:firstColumn="0" w:lastColumn="0" w:noHBand="0" w:noVBand="0"/>
      </w:tblPr>
      <w:tblGrid>
        <w:gridCol w:w="1485"/>
        <w:gridCol w:w="1673"/>
        <w:gridCol w:w="718"/>
        <w:gridCol w:w="440"/>
        <w:gridCol w:w="718"/>
        <w:gridCol w:w="830"/>
        <w:gridCol w:w="440"/>
        <w:gridCol w:w="1111"/>
        <w:gridCol w:w="994"/>
        <w:gridCol w:w="718"/>
        <w:gridCol w:w="943"/>
      </w:tblGrid>
      <w:tr w:rsidR="00134B7F" w:rsidRPr="00135F19" w14:paraId="24671664" w14:textId="77777777" w:rsidTr="00647B67">
        <w:trPr>
          <w:trHeight w:val="278"/>
        </w:trPr>
        <w:tc>
          <w:tcPr>
            <w:tcW w:w="0" w:type="auto"/>
          </w:tcPr>
          <w:p w14:paraId="21817969" w14:textId="77777777" w:rsidR="0080405C" w:rsidRPr="00135F19" w:rsidRDefault="0080405C" w:rsidP="00135F19">
            <w:pPr>
              <w:pStyle w:val="NoSpacing"/>
            </w:pPr>
          </w:p>
        </w:tc>
        <w:tc>
          <w:tcPr>
            <w:tcW w:w="0" w:type="auto"/>
          </w:tcPr>
          <w:p w14:paraId="7F1B728E" w14:textId="63D19A73" w:rsidR="0080405C" w:rsidRPr="00654823" w:rsidRDefault="0080405C" w:rsidP="00135F19">
            <w:pPr>
              <w:pStyle w:val="NoSpacing"/>
              <w:rPr>
                <w:b/>
                <w:bCs/>
              </w:rPr>
            </w:pPr>
            <w:r w:rsidRPr="00654823">
              <w:rPr>
                <w:b/>
                <w:bCs/>
              </w:rPr>
              <w:t>Treatment condition</w:t>
            </w:r>
          </w:p>
        </w:tc>
        <w:tc>
          <w:tcPr>
            <w:tcW w:w="0" w:type="auto"/>
          </w:tcPr>
          <w:p w14:paraId="5B06A161" w14:textId="77777777" w:rsidR="0080405C" w:rsidRPr="00654823" w:rsidRDefault="0080405C" w:rsidP="00135F19">
            <w:pPr>
              <w:pStyle w:val="NoSpacing"/>
              <w:rPr>
                <w:b/>
                <w:bCs/>
              </w:rPr>
            </w:pPr>
          </w:p>
        </w:tc>
        <w:tc>
          <w:tcPr>
            <w:tcW w:w="0" w:type="auto"/>
          </w:tcPr>
          <w:p w14:paraId="2869E061" w14:textId="77777777" w:rsidR="0080405C" w:rsidRPr="00654823" w:rsidRDefault="0080405C" w:rsidP="00135F19">
            <w:pPr>
              <w:pStyle w:val="NoSpacing"/>
              <w:rPr>
                <w:b/>
                <w:bCs/>
              </w:rPr>
            </w:pPr>
          </w:p>
        </w:tc>
        <w:tc>
          <w:tcPr>
            <w:tcW w:w="0" w:type="auto"/>
          </w:tcPr>
          <w:p w14:paraId="00D1B06D" w14:textId="77777777" w:rsidR="0080405C" w:rsidRPr="00654823" w:rsidRDefault="0080405C" w:rsidP="00135F19">
            <w:pPr>
              <w:pStyle w:val="NoSpacing"/>
              <w:rPr>
                <w:b/>
                <w:bCs/>
              </w:rPr>
            </w:pPr>
          </w:p>
        </w:tc>
        <w:tc>
          <w:tcPr>
            <w:tcW w:w="0" w:type="auto"/>
          </w:tcPr>
          <w:p w14:paraId="0769E825" w14:textId="77777777" w:rsidR="0080405C" w:rsidRPr="00654823" w:rsidRDefault="0080405C" w:rsidP="00135F19">
            <w:pPr>
              <w:pStyle w:val="NoSpacing"/>
              <w:rPr>
                <w:b/>
                <w:bCs/>
              </w:rPr>
            </w:pPr>
          </w:p>
        </w:tc>
        <w:tc>
          <w:tcPr>
            <w:tcW w:w="0" w:type="auto"/>
          </w:tcPr>
          <w:p w14:paraId="04FB7CCF" w14:textId="77777777" w:rsidR="0080405C" w:rsidRPr="00654823" w:rsidRDefault="0080405C" w:rsidP="00135F19">
            <w:pPr>
              <w:pStyle w:val="NoSpacing"/>
              <w:rPr>
                <w:b/>
                <w:bCs/>
              </w:rPr>
            </w:pPr>
          </w:p>
        </w:tc>
        <w:tc>
          <w:tcPr>
            <w:tcW w:w="0" w:type="auto"/>
          </w:tcPr>
          <w:p w14:paraId="3EEFB401" w14:textId="77777777" w:rsidR="0080405C" w:rsidRPr="00654823" w:rsidRDefault="0080405C" w:rsidP="00135F19">
            <w:pPr>
              <w:pStyle w:val="NoSpacing"/>
              <w:rPr>
                <w:b/>
                <w:bCs/>
              </w:rPr>
            </w:pPr>
          </w:p>
        </w:tc>
        <w:tc>
          <w:tcPr>
            <w:tcW w:w="0" w:type="auto"/>
          </w:tcPr>
          <w:p w14:paraId="0CD95F4C" w14:textId="77777777" w:rsidR="0080405C" w:rsidRPr="00654823" w:rsidRDefault="0080405C" w:rsidP="00135F19">
            <w:pPr>
              <w:pStyle w:val="NoSpacing"/>
              <w:rPr>
                <w:b/>
                <w:bCs/>
              </w:rPr>
            </w:pPr>
          </w:p>
        </w:tc>
        <w:tc>
          <w:tcPr>
            <w:tcW w:w="0" w:type="auto"/>
          </w:tcPr>
          <w:p w14:paraId="0A29A900" w14:textId="77777777" w:rsidR="0080405C" w:rsidRPr="00654823" w:rsidRDefault="0080405C" w:rsidP="00135F19">
            <w:pPr>
              <w:pStyle w:val="NoSpacing"/>
              <w:rPr>
                <w:b/>
                <w:bCs/>
              </w:rPr>
            </w:pPr>
          </w:p>
        </w:tc>
        <w:tc>
          <w:tcPr>
            <w:tcW w:w="0" w:type="auto"/>
          </w:tcPr>
          <w:p w14:paraId="7B4515ED" w14:textId="77777777" w:rsidR="0080405C" w:rsidRPr="00654823" w:rsidRDefault="0080405C" w:rsidP="00135F19">
            <w:pPr>
              <w:pStyle w:val="NoSpacing"/>
              <w:rPr>
                <w:b/>
                <w:bCs/>
              </w:rPr>
            </w:pPr>
          </w:p>
        </w:tc>
      </w:tr>
      <w:tr w:rsidR="00654823" w:rsidRPr="00135F19" w14:paraId="0CFB4EB5" w14:textId="77777777" w:rsidTr="00647B67">
        <w:trPr>
          <w:trHeight w:val="278"/>
        </w:trPr>
        <w:tc>
          <w:tcPr>
            <w:tcW w:w="0" w:type="auto"/>
          </w:tcPr>
          <w:p w14:paraId="1963000B" w14:textId="77777777" w:rsidR="0080405C" w:rsidRPr="00135F19" w:rsidRDefault="0080405C" w:rsidP="00135F19">
            <w:pPr>
              <w:pStyle w:val="NoSpacing"/>
            </w:pPr>
          </w:p>
        </w:tc>
        <w:tc>
          <w:tcPr>
            <w:tcW w:w="0" w:type="auto"/>
          </w:tcPr>
          <w:p w14:paraId="06056AEF" w14:textId="49B0FE38" w:rsidR="0080405C" w:rsidRPr="00654823" w:rsidRDefault="0080405C" w:rsidP="00135F19">
            <w:pPr>
              <w:pStyle w:val="NoSpacing"/>
              <w:rPr>
                <w:b/>
                <w:bCs/>
              </w:rPr>
            </w:pPr>
            <w:r w:rsidRPr="00654823">
              <w:rPr>
                <w:b/>
                <w:bCs/>
              </w:rPr>
              <w:t>CAT</w:t>
            </w:r>
          </w:p>
        </w:tc>
        <w:tc>
          <w:tcPr>
            <w:tcW w:w="0" w:type="auto"/>
          </w:tcPr>
          <w:p w14:paraId="18E40A80" w14:textId="77777777" w:rsidR="0080405C" w:rsidRPr="00654823" w:rsidRDefault="0080405C" w:rsidP="00135F19">
            <w:pPr>
              <w:pStyle w:val="NoSpacing"/>
              <w:rPr>
                <w:b/>
                <w:bCs/>
              </w:rPr>
            </w:pPr>
          </w:p>
        </w:tc>
        <w:tc>
          <w:tcPr>
            <w:tcW w:w="0" w:type="auto"/>
          </w:tcPr>
          <w:p w14:paraId="7F738266" w14:textId="77777777" w:rsidR="0080405C" w:rsidRPr="00654823" w:rsidRDefault="0080405C" w:rsidP="00135F19">
            <w:pPr>
              <w:pStyle w:val="NoSpacing"/>
              <w:rPr>
                <w:b/>
                <w:bCs/>
              </w:rPr>
            </w:pPr>
          </w:p>
        </w:tc>
        <w:tc>
          <w:tcPr>
            <w:tcW w:w="0" w:type="auto"/>
          </w:tcPr>
          <w:p w14:paraId="0D5E8236" w14:textId="1749210D" w:rsidR="0080405C" w:rsidRPr="00654823" w:rsidRDefault="0080405C" w:rsidP="00135F19">
            <w:pPr>
              <w:pStyle w:val="NoSpacing"/>
              <w:rPr>
                <w:b/>
                <w:bCs/>
              </w:rPr>
            </w:pPr>
            <w:r w:rsidRPr="00654823">
              <w:rPr>
                <w:b/>
                <w:bCs/>
              </w:rPr>
              <w:t>ST</w:t>
            </w:r>
          </w:p>
        </w:tc>
        <w:tc>
          <w:tcPr>
            <w:tcW w:w="0" w:type="auto"/>
          </w:tcPr>
          <w:p w14:paraId="7DB60E88" w14:textId="77777777" w:rsidR="0080405C" w:rsidRPr="00654823" w:rsidRDefault="0080405C" w:rsidP="00135F19">
            <w:pPr>
              <w:pStyle w:val="NoSpacing"/>
              <w:rPr>
                <w:b/>
                <w:bCs/>
              </w:rPr>
            </w:pPr>
          </w:p>
        </w:tc>
        <w:tc>
          <w:tcPr>
            <w:tcW w:w="0" w:type="auto"/>
          </w:tcPr>
          <w:p w14:paraId="4C586B18" w14:textId="77777777" w:rsidR="0080405C" w:rsidRPr="00654823" w:rsidRDefault="0080405C" w:rsidP="00135F19">
            <w:pPr>
              <w:pStyle w:val="NoSpacing"/>
              <w:rPr>
                <w:b/>
                <w:bCs/>
              </w:rPr>
            </w:pPr>
          </w:p>
        </w:tc>
        <w:tc>
          <w:tcPr>
            <w:tcW w:w="0" w:type="auto"/>
          </w:tcPr>
          <w:p w14:paraId="771162F0" w14:textId="77777777" w:rsidR="0080405C" w:rsidRPr="00654823" w:rsidRDefault="0080405C" w:rsidP="00135F19">
            <w:pPr>
              <w:pStyle w:val="NoSpacing"/>
              <w:rPr>
                <w:b/>
                <w:bCs/>
              </w:rPr>
            </w:pPr>
          </w:p>
        </w:tc>
        <w:tc>
          <w:tcPr>
            <w:tcW w:w="0" w:type="auto"/>
          </w:tcPr>
          <w:p w14:paraId="710D8E9D" w14:textId="77777777" w:rsidR="0080405C" w:rsidRPr="00654823" w:rsidRDefault="0080405C" w:rsidP="00135F19">
            <w:pPr>
              <w:pStyle w:val="NoSpacing"/>
              <w:rPr>
                <w:b/>
                <w:bCs/>
              </w:rPr>
            </w:pPr>
          </w:p>
        </w:tc>
        <w:tc>
          <w:tcPr>
            <w:tcW w:w="0" w:type="auto"/>
          </w:tcPr>
          <w:p w14:paraId="30251FF0" w14:textId="77777777" w:rsidR="0080405C" w:rsidRPr="00654823" w:rsidRDefault="0080405C" w:rsidP="00135F19">
            <w:pPr>
              <w:pStyle w:val="NoSpacing"/>
              <w:rPr>
                <w:b/>
                <w:bCs/>
              </w:rPr>
            </w:pPr>
          </w:p>
        </w:tc>
        <w:tc>
          <w:tcPr>
            <w:tcW w:w="0" w:type="auto"/>
          </w:tcPr>
          <w:p w14:paraId="1B46FA41" w14:textId="7C233283" w:rsidR="0080405C" w:rsidRPr="00654823" w:rsidRDefault="0080405C" w:rsidP="00135F19">
            <w:pPr>
              <w:pStyle w:val="NoSpacing"/>
              <w:rPr>
                <w:b/>
                <w:bCs/>
              </w:rPr>
            </w:pPr>
            <w:r w:rsidRPr="00654823">
              <w:rPr>
                <w:b/>
                <w:bCs/>
              </w:rPr>
              <w:t>Cohen’s</w:t>
            </w:r>
          </w:p>
        </w:tc>
      </w:tr>
      <w:tr w:rsidR="00654823" w:rsidRPr="00135F19" w14:paraId="15F014A1" w14:textId="77777777" w:rsidTr="00647B67">
        <w:trPr>
          <w:trHeight w:val="278"/>
        </w:trPr>
        <w:tc>
          <w:tcPr>
            <w:tcW w:w="0" w:type="auto"/>
          </w:tcPr>
          <w:p w14:paraId="362D06BE" w14:textId="458967B9" w:rsidR="000D16DF" w:rsidRPr="00654823" w:rsidRDefault="00135F19" w:rsidP="00135F19">
            <w:pPr>
              <w:pStyle w:val="NoSpacing"/>
              <w:rPr>
                <w:b/>
                <w:bCs/>
              </w:rPr>
            </w:pPr>
            <w:r w:rsidRPr="00654823">
              <w:rPr>
                <w:b/>
                <w:bCs/>
              </w:rPr>
              <w:t>Variables</w:t>
            </w:r>
          </w:p>
        </w:tc>
        <w:tc>
          <w:tcPr>
            <w:tcW w:w="0" w:type="auto"/>
          </w:tcPr>
          <w:p w14:paraId="7868895D" w14:textId="77777777" w:rsidR="000D16DF" w:rsidRPr="00654823" w:rsidRDefault="000D16DF" w:rsidP="00135F19">
            <w:pPr>
              <w:pStyle w:val="NoSpacing"/>
              <w:rPr>
                <w:b/>
                <w:bCs/>
              </w:rPr>
            </w:pPr>
            <w:r w:rsidRPr="00654823">
              <w:rPr>
                <w:b/>
                <w:bCs/>
              </w:rPr>
              <w:t>M</w:t>
            </w:r>
          </w:p>
        </w:tc>
        <w:tc>
          <w:tcPr>
            <w:tcW w:w="0" w:type="auto"/>
          </w:tcPr>
          <w:p w14:paraId="5D6AB151" w14:textId="77777777" w:rsidR="000D16DF" w:rsidRPr="00654823" w:rsidRDefault="000D16DF" w:rsidP="00135F19">
            <w:pPr>
              <w:pStyle w:val="NoSpacing"/>
              <w:rPr>
                <w:b/>
                <w:bCs/>
              </w:rPr>
            </w:pPr>
            <w:r w:rsidRPr="00654823">
              <w:rPr>
                <w:b/>
                <w:bCs/>
              </w:rPr>
              <w:t>SD</w:t>
            </w:r>
          </w:p>
        </w:tc>
        <w:tc>
          <w:tcPr>
            <w:tcW w:w="0" w:type="auto"/>
          </w:tcPr>
          <w:p w14:paraId="61214611" w14:textId="763ABBA9" w:rsidR="000D16DF" w:rsidRPr="00654823" w:rsidRDefault="000D16DF" w:rsidP="00135F19">
            <w:pPr>
              <w:pStyle w:val="NoSpacing"/>
              <w:rPr>
                <w:b/>
                <w:bCs/>
              </w:rPr>
            </w:pPr>
            <w:r w:rsidRPr="00654823">
              <w:rPr>
                <w:b/>
                <w:bCs/>
              </w:rPr>
              <w:t>n</w:t>
            </w:r>
          </w:p>
        </w:tc>
        <w:tc>
          <w:tcPr>
            <w:tcW w:w="0" w:type="auto"/>
          </w:tcPr>
          <w:p w14:paraId="4A20E663" w14:textId="463E314A" w:rsidR="000D16DF" w:rsidRPr="00654823" w:rsidRDefault="000D16DF" w:rsidP="00135F19">
            <w:pPr>
              <w:pStyle w:val="NoSpacing"/>
              <w:rPr>
                <w:b/>
                <w:bCs/>
              </w:rPr>
            </w:pPr>
            <w:r w:rsidRPr="00654823">
              <w:rPr>
                <w:b/>
                <w:bCs/>
              </w:rPr>
              <w:t>M</w:t>
            </w:r>
          </w:p>
        </w:tc>
        <w:tc>
          <w:tcPr>
            <w:tcW w:w="0" w:type="auto"/>
          </w:tcPr>
          <w:p w14:paraId="6B334392" w14:textId="21A7266E" w:rsidR="000D16DF" w:rsidRPr="00654823" w:rsidRDefault="000D16DF" w:rsidP="00135F19">
            <w:pPr>
              <w:pStyle w:val="NoSpacing"/>
              <w:rPr>
                <w:b/>
                <w:bCs/>
              </w:rPr>
            </w:pPr>
            <w:r w:rsidRPr="00654823">
              <w:rPr>
                <w:b/>
                <w:bCs/>
              </w:rPr>
              <w:t>SD</w:t>
            </w:r>
          </w:p>
        </w:tc>
        <w:tc>
          <w:tcPr>
            <w:tcW w:w="0" w:type="auto"/>
          </w:tcPr>
          <w:p w14:paraId="28B42F8D" w14:textId="3586CF3F" w:rsidR="000D16DF" w:rsidRPr="00654823" w:rsidRDefault="000D16DF" w:rsidP="00135F19">
            <w:pPr>
              <w:pStyle w:val="NoSpacing"/>
              <w:rPr>
                <w:b/>
                <w:bCs/>
              </w:rPr>
            </w:pPr>
            <w:r w:rsidRPr="00654823">
              <w:rPr>
                <w:b/>
                <w:bCs/>
              </w:rPr>
              <w:t>n</w:t>
            </w:r>
          </w:p>
        </w:tc>
        <w:tc>
          <w:tcPr>
            <w:tcW w:w="0" w:type="auto"/>
          </w:tcPr>
          <w:p w14:paraId="23910346" w14:textId="75A48F43" w:rsidR="000D16DF" w:rsidRPr="00654823" w:rsidRDefault="000D16DF" w:rsidP="00135F19">
            <w:pPr>
              <w:pStyle w:val="NoSpacing"/>
              <w:rPr>
                <w:b/>
                <w:bCs/>
              </w:rPr>
            </w:pPr>
            <w:r w:rsidRPr="00654823">
              <w:rPr>
                <w:b/>
                <w:bCs/>
              </w:rPr>
              <w:t>95% Cl</w:t>
            </w:r>
          </w:p>
        </w:tc>
        <w:tc>
          <w:tcPr>
            <w:tcW w:w="0" w:type="auto"/>
          </w:tcPr>
          <w:p w14:paraId="0D37601C" w14:textId="52345F7A" w:rsidR="000D16DF" w:rsidRPr="00654823" w:rsidRDefault="0080405C" w:rsidP="00135F19">
            <w:pPr>
              <w:pStyle w:val="NoSpacing"/>
              <w:rPr>
                <w:b/>
                <w:bCs/>
              </w:rPr>
            </w:pPr>
            <w:r w:rsidRPr="00654823">
              <w:rPr>
                <w:b/>
                <w:bCs/>
              </w:rPr>
              <w:t>t</w:t>
            </w:r>
          </w:p>
        </w:tc>
        <w:tc>
          <w:tcPr>
            <w:tcW w:w="0" w:type="auto"/>
          </w:tcPr>
          <w:p w14:paraId="206ED72F" w14:textId="77777777" w:rsidR="000D16DF" w:rsidRPr="00654823" w:rsidRDefault="000D16DF" w:rsidP="00135F19">
            <w:pPr>
              <w:pStyle w:val="NoSpacing"/>
              <w:rPr>
                <w:b/>
                <w:bCs/>
              </w:rPr>
            </w:pPr>
            <w:r w:rsidRPr="00654823">
              <w:rPr>
                <w:b/>
                <w:bCs/>
              </w:rPr>
              <w:t>df</w:t>
            </w:r>
          </w:p>
        </w:tc>
        <w:tc>
          <w:tcPr>
            <w:tcW w:w="0" w:type="auto"/>
          </w:tcPr>
          <w:p w14:paraId="5741E4B7" w14:textId="77777777" w:rsidR="000D16DF" w:rsidRPr="00654823" w:rsidRDefault="000D16DF" w:rsidP="00135F19">
            <w:pPr>
              <w:pStyle w:val="NoSpacing"/>
              <w:rPr>
                <w:b/>
                <w:bCs/>
              </w:rPr>
            </w:pPr>
            <w:r w:rsidRPr="00654823">
              <w:rPr>
                <w:b/>
                <w:bCs/>
              </w:rPr>
              <w:t>d</w:t>
            </w:r>
          </w:p>
        </w:tc>
      </w:tr>
      <w:tr w:rsidR="00654823" w:rsidRPr="00135F19" w14:paraId="25E0F311" w14:textId="77777777" w:rsidTr="00647B67">
        <w:trPr>
          <w:trHeight w:val="280"/>
        </w:trPr>
        <w:tc>
          <w:tcPr>
            <w:tcW w:w="0" w:type="auto"/>
          </w:tcPr>
          <w:p w14:paraId="3654174A" w14:textId="77777777" w:rsidR="000D16DF" w:rsidRPr="00135F19" w:rsidRDefault="000D16DF" w:rsidP="00135F19">
            <w:pPr>
              <w:pStyle w:val="NoSpacing"/>
            </w:pPr>
            <w:r w:rsidRPr="00135F19">
              <w:t>Attendance</w:t>
            </w:r>
          </w:p>
        </w:tc>
        <w:tc>
          <w:tcPr>
            <w:tcW w:w="0" w:type="auto"/>
          </w:tcPr>
          <w:p w14:paraId="530E5191" w14:textId="77777777" w:rsidR="000D16DF" w:rsidRPr="00135F19" w:rsidRDefault="000D16DF" w:rsidP="00135F19">
            <w:pPr>
              <w:pStyle w:val="NoSpacing"/>
            </w:pPr>
            <w:r w:rsidRPr="00135F19">
              <w:t>7.52</w:t>
            </w:r>
          </w:p>
        </w:tc>
        <w:tc>
          <w:tcPr>
            <w:tcW w:w="0" w:type="auto"/>
          </w:tcPr>
          <w:p w14:paraId="675BFFCA" w14:textId="77777777" w:rsidR="000D16DF" w:rsidRPr="00135F19" w:rsidRDefault="000D16DF" w:rsidP="00135F19">
            <w:pPr>
              <w:pStyle w:val="NoSpacing"/>
            </w:pPr>
            <w:r w:rsidRPr="00135F19">
              <w:t>0.93</w:t>
            </w:r>
          </w:p>
        </w:tc>
        <w:tc>
          <w:tcPr>
            <w:tcW w:w="0" w:type="auto"/>
          </w:tcPr>
          <w:p w14:paraId="4F70D999" w14:textId="77777777" w:rsidR="000D16DF" w:rsidRPr="00135F19" w:rsidRDefault="000D16DF" w:rsidP="00135F19">
            <w:pPr>
              <w:pStyle w:val="NoSpacing"/>
            </w:pPr>
            <w:r w:rsidRPr="00135F19">
              <w:t>31</w:t>
            </w:r>
          </w:p>
        </w:tc>
        <w:tc>
          <w:tcPr>
            <w:tcW w:w="0" w:type="auto"/>
          </w:tcPr>
          <w:p w14:paraId="3758AE08" w14:textId="77777777" w:rsidR="000D16DF" w:rsidRPr="00135F19" w:rsidRDefault="000D16DF" w:rsidP="00135F19">
            <w:pPr>
              <w:pStyle w:val="NoSpacing"/>
            </w:pPr>
            <w:r w:rsidRPr="00135F19">
              <w:t>6.93</w:t>
            </w:r>
          </w:p>
        </w:tc>
        <w:tc>
          <w:tcPr>
            <w:tcW w:w="0" w:type="auto"/>
          </w:tcPr>
          <w:p w14:paraId="60192E83" w14:textId="77777777" w:rsidR="000D16DF" w:rsidRPr="00135F19" w:rsidRDefault="000D16DF" w:rsidP="00135F19">
            <w:pPr>
              <w:pStyle w:val="NoSpacing"/>
            </w:pPr>
            <w:r w:rsidRPr="00135F19">
              <w:t>1.46</w:t>
            </w:r>
          </w:p>
        </w:tc>
        <w:tc>
          <w:tcPr>
            <w:tcW w:w="0" w:type="auto"/>
          </w:tcPr>
          <w:p w14:paraId="411A4DFA" w14:textId="77777777" w:rsidR="000D16DF" w:rsidRPr="00135F19" w:rsidRDefault="000D16DF" w:rsidP="00135F19">
            <w:pPr>
              <w:pStyle w:val="NoSpacing"/>
            </w:pPr>
            <w:r w:rsidRPr="00135F19">
              <w:t>30</w:t>
            </w:r>
          </w:p>
        </w:tc>
        <w:tc>
          <w:tcPr>
            <w:tcW w:w="0" w:type="auto"/>
          </w:tcPr>
          <w:p w14:paraId="292E495D" w14:textId="77777777" w:rsidR="000D16DF" w:rsidRPr="00135F19" w:rsidRDefault="000D16DF" w:rsidP="00135F19">
            <w:pPr>
              <w:pStyle w:val="NoSpacing"/>
            </w:pPr>
            <w:r w:rsidRPr="00135F19">
              <w:t>[–1.21, 0.04]</w:t>
            </w:r>
          </w:p>
        </w:tc>
        <w:tc>
          <w:tcPr>
            <w:tcW w:w="0" w:type="auto"/>
          </w:tcPr>
          <w:p w14:paraId="6FC12A95" w14:textId="77777777" w:rsidR="000D16DF" w:rsidRPr="00135F19" w:rsidRDefault="000D16DF" w:rsidP="00135F19">
            <w:pPr>
              <w:pStyle w:val="NoSpacing"/>
            </w:pPr>
            <w:r w:rsidRPr="00135F19">
              <w:t>–1.87†</w:t>
            </w:r>
          </w:p>
        </w:tc>
        <w:tc>
          <w:tcPr>
            <w:tcW w:w="0" w:type="auto"/>
          </w:tcPr>
          <w:p w14:paraId="608B8000" w14:textId="77777777" w:rsidR="000D16DF" w:rsidRPr="00135F19" w:rsidRDefault="000D16DF" w:rsidP="00135F19">
            <w:pPr>
              <w:pStyle w:val="NoSpacing"/>
            </w:pPr>
            <w:r w:rsidRPr="00135F19">
              <w:t>59</w:t>
            </w:r>
          </w:p>
        </w:tc>
        <w:tc>
          <w:tcPr>
            <w:tcW w:w="0" w:type="auto"/>
          </w:tcPr>
          <w:p w14:paraId="62BA732A" w14:textId="77777777" w:rsidR="000D16DF" w:rsidRPr="00135F19" w:rsidRDefault="000D16DF" w:rsidP="00135F19">
            <w:pPr>
              <w:pStyle w:val="NoSpacing"/>
            </w:pPr>
            <w:r w:rsidRPr="00135F19">
              <w:t>0.48</w:t>
            </w:r>
          </w:p>
        </w:tc>
      </w:tr>
      <w:tr w:rsidR="00654823" w:rsidRPr="00135F19" w14:paraId="661532C9" w14:textId="77777777" w:rsidTr="00647B67">
        <w:trPr>
          <w:trHeight w:val="230"/>
        </w:trPr>
        <w:tc>
          <w:tcPr>
            <w:tcW w:w="0" w:type="auto"/>
          </w:tcPr>
          <w:p w14:paraId="41D9A0BA" w14:textId="77777777" w:rsidR="000D16DF" w:rsidRPr="00135F19" w:rsidRDefault="000D16DF" w:rsidP="00135F19">
            <w:pPr>
              <w:pStyle w:val="NoSpacing"/>
            </w:pPr>
            <w:r w:rsidRPr="00135F19">
              <w:t>HW completion</w:t>
            </w:r>
          </w:p>
        </w:tc>
        <w:tc>
          <w:tcPr>
            <w:tcW w:w="0" w:type="auto"/>
          </w:tcPr>
          <w:p w14:paraId="54F7D955" w14:textId="77777777" w:rsidR="000D16DF" w:rsidRPr="00135F19" w:rsidRDefault="000D16DF" w:rsidP="00135F19">
            <w:pPr>
              <w:pStyle w:val="NoSpacing"/>
            </w:pPr>
            <w:r w:rsidRPr="00135F19">
              <w:t>88.83</w:t>
            </w:r>
          </w:p>
        </w:tc>
        <w:tc>
          <w:tcPr>
            <w:tcW w:w="0" w:type="auto"/>
          </w:tcPr>
          <w:p w14:paraId="435982F2" w14:textId="77777777" w:rsidR="000D16DF" w:rsidRPr="00135F19" w:rsidRDefault="000D16DF" w:rsidP="00135F19">
            <w:pPr>
              <w:pStyle w:val="NoSpacing"/>
            </w:pPr>
            <w:r w:rsidRPr="00135F19">
              <w:t>13.63</w:t>
            </w:r>
          </w:p>
        </w:tc>
        <w:tc>
          <w:tcPr>
            <w:tcW w:w="0" w:type="auto"/>
          </w:tcPr>
          <w:p w14:paraId="5C015B6C" w14:textId="77777777" w:rsidR="000D16DF" w:rsidRPr="00135F19" w:rsidRDefault="000D16DF" w:rsidP="00135F19">
            <w:pPr>
              <w:pStyle w:val="NoSpacing"/>
            </w:pPr>
            <w:r w:rsidRPr="00135F19">
              <w:t>31</w:t>
            </w:r>
          </w:p>
        </w:tc>
        <w:tc>
          <w:tcPr>
            <w:tcW w:w="0" w:type="auto"/>
          </w:tcPr>
          <w:p w14:paraId="3B1D3273" w14:textId="77777777" w:rsidR="000D16DF" w:rsidRPr="00135F19" w:rsidRDefault="000D16DF" w:rsidP="00135F19">
            <w:pPr>
              <w:pStyle w:val="NoSpacing"/>
            </w:pPr>
            <w:r w:rsidRPr="00135F19">
              <w:t>68.95</w:t>
            </w:r>
          </w:p>
        </w:tc>
        <w:tc>
          <w:tcPr>
            <w:tcW w:w="0" w:type="auto"/>
          </w:tcPr>
          <w:p w14:paraId="6A25350D" w14:textId="77777777" w:rsidR="000D16DF" w:rsidRPr="00135F19" w:rsidRDefault="000D16DF" w:rsidP="00135F19">
            <w:pPr>
              <w:pStyle w:val="NoSpacing"/>
            </w:pPr>
            <w:r w:rsidRPr="00135F19">
              <w:t>24.36</w:t>
            </w:r>
          </w:p>
        </w:tc>
        <w:tc>
          <w:tcPr>
            <w:tcW w:w="0" w:type="auto"/>
          </w:tcPr>
          <w:p w14:paraId="3071144E" w14:textId="77777777" w:rsidR="000D16DF" w:rsidRPr="00135F19" w:rsidRDefault="000D16DF" w:rsidP="00135F19">
            <w:pPr>
              <w:pStyle w:val="NoSpacing"/>
            </w:pPr>
            <w:r w:rsidRPr="00135F19">
              <w:t>30</w:t>
            </w:r>
          </w:p>
        </w:tc>
        <w:tc>
          <w:tcPr>
            <w:tcW w:w="0" w:type="auto"/>
          </w:tcPr>
          <w:p w14:paraId="7D24D357" w14:textId="77777777" w:rsidR="000D16DF" w:rsidRPr="00135F19" w:rsidRDefault="000D16DF" w:rsidP="00135F19">
            <w:pPr>
              <w:pStyle w:val="NoSpacing"/>
            </w:pPr>
            <w:r w:rsidRPr="00135F19">
              <w:t>[–0.30, –0.10]</w:t>
            </w:r>
          </w:p>
        </w:tc>
        <w:tc>
          <w:tcPr>
            <w:tcW w:w="0" w:type="auto"/>
          </w:tcPr>
          <w:p w14:paraId="08CCBD1A" w14:textId="77777777" w:rsidR="000D16DF" w:rsidRPr="00135F19" w:rsidRDefault="000D16DF" w:rsidP="00135F19">
            <w:pPr>
              <w:pStyle w:val="NoSpacing"/>
            </w:pPr>
            <w:r w:rsidRPr="00135F19">
              <w:t>–3.92***</w:t>
            </w:r>
          </w:p>
        </w:tc>
        <w:tc>
          <w:tcPr>
            <w:tcW w:w="0" w:type="auto"/>
          </w:tcPr>
          <w:p w14:paraId="317F31BD" w14:textId="77777777" w:rsidR="000D16DF" w:rsidRPr="00135F19" w:rsidRDefault="000D16DF" w:rsidP="00135F19">
            <w:pPr>
              <w:pStyle w:val="NoSpacing"/>
            </w:pPr>
            <w:r w:rsidRPr="00135F19">
              <w:t>45.22</w:t>
            </w:r>
          </w:p>
        </w:tc>
        <w:tc>
          <w:tcPr>
            <w:tcW w:w="0" w:type="auto"/>
          </w:tcPr>
          <w:p w14:paraId="77A3E856" w14:textId="77777777" w:rsidR="000D16DF" w:rsidRPr="00135F19" w:rsidRDefault="000D16DF" w:rsidP="00135F19">
            <w:pPr>
              <w:pStyle w:val="NoSpacing"/>
            </w:pPr>
            <w:r w:rsidRPr="00135F19">
              <w:t>1.00</w:t>
            </w:r>
          </w:p>
        </w:tc>
      </w:tr>
      <w:tr w:rsidR="00654823" w:rsidRPr="00135F19" w14:paraId="649D14F6" w14:textId="77777777" w:rsidTr="00647B67">
        <w:trPr>
          <w:trHeight w:val="230"/>
        </w:trPr>
        <w:tc>
          <w:tcPr>
            <w:tcW w:w="0" w:type="auto"/>
          </w:tcPr>
          <w:p w14:paraId="564A397C" w14:textId="77777777" w:rsidR="000D16DF" w:rsidRPr="00135F19" w:rsidRDefault="000D16DF" w:rsidP="00135F19">
            <w:pPr>
              <w:pStyle w:val="NoSpacing"/>
            </w:pPr>
            <w:r w:rsidRPr="00135F19">
              <w:t>TR engagement</w:t>
            </w:r>
          </w:p>
        </w:tc>
        <w:tc>
          <w:tcPr>
            <w:tcW w:w="0" w:type="auto"/>
          </w:tcPr>
          <w:p w14:paraId="788C3C89" w14:textId="77777777" w:rsidR="000D16DF" w:rsidRPr="00135F19" w:rsidRDefault="000D16DF" w:rsidP="00135F19">
            <w:pPr>
              <w:pStyle w:val="NoSpacing"/>
            </w:pPr>
            <w:r w:rsidRPr="00135F19">
              <w:t>4.43</w:t>
            </w:r>
          </w:p>
        </w:tc>
        <w:tc>
          <w:tcPr>
            <w:tcW w:w="0" w:type="auto"/>
          </w:tcPr>
          <w:p w14:paraId="36FB4297" w14:textId="77777777" w:rsidR="000D16DF" w:rsidRPr="00135F19" w:rsidRDefault="000D16DF" w:rsidP="00135F19">
            <w:pPr>
              <w:pStyle w:val="NoSpacing"/>
            </w:pPr>
            <w:r w:rsidRPr="00135F19">
              <w:t>0.45</w:t>
            </w:r>
          </w:p>
        </w:tc>
        <w:tc>
          <w:tcPr>
            <w:tcW w:w="0" w:type="auto"/>
          </w:tcPr>
          <w:p w14:paraId="60366735" w14:textId="77777777" w:rsidR="000D16DF" w:rsidRPr="00135F19" w:rsidRDefault="000D16DF" w:rsidP="00135F19">
            <w:pPr>
              <w:pStyle w:val="NoSpacing"/>
            </w:pPr>
            <w:r w:rsidRPr="00135F19">
              <w:t>31</w:t>
            </w:r>
          </w:p>
        </w:tc>
        <w:tc>
          <w:tcPr>
            <w:tcW w:w="0" w:type="auto"/>
          </w:tcPr>
          <w:p w14:paraId="2222399E" w14:textId="77777777" w:rsidR="000D16DF" w:rsidRPr="00135F19" w:rsidRDefault="000D16DF" w:rsidP="00135F19">
            <w:pPr>
              <w:pStyle w:val="NoSpacing"/>
            </w:pPr>
            <w:r w:rsidRPr="00135F19">
              <w:t>4.13</w:t>
            </w:r>
          </w:p>
        </w:tc>
        <w:tc>
          <w:tcPr>
            <w:tcW w:w="0" w:type="auto"/>
          </w:tcPr>
          <w:p w14:paraId="16092251" w14:textId="77777777" w:rsidR="000D16DF" w:rsidRPr="00135F19" w:rsidRDefault="000D16DF" w:rsidP="00135F19">
            <w:pPr>
              <w:pStyle w:val="NoSpacing"/>
            </w:pPr>
            <w:r w:rsidRPr="00135F19">
              <w:t>1.11</w:t>
            </w:r>
          </w:p>
        </w:tc>
        <w:tc>
          <w:tcPr>
            <w:tcW w:w="0" w:type="auto"/>
          </w:tcPr>
          <w:p w14:paraId="77762E93" w14:textId="77777777" w:rsidR="000D16DF" w:rsidRPr="00135F19" w:rsidRDefault="000D16DF" w:rsidP="00135F19">
            <w:pPr>
              <w:pStyle w:val="NoSpacing"/>
            </w:pPr>
            <w:r w:rsidRPr="00135F19">
              <w:t>30</w:t>
            </w:r>
          </w:p>
        </w:tc>
        <w:tc>
          <w:tcPr>
            <w:tcW w:w="0" w:type="auto"/>
          </w:tcPr>
          <w:p w14:paraId="0BE5C39A" w14:textId="77777777" w:rsidR="000D16DF" w:rsidRPr="00135F19" w:rsidRDefault="000D16DF" w:rsidP="00135F19">
            <w:pPr>
              <w:pStyle w:val="NoSpacing"/>
            </w:pPr>
            <w:r w:rsidRPr="00135F19">
              <w:t>[–0.75, 0.14]</w:t>
            </w:r>
          </w:p>
        </w:tc>
        <w:tc>
          <w:tcPr>
            <w:tcW w:w="0" w:type="auto"/>
          </w:tcPr>
          <w:p w14:paraId="088DAAB7" w14:textId="77777777" w:rsidR="000D16DF" w:rsidRPr="00135F19" w:rsidRDefault="000D16DF" w:rsidP="00135F19">
            <w:pPr>
              <w:pStyle w:val="NoSpacing"/>
            </w:pPr>
            <w:r w:rsidRPr="00135F19">
              <w:t>–1.38</w:t>
            </w:r>
          </w:p>
        </w:tc>
        <w:tc>
          <w:tcPr>
            <w:tcW w:w="0" w:type="auto"/>
          </w:tcPr>
          <w:p w14:paraId="3DDAD1B2" w14:textId="77777777" w:rsidR="000D16DF" w:rsidRPr="00135F19" w:rsidRDefault="000D16DF" w:rsidP="00135F19">
            <w:pPr>
              <w:pStyle w:val="NoSpacing"/>
            </w:pPr>
            <w:r w:rsidRPr="00135F19">
              <w:t>38.11</w:t>
            </w:r>
          </w:p>
        </w:tc>
        <w:tc>
          <w:tcPr>
            <w:tcW w:w="0" w:type="auto"/>
          </w:tcPr>
          <w:p w14:paraId="0EAB81BE" w14:textId="77777777" w:rsidR="000D16DF" w:rsidRPr="00135F19" w:rsidRDefault="000D16DF" w:rsidP="00135F19">
            <w:pPr>
              <w:pStyle w:val="NoSpacing"/>
            </w:pPr>
            <w:r w:rsidRPr="00135F19">
              <w:t>0.35</w:t>
            </w:r>
          </w:p>
        </w:tc>
      </w:tr>
      <w:tr w:rsidR="00654823" w:rsidRPr="00135F19" w14:paraId="238F5FE0" w14:textId="77777777" w:rsidTr="00647B67">
        <w:trPr>
          <w:trHeight w:val="230"/>
        </w:trPr>
        <w:tc>
          <w:tcPr>
            <w:tcW w:w="0" w:type="auto"/>
          </w:tcPr>
          <w:p w14:paraId="793A1162" w14:textId="77777777" w:rsidR="000D16DF" w:rsidRPr="00135F19" w:rsidRDefault="000D16DF" w:rsidP="00135F19">
            <w:pPr>
              <w:pStyle w:val="NoSpacing"/>
            </w:pPr>
            <w:r w:rsidRPr="00135F19">
              <w:t>Mother TAI</w:t>
            </w:r>
          </w:p>
        </w:tc>
        <w:tc>
          <w:tcPr>
            <w:tcW w:w="0" w:type="auto"/>
          </w:tcPr>
          <w:p w14:paraId="43B9CBA5" w14:textId="77777777" w:rsidR="000D16DF" w:rsidRPr="00135F19" w:rsidRDefault="000D16DF" w:rsidP="00135F19">
            <w:pPr>
              <w:pStyle w:val="NoSpacing"/>
            </w:pPr>
            <w:r w:rsidRPr="00135F19">
              <w:t>46.93</w:t>
            </w:r>
          </w:p>
        </w:tc>
        <w:tc>
          <w:tcPr>
            <w:tcW w:w="0" w:type="auto"/>
          </w:tcPr>
          <w:p w14:paraId="49C65A46" w14:textId="77777777" w:rsidR="000D16DF" w:rsidRPr="00135F19" w:rsidRDefault="000D16DF" w:rsidP="00135F19">
            <w:pPr>
              <w:pStyle w:val="NoSpacing"/>
            </w:pPr>
            <w:r w:rsidRPr="00135F19">
              <w:t>3.17</w:t>
            </w:r>
          </w:p>
        </w:tc>
        <w:tc>
          <w:tcPr>
            <w:tcW w:w="0" w:type="auto"/>
          </w:tcPr>
          <w:p w14:paraId="59820765" w14:textId="77777777" w:rsidR="000D16DF" w:rsidRPr="00135F19" w:rsidRDefault="000D16DF" w:rsidP="00135F19">
            <w:pPr>
              <w:pStyle w:val="NoSpacing"/>
            </w:pPr>
            <w:r w:rsidRPr="00135F19">
              <w:t>30</w:t>
            </w:r>
          </w:p>
        </w:tc>
        <w:tc>
          <w:tcPr>
            <w:tcW w:w="0" w:type="auto"/>
          </w:tcPr>
          <w:p w14:paraId="6C6290F8" w14:textId="77777777" w:rsidR="000D16DF" w:rsidRPr="00135F19" w:rsidRDefault="000D16DF" w:rsidP="00135F19">
            <w:pPr>
              <w:pStyle w:val="NoSpacing"/>
            </w:pPr>
            <w:r w:rsidRPr="00135F19">
              <w:t>44.74</w:t>
            </w:r>
          </w:p>
        </w:tc>
        <w:tc>
          <w:tcPr>
            <w:tcW w:w="0" w:type="auto"/>
          </w:tcPr>
          <w:p w14:paraId="1C606DC9" w14:textId="77777777" w:rsidR="000D16DF" w:rsidRPr="00135F19" w:rsidRDefault="000D16DF" w:rsidP="00135F19">
            <w:pPr>
              <w:pStyle w:val="NoSpacing"/>
            </w:pPr>
            <w:r w:rsidRPr="00135F19">
              <w:t>3.57</w:t>
            </w:r>
          </w:p>
        </w:tc>
        <w:tc>
          <w:tcPr>
            <w:tcW w:w="0" w:type="auto"/>
          </w:tcPr>
          <w:p w14:paraId="3A607CE1" w14:textId="77777777" w:rsidR="000D16DF" w:rsidRPr="00135F19" w:rsidRDefault="000D16DF" w:rsidP="00135F19">
            <w:pPr>
              <w:pStyle w:val="NoSpacing"/>
            </w:pPr>
            <w:r w:rsidRPr="00135F19">
              <w:t>27</w:t>
            </w:r>
          </w:p>
        </w:tc>
        <w:tc>
          <w:tcPr>
            <w:tcW w:w="0" w:type="auto"/>
          </w:tcPr>
          <w:p w14:paraId="22A39ACF" w14:textId="77777777" w:rsidR="000D16DF" w:rsidRPr="00135F19" w:rsidRDefault="000D16DF" w:rsidP="00135F19">
            <w:pPr>
              <w:pStyle w:val="NoSpacing"/>
            </w:pPr>
            <w:r w:rsidRPr="00135F19">
              <w:t>[–3.98, –0.40]</w:t>
            </w:r>
          </w:p>
        </w:tc>
        <w:tc>
          <w:tcPr>
            <w:tcW w:w="0" w:type="auto"/>
          </w:tcPr>
          <w:p w14:paraId="7976AD38" w14:textId="77777777" w:rsidR="000D16DF" w:rsidRPr="00135F19" w:rsidRDefault="000D16DF" w:rsidP="00135F19">
            <w:pPr>
              <w:pStyle w:val="NoSpacing"/>
            </w:pPr>
            <w:r w:rsidRPr="00135F19">
              <w:t>–2.46*</w:t>
            </w:r>
          </w:p>
        </w:tc>
        <w:tc>
          <w:tcPr>
            <w:tcW w:w="0" w:type="auto"/>
          </w:tcPr>
          <w:p w14:paraId="58E03C1F" w14:textId="77777777" w:rsidR="000D16DF" w:rsidRPr="00135F19" w:rsidRDefault="000D16DF" w:rsidP="00135F19">
            <w:pPr>
              <w:pStyle w:val="NoSpacing"/>
            </w:pPr>
            <w:r w:rsidRPr="00135F19">
              <w:t>55</w:t>
            </w:r>
          </w:p>
        </w:tc>
        <w:tc>
          <w:tcPr>
            <w:tcW w:w="0" w:type="auto"/>
          </w:tcPr>
          <w:p w14:paraId="2D6F57FD" w14:textId="77777777" w:rsidR="000D16DF" w:rsidRPr="00135F19" w:rsidRDefault="000D16DF" w:rsidP="00135F19">
            <w:pPr>
              <w:pStyle w:val="NoSpacing"/>
            </w:pPr>
            <w:r w:rsidRPr="00135F19">
              <w:t>0.65</w:t>
            </w:r>
          </w:p>
        </w:tc>
      </w:tr>
      <w:tr w:rsidR="00654823" w:rsidRPr="00135F19" w14:paraId="14E99F49" w14:textId="77777777" w:rsidTr="00647B67">
        <w:trPr>
          <w:trHeight w:val="269"/>
        </w:trPr>
        <w:tc>
          <w:tcPr>
            <w:tcW w:w="0" w:type="auto"/>
          </w:tcPr>
          <w:p w14:paraId="4E5DDB7B" w14:textId="77777777" w:rsidR="000D16DF" w:rsidRPr="00135F19" w:rsidRDefault="000D16DF" w:rsidP="00135F19">
            <w:pPr>
              <w:pStyle w:val="NoSpacing"/>
            </w:pPr>
            <w:r w:rsidRPr="00135F19">
              <w:lastRenderedPageBreak/>
              <w:t>Father TAI</w:t>
            </w:r>
          </w:p>
        </w:tc>
        <w:tc>
          <w:tcPr>
            <w:tcW w:w="0" w:type="auto"/>
          </w:tcPr>
          <w:p w14:paraId="01B9E5FD" w14:textId="77777777" w:rsidR="000D16DF" w:rsidRPr="00135F19" w:rsidRDefault="000D16DF" w:rsidP="00135F19">
            <w:pPr>
              <w:pStyle w:val="NoSpacing"/>
            </w:pPr>
            <w:r w:rsidRPr="00135F19">
              <w:t>46.76</w:t>
            </w:r>
          </w:p>
        </w:tc>
        <w:tc>
          <w:tcPr>
            <w:tcW w:w="0" w:type="auto"/>
          </w:tcPr>
          <w:p w14:paraId="53B8C864" w14:textId="77777777" w:rsidR="000D16DF" w:rsidRPr="00135F19" w:rsidRDefault="000D16DF" w:rsidP="00135F19">
            <w:pPr>
              <w:pStyle w:val="NoSpacing"/>
            </w:pPr>
            <w:r w:rsidRPr="00135F19">
              <w:t>3.25</w:t>
            </w:r>
          </w:p>
        </w:tc>
        <w:tc>
          <w:tcPr>
            <w:tcW w:w="0" w:type="auto"/>
          </w:tcPr>
          <w:p w14:paraId="72EC87FB" w14:textId="77777777" w:rsidR="000D16DF" w:rsidRPr="00135F19" w:rsidRDefault="000D16DF" w:rsidP="00135F19">
            <w:pPr>
              <w:pStyle w:val="NoSpacing"/>
            </w:pPr>
            <w:r w:rsidRPr="00135F19">
              <w:t>17</w:t>
            </w:r>
          </w:p>
        </w:tc>
        <w:tc>
          <w:tcPr>
            <w:tcW w:w="0" w:type="auto"/>
          </w:tcPr>
          <w:p w14:paraId="7729AF5A" w14:textId="77777777" w:rsidR="000D16DF" w:rsidRPr="00135F19" w:rsidRDefault="000D16DF" w:rsidP="00135F19">
            <w:pPr>
              <w:pStyle w:val="NoSpacing"/>
            </w:pPr>
            <w:r w:rsidRPr="00135F19">
              <w:t>44.89</w:t>
            </w:r>
          </w:p>
        </w:tc>
        <w:tc>
          <w:tcPr>
            <w:tcW w:w="0" w:type="auto"/>
          </w:tcPr>
          <w:p w14:paraId="1539039D" w14:textId="77777777" w:rsidR="000D16DF" w:rsidRPr="00135F19" w:rsidRDefault="000D16DF" w:rsidP="00135F19">
            <w:pPr>
              <w:pStyle w:val="NoSpacing"/>
            </w:pPr>
            <w:r w:rsidRPr="00135F19">
              <w:t>2.89</w:t>
            </w:r>
          </w:p>
        </w:tc>
        <w:tc>
          <w:tcPr>
            <w:tcW w:w="0" w:type="auto"/>
          </w:tcPr>
          <w:p w14:paraId="474C5183" w14:textId="77777777" w:rsidR="000D16DF" w:rsidRPr="00135F19" w:rsidRDefault="000D16DF" w:rsidP="00135F19">
            <w:pPr>
              <w:pStyle w:val="NoSpacing"/>
            </w:pPr>
            <w:r w:rsidRPr="00135F19">
              <w:t>9</w:t>
            </w:r>
          </w:p>
        </w:tc>
        <w:tc>
          <w:tcPr>
            <w:tcW w:w="0" w:type="auto"/>
          </w:tcPr>
          <w:p w14:paraId="55DFE043" w14:textId="77777777" w:rsidR="000D16DF" w:rsidRPr="00135F19" w:rsidRDefault="000D16DF" w:rsidP="00135F19">
            <w:pPr>
              <w:pStyle w:val="NoSpacing"/>
            </w:pPr>
            <w:r w:rsidRPr="00135F19">
              <w:t>[–4.54, 0.79]</w:t>
            </w:r>
          </w:p>
        </w:tc>
        <w:tc>
          <w:tcPr>
            <w:tcW w:w="0" w:type="auto"/>
          </w:tcPr>
          <w:p w14:paraId="08AB43BC" w14:textId="77777777" w:rsidR="000D16DF" w:rsidRPr="00135F19" w:rsidRDefault="000D16DF" w:rsidP="00135F19">
            <w:pPr>
              <w:pStyle w:val="NoSpacing"/>
            </w:pPr>
            <w:r w:rsidRPr="00135F19">
              <w:t>–1.45</w:t>
            </w:r>
          </w:p>
        </w:tc>
        <w:tc>
          <w:tcPr>
            <w:tcW w:w="0" w:type="auto"/>
          </w:tcPr>
          <w:p w14:paraId="2D522B29" w14:textId="77777777" w:rsidR="000D16DF" w:rsidRPr="00135F19" w:rsidRDefault="000D16DF" w:rsidP="00135F19">
            <w:pPr>
              <w:pStyle w:val="NoSpacing"/>
            </w:pPr>
            <w:r w:rsidRPr="00135F19">
              <w:t>24</w:t>
            </w:r>
          </w:p>
        </w:tc>
        <w:tc>
          <w:tcPr>
            <w:tcW w:w="0" w:type="auto"/>
          </w:tcPr>
          <w:p w14:paraId="444E8FA6" w14:textId="77777777" w:rsidR="000D16DF" w:rsidRPr="00135F19" w:rsidRDefault="000D16DF" w:rsidP="00135F19">
            <w:pPr>
              <w:pStyle w:val="NoSpacing"/>
            </w:pPr>
            <w:r w:rsidRPr="00135F19">
              <w:t>0.60</w:t>
            </w:r>
          </w:p>
        </w:tc>
      </w:tr>
      <w:tr w:rsidR="00654823" w:rsidRPr="00135F19" w14:paraId="36E14508" w14:textId="77777777" w:rsidTr="00647B67">
        <w:trPr>
          <w:trHeight w:val="365"/>
        </w:trPr>
        <w:tc>
          <w:tcPr>
            <w:tcW w:w="0" w:type="auto"/>
          </w:tcPr>
          <w:p w14:paraId="61906E09" w14:textId="77777777" w:rsidR="000D16DF" w:rsidRPr="00135F19" w:rsidRDefault="000D16DF" w:rsidP="00135F19">
            <w:pPr>
              <w:pStyle w:val="NoSpacing"/>
            </w:pPr>
          </w:p>
        </w:tc>
        <w:tc>
          <w:tcPr>
            <w:tcW w:w="0" w:type="auto"/>
          </w:tcPr>
          <w:p w14:paraId="7CDA4A26" w14:textId="68D8217B" w:rsidR="000D16DF" w:rsidRPr="00654823" w:rsidRDefault="00654823" w:rsidP="00135F19">
            <w:pPr>
              <w:pStyle w:val="NoSpacing"/>
              <w:rPr>
                <w:b/>
                <w:bCs/>
              </w:rPr>
            </w:pPr>
            <w:r w:rsidRPr="00654823">
              <w:rPr>
                <w:b/>
                <w:bCs/>
              </w:rPr>
              <w:t>CAT</w:t>
            </w:r>
          </w:p>
        </w:tc>
        <w:tc>
          <w:tcPr>
            <w:tcW w:w="0" w:type="auto"/>
          </w:tcPr>
          <w:p w14:paraId="5D5B8FCF" w14:textId="30E8AA40" w:rsidR="000D16DF" w:rsidRPr="00654823" w:rsidRDefault="000D16DF" w:rsidP="00135F19">
            <w:pPr>
              <w:pStyle w:val="NoSpacing"/>
              <w:rPr>
                <w:b/>
                <w:bCs/>
              </w:rPr>
            </w:pPr>
          </w:p>
        </w:tc>
        <w:tc>
          <w:tcPr>
            <w:tcW w:w="0" w:type="auto"/>
          </w:tcPr>
          <w:p w14:paraId="1CA8E9B8" w14:textId="77777777" w:rsidR="000D16DF" w:rsidRPr="00654823" w:rsidRDefault="000D16DF" w:rsidP="00135F19">
            <w:pPr>
              <w:pStyle w:val="NoSpacing"/>
              <w:rPr>
                <w:b/>
                <w:bCs/>
              </w:rPr>
            </w:pPr>
          </w:p>
        </w:tc>
        <w:tc>
          <w:tcPr>
            <w:tcW w:w="0" w:type="auto"/>
          </w:tcPr>
          <w:p w14:paraId="171AF271" w14:textId="5D86678C" w:rsidR="000D16DF" w:rsidRPr="00654823" w:rsidRDefault="00654823" w:rsidP="00135F19">
            <w:pPr>
              <w:pStyle w:val="NoSpacing"/>
              <w:rPr>
                <w:b/>
                <w:bCs/>
              </w:rPr>
            </w:pPr>
            <w:r w:rsidRPr="00654823">
              <w:rPr>
                <w:b/>
                <w:bCs/>
              </w:rPr>
              <w:t>ST</w:t>
            </w:r>
          </w:p>
        </w:tc>
        <w:tc>
          <w:tcPr>
            <w:tcW w:w="0" w:type="auto"/>
          </w:tcPr>
          <w:p w14:paraId="7FD38E2C" w14:textId="1182AF29" w:rsidR="000D16DF" w:rsidRPr="00654823" w:rsidRDefault="000D16DF" w:rsidP="00135F19">
            <w:pPr>
              <w:pStyle w:val="NoSpacing"/>
              <w:rPr>
                <w:b/>
                <w:bCs/>
              </w:rPr>
            </w:pPr>
          </w:p>
        </w:tc>
        <w:tc>
          <w:tcPr>
            <w:tcW w:w="0" w:type="auto"/>
          </w:tcPr>
          <w:p w14:paraId="720225DE" w14:textId="77777777" w:rsidR="000D16DF" w:rsidRPr="00654823" w:rsidRDefault="000D16DF" w:rsidP="00135F19">
            <w:pPr>
              <w:pStyle w:val="NoSpacing"/>
              <w:rPr>
                <w:b/>
                <w:bCs/>
              </w:rPr>
            </w:pPr>
          </w:p>
        </w:tc>
        <w:tc>
          <w:tcPr>
            <w:tcW w:w="0" w:type="auto"/>
          </w:tcPr>
          <w:p w14:paraId="5773A777" w14:textId="77777777" w:rsidR="000D16DF" w:rsidRPr="00654823" w:rsidRDefault="000D16DF" w:rsidP="00135F19">
            <w:pPr>
              <w:pStyle w:val="NoSpacing"/>
              <w:rPr>
                <w:b/>
                <w:bCs/>
              </w:rPr>
            </w:pPr>
          </w:p>
        </w:tc>
        <w:tc>
          <w:tcPr>
            <w:tcW w:w="0" w:type="auto"/>
          </w:tcPr>
          <w:p w14:paraId="0AEC56C7" w14:textId="77777777" w:rsidR="000D16DF" w:rsidRPr="00654823" w:rsidRDefault="000D16DF" w:rsidP="00135F19">
            <w:pPr>
              <w:pStyle w:val="NoSpacing"/>
              <w:rPr>
                <w:b/>
                <w:bCs/>
              </w:rPr>
            </w:pPr>
          </w:p>
        </w:tc>
        <w:tc>
          <w:tcPr>
            <w:tcW w:w="0" w:type="auto"/>
          </w:tcPr>
          <w:p w14:paraId="27C9BBE7" w14:textId="77777777" w:rsidR="000D16DF" w:rsidRPr="00654823" w:rsidRDefault="000D16DF" w:rsidP="00135F19">
            <w:pPr>
              <w:pStyle w:val="NoSpacing"/>
              <w:rPr>
                <w:b/>
                <w:bCs/>
              </w:rPr>
            </w:pPr>
          </w:p>
        </w:tc>
        <w:tc>
          <w:tcPr>
            <w:tcW w:w="0" w:type="auto"/>
          </w:tcPr>
          <w:p w14:paraId="013A5BD2" w14:textId="77777777" w:rsidR="000D16DF" w:rsidRPr="00654823" w:rsidRDefault="000D16DF" w:rsidP="00135F19">
            <w:pPr>
              <w:pStyle w:val="NoSpacing"/>
              <w:rPr>
                <w:b/>
                <w:bCs/>
              </w:rPr>
            </w:pPr>
          </w:p>
        </w:tc>
      </w:tr>
      <w:tr w:rsidR="00654823" w:rsidRPr="00135F19" w14:paraId="7F3C170E" w14:textId="77777777" w:rsidTr="00647B67">
        <w:trPr>
          <w:trHeight w:val="355"/>
        </w:trPr>
        <w:tc>
          <w:tcPr>
            <w:tcW w:w="0" w:type="auto"/>
          </w:tcPr>
          <w:p w14:paraId="7B221128" w14:textId="77777777" w:rsidR="000D16DF" w:rsidRPr="00135F19" w:rsidRDefault="000D16DF" w:rsidP="00135F19">
            <w:pPr>
              <w:pStyle w:val="NoSpacing"/>
            </w:pPr>
          </w:p>
        </w:tc>
        <w:tc>
          <w:tcPr>
            <w:tcW w:w="0" w:type="auto"/>
          </w:tcPr>
          <w:p w14:paraId="64F91B3F" w14:textId="77777777" w:rsidR="000D16DF" w:rsidRPr="00654823" w:rsidRDefault="000D16DF" w:rsidP="00135F19">
            <w:pPr>
              <w:pStyle w:val="NoSpacing"/>
              <w:rPr>
                <w:b/>
                <w:bCs/>
              </w:rPr>
            </w:pPr>
            <w:r w:rsidRPr="00654823">
              <w:rPr>
                <w:b/>
                <w:bCs/>
              </w:rPr>
              <w:t>n</w:t>
            </w:r>
          </w:p>
        </w:tc>
        <w:tc>
          <w:tcPr>
            <w:tcW w:w="0" w:type="auto"/>
          </w:tcPr>
          <w:p w14:paraId="4397397F" w14:textId="77777777" w:rsidR="000D16DF" w:rsidRPr="00654823" w:rsidRDefault="000D16DF" w:rsidP="00135F19">
            <w:pPr>
              <w:pStyle w:val="NoSpacing"/>
              <w:rPr>
                <w:b/>
                <w:bCs/>
              </w:rPr>
            </w:pPr>
            <w:r w:rsidRPr="00654823">
              <w:rPr>
                <w:b/>
                <w:bCs/>
              </w:rPr>
              <w:t>%</w:t>
            </w:r>
          </w:p>
        </w:tc>
        <w:tc>
          <w:tcPr>
            <w:tcW w:w="0" w:type="auto"/>
          </w:tcPr>
          <w:p w14:paraId="1B858F69" w14:textId="77777777" w:rsidR="000D16DF" w:rsidRPr="00654823" w:rsidRDefault="000D16DF" w:rsidP="00135F19">
            <w:pPr>
              <w:pStyle w:val="NoSpacing"/>
              <w:rPr>
                <w:b/>
                <w:bCs/>
              </w:rPr>
            </w:pPr>
          </w:p>
        </w:tc>
        <w:tc>
          <w:tcPr>
            <w:tcW w:w="0" w:type="auto"/>
          </w:tcPr>
          <w:p w14:paraId="6DDB738D" w14:textId="77777777" w:rsidR="000D16DF" w:rsidRPr="00654823" w:rsidRDefault="000D16DF" w:rsidP="00135F19">
            <w:pPr>
              <w:pStyle w:val="NoSpacing"/>
              <w:rPr>
                <w:b/>
                <w:bCs/>
              </w:rPr>
            </w:pPr>
            <w:r w:rsidRPr="00654823">
              <w:rPr>
                <w:b/>
                <w:bCs/>
              </w:rPr>
              <w:t>n</w:t>
            </w:r>
          </w:p>
        </w:tc>
        <w:tc>
          <w:tcPr>
            <w:tcW w:w="0" w:type="auto"/>
          </w:tcPr>
          <w:p w14:paraId="0163DC61" w14:textId="77777777" w:rsidR="000D16DF" w:rsidRPr="00654823" w:rsidRDefault="000D16DF" w:rsidP="00135F19">
            <w:pPr>
              <w:pStyle w:val="NoSpacing"/>
              <w:rPr>
                <w:b/>
                <w:bCs/>
              </w:rPr>
            </w:pPr>
            <w:r w:rsidRPr="00654823">
              <w:rPr>
                <w:b/>
                <w:bCs/>
              </w:rPr>
              <w:t>%</w:t>
            </w:r>
          </w:p>
        </w:tc>
        <w:tc>
          <w:tcPr>
            <w:tcW w:w="0" w:type="auto"/>
          </w:tcPr>
          <w:p w14:paraId="16ECE235" w14:textId="56D9ECF2" w:rsidR="000D16DF" w:rsidRPr="00654823" w:rsidRDefault="000D16DF" w:rsidP="00135F19">
            <w:pPr>
              <w:pStyle w:val="NoSpacing"/>
              <w:rPr>
                <w:b/>
                <w:bCs/>
              </w:rPr>
            </w:pPr>
          </w:p>
        </w:tc>
        <w:tc>
          <w:tcPr>
            <w:tcW w:w="0" w:type="auto"/>
          </w:tcPr>
          <w:p w14:paraId="18AEDA02" w14:textId="77777777" w:rsidR="000D16DF" w:rsidRPr="00654823" w:rsidRDefault="000D16DF" w:rsidP="00135F19">
            <w:pPr>
              <w:pStyle w:val="NoSpacing"/>
              <w:rPr>
                <w:b/>
                <w:bCs/>
              </w:rPr>
            </w:pPr>
            <w:r w:rsidRPr="00654823">
              <w:rPr>
                <w:b/>
                <w:bCs/>
              </w:rPr>
              <w:t>N – 1 χ2</w:t>
            </w:r>
          </w:p>
        </w:tc>
        <w:tc>
          <w:tcPr>
            <w:tcW w:w="0" w:type="auto"/>
          </w:tcPr>
          <w:p w14:paraId="3FE7F2AD" w14:textId="26DC69E4" w:rsidR="000D16DF" w:rsidRPr="00654823" w:rsidRDefault="000D16DF" w:rsidP="00135F19">
            <w:pPr>
              <w:pStyle w:val="NoSpacing"/>
              <w:rPr>
                <w:b/>
                <w:bCs/>
              </w:rPr>
            </w:pPr>
          </w:p>
        </w:tc>
        <w:tc>
          <w:tcPr>
            <w:tcW w:w="0" w:type="auto"/>
          </w:tcPr>
          <w:p w14:paraId="06EE2E89" w14:textId="70D71FC6" w:rsidR="000D16DF" w:rsidRPr="00654823" w:rsidRDefault="00654823" w:rsidP="00135F19">
            <w:pPr>
              <w:pStyle w:val="NoSpacing"/>
              <w:rPr>
                <w:b/>
                <w:bCs/>
              </w:rPr>
            </w:pPr>
            <w:r w:rsidRPr="00654823">
              <w:rPr>
                <w:b/>
                <w:bCs/>
              </w:rPr>
              <w:t>df</w:t>
            </w:r>
          </w:p>
        </w:tc>
        <w:tc>
          <w:tcPr>
            <w:tcW w:w="0" w:type="auto"/>
          </w:tcPr>
          <w:p w14:paraId="7A7BECE5" w14:textId="77777777" w:rsidR="000D16DF" w:rsidRPr="00654823" w:rsidRDefault="000D16DF" w:rsidP="00135F19">
            <w:pPr>
              <w:pStyle w:val="NoSpacing"/>
              <w:rPr>
                <w:b/>
                <w:bCs/>
              </w:rPr>
            </w:pPr>
            <w:r w:rsidRPr="00654823">
              <w:rPr>
                <w:b/>
                <w:bCs/>
              </w:rPr>
              <w:t>φ</w:t>
            </w:r>
          </w:p>
        </w:tc>
      </w:tr>
      <w:tr w:rsidR="00654823" w:rsidRPr="00135F19" w14:paraId="5F532824" w14:textId="77777777" w:rsidTr="00647B67">
        <w:trPr>
          <w:trHeight w:val="515"/>
        </w:trPr>
        <w:tc>
          <w:tcPr>
            <w:tcW w:w="0" w:type="auto"/>
          </w:tcPr>
          <w:p w14:paraId="3F4D7CAE" w14:textId="77777777" w:rsidR="000D16DF" w:rsidRPr="00135F19" w:rsidRDefault="000D16DF" w:rsidP="00135F19">
            <w:pPr>
              <w:pStyle w:val="NoSpacing"/>
            </w:pPr>
            <w:r w:rsidRPr="00135F19">
              <w:t>Retention No</w:t>
            </w:r>
          </w:p>
        </w:tc>
        <w:tc>
          <w:tcPr>
            <w:tcW w:w="0" w:type="auto"/>
          </w:tcPr>
          <w:p w14:paraId="2C86B09A" w14:textId="77777777" w:rsidR="000D16DF" w:rsidRPr="00135F19" w:rsidRDefault="000D16DF" w:rsidP="00135F19">
            <w:pPr>
              <w:pStyle w:val="NoSpacing"/>
            </w:pPr>
            <w:r w:rsidRPr="00135F19">
              <w:t>0</w:t>
            </w:r>
          </w:p>
        </w:tc>
        <w:tc>
          <w:tcPr>
            <w:tcW w:w="0" w:type="auto"/>
          </w:tcPr>
          <w:p w14:paraId="00448EA5" w14:textId="77777777" w:rsidR="000D16DF" w:rsidRPr="00135F19" w:rsidRDefault="000D16DF" w:rsidP="00135F19">
            <w:pPr>
              <w:pStyle w:val="NoSpacing"/>
            </w:pPr>
            <w:r w:rsidRPr="00135F19">
              <w:t>0.00</w:t>
            </w:r>
          </w:p>
        </w:tc>
        <w:tc>
          <w:tcPr>
            <w:tcW w:w="0" w:type="auto"/>
          </w:tcPr>
          <w:p w14:paraId="61211267" w14:textId="77777777" w:rsidR="000D16DF" w:rsidRPr="00135F19" w:rsidRDefault="000D16DF" w:rsidP="00135F19">
            <w:pPr>
              <w:pStyle w:val="NoSpacing"/>
            </w:pPr>
          </w:p>
        </w:tc>
        <w:tc>
          <w:tcPr>
            <w:tcW w:w="0" w:type="auto"/>
          </w:tcPr>
          <w:p w14:paraId="431E0368" w14:textId="77777777" w:rsidR="000D16DF" w:rsidRPr="00135F19" w:rsidRDefault="000D16DF" w:rsidP="00135F19">
            <w:pPr>
              <w:pStyle w:val="NoSpacing"/>
            </w:pPr>
            <w:r w:rsidRPr="00135F19">
              <w:t>3</w:t>
            </w:r>
          </w:p>
        </w:tc>
        <w:tc>
          <w:tcPr>
            <w:tcW w:w="0" w:type="auto"/>
          </w:tcPr>
          <w:p w14:paraId="098310B1" w14:textId="77777777" w:rsidR="000D16DF" w:rsidRPr="00135F19" w:rsidRDefault="000D16DF" w:rsidP="00135F19">
            <w:pPr>
              <w:pStyle w:val="NoSpacing"/>
            </w:pPr>
            <w:r w:rsidRPr="00135F19">
              <w:t>100.00</w:t>
            </w:r>
          </w:p>
        </w:tc>
        <w:tc>
          <w:tcPr>
            <w:tcW w:w="0" w:type="auto"/>
          </w:tcPr>
          <w:p w14:paraId="41FFD2DC" w14:textId="54061C93" w:rsidR="000D16DF" w:rsidRPr="00135F19" w:rsidRDefault="000D16DF" w:rsidP="00135F19">
            <w:pPr>
              <w:pStyle w:val="NoSpacing"/>
            </w:pPr>
          </w:p>
        </w:tc>
        <w:tc>
          <w:tcPr>
            <w:tcW w:w="0" w:type="auto"/>
          </w:tcPr>
          <w:p w14:paraId="0E491F5C" w14:textId="77777777" w:rsidR="000D16DF" w:rsidRPr="00135F19" w:rsidRDefault="000D16DF" w:rsidP="00135F19">
            <w:pPr>
              <w:pStyle w:val="NoSpacing"/>
            </w:pPr>
            <w:r w:rsidRPr="00135F19">
              <w:t>3.21†</w:t>
            </w:r>
          </w:p>
        </w:tc>
        <w:tc>
          <w:tcPr>
            <w:tcW w:w="0" w:type="auto"/>
          </w:tcPr>
          <w:p w14:paraId="632551FF" w14:textId="42F1D037" w:rsidR="000D16DF" w:rsidRPr="00135F19" w:rsidRDefault="000D16DF" w:rsidP="00135F19">
            <w:pPr>
              <w:pStyle w:val="NoSpacing"/>
            </w:pPr>
          </w:p>
        </w:tc>
        <w:tc>
          <w:tcPr>
            <w:tcW w:w="0" w:type="auto"/>
          </w:tcPr>
          <w:p w14:paraId="2644D34E" w14:textId="51CD9C6E" w:rsidR="000D16DF" w:rsidRPr="00135F19" w:rsidRDefault="00654823" w:rsidP="00135F19">
            <w:pPr>
              <w:pStyle w:val="NoSpacing"/>
            </w:pPr>
            <w:r w:rsidRPr="00135F19">
              <w:t>1</w:t>
            </w:r>
          </w:p>
        </w:tc>
        <w:tc>
          <w:tcPr>
            <w:tcW w:w="0" w:type="auto"/>
          </w:tcPr>
          <w:p w14:paraId="396B2ABB" w14:textId="77777777" w:rsidR="000D16DF" w:rsidRPr="00135F19" w:rsidRDefault="000D16DF" w:rsidP="00135F19">
            <w:pPr>
              <w:pStyle w:val="NoSpacing"/>
            </w:pPr>
            <w:r w:rsidRPr="00135F19">
              <w:t>0.23</w:t>
            </w:r>
          </w:p>
        </w:tc>
      </w:tr>
      <w:tr w:rsidR="00654823" w:rsidRPr="00135F19" w14:paraId="010044FB" w14:textId="77777777" w:rsidTr="00647B67">
        <w:trPr>
          <w:trHeight w:val="289"/>
        </w:trPr>
        <w:tc>
          <w:tcPr>
            <w:tcW w:w="0" w:type="auto"/>
          </w:tcPr>
          <w:p w14:paraId="1437CF9D" w14:textId="77777777" w:rsidR="000D16DF" w:rsidRPr="00135F19" w:rsidRDefault="000D16DF" w:rsidP="00135F19">
            <w:pPr>
              <w:pStyle w:val="NoSpacing"/>
            </w:pPr>
            <w:r w:rsidRPr="00135F19">
              <w:t>Yes</w:t>
            </w:r>
          </w:p>
        </w:tc>
        <w:tc>
          <w:tcPr>
            <w:tcW w:w="0" w:type="auto"/>
          </w:tcPr>
          <w:p w14:paraId="3C24680B" w14:textId="77777777" w:rsidR="000D16DF" w:rsidRPr="00135F19" w:rsidRDefault="000D16DF" w:rsidP="00135F19">
            <w:pPr>
              <w:pStyle w:val="NoSpacing"/>
            </w:pPr>
            <w:r w:rsidRPr="00135F19">
              <w:t>31</w:t>
            </w:r>
          </w:p>
        </w:tc>
        <w:tc>
          <w:tcPr>
            <w:tcW w:w="0" w:type="auto"/>
          </w:tcPr>
          <w:p w14:paraId="5BB835B3" w14:textId="77777777" w:rsidR="000D16DF" w:rsidRPr="00135F19" w:rsidRDefault="000D16DF" w:rsidP="00135F19">
            <w:pPr>
              <w:pStyle w:val="NoSpacing"/>
            </w:pPr>
            <w:r w:rsidRPr="00135F19">
              <w:t>53.45</w:t>
            </w:r>
          </w:p>
        </w:tc>
        <w:tc>
          <w:tcPr>
            <w:tcW w:w="0" w:type="auto"/>
          </w:tcPr>
          <w:p w14:paraId="44F10DB6" w14:textId="77777777" w:rsidR="000D16DF" w:rsidRPr="00135F19" w:rsidRDefault="000D16DF" w:rsidP="00135F19">
            <w:pPr>
              <w:pStyle w:val="NoSpacing"/>
            </w:pPr>
          </w:p>
        </w:tc>
        <w:tc>
          <w:tcPr>
            <w:tcW w:w="0" w:type="auto"/>
          </w:tcPr>
          <w:p w14:paraId="6EA7D85B" w14:textId="77777777" w:rsidR="000D16DF" w:rsidRPr="00135F19" w:rsidRDefault="000D16DF" w:rsidP="00135F19">
            <w:pPr>
              <w:pStyle w:val="NoSpacing"/>
            </w:pPr>
            <w:r w:rsidRPr="00135F19">
              <w:t>27</w:t>
            </w:r>
          </w:p>
        </w:tc>
        <w:tc>
          <w:tcPr>
            <w:tcW w:w="0" w:type="auto"/>
          </w:tcPr>
          <w:p w14:paraId="072361DC" w14:textId="77777777" w:rsidR="000D16DF" w:rsidRPr="00135F19" w:rsidRDefault="000D16DF" w:rsidP="00135F19">
            <w:pPr>
              <w:pStyle w:val="NoSpacing"/>
            </w:pPr>
            <w:r w:rsidRPr="00135F19">
              <w:t>46.55</w:t>
            </w:r>
          </w:p>
        </w:tc>
        <w:tc>
          <w:tcPr>
            <w:tcW w:w="0" w:type="auto"/>
          </w:tcPr>
          <w:p w14:paraId="382401B6" w14:textId="2330185D" w:rsidR="000D16DF" w:rsidRPr="00135F19" w:rsidRDefault="000D16DF" w:rsidP="00135F19">
            <w:pPr>
              <w:pStyle w:val="NoSpacing"/>
            </w:pPr>
          </w:p>
        </w:tc>
        <w:tc>
          <w:tcPr>
            <w:tcW w:w="0" w:type="auto"/>
          </w:tcPr>
          <w:p w14:paraId="58627743" w14:textId="77777777" w:rsidR="000D16DF" w:rsidRPr="00135F19" w:rsidRDefault="000D16DF" w:rsidP="00135F19">
            <w:pPr>
              <w:pStyle w:val="NoSpacing"/>
            </w:pPr>
          </w:p>
        </w:tc>
        <w:tc>
          <w:tcPr>
            <w:tcW w:w="0" w:type="auto"/>
          </w:tcPr>
          <w:p w14:paraId="12C3035A" w14:textId="77777777" w:rsidR="000D16DF" w:rsidRPr="00135F19" w:rsidRDefault="000D16DF" w:rsidP="00135F19">
            <w:pPr>
              <w:pStyle w:val="NoSpacing"/>
            </w:pPr>
          </w:p>
        </w:tc>
        <w:tc>
          <w:tcPr>
            <w:tcW w:w="0" w:type="auto"/>
          </w:tcPr>
          <w:p w14:paraId="54861E81" w14:textId="7B62A78F" w:rsidR="000D16DF" w:rsidRPr="00135F19" w:rsidRDefault="000D16DF" w:rsidP="00135F19">
            <w:pPr>
              <w:pStyle w:val="NoSpacing"/>
            </w:pPr>
          </w:p>
        </w:tc>
        <w:tc>
          <w:tcPr>
            <w:tcW w:w="0" w:type="auto"/>
          </w:tcPr>
          <w:p w14:paraId="384D1A8C" w14:textId="77777777" w:rsidR="000D16DF" w:rsidRPr="00135F19" w:rsidRDefault="000D16DF" w:rsidP="00135F19">
            <w:pPr>
              <w:pStyle w:val="NoSpacing"/>
            </w:pPr>
          </w:p>
        </w:tc>
      </w:tr>
    </w:tbl>
    <w:p w14:paraId="6E037960" w14:textId="72140D3F" w:rsidR="00450F81" w:rsidRDefault="00450F81" w:rsidP="00134B7F">
      <w:pPr>
        <w:pStyle w:val="NoSpacing"/>
      </w:pPr>
    </w:p>
    <w:p w14:paraId="37EFC0A0" w14:textId="77777777" w:rsidR="00450F81" w:rsidRDefault="00450F81" w:rsidP="00EB1A84">
      <w:pPr>
        <w:pStyle w:val="Heading3"/>
      </w:pPr>
      <w:r>
        <w:t>Aim 2—ADHD symptomatology and functioning outcomes</w:t>
      </w:r>
    </w:p>
    <w:p w14:paraId="03BD7B77" w14:textId="04561EC3" w:rsidR="00450F81" w:rsidRPr="00134B7F" w:rsidRDefault="00450F81" w:rsidP="00134B7F">
      <w:pPr>
        <w:pStyle w:val="NoSpacing"/>
        <w:rPr>
          <w:rFonts w:cstheme="minorHAnsi"/>
        </w:rPr>
      </w:pPr>
      <w:r w:rsidRPr="00134B7F">
        <w:rPr>
          <w:rFonts w:cstheme="minorHAnsi"/>
        </w:rPr>
        <w:t>Paired-samples </w:t>
      </w:r>
      <w:r w:rsidRPr="00134B7F">
        <w:rPr>
          <w:rFonts w:cstheme="minorHAnsi"/>
          <w:i/>
          <w:iCs/>
        </w:rPr>
        <w:t>t</w:t>
      </w:r>
      <w:r w:rsidRPr="00134B7F">
        <w:rPr>
          <w:rFonts w:cstheme="minorHAnsi"/>
        </w:rPr>
        <w:t> tests were employed to examine whether CAT resulted in improvements in ADHD symptomatology and functioning. Specifically, </w:t>
      </w:r>
      <w:r w:rsidRPr="00134B7F">
        <w:rPr>
          <w:rFonts w:cstheme="minorHAnsi"/>
          <w:i/>
          <w:iCs/>
        </w:rPr>
        <w:t>t</w:t>
      </w:r>
      <w:r w:rsidRPr="00134B7F">
        <w:rPr>
          <w:rFonts w:cstheme="minorHAnsi"/>
        </w:rPr>
        <w:t> tests compared pre–post treatment scores on six outcomes—parent- and teacher-reported inattention, parent- and teacher-reported hyperactivity/impulsivity, parent-reported functioning at home, and teacher-reported functioning at school. As </w:t>
      </w:r>
      <w:hyperlink r:id="rId86" w:history="1">
        <w:r w:rsidRPr="00134B7F">
          <w:rPr>
            <w:rStyle w:val="Hyperlink"/>
            <w:rFonts w:eastAsiaTheme="majorEastAsia" w:cstheme="minorHAnsi"/>
            <w:color w:val="006ACC"/>
          </w:rPr>
          <w:t>Table 3</w:t>
        </w:r>
      </w:hyperlink>
      <w:r w:rsidRPr="00134B7F">
        <w:rPr>
          <w:rFonts w:cstheme="minorHAnsi"/>
        </w:rPr>
        <w:t> indicates, significant findings emerged for parent- and teacher-reported inattention and parent- and teacher-reported functioning. A marginally significant finding also emerged for parent-reported hyperactivity/impulsivity. Examination of the means demonstrated that following CAT, parents and teachers reported fewer ADHD symptoms and less functional impairment than they did prior to treatment. The effect sizes for significant findings were medium, with several approaching large. For comparison, paired-samples </w:t>
      </w:r>
      <w:r w:rsidRPr="00134B7F">
        <w:rPr>
          <w:rFonts w:cstheme="minorHAnsi"/>
          <w:i/>
          <w:iCs/>
        </w:rPr>
        <w:t>t</w:t>
      </w:r>
      <w:r w:rsidRPr="00134B7F">
        <w:rPr>
          <w:rFonts w:cstheme="minorHAnsi"/>
        </w:rPr>
        <w:t> tests for standard EBT also are presented in </w:t>
      </w:r>
      <w:hyperlink r:id="rId87" w:history="1">
        <w:r w:rsidRPr="00134B7F">
          <w:rPr>
            <w:rStyle w:val="Hyperlink"/>
            <w:rFonts w:eastAsiaTheme="majorEastAsia" w:cstheme="minorHAnsi"/>
            <w:color w:val="006ACC"/>
          </w:rPr>
          <w:t>Table 3</w:t>
        </w:r>
      </w:hyperlink>
      <w:r w:rsidRPr="00134B7F">
        <w:rPr>
          <w:rFonts w:cstheme="minorHAnsi"/>
        </w:rPr>
        <w:t>.</w:t>
      </w:r>
    </w:p>
    <w:p w14:paraId="53FD8D39" w14:textId="77777777" w:rsidR="00146D3D" w:rsidRPr="00134B7F" w:rsidRDefault="00146D3D" w:rsidP="00134B7F">
      <w:pPr>
        <w:pStyle w:val="NoSpacing"/>
        <w:rPr>
          <w:rFonts w:cstheme="minorHAnsi"/>
        </w:rPr>
      </w:pPr>
    </w:p>
    <w:p w14:paraId="0D60B8DD" w14:textId="77777777" w:rsidR="00450F81" w:rsidRPr="00146D3D" w:rsidRDefault="00450F81" w:rsidP="00146D3D">
      <w:pPr>
        <w:pStyle w:val="NoSpacing"/>
      </w:pPr>
      <w:r w:rsidRPr="00146D3D">
        <w:rPr>
          <w:rStyle w:val="captionlabel"/>
          <w:b/>
          <w:bCs/>
        </w:rPr>
        <w:t>Table 3</w:t>
      </w:r>
      <w:r w:rsidRPr="00146D3D">
        <w:rPr>
          <w:rStyle w:val="captionlabel"/>
        </w:rPr>
        <w:t>.</w:t>
      </w:r>
      <w:r w:rsidRPr="00146D3D">
        <w:t> Results of Paired Samples t Tests for ADHD Symptomatology and Functioning Outcomes at Pretreatment (Time 1) and Posttreatment (Time 2).</w:t>
      </w:r>
    </w:p>
    <w:p w14:paraId="6151F33E" w14:textId="77777777" w:rsidR="002A26E0" w:rsidRPr="002A26E0" w:rsidRDefault="002A26E0" w:rsidP="002A26E0">
      <w:pPr>
        <w:pStyle w:val="NoSpacing"/>
      </w:pPr>
    </w:p>
    <w:tbl>
      <w:tblPr>
        <w:tblStyle w:val="TableGridLight"/>
        <w:tblW w:w="0" w:type="auto"/>
        <w:tblLook w:val="0020" w:firstRow="1" w:lastRow="0" w:firstColumn="0" w:lastColumn="0" w:noHBand="0" w:noVBand="0"/>
      </w:tblPr>
      <w:tblGrid>
        <w:gridCol w:w="1216"/>
        <w:gridCol w:w="830"/>
        <w:gridCol w:w="607"/>
        <w:gridCol w:w="575"/>
        <w:gridCol w:w="425"/>
        <w:gridCol w:w="830"/>
        <w:gridCol w:w="607"/>
        <w:gridCol w:w="440"/>
        <w:gridCol w:w="1346"/>
        <w:gridCol w:w="935"/>
        <w:gridCol w:w="440"/>
        <w:gridCol w:w="1108"/>
      </w:tblGrid>
      <w:tr w:rsidR="002A26E0" w:rsidRPr="002A26E0" w14:paraId="182DF095" w14:textId="77777777" w:rsidTr="002952B0">
        <w:trPr>
          <w:trHeight w:val="283"/>
        </w:trPr>
        <w:tc>
          <w:tcPr>
            <w:tcW w:w="0" w:type="auto"/>
          </w:tcPr>
          <w:p w14:paraId="1F96C410" w14:textId="5F11686B" w:rsidR="002A26E0" w:rsidRPr="007046F0" w:rsidRDefault="002A26E0" w:rsidP="002A26E0">
            <w:pPr>
              <w:pStyle w:val="NoSpacing"/>
              <w:rPr>
                <w:rFonts w:cstheme="minorHAnsi"/>
                <w:b/>
                <w:bCs/>
              </w:rPr>
            </w:pPr>
          </w:p>
        </w:tc>
        <w:tc>
          <w:tcPr>
            <w:tcW w:w="0" w:type="auto"/>
          </w:tcPr>
          <w:p w14:paraId="75EC6364" w14:textId="77777777" w:rsidR="002A26E0" w:rsidRPr="007046F0" w:rsidRDefault="002A26E0" w:rsidP="002A26E0">
            <w:pPr>
              <w:pStyle w:val="NoSpacing"/>
              <w:rPr>
                <w:rFonts w:cstheme="minorHAnsi"/>
                <w:b/>
                <w:bCs/>
              </w:rPr>
            </w:pPr>
          </w:p>
        </w:tc>
        <w:tc>
          <w:tcPr>
            <w:tcW w:w="0" w:type="auto"/>
          </w:tcPr>
          <w:p w14:paraId="08ADDB68" w14:textId="77777777" w:rsidR="002A26E0" w:rsidRPr="007046F0" w:rsidRDefault="002A26E0" w:rsidP="002A26E0">
            <w:pPr>
              <w:pStyle w:val="NoSpacing"/>
              <w:rPr>
                <w:rFonts w:cstheme="minorHAnsi"/>
                <w:b/>
                <w:bCs/>
              </w:rPr>
            </w:pPr>
          </w:p>
        </w:tc>
        <w:tc>
          <w:tcPr>
            <w:tcW w:w="0" w:type="auto"/>
          </w:tcPr>
          <w:p w14:paraId="1FED7136" w14:textId="3AC2DB90" w:rsidR="002A26E0" w:rsidRPr="002A26E0" w:rsidRDefault="002A26E0" w:rsidP="002A26E0">
            <w:pPr>
              <w:pStyle w:val="NoSpacing"/>
              <w:rPr>
                <w:rFonts w:cstheme="minorHAnsi"/>
                <w:b/>
                <w:bCs/>
              </w:rPr>
            </w:pPr>
            <w:r w:rsidRPr="002A26E0">
              <w:rPr>
                <w:rFonts w:cstheme="minorHAnsi"/>
                <w:b/>
                <w:bCs/>
              </w:rPr>
              <w:t>CAT</w:t>
            </w:r>
          </w:p>
        </w:tc>
        <w:tc>
          <w:tcPr>
            <w:tcW w:w="0" w:type="auto"/>
          </w:tcPr>
          <w:p w14:paraId="731CD65E" w14:textId="7A6F0070" w:rsidR="002A26E0" w:rsidRPr="002A26E0" w:rsidRDefault="002A26E0" w:rsidP="002A26E0">
            <w:pPr>
              <w:pStyle w:val="NoSpacing"/>
              <w:rPr>
                <w:rFonts w:cstheme="minorHAnsi"/>
                <w:b/>
                <w:bCs/>
              </w:rPr>
            </w:pPr>
          </w:p>
        </w:tc>
        <w:tc>
          <w:tcPr>
            <w:tcW w:w="0" w:type="auto"/>
          </w:tcPr>
          <w:p w14:paraId="3458C55E" w14:textId="77777777" w:rsidR="002A26E0" w:rsidRPr="002A26E0" w:rsidRDefault="002A26E0" w:rsidP="002A26E0">
            <w:pPr>
              <w:pStyle w:val="NoSpacing"/>
              <w:rPr>
                <w:rFonts w:cstheme="minorHAnsi"/>
                <w:b/>
                <w:bCs/>
              </w:rPr>
            </w:pPr>
          </w:p>
        </w:tc>
        <w:tc>
          <w:tcPr>
            <w:tcW w:w="0" w:type="auto"/>
          </w:tcPr>
          <w:p w14:paraId="4C986C4F" w14:textId="77777777" w:rsidR="002A26E0" w:rsidRPr="002A26E0" w:rsidRDefault="002A26E0" w:rsidP="002A26E0">
            <w:pPr>
              <w:pStyle w:val="NoSpacing"/>
              <w:rPr>
                <w:rFonts w:cstheme="minorHAnsi"/>
                <w:b/>
                <w:bCs/>
              </w:rPr>
            </w:pPr>
          </w:p>
        </w:tc>
        <w:tc>
          <w:tcPr>
            <w:tcW w:w="0" w:type="auto"/>
          </w:tcPr>
          <w:p w14:paraId="0E7FDF47" w14:textId="77777777" w:rsidR="002A26E0" w:rsidRPr="002A26E0" w:rsidRDefault="002A26E0" w:rsidP="002A26E0">
            <w:pPr>
              <w:pStyle w:val="NoSpacing"/>
              <w:rPr>
                <w:rFonts w:cstheme="minorHAnsi"/>
                <w:b/>
                <w:bCs/>
              </w:rPr>
            </w:pPr>
          </w:p>
        </w:tc>
        <w:tc>
          <w:tcPr>
            <w:tcW w:w="0" w:type="auto"/>
          </w:tcPr>
          <w:p w14:paraId="781ACCE2" w14:textId="77777777" w:rsidR="002A26E0" w:rsidRPr="007046F0" w:rsidRDefault="002A26E0" w:rsidP="002A26E0">
            <w:pPr>
              <w:pStyle w:val="NoSpacing"/>
              <w:rPr>
                <w:rFonts w:cstheme="minorHAnsi"/>
                <w:b/>
                <w:bCs/>
              </w:rPr>
            </w:pPr>
          </w:p>
        </w:tc>
        <w:tc>
          <w:tcPr>
            <w:tcW w:w="0" w:type="auto"/>
          </w:tcPr>
          <w:p w14:paraId="3732EE8B" w14:textId="77777777" w:rsidR="002A26E0" w:rsidRPr="007046F0" w:rsidRDefault="002A26E0" w:rsidP="002A26E0">
            <w:pPr>
              <w:pStyle w:val="NoSpacing"/>
              <w:rPr>
                <w:rFonts w:cstheme="minorHAnsi"/>
                <w:b/>
                <w:bCs/>
              </w:rPr>
            </w:pPr>
          </w:p>
        </w:tc>
        <w:tc>
          <w:tcPr>
            <w:tcW w:w="0" w:type="auto"/>
          </w:tcPr>
          <w:p w14:paraId="37F61F64" w14:textId="77777777" w:rsidR="002A26E0" w:rsidRPr="007046F0" w:rsidRDefault="002A26E0" w:rsidP="002A26E0">
            <w:pPr>
              <w:pStyle w:val="NoSpacing"/>
              <w:rPr>
                <w:rFonts w:cstheme="minorHAnsi"/>
                <w:b/>
                <w:bCs/>
              </w:rPr>
            </w:pPr>
          </w:p>
        </w:tc>
        <w:tc>
          <w:tcPr>
            <w:tcW w:w="0" w:type="auto"/>
          </w:tcPr>
          <w:p w14:paraId="5AA572B2" w14:textId="02D9C9AE" w:rsidR="002A26E0" w:rsidRPr="002A26E0" w:rsidRDefault="002A26E0" w:rsidP="002A26E0">
            <w:pPr>
              <w:pStyle w:val="NoSpacing"/>
              <w:rPr>
                <w:rFonts w:cstheme="minorHAnsi"/>
                <w:b/>
                <w:bCs/>
              </w:rPr>
            </w:pPr>
          </w:p>
        </w:tc>
      </w:tr>
      <w:tr w:rsidR="002A26E0" w:rsidRPr="002A26E0" w14:paraId="14295C29" w14:textId="77777777" w:rsidTr="002952B0">
        <w:trPr>
          <w:trHeight w:val="360"/>
        </w:trPr>
        <w:tc>
          <w:tcPr>
            <w:tcW w:w="0" w:type="auto"/>
          </w:tcPr>
          <w:p w14:paraId="35733668" w14:textId="77777777" w:rsidR="002A26E0" w:rsidRPr="002A26E0" w:rsidRDefault="002A26E0" w:rsidP="002A26E0">
            <w:pPr>
              <w:pStyle w:val="NoSpacing"/>
              <w:rPr>
                <w:rFonts w:cstheme="minorHAnsi"/>
                <w:b/>
                <w:bCs/>
              </w:rPr>
            </w:pPr>
          </w:p>
        </w:tc>
        <w:tc>
          <w:tcPr>
            <w:tcW w:w="0" w:type="auto"/>
          </w:tcPr>
          <w:p w14:paraId="1FFB090D" w14:textId="02AF65EA" w:rsidR="002A26E0" w:rsidRPr="002A26E0" w:rsidRDefault="002A26E0" w:rsidP="002A26E0">
            <w:pPr>
              <w:pStyle w:val="NoSpacing"/>
              <w:rPr>
                <w:rFonts w:cstheme="minorHAnsi"/>
                <w:b/>
                <w:bCs/>
              </w:rPr>
            </w:pPr>
            <w:r w:rsidRPr="002A26E0">
              <w:rPr>
                <w:rFonts w:cstheme="minorHAnsi"/>
                <w:b/>
                <w:bCs/>
              </w:rPr>
              <w:t>Time 1</w:t>
            </w:r>
          </w:p>
        </w:tc>
        <w:tc>
          <w:tcPr>
            <w:tcW w:w="0" w:type="auto"/>
          </w:tcPr>
          <w:p w14:paraId="7C970652" w14:textId="1C123CB3" w:rsidR="002A26E0" w:rsidRPr="002A26E0" w:rsidRDefault="002A26E0" w:rsidP="002A26E0">
            <w:pPr>
              <w:pStyle w:val="NoSpacing"/>
              <w:rPr>
                <w:rFonts w:cstheme="minorHAnsi"/>
                <w:b/>
                <w:bCs/>
              </w:rPr>
            </w:pPr>
          </w:p>
        </w:tc>
        <w:tc>
          <w:tcPr>
            <w:tcW w:w="0" w:type="auto"/>
          </w:tcPr>
          <w:p w14:paraId="48DA6662" w14:textId="77777777" w:rsidR="002A26E0" w:rsidRPr="002A26E0" w:rsidRDefault="002A26E0" w:rsidP="002A26E0">
            <w:pPr>
              <w:pStyle w:val="NoSpacing"/>
              <w:rPr>
                <w:rFonts w:cstheme="minorHAnsi"/>
                <w:b/>
                <w:bCs/>
              </w:rPr>
            </w:pPr>
          </w:p>
        </w:tc>
        <w:tc>
          <w:tcPr>
            <w:tcW w:w="0" w:type="auto"/>
          </w:tcPr>
          <w:p w14:paraId="7D969B55" w14:textId="77777777" w:rsidR="002A26E0" w:rsidRPr="002A26E0" w:rsidRDefault="002A26E0" w:rsidP="002A26E0">
            <w:pPr>
              <w:pStyle w:val="NoSpacing"/>
              <w:rPr>
                <w:rFonts w:cstheme="minorHAnsi"/>
                <w:b/>
                <w:bCs/>
              </w:rPr>
            </w:pPr>
          </w:p>
        </w:tc>
        <w:tc>
          <w:tcPr>
            <w:tcW w:w="0" w:type="auto"/>
          </w:tcPr>
          <w:p w14:paraId="15D21500" w14:textId="699CE062" w:rsidR="002A26E0" w:rsidRPr="002A26E0" w:rsidRDefault="002A26E0" w:rsidP="002A26E0">
            <w:pPr>
              <w:pStyle w:val="NoSpacing"/>
              <w:rPr>
                <w:rFonts w:cstheme="minorHAnsi"/>
                <w:b/>
                <w:bCs/>
              </w:rPr>
            </w:pPr>
            <w:r w:rsidRPr="002A26E0">
              <w:rPr>
                <w:rFonts w:cstheme="minorHAnsi"/>
                <w:b/>
                <w:bCs/>
              </w:rPr>
              <w:t>Time 2</w:t>
            </w:r>
          </w:p>
        </w:tc>
        <w:tc>
          <w:tcPr>
            <w:tcW w:w="0" w:type="auto"/>
          </w:tcPr>
          <w:p w14:paraId="377C6410" w14:textId="00521FDC" w:rsidR="002A26E0" w:rsidRPr="002A26E0" w:rsidRDefault="002A26E0" w:rsidP="002A26E0">
            <w:pPr>
              <w:pStyle w:val="NoSpacing"/>
              <w:rPr>
                <w:rFonts w:cstheme="minorHAnsi"/>
                <w:b/>
                <w:bCs/>
              </w:rPr>
            </w:pPr>
          </w:p>
        </w:tc>
        <w:tc>
          <w:tcPr>
            <w:tcW w:w="0" w:type="auto"/>
          </w:tcPr>
          <w:p w14:paraId="3A178318" w14:textId="77777777" w:rsidR="002A26E0" w:rsidRPr="002A26E0" w:rsidRDefault="002A26E0" w:rsidP="002A26E0">
            <w:pPr>
              <w:pStyle w:val="NoSpacing"/>
              <w:rPr>
                <w:rFonts w:cstheme="minorHAnsi"/>
                <w:b/>
                <w:bCs/>
              </w:rPr>
            </w:pPr>
          </w:p>
        </w:tc>
        <w:tc>
          <w:tcPr>
            <w:tcW w:w="0" w:type="auto"/>
          </w:tcPr>
          <w:p w14:paraId="04082039" w14:textId="77777777" w:rsidR="002A26E0" w:rsidRPr="007046F0" w:rsidRDefault="002A26E0" w:rsidP="002A26E0">
            <w:pPr>
              <w:pStyle w:val="NoSpacing"/>
              <w:rPr>
                <w:rFonts w:cstheme="minorHAnsi"/>
                <w:b/>
                <w:bCs/>
              </w:rPr>
            </w:pPr>
          </w:p>
        </w:tc>
        <w:tc>
          <w:tcPr>
            <w:tcW w:w="0" w:type="auto"/>
          </w:tcPr>
          <w:p w14:paraId="46C8EF91" w14:textId="77777777" w:rsidR="002A26E0" w:rsidRPr="007046F0" w:rsidRDefault="002A26E0" w:rsidP="002A26E0">
            <w:pPr>
              <w:pStyle w:val="NoSpacing"/>
              <w:rPr>
                <w:rFonts w:cstheme="minorHAnsi"/>
                <w:b/>
                <w:bCs/>
              </w:rPr>
            </w:pPr>
          </w:p>
        </w:tc>
        <w:tc>
          <w:tcPr>
            <w:tcW w:w="0" w:type="auto"/>
          </w:tcPr>
          <w:p w14:paraId="259B64BF" w14:textId="77777777" w:rsidR="002A26E0" w:rsidRPr="007046F0" w:rsidRDefault="002A26E0" w:rsidP="002A26E0">
            <w:pPr>
              <w:pStyle w:val="NoSpacing"/>
              <w:rPr>
                <w:rFonts w:cstheme="minorHAnsi"/>
                <w:b/>
                <w:bCs/>
              </w:rPr>
            </w:pPr>
          </w:p>
        </w:tc>
        <w:tc>
          <w:tcPr>
            <w:tcW w:w="0" w:type="auto"/>
          </w:tcPr>
          <w:p w14:paraId="330CFBEC" w14:textId="095B062A" w:rsidR="002A26E0" w:rsidRPr="002A26E0" w:rsidRDefault="002A26E0" w:rsidP="002A26E0">
            <w:pPr>
              <w:pStyle w:val="NoSpacing"/>
              <w:rPr>
                <w:rFonts w:cstheme="minorHAnsi"/>
                <w:b/>
                <w:bCs/>
              </w:rPr>
            </w:pPr>
          </w:p>
        </w:tc>
      </w:tr>
      <w:tr w:rsidR="002A26E0" w:rsidRPr="002A26E0" w14:paraId="54521727" w14:textId="77777777" w:rsidTr="002952B0">
        <w:trPr>
          <w:trHeight w:val="355"/>
        </w:trPr>
        <w:tc>
          <w:tcPr>
            <w:tcW w:w="0" w:type="auto"/>
          </w:tcPr>
          <w:p w14:paraId="11C1590E" w14:textId="77777777" w:rsidR="002A26E0" w:rsidRPr="002A26E0" w:rsidRDefault="002A26E0" w:rsidP="002A26E0">
            <w:pPr>
              <w:pStyle w:val="NoSpacing"/>
              <w:rPr>
                <w:rFonts w:cstheme="minorHAnsi"/>
                <w:b/>
                <w:bCs/>
              </w:rPr>
            </w:pPr>
          </w:p>
        </w:tc>
        <w:tc>
          <w:tcPr>
            <w:tcW w:w="0" w:type="auto"/>
          </w:tcPr>
          <w:p w14:paraId="41821E7D" w14:textId="77777777" w:rsidR="002A26E0" w:rsidRPr="002A26E0" w:rsidRDefault="002A26E0" w:rsidP="002A26E0">
            <w:pPr>
              <w:pStyle w:val="NoSpacing"/>
              <w:rPr>
                <w:rFonts w:cstheme="minorHAnsi"/>
                <w:b/>
                <w:bCs/>
                <w:i/>
                <w:iCs/>
              </w:rPr>
            </w:pPr>
            <w:r w:rsidRPr="002A26E0">
              <w:rPr>
                <w:rFonts w:cstheme="minorHAnsi"/>
                <w:b/>
                <w:bCs/>
                <w:i/>
                <w:iCs/>
              </w:rPr>
              <w:t>M</w:t>
            </w:r>
          </w:p>
        </w:tc>
        <w:tc>
          <w:tcPr>
            <w:tcW w:w="0" w:type="auto"/>
          </w:tcPr>
          <w:p w14:paraId="37D8884A" w14:textId="77777777" w:rsidR="002A26E0" w:rsidRPr="002A26E0" w:rsidRDefault="002A26E0" w:rsidP="002A26E0">
            <w:pPr>
              <w:pStyle w:val="NoSpacing"/>
              <w:rPr>
                <w:rFonts w:cstheme="minorHAnsi"/>
                <w:b/>
                <w:bCs/>
                <w:i/>
                <w:iCs/>
              </w:rPr>
            </w:pPr>
            <w:r w:rsidRPr="002A26E0">
              <w:rPr>
                <w:rFonts w:cstheme="minorHAnsi"/>
                <w:b/>
                <w:bCs/>
                <w:i/>
                <w:iCs/>
              </w:rPr>
              <w:t>SD</w:t>
            </w:r>
          </w:p>
        </w:tc>
        <w:tc>
          <w:tcPr>
            <w:tcW w:w="0" w:type="auto"/>
          </w:tcPr>
          <w:p w14:paraId="08F1416C" w14:textId="77777777" w:rsidR="002A26E0" w:rsidRPr="002A26E0" w:rsidRDefault="002A26E0" w:rsidP="002A26E0">
            <w:pPr>
              <w:pStyle w:val="NoSpacing"/>
              <w:rPr>
                <w:rFonts w:cstheme="minorHAnsi"/>
                <w:b/>
                <w:bCs/>
                <w:i/>
                <w:iCs/>
              </w:rPr>
            </w:pPr>
            <w:r w:rsidRPr="002A26E0">
              <w:rPr>
                <w:rFonts w:cstheme="minorHAnsi"/>
                <w:b/>
                <w:bCs/>
                <w:i/>
                <w:iCs/>
              </w:rPr>
              <w:t>n</w:t>
            </w:r>
          </w:p>
        </w:tc>
        <w:tc>
          <w:tcPr>
            <w:tcW w:w="0" w:type="auto"/>
          </w:tcPr>
          <w:p w14:paraId="2A678B1A" w14:textId="77777777" w:rsidR="002A26E0" w:rsidRPr="002A26E0" w:rsidRDefault="002A26E0" w:rsidP="002A26E0">
            <w:pPr>
              <w:pStyle w:val="NoSpacing"/>
              <w:rPr>
                <w:rFonts w:cstheme="minorHAnsi"/>
                <w:b/>
                <w:bCs/>
              </w:rPr>
            </w:pPr>
          </w:p>
        </w:tc>
        <w:tc>
          <w:tcPr>
            <w:tcW w:w="0" w:type="auto"/>
          </w:tcPr>
          <w:p w14:paraId="61502721" w14:textId="77777777" w:rsidR="002A26E0" w:rsidRPr="002A26E0" w:rsidRDefault="002A26E0" w:rsidP="002A26E0">
            <w:pPr>
              <w:pStyle w:val="NoSpacing"/>
              <w:rPr>
                <w:rFonts w:cstheme="minorHAnsi"/>
                <w:b/>
                <w:bCs/>
                <w:i/>
                <w:iCs/>
              </w:rPr>
            </w:pPr>
            <w:r w:rsidRPr="002A26E0">
              <w:rPr>
                <w:rFonts w:cstheme="minorHAnsi"/>
                <w:b/>
                <w:bCs/>
                <w:i/>
                <w:iCs/>
              </w:rPr>
              <w:t>M</w:t>
            </w:r>
          </w:p>
        </w:tc>
        <w:tc>
          <w:tcPr>
            <w:tcW w:w="0" w:type="auto"/>
          </w:tcPr>
          <w:p w14:paraId="5AFA1027" w14:textId="77777777" w:rsidR="002A26E0" w:rsidRPr="002A26E0" w:rsidRDefault="002A26E0" w:rsidP="002A26E0">
            <w:pPr>
              <w:pStyle w:val="NoSpacing"/>
              <w:rPr>
                <w:rFonts w:cstheme="minorHAnsi"/>
                <w:b/>
                <w:bCs/>
                <w:i/>
                <w:iCs/>
              </w:rPr>
            </w:pPr>
            <w:r w:rsidRPr="002A26E0">
              <w:rPr>
                <w:rFonts w:cstheme="minorHAnsi"/>
                <w:b/>
                <w:bCs/>
                <w:i/>
                <w:iCs/>
              </w:rPr>
              <w:t>SD</w:t>
            </w:r>
          </w:p>
        </w:tc>
        <w:tc>
          <w:tcPr>
            <w:tcW w:w="0" w:type="auto"/>
          </w:tcPr>
          <w:p w14:paraId="464A88FA" w14:textId="77777777" w:rsidR="002A26E0" w:rsidRPr="002A26E0" w:rsidRDefault="002A26E0" w:rsidP="002A26E0">
            <w:pPr>
              <w:pStyle w:val="NoSpacing"/>
              <w:rPr>
                <w:rFonts w:cstheme="minorHAnsi"/>
                <w:b/>
                <w:bCs/>
                <w:i/>
                <w:iCs/>
              </w:rPr>
            </w:pPr>
            <w:r w:rsidRPr="002A26E0">
              <w:rPr>
                <w:rFonts w:cstheme="minorHAnsi"/>
                <w:b/>
                <w:bCs/>
                <w:i/>
                <w:iCs/>
              </w:rPr>
              <w:t>n</w:t>
            </w:r>
          </w:p>
        </w:tc>
        <w:tc>
          <w:tcPr>
            <w:tcW w:w="0" w:type="auto"/>
          </w:tcPr>
          <w:p w14:paraId="3475AC5F" w14:textId="77777777" w:rsidR="002A26E0" w:rsidRPr="002A26E0" w:rsidRDefault="002A26E0" w:rsidP="002A26E0">
            <w:pPr>
              <w:pStyle w:val="NoSpacing"/>
              <w:rPr>
                <w:rFonts w:cstheme="minorHAnsi"/>
                <w:b/>
                <w:bCs/>
              </w:rPr>
            </w:pPr>
            <w:r w:rsidRPr="002A26E0">
              <w:rPr>
                <w:rFonts w:cstheme="minorHAnsi"/>
                <w:b/>
                <w:bCs/>
              </w:rPr>
              <w:t>95% CI</w:t>
            </w:r>
          </w:p>
        </w:tc>
        <w:tc>
          <w:tcPr>
            <w:tcW w:w="0" w:type="auto"/>
          </w:tcPr>
          <w:p w14:paraId="21629247" w14:textId="77777777" w:rsidR="002A26E0" w:rsidRPr="002A26E0" w:rsidRDefault="002A26E0" w:rsidP="002A26E0">
            <w:pPr>
              <w:pStyle w:val="NoSpacing"/>
              <w:rPr>
                <w:rFonts w:cstheme="minorHAnsi"/>
                <w:b/>
                <w:bCs/>
                <w:i/>
                <w:iCs/>
              </w:rPr>
            </w:pPr>
            <w:r w:rsidRPr="002A26E0">
              <w:rPr>
                <w:rFonts w:cstheme="minorHAnsi"/>
                <w:b/>
                <w:bCs/>
                <w:i/>
                <w:iCs/>
              </w:rPr>
              <w:t>t</w:t>
            </w:r>
          </w:p>
        </w:tc>
        <w:tc>
          <w:tcPr>
            <w:tcW w:w="0" w:type="auto"/>
          </w:tcPr>
          <w:p w14:paraId="5D92787F" w14:textId="77777777" w:rsidR="002A26E0" w:rsidRPr="002A26E0" w:rsidRDefault="002A26E0" w:rsidP="002A26E0">
            <w:pPr>
              <w:pStyle w:val="NoSpacing"/>
              <w:rPr>
                <w:rFonts w:cstheme="minorHAnsi"/>
                <w:b/>
                <w:bCs/>
                <w:i/>
                <w:iCs/>
              </w:rPr>
            </w:pPr>
            <w:r w:rsidRPr="002A26E0">
              <w:rPr>
                <w:rFonts w:cstheme="minorHAnsi"/>
                <w:b/>
                <w:bCs/>
                <w:i/>
                <w:iCs/>
              </w:rPr>
              <w:t>df</w:t>
            </w:r>
          </w:p>
        </w:tc>
        <w:tc>
          <w:tcPr>
            <w:tcW w:w="0" w:type="auto"/>
          </w:tcPr>
          <w:p w14:paraId="57257DA5" w14:textId="77777777" w:rsidR="002A26E0" w:rsidRPr="002A26E0" w:rsidRDefault="002A26E0" w:rsidP="002A26E0">
            <w:pPr>
              <w:pStyle w:val="NoSpacing"/>
              <w:rPr>
                <w:rFonts w:cstheme="minorHAnsi"/>
                <w:b/>
                <w:bCs/>
                <w:i/>
                <w:iCs/>
              </w:rPr>
            </w:pPr>
            <w:r w:rsidRPr="002A26E0">
              <w:rPr>
                <w:rFonts w:cstheme="minorHAnsi"/>
                <w:b/>
                <w:bCs/>
              </w:rPr>
              <w:t xml:space="preserve">Cohen’s </w:t>
            </w:r>
            <w:r w:rsidRPr="002A26E0">
              <w:rPr>
                <w:rFonts w:cstheme="minorHAnsi"/>
                <w:b/>
                <w:bCs/>
                <w:i/>
                <w:iCs/>
              </w:rPr>
              <w:t>d</w:t>
            </w:r>
          </w:p>
        </w:tc>
      </w:tr>
      <w:tr w:rsidR="002A26E0" w:rsidRPr="002A26E0" w14:paraId="1205A591" w14:textId="77777777" w:rsidTr="002952B0">
        <w:trPr>
          <w:trHeight w:val="268"/>
        </w:trPr>
        <w:tc>
          <w:tcPr>
            <w:tcW w:w="0" w:type="auto"/>
          </w:tcPr>
          <w:p w14:paraId="6C4F28CE" w14:textId="77777777" w:rsidR="002A26E0" w:rsidRPr="002A26E0" w:rsidRDefault="002A26E0" w:rsidP="002A26E0">
            <w:pPr>
              <w:pStyle w:val="NoSpacing"/>
              <w:rPr>
                <w:rFonts w:cstheme="minorHAnsi"/>
              </w:rPr>
            </w:pPr>
            <w:r w:rsidRPr="002A26E0">
              <w:rPr>
                <w:rFonts w:cstheme="minorHAnsi"/>
              </w:rPr>
              <w:t>P DBDin</w:t>
            </w:r>
          </w:p>
        </w:tc>
        <w:tc>
          <w:tcPr>
            <w:tcW w:w="0" w:type="auto"/>
          </w:tcPr>
          <w:p w14:paraId="33DD476B" w14:textId="77777777" w:rsidR="002A26E0" w:rsidRPr="002A26E0" w:rsidRDefault="002A26E0" w:rsidP="002A26E0">
            <w:pPr>
              <w:pStyle w:val="NoSpacing"/>
              <w:rPr>
                <w:rFonts w:cstheme="minorHAnsi"/>
                <w:i/>
                <w:iCs/>
              </w:rPr>
            </w:pPr>
            <w:r w:rsidRPr="002A26E0">
              <w:rPr>
                <w:rFonts w:cstheme="minorHAnsi"/>
                <w:i/>
                <w:iCs/>
              </w:rPr>
              <w:t>1.57</w:t>
            </w:r>
          </w:p>
        </w:tc>
        <w:tc>
          <w:tcPr>
            <w:tcW w:w="0" w:type="auto"/>
          </w:tcPr>
          <w:p w14:paraId="4B09B2F4" w14:textId="77777777" w:rsidR="002A26E0" w:rsidRPr="002A26E0" w:rsidRDefault="002A26E0" w:rsidP="002A26E0">
            <w:pPr>
              <w:pStyle w:val="NoSpacing"/>
              <w:rPr>
                <w:rFonts w:cstheme="minorHAnsi"/>
              </w:rPr>
            </w:pPr>
            <w:r w:rsidRPr="002A26E0">
              <w:rPr>
                <w:rFonts w:cstheme="minorHAnsi"/>
              </w:rPr>
              <w:t>0.77</w:t>
            </w:r>
          </w:p>
        </w:tc>
        <w:tc>
          <w:tcPr>
            <w:tcW w:w="0" w:type="auto"/>
          </w:tcPr>
          <w:p w14:paraId="4E2327BC" w14:textId="77777777" w:rsidR="002A26E0" w:rsidRPr="002A26E0" w:rsidRDefault="002A26E0" w:rsidP="002A26E0">
            <w:pPr>
              <w:pStyle w:val="NoSpacing"/>
              <w:rPr>
                <w:rFonts w:cstheme="minorHAnsi"/>
              </w:rPr>
            </w:pPr>
            <w:r w:rsidRPr="002A26E0">
              <w:rPr>
                <w:rFonts w:cstheme="minorHAnsi"/>
              </w:rPr>
              <w:t>31</w:t>
            </w:r>
          </w:p>
        </w:tc>
        <w:tc>
          <w:tcPr>
            <w:tcW w:w="0" w:type="auto"/>
          </w:tcPr>
          <w:p w14:paraId="35B8431F" w14:textId="77777777" w:rsidR="002A26E0" w:rsidRPr="002A26E0" w:rsidRDefault="002A26E0" w:rsidP="002A26E0">
            <w:pPr>
              <w:pStyle w:val="NoSpacing"/>
              <w:rPr>
                <w:rFonts w:cstheme="minorHAnsi"/>
              </w:rPr>
            </w:pPr>
          </w:p>
        </w:tc>
        <w:tc>
          <w:tcPr>
            <w:tcW w:w="0" w:type="auto"/>
          </w:tcPr>
          <w:p w14:paraId="78F3BE58" w14:textId="77777777" w:rsidR="002A26E0" w:rsidRPr="002A26E0" w:rsidRDefault="002A26E0" w:rsidP="002A26E0">
            <w:pPr>
              <w:pStyle w:val="NoSpacing"/>
              <w:rPr>
                <w:rFonts w:cstheme="minorHAnsi"/>
                <w:i/>
                <w:iCs/>
              </w:rPr>
            </w:pPr>
            <w:r w:rsidRPr="002A26E0">
              <w:rPr>
                <w:rFonts w:cstheme="minorHAnsi"/>
                <w:i/>
                <w:iCs/>
              </w:rPr>
              <w:t>1.13</w:t>
            </w:r>
          </w:p>
        </w:tc>
        <w:tc>
          <w:tcPr>
            <w:tcW w:w="0" w:type="auto"/>
          </w:tcPr>
          <w:p w14:paraId="39DA3E1D" w14:textId="77777777" w:rsidR="002A26E0" w:rsidRPr="002A26E0" w:rsidRDefault="002A26E0" w:rsidP="002A26E0">
            <w:pPr>
              <w:pStyle w:val="NoSpacing"/>
              <w:rPr>
                <w:rFonts w:cstheme="minorHAnsi"/>
              </w:rPr>
            </w:pPr>
            <w:r w:rsidRPr="002A26E0">
              <w:rPr>
                <w:rFonts w:cstheme="minorHAnsi"/>
              </w:rPr>
              <w:t>0.56</w:t>
            </w:r>
          </w:p>
        </w:tc>
        <w:tc>
          <w:tcPr>
            <w:tcW w:w="0" w:type="auto"/>
          </w:tcPr>
          <w:p w14:paraId="048DBA07" w14:textId="77777777" w:rsidR="002A26E0" w:rsidRPr="002A26E0" w:rsidRDefault="002A26E0" w:rsidP="002A26E0">
            <w:pPr>
              <w:pStyle w:val="NoSpacing"/>
              <w:rPr>
                <w:rFonts w:cstheme="minorHAnsi"/>
              </w:rPr>
            </w:pPr>
            <w:r w:rsidRPr="002A26E0">
              <w:rPr>
                <w:rFonts w:cstheme="minorHAnsi"/>
              </w:rPr>
              <w:t>31</w:t>
            </w:r>
          </w:p>
        </w:tc>
        <w:tc>
          <w:tcPr>
            <w:tcW w:w="0" w:type="auto"/>
          </w:tcPr>
          <w:p w14:paraId="4C2649B4" w14:textId="77777777" w:rsidR="002A26E0" w:rsidRPr="002A26E0" w:rsidRDefault="002A26E0" w:rsidP="002A26E0">
            <w:pPr>
              <w:pStyle w:val="NoSpacing"/>
              <w:rPr>
                <w:rFonts w:cstheme="minorHAnsi"/>
              </w:rPr>
            </w:pPr>
            <w:r w:rsidRPr="002A26E0">
              <w:rPr>
                <w:rFonts w:cstheme="minorHAnsi"/>
              </w:rPr>
              <w:t>[0.21, 0.68]</w:t>
            </w:r>
          </w:p>
        </w:tc>
        <w:tc>
          <w:tcPr>
            <w:tcW w:w="0" w:type="auto"/>
          </w:tcPr>
          <w:p w14:paraId="73E649D7" w14:textId="77777777" w:rsidR="002A26E0" w:rsidRPr="002A26E0" w:rsidRDefault="002A26E0" w:rsidP="002A26E0">
            <w:pPr>
              <w:pStyle w:val="NoSpacing"/>
              <w:rPr>
                <w:rFonts w:cstheme="minorHAnsi"/>
              </w:rPr>
            </w:pPr>
            <w:r w:rsidRPr="002A26E0">
              <w:rPr>
                <w:rFonts w:cstheme="minorHAnsi"/>
              </w:rPr>
              <w:t>3.91***</w:t>
            </w:r>
          </w:p>
        </w:tc>
        <w:tc>
          <w:tcPr>
            <w:tcW w:w="0" w:type="auto"/>
          </w:tcPr>
          <w:p w14:paraId="64ABB9EF" w14:textId="77777777" w:rsidR="002A26E0" w:rsidRPr="002A26E0" w:rsidRDefault="002A26E0" w:rsidP="002A26E0">
            <w:pPr>
              <w:pStyle w:val="NoSpacing"/>
              <w:rPr>
                <w:rFonts w:cstheme="minorHAnsi"/>
              </w:rPr>
            </w:pPr>
            <w:r w:rsidRPr="002A26E0">
              <w:rPr>
                <w:rFonts w:cstheme="minorHAnsi"/>
              </w:rPr>
              <w:t>30</w:t>
            </w:r>
          </w:p>
        </w:tc>
        <w:tc>
          <w:tcPr>
            <w:tcW w:w="0" w:type="auto"/>
          </w:tcPr>
          <w:p w14:paraId="2B08F758" w14:textId="77777777" w:rsidR="002A26E0" w:rsidRPr="002A26E0" w:rsidRDefault="002A26E0" w:rsidP="002A26E0">
            <w:pPr>
              <w:pStyle w:val="NoSpacing"/>
              <w:rPr>
                <w:rFonts w:cstheme="minorHAnsi"/>
              </w:rPr>
            </w:pPr>
            <w:r w:rsidRPr="002A26E0">
              <w:rPr>
                <w:rFonts w:cstheme="minorHAnsi"/>
              </w:rPr>
              <w:t>0.70</w:t>
            </w:r>
          </w:p>
        </w:tc>
      </w:tr>
      <w:tr w:rsidR="002A26E0" w:rsidRPr="002A26E0" w14:paraId="500E1D78" w14:textId="77777777" w:rsidTr="002952B0">
        <w:trPr>
          <w:trHeight w:val="241"/>
        </w:trPr>
        <w:tc>
          <w:tcPr>
            <w:tcW w:w="0" w:type="auto"/>
          </w:tcPr>
          <w:p w14:paraId="7DAD60CC" w14:textId="77777777" w:rsidR="002A26E0" w:rsidRPr="002A26E0" w:rsidRDefault="002A26E0" w:rsidP="002A26E0">
            <w:pPr>
              <w:pStyle w:val="NoSpacing"/>
              <w:rPr>
                <w:rFonts w:cstheme="minorHAnsi"/>
              </w:rPr>
            </w:pPr>
            <w:r w:rsidRPr="002A26E0">
              <w:rPr>
                <w:rFonts w:cstheme="minorHAnsi"/>
              </w:rPr>
              <w:t>P DBDhi</w:t>
            </w:r>
          </w:p>
        </w:tc>
        <w:tc>
          <w:tcPr>
            <w:tcW w:w="0" w:type="auto"/>
          </w:tcPr>
          <w:p w14:paraId="7F6769FE" w14:textId="77777777" w:rsidR="002A26E0" w:rsidRPr="002A26E0" w:rsidRDefault="002A26E0" w:rsidP="002A26E0">
            <w:pPr>
              <w:pStyle w:val="NoSpacing"/>
              <w:rPr>
                <w:rFonts w:cstheme="minorHAnsi"/>
                <w:i/>
                <w:iCs/>
              </w:rPr>
            </w:pPr>
            <w:r w:rsidRPr="002A26E0">
              <w:rPr>
                <w:rFonts w:cstheme="minorHAnsi"/>
                <w:i/>
                <w:iCs/>
              </w:rPr>
              <w:t>1.46</w:t>
            </w:r>
          </w:p>
        </w:tc>
        <w:tc>
          <w:tcPr>
            <w:tcW w:w="0" w:type="auto"/>
          </w:tcPr>
          <w:p w14:paraId="3D5A2717" w14:textId="77777777" w:rsidR="002A26E0" w:rsidRPr="002A26E0" w:rsidRDefault="002A26E0" w:rsidP="002A26E0">
            <w:pPr>
              <w:pStyle w:val="NoSpacing"/>
              <w:rPr>
                <w:rFonts w:cstheme="minorHAnsi"/>
              </w:rPr>
            </w:pPr>
            <w:r w:rsidRPr="002A26E0">
              <w:rPr>
                <w:rFonts w:cstheme="minorHAnsi"/>
              </w:rPr>
              <w:t>0.77</w:t>
            </w:r>
          </w:p>
        </w:tc>
        <w:tc>
          <w:tcPr>
            <w:tcW w:w="0" w:type="auto"/>
          </w:tcPr>
          <w:p w14:paraId="469A73E6" w14:textId="77777777" w:rsidR="002A26E0" w:rsidRPr="002A26E0" w:rsidRDefault="002A26E0" w:rsidP="002A26E0">
            <w:pPr>
              <w:pStyle w:val="NoSpacing"/>
              <w:rPr>
                <w:rFonts w:cstheme="minorHAnsi"/>
              </w:rPr>
            </w:pPr>
            <w:r w:rsidRPr="002A26E0">
              <w:rPr>
                <w:rFonts w:cstheme="minorHAnsi"/>
              </w:rPr>
              <w:t>31</w:t>
            </w:r>
          </w:p>
        </w:tc>
        <w:tc>
          <w:tcPr>
            <w:tcW w:w="0" w:type="auto"/>
          </w:tcPr>
          <w:p w14:paraId="2E5D1087" w14:textId="77777777" w:rsidR="002A26E0" w:rsidRPr="002A26E0" w:rsidRDefault="002A26E0" w:rsidP="002A26E0">
            <w:pPr>
              <w:pStyle w:val="NoSpacing"/>
              <w:rPr>
                <w:rFonts w:cstheme="minorHAnsi"/>
              </w:rPr>
            </w:pPr>
          </w:p>
        </w:tc>
        <w:tc>
          <w:tcPr>
            <w:tcW w:w="0" w:type="auto"/>
          </w:tcPr>
          <w:p w14:paraId="434FD9F1" w14:textId="77777777" w:rsidR="002A26E0" w:rsidRPr="002A26E0" w:rsidRDefault="002A26E0" w:rsidP="002A26E0">
            <w:pPr>
              <w:pStyle w:val="NoSpacing"/>
              <w:rPr>
                <w:rFonts w:cstheme="minorHAnsi"/>
                <w:i/>
                <w:iCs/>
              </w:rPr>
            </w:pPr>
            <w:r w:rsidRPr="002A26E0">
              <w:rPr>
                <w:rFonts w:cstheme="minorHAnsi"/>
                <w:i/>
                <w:iCs/>
              </w:rPr>
              <w:t>1.24</w:t>
            </w:r>
          </w:p>
        </w:tc>
        <w:tc>
          <w:tcPr>
            <w:tcW w:w="0" w:type="auto"/>
          </w:tcPr>
          <w:p w14:paraId="6968D6A7" w14:textId="77777777" w:rsidR="002A26E0" w:rsidRPr="002A26E0" w:rsidRDefault="002A26E0" w:rsidP="002A26E0">
            <w:pPr>
              <w:pStyle w:val="NoSpacing"/>
              <w:rPr>
                <w:rFonts w:cstheme="minorHAnsi"/>
              </w:rPr>
            </w:pPr>
            <w:r w:rsidRPr="002A26E0">
              <w:rPr>
                <w:rFonts w:cstheme="minorHAnsi"/>
              </w:rPr>
              <w:t>0.61</w:t>
            </w:r>
          </w:p>
        </w:tc>
        <w:tc>
          <w:tcPr>
            <w:tcW w:w="0" w:type="auto"/>
          </w:tcPr>
          <w:p w14:paraId="75FFB848" w14:textId="77777777" w:rsidR="002A26E0" w:rsidRPr="002A26E0" w:rsidRDefault="002A26E0" w:rsidP="002A26E0">
            <w:pPr>
              <w:pStyle w:val="NoSpacing"/>
              <w:rPr>
                <w:rFonts w:cstheme="minorHAnsi"/>
              </w:rPr>
            </w:pPr>
            <w:r w:rsidRPr="002A26E0">
              <w:rPr>
                <w:rFonts w:cstheme="minorHAnsi"/>
              </w:rPr>
              <w:t>31</w:t>
            </w:r>
          </w:p>
        </w:tc>
        <w:tc>
          <w:tcPr>
            <w:tcW w:w="0" w:type="auto"/>
          </w:tcPr>
          <w:p w14:paraId="6E4D8668" w14:textId="77777777" w:rsidR="002A26E0" w:rsidRPr="002A26E0" w:rsidRDefault="002A26E0" w:rsidP="002A26E0">
            <w:pPr>
              <w:pStyle w:val="NoSpacing"/>
              <w:rPr>
                <w:rFonts w:cstheme="minorHAnsi"/>
              </w:rPr>
            </w:pPr>
            <w:r w:rsidRPr="002A26E0">
              <w:rPr>
                <w:rFonts w:cstheme="minorHAnsi"/>
              </w:rPr>
              <w:t>[–0.02, 0.45]</w:t>
            </w:r>
          </w:p>
        </w:tc>
        <w:tc>
          <w:tcPr>
            <w:tcW w:w="0" w:type="auto"/>
          </w:tcPr>
          <w:p w14:paraId="2F2A457C" w14:textId="77777777" w:rsidR="002A26E0" w:rsidRPr="002A26E0" w:rsidRDefault="002A26E0" w:rsidP="002A26E0">
            <w:pPr>
              <w:pStyle w:val="NoSpacing"/>
              <w:rPr>
                <w:rFonts w:cstheme="minorHAnsi"/>
                <w:vertAlign w:val="superscript"/>
              </w:rPr>
            </w:pPr>
            <w:r w:rsidRPr="002A26E0">
              <w:rPr>
                <w:rFonts w:cstheme="minorHAnsi"/>
              </w:rPr>
              <w:t>1.90</w:t>
            </w:r>
            <w:r w:rsidRPr="002A26E0">
              <w:rPr>
                <w:rFonts w:cstheme="minorHAnsi"/>
                <w:vertAlign w:val="superscript"/>
              </w:rPr>
              <w:t>†</w:t>
            </w:r>
          </w:p>
        </w:tc>
        <w:tc>
          <w:tcPr>
            <w:tcW w:w="0" w:type="auto"/>
          </w:tcPr>
          <w:p w14:paraId="03B869B6" w14:textId="77777777" w:rsidR="002A26E0" w:rsidRPr="002A26E0" w:rsidRDefault="002A26E0" w:rsidP="002A26E0">
            <w:pPr>
              <w:pStyle w:val="NoSpacing"/>
              <w:rPr>
                <w:rFonts w:cstheme="minorHAnsi"/>
              </w:rPr>
            </w:pPr>
            <w:r w:rsidRPr="002A26E0">
              <w:rPr>
                <w:rFonts w:cstheme="minorHAnsi"/>
              </w:rPr>
              <w:t>30</w:t>
            </w:r>
          </w:p>
        </w:tc>
        <w:tc>
          <w:tcPr>
            <w:tcW w:w="0" w:type="auto"/>
          </w:tcPr>
          <w:p w14:paraId="54BC1F6B" w14:textId="77777777" w:rsidR="002A26E0" w:rsidRPr="002A26E0" w:rsidRDefault="002A26E0" w:rsidP="002A26E0">
            <w:pPr>
              <w:pStyle w:val="NoSpacing"/>
              <w:rPr>
                <w:rFonts w:cstheme="minorHAnsi"/>
              </w:rPr>
            </w:pPr>
            <w:r w:rsidRPr="002A26E0">
              <w:rPr>
                <w:rFonts w:cstheme="minorHAnsi"/>
              </w:rPr>
              <w:t>0.34</w:t>
            </w:r>
          </w:p>
        </w:tc>
      </w:tr>
      <w:tr w:rsidR="002A26E0" w:rsidRPr="002A26E0" w14:paraId="39A7F443" w14:textId="77777777" w:rsidTr="002952B0">
        <w:trPr>
          <w:trHeight w:val="230"/>
        </w:trPr>
        <w:tc>
          <w:tcPr>
            <w:tcW w:w="0" w:type="auto"/>
          </w:tcPr>
          <w:p w14:paraId="488D5704" w14:textId="77777777" w:rsidR="002A26E0" w:rsidRPr="002A26E0" w:rsidRDefault="002A26E0" w:rsidP="002A26E0">
            <w:pPr>
              <w:pStyle w:val="NoSpacing"/>
              <w:rPr>
                <w:rFonts w:cstheme="minorHAnsi"/>
              </w:rPr>
            </w:pPr>
            <w:r w:rsidRPr="002A26E0">
              <w:rPr>
                <w:rFonts w:cstheme="minorHAnsi"/>
              </w:rPr>
              <w:t>T DBDin</w:t>
            </w:r>
          </w:p>
        </w:tc>
        <w:tc>
          <w:tcPr>
            <w:tcW w:w="0" w:type="auto"/>
          </w:tcPr>
          <w:p w14:paraId="715006CC" w14:textId="77777777" w:rsidR="002A26E0" w:rsidRPr="002A26E0" w:rsidRDefault="002A26E0" w:rsidP="002A26E0">
            <w:pPr>
              <w:pStyle w:val="NoSpacing"/>
              <w:rPr>
                <w:rFonts w:cstheme="minorHAnsi"/>
                <w:i/>
                <w:iCs/>
              </w:rPr>
            </w:pPr>
            <w:r w:rsidRPr="002A26E0">
              <w:rPr>
                <w:rFonts w:cstheme="minorHAnsi"/>
                <w:i/>
                <w:iCs/>
              </w:rPr>
              <w:t>1.63</w:t>
            </w:r>
          </w:p>
        </w:tc>
        <w:tc>
          <w:tcPr>
            <w:tcW w:w="0" w:type="auto"/>
          </w:tcPr>
          <w:p w14:paraId="2621B1DA" w14:textId="77777777" w:rsidR="002A26E0" w:rsidRPr="002A26E0" w:rsidRDefault="002A26E0" w:rsidP="002A26E0">
            <w:pPr>
              <w:pStyle w:val="NoSpacing"/>
              <w:rPr>
                <w:rFonts w:cstheme="minorHAnsi"/>
              </w:rPr>
            </w:pPr>
            <w:r w:rsidRPr="002A26E0">
              <w:rPr>
                <w:rFonts w:cstheme="minorHAnsi"/>
              </w:rPr>
              <w:t>0.74</w:t>
            </w:r>
          </w:p>
        </w:tc>
        <w:tc>
          <w:tcPr>
            <w:tcW w:w="0" w:type="auto"/>
          </w:tcPr>
          <w:p w14:paraId="75B0C7D7" w14:textId="77777777" w:rsidR="002A26E0" w:rsidRPr="002A26E0" w:rsidRDefault="002A26E0" w:rsidP="002A26E0">
            <w:pPr>
              <w:pStyle w:val="NoSpacing"/>
              <w:rPr>
                <w:rFonts w:cstheme="minorHAnsi"/>
              </w:rPr>
            </w:pPr>
            <w:r w:rsidRPr="002A26E0">
              <w:rPr>
                <w:rFonts w:cstheme="minorHAnsi"/>
              </w:rPr>
              <w:t>31</w:t>
            </w:r>
          </w:p>
        </w:tc>
        <w:tc>
          <w:tcPr>
            <w:tcW w:w="0" w:type="auto"/>
          </w:tcPr>
          <w:p w14:paraId="19EF8688" w14:textId="77777777" w:rsidR="002A26E0" w:rsidRPr="002A26E0" w:rsidRDefault="002A26E0" w:rsidP="002A26E0">
            <w:pPr>
              <w:pStyle w:val="NoSpacing"/>
              <w:rPr>
                <w:rFonts w:cstheme="minorHAnsi"/>
              </w:rPr>
            </w:pPr>
          </w:p>
        </w:tc>
        <w:tc>
          <w:tcPr>
            <w:tcW w:w="0" w:type="auto"/>
          </w:tcPr>
          <w:p w14:paraId="1508D9F6" w14:textId="77777777" w:rsidR="002A26E0" w:rsidRPr="002A26E0" w:rsidRDefault="002A26E0" w:rsidP="002A26E0">
            <w:pPr>
              <w:pStyle w:val="NoSpacing"/>
              <w:rPr>
                <w:rFonts w:cstheme="minorHAnsi"/>
                <w:i/>
                <w:iCs/>
              </w:rPr>
            </w:pPr>
            <w:r w:rsidRPr="002A26E0">
              <w:rPr>
                <w:rFonts w:cstheme="minorHAnsi"/>
                <w:i/>
                <w:iCs/>
              </w:rPr>
              <w:t>1.21</w:t>
            </w:r>
          </w:p>
        </w:tc>
        <w:tc>
          <w:tcPr>
            <w:tcW w:w="0" w:type="auto"/>
          </w:tcPr>
          <w:p w14:paraId="0F9E81F2" w14:textId="77777777" w:rsidR="002A26E0" w:rsidRPr="002A26E0" w:rsidRDefault="002A26E0" w:rsidP="002A26E0">
            <w:pPr>
              <w:pStyle w:val="NoSpacing"/>
              <w:rPr>
                <w:rFonts w:cstheme="minorHAnsi"/>
              </w:rPr>
            </w:pPr>
            <w:r w:rsidRPr="002A26E0">
              <w:rPr>
                <w:rFonts w:cstheme="minorHAnsi"/>
              </w:rPr>
              <w:t>0.74</w:t>
            </w:r>
          </w:p>
        </w:tc>
        <w:tc>
          <w:tcPr>
            <w:tcW w:w="0" w:type="auto"/>
          </w:tcPr>
          <w:p w14:paraId="4EEBD0A5" w14:textId="77777777" w:rsidR="002A26E0" w:rsidRPr="002A26E0" w:rsidRDefault="002A26E0" w:rsidP="002A26E0">
            <w:pPr>
              <w:pStyle w:val="NoSpacing"/>
              <w:rPr>
                <w:rFonts w:cstheme="minorHAnsi"/>
              </w:rPr>
            </w:pPr>
            <w:r w:rsidRPr="002A26E0">
              <w:rPr>
                <w:rFonts w:cstheme="minorHAnsi"/>
              </w:rPr>
              <w:t>31</w:t>
            </w:r>
          </w:p>
        </w:tc>
        <w:tc>
          <w:tcPr>
            <w:tcW w:w="0" w:type="auto"/>
          </w:tcPr>
          <w:p w14:paraId="47B01877" w14:textId="77777777" w:rsidR="002A26E0" w:rsidRPr="002A26E0" w:rsidRDefault="002A26E0" w:rsidP="002A26E0">
            <w:pPr>
              <w:pStyle w:val="NoSpacing"/>
              <w:rPr>
                <w:rFonts w:cstheme="minorHAnsi"/>
              </w:rPr>
            </w:pPr>
            <w:r w:rsidRPr="002A26E0">
              <w:rPr>
                <w:rFonts w:cstheme="minorHAnsi"/>
              </w:rPr>
              <w:t>[0.17, 0.68]</w:t>
            </w:r>
          </w:p>
        </w:tc>
        <w:tc>
          <w:tcPr>
            <w:tcW w:w="0" w:type="auto"/>
          </w:tcPr>
          <w:p w14:paraId="49A774DB" w14:textId="77777777" w:rsidR="002A26E0" w:rsidRPr="002A26E0" w:rsidRDefault="002A26E0" w:rsidP="002A26E0">
            <w:pPr>
              <w:pStyle w:val="NoSpacing"/>
              <w:rPr>
                <w:rFonts w:cstheme="minorHAnsi"/>
              </w:rPr>
            </w:pPr>
            <w:r w:rsidRPr="002A26E0">
              <w:rPr>
                <w:rFonts w:cstheme="minorHAnsi"/>
              </w:rPr>
              <w:t>3.37**</w:t>
            </w:r>
          </w:p>
        </w:tc>
        <w:tc>
          <w:tcPr>
            <w:tcW w:w="0" w:type="auto"/>
          </w:tcPr>
          <w:p w14:paraId="383AD76A" w14:textId="77777777" w:rsidR="002A26E0" w:rsidRPr="002A26E0" w:rsidRDefault="002A26E0" w:rsidP="002A26E0">
            <w:pPr>
              <w:pStyle w:val="NoSpacing"/>
              <w:rPr>
                <w:rFonts w:cstheme="minorHAnsi"/>
              </w:rPr>
            </w:pPr>
            <w:r w:rsidRPr="002A26E0">
              <w:rPr>
                <w:rFonts w:cstheme="minorHAnsi"/>
              </w:rPr>
              <w:t>30</w:t>
            </w:r>
          </w:p>
        </w:tc>
        <w:tc>
          <w:tcPr>
            <w:tcW w:w="0" w:type="auto"/>
          </w:tcPr>
          <w:p w14:paraId="4466DFE4" w14:textId="77777777" w:rsidR="002A26E0" w:rsidRPr="002A26E0" w:rsidRDefault="002A26E0" w:rsidP="002A26E0">
            <w:pPr>
              <w:pStyle w:val="NoSpacing"/>
              <w:rPr>
                <w:rFonts w:cstheme="minorHAnsi"/>
              </w:rPr>
            </w:pPr>
            <w:r w:rsidRPr="002A26E0">
              <w:rPr>
                <w:rFonts w:cstheme="minorHAnsi"/>
              </w:rPr>
              <w:t>0.61</w:t>
            </w:r>
          </w:p>
        </w:tc>
      </w:tr>
      <w:tr w:rsidR="002A26E0" w:rsidRPr="002A26E0" w14:paraId="7F532023" w14:textId="77777777" w:rsidTr="002952B0">
        <w:trPr>
          <w:trHeight w:val="230"/>
        </w:trPr>
        <w:tc>
          <w:tcPr>
            <w:tcW w:w="0" w:type="auto"/>
          </w:tcPr>
          <w:p w14:paraId="7B527E49" w14:textId="77777777" w:rsidR="002A26E0" w:rsidRPr="002A26E0" w:rsidRDefault="002A26E0" w:rsidP="002A26E0">
            <w:pPr>
              <w:pStyle w:val="NoSpacing"/>
              <w:rPr>
                <w:rFonts w:cstheme="minorHAnsi"/>
              </w:rPr>
            </w:pPr>
            <w:r w:rsidRPr="002A26E0">
              <w:rPr>
                <w:rFonts w:cstheme="minorHAnsi"/>
              </w:rPr>
              <w:t>T DBDhi</w:t>
            </w:r>
          </w:p>
        </w:tc>
        <w:tc>
          <w:tcPr>
            <w:tcW w:w="0" w:type="auto"/>
          </w:tcPr>
          <w:p w14:paraId="26C3AF75" w14:textId="77777777" w:rsidR="002A26E0" w:rsidRPr="002A26E0" w:rsidRDefault="002A26E0" w:rsidP="002A26E0">
            <w:pPr>
              <w:pStyle w:val="NoSpacing"/>
              <w:rPr>
                <w:rFonts w:cstheme="minorHAnsi"/>
                <w:i/>
                <w:iCs/>
              </w:rPr>
            </w:pPr>
            <w:r w:rsidRPr="002A26E0">
              <w:rPr>
                <w:rFonts w:cstheme="minorHAnsi"/>
                <w:i/>
                <w:iCs/>
              </w:rPr>
              <w:t>1.17</w:t>
            </w:r>
          </w:p>
        </w:tc>
        <w:tc>
          <w:tcPr>
            <w:tcW w:w="0" w:type="auto"/>
          </w:tcPr>
          <w:p w14:paraId="3C2ED593" w14:textId="77777777" w:rsidR="002A26E0" w:rsidRPr="002A26E0" w:rsidRDefault="002A26E0" w:rsidP="002A26E0">
            <w:pPr>
              <w:pStyle w:val="NoSpacing"/>
              <w:rPr>
                <w:rFonts w:cstheme="minorHAnsi"/>
              </w:rPr>
            </w:pPr>
            <w:r w:rsidRPr="002A26E0">
              <w:rPr>
                <w:rFonts w:cstheme="minorHAnsi"/>
              </w:rPr>
              <w:t>0.69</w:t>
            </w:r>
          </w:p>
        </w:tc>
        <w:tc>
          <w:tcPr>
            <w:tcW w:w="0" w:type="auto"/>
          </w:tcPr>
          <w:p w14:paraId="6BC43979" w14:textId="77777777" w:rsidR="002A26E0" w:rsidRPr="002A26E0" w:rsidRDefault="002A26E0" w:rsidP="002A26E0">
            <w:pPr>
              <w:pStyle w:val="NoSpacing"/>
              <w:rPr>
                <w:rFonts w:cstheme="minorHAnsi"/>
              </w:rPr>
            </w:pPr>
            <w:r w:rsidRPr="002A26E0">
              <w:rPr>
                <w:rFonts w:cstheme="minorHAnsi"/>
              </w:rPr>
              <w:t>31</w:t>
            </w:r>
          </w:p>
        </w:tc>
        <w:tc>
          <w:tcPr>
            <w:tcW w:w="0" w:type="auto"/>
          </w:tcPr>
          <w:p w14:paraId="61DDC553" w14:textId="77777777" w:rsidR="002A26E0" w:rsidRPr="002A26E0" w:rsidRDefault="002A26E0" w:rsidP="002A26E0">
            <w:pPr>
              <w:pStyle w:val="NoSpacing"/>
              <w:rPr>
                <w:rFonts w:cstheme="minorHAnsi"/>
              </w:rPr>
            </w:pPr>
          </w:p>
        </w:tc>
        <w:tc>
          <w:tcPr>
            <w:tcW w:w="0" w:type="auto"/>
          </w:tcPr>
          <w:p w14:paraId="13E7F06D" w14:textId="77777777" w:rsidR="002A26E0" w:rsidRPr="002A26E0" w:rsidRDefault="002A26E0" w:rsidP="002A26E0">
            <w:pPr>
              <w:pStyle w:val="NoSpacing"/>
              <w:rPr>
                <w:rFonts w:cstheme="minorHAnsi"/>
                <w:i/>
                <w:iCs/>
              </w:rPr>
            </w:pPr>
            <w:r w:rsidRPr="002A26E0">
              <w:rPr>
                <w:rFonts w:cstheme="minorHAnsi"/>
                <w:i/>
                <w:iCs/>
              </w:rPr>
              <w:t>1.08</w:t>
            </w:r>
          </w:p>
        </w:tc>
        <w:tc>
          <w:tcPr>
            <w:tcW w:w="0" w:type="auto"/>
          </w:tcPr>
          <w:p w14:paraId="43FF2EF5" w14:textId="77777777" w:rsidR="002A26E0" w:rsidRPr="002A26E0" w:rsidRDefault="002A26E0" w:rsidP="002A26E0">
            <w:pPr>
              <w:pStyle w:val="NoSpacing"/>
              <w:rPr>
                <w:rFonts w:cstheme="minorHAnsi"/>
              </w:rPr>
            </w:pPr>
            <w:r w:rsidRPr="002A26E0">
              <w:rPr>
                <w:rFonts w:cstheme="minorHAnsi"/>
              </w:rPr>
              <w:t>0.79</w:t>
            </w:r>
          </w:p>
        </w:tc>
        <w:tc>
          <w:tcPr>
            <w:tcW w:w="0" w:type="auto"/>
          </w:tcPr>
          <w:p w14:paraId="2FB95109" w14:textId="77777777" w:rsidR="002A26E0" w:rsidRPr="002A26E0" w:rsidRDefault="002A26E0" w:rsidP="002A26E0">
            <w:pPr>
              <w:pStyle w:val="NoSpacing"/>
              <w:rPr>
                <w:rFonts w:cstheme="minorHAnsi"/>
              </w:rPr>
            </w:pPr>
            <w:r w:rsidRPr="002A26E0">
              <w:rPr>
                <w:rFonts w:cstheme="minorHAnsi"/>
              </w:rPr>
              <w:t>31</w:t>
            </w:r>
          </w:p>
        </w:tc>
        <w:tc>
          <w:tcPr>
            <w:tcW w:w="0" w:type="auto"/>
          </w:tcPr>
          <w:p w14:paraId="73668C8D" w14:textId="77777777" w:rsidR="002A26E0" w:rsidRPr="002A26E0" w:rsidRDefault="002A26E0" w:rsidP="002A26E0">
            <w:pPr>
              <w:pStyle w:val="NoSpacing"/>
              <w:rPr>
                <w:rFonts w:cstheme="minorHAnsi"/>
              </w:rPr>
            </w:pPr>
            <w:r w:rsidRPr="002A26E0">
              <w:rPr>
                <w:rFonts w:cstheme="minorHAnsi"/>
              </w:rPr>
              <w:t>[–0.12, 0.31]</w:t>
            </w:r>
          </w:p>
        </w:tc>
        <w:tc>
          <w:tcPr>
            <w:tcW w:w="0" w:type="auto"/>
          </w:tcPr>
          <w:p w14:paraId="402AE599" w14:textId="77777777" w:rsidR="002A26E0" w:rsidRPr="002A26E0" w:rsidRDefault="002A26E0" w:rsidP="002A26E0">
            <w:pPr>
              <w:pStyle w:val="NoSpacing"/>
              <w:rPr>
                <w:rFonts w:cstheme="minorHAnsi"/>
              </w:rPr>
            </w:pPr>
            <w:r w:rsidRPr="002A26E0">
              <w:rPr>
                <w:rFonts w:cstheme="minorHAnsi"/>
              </w:rPr>
              <w:t>0.88</w:t>
            </w:r>
          </w:p>
        </w:tc>
        <w:tc>
          <w:tcPr>
            <w:tcW w:w="0" w:type="auto"/>
          </w:tcPr>
          <w:p w14:paraId="48B6F978" w14:textId="77777777" w:rsidR="002A26E0" w:rsidRPr="002A26E0" w:rsidRDefault="002A26E0" w:rsidP="002A26E0">
            <w:pPr>
              <w:pStyle w:val="NoSpacing"/>
              <w:rPr>
                <w:rFonts w:cstheme="minorHAnsi"/>
              </w:rPr>
            </w:pPr>
            <w:r w:rsidRPr="002A26E0">
              <w:rPr>
                <w:rFonts w:cstheme="minorHAnsi"/>
              </w:rPr>
              <w:t>30</w:t>
            </w:r>
          </w:p>
        </w:tc>
        <w:tc>
          <w:tcPr>
            <w:tcW w:w="0" w:type="auto"/>
          </w:tcPr>
          <w:p w14:paraId="2E8D5719" w14:textId="77777777" w:rsidR="002A26E0" w:rsidRPr="002A26E0" w:rsidRDefault="002A26E0" w:rsidP="002A26E0">
            <w:pPr>
              <w:pStyle w:val="NoSpacing"/>
              <w:rPr>
                <w:rFonts w:cstheme="minorHAnsi"/>
              </w:rPr>
            </w:pPr>
            <w:r w:rsidRPr="002A26E0">
              <w:rPr>
                <w:rFonts w:cstheme="minorHAnsi"/>
              </w:rPr>
              <w:t>0.16</w:t>
            </w:r>
          </w:p>
        </w:tc>
      </w:tr>
      <w:tr w:rsidR="002A26E0" w:rsidRPr="002A26E0" w14:paraId="177767C9" w14:textId="77777777" w:rsidTr="002952B0">
        <w:trPr>
          <w:trHeight w:val="230"/>
        </w:trPr>
        <w:tc>
          <w:tcPr>
            <w:tcW w:w="0" w:type="auto"/>
          </w:tcPr>
          <w:p w14:paraId="3304D88D" w14:textId="77777777" w:rsidR="002A26E0" w:rsidRPr="002A26E0" w:rsidRDefault="002A26E0" w:rsidP="002A26E0">
            <w:pPr>
              <w:pStyle w:val="NoSpacing"/>
              <w:rPr>
                <w:rFonts w:cstheme="minorHAnsi"/>
              </w:rPr>
            </w:pPr>
            <w:r w:rsidRPr="002A26E0">
              <w:rPr>
                <w:rFonts w:cstheme="minorHAnsi"/>
              </w:rPr>
              <w:t>P FX home</w:t>
            </w:r>
          </w:p>
        </w:tc>
        <w:tc>
          <w:tcPr>
            <w:tcW w:w="0" w:type="auto"/>
          </w:tcPr>
          <w:p w14:paraId="5BF45A2F" w14:textId="77777777" w:rsidR="002A26E0" w:rsidRPr="002A26E0" w:rsidRDefault="002A26E0" w:rsidP="002A26E0">
            <w:pPr>
              <w:pStyle w:val="NoSpacing"/>
              <w:rPr>
                <w:rFonts w:cstheme="minorHAnsi"/>
                <w:i/>
                <w:iCs/>
              </w:rPr>
            </w:pPr>
            <w:r w:rsidRPr="002A26E0">
              <w:rPr>
                <w:rFonts w:cstheme="minorHAnsi"/>
                <w:i/>
                <w:iCs/>
              </w:rPr>
              <w:t>1.09</w:t>
            </w:r>
          </w:p>
        </w:tc>
        <w:tc>
          <w:tcPr>
            <w:tcW w:w="0" w:type="auto"/>
          </w:tcPr>
          <w:p w14:paraId="4834A96C" w14:textId="77777777" w:rsidR="002A26E0" w:rsidRPr="002A26E0" w:rsidRDefault="002A26E0" w:rsidP="002A26E0">
            <w:pPr>
              <w:pStyle w:val="NoSpacing"/>
              <w:rPr>
                <w:rFonts w:cstheme="minorHAnsi"/>
              </w:rPr>
            </w:pPr>
            <w:r w:rsidRPr="002A26E0">
              <w:rPr>
                <w:rFonts w:cstheme="minorHAnsi"/>
              </w:rPr>
              <w:t>0.73</w:t>
            </w:r>
          </w:p>
        </w:tc>
        <w:tc>
          <w:tcPr>
            <w:tcW w:w="0" w:type="auto"/>
          </w:tcPr>
          <w:p w14:paraId="275460BD" w14:textId="77777777" w:rsidR="002A26E0" w:rsidRPr="002A26E0" w:rsidRDefault="002A26E0" w:rsidP="002A26E0">
            <w:pPr>
              <w:pStyle w:val="NoSpacing"/>
              <w:rPr>
                <w:rFonts w:cstheme="minorHAnsi"/>
              </w:rPr>
            </w:pPr>
            <w:r w:rsidRPr="002A26E0">
              <w:rPr>
                <w:rFonts w:cstheme="minorHAnsi"/>
              </w:rPr>
              <w:t>31</w:t>
            </w:r>
          </w:p>
        </w:tc>
        <w:tc>
          <w:tcPr>
            <w:tcW w:w="0" w:type="auto"/>
          </w:tcPr>
          <w:p w14:paraId="6B0FF798" w14:textId="77777777" w:rsidR="002A26E0" w:rsidRPr="002A26E0" w:rsidRDefault="002A26E0" w:rsidP="002A26E0">
            <w:pPr>
              <w:pStyle w:val="NoSpacing"/>
              <w:rPr>
                <w:rFonts w:cstheme="minorHAnsi"/>
              </w:rPr>
            </w:pPr>
          </w:p>
        </w:tc>
        <w:tc>
          <w:tcPr>
            <w:tcW w:w="0" w:type="auto"/>
          </w:tcPr>
          <w:p w14:paraId="5E9A6041" w14:textId="77777777" w:rsidR="002A26E0" w:rsidRPr="002A26E0" w:rsidRDefault="002A26E0" w:rsidP="002A26E0">
            <w:pPr>
              <w:pStyle w:val="NoSpacing"/>
              <w:rPr>
                <w:rFonts w:cstheme="minorHAnsi"/>
                <w:i/>
                <w:iCs/>
              </w:rPr>
            </w:pPr>
            <w:r w:rsidRPr="002A26E0">
              <w:rPr>
                <w:rFonts w:cstheme="minorHAnsi"/>
                <w:i/>
                <w:iCs/>
              </w:rPr>
              <w:t>0.64</w:t>
            </w:r>
          </w:p>
        </w:tc>
        <w:tc>
          <w:tcPr>
            <w:tcW w:w="0" w:type="auto"/>
          </w:tcPr>
          <w:p w14:paraId="636B75F4" w14:textId="77777777" w:rsidR="002A26E0" w:rsidRPr="002A26E0" w:rsidRDefault="002A26E0" w:rsidP="002A26E0">
            <w:pPr>
              <w:pStyle w:val="NoSpacing"/>
              <w:rPr>
                <w:rFonts w:cstheme="minorHAnsi"/>
              </w:rPr>
            </w:pPr>
            <w:r w:rsidRPr="002A26E0">
              <w:rPr>
                <w:rFonts w:cstheme="minorHAnsi"/>
              </w:rPr>
              <w:t>0.35</w:t>
            </w:r>
          </w:p>
        </w:tc>
        <w:tc>
          <w:tcPr>
            <w:tcW w:w="0" w:type="auto"/>
          </w:tcPr>
          <w:p w14:paraId="2C98F167" w14:textId="77777777" w:rsidR="002A26E0" w:rsidRPr="002A26E0" w:rsidRDefault="002A26E0" w:rsidP="002A26E0">
            <w:pPr>
              <w:pStyle w:val="NoSpacing"/>
              <w:rPr>
                <w:rFonts w:cstheme="minorHAnsi"/>
              </w:rPr>
            </w:pPr>
            <w:r w:rsidRPr="002A26E0">
              <w:rPr>
                <w:rFonts w:cstheme="minorHAnsi"/>
              </w:rPr>
              <w:t>31</w:t>
            </w:r>
          </w:p>
        </w:tc>
        <w:tc>
          <w:tcPr>
            <w:tcW w:w="0" w:type="auto"/>
          </w:tcPr>
          <w:p w14:paraId="0271B525" w14:textId="77777777" w:rsidR="002A26E0" w:rsidRPr="002A26E0" w:rsidRDefault="002A26E0" w:rsidP="002A26E0">
            <w:pPr>
              <w:pStyle w:val="NoSpacing"/>
              <w:rPr>
                <w:rFonts w:cstheme="minorHAnsi"/>
              </w:rPr>
            </w:pPr>
            <w:r w:rsidRPr="002A26E0">
              <w:rPr>
                <w:rFonts w:cstheme="minorHAnsi"/>
              </w:rPr>
              <w:t>[0.23, 0.66]</w:t>
            </w:r>
          </w:p>
        </w:tc>
        <w:tc>
          <w:tcPr>
            <w:tcW w:w="0" w:type="auto"/>
          </w:tcPr>
          <w:p w14:paraId="5F3EECCF" w14:textId="77777777" w:rsidR="002A26E0" w:rsidRPr="002A26E0" w:rsidRDefault="002A26E0" w:rsidP="002A26E0">
            <w:pPr>
              <w:pStyle w:val="NoSpacing"/>
              <w:rPr>
                <w:rFonts w:cstheme="minorHAnsi"/>
              </w:rPr>
            </w:pPr>
            <w:r w:rsidRPr="002A26E0">
              <w:rPr>
                <w:rFonts w:cstheme="minorHAnsi"/>
              </w:rPr>
              <w:t>4.27***</w:t>
            </w:r>
          </w:p>
        </w:tc>
        <w:tc>
          <w:tcPr>
            <w:tcW w:w="0" w:type="auto"/>
          </w:tcPr>
          <w:p w14:paraId="0C0FAD07" w14:textId="77777777" w:rsidR="002A26E0" w:rsidRPr="002A26E0" w:rsidRDefault="002A26E0" w:rsidP="002A26E0">
            <w:pPr>
              <w:pStyle w:val="NoSpacing"/>
              <w:rPr>
                <w:rFonts w:cstheme="minorHAnsi"/>
              </w:rPr>
            </w:pPr>
            <w:r w:rsidRPr="002A26E0">
              <w:rPr>
                <w:rFonts w:cstheme="minorHAnsi"/>
              </w:rPr>
              <w:t>30</w:t>
            </w:r>
          </w:p>
        </w:tc>
        <w:tc>
          <w:tcPr>
            <w:tcW w:w="0" w:type="auto"/>
          </w:tcPr>
          <w:p w14:paraId="506D9845" w14:textId="77777777" w:rsidR="002A26E0" w:rsidRPr="002A26E0" w:rsidRDefault="002A26E0" w:rsidP="002A26E0">
            <w:pPr>
              <w:pStyle w:val="NoSpacing"/>
              <w:rPr>
                <w:rFonts w:cstheme="minorHAnsi"/>
              </w:rPr>
            </w:pPr>
            <w:r w:rsidRPr="002A26E0">
              <w:rPr>
                <w:rFonts w:cstheme="minorHAnsi"/>
              </w:rPr>
              <w:t>0.77</w:t>
            </w:r>
          </w:p>
        </w:tc>
      </w:tr>
      <w:tr w:rsidR="002A26E0" w:rsidRPr="002A26E0" w14:paraId="20EE9478" w14:textId="77777777" w:rsidTr="002952B0">
        <w:trPr>
          <w:trHeight w:val="269"/>
        </w:trPr>
        <w:tc>
          <w:tcPr>
            <w:tcW w:w="0" w:type="auto"/>
          </w:tcPr>
          <w:p w14:paraId="5AD53FE4" w14:textId="77777777" w:rsidR="002A26E0" w:rsidRPr="002A26E0" w:rsidRDefault="002A26E0" w:rsidP="002A26E0">
            <w:pPr>
              <w:pStyle w:val="NoSpacing"/>
              <w:rPr>
                <w:rFonts w:cstheme="minorHAnsi"/>
              </w:rPr>
            </w:pPr>
            <w:r w:rsidRPr="002A26E0">
              <w:rPr>
                <w:rFonts w:cstheme="minorHAnsi"/>
              </w:rPr>
              <w:t>T FX school</w:t>
            </w:r>
          </w:p>
        </w:tc>
        <w:tc>
          <w:tcPr>
            <w:tcW w:w="0" w:type="auto"/>
          </w:tcPr>
          <w:p w14:paraId="4200FEAC" w14:textId="77777777" w:rsidR="002A26E0" w:rsidRPr="002A26E0" w:rsidRDefault="002A26E0" w:rsidP="002A26E0">
            <w:pPr>
              <w:pStyle w:val="NoSpacing"/>
              <w:rPr>
                <w:rFonts w:cstheme="minorHAnsi"/>
                <w:i/>
                <w:iCs/>
              </w:rPr>
            </w:pPr>
            <w:r w:rsidRPr="002A26E0">
              <w:rPr>
                <w:rFonts w:cstheme="minorHAnsi"/>
                <w:i/>
                <w:iCs/>
              </w:rPr>
              <w:t>1.26</w:t>
            </w:r>
          </w:p>
        </w:tc>
        <w:tc>
          <w:tcPr>
            <w:tcW w:w="0" w:type="auto"/>
          </w:tcPr>
          <w:p w14:paraId="3B36D517" w14:textId="77777777" w:rsidR="002A26E0" w:rsidRPr="002A26E0" w:rsidRDefault="002A26E0" w:rsidP="002A26E0">
            <w:pPr>
              <w:pStyle w:val="NoSpacing"/>
              <w:rPr>
                <w:rFonts w:cstheme="minorHAnsi"/>
              </w:rPr>
            </w:pPr>
            <w:r w:rsidRPr="002A26E0">
              <w:rPr>
                <w:rFonts w:cstheme="minorHAnsi"/>
              </w:rPr>
              <w:t>0.62</w:t>
            </w:r>
          </w:p>
        </w:tc>
        <w:tc>
          <w:tcPr>
            <w:tcW w:w="0" w:type="auto"/>
          </w:tcPr>
          <w:p w14:paraId="4199AD92" w14:textId="77777777" w:rsidR="002A26E0" w:rsidRPr="002A26E0" w:rsidRDefault="002A26E0" w:rsidP="002A26E0">
            <w:pPr>
              <w:pStyle w:val="NoSpacing"/>
              <w:rPr>
                <w:rFonts w:cstheme="minorHAnsi"/>
              </w:rPr>
            </w:pPr>
            <w:r w:rsidRPr="002A26E0">
              <w:rPr>
                <w:rFonts w:cstheme="minorHAnsi"/>
              </w:rPr>
              <w:t>31</w:t>
            </w:r>
          </w:p>
        </w:tc>
        <w:tc>
          <w:tcPr>
            <w:tcW w:w="0" w:type="auto"/>
          </w:tcPr>
          <w:p w14:paraId="3FA48831" w14:textId="77777777" w:rsidR="002A26E0" w:rsidRPr="002A26E0" w:rsidRDefault="002A26E0" w:rsidP="002A26E0">
            <w:pPr>
              <w:pStyle w:val="NoSpacing"/>
              <w:rPr>
                <w:rFonts w:cstheme="minorHAnsi"/>
              </w:rPr>
            </w:pPr>
          </w:p>
        </w:tc>
        <w:tc>
          <w:tcPr>
            <w:tcW w:w="0" w:type="auto"/>
          </w:tcPr>
          <w:p w14:paraId="26098496" w14:textId="77777777" w:rsidR="002A26E0" w:rsidRPr="002A26E0" w:rsidRDefault="002A26E0" w:rsidP="002A26E0">
            <w:pPr>
              <w:pStyle w:val="NoSpacing"/>
              <w:rPr>
                <w:rFonts w:cstheme="minorHAnsi"/>
                <w:i/>
                <w:iCs/>
              </w:rPr>
            </w:pPr>
            <w:r w:rsidRPr="002A26E0">
              <w:rPr>
                <w:rFonts w:cstheme="minorHAnsi"/>
                <w:i/>
                <w:iCs/>
              </w:rPr>
              <w:t>0.94</w:t>
            </w:r>
          </w:p>
        </w:tc>
        <w:tc>
          <w:tcPr>
            <w:tcW w:w="0" w:type="auto"/>
          </w:tcPr>
          <w:p w14:paraId="56303E97" w14:textId="77777777" w:rsidR="002A26E0" w:rsidRPr="002A26E0" w:rsidRDefault="002A26E0" w:rsidP="002A26E0">
            <w:pPr>
              <w:pStyle w:val="NoSpacing"/>
              <w:rPr>
                <w:rFonts w:cstheme="minorHAnsi"/>
              </w:rPr>
            </w:pPr>
            <w:r w:rsidRPr="002A26E0">
              <w:rPr>
                <w:rFonts w:cstheme="minorHAnsi"/>
              </w:rPr>
              <w:t>0.55</w:t>
            </w:r>
          </w:p>
        </w:tc>
        <w:tc>
          <w:tcPr>
            <w:tcW w:w="0" w:type="auto"/>
          </w:tcPr>
          <w:p w14:paraId="13DE075E" w14:textId="77777777" w:rsidR="002A26E0" w:rsidRPr="002A26E0" w:rsidRDefault="002A26E0" w:rsidP="002A26E0">
            <w:pPr>
              <w:pStyle w:val="NoSpacing"/>
              <w:rPr>
                <w:rFonts w:cstheme="minorHAnsi"/>
              </w:rPr>
            </w:pPr>
            <w:r w:rsidRPr="002A26E0">
              <w:rPr>
                <w:rFonts w:cstheme="minorHAnsi"/>
              </w:rPr>
              <w:t>31</w:t>
            </w:r>
          </w:p>
        </w:tc>
        <w:tc>
          <w:tcPr>
            <w:tcW w:w="0" w:type="auto"/>
          </w:tcPr>
          <w:p w14:paraId="47CD52D3" w14:textId="77777777" w:rsidR="002A26E0" w:rsidRPr="002A26E0" w:rsidRDefault="002A26E0" w:rsidP="002A26E0">
            <w:pPr>
              <w:pStyle w:val="NoSpacing"/>
              <w:rPr>
                <w:rFonts w:cstheme="minorHAnsi"/>
              </w:rPr>
            </w:pPr>
            <w:r w:rsidRPr="002A26E0">
              <w:rPr>
                <w:rFonts w:cstheme="minorHAnsi"/>
              </w:rPr>
              <w:t>[0.16, 0.47]</w:t>
            </w:r>
          </w:p>
        </w:tc>
        <w:tc>
          <w:tcPr>
            <w:tcW w:w="0" w:type="auto"/>
          </w:tcPr>
          <w:p w14:paraId="2AEF52E7" w14:textId="77777777" w:rsidR="002A26E0" w:rsidRPr="002A26E0" w:rsidRDefault="002A26E0" w:rsidP="002A26E0">
            <w:pPr>
              <w:pStyle w:val="NoSpacing"/>
              <w:rPr>
                <w:rFonts w:cstheme="minorHAnsi"/>
              </w:rPr>
            </w:pPr>
            <w:r w:rsidRPr="002A26E0">
              <w:rPr>
                <w:rFonts w:cstheme="minorHAnsi"/>
              </w:rPr>
              <w:t>4.17***</w:t>
            </w:r>
          </w:p>
        </w:tc>
        <w:tc>
          <w:tcPr>
            <w:tcW w:w="0" w:type="auto"/>
          </w:tcPr>
          <w:p w14:paraId="3A4C3120" w14:textId="77777777" w:rsidR="002A26E0" w:rsidRPr="002A26E0" w:rsidRDefault="002A26E0" w:rsidP="002A26E0">
            <w:pPr>
              <w:pStyle w:val="NoSpacing"/>
              <w:rPr>
                <w:rFonts w:cstheme="minorHAnsi"/>
              </w:rPr>
            </w:pPr>
            <w:r w:rsidRPr="002A26E0">
              <w:rPr>
                <w:rFonts w:cstheme="minorHAnsi"/>
              </w:rPr>
              <w:t>30</w:t>
            </w:r>
          </w:p>
        </w:tc>
        <w:tc>
          <w:tcPr>
            <w:tcW w:w="0" w:type="auto"/>
          </w:tcPr>
          <w:p w14:paraId="18055DDD" w14:textId="77777777" w:rsidR="002A26E0" w:rsidRPr="002A26E0" w:rsidRDefault="002A26E0" w:rsidP="002A26E0">
            <w:pPr>
              <w:pStyle w:val="NoSpacing"/>
              <w:rPr>
                <w:rFonts w:cstheme="minorHAnsi"/>
              </w:rPr>
            </w:pPr>
            <w:r w:rsidRPr="002A26E0">
              <w:rPr>
                <w:rFonts w:cstheme="minorHAnsi"/>
              </w:rPr>
              <w:t>0.75</w:t>
            </w:r>
          </w:p>
        </w:tc>
      </w:tr>
      <w:tr w:rsidR="002A26E0" w:rsidRPr="002A26E0" w14:paraId="5A493C6B" w14:textId="77777777" w:rsidTr="002952B0">
        <w:trPr>
          <w:trHeight w:val="365"/>
        </w:trPr>
        <w:tc>
          <w:tcPr>
            <w:tcW w:w="0" w:type="auto"/>
          </w:tcPr>
          <w:p w14:paraId="7BC2875F" w14:textId="77777777" w:rsidR="002A26E0" w:rsidRPr="002A26E0" w:rsidRDefault="002A26E0" w:rsidP="002A26E0">
            <w:pPr>
              <w:pStyle w:val="NoSpacing"/>
              <w:rPr>
                <w:rFonts w:cstheme="minorHAnsi"/>
              </w:rPr>
            </w:pPr>
          </w:p>
        </w:tc>
        <w:tc>
          <w:tcPr>
            <w:tcW w:w="0" w:type="auto"/>
          </w:tcPr>
          <w:p w14:paraId="70D04829" w14:textId="77777777" w:rsidR="002A26E0" w:rsidRPr="002A26E0" w:rsidRDefault="002A26E0" w:rsidP="002A26E0">
            <w:pPr>
              <w:pStyle w:val="NoSpacing"/>
              <w:rPr>
                <w:rFonts w:cstheme="minorHAnsi"/>
              </w:rPr>
            </w:pPr>
          </w:p>
        </w:tc>
        <w:tc>
          <w:tcPr>
            <w:tcW w:w="0" w:type="auto"/>
          </w:tcPr>
          <w:p w14:paraId="016D4875" w14:textId="77777777" w:rsidR="002A26E0" w:rsidRPr="002A26E0" w:rsidRDefault="002A26E0" w:rsidP="002A26E0">
            <w:pPr>
              <w:pStyle w:val="NoSpacing"/>
              <w:rPr>
                <w:rFonts w:cstheme="minorHAnsi"/>
              </w:rPr>
            </w:pPr>
          </w:p>
        </w:tc>
        <w:tc>
          <w:tcPr>
            <w:tcW w:w="0" w:type="auto"/>
          </w:tcPr>
          <w:p w14:paraId="588151D9" w14:textId="77777777" w:rsidR="002A26E0" w:rsidRPr="002A26E0" w:rsidRDefault="002A26E0" w:rsidP="002A26E0">
            <w:pPr>
              <w:pStyle w:val="NoSpacing"/>
              <w:rPr>
                <w:rFonts w:cstheme="minorHAnsi"/>
              </w:rPr>
            </w:pPr>
          </w:p>
        </w:tc>
        <w:tc>
          <w:tcPr>
            <w:tcW w:w="0" w:type="auto"/>
          </w:tcPr>
          <w:p w14:paraId="742DC527" w14:textId="77777777" w:rsidR="002A26E0" w:rsidRPr="002A26E0" w:rsidRDefault="002A26E0" w:rsidP="002A26E0">
            <w:pPr>
              <w:pStyle w:val="NoSpacing"/>
              <w:rPr>
                <w:rFonts w:cstheme="minorHAnsi"/>
              </w:rPr>
            </w:pPr>
            <w:r w:rsidRPr="002A26E0">
              <w:rPr>
                <w:rFonts w:cstheme="minorHAnsi"/>
              </w:rPr>
              <w:t>ST</w:t>
            </w:r>
          </w:p>
        </w:tc>
        <w:tc>
          <w:tcPr>
            <w:tcW w:w="0" w:type="auto"/>
          </w:tcPr>
          <w:p w14:paraId="1AF14DE0" w14:textId="77777777" w:rsidR="002A26E0" w:rsidRPr="002A26E0" w:rsidRDefault="002A26E0" w:rsidP="002A26E0">
            <w:pPr>
              <w:pStyle w:val="NoSpacing"/>
              <w:rPr>
                <w:rFonts w:cstheme="minorHAnsi"/>
              </w:rPr>
            </w:pPr>
          </w:p>
        </w:tc>
        <w:tc>
          <w:tcPr>
            <w:tcW w:w="0" w:type="auto"/>
          </w:tcPr>
          <w:p w14:paraId="364542A6" w14:textId="77777777" w:rsidR="002A26E0" w:rsidRPr="002A26E0" w:rsidRDefault="002A26E0" w:rsidP="002A26E0">
            <w:pPr>
              <w:pStyle w:val="NoSpacing"/>
              <w:rPr>
                <w:rFonts w:cstheme="minorHAnsi"/>
              </w:rPr>
            </w:pPr>
          </w:p>
        </w:tc>
        <w:tc>
          <w:tcPr>
            <w:tcW w:w="0" w:type="auto"/>
          </w:tcPr>
          <w:p w14:paraId="1A1A9D98" w14:textId="77777777" w:rsidR="002A26E0" w:rsidRPr="002A26E0" w:rsidRDefault="002A26E0" w:rsidP="002A26E0">
            <w:pPr>
              <w:pStyle w:val="NoSpacing"/>
              <w:rPr>
                <w:rFonts w:cstheme="minorHAnsi"/>
              </w:rPr>
            </w:pPr>
          </w:p>
        </w:tc>
        <w:tc>
          <w:tcPr>
            <w:tcW w:w="0" w:type="auto"/>
          </w:tcPr>
          <w:p w14:paraId="0A1C880B" w14:textId="77777777" w:rsidR="002A26E0" w:rsidRPr="002A26E0" w:rsidRDefault="002A26E0" w:rsidP="002A26E0">
            <w:pPr>
              <w:pStyle w:val="NoSpacing"/>
              <w:rPr>
                <w:rFonts w:cstheme="minorHAnsi"/>
              </w:rPr>
            </w:pPr>
          </w:p>
        </w:tc>
        <w:tc>
          <w:tcPr>
            <w:tcW w:w="0" w:type="auto"/>
          </w:tcPr>
          <w:p w14:paraId="039BCDD7" w14:textId="77777777" w:rsidR="002A26E0" w:rsidRPr="002A26E0" w:rsidRDefault="002A26E0" w:rsidP="002A26E0">
            <w:pPr>
              <w:pStyle w:val="NoSpacing"/>
              <w:rPr>
                <w:rFonts w:cstheme="minorHAnsi"/>
              </w:rPr>
            </w:pPr>
          </w:p>
        </w:tc>
        <w:tc>
          <w:tcPr>
            <w:tcW w:w="0" w:type="auto"/>
          </w:tcPr>
          <w:p w14:paraId="0B345B4B" w14:textId="77777777" w:rsidR="002A26E0" w:rsidRPr="002A26E0" w:rsidRDefault="002A26E0" w:rsidP="002A26E0">
            <w:pPr>
              <w:pStyle w:val="NoSpacing"/>
              <w:rPr>
                <w:rFonts w:cstheme="minorHAnsi"/>
              </w:rPr>
            </w:pPr>
          </w:p>
        </w:tc>
        <w:tc>
          <w:tcPr>
            <w:tcW w:w="0" w:type="auto"/>
          </w:tcPr>
          <w:p w14:paraId="729F09D6" w14:textId="77777777" w:rsidR="002A26E0" w:rsidRPr="002A26E0" w:rsidRDefault="002A26E0" w:rsidP="002A26E0">
            <w:pPr>
              <w:pStyle w:val="NoSpacing"/>
              <w:rPr>
                <w:rFonts w:cstheme="minorHAnsi"/>
              </w:rPr>
            </w:pPr>
          </w:p>
        </w:tc>
      </w:tr>
      <w:tr w:rsidR="002A26E0" w:rsidRPr="002A26E0" w14:paraId="66DE44B6" w14:textId="77777777" w:rsidTr="002952B0">
        <w:trPr>
          <w:trHeight w:val="360"/>
        </w:trPr>
        <w:tc>
          <w:tcPr>
            <w:tcW w:w="0" w:type="auto"/>
          </w:tcPr>
          <w:p w14:paraId="469FC171" w14:textId="77777777" w:rsidR="002A26E0" w:rsidRPr="002A26E0" w:rsidRDefault="002A26E0" w:rsidP="002A26E0">
            <w:pPr>
              <w:pStyle w:val="NoSpacing"/>
              <w:rPr>
                <w:rFonts w:cstheme="minorHAnsi"/>
                <w:b/>
                <w:bCs/>
              </w:rPr>
            </w:pPr>
          </w:p>
        </w:tc>
        <w:tc>
          <w:tcPr>
            <w:tcW w:w="0" w:type="auto"/>
          </w:tcPr>
          <w:p w14:paraId="79CCED74" w14:textId="6FCB4258" w:rsidR="002A26E0" w:rsidRPr="002A26E0" w:rsidRDefault="002A26E0" w:rsidP="002A26E0">
            <w:pPr>
              <w:pStyle w:val="NoSpacing"/>
              <w:rPr>
                <w:rFonts w:cstheme="minorHAnsi"/>
                <w:b/>
                <w:bCs/>
              </w:rPr>
            </w:pPr>
            <w:r w:rsidRPr="002A26E0">
              <w:rPr>
                <w:rFonts w:cstheme="minorHAnsi"/>
                <w:b/>
                <w:bCs/>
              </w:rPr>
              <w:t>Time 1</w:t>
            </w:r>
          </w:p>
        </w:tc>
        <w:tc>
          <w:tcPr>
            <w:tcW w:w="0" w:type="auto"/>
          </w:tcPr>
          <w:p w14:paraId="45BE8070" w14:textId="12EED76E" w:rsidR="002A26E0" w:rsidRPr="002A26E0" w:rsidRDefault="002A26E0" w:rsidP="002A26E0">
            <w:pPr>
              <w:pStyle w:val="NoSpacing"/>
              <w:rPr>
                <w:rFonts w:cstheme="minorHAnsi"/>
                <w:b/>
                <w:bCs/>
              </w:rPr>
            </w:pPr>
          </w:p>
        </w:tc>
        <w:tc>
          <w:tcPr>
            <w:tcW w:w="0" w:type="auto"/>
          </w:tcPr>
          <w:p w14:paraId="385227EC" w14:textId="77777777" w:rsidR="002A26E0" w:rsidRPr="002A26E0" w:rsidRDefault="002A26E0" w:rsidP="002A26E0">
            <w:pPr>
              <w:pStyle w:val="NoSpacing"/>
              <w:rPr>
                <w:rFonts w:cstheme="minorHAnsi"/>
                <w:b/>
                <w:bCs/>
              </w:rPr>
            </w:pPr>
          </w:p>
        </w:tc>
        <w:tc>
          <w:tcPr>
            <w:tcW w:w="0" w:type="auto"/>
          </w:tcPr>
          <w:p w14:paraId="42D25D67" w14:textId="77777777" w:rsidR="002A26E0" w:rsidRPr="002A26E0" w:rsidRDefault="002A26E0" w:rsidP="002A26E0">
            <w:pPr>
              <w:pStyle w:val="NoSpacing"/>
              <w:rPr>
                <w:rFonts w:cstheme="minorHAnsi"/>
                <w:b/>
                <w:bCs/>
              </w:rPr>
            </w:pPr>
          </w:p>
        </w:tc>
        <w:tc>
          <w:tcPr>
            <w:tcW w:w="0" w:type="auto"/>
          </w:tcPr>
          <w:p w14:paraId="1B561C00" w14:textId="31D3E8D4" w:rsidR="002A26E0" w:rsidRPr="002A26E0" w:rsidRDefault="007046F0" w:rsidP="002A26E0">
            <w:pPr>
              <w:pStyle w:val="NoSpacing"/>
              <w:rPr>
                <w:rFonts w:cstheme="minorHAnsi"/>
                <w:b/>
                <w:bCs/>
              </w:rPr>
            </w:pPr>
            <w:r w:rsidRPr="002A26E0">
              <w:rPr>
                <w:rFonts w:cstheme="minorHAnsi"/>
                <w:b/>
                <w:bCs/>
              </w:rPr>
              <w:t>Time 2</w:t>
            </w:r>
          </w:p>
        </w:tc>
        <w:tc>
          <w:tcPr>
            <w:tcW w:w="0" w:type="auto"/>
          </w:tcPr>
          <w:p w14:paraId="517CEED6" w14:textId="5F0A866D" w:rsidR="002A26E0" w:rsidRPr="002A26E0" w:rsidRDefault="002A26E0" w:rsidP="002A26E0">
            <w:pPr>
              <w:pStyle w:val="NoSpacing"/>
              <w:rPr>
                <w:rFonts w:cstheme="minorHAnsi"/>
                <w:b/>
                <w:bCs/>
              </w:rPr>
            </w:pPr>
          </w:p>
        </w:tc>
        <w:tc>
          <w:tcPr>
            <w:tcW w:w="0" w:type="auto"/>
          </w:tcPr>
          <w:p w14:paraId="40E3627B" w14:textId="77777777" w:rsidR="002A26E0" w:rsidRPr="002A26E0" w:rsidRDefault="002A26E0" w:rsidP="002A26E0">
            <w:pPr>
              <w:pStyle w:val="NoSpacing"/>
              <w:rPr>
                <w:rFonts w:cstheme="minorHAnsi"/>
                <w:b/>
                <w:bCs/>
              </w:rPr>
            </w:pPr>
          </w:p>
        </w:tc>
        <w:tc>
          <w:tcPr>
            <w:tcW w:w="0" w:type="auto"/>
          </w:tcPr>
          <w:p w14:paraId="6E45E13F" w14:textId="77777777" w:rsidR="002A26E0" w:rsidRPr="002A26E0" w:rsidRDefault="002A26E0" w:rsidP="002A26E0">
            <w:pPr>
              <w:pStyle w:val="NoSpacing"/>
              <w:rPr>
                <w:rFonts w:cstheme="minorHAnsi"/>
                <w:b/>
                <w:bCs/>
              </w:rPr>
            </w:pPr>
          </w:p>
        </w:tc>
        <w:tc>
          <w:tcPr>
            <w:tcW w:w="0" w:type="auto"/>
          </w:tcPr>
          <w:p w14:paraId="09DF228E" w14:textId="77777777" w:rsidR="002A26E0" w:rsidRPr="002A26E0" w:rsidRDefault="002A26E0" w:rsidP="002A26E0">
            <w:pPr>
              <w:pStyle w:val="NoSpacing"/>
              <w:rPr>
                <w:rFonts w:cstheme="minorHAnsi"/>
                <w:b/>
                <w:bCs/>
              </w:rPr>
            </w:pPr>
          </w:p>
        </w:tc>
        <w:tc>
          <w:tcPr>
            <w:tcW w:w="0" w:type="auto"/>
          </w:tcPr>
          <w:p w14:paraId="503D4E05" w14:textId="77777777" w:rsidR="002A26E0" w:rsidRPr="002A26E0" w:rsidRDefault="002A26E0" w:rsidP="002A26E0">
            <w:pPr>
              <w:pStyle w:val="NoSpacing"/>
              <w:rPr>
                <w:rFonts w:cstheme="minorHAnsi"/>
                <w:b/>
                <w:bCs/>
              </w:rPr>
            </w:pPr>
          </w:p>
        </w:tc>
        <w:tc>
          <w:tcPr>
            <w:tcW w:w="0" w:type="auto"/>
          </w:tcPr>
          <w:p w14:paraId="5AE6E4A4" w14:textId="77777777" w:rsidR="002A26E0" w:rsidRPr="002A26E0" w:rsidRDefault="002A26E0" w:rsidP="002A26E0">
            <w:pPr>
              <w:pStyle w:val="NoSpacing"/>
              <w:rPr>
                <w:rFonts w:cstheme="minorHAnsi"/>
                <w:b/>
                <w:bCs/>
              </w:rPr>
            </w:pPr>
          </w:p>
        </w:tc>
      </w:tr>
      <w:tr w:rsidR="002A26E0" w:rsidRPr="002A26E0" w14:paraId="1D17F32D" w14:textId="77777777" w:rsidTr="002952B0">
        <w:trPr>
          <w:trHeight w:val="434"/>
        </w:trPr>
        <w:tc>
          <w:tcPr>
            <w:tcW w:w="0" w:type="auto"/>
          </w:tcPr>
          <w:p w14:paraId="77FEF1D9" w14:textId="77777777" w:rsidR="002A26E0" w:rsidRPr="002A26E0" w:rsidRDefault="002A26E0" w:rsidP="002A26E0">
            <w:pPr>
              <w:pStyle w:val="NoSpacing"/>
              <w:rPr>
                <w:rFonts w:cstheme="minorHAnsi"/>
                <w:b/>
                <w:bCs/>
              </w:rPr>
            </w:pPr>
          </w:p>
        </w:tc>
        <w:tc>
          <w:tcPr>
            <w:tcW w:w="0" w:type="auto"/>
          </w:tcPr>
          <w:p w14:paraId="0A911C14" w14:textId="77777777" w:rsidR="002A26E0" w:rsidRPr="002A26E0" w:rsidRDefault="002A26E0" w:rsidP="002A26E0">
            <w:pPr>
              <w:pStyle w:val="NoSpacing"/>
              <w:rPr>
                <w:rFonts w:cstheme="minorHAnsi"/>
                <w:b/>
                <w:bCs/>
                <w:i/>
                <w:iCs/>
              </w:rPr>
            </w:pPr>
            <w:r w:rsidRPr="002A26E0">
              <w:rPr>
                <w:rFonts w:cstheme="minorHAnsi"/>
                <w:b/>
                <w:bCs/>
                <w:i/>
                <w:iCs/>
              </w:rPr>
              <w:t>M</w:t>
            </w:r>
          </w:p>
        </w:tc>
        <w:tc>
          <w:tcPr>
            <w:tcW w:w="0" w:type="auto"/>
          </w:tcPr>
          <w:p w14:paraId="7BEEE3AF" w14:textId="77777777" w:rsidR="002A26E0" w:rsidRPr="002A26E0" w:rsidRDefault="002A26E0" w:rsidP="002A26E0">
            <w:pPr>
              <w:pStyle w:val="NoSpacing"/>
              <w:rPr>
                <w:rFonts w:cstheme="minorHAnsi"/>
                <w:b/>
                <w:bCs/>
                <w:i/>
                <w:iCs/>
              </w:rPr>
            </w:pPr>
            <w:r w:rsidRPr="002A26E0">
              <w:rPr>
                <w:rFonts w:cstheme="minorHAnsi"/>
                <w:b/>
                <w:bCs/>
                <w:i/>
                <w:iCs/>
              </w:rPr>
              <w:t>SD</w:t>
            </w:r>
          </w:p>
        </w:tc>
        <w:tc>
          <w:tcPr>
            <w:tcW w:w="0" w:type="auto"/>
          </w:tcPr>
          <w:p w14:paraId="16A1A82A" w14:textId="77777777" w:rsidR="002A26E0" w:rsidRPr="002A26E0" w:rsidRDefault="002A26E0" w:rsidP="002A26E0">
            <w:pPr>
              <w:pStyle w:val="NoSpacing"/>
              <w:rPr>
                <w:rFonts w:cstheme="minorHAnsi"/>
                <w:b/>
                <w:bCs/>
                <w:i/>
                <w:iCs/>
              </w:rPr>
            </w:pPr>
            <w:r w:rsidRPr="002A26E0">
              <w:rPr>
                <w:rFonts w:cstheme="minorHAnsi"/>
                <w:b/>
                <w:bCs/>
                <w:i/>
                <w:iCs/>
              </w:rPr>
              <w:t>n</w:t>
            </w:r>
          </w:p>
        </w:tc>
        <w:tc>
          <w:tcPr>
            <w:tcW w:w="0" w:type="auto"/>
          </w:tcPr>
          <w:p w14:paraId="52BD02D6" w14:textId="77777777" w:rsidR="002A26E0" w:rsidRPr="002A26E0" w:rsidRDefault="002A26E0" w:rsidP="002A26E0">
            <w:pPr>
              <w:pStyle w:val="NoSpacing"/>
              <w:rPr>
                <w:rFonts w:cstheme="minorHAnsi"/>
                <w:b/>
                <w:bCs/>
              </w:rPr>
            </w:pPr>
          </w:p>
        </w:tc>
        <w:tc>
          <w:tcPr>
            <w:tcW w:w="0" w:type="auto"/>
          </w:tcPr>
          <w:p w14:paraId="3822B2B2" w14:textId="77777777" w:rsidR="002A26E0" w:rsidRPr="002A26E0" w:rsidRDefault="002A26E0" w:rsidP="002A26E0">
            <w:pPr>
              <w:pStyle w:val="NoSpacing"/>
              <w:rPr>
                <w:rFonts w:cstheme="minorHAnsi"/>
                <w:b/>
                <w:bCs/>
                <w:i/>
                <w:iCs/>
              </w:rPr>
            </w:pPr>
            <w:r w:rsidRPr="002A26E0">
              <w:rPr>
                <w:rFonts w:cstheme="minorHAnsi"/>
                <w:b/>
                <w:bCs/>
                <w:i/>
                <w:iCs/>
              </w:rPr>
              <w:t>M</w:t>
            </w:r>
          </w:p>
        </w:tc>
        <w:tc>
          <w:tcPr>
            <w:tcW w:w="0" w:type="auto"/>
          </w:tcPr>
          <w:p w14:paraId="262E202C" w14:textId="77777777" w:rsidR="002A26E0" w:rsidRPr="002A26E0" w:rsidRDefault="002A26E0" w:rsidP="002A26E0">
            <w:pPr>
              <w:pStyle w:val="NoSpacing"/>
              <w:rPr>
                <w:rFonts w:cstheme="minorHAnsi"/>
                <w:b/>
                <w:bCs/>
                <w:i/>
                <w:iCs/>
              </w:rPr>
            </w:pPr>
            <w:r w:rsidRPr="002A26E0">
              <w:rPr>
                <w:rFonts w:cstheme="minorHAnsi"/>
                <w:b/>
                <w:bCs/>
                <w:i/>
                <w:iCs/>
              </w:rPr>
              <w:t>SD</w:t>
            </w:r>
          </w:p>
        </w:tc>
        <w:tc>
          <w:tcPr>
            <w:tcW w:w="0" w:type="auto"/>
          </w:tcPr>
          <w:p w14:paraId="5294F2BA" w14:textId="77777777" w:rsidR="002A26E0" w:rsidRPr="002A26E0" w:rsidRDefault="002A26E0" w:rsidP="002A26E0">
            <w:pPr>
              <w:pStyle w:val="NoSpacing"/>
              <w:rPr>
                <w:rFonts w:cstheme="minorHAnsi"/>
                <w:b/>
                <w:bCs/>
                <w:i/>
                <w:iCs/>
              </w:rPr>
            </w:pPr>
            <w:r w:rsidRPr="002A26E0">
              <w:rPr>
                <w:rFonts w:cstheme="minorHAnsi"/>
                <w:b/>
                <w:bCs/>
                <w:i/>
                <w:iCs/>
              </w:rPr>
              <w:t>n</w:t>
            </w:r>
          </w:p>
        </w:tc>
        <w:tc>
          <w:tcPr>
            <w:tcW w:w="0" w:type="auto"/>
          </w:tcPr>
          <w:p w14:paraId="3730B2FF" w14:textId="77777777" w:rsidR="002A26E0" w:rsidRPr="002A26E0" w:rsidRDefault="002A26E0" w:rsidP="002A26E0">
            <w:pPr>
              <w:pStyle w:val="NoSpacing"/>
              <w:rPr>
                <w:rFonts w:cstheme="minorHAnsi"/>
                <w:b/>
                <w:bCs/>
              </w:rPr>
            </w:pPr>
            <w:r w:rsidRPr="002A26E0">
              <w:rPr>
                <w:rFonts w:cstheme="minorHAnsi"/>
                <w:b/>
                <w:bCs/>
              </w:rPr>
              <w:t>95% CI</w:t>
            </w:r>
          </w:p>
        </w:tc>
        <w:tc>
          <w:tcPr>
            <w:tcW w:w="0" w:type="auto"/>
          </w:tcPr>
          <w:p w14:paraId="624FA9EA" w14:textId="77777777" w:rsidR="002A26E0" w:rsidRPr="002A26E0" w:rsidRDefault="002A26E0" w:rsidP="002A26E0">
            <w:pPr>
              <w:pStyle w:val="NoSpacing"/>
              <w:rPr>
                <w:rFonts w:cstheme="minorHAnsi"/>
                <w:b/>
                <w:bCs/>
                <w:i/>
                <w:iCs/>
              </w:rPr>
            </w:pPr>
            <w:r w:rsidRPr="002A26E0">
              <w:rPr>
                <w:rFonts w:cstheme="minorHAnsi"/>
                <w:b/>
                <w:bCs/>
                <w:i/>
                <w:iCs/>
              </w:rPr>
              <w:t>t</w:t>
            </w:r>
          </w:p>
        </w:tc>
        <w:tc>
          <w:tcPr>
            <w:tcW w:w="0" w:type="auto"/>
          </w:tcPr>
          <w:p w14:paraId="25366893" w14:textId="77777777" w:rsidR="002A26E0" w:rsidRPr="002A26E0" w:rsidRDefault="002A26E0" w:rsidP="002A26E0">
            <w:pPr>
              <w:pStyle w:val="NoSpacing"/>
              <w:rPr>
                <w:rFonts w:cstheme="minorHAnsi"/>
                <w:b/>
                <w:bCs/>
                <w:i/>
                <w:iCs/>
              </w:rPr>
            </w:pPr>
            <w:r w:rsidRPr="002A26E0">
              <w:rPr>
                <w:rFonts w:cstheme="minorHAnsi"/>
                <w:b/>
                <w:bCs/>
                <w:i/>
                <w:iCs/>
              </w:rPr>
              <w:t>df</w:t>
            </w:r>
          </w:p>
        </w:tc>
        <w:tc>
          <w:tcPr>
            <w:tcW w:w="0" w:type="auto"/>
          </w:tcPr>
          <w:p w14:paraId="33569ED4" w14:textId="77777777" w:rsidR="002A26E0" w:rsidRPr="002A26E0" w:rsidRDefault="002A26E0" w:rsidP="002A26E0">
            <w:pPr>
              <w:pStyle w:val="NoSpacing"/>
              <w:rPr>
                <w:rFonts w:cstheme="minorHAnsi"/>
                <w:b/>
                <w:bCs/>
                <w:i/>
                <w:iCs/>
              </w:rPr>
            </w:pPr>
            <w:r w:rsidRPr="002A26E0">
              <w:rPr>
                <w:rFonts w:cstheme="minorHAnsi"/>
                <w:b/>
                <w:bCs/>
              </w:rPr>
              <w:t xml:space="preserve">Cohen’s </w:t>
            </w:r>
            <w:r w:rsidRPr="002A26E0">
              <w:rPr>
                <w:rFonts w:cstheme="minorHAnsi"/>
                <w:b/>
                <w:bCs/>
                <w:i/>
                <w:iCs/>
              </w:rPr>
              <w:t>d</w:t>
            </w:r>
          </w:p>
        </w:tc>
      </w:tr>
      <w:tr w:rsidR="002A26E0" w:rsidRPr="002A26E0" w14:paraId="6BE96477" w14:textId="77777777" w:rsidTr="002952B0">
        <w:trPr>
          <w:trHeight w:val="285"/>
        </w:trPr>
        <w:tc>
          <w:tcPr>
            <w:tcW w:w="0" w:type="auto"/>
          </w:tcPr>
          <w:p w14:paraId="3AD8B5C1" w14:textId="77777777" w:rsidR="002A26E0" w:rsidRPr="002A26E0" w:rsidRDefault="002A26E0" w:rsidP="002A26E0">
            <w:pPr>
              <w:pStyle w:val="NoSpacing"/>
              <w:rPr>
                <w:rFonts w:cstheme="minorHAnsi"/>
              </w:rPr>
            </w:pPr>
            <w:r w:rsidRPr="002A26E0">
              <w:rPr>
                <w:rFonts w:cstheme="minorHAnsi"/>
              </w:rPr>
              <w:t>P DBDin</w:t>
            </w:r>
          </w:p>
        </w:tc>
        <w:tc>
          <w:tcPr>
            <w:tcW w:w="0" w:type="auto"/>
          </w:tcPr>
          <w:p w14:paraId="26C16DA1" w14:textId="77777777" w:rsidR="002A26E0" w:rsidRPr="002A26E0" w:rsidRDefault="002A26E0" w:rsidP="002A26E0">
            <w:pPr>
              <w:pStyle w:val="NoSpacing"/>
              <w:rPr>
                <w:rFonts w:cstheme="minorHAnsi"/>
                <w:i/>
                <w:iCs/>
              </w:rPr>
            </w:pPr>
            <w:r w:rsidRPr="002A26E0">
              <w:rPr>
                <w:rFonts w:cstheme="minorHAnsi"/>
                <w:i/>
                <w:iCs/>
              </w:rPr>
              <w:t>1.58</w:t>
            </w:r>
          </w:p>
        </w:tc>
        <w:tc>
          <w:tcPr>
            <w:tcW w:w="0" w:type="auto"/>
          </w:tcPr>
          <w:p w14:paraId="65977C06" w14:textId="77777777" w:rsidR="002A26E0" w:rsidRPr="002A26E0" w:rsidRDefault="002A26E0" w:rsidP="002A26E0">
            <w:pPr>
              <w:pStyle w:val="NoSpacing"/>
              <w:rPr>
                <w:rFonts w:cstheme="minorHAnsi"/>
              </w:rPr>
            </w:pPr>
            <w:r w:rsidRPr="002A26E0">
              <w:rPr>
                <w:rFonts w:cstheme="minorHAnsi"/>
              </w:rPr>
              <w:t>0.68</w:t>
            </w:r>
          </w:p>
        </w:tc>
        <w:tc>
          <w:tcPr>
            <w:tcW w:w="0" w:type="auto"/>
          </w:tcPr>
          <w:p w14:paraId="7F7DD767" w14:textId="77777777" w:rsidR="002A26E0" w:rsidRPr="002A26E0" w:rsidRDefault="002A26E0" w:rsidP="002A26E0">
            <w:pPr>
              <w:pStyle w:val="NoSpacing"/>
              <w:rPr>
                <w:rFonts w:cstheme="minorHAnsi"/>
              </w:rPr>
            </w:pPr>
            <w:r w:rsidRPr="002A26E0">
              <w:rPr>
                <w:rFonts w:cstheme="minorHAnsi"/>
              </w:rPr>
              <w:t>27</w:t>
            </w:r>
          </w:p>
        </w:tc>
        <w:tc>
          <w:tcPr>
            <w:tcW w:w="0" w:type="auto"/>
          </w:tcPr>
          <w:p w14:paraId="19BD99D5" w14:textId="77777777" w:rsidR="002A26E0" w:rsidRPr="002A26E0" w:rsidRDefault="002A26E0" w:rsidP="002A26E0">
            <w:pPr>
              <w:pStyle w:val="NoSpacing"/>
              <w:rPr>
                <w:rFonts w:cstheme="minorHAnsi"/>
              </w:rPr>
            </w:pPr>
          </w:p>
        </w:tc>
        <w:tc>
          <w:tcPr>
            <w:tcW w:w="0" w:type="auto"/>
          </w:tcPr>
          <w:p w14:paraId="19C34D55" w14:textId="77777777" w:rsidR="002A26E0" w:rsidRPr="002A26E0" w:rsidRDefault="002A26E0" w:rsidP="002A26E0">
            <w:pPr>
              <w:pStyle w:val="NoSpacing"/>
              <w:rPr>
                <w:rFonts w:cstheme="minorHAnsi"/>
                <w:i/>
                <w:iCs/>
              </w:rPr>
            </w:pPr>
            <w:r w:rsidRPr="002A26E0">
              <w:rPr>
                <w:rFonts w:cstheme="minorHAnsi"/>
                <w:i/>
                <w:iCs/>
              </w:rPr>
              <w:t>1.44</w:t>
            </w:r>
          </w:p>
        </w:tc>
        <w:tc>
          <w:tcPr>
            <w:tcW w:w="0" w:type="auto"/>
          </w:tcPr>
          <w:p w14:paraId="747A7E42" w14:textId="77777777" w:rsidR="002A26E0" w:rsidRPr="002A26E0" w:rsidRDefault="002A26E0" w:rsidP="002A26E0">
            <w:pPr>
              <w:pStyle w:val="NoSpacing"/>
              <w:rPr>
                <w:rFonts w:cstheme="minorHAnsi"/>
              </w:rPr>
            </w:pPr>
            <w:r w:rsidRPr="002A26E0">
              <w:rPr>
                <w:rFonts w:cstheme="minorHAnsi"/>
              </w:rPr>
              <w:t>0.72</w:t>
            </w:r>
          </w:p>
        </w:tc>
        <w:tc>
          <w:tcPr>
            <w:tcW w:w="0" w:type="auto"/>
          </w:tcPr>
          <w:p w14:paraId="1A4A95A7" w14:textId="77777777" w:rsidR="002A26E0" w:rsidRPr="002A26E0" w:rsidRDefault="002A26E0" w:rsidP="002A26E0">
            <w:pPr>
              <w:pStyle w:val="NoSpacing"/>
              <w:rPr>
                <w:rFonts w:cstheme="minorHAnsi"/>
              </w:rPr>
            </w:pPr>
            <w:r w:rsidRPr="002A26E0">
              <w:rPr>
                <w:rFonts w:cstheme="minorHAnsi"/>
              </w:rPr>
              <w:t>27</w:t>
            </w:r>
          </w:p>
        </w:tc>
        <w:tc>
          <w:tcPr>
            <w:tcW w:w="0" w:type="auto"/>
          </w:tcPr>
          <w:p w14:paraId="3A5BDBE5" w14:textId="77777777" w:rsidR="002A26E0" w:rsidRPr="002A26E0" w:rsidRDefault="002A26E0" w:rsidP="002A26E0">
            <w:pPr>
              <w:pStyle w:val="NoSpacing"/>
              <w:rPr>
                <w:rFonts w:cstheme="minorHAnsi"/>
              </w:rPr>
            </w:pPr>
            <w:r w:rsidRPr="002A26E0">
              <w:rPr>
                <w:rFonts w:cstheme="minorHAnsi"/>
              </w:rPr>
              <w:t>[–0.15, 0.42]</w:t>
            </w:r>
          </w:p>
        </w:tc>
        <w:tc>
          <w:tcPr>
            <w:tcW w:w="0" w:type="auto"/>
          </w:tcPr>
          <w:p w14:paraId="710FAAD1" w14:textId="77777777" w:rsidR="002A26E0" w:rsidRPr="002A26E0" w:rsidRDefault="002A26E0" w:rsidP="002A26E0">
            <w:pPr>
              <w:pStyle w:val="NoSpacing"/>
              <w:rPr>
                <w:rFonts w:cstheme="minorHAnsi"/>
              </w:rPr>
            </w:pPr>
            <w:r w:rsidRPr="002A26E0">
              <w:rPr>
                <w:rFonts w:cstheme="minorHAnsi"/>
              </w:rPr>
              <w:t>0.98</w:t>
            </w:r>
          </w:p>
        </w:tc>
        <w:tc>
          <w:tcPr>
            <w:tcW w:w="0" w:type="auto"/>
          </w:tcPr>
          <w:p w14:paraId="011910D6" w14:textId="77777777" w:rsidR="002A26E0" w:rsidRPr="002A26E0" w:rsidRDefault="002A26E0" w:rsidP="002A26E0">
            <w:pPr>
              <w:pStyle w:val="NoSpacing"/>
              <w:rPr>
                <w:rFonts w:cstheme="minorHAnsi"/>
              </w:rPr>
            </w:pPr>
            <w:r w:rsidRPr="002A26E0">
              <w:rPr>
                <w:rFonts w:cstheme="minorHAnsi"/>
              </w:rPr>
              <w:t>26</w:t>
            </w:r>
          </w:p>
        </w:tc>
        <w:tc>
          <w:tcPr>
            <w:tcW w:w="0" w:type="auto"/>
          </w:tcPr>
          <w:p w14:paraId="39A78D6D" w14:textId="77777777" w:rsidR="002A26E0" w:rsidRPr="002A26E0" w:rsidRDefault="002A26E0" w:rsidP="002A26E0">
            <w:pPr>
              <w:pStyle w:val="NoSpacing"/>
              <w:rPr>
                <w:rFonts w:cstheme="minorHAnsi"/>
              </w:rPr>
            </w:pPr>
            <w:r w:rsidRPr="002A26E0">
              <w:rPr>
                <w:rFonts w:cstheme="minorHAnsi"/>
              </w:rPr>
              <w:t>0.19</w:t>
            </w:r>
          </w:p>
        </w:tc>
      </w:tr>
      <w:tr w:rsidR="002A26E0" w:rsidRPr="002A26E0" w14:paraId="2ADDF7F3" w14:textId="77777777" w:rsidTr="002952B0">
        <w:trPr>
          <w:trHeight w:val="230"/>
        </w:trPr>
        <w:tc>
          <w:tcPr>
            <w:tcW w:w="0" w:type="auto"/>
          </w:tcPr>
          <w:p w14:paraId="73C014AD" w14:textId="77777777" w:rsidR="002A26E0" w:rsidRPr="002A26E0" w:rsidRDefault="002A26E0" w:rsidP="002A26E0">
            <w:pPr>
              <w:pStyle w:val="NoSpacing"/>
              <w:rPr>
                <w:rFonts w:cstheme="minorHAnsi"/>
              </w:rPr>
            </w:pPr>
            <w:r w:rsidRPr="002A26E0">
              <w:rPr>
                <w:rFonts w:cstheme="minorHAnsi"/>
              </w:rPr>
              <w:t>P DBDhi</w:t>
            </w:r>
          </w:p>
        </w:tc>
        <w:tc>
          <w:tcPr>
            <w:tcW w:w="0" w:type="auto"/>
          </w:tcPr>
          <w:p w14:paraId="2AE61CF9" w14:textId="77777777" w:rsidR="002A26E0" w:rsidRPr="002A26E0" w:rsidRDefault="002A26E0" w:rsidP="002A26E0">
            <w:pPr>
              <w:pStyle w:val="NoSpacing"/>
              <w:rPr>
                <w:rFonts w:cstheme="minorHAnsi"/>
                <w:i/>
                <w:iCs/>
              </w:rPr>
            </w:pPr>
            <w:r w:rsidRPr="002A26E0">
              <w:rPr>
                <w:rFonts w:cstheme="minorHAnsi"/>
                <w:i/>
                <w:iCs/>
              </w:rPr>
              <w:t>1.30</w:t>
            </w:r>
          </w:p>
        </w:tc>
        <w:tc>
          <w:tcPr>
            <w:tcW w:w="0" w:type="auto"/>
          </w:tcPr>
          <w:p w14:paraId="58F23421" w14:textId="77777777" w:rsidR="002A26E0" w:rsidRPr="002A26E0" w:rsidRDefault="002A26E0" w:rsidP="002A26E0">
            <w:pPr>
              <w:pStyle w:val="NoSpacing"/>
              <w:rPr>
                <w:rFonts w:cstheme="minorHAnsi"/>
              </w:rPr>
            </w:pPr>
            <w:r w:rsidRPr="002A26E0">
              <w:rPr>
                <w:rFonts w:cstheme="minorHAnsi"/>
              </w:rPr>
              <w:t>0.74</w:t>
            </w:r>
          </w:p>
        </w:tc>
        <w:tc>
          <w:tcPr>
            <w:tcW w:w="0" w:type="auto"/>
          </w:tcPr>
          <w:p w14:paraId="5EC6AE41" w14:textId="77777777" w:rsidR="002A26E0" w:rsidRPr="002A26E0" w:rsidRDefault="002A26E0" w:rsidP="002A26E0">
            <w:pPr>
              <w:pStyle w:val="NoSpacing"/>
              <w:rPr>
                <w:rFonts w:cstheme="minorHAnsi"/>
              </w:rPr>
            </w:pPr>
            <w:r w:rsidRPr="002A26E0">
              <w:rPr>
                <w:rFonts w:cstheme="minorHAnsi"/>
              </w:rPr>
              <w:t>27</w:t>
            </w:r>
          </w:p>
        </w:tc>
        <w:tc>
          <w:tcPr>
            <w:tcW w:w="0" w:type="auto"/>
          </w:tcPr>
          <w:p w14:paraId="0717CC68" w14:textId="77777777" w:rsidR="002A26E0" w:rsidRPr="002A26E0" w:rsidRDefault="002A26E0" w:rsidP="002A26E0">
            <w:pPr>
              <w:pStyle w:val="NoSpacing"/>
              <w:rPr>
                <w:rFonts w:cstheme="minorHAnsi"/>
              </w:rPr>
            </w:pPr>
          </w:p>
        </w:tc>
        <w:tc>
          <w:tcPr>
            <w:tcW w:w="0" w:type="auto"/>
          </w:tcPr>
          <w:p w14:paraId="37096EA0" w14:textId="77777777" w:rsidR="002A26E0" w:rsidRPr="002A26E0" w:rsidRDefault="002A26E0" w:rsidP="002A26E0">
            <w:pPr>
              <w:pStyle w:val="NoSpacing"/>
              <w:rPr>
                <w:rFonts w:cstheme="minorHAnsi"/>
                <w:i/>
                <w:iCs/>
              </w:rPr>
            </w:pPr>
            <w:r w:rsidRPr="002A26E0">
              <w:rPr>
                <w:rFonts w:cstheme="minorHAnsi"/>
                <w:i/>
                <w:iCs/>
              </w:rPr>
              <w:t>1.31</w:t>
            </w:r>
          </w:p>
        </w:tc>
        <w:tc>
          <w:tcPr>
            <w:tcW w:w="0" w:type="auto"/>
          </w:tcPr>
          <w:p w14:paraId="7FE5B67B" w14:textId="77777777" w:rsidR="002A26E0" w:rsidRPr="002A26E0" w:rsidRDefault="002A26E0" w:rsidP="002A26E0">
            <w:pPr>
              <w:pStyle w:val="NoSpacing"/>
              <w:rPr>
                <w:rFonts w:cstheme="minorHAnsi"/>
              </w:rPr>
            </w:pPr>
            <w:r w:rsidRPr="002A26E0">
              <w:rPr>
                <w:rFonts w:cstheme="minorHAnsi"/>
              </w:rPr>
              <w:t>0.71</w:t>
            </w:r>
          </w:p>
        </w:tc>
        <w:tc>
          <w:tcPr>
            <w:tcW w:w="0" w:type="auto"/>
          </w:tcPr>
          <w:p w14:paraId="2A967C07" w14:textId="77777777" w:rsidR="002A26E0" w:rsidRPr="002A26E0" w:rsidRDefault="002A26E0" w:rsidP="002A26E0">
            <w:pPr>
              <w:pStyle w:val="NoSpacing"/>
              <w:rPr>
                <w:rFonts w:cstheme="minorHAnsi"/>
              </w:rPr>
            </w:pPr>
            <w:r w:rsidRPr="002A26E0">
              <w:rPr>
                <w:rFonts w:cstheme="minorHAnsi"/>
              </w:rPr>
              <w:t>27</w:t>
            </w:r>
          </w:p>
        </w:tc>
        <w:tc>
          <w:tcPr>
            <w:tcW w:w="0" w:type="auto"/>
          </w:tcPr>
          <w:p w14:paraId="6A20EF62" w14:textId="77777777" w:rsidR="002A26E0" w:rsidRPr="002A26E0" w:rsidRDefault="002A26E0" w:rsidP="002A26E0">
            <w:pPr>
              <w:pStyle w:val="NoSpacing"/>
              <w:rPr>
                <w:rFonts w:cstheme="minorHAnsi"/>
              </w:rPr>
            </w:pPr>
            <w:r w:rsidRPr="002A26E0">
              <w:rPr>
                <w:rFonts w:cstheme="minorHAnsi"/>
              </w:rPr>
              <w:t>[–0.28, 0.26]</w:t>
            </w:r>
          </w:p>
        </w:tc>
        <w:tc>
          <w:tcPr>
            <w:tcW w:w="0" w:type="auto"/>
          </w:tcPr>
          <w:p w14:paraId="0C8C7073" w14:textId="77777777" w:rsidR="002A26E0" w:rsidRPr="002A26E0" w:rsidRDefault="002A26E0" w:rsidP="002A26E0">
            <w:pPr>
              <w:pStyle w:val="NoSpacing"/>
              <w:rPr>
                <w:rFonts w:cstheme="minorHAnsi"/>
              </w:rPr>
            </w:pPr>
            <w:r w:rsidRPr="002A26E0">
              <w:rPr>
                <w:rFonts w:cstheme="minorHAnsi"/>
              </w:rPr>
              <w:t>−0.10</w:t>
            </w:r>
          </w:p>
        </w:tc>
        <w:tc>
          <w:tcPr>
            <w:tcW w:w="0" w:type="auto"/>
          </w:tcPr>
          <w:p w14:paraId="02C2AA32" w14:textId="77777777" w:rsidR="002A26E0" w:rsidRPr="002A26E0" w:rsidRDefault="002A26E0" w:rsidP="002A26E0">
            <w:pPr>
              <w:pStyle w:val="NoSpacing"/>
              <w:rPr>
                <w:rFonts w:cstheme="minorHAnsi"/>
              </w:rPr>
            </w:pPr>
            <w:r w:rsidRPr="002A26E0">
              <w:rPr>
                <w:rFonts w:cstheme="minorHAnsi"/>
              </w:rPr>
              <w:t>26</w:t>
            </w:r>
          </w:p>
        </w:tc>
        <w:tc>
          <w:tcPr>
            <w:tcW w:w="0" w:type="auto"/>
          </w:tcPr>
          <w:p w14:paraId="0107FF68" w14:textId="77777777" w:rsidR="002A26E0" w:rsidRPr="002A26E0" w:rsidRDefault="002A26E0" w:rsidP="002A26E0">
            <w:pPr>
              <w:pStyle w:val="NoSpacing"/>
              <w:rPr>
                <w:rFonts w:cstheme="minorHAnsi"/>
              </w:rPr>
            </w:pPr>
            <w:r w:rsidRPr="002A26E0">
              <w:rPr>
                <w:rFonts w:cstheme="minorHAnsi"/>
              </w:rPr>
              <w:t>0.02</w:t>
            </w:r>
          </w:p>
        </w:tc>
      </w:tr>
      <w:tr w:rsidR="002A26E0" w:rsidRPr="002A26E0" w14:paraId="605CF936" w14:textId="77777777" w:rsidTr="002952B0">
        <w:trPr>
          <w:trHeight w:val="230"/>
        </w:trPr>
        <w:tc>
          <w:tcPr>
            <w:tcW w:w="0" w:type="auto"/>
          </w:tcPr>
          <w:p w14:paraId="207DF479" w14:textId="77777777" w:rsidR="002A26E0" w:rsidRPr="002A26E0" w:rsidRDefault="002A26E0" w:rsidP="002A26E0">
            <w:pPr>
              <w:pStyle w:val="NoSpacing"/>
              <w:rPr>
                <w:rFonts w:cstheme="minorHAnsi"/>
              </w:rPr>
            </w:pPr>
            <w:r w:rsidRPr="002A26E0">
              <w:rPr>
                <w:rFonts w:cstheme="minorHAnsi"/>
              </w:rPr>
              <w:t>T DBDin</w:t>
            </w:r>
          </w:p>
        </w:tc>
        <w:tc>
          <w:tcPr>
            <w:tcW w:w="0" w:type="auto"/>
          </w:tcPr>
          <w:p w14:paraId="1B188C6E" w14:textId="77777777" w:rsidR="002A26E0" w:rsidRPr="002A26E0" w:rsidRDefault="002A26E0" w:rsidP="002A26E0">
            <w:pPr>
              <w:pStyle w:val="NoSpacing"/>
              <w:rPr>
                <w:rFonts w:cstheme="minorHAnsi"/>
                <w:i/>
                <w:iCs/>
              </w:rPr>
            </w:pPr>
            <w:r w:rsidRPr="002A26E0">
              <w:rPr>
                <w:rFonts w:cstheme="minorHAnsi"/>
                <w:i/>
                <w:iCs/>
              </w:rPr>
              <w:t>1.62</w:t>
            </w:r>
          </w:p>
        </w:tc>
        <w:tc>
          <w:tcPr>
            <w:tcW w:w="0" w:type="auto"/>
          </w:tcPr>
          <w:p w14:paraId="17D01837" w14:textId="77777777" w:rsidR="002A26E0" w:rsidRPr="002A26E0" w:rsidRDefault="002A26E0" w:rsidP="002A26E0">
            <w:pPr>
              <w:pStyle w:val="NoSpacing"/>
              <w:rPr>
                <w:rFonts w:cstheme="minorHAnsi"/>
              </w:rPr>
            </w:pPr>
            <w:r w:rsidRPr="002A26E0">
              <w:rPr>
                <w:rFonts w:cstheme="minorHAnsi"/>
              </w:rPr>
              <w:t>0.72</w:t>
            </w:r>
          </w:p>
        </w:tc>
        <w:tc>
          <w:tcPr>
            <w:tcW w:w="0" w:type="auto"/>
          </w:tcPr>
          <w:p w14:paraId="253DB350" w14:textId="77777777" w:rsidR="002A26E0" w:rsidRPr="002A26E0" w:rsidRDefault="002A26E0" w:rsidP="002A26E0">
            <w:pPr>
              <w:pStyle w:val="NoSpacing"/>
              <w:rPr>
                <w:rFonts w:cstheme="minorHAnsi"/>
              </w:rPr>
            </w:pPr>
            <w:r w:rsidRPr="002A26E0">
              <w:rPr>
                <w:rFonts w:cstheme="minorHAnsi"/>
              </w:rPr>
              <w:t>30</w:t>
            </w:r>
          </w:p>
        </w:tc>
        <w:tc>
          <w:tcPr>
            <w:tcW w:w="0" w:type="auto"/>
          </w:tcPr>
          <w:p w14:paraId="4B14BE2B" w14:textId="77777777" w:rsidR="002A26E0" w:rsidRPr="002A26E0" w:rsidRDefault="002A26E0" w:rsidP="002A26E0">
            <w:pPr>
              <w:pStyle w:val="NoSpacing"/>
              <w:rPr>
                <w:rFonts w:cstheme="minorHAnsi"/>
              </w:rPr>
            </w:pPr>
          </w:p>
        </w:tc>
        <w:tc>
          <w:tcPr>
            <w:tcW w:w="0" w:type="auto"/>
          </w:tcPr>
          <w:p w14:paraId="75D05F5B" w14:textId="77777777" w:rsidR="002A26E0" w:rsidRPr="002A26E0" w:rsidRDefault="002A26E0" w:rsidP="002A26E0">
            <w:pPr>
              <w:pStyle w:val="NoSpacing"/>
              <w:rPr>
                <w:rFonts w:cstheme="minorHAnsi"/>
                <w:i/>
                <w:iCs/>
              </w:rPr>
            </w:pPr>
            <w:r w:rsidRPr="002A26E0">
              <w:rPr>
                <w:rFonts w:cstheme="minorHAnsi"/>
                <w:i/>
                <w:iCs/>
              </w:rPr>
              <w:t>1.36</w:t>
            </w:r>
          </w:p>
        </w:tc>
        <w:tc>
          <w:tcPr>
            <w:tcW w:w="0" w:type="auto"/>
          </w:tcPr>
          <w:p w14:paraId="55E72596" w14:textId="77777777" w:rsidR="002A26E0" w:rsidRPr="002A26E0" w:rsidRDefault="002A26E0" w:rsidP="002A26E0">
            <w:pPr>
              <w:pStyle w:val="NoSpacing"/>
              <w:rPr>
                <w:rFonts w:cstheme="minorHAnsi"/>
              </w:rPr>
            </w:pPr>
            <w:r w:rsidRPr="002A26E0">
              <w:rPr>
                <w:rFonts w:cstheme="minorHAnsi"/>
              </w:rPr>
              <w:t>0.73</w:t>
            </w:r>
          </w:p>
        </w:tc>
        <w:tc>
          <w:tcPr>
            <w:tcW w:w="0" w:type="auto"/>
          </w:tcPr>
          <w:p w14:paraId="1F99CB54" w14:textId="77777777" w:rsidR="002A26E0" w:rsidRPr="002A26E0" w:rsidRDefault="002A26E0" w:rsidP="002A26E0">
            <w:pPr>
              <w:pStyle w:val="NoSpacing"/>
              <w:rPr>
                <w:rFonts w:cstheme="minorHAnsi"/>
              </w:rPr>
            </w:pPr>
            <w:r w:rsidRPr="002A26E0">
              <w:rPr>
                <w:rFonts w:cstheme="minorHAnsi"/>
              </w:rPr>
              <w:t>30</w:t>
            </w:r>
          </w:p>
        </w:tc>
        <w:tc>
          <w:tcPr>
            <w:tcW w:w="0" w:type="auto"/>
          </w:tcPr>
          <w:p w14:paraId="6A1A1534" w14:textId="77777777" w:rsidR="002A26E0" w:rsidRPr="002A26E0" w:rsidRDefault="002A26E0" w:rsidP="002A26E0">
            <w:pPr>
              <w:pStyle w:val="NoSpacing"/>
              <w:rPr>
                <w:rFonts w:cstheme="minorHAnsi"/>
              </w:rPr>
            </w:pPr>
            <w:r w:rsidRPr="002A26E0">
              <w:rPr>
                <w:rFonts w:cstheme="minorHAnsi"/>
              </w:rPr>
              <w:t>[0.03, 0.50]</w:t>
            </w:r>
          </w:p>
        </w:tc>
        <w:tc>
          <w:tcPr>
            <w:tcW w:w="0" w:type="auto"/>
          </w:tcPr>
          <w:p w14:paraId="05AC54DE" w14:textId="77777777" w:rsidR="002A26E0" w:rsidRPr="002A26E0" w:rsidRDefault="002A26E0" w:rsidP="002A26E0">
            <w:pPr>
              <w:pStyle w:val="NoSpacing"/>
              <w:rPr>
                <w:rFonts w:cstheme="minorHAnsi"/>
              </w:rPr>
            </w:pPr>
            <w:r w:rsidRPr="002A26E0">
              <w:rPr>
                <w:rFonts w:cstheme="minorHAnsi"/>
              </w:rPr>
              <w:t>2.28*</w:t>
            </w:r>
          </w:p>
        </w:tc>
        <w:tc>
          <w:tcPr>
            <w:tcW w:w="0" w:type="auto"/>
          </w:tcPr>
          <w:p w14:paraId="3F408E7B" w14:textId="77777777" w:rsidR="002A26E0" w:rsidRPr="002A26E0" w:rsidRDefault="002A26E0" w:rsidP="002A26E0">
            <w:pPr>
              <w:pStyle w:val="NoSpacing"/>
              <w:rPr>
                <w:rFonts w:cstheme="minorHAnsi"/>
              </w:rPr>
            </w:pPr>
            <w:r w:rsidRPr="002A26E0">
              <w:rPr>
                <w:rFonts w:cstheme="minorHAnsi"/>
              </w:rPr>
              <w:t>29</w:t>
            </w:r>
          </w:p>
        </w:tc>
        <w:tc>
          <w:tcPr>
            <w:tcW w:w="0" w:type="auto"/>
          </w:tcPr>
          <w:p w14:paraId="2AA6E99D" w14:textId="77777777" w:rsidR="002A26E0" w:rsidRPr="002A26E0" w:rsidRDefault="002A26E0" w:rsidP="002A26E0">
            <w:pPr>
              <w:pStyle w:val="NoSpacing"/>
              <w:rPr>
                <w:rFonts w:cstheme="minorHAnsi"/>
              </w:rPr>
            </w:pPr>
            <w:r w:rsidRPr="002A26E0">
              <w:rPr>
                <w:rFonts w:cstheme="minorHAnsi"/>
              </w:rPr>
              <w:t>0.42</w:t>
            </w:r>
          </w:p>
        </w:tc>
      </w:tr>
      <w:tr w:rsidR="002A26E0" w:rsidRPr="002A26E0" w14:paraId="7C187474" w14:textId="77777777" w:rsidTr="002952B0">
        <w:trPr>
          <w:trHeight w:val="230"/>
        </w:trPr>
        <w:tc>
          <w:tcPr>
            <w:tcW w:w="0" w:type="auto"/>
          </w:tcPr>
          <w:p w14:paraId="69D169E7" w14:textId="77777777" w:rsidR="002A26E0" w:rsidRPr="002A26E0" w:rsidRDefault="002A26E0" w:rsidP="002A26E0">
            <w:pPr>
              <w:pStyle w:val="NoSpacing"/>
              <w:rPr>
                <w:rFonts w:cstheme="minorHAnsi"/>
              </w:rPr>
            </w:pPr>
            <w:r w:rsidRPr="002A26E0">
              <w:rPr>
                <w:rFonts w:cstheme="minorHAnsi"/>
              </w:rPr>
              <w:t>T DBDhi</w:t>
            </w:r>
          </w:p>
        </w:tc>
        <w:tc>
          <w:tcPr>
            <w:tcW w:w="0" w:type="auto"/>
          </w:tcPr>
          <w:p w14:paraId="21D8A23B" w14:textId="77777777" w:rsidR="002A26E0" w:rsidRPr="002A26E0" w:rsidRDefault="002A26E0" w:rsidP="002A26E0">
            <w:pPr>
              <w:pStyle w:val="NoSpacing"/>
              <w:rPr>
                <w:rFonts w:cstheme="minorHAnsi"/>
                <w:i/>
                <w:iCs/>
              </w:rPr>
            </w:pPr>
            <w:r w:rsidRPr="002A26E0">
              <w:rPr>
                <w:rFonts w:cstheme="minorHAnsi"/>
                <w:i/>
                <w:iCs/>
              </w:rPr>
              <w:t>1.25</w:t>
            </w:r>
          </w:p>
        </w:tc>
        <w:tc>
          <w:tcPr>
            <w:tcW w:w="0" w:type="auto"/>
          </w:tcPr>
          <w:p w14:paraId="0ED466B6" w14:textId="77777777" w:rsidR="002A26E0" w:rsidRPr="002A26E0" w:rsidRDefault="002A26E0" w:rsidP="002A26E0">
            <w:pPr>
              <w:pStyle w:val="NoSpacing"/>
              <w:rPr>
                <w:rFonts w:cstheme="minorHAnsi"/>
              </w:rPr>
            </w:pPr>
            <w:r w:rsidRPr="002A26E0">
              <w:rPr>
                <w:rFonts w:cstheme="minorHAnsi"/>
              </w:rPr>
              <w:t>0.82</w:t>
            </w:r>
          </w:p>
        </w:tc>
        <w:tc>
          <w:tcPr>
            <w:tcW w:w="0" w:type="auto"/>
          </w:tcPr>
          <w:p w14:paraId="05750D37" w14:textId="77777777" w:rsidR="002A26E0" w:rsidRPr="002A26E0" w:rsidRDefault="002A26E0" w:rsidP="002A26E0">
            <w:pPr>
              <w:pStyle w:val="NoSpacing"/>
              <w:rPr>
                <w:rFonts w:cstheme="minorHAnsi"/>
              </w:rPr>
            </w:pPr>
            <w:r w:rsidRPr="002A26E0">
              <w:rPr>
                <w:rFonts w:cstheme="minorHAnsi"/>
              </w:rPr>
              <w:t>30</w:t>
            </w:r>
          </w:p>
        </w:tc>
        <w:tc>
          <w:tcPr>
            <w:tcW w:w="0" w:type="auto"/>
          </w:tcPr>
          <w:p w14:paraId="7688BA30" w14:textId="77777777" w:rsidR="002A26E0" w:rsidRPr="002A26E0" w:rsidRDefault="002A26E0" w:rsidP="002A26E0">
            <w:pPr>
              <w:pStyle w:val="NoSpacing"/>
              <w:rPr>
                <w:rFonts w:cstheme="minorHAnsi"/>
              </w:rPr>
            </w:pPr>
          </w:p>
        </w:tc>
        <w:tc>
          <w:tcPr>
            <w:tcW w:w="0" w:type="auto"/>
          </w:tcPr>
          <w:p w14:paraId="765BC104" w14:textId="77777777" w:rsidR="002A26E0" w:rsidRPr="002A26E0" w:rsidRDefault="002A26E0" w:rsidP="002A26E0">
            <w:pPr>
              <w:pStyle w:val="NoSpacing"/>
              <w:rPr>
                <w:rFonts w:cstheme="minorHAnsi"/>
                <w:i/>
                <w:iCs/>
              </w:rPr>
            </w:pPr>
            <w:r w:rsidRPr="002A26E0">
              <w:rPr>
                <w:rFonts w:cstheme="minorHAnsi"/>
                <w:i/>
                <w:iCs/>
              </w:rPr>
              <w:t>0.95</w:t>
            </w:r>
          </w:p>
        </w:tc>
        <w:tc>
          <w:tcPr>
            <w:tcW w:w="0" w:type="auto"/>
          </w:tcPr>
          <w:p w14:paraId="3908A0C7" w14:textId="77777777" w:rsidR="002A26E0" w:rsidRPr="002A26E0" w:rsidRDefault="002A26E0" w:rsidP="002A26E0">
            <w:pPr>
              <w:pStyle w:val="NoSpacing"/>
              <w:rPr>
                <w:rFonts w:cstheme="minorHAnsi"/>
              </w:rPr>
            </w:pPr>
            <w:r w:rsidRPr="002A26E0">
              <w:rPr>
                <w:rFonts w:cstheme="minorHAnsi"/>
              </w:rPr>
              <w:t>0.52</w:t>
            </w:r>
          </w:p>
        </w:tc>
        <w:tc>
          <w:tcPr>
            <w:tcW w:w="0" w:type="auto"/>
          </w:tcPr>
          <w:p w14:paraId="1B0CC28B" w14:textId="77777777" w:rsidR="002A26E0" w:rsidRPr="002A26E0" w:rsidRDefault="002A26E0" w:rsidP="002A26E0">
            <w:pPr>
              <w:pStyle w:val="NoSpacing"/>
              <w:rPr>
                <w:rFonts w:cstheme="minorHAnsi"/>
              </w:rPr>
            </w:pPr>
            <w:r w:rsidRPr="002A26E0">
              <w:rPr>
                <w:rFonts w:cstheme="minorHAnsi"/>
              </w:rPr>
              <w:t>30</w:t>
            </w:r>
          </w:p>
        </w:tc>
        <w:tc>
          <w:tcPr>
            <w:tcW w:w="0" w:type="auto"/>
          </w:tcPr>
          <w:p w14:paraId="53901694" w14:textId="77777777" w:rsidR="002A26E0" w:rsidRPr="002A26E0" w:rsidRDefault="002A26E0" w:rsidP="002A26E0">
            <w:pPr>
              <w:pStyle w:val="NoSpacing"/>
              <w:rPr>
                <w:rFonts w:cstheme="minorHAnsi"/>
              </w:rPr>
            </w:pPr>
            <w:r w:rsidRPr="002A26E0">
              <w:rPr>
                <w:rFonts w:cstheme="minorHAnsi"/>
              </w:rPr>
              <w:t>[0.07, 0.54]</w:t>
            </w:r>
          </w:p>
        </w:tc>
        <w:tc>
          <w:tcPr>
            <w:tcW w:w="0" w:type="auto"/>
          </w:tcPr>
          <w:p w14:paraId="59BEFB90" w14:textId="77777777" w:rsidR="002A26E0" w:rsidRPr="002A26E0" w:rsidRDefault="002A26E0" w:rsidP="002A26E0">
            <w:pPr>
              <w:pStyle w:val="NoSpacing"/>
              <w:rPr>
                <w:rFonts w:cstheme="minorHAnsi"/>
              </w:rPr>
            </w:pPr>
            <w:r w:rsidRPr="002A26E0">
              <w:rPr>
                <w:rFonts w:cstheme="minorHAnsi"/>
              </w:rPr>
              <w:t>2.67**</w:t>
            </w:r>
          </w:p>
        </w:tc>
        <w:tc>
          <w:tcPr>
            <w:tcW w:w="0" w:type="auto"/>
          </w:tcPr>
          <w:p w14:paraId="0EC5AE50" w14:textId="77777777" w:rsidR="002A26E0" w:rsidRPr="002A26E0" w:rsidRDefault="002A26E0" w:rsidP="002A26E0">
            <w:pPr>
              <w:pStyle w:val="NoSpacing"/>
              <w:rPr>
                <w:rFonts w:cstheme="minorHAnsi"/>
              </w:rPr>
            </w:pPr>
            <w:r w:rsidRPr="002A26E0">
              <w:rPr>
                <w:rFonts w:cstheme="minorHAnsi"/>
              </w:rPr>
              <w:t>29</w:t>
            </w:r>
          </w:p>
        </w:tc>
        <w:tc>
          <w:tcPr>
            <w:tcW w:w="0" w:type="auto"/>
          </w:tcPr>
          <w:p w14:paraId="50BCF539" w14:textId="77777777" w:rsidR="002A26E0" w:rsidRPr="002A26E0" w:rsidRDefault="002A26E0" w:rsidP="002A26E0">
            <w:pPr>
              <w:pStyle w:val="NoSpacing"/>
              <w:rPr>
                <w:rFonts w:cstheme="minorHAnsi"/>
              </w:rPr>
            </w:pPr>
            <w:r w:rsidRPr="002A26E0">
              <w:rPr>
                <w:rFonts w:cstheme="minorHAnsi"/>
              </w:rPr>
              <w:t>0.49</w:t>
            </w:r>
          </w:p>
        </w:tc>
      </w:tr>
      <w:tr w:rsidR="002A26E0" w:rsidRPr="002A26E0" w14:paraId="5B4067AE" w14:textId="77777777" w:rsidTr="002952B0">
        <w:trPr>
          <w:trHeight w:val="230"/>
        </w:trPr>
        <w:tc>
          <w:tcPr>
            <w:tcW w:w="0" w:type="auto"/>
          </w:tcPr>
          <w:p w14:paraId="513883CB" w14:textId="77777777" w:rsidR="002A26E0" w:rsidRPr="002A26E0" w:rsidRDefault="002A26E0" w:rsidP="002A26E0">
            <w:pPr>
              <w:pStyle w:val="NoSpacing"/>
              <w:rPr>
                <w:rFonts w:cstheme="minorHAnsi"/>
              </w:rPr>
            </w:pPr>
            <w:r w:rsidRPr="002A26E0">
              <w:rPr>
                <w:rFonts w:cstheme="minorHAnsi"/>
              </w:rPr>
              <w:t>P FX home</w:t>
            </w:r>
          </w:p>
        </w:tc>
        <w:tc>
          <w:tcPr>
            <w:tcW w:w="0" w:type="auto"/>
          </w:tcPr>
          <w:p w14:paraId="0024F41E" w14:textId="77777777" w:rsidR="002A26E0" w:rsidRPr="002A26E0" w:rsidRDefault="002A26E0" w:rsidP="002A26E0">
            <w:pPr>
              <w:pStyle w:val="NoSpacing"/>
              <w:rPr>
                <w:rFonts w:cstheme="minorHAnsi"/>
                <w:i/>
                <w:iCs/>
              </w:rPr>
            </w:pPr>
            <w:r w:rsidRPr="002A26E0">
              <w:rPr>
                <w:rFonts w:cstheme="minorHAnsi"/>
                <w:i/>
                <w:iCs/>
              </w:rPr>
              <w:t>1.11</w:t>
            </w:r>
          </w:p>
        </w:tc>
        <w:tc>
          <w:tcPr>
            <w:tcW w:w="0" w:type="auto"/>
          </w:tcPr>
          <w:p w14:paraId="24B5CF8F" w14:textId="77777777" w:rsidR="002A26E0" w:rsidRPr="002A26E0" w:rsidRDefault="002A26E0" w:rsidP="002A26E0">
            <w:pPr>
              <w:pStyle w:val="NoSpacing"/>
              <w:rPr>
                <w:rFonts w:cstheme="minorHAnsi"/>
              </w:rPr>
            </w:pPr>
            <w:r w:rsidRPr="002A26E0">
              <w:rPr>
                <w:rFonts w:cstheme="minorHAnsi"/>
              </w:rPr>
              <w:t>0.60</w:t>
            </w:r>
          </w:p>
        </w:tc>
        <w:tc>
          <w:tcPr>
            <w:tcW w:w="0" w:type="auto"/>
          </w:tcPr>
          <w:p w14:paraId="6DE85E51" w14:textId="77777777" w:rsidR="002A26E0" w:rsidRPr="002A26E0" w:rsidRDefault="002A26E0" w:rsidP="002A26E0">
            <w:pPr>
              <w:pStyle w:val="NoSpacing"/>
              <w:rPr>
                <w:rFonts w:cstheme="minorHAnsi"/>
              </w:rPr>
            </w:pPr>
            <w:r w:rsidRPr="002A26E0">
              <w:rPr>
                <w:rFonts w:cstheme="minorHAnsi"/>
              </w:rPr>
              <w:t>27</w:t>
            </w:r>
          </w:p>
        </w:tc>
        <w:tc>
          <w:tcPr>
            <w:tcW w:w="0" w:type="auto"/>
          </w:tcPr>
          <w:p w14:paraId="06772897" w14:textId="77777777" w:rsidR="002A26E0" w:rsidRPr="002A26E0" w:rsidRDefault="002A26E0" w:rsidP="002A26E0">
            <w:pPr>
              <w:pStyle w:val="NoSpacing"/>
              <w:rPr>
                <w:rFonts w:cstheme="minorHAnsi"/>
              </w:rPr>
            </w:pPr>
          </w:p>
        </w:tc>
        <w:tc>
          <w:tcPr>
            <w:tcW w:w="0" w:type="auto"/>
          </w:tcPr>
          <w:p w14:paraId="245CD058" w14:textId="77777777" w:rsidR="002A26E0" w:rsidRPr="002A26E0" w:rsidRDefault="002A26E0" w:rsidP="002A26E0">
            <w:pPr>
              <w:pStyle w:val="NoSpacing"/>
              <w:rPr>
                <w:rFonts w:cstheme="minorHAnsi"/>
                <w:i/>
                <w:iCs/>
              </w:rPr>
            </w:pPr>
            <w:r w:rsidRPr="002A26E0">
              <w:rPr>
                <w:rFonts w:cstheme="minorHAnsi"/>
                <w:i/>
                <w:iCs/>
              </w:rPr>
              <w:t>0.83</w:t>
            </w:r>
          </w:p>
        </w:tc>
        <w:tc>
          <w:tcPr>
            <w:tcW w:w="0" w:type="auto"/>
          </w:tcPr>
          <w:p w14:paraId="17B18F3F" w14:textId="77777777" w:rsidR="002A26E0" w:rsidRPr="002A26E0" w:rsidRDefault="002A26E0" w:rsidP="002A26E0">
            <w:pPr>
              <w:pStyle w:val="NoSpacing"/>
              <w:rPr>
                <w:rFonts w:cstheme="minorHAnsi"/>
              </w:rPr>
            </w:pPr>
            <w:r w:rsidRPr="002A26E0">
              <w:rPr>
                <w:rFonts w:cstheme="minorHAnsi"/>
              </w:rPr>
              <w:t>0.52</w:t>
            </w:r>
          </w:p>
        </w:tc>
        <w:tc>
          <w:tcPr>
            <w:tcW w:w="0" w:type="auto"/>
          </w:tcPr>
          <w:p w14:paraId="11D11E1C" w14:textId="77777777" w:rsidR="002A26E0" w:rsidRPr="002A26E0" w:rsidRDefault="002A26E0" w:rsidP="002A26E0">
            <w:pPr>
              <w:pStyle w:val="NoSpacing"/>
              <w:rPr>
                <w:rFonts w:cstheme="minorHAnsi"/>
              </w:rPr>
            </w:pPr>
            <w:r w:rsidRPr="002A26E0">
              <w:rPr>
                <w:rFonts w:cstheme="minorHAnsi"/>
              </w:rPr>
              <w:t>27</w:t>
            </w:r>
          </w:p>
        </w:tc>
        <w:tc>
          <w:tcPr>
            <w:tcW w:w="0" w:type="auto"/>
          </w:tcPr>
          <w:p w14:paraId="1E7CD0D2" w14:textId="77777777" w:rsidR="002A26E0" w:rsidRPr="002A26E0" w:rsidRDefault="002A26E0" w:rsidP="002A26E0">
            <w:pPr>
              <w:pStyle w:val="NoSpacing"/>
              <w:rPr>
                <w:rFonts w:cstheme="minorHAnsi"/>
              </w:rPr>
            </w:pPr>
            <w:r w:rsidRPr="002A26E0">
              <w:rPr>
                <w:rFonts w:cstheme="minorHAnsi"/>
              </w:rPr>
              <w:t>[0.03, 0.52]</w:t>
            </w:r>
          </w:p>
        </w:tc>
        <w:tc>
          <w:tcPr>
            <w:tcW w:w="0" w:type="auto"/>
          </w:tcPr>
          <w:p w14:paraId="3563C80E" w14:textId="77777777" w:rsidR="002A26E0" w:rsidRPr="002A26E0" w:rsidRDefault="002A26E0" w:rsidP="002A26E0">
            <w:pPr>
              <w:pStyle w:val="NoSpacing"/>
              <w:rPr>
                <w:rFonts w:cstheme="minorHAnsi"/>
              </w:rPr>
            </w:pPr>
            <w:r w:rsidRPr="002A26E0">
              <w:rPr>
                <w:rFonts w:cstheme="minorHAnsi"/>
              </w:rPr>
              <w:t>2.31*</w:t>
            </w:r>
          </w:p>
        </w:tc>
        <w:tc>
          <w:tcPr>
            <w:tcW w:w="0" w:type="auto"/>
          </w:tcPr>
          <w:p w14:paraId="4FFE8AAA" w14:textId="77777777" w:rsidR="002A26E0" w:rsidRPr="002A26E0" w:rsidRDefault="002A26E0" w:rsidP="002A26E0">
            <w:pPr>
              <w:pStyle w:val="NoSpacing"/>
              <w:rPr>
                <w:rFonts w:cstheme="minorHAnsi"/>
              </w:rPr>
            </w:pPr>
            <w:r w:rsidRPr="002A26E0">
              <w:rPr>
                <w:rFonts w:cstheme="minorHAnsi"/>
              </w:rPr>
              <w:t>26</w:t>
            </w:r>
          </w:p>
        </w:tc>
        <w:tc>
          <w:tcPr>
            <w:tcW w:w="0" w:type="auto"/>
          </w:tcPr>
          <w:p w14:paraId="731A83D5" w14:textId="77777777" w:rsidR="002A26E0" w:rsidRPr="002A26E0" w:rsidRDefault="002A26E0" w:rsidP="002A26E0">
            <w:pPr>
              <w:pStyle w:val="NoSpacing"/>
              <w:rPr>
                <w:rFonts w:cstheme="minorHAnsi"/>
              </w:rPr>
            </w:pPr>
            <w:r w:rsidRPr="002A26E0">
              <w:rPr>
                <w:rFonts w:cstheme="minorHAnsi"/>
              </w:rPr>
              <w:t>0.44</w:t>
            </w:r>
          </w:p>
        </w:tc>
      </w:tr>
      <w:tr w:rsidR="002A26E0" w:rsidRPr="002A26E0" w14:paraId="1D799E08" w14:textId="77777777" w:rsidTr="002952B0">
        <w:trPr>
          <w:trHeight w:val="289"/>
        </w:trPr>
        <w:tc>
          <w:tcPr>
            <w:tcW w:w="0" w:type="auto"/>
          </w:tcPr>
          <w:p w14:paraId="50D66E3A" w14:textId="77777777" w:rsidR="002A26E0" w:rsidRPr="002A26E0" w:rsidRDefault="002A26E0" w:rsidP="002A26E0">
            <w:pPr>
              <w:pStyle w:val="NoSpacing"/>
              <w:rPr>
                <w:rFonts w:cstheme="minorHAnsi"/>
              </w:rPr>
            </w:pPr>
            <w:r w:rsidRPr="002A26E0">
              <w:rPr>
                <w:rFonts w:cstheme="minorHAnsi"/>
              </w:rPr>
              <w:t>T FX school</w:t>
            </w:r>
          </w:p>
        </w:tc>
        <w:tc>
          <w:tcPr>
            <w:tcW w:w="0" w:type="auto"/>
          </w:tcPr>
          <w:p w14:paraId="4D4F961D" w14:textId="77777777" w:rsidR="002A26E0" w:rsidRPr="002A26E0" w:rsidRDefault="002A26E0" w:rsidP="002A26E0">
            <w:pPr>
              <w:pStyle w:val="NoSpacing"/>
              <w:rPr>
                <w:rFonts w:cstheme="minorHAnsi"/>
                <w:i/>
                <w:iCs/>
              </w:rPr>
            </w:pPr>
            <w:r w:rsidRPr="002A26E0">
              <w:rPr>
                <w:rFonts w:cstheme="minorHAnsi"/>
                <w:i/>
                <w:iCs/>
              </w:rPr>
              <w:t>1.35</w:t>
            </w:r>
          </w:p>
        </w:tc>
        <w:tc>
          <w:tcPr>
            <w:tcW w:w="0" w:type="auto"/>
          </w:tcPr>
          <w:p w14:paraId="013EB7B9" w14:textId="77777777" w:rsidR="002A26E0" w:rsidRPr="002A26E0" w:rsidRDefault="002A26E0" w:rsidP="002A26E0">
            <w:pPr>
              <w:pStyle w:val="NoSpacing"/>
              <w:rPr>
                <w:rFonts w:cstheme="minorHAnsi"/>
              </w:rPr>
            </w:pPr>
            <w:r w:rsidRPr="002A26E0">
              <w:rPr>
                <w:rFonts w:cstheme="minorHAnsi"/>
              </w:rPr>
              <w:t>0.54</w:t>
            </w:r>
          </w:p>
        </w:tc>
        <w:tc>
          <w:tcPr>
            <w:tcW w:w="0" w:type="auto"/>
          </w:tcPr>
          <w:p w14:paraId="5E1AD7DF" w14:textId="77777777" w:rsidR="002A26E0" w:rsidRPr="002A26E0" w:rsidRDefault="002A26E0" w:rsidP="002A26E0">
            <w:pPr>
              <w:pStyle w:val="NoSpacing"/>
              <w:rPr>
                <w:rFonts w:cstheme="minorHAnsi"/>
              </w:rPr>
            </w:pPr>
            <w:r w:rsidRPr="002A26E0">
              <w:rPr>
                <w:rFonts w:cstheme="minorHAnsi"/>
              </w:rPr>
              <w:t>30</w:t>
            </w:r>
          </w:p>
        </w:tc>
        <w:tc>
          <w:tcPr>
            <w:tcW w:w="0" w:type="auto"/>
          </w:tcPr>
          <w:p w14:paraId="46D87189" w14:textId="77777777" w:rsidR="002A26E0" w:rsidRPr="002A26E0" w:rsidRDefault="002A26E0" w:rsidP="002A26E0">
            <w:pPr>
              <w:pStyle w:val="NoSpacing"/>
              <w:rPr>
                <w:rFonts w:cstheme="minorHAnsi"/>
              </w:rPr>
            </w:pPr>
          </w:p>
        </w:tc>
        <w:tc>
          <w:tcPr>
            <w:tcW w:w="0" w:type="auto"/>
          </w:tcPr>
          <w:p w14:paraId="78886CCF" w14:textId="77777777" w:rsidR="002A26E0" w:rsidRPr="002A26E0" w:rsidRDefault="002A26E0" w:rsidP="002A26E0">
            <w:pPr>
              <w:pStyle w:val="NoSpacing"/>
              <w:rPr>
                <w:rFonts w:cstheme="minorHAnsi"/>
                <w:i/>
                <w:iCs/>
              </w:rPr>
            </w:pPr>
            <w:r w:rsidRPr="002A26E0">
              <w:rPr>
                <w:rFonts w:cstheme="minorHAnsi"/>
                <w:i/>
                <w:iCs/>
              </w:rPr>
              <w:t>1.03</w:t>
            </w:r>
          </w:p>
        </w:tc>
        <w:tc>
          <w:tcPr>
            <w:tcW w:w="0" w:type="auto"/>
          </w:tcPr>
          <w:p w14:paraId="24C32B73" w14:textId="77777777" w:rsidR="002A26E0" w:rsidRPr="002A26E0" w:rsidRDefault="002A26E0" w:rsidP="002A26E0">
            <w:pPr>
              <w:pStyle w:val="NoSpacing"/>
              <w:rPr>
                <w:rFonts w:cstheme="minorHAnsi"/>
              </w:rPr>
            </w:pPr>
            <w:r w:rsidRPr="002A26E0">
              <w:rPr>
                <w:rFonts w:cstheme="minorHAnsi"/>
              </w:rPr>
              <w:t>0.58</w:t>
            </w:r>
          </w:p>
        </w:tc>
        <w:tc>
          <w:tcPr>
            <w:tcW w:w="0" w:type="auto"/>
          </w:tcPr>
          <w:p w14:paraId="6E66A421" w14:textId="77777777" w:rsidR="002A26E0" w:rsidRPr="002A26E0" w:rsidRDefault="002A26E0" w:rsidP="002A26E0">
            <w:pPr>
              <w:pStyle w:val="NoSpacing"/>
              <w:rPr>
                <w:rFonts w:cstheme="minorHAnsi"/>
              </w:rPr>
            </w:pPr>
            <w:r w:rsidRPr="002A26E0">
              <w:rPr>
                <w:rFonts w:cstheme="minorHAnsi"/>
              </w:rPr>
              <w:t>30</w:t>
            </w:r>
          </w:p>
        </w:tc>
        <w:tc>
          <w:tcPr>
            <w:tcW w:w="0" w:type="auto"/>
          </w:tcPr>
          <w:p w14:paraId="72B37F85" w14:textId="77777777" w:rsidR="002A26E0" w:rsidRPr="002A26E0" w:rsidRDefault="002A26E0" w:rsidP="002A26E0">
            <w:pPr>
              <w:pStyle w:val="NoSpacing"/>
              <w:rPr>
                <w:rFonts w:cstheme="minorHAnsi"/>
              </w:rPr>
            </w:pPr>
            <w:r w:rsidRPr="002A26E0">
              <w:rPr>
                <w:rFonts w:cstheme="minorHAnsi"/>
              </w:rPr>
              <w:t>[0.10, 0.54]</w:t>
            </w:r>
          </w:p>
        </w:tc>
        <w:tc>
          <w:tcPr>
            <w:tcW w:w="0" w:type="auto"/>
          </w:tcPr>
          <w:p w14:paraId="6B300321" w14:textId="77777777" w:rsidR="002A26E0" w:rsidRPr="002A26E0" w:rsidRDefault="002A26E0" w:rsidP="002A26E0">
            <w:pPr>
              <w:pStyle w:val="NoSpacing"/>
              <w:rPr>
                <w:rFonts w:cstheme="minorHAnsi"/>
              </w:rPr>
            </w:pPr>
            <w:r w:rsidRPr="002A26E0">
              <w:rPr>
                <w:rFonts w:cstheme="minorHAnsi"/>
              </w:rPr>
              <w:t>2.99**</w:t>
            </w:r>
          </w:p>
        </w:tc>
        <w:tc>
          <w:tcPr>
            <w:tcW w:w="0" w:type="auto"/>
          </w:tcPr>
          <w:p w14:paraId="2BF505E5" w14:textId="77777777" w:rsidR="002A26E0" w:rsidRPr="002A26E0" w:rsidRDefault="002A26E0" w:rsidP="002A26E0">
            <w:pPr>
              <w:pStyle w:val="NoSpacing"/>
              <w:rPr>
                <w:rFonts w:cstheme="minorHAnsi"/>
              </w:rPr>
            </w:pPr>
            <w:r w:rsidRPr="002A26E0">
              <w:rPr>
                <w:rFonts w:cstheme="minorHAnsi"/>
              </w:rPr>
              <w:t>29</w:t>
            </w:r>
          </w:p>
        </w:tc>
        <w:tc>
          <w:tcPr>
            <w:tcW w:w="0" w:type="auto"/>
          </w:tcPr>
          <w:p w14:paraId="71EFF43C" w14:textId="77777777" w:rsidR="002A26E0" w:rsidRPr="002A26E0" w:rsidRDefault="002A26E0" w:rsidP="002A26E0">
            <w:pPr>
              <w:pStyle w:val="NoSpacing"/>
              <w:rPr>
                <w:rFonts w:cstheme="minorHAnsi"/>
              </w:rPr>
            </w:pPr>
            <w:r w:rsidRPr="002A26E0">
              <w:rPr>
                <w:rFonts w:cstheme="minorHAnsi"/>
              </w:rPr>
              <w:t>0.55</w:t>
            </w:r>
          </w:p>
        </w:tc>
      </w:tr>
    </w:tbl>
    <w:p w14:paraId="1F979FB6" w14:textId="77777777" w:rsidR="00F50A37" w:rsidRDefault="00F50A37" w:rsidP="00F50A37">
      <w:pPr>
        <w:pStyle w:val="NoSpacing"/>
      </w:pPr>
      <w:r w:rsidRPr="000A1182">
        <w:rPr>
          <w:b/>
          <w:bCs/>
        </w:rPr>
        <w:t>Note.</w:t>
      </w:r>
      <w:r>
        <w:t xml:space="preserve"> CAT = culturally adapted evidence-based treatment; CI = confidence interval; ST = standard evidence-based treatment; P/T DBDin = parent-/teacher-reported DBD Rating Scale inattention mean; P/T DBDhi = parent-/teacher-reported DBD Rating Scale hyperactivity/impulsivity mean; P FX home = parent-reported ADHD-FX Scale home impairment mean; T FX school = teacher-reported ADHD-FX Scale school impairment mean.</w:t>
      </w:r>
    </w:p>
    <w:p w14:paraId="7B385878" w14:textId="3439F122" w:rsidR="00146D3D" w:rsidRDefault="00F50A37" w:rsidP="00F50A37">
      <w:pPr>
        <w:pStyle w:val="NoSpacing"/>
      </w:pPr>
      <w:r>
        <w:t>†p ≤ .10. *p ≤ .05. **p ≤ .01. ***p ≤ .001.</w:t>
      </w:r>
    </w:p>
    <w:p w14:paraId="2DE46C03" w14:textId="77777777" w:rsidR="000A1182" w:rsidRDefault="000A1182" w:rsidP="00F50A37">
      <w:pPr>
        <w:pStyle w:val="NoSpacing"/>
      </w:pPr>
    </w:p>
    <w:p w14:paraId="17A50CD3" w14:textId="66CA5554" w:rsidR="00450F81" w:rsidRPr="000A1182" w:rsidRDefault="00450F81" w:rsidP="000A1182">
      <w:pPr>
        <w:pStyle w:val="NoSpacing"/>
        <w:rPr>
          <w:rFonts w:cstheme="minorHAnsi"/>
        </w:rPr>
      </w:pPr>
      <w:r w:rsidRPr="000A1182">
        <w:rPr>
          <w:rFonts w:cstheme="minorHAnsi"/>
        </w:rPr>
        <w:t>Finally, repeated-measures ANOVAs were employed to examine whether CAT resulted in greater improvements in ADHD symptomatology and functioning than standard EBT. Specifically, pre–post change was the within-subjects factor, treatment condition was the between-subjects factor, and Time × Treatment Condition was the interaction term. Given that the focus of these ANOVAs was to examine significant interaction effects, only those findings are reported. One marginally significant interaction emerged for parent-reported inattention, </w:t>
      </w:r>
      <w:proofErr w:type="gramStart"/>
      <w:r w:rsidRPr="000A1182">
        <w:rPr>
          <w:rFonts w:cstheme="minorHAnsi"/>
          <w:i/>
          <w:iCs/>
        </w:rPr>
        <w:t>F</w:t>
      </w:r>
      <w:r w:rsidRPr="000A1182">
        <w:rPr>
          <w:rFonts w:cstheme="minorHAnsi"/>
        </w:rPr>
        <w:t>(</w:t>
      </w:r>
      <w:proofErr w:type="gramEnd"/>
      <w:r w:rsidRPr="000A1182">
        <w:rPr>
          <w:rFonts w:cstheme="minorHAnsi"/>
        </w:rPr>
        <w:t>1, 56) = 3.03, </w:t>
      </w:r>
      <w:r w:rsidRPr="000A1182">
        <w:rPr>
          <w:rFonts w:cstheme="minorHAnsi"/>
          <w:i/>
          <w:iCs/>
        </w:rPr>
        <w:t>p</w:t>
      </w:r>
      <w:r w:rsidRPr="000A1182">
        <w:rPr>
          <w:rFonts w:cstheme="minorHAnsi"/>
        </w:rPr>
        <w:t> &lt; .10. As can be seen in </w:t>
      </w:r>
      <w:hyperlink r:id="rId88" w:tooltip="Open Figure Viewer" w:history="1">
        <w:r w:rsidRPr="000A1182">
          <w:rPr>
            <w:rStyle w:val="Hyperlink"/>
            <w:rFonts w:eastAsiaTheme="majorEastAsia" w:cstheme="minorHAnsi"/>
            <w:color w:val="006ACC"/>
          </w:rPr>
          <w:t>Figure 2</w:t>
        </w:r>
      </w:hyperlink>
      <w:r w:rsidRPr="000A1182">
        <w:rPr>
          <w:rFonts w:cstheme="minorHAnsi"/>
        </w:rPr>
        <w:t>, parents who participated in CAT reported greater improvement in inattention following treatment than parents who participated in standard EBT. The effect size was medium. No other Time × Treatment Condition interactions emerged.</w:t>
      </w:r>
    </w:p>
    <w:p w14:paraId="31E9BF37" w14:textId="5E23F26A" w:rsidR="00450F81" w:rsidRDefault="00450F81" w:rsidP="00450F81">
      <w:pPr>
        <w:shd w:val="clear" w:color="auto" w:fill="FFFFFF"/>
        <w:spacing w:line="390" w:lineRule="atLeast"/>
        <w:rPr>
          <w:rFonts w:ascii="Arial" w:hAnsi="Arial" w:cs="Arial"/>
          <w:color w:val="333333"/>
        </w:rPr>
      </w:pPr>
      <w:r>
        <w:rPr>
          <w:rFonts w:ascii="Arial" w:hAnsi="Arial" w:cs="Arial"/>
          <w:noProof/>
          <w:color w:val="006ACC"/>
        </w:rPr>
        <w:drawing>
          <wp:inline distT="0" distB="0" distL="0" distR="0" wp14:anchorId="0CA46451" wp14:editId="2558C952">
            <wp:extent cx="3657600" cy="1773936"/>
            <wp:effectExtent l="0" t="0" r="0" b="0"/>
            <wp:docPr id="5" name="Picture 5" descr="&#10;                        figure&#10;                    ">
              <a:hlinkClick xmlns:a="http://schemas.openxmlformats.org/drawingml/2006/main" r:id="rId37" tooltip="&quot;Open Figure Viewer&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10;                        figure&#10;                    ">
                      <a:hlinkClick r:id="rId53" tooltip="&quot;Open Figure Viewer&quot;"/>
                    </pic:cNvPr>
                    <pic:cNvPicPr>
                      <a:picLocks noChangeAspect="1" noChangeArrowheads="1"/>
                    </pic:cNvPicPr>
                  </pic:nvPicPr>
                  <pic:blipFill>
                    <a:blip r:embed="rId89">
                      <a:extLst>
                        <a:ext uri="{28A0092B-C50C-407E-A947-70E740481C1C}">
                          <a14:useLocalDpi xmlns:a14="http://schemas.microsoft.com/office/drawing/2010/main" val="0"/>
                        </a:ext>
                      </a:extLst>
                    </a:blip>
                    <a:srcRect/>
                    <a:stretch>
                      <a:fillRect/>
                    </a:stretch>
                  </pic:blipFill>
                  <pic:spPr bwMode="auto">
                    <a:xfrm>
                      <a:off x="0" y="0"/>
                      <a:ext cx="3657600" cy="1773936"/>
                    </a:xfrm>
                    <a:prstGeom prst="rect">
                      <a:avLst/>
                    </a:prstGeom>
                    <a:noFill/>
                    <a:ln>
                      <a:noFill/>
                    </a:ln>
                  </pic:spPr>
                </pic:pic>
              </a:graphicData>
            </a:graphic>
          </wp:inline>
        </w:drawing>
      </w:r>
    </w:p>
    <w:p w14:paraId="6F595C2C" w14:textId="5A301CA3" w:rsidR="00450F81" w:rsidRDefault="00450F81" w:rsidP="000A1182">
      <w:pPr>
        <w:pStyle w:val="NoSpacing"/>
      </w:pPr>
      <w:r w:rsidRPr="000A1182">
        <w:rPr>
          <w:rStyle w:val="captionlabel"/>
          <w:b/>
          <w:bCs/>
        </w:rPr>
        <w:t>Figure 2.</w:t>
      </w:r>
      <w:r w:rsidRPr="000A1182">
        <w:t> Change in parent-reported inattention from pretreatment (Time 1) to posttreatment (Time 2) by treatment condition.</w:t>
      </w:r>
    </w:p>
    <w:p w14:paraId="02C78EDB" w14:textId="77777777" w:rsidR="000A1182" w:rsidRPr="000A1182" w:rsidRDefault="000A1182" w:rsidP="000A1182">
      <w:pPr>
        <w:pStyle w:val="NoSpacing"/>
      </w:pPr>
    </w:p>
    <w:p w14:paraId="5231F0DB" w14:textId="3CC021C7" w:rsidR="00450F81" w:rsidRDefault="00450F81" w:rsidP="000A1182">
      <w:pPr>
        <w:pStyle w:val="NoSpacing"/>
      </w:pPr>
      <w:r w:rsidRPr="000A1182">
        <w:rPr>
          <w:b/>
          <w:bCs/>
        </w:rPr>
        <w:t>Note.</w:t>
      </w:r>
      <w:r>
        <w:t> DBDin = parent-reported DBD Rating Scale inattention mean; ST = standard evidence-based treatment; CAT = culturally adapted evidence-based treatment.</w:t>
      </w:r>
    </w:p>
    <w:p w14:paraId="31DCAE4E" w14:textId="77777777" w:rsidR="000A1182" w:rsidRDefault="000A1182" w:rsidP="000A1182">
      <w:pPr>
        <w:pStyle w:val="NoSpacing"/>
      </w:pPr>
    </w:p>
    <w:p w14:paraId="60F1D88C" w14:textId="77777777" w:rsidR="00450F81" w:rsidRDefault="00450F81" w:rsidP="00EB1A84">
      <w:pPr>
        <w:pStyle w:val="Heading3"/>
      </w:pPr>
      <w:r>
        <w:t>Aim 3—Parental and family functioning outcomes</w:t>
      </w:r>
    </w:p>
    <w:p w14:paraId="390D6EA4" w14:textId="605FCE26" w:rsidR="00450F81" w:rsidRDefault="00450F81" w:rsidP="00A740A7">
      <w:pPr>
        <w:pStyle w:val="NoSpacing"/>
        <w:rPr>
          <w:rFonts w:cstheme="minorHAnsi"/>
        </w:rPr>
      </w:pPr>
      <w:r w:rsidRPr="00A740A7">
        <w:rPr>
          <w:rFonts w:cstheme="minorHAnsi"/>
        </w:rPr>
        <w:t>Paired-samples </w:t>
      </w:r>
      <w:r w:rsidRPr="00A740A7">
        <w:rPr>
          <w:rFonts w:cstheme="minorHAnsi"/>
          <w:i/>
          <w:iCs/>
        </w:rPr>
        <w:t>t</w:t>
      </w:r>
      <w:r w:rsidRPr="00A740A7">
        <w:rPr>
          <w:rFonts w:cstheme="minorHAnsi"/>
        </w:rPr>
        <w:t> test were employed to examine whether CAT resulted in improvements in parental functioning. Specifically, </w:t>
      </w:r>
      <w:r w:rsidRPr="00A740A7">
        <w:rPr>
          <w:rFonts w:cstheme="minorHAnsi"/>
          <w:i/>
          <w:iCs/>
        </w:rPr>
        <w:t>t</w:t>
      </w:r>
      <w:r w:rsidRPr="00A740A7">
        <w:rPr>
          <w:rFonts w:cstheme="minorHAnsi"/>
        </w:rPr>
        <w:t> tests compared pre–post treatment scores on six outcomes—mother- and father-reported parenting stress, parental efficacy, and chaos in the home. As </w:t>
      </w:r>
      <w:hyperlink r:id="rId90" w:history="1">
        <w:r w:rsidRPr="00A740A7">
          <w:rPr>
            <w:rStyle w:val="Hyperlink"/>
            <w:rFonts w:eastAsiaTheme="majorEastAsia" w:cstheme="minorHAnsi"/>
            <w:color w:val="006ACC"/>
          </w:rPr>
          <w:t>Table 4</w:t>
        </w:r>
      </w:hyperlink>
      <w:r w:rsidRPr="00A740A7">
        <w:rPr>
          <w:rFonts w:cstheme="minorHAnsi"/>
        </w:rPr>
        <w:t> indicates, significant findings emerged for mother- and father-reported parenting stress and parental efficacy, as well as mother-reported chaos. Examination of the means demonstrated that following CAT, mothers and fathers reported less parenting stress and greater parental efficacy, and mothers reported less chaos in the home. The effect sizes for all significant findings were medium to large. For comparison, paired-samples </w:t>
      </w:r>
      <w:r w:rsidRPr="00A740A7">
        <w:rPr>
          <w:rFonts w:cstheme="minorHAnsi"/>
          <w:i/>
          <w:iCs/>
        </w:rPr>
        <w:t>t</w:t>
      </w:r>
      <w:r w:rsidRPr="00A740A7">
        <w:rPr>
          <w:rFonts w:cstheme="minorHAnsi"/>
        </w:rPr>
        <w:t> tests for standard EBT also are presented in </w:t>
      </w:r>
      <w:hyperlink r:id="rId91" w:history="1">
        <w:r w:rsidRPr="00A740A7">
          <w:rPr>
            <w:rStyle w:val="Hyperlink"/>
            <w:rFonts w:eastAsiaTheme="majorEastAsia" w:cstheme="minorHAnsi"/>
            <w:color w:val="006ACC"/>
          </w:rPr>
          <w:t>Table 4</w:t>
        </w:r>
      </w:hyperlink>
      <w:r w:rsidRPr="00A740A7">
        <w:rPr>
          <w:rFonts w:cstheme="minorHAnsi"/>
        </w:rPr>
        <w:t>.</w:t>
      </w:r>
    </w:p>
    <w:p w14:paraId="5674701B" w14:textId="77777777" w:rsidR="00A740A7" w:rsidRPr="00430703" w:rsidRDefault="00A740A7" w:rsidP="00430703">
      <w:pPr>
        <w:pStyle w:val="NoSpacing"/>
      </w:pPr>
    </w:p>
    <w:p w14:paraId="1ED27A86" w14:textId="0B720260" w:rsidR="00F455EA" w:rsidRPr="00F455EA" w:rsidRDefault="00450F81" w:rsidP="00F455EA">
      <w:pPr>
        <w:pStyle w:val="NoSpacing"/>
      </w:pPr>
      <w:r w:rsidRPr="00430703">
        <w:rPr>
          <w:rStyle w:val="captionlabel"/>
          <w:b/>
          <w:bCs/>
        </w:rPr>
        <w:t>Table 4.</w:t>
      </w:r>
      <w:r w:rsidRPr="00430703">
        <w:t> Results of Paired Samples t Tests for Parental and Family Functioning Outcomes at Pretreatment (Time 1) and Posttreatment (Time 2).</w:t>
      </w:r>
    </w:p>
    <w:tbl>
      <w:tblPr>
        <w:tblStyle w:val="TableGridLight"/>
        <w:tblW w:w="0" w:type="auto"/>
        <w:tblLook w:val="0020" w:firstRow="1" w:lastRow="0" w:firstColumn="0" w:lastColumn="0" w:noHBand="0" w:noVBand="0"/>
      </w:tblPr>
      <w:tblGrid>
        <w:gridCol w:w="1083"/>
        <w:gridCol w:w="830"/>
        <w:gridCol w:w="830"/>
        <w:gridCol w:w="440"/>
        <w:gridCol w:w="575"/>
        <w:gridCol w:w="830"/>
        <w:gridCol w:w="830"/>
        <w:gridCol w:w="440"/>
        <w:gridCol w:w="1457"/>
        <w:gridCol w:w="1045"/>
        <w:gridCol w:w="440"/>
        <w:gridCol w:w="1108"/>
      </w:tblGrid>
      <w:tr w:rsidR="005158F9" w:rsidRPr="00F455EA" w14:paraId="323D6B4C" w14:textId="77777777" w:rsidTr="002952B0">
        <w:trPr>
          <w:trHeight w:val="283"/>
        </w:trPr>
        <w:tc>
          <w:tcPr>
            <w:tcW w:w="0" w:type="auto"/>
          </w:tcPr>
          <w:p w14:paraId="7C9D3C61" w14:textId="77777777" w:rsidR="005158F9" w:rsidRPr="00A07CCB" w:rsidRDefault="005158F9" w:rsidP="00F455EA">
            <w:pPr>
              <w:pStyle w:val="NoSpacing"/>
              <w:rPr>
                <w:b/>
                <w:bCs/>
              </w:rPr>
            </w:pPr>
          </w:p>
        </w:tc>
        <w:tc>
          <w:tcPr>
            <w:tcW w:w="0" w:type="auto"/>
          </w:tcPr>
          <w:p w14:paraId="372259A3" w14:textId="77777777" w:rsidR="005158F9" w:rsidRPr="00A07CCB" w:rsidRDefault="005158F9" w:rsidP="00F455EA">
            <w:pPr>
              <w:pStyle w:val="NoSpacing"/>
              <w:rPr>
                <w:b/>
                <w:bCs/>
              </w:rPr>
            </w:pPr>
          </w:p>
        </w:tc>
        <w:tc>
          <w:tcPr>
            <w:tcW w:w="0" w:type="auto"/>
          </w:tcPr>
          <w:p w14:paraId="3BD59A8E" w14:textId="77777777" w:rsidR="005158F9" w:rsidRPr="00A07CCB" w:rsidRDefault="005158F9" w:rsidP="00F455EA">
            <w:pPr>
              <w:pStyle w:val="NoSpacing"/>
              <w:rPr>
                <w:b/>
                <w:bCs/>
              </w:rPr>
            </w:pPr>
          </w:p>
        </w:tc>
        <w:tc>
          <w:tcPr>
            <w:tcW w:w="0" w:type="auto"/>
          </w:tcPr>
          <w:p w14:paraId="0BB31C8F" w14:textId="5B73980E" w:rsidR="005158F9" w:rsidRPr="00F455EA" w:rsidRDefault="005158F9" w:rsidP="00F455EA">
            <w:pPr>
              <w:pStyle w:val="NoSpacing"/>
              <w:rPr>
                <w:b/>
                <w:bCs/>
              </w:rPr>
            </w:pPr>
          </w:p>
        </w:tc>
        <w:tc>
          <w:tcPr>
            <w:tcW w:w="0" w:type="auto"/>
          </w:tcPr>
          <w:p w14:paraId="715B3E10" w14:textId="77777777" w:rsidR="005158F9" w:rsidRPr="00F455EA" w:rsidRDefault="005158F9" w:rsidP="00F455EA">
            <w:pPr>
              <w:pStyle w:val="NoSpacing"/>
              <w:rPr>
                <w:b/>
                <w:bCs/>
              </w:rPr>
            </w:pPr>
            <w:r w:rsidRPr="00F455EA">
              <w:rPr>
                <w:b/>
                <w:bCs/>
              </w:rPr>
              <w:t>CAT</w:t>
            </w:r>
          </w:p>
        </w:tc>
        <w:tc>
          <w:tcPr>
            <w:tcW w:w="0" w:type="auto"/>
          </w:tcPr>
          <w:p w14:paraId="5468DAC8" w14:textId="77777777" w:rsidR="005158F9" w:rsidRPr="00F455EA" w:rsidRDefault="005158F9" w:rsidP="00F455EA">
            <w:pPr>
              <w:pStyle w:val="NoSpacing"/>
              <w:rPr>
                <w:b/>
                <w:bCs/>
              </w:rPr>
            </w:pPr>
          </w:p>
        </w:tc>
        <w:tc>
          <w:tcPr>
            <w:tcW w:w="0" w:type="auto"/>
          </w:tcPr>
          <w:p w14:paraId="559E04F2" w14:textId="77777777" w:rsidR="005158F9" w:rsidRPr="00F455EA" w:rsidRDefault="005158F9" w:rsidP="00F455EA">
            <w:pPr>
              <w:pStyle w:val="NoSpacing"/>
              <w:rPr>
                <w:b/>
                <w:bCs/>
              </w:rPr>
            </w:pPr>
          </w:p>
        </w:tc>
        <w:tc>
          <w:tcPr>
            <w:tcW w:w="0" w:type="auto"/>
          </w:tcPr>
          <w:p w14:paraId="2A308D09" w14:textId="77777777" w:rsidR="005158F9" w:rsidRPr="00F455EA" w:rsidRDefault="005158F9" w:rsidP="00F455EA">
            <w:pPr>
              <w:pStyle w:val="NoSpacing"/>
              <w:rPr>
                <w:b/>
                <w:bCs/>
              </w:rPr>
            </w:pPr>
          </w:p>
        </w:tc>
        <w:tc>
          <w:tcPr>
            <w:tcW w:w="0" w:type="auto"/>
          </w:tcPr>
          <w:p w14:paraId="2E5DB8F6" w14:textId="77777777" w:rsidR="005158F9" w:rsidRPr="00A07CCB" w:rsidRDefault="005158F9" w:rsidP="00F455EA">
            <w:pPr>
              <w:pStyle w:val="NoSpacing"/>
              <w:rPr>
                <w:b/>
                <w:bCs/>
              </w:rPr>
            </w:pPr>
          </w:p>
        </w:tc>
        <w:tc>
          <w:tcPr>
            <w:tcW w:w="0" w:type="auto"/>
          </w:tcPr>
          <w:p w14:paraId="5C8D86AA" w14:textId="77777777" w:rsidR="005158F9" w:rsidRPr="00A07CCB" w:rsidRDefault="005158F9" w:rsidP="00F455EA">
            <w:pPr>
              <w:pStyle w:val="NoSpacing"/>
              <w:rPr>
                <w:b/>
                <w:bCs/>
              </w:rPr>
            </w:pPr>
          </w:p>
        </w:tc>
        <w:tc>
          <w:tcPr>
            <w:tcW w:w="0" w:type="auto"/>
          </w:tcPr>
          <w:p w14:paraId="3C7404AB" w14:textId="77777777" w:rsidR="005158F9" w:rsidRPr="00A07CCB" w:rsidRDefault="005158F9" w:rsidP="00F455EA">
            <w:pPr>
              <w:pStyle w:val="NoSpacing"/>
              <w:rPr>
                <w:b/>
                <w:bCs/>
              </w:rPr>
            </w:pPr>
          </w:p>
        </w:tc>
        <w:tc>
          <w:tcPr>
            <w:tcW w:w="0" w:type="auto"/>
          </w:tcPr>
          <w:p w14:paraId="239F52EF" w14:textId="44709700" w:rsidR="005158F9" w:rsidRPr="00F455EA" w:rsidRDefault="005158F9" w:rsidP="00F455EA">
            <w:pPr>
              <w:pStyle w:val="NoSpacing"/>
              <w:rPr>
                <w:b/>
                <w:bCs/>
              </w:rPr>
            </w:pPr>
          </w:p>
        </w:tc>
      </w:tr>
      <w:tr w:rsidR="005158F9" w:rsidRPr="00F455EA" w14:paraId="7B13E429" w14:textId="77777777" w:rsidTr="002952B0">
        <w:trPr>
          <w:trHeight w:val="360"/>
        </w:trPr>
        <w:tc>
          <w:tcPr>
            <w:tcW w:w="0" w:type="auto"/>
          </w:tcPr>
          <w:p w14:paraId="794A1F98" w14:textId="77777777" w:rsidR="005158F9" w:rsidRPr="00F455EA" w:rsidRDefault="005158F9" w:rsidP="00F455EA">
            <w:pPr>
              <w:pStyle w:val="NoSpacing"/>
              <w:rPr>
                <w:b/>
                <w:bCs/>
              </w:rPr>
            </w:pPr>
          </w:p>
        </w:tc>
        <w:tc>
          <w:tcPr>
            <w:tcW w:w="0" w:type="auto"/>
          </w:tcPr>
          <w:p w14:paraId="2BAAF405" w14:textId="115BFB51" w:rsidR="005158F9" w:rsidRPr="00F455EA" w:rsidRDefault="005158F9" w:rsidP="00F455EA">
            <w:pPr>
              <w:pStyle w:val="NoSpacing"/>
              <w:rPr>
                <w:b/>
                <w:bCs/>
              </w:rPr>
            </w:pPr>
            <w:r w:rsidRPr="00F455EA">
              <w:rPr>
                <w:b/>
                <w:bCs/>
              </w:rPr>
              <w:t>Time 1</w:t>
            </w:r>
          </w:p>
        </w:tc>
        <w:tc>
          <w:tcPr>
            <w:tcW w:w="0" w:type="auto"/>
          </w:tcPr>
          <w:p w14:paraId="58602993" w14:textId="5B74227D" w:rsidR="005158F9" w:rsidRPr="00F455EA" w:rsidRDefault="005158F9" w:rsidP="00F455EA">
            <w:pPr>
              <w:pStyle w:val="NoSpacing"/>
              <w:rPr>
                <w:b/>
                <w:bCs/>
              </w:rPr>
            </w:pPr>
          </w:p>
        </w:tc>
        <w:tc>
          <w:tcPr>
            <w:tcW w:w="0" w:type="auto"/>
          </w:tcPr>
          <w:p w14:paraId="7C27CA5C" w14:textId="77777777" w:rsidR="005158F9" w:rsidRPr="00F455EA" w:rsidRDefault="005158F9" w:rsidP="00F455EA">
            <w:pPr>
              <w:pStyle w:val="NoSpacing"/>
              <w:rPr>
                <w:b/>
                <w:bCs/>
              </w:rPr>
            </w:pPr>
          </w:p>
        </w:tc>
        <w:tc>
          <w:tcPr>
            <w:tcW w:w="0" w:type="auto"/>
          </w:tcPr>
          <w:p w14:paraId="1D8B2316" w14:textId="77777777" w:rsidR="005158F9" w:rsidRPr="00F455EA" w:rsidRDefault="005158F9" w:rsidP="00F455EA">
            <w:pPr>
              <w:pStyle w:val="NoSpacing"/>
              <w:rPr>
                <w:b/>
                <w:bCs/>
              </w:rPr>
            </w:pPr>
          </w:p>
        </w:tc>
        <w:tc>
          <w:tcPr>
            <w:tcW w:w="0" w:type="auto"/>
          </w:tcPr>
          <w:p w14:paraId="7DCDB99D" w14:textId="24CF56CA" w:rsidR="005158F9" w:rsidRPr="00F455EA" w:rsidRDefault="005158F9" w:rsidP="00F455EA">
            <w:pPr>
              <w:pStyle w:val="NoSpacing"/>
              <w:rPr>
                <w:b/>
                <w:bCs/>
              </w:rPr>
            </w:pPr>
            <w:r w:rsidRPr="00F455EA">
              <w:rPr>
                <w:b/>
                <w:bCs/>
              </w:rPr>
              <w:t>Time 2</w:t>
            </w:r>
          </w:p>
        </w:tc>
        <w:tc>
          <w:tcPr>
            <w:tcW w:w="0" w:type="auto"/>
          </w:tcPr>
          <w:p w14:paraId="5856A5D5" w14:textId="1CD14EF9" w:rsidR="005158F9" w:rsidRPr="00F455EA" w:rsidRDefault="005158F9" w:rsidP="00F455EA">
            <w:pPr>
              <w:pStyle w:val="NoSpacing"/>
              <w:rPr>
                <w:b/>
                <w:bCs/>
              </w:rPr>
            </w:pPr>
          </w:p>
        </w:tc>
        <w:tc>
          <w:tcPr>
            <w:tcW w:w="0" w:type="auto"/>
          </w:tcPr>
          <w:p w14:paraId="0F24C881" w14:textId="77777777" w:rsidR="005158F9" w:rsidRPr="00F455EA" w:rsidRDefault="005158F9" w:rsidP="00F455EA">
            <w:pPr>
              <w:pStyle w:val="NoSpacing"/>
              <w:rPr>
                <w:b/>
                <w:bCs/>
              </w:rPr>
            </w:pPr>
          </w:p>
        </w:tc>
        <w:tc>
          <w:tcPr>
            <w:tcW w:w="0" w:type="auto"/>
          </w:tcPr>
          <w:p w14:paraId="2E136F8A" w14:textId="77777777" w:rsidR="005158F9" w:rsidRPr="00A07CCB" w:rsidRDefault="005158F9" w:rsidP="00F455EA">
            <w:pPr>
              <w:pStyle w:val="NoSpacing"/>
              <w:rPr>
                <w:b/>
                <w:bCs/>
              </w:rPr>
            </w:pPr>
          </w:p>
        </w:tc>
        <w:tc>
          <w:tcPr>
            <w:tcW w:w="0" w:type="auto"/>
          </w:tcPr>
          <w:p w14:paraId="3AAAC1CC" w14:textId="77777777" w:rsidR="005158F9" w:rsidRPr="00A07CCB" w:rsidRDefault="005158F9" w:rsidP="00F455EA">
            <w:pPr>
              <w:pStyle w:val="NoSpacing"/>
              <w:rPr>
                <w:b/>
                <w:bCs/>
              </w:rPr>
            </w:pPr>
          </w:p>
        </w:tc>
        <w:tc>
          <w:tcPr>
            <w:tcW w:w="0" w:type="auto"/>
          </w:tcPr>
          <w:p w14:paraId="43D97F95" w14:textId="77777777" w:rsidR="005158F9" w:rsidRPr="00A07CCB" w:rsidRDefault="005158F9" w:rsidP="00F455EA">
            <w:pPr>
              <w:pStyle w:val="NoSpacing"/>
              <w:rPr>
                <w:b/>
                <w:bCs/>
              </w:rPr>
            </w:pPr>
          </w:p>
        </w:tc>
        <w:tc>
          <w:tcPr>
            <w:tcW w:w="0" w:type="auto"/>
          </w:tcPr>
          <w:p w14:paraId="112CB477" w14:textId="51AB2767" w:rsidR="005158F9" w:rsidRPr="00F455EA" w:rsidRDefault="005158F9" w:rsidP="00F455EA">
            <w:pPr>
              <w:pStyle w:val="NoSpacing"/>
              <w:rPr>
                <w:b/>
                <w:bCs/>
              </w:rPr>
            </w:pPr>
          </w:p>
        </w:tc>
      </w:tr>
      <w:tr w:rsidR="005158F9" w:rsidRPr="00F455EA" w14:paraId="31790C04" w14:textId="77777777" w:rsidTr="002952B0">
        <w:trPr>
          <w:trHeight w:val="355"/>
        </w:trPr>
        <w:tc>
          <w:tcPr>
            <w:tcW w:w="0" w:type="auto"/>
          </w:tcPr>
          <w:p w14:paraId="4524FC2B" w14:textId="77777777" w:rsidR="00F455EA" w:rsidRPr="00F455EA" w:rsidRDefault="00F455EA" w:rsidP="00F455EA">
            <w:pPr>
              <w:pStyle w:val="NoSpacing"/>
              <w:rPr>
                <w:b/>
                <w:bCs/>
              </w:rPr>
            </w:pPr>
          </w:p>
        </w:tc>
        <w:tc>
          <w:tcPr>
            <w:tcW w:w="0" w:type="auto"/>
          </w:tcPr>
          <w:p w14:paraId="36EAE074" w14:textId="77777777" w:rsidR="00F455EA" w:rsidRPr="00F455EA" w:rsidRDefault="00F455EA" w:rsidP="00F455EA">
            <w:pPr>
              <w:pStyle w:val="NoSpacing"/>
              <w:rPr>
                <w:b/>
                <w:bCs/>
                <w:i/>
                <w:iCs/>
              </w:rPr>
            </w:pPr>
            <w:r w:rsidRPr="00F455EA">
              <w:rPr>
                <w:b/>
                <w:bCs/>
                <w:i/>
                <w:iCs/>
              </w:rPr>
              <w:t>M</w:t>
            </w:r>
          </w:p>
        </w:tc>
        <w:tc>
          <w:tcPr>
            <w:tcW w:w="0" w:type="auto"/>
          </w:tcPr>
          <w:p w14:paraId="6BB18C05" w14:textId="77777777" w:rsidR="00F455EA" w:rsidRPr="00F455EA" w:rsidRDefault="00F455EA" w:rsidP="00F455EA">
            <w:pPr>
              <w:pStyle w:val="NoSpacing"/>
              <w:rPr>
                <w:b/>
                <w:bCs/>
                <w:i/>
                <w:iCs/>
              </w:rPr>
            </w:pPr>
            <w:r w:rsidRPr="00F455EA">
              <w:rPr>
                <w:b/>
                <w:bCs/>
                <w:i/>
                <w:iCs/>
              </w:rPr>
              <w:t>SD</w:t>
            </w:r>
          </w:p>
        </w:tc>
        <w:tc>
          <w:tcPr>
            <w:tcW w:w="0" w:type="auto"/>
          </w:tcPr>
          <w:p w14:paraId="15557968" w14:textId="77777777" w:rsidR="00F455EA" w:rsidRPr="00F455EA" w:rsidRDefault="00F455EA" w:rsidP="00F455EA">
            <w:pPr>
              <w:pStyle w:val="NoSpacing"/>
              <w:rPr>
                <w:b/>
                <w:bCs/>
                <w:i/>
                <w:iCs/>
              </w:rPr>
            </w:pPr>
            <w:r w:rsidRPr="00F455EA">
              <w:rPr>
                <w:b/>
                <w:bCs/>
                <w:i/>
                <w:iCs/>
              </w:rPr>
              <w:t>n</w:t>
            </w:r>
          </w:p>
        </w:tc>
        <w:tc>
          <w:tcPr>
            <w:tcW w:w="0" w:type="auto"/>
          </w:tcPr>
          <w:p w14:paraId="0B1F3951" w14:textId="77777777" w:rsidR="00F455EA" w:rsidRPr="00F455EA" w:rsidRDefault="00F455EA" w:rsidP="00F455EA">
            <w:pPr>
              <w:pStyle w:val="NoSpacing"/>
              <w:rPr>
                <w:b/>
                <w:bCs/>
              </w:rPr>
            </w:pPr>
          </w:p>
        </w:tc>
        <w:tc>
          <w:tcPr>
            <w:tcW w:w="0" w:type="auto"/>
          </w:tcPr>
          <w:p w14:paraId="47E6842F" w14:textId="77777777" w:rsidR="00F455EA" w:rsidRPr="00F455EA" w:rsidRDefault="00F455EA" w:rsidP="00F455EA">
            <w:pPr>
              <w:pStyle w:val="NoSpacing"/>
              <w:rPr>
                <w:b/>
                <w:bCs/>
                <w:i/>
                <w:iCs/>
              </w:rPr>
            </w:pPr>
            <w:r w:rsidRPr="00F455EA">
              <w:rPr>
                <w:b/>
                <w:bCs/>
                <w:i/>
                <w:iCs/>
              </w:rPr>
              <w:t>M</w:t>
            </w:r>
          </w:p>
        </w:tc>
        <w:tc>
          <w:tcPr>
            <w:tcW w:w="0" w:type="auto"/>
          </w:tcPr>
          <w:p w14:paraId="7169DBE8" w14:textId="77777777" w:rsidR="00F455EA" w:rsidRPr="00F455EA" w:rsidRDefault="00F455EA" w:rsidP="00F455EA">
            <w:pPr>
              <w:pStyle w:val="NoSpacing"/>
              <w:rPr>
                <w:b/>
                <w:bCs/>
                <w:i/>
                <w:iCs/>
              </w:rPr>
            </w:pPr>
            <w:r w:rsidRPr="00F455EA">
              <w:rPr>
                <w:b/>
                <w:bCs/>
                <w:i/>
                <w:iCs/>
              </w:rPr>
              <w:t>SD</w:t>
            </w:r>
          </w:p>
        </w:tc>
        <w:tc>
          <w:tcPr>
            <w:tcW w:w="0" w:type="auto"/>
          </w:tcPr>
          <w:p w14:paraId="05265583" w14:textId="77777777" w:rsidR="00F455EA" w:rsidRPr="00F455EA" w:rsidRDefault="00F455EA" w:rsidP="00F455EA">
            <w:pPr>
              <w:pStyle w:val="NoSpacing"/>
              <w:rPr>
                <w:b/>
                <w:bCs/>
                <w:i/>
                <w:iCs/>
              </w:rPr>
            </w:pPr>
            <w:r w:rsidRPr="00F455EA">
              <w:rPr>
                <w:b/>
                <w:bCs/>
                <w:i/>
                <w:iCs/>
              </w:rPr>
              <w:t>n</w:t>
            </w:r>
          </w:p>
        </w:tc>
        <w:tc>
          <w:tcPr>
            <w:tcW w:w="0" w:type="auto"/>
          </w:tcPr>
          <w:p w14:paraId="2AAB2A61" w14:textId="77777777" w:rsidR="00F455EA" w:rsidRPr="00F455EA" w:rsidRDefault="00F455EA" w:rsidP="00F455EA">
            <w:pPr>
              <w:pStyle w:val="NoSpacing"/>
              <w:rPr>
                <w:b/>
                <w:bCs/>
              </w:rPr>
            </w:pPr>
            <w:r w:rsidRPr="00F455EA">
              <w:rPr>
                <w:b/>
                <w:bCs/>
              </w:rPr>
              <w:t>95% CI</w:t>
            </w:r>
          </w:p>
        </w:tc>
        <w:tc>
          <w:tcPr>
            <w:tcW w:w="0" w:type="auto"/>
          </w:tcPr>
          <w:p w14:paraId="03859007" w14:textId="77777777" w:rsidR="00F455EA" w:rsidRPr="00F455EA" w:rsidRDefault="00F455EA" w:rsidP="00F455EA">
            <w:pPr>
              <w:pStyle w:val="NoSpacing"/>
              <w:rPr>
                <w:b/>
                <w:bCs/>
                <w:i/>
                <w:iCs/>
              </w:rPr>
            </w:pPr>
            <w:r w:rsidRPr="00F455EA">
              <w:rPr>
                <w:b/>
                <w:bCs/>
                <w:i/>
                <w:iCs/>
              </w:rPr>
              <w:t>t</w:t>
            </w:r>
          </w:p>
        </w:tc>
        <w:tc>
          <w:tcPr>
            <w:tcW w:w="0" w:type="auto"/>
          </w:tcPr>
          <w:p w14:paraId="35F30647" w14:textId="77777777" w:rsidR="00F455EA" w:rsidRPr="00F455EA" w:rsidRDefault="00F455EA" w:rsidP="00F455EA">
            <w:pPr>
              <w:pStyle w:val="NoSpacing"/>
              <w:rPr>
                <w:b/>
                <w:bCs/>
                <w:i/>
                <w:iCs/>
              </w:rPr>
            </w:pPr>
            <w:r w:rsidRPr="00F455EA">
              <w:rPr>
                <w:b/>
                <w:bCs/>
                <w:i/>
                <w:iCs/>
              </w:rPr>
              <w:t>df</w:t>
            </w:r>
          </w:p>
        </w:tc>
        <w:tc>
          <w:tcPr>
            <w:tcW w:w="0" w:type="auto"/>
          </w:tcPr>
          <w:p w14:paraId="4744B24D" w14:textId="77777777" w:rsidR="00F455EA" w:rsidRPr="00F455EA" w:rsidRDefault="00F455EA" w:rsidP="00F455EA">
            <w:pPr>
              <w:pStyle w:val="NoSpacing"/>
              <w:rPr>
                <w:b/>
                <w:bCs/>
                <w:i/>
                <w:iCs/>
              </w:rPr>
            </w:pPr>
            <w:r w:rsidRPr="00F455EA">
              <w:rPr>
                <w:b/>
                <w:bCs/>
              </w:rPr>
              <w:t xml:space="preserve">Cohen’s </w:t>
            </w:r>
            <w:r w:rsidRPr="00F455EA">
              <w:rPr>
                <w:b/>
                <w:bCs/>
                <w:i/>
                <w:iCs/>
              </w:rPr>
              <w:t>d</w:t>
            </w:r>
          </w:p>
        </w:tc>
      </w:tr>
      <w:tr w:rsidR="005158F9" w:rsidRPr="00F455EA" w14:paraId="55696D8C" w14:textId="77777777" w:rsidTr="002952B0">
        <w:trPr>
          <w:trHeight w:val="280"/>
        </w:trPr>
        <w:tc>
          <w:tcPr>
            <w:tcW w:w="0" w:type="auto"/>
          </w:tcPr>
          <w:p w14:paraId="0BCEB957" w14:textId="77777777" w:rsidR="00F455EA" w:rsidRPr="00F455EA" w:rsidRDefault="00F455EA" w:rsidP="00F455EA">
            <w:pPr>
              <w:pStyle w:val="NoSpacing"/>
            </w:pPr>
            <w:r w:rsidRPr="00F455EA">
              <w:t>M PSI</w:t>
            </w:r>
          </w:p>
        </w:tc>
        <w:tc>
          <w:tcPr>
            <w:tcW w:w="0" w:type="auto"/>
          </w:tcPr>
          <w:p w14:paraId="14A907D0" w14:textId="77777777" w:rsidR="00F455EA" w:rsidRPr="00F455EA" w:rsidRDefault="00F455EA" w:rsidP="00F455EA">
            <w:pPr>
              <w:pStyle w:val="NoSpacing"/>
              <w:rPr>
                <w:i/>
                <w:iCs/>
              </w:rPr>
            </w:pPr>
            <w:r w:rsidRPr="00F455EA">
              <w:rPr>
                <w:i/>
                <w:iCs/>
              </w:rPr>
              <w:t>85.23</w:t>
            </w:r>
          </w:p>
        </w:tc>
        <w:tc>
          <w:tcPr>
            <w:tcW w:w="0" w:type="auto"/>
          </w:tcPr>
          <w:p w14:paraId="339D7BCC" w14:textId="77777777" w:rsidR="00F455EA" w:rsidRPr="00F455EA" w:rsidRDefault="00F455EA" w:rsidP="00F455EA">
            <w:pPr>
              <w:pStyle w:val="NoSpacing"/>
            </w:pPr>
            <w:r w:rsidRPr="00F455EA">
              <w:t>18.17</w:t>
            </w:r>
          </w:p>
        </w:tc>
        <w:tc>
          <w:tcPr>
            <w:tcW w:w="0" w:type="auto"/>
          </w:tcPr>
          <w:p w14:paraId="3BA314A8" w14:textId="77777777" w:rsidR="00F455EA" w:rsidRPr="00F455EA" w:rsidRDefault="00F455EA" w:rsidP="00F455EA">
            <w:pPr>
              <w:pStyle w:val="NoSpacing"/>
            </w:pPr>
            <w:r w:rsidRPr="00F455EA">
              <w:t>30</w:t>
            </w:r>
          </w:p>
        </w:tc>
        <w:tc>
          <w:tcPr>
            <w:tcW w:w="0" w:type="auto"/>
          </w:tcPr>
          <w:p w14:paraId="7A5C38CF" w14:textId="77777777" w:rsidR="00F455EA" w:rsidRPr="00F455EA" w:rsidRDefault="00F455EA" w:rsidP="00F455EA">
            <w:pPr>
              <w:pStyle w:val="NoSpacing"/>
            </w:pPr>
          </w:p>
        </w:tc>
        <w:tc>
          <w:tcPr>
            <w:tcW w:w="0" w:type="auto"/>
          </w:tcPr>
          <w:p w14:paraId="3EFC5DDA" w14:textId="77777777" w:rsidR="00F455EA" w:rsidRPr="00F455EA" w:rsidRDefault="00F455EA" w:rsidP="00F455EA">
            <w:pPr>
              <w:pStyle w:val="NoSpacing"/>
              <w:rPr>
                <w:i/>
                <w:iCs/>
              </w:rPr>
            </w:pPr>
            <w:r w:rsidRPr="00F455EA">
              <w:rPr>
                <w:i/>
                <w:iCs/>
              </w:rPr>
              <w:t>74.13</w:t>
            </w:r>
          </w:p>
        </w:tc>
        <w:tc>
          <w:tcPr>
            <w:tcW w:w="0" w:type="auto"/>
          </w:tcPr>
          <w:p w14:paraId="72A94963" w14:textId="77777777" w:rsidR="00F455EA" w:rsidRPr="00F455EA" w:rsidRDefault="00F455EA" w:rsidP="00F455EA">
            <w:pPr>
              <w:pStyle w:val="NoSpacing"/>
            </w:pPr>
            <w:r w:rsidRPr="00F455EA">
              <w:t>19.42</w:t>
            </w:r>
          </w:p>
        </w:tc>
        <w:tc>
          <w:tcPr>
            <w:tcW w:w="0" w:type="auto"/>
          </w:tcPr>
          <w:p w14:paraId="637148F5" w14:textId="77777777" w:rsidR="00F455EA" w:rsidRPr="00F455EA" w:rsidRDefault="00F455EA" w:rsidP="00F455EA">
            <w:pPr>
              <w:pStyle w:val="NoSpacing"/>
            </w:pPr>
            <w:r w:rsidRPr="00F455EA">
              <w:t>30</w:t>
            </w:r>
          </w:p>
        </w:tc>
        <w:tc>
          <w:tcPr>
            <w:tcW w:w="0" w:type="auto"/>
          </w:tcPr>
          <w:p w14:paraId="0C08D1B9" w14:textId="77777777" w:rsidR="00F455EA" w:rsidRPr="00F455EA" w:rsidRDefault="00F455EA" w:rsidP="00F455EA">
            <w:pPr>
              <w:pStyle w:val="NoSpacing"/>
            </w:pPr>
            <w:r w:rsidRPr="00F455EA">
              <w:t>[4.76, 17.44]</w:t>
            </w:r>
          </w:p>
        </w:tc>
        <w:tc>
          <w:tcPr>
            <w:tcW w:w="0" w:type="auto"/>
          </w:tcPr>
          <w:p w14:paraId="49625D34" w14:textId="77777777" w:rsidR="00F455EA" w:rsidRPr="00F455EA" w:rsidRDefault="00F455EA" w:rsidP="00F455EA">
            <w:pPr>
              <w:pStyle w:val="NoSpacing"/>
            </w:pPr>
            <w:r w:rsidRPr="00F455EA">
              <w:t>3.58***</w:t>
            </w:r>
          </w:p>
        </w:tc>
        <w:tc>
          <w:tcPr>
            <w:tcW w:w="0" w:type="auto"/>
          </w:tcPr>
          <w:p w14:paraId="5D9E7A2B" w14:textId="77777777" w:rsidR="00F455EA" w:rsidRPr="00F455EA" w:rsidRDefault="00F455EA" w:rsidP="00F455EA">
            <w:pPr>
              <w:pStyle w:val="NoSpacing"/>
            </w:pPr>
            <w:r w:rsidRPr="00F455EA">
              <w:t>29</w:t>
            </w:r>
          </w:p>
        </w:tc>
        <w:tc>
          <w:tcPr>
            <w:tcW w:w="0" w:type="auto"/>
          </w:tcPr>
          <w:p w14:paraId="23C19B24" w14:textId="77777777" w:rsidR="00F455EA" w:rsidRPr="00F455EA" w:rsidRDefault="00F455EA" w:rsidP="00F455EA">
            <w:pPr>
              <w:pStyle w:val="NoSpacing"/>
            </w:pPr>
            <w:r w:rsidRPr="00F455EA">
              <w:t>0.65</w:t>
            </w:r>
          </w:p>
        </w:tc>
      </w:tr>
      <w:tr w:rsidR="005158F9" w:rsidRPr="00F455EA" w14:paraId="6D5FC05C" w14:textId="77777777" w:rsidTr="002952B0">
        <w:trPr>
          <w:trHeight w:val="230"/>
        </w:trPr>
        <w:tc>
          <w:tcPr>
            <w:tcW w:w="0" w:type="auto"/>
          </w:tcPr>
          <w:p w14:paraId="489C79E9" w14:textId="77777777" w:rsidR="00F455EA" w:rsidRPr="00F455EA" w:rsidRDefault="00F455EA" w:rsidP="00F455EA">
            <w:pPr>
              <w:pStyle w:val="NoSpacing"/>
            </w:pPr>
            <w:r w:rsidRPr="00F455EA">
              <w:t>M PSOC</w:t>
            </w:r>
          </w:p>
        </w:tc>
        <w:tc>
          <w:tcPr>
            <w:tcW w:w="0" w:type="auto"/>
          </w:tcPr>
          <w:p w14:paraId="35FDC89F" w14:textId="77777777" w:rsidR="00F455EA" w:rsidRPr="00F455EA" w:rsidRDefault="00F455EA" w:rsidP="00F455EA">
            <w:pPr>
              <w:pStyle w:val="NoSpacing"/>
              <w:rPr>
                <w:i/>
                <w:iCs/>
              </w:rPr>
            </w:pPr>
            <w:r w:rsidRPr="00F455EA">
              <w:rPr>
                <w:i/>
                <w:iCs/>
              </w:rPr>
              <w:t>4.35</w:t>
            </w:r>
          </w:p>
        </w:tc>
        <w:tc>
          <w:tcPr>
            <w:tcW w:w="0" w:type="auto"/>
          </w:tcPr>
          <w:p w14:paraId="64064198" w14:textId="77777777" w:rsidR="00F455EA" w:rsidRPr="00F455EA" w:rsidRDefault="00F455EA" w:rsidP="00F455EA">
            <w:pPr>
              <w:pStyle w:val="NoSpacing"/>
            </w:pPr>
            <w:r w:rsidRPr="00F455EA">
              <w:t>0.74</w:t>
            </w:r>
          </w:p>
        </w:tc>
        <w:tc>
          <w:tcPr>
            <w:tcW w:w="0" w:type="auto"/>
          </w:tcPr>
          <w:p w14:paraId="5F0F4925" w14:textId="77777777" w:rsidR="00F455EA" w:rsidRPr="00F455EA" w:rsidRDefault="00F455EA" w:rsidP="00F455EA">
            <w:pPr>
              <w:pStyle w:val="NoSpacing"/>
            </w:pPr>
            <w:r w:rsidRPr="00F455EA">
              <w:t>30</w:t>
            </w:r>
          </w:p>
        </w:tc>
        <w:tc>
          <w:tcPr>
            <w:tcW w:w="0" w:type="auto"/>
          </w:tcPr>
          <w:p w14:paraId="687603FB" w14:textId="77777777" w:rsidR="00F455EA" w:rsidRPr="00F455EA" w:rsidRDefault="00F455EA" w:rsidP="00F455EA">
            <w:pPr>
              <w:pStyle w:val="NoSpacing"/>
            </w:pPr>
          </w:p>
        </w:tc>
        <w:tc>
          <w:tcPr>
            <w:tcW w:w="0" w:type="auto"/>
          </w:tcPr>
          <w:p w14:paraId="12839179" w14:textId="77777777" w:rsidR="00F455EA" w:rsidRPr="00F455EA" w:rsidRDefault="00F455EA" w:rsidP="00F455EA">
            <w:pPr>
              <w:pStyle w:val="NoSpacing"/>
              <w:rPr>
                <w:i/>
                <w:iCs/>
              </w:rPr>
            </w:pPr>
            <w:r w:rsidRPr="00F455EA">
              <w:rPr>
                <w:i/>
                <w:iCs/>
              </w:rPr>
              <w:t>4.91</w:t>
            </w:r>
          </w:p>
        </w:tc>
        <w:tc>
          <w:tcPr>
            <w:tcW w:w="0" w:type="auto"/>
          </w:tcPr>
          <w:p w14:paraId="5C7087E7" w14:textId="77777777" w:rsidR="00F455EA" w:rsidRPr="00F455EA" w:rsidRDefault="00F455EA" w:rsidP="00F455EA">
            <w:pPr>
              <w:pStyle w:val="NoSpacing"/>
            </w:pPr>
            <w:r w:rsidRPr="00F455EA">
              <w:t>0.63</w:t>
            </w:r>
          </w:p>
        </w:tc>
        <w:tc>
          <w:tcPr>
            <w:tcW w:w="0" w:type="auto"/>
          </w:tcPr>
          <w:p w14:paraId="641A848E" w14:textId="77777777" w:rsidR="00F455EA" w:rsidRPr="00F455EA" w:rsidRDefault="00F455EA" w:rsidP="00F455EA">
            <w:pPr>
              <w:pStyle w:val="NoSpacing"/>
            </w:pPr>
            <w:r w:rsidRPr="00F455EA">
              <w:t>30</w:t>
            </w:r>
          </w:p>
        </w:tc>
        <w:tc>
          <w:tcPr>
            <w:tcW w:w="0" w:type="auto"/>
          </w:tcPr>
          <w:p w14:paraId="685C1B0B" w14:textId="77777777" w:rsidR="00F455EA" w:rsidRPr="00F455EA" w:rsidRDefault="00F455EA" w:rsidP="00F455EA">
            <w:pPr>
              <w:pStyle w:val="NoSpacing"/>
            </w:pPr>
            <w:r w:rsidRPr="00F455EA">
              <w:t>[–0.82, –0.30]</w:t>
            </w:r>
          </w:p>
        </w:tc>
        <w:tc>
          <w:tcPr>
            <w:tcW w:w="0" w:type="auto"/>
          </w:tcPr>
          <w:p w14:paraId="30865E92" w14:textId="77777777" w:rsidR="00F455EA" w:rsidRPr="00F455EA" w:rsidRDefault="00F455EA" w:rsidP="00F455EA">
            <w:pPr>
              <w:pStyle w:val="NoSpacing"/>
            </w:pPr>
            <w:r w:rsidRPr="00F455EA">
              <w:t>−4.43***</w:t>
            </w:r>
          </w:p>
        </w:tc>
        <w:tc>
          <w:tcPr>
            <w:tcW w:w="0" w:type="auto"/>
          </w:tcPr>
          <w:p w14:paraId="2DE6DE42" w14:textId="77777777" w:rsidR="00F455EA" w:rsidRPr="00F455EA" w:rsidRDefault="00F455EA" w:rsidP="00F455EA">
            <w:pPr>
              <w:pStyle w:val="NoSpacing"/>
            </w:pPr>
            <w:r w:rsidRPr="00F455EA">
              <w:t>29</w:t>
            </w:r>
          </w:p>
        </w:tc>
        <w:tc>
          <w:tcPr>
            <w:tcW w:w="0" w:type="auto"/>
          </w:tcPr>
          <w:p w14:paraId="0CE94DF1" w14:textId="77777777" w:rsidR="00F455EA" w:rsidRPr="00F455EA" w:rsidRDefault="00F455EA" w:rsidP="00F455EA">
            <w:pPr>
              <w:pStyle w:val="NoSpacing"/>
            </w:pPr>
            <w:r w:rsidRPr="00F455EA">
              <w:t>0.81</w:t>
            </w:r>
          </w:p>
        </w:tc>
      </w:tr>
      <w:tr w:rsidR="005158F9" w:rsidRPr="00F455EA" w14:paraId="0D74EBD1" w14:textId="77777777" w:rsidTr="002952B0">
        <w:trPr>
          <w:trHeight w:val="230"/>
        </w:trPr>
        <w:tc>
          <w:tcPr>
            <w:tcW w:w="0" w:type="auto"/>
          </w:tcPr>
          <w:p w14:paraId="0D6370E7" w14:textId="77777777" w:rsidR="00F455EA" w:rsidRPr="00F455EA" w:rsidRDefault="00F455EA" w:rsidP="00F455EA">
            <w:pPr>
              <w:pStyle w:val="NoSpacing"/>
            </w:pPr>
            <w:r w:rsidRPr="00F455EA">
              <w:t>M CHAOS</w:t>
            </w:r>
          </w:p>
        </w:tc>
        <w:tc>
          <w:tcPr>
            <w:tcW w:w="0" w:type="auto"/>
          </w:tcPr>
          <w:p w14:paraId="3AEEFB8D" w14:textId="77777777" w:rsidR="00F455EA" w:rsidRPr="00F455EA" w:rsidRDefault="00F455EA" w:rsidP="00F455EA">
            <w:pPr>
              <w:pStyle w:val="NoSpacing"/>
              <w:rPr>
                <w:i/>
                <w:iCs/>
              </w:rPr>
            </w:pPr>
            <w:r w:rsidRPr="00F455EA">
              <w:rPr>
                <w:i/>
                <w:iCs/>
              </w:rPr>
              <w:t>43.60</w:t>
            </w:r>
          </w:p>
        </w:tc>
        <w:tc>
          <w:tcPr>
            <w:tcW w:w="0" w:type="auto"/>
          </w:tcPr>
          <w:p w14:paraId="7D351B72" w14:textId="77777777" w:rsidR="00F455EA" w:rsidRPr="00F455EA" w:rsidRDefault="00F455EA" w:rsidP="00F455EA">
            <w:pPr>
              <w:pStyle w:val="NoSpacing"/>
            </w:pPr>
            <w:r w:rsidRPr="00F455EA">
              <w:t>9.77</w:t>
            </w:r>
          </w:p>
        </w:tc>
        <w:tc>
          <w:tcPr>
            <w:tcW w:w="0" w:type="auto"/>
          </w:tcPr>
          <w:p w14:paraId="796AF2B3" w14:textId="77777777" w:rsidR="00F455EA" w:rsidRPr="00F455EA" w:rsidRDefault="00F455EA" w:rsidP="00F455EA">
            <w:pPr>
              <w:pStyle w:val="NoSpacing"/>
            </w:pPr>
            <w:r w:rsidRPr="00F455EA">
              <w:t>30</w:t>
            </w:r>
          </w:p>
        </w:tc>
        <w:tc>
          <w:tcPr>
            <w:tcW w:w="0" w:type="auto"/>
          </w:tcPr>
          <w:p w14:paraId="16EDBAD6" w14:textId="77777777" w:rsidR="00F455EA" w:rsidRPr="00F455EA" w:rsidRDefault="00F455EA" w:rsidP="00F455EA">
            <w:pPr>
              <w:pStyle w:val="NoSpacing"/>
            </w:pPr>
          </w:p>
        </w:tc>
        <w:tc>
          <w:tcPr>
            <w:tcW w:w="0" w:type="auto"/>
          </w:tcPr>
          <w:p w14:paraId="39255652" w14:textId="77777777" w:rsidR="00F455EA" w:rsidRPr="00F455EA" w:rsidRDefault="00F455EA" w:rsidP="00F455EA">
            <w:pPr>
              <w:pStyle w:val="NoSpacing"/>
              <w:rPr>
                <w:i/>
                <w:iCs/>
              </w:rPr>
            </w:pPr>
            <w:r w:rsidRPr="00F455EA">
              <w:rPr>
                <w:i/>
                <w:iCs/>
              </w:rPr>
              <w:t>38.53</w:t>
            </w:r>
          </w:p>
        </w:tc>
        <w:tc>
          <w:tcPr>
            <w:tcW w:w="0" w:type="auto"/>
          </w:tcPr>
          <w:p w14:paraId="686D5291" w14:textId="77777777" w:rsidR="00F455EA" w:rsidRPr="00F455EA" w:rsidRDefault="00F455EA" w:rsidP="00F455EA">
            <w:pPr>
              <w:pStyle w:val="NoSpacing"/>
            </w:pPr>
            <w:r w:rsidRPr="00F455EA">
              <w:t>9.90</w:t>
            </w:r>
          </w:p>
        </w:tc>
        <w:tc>
          <w:tcPr>
            <w:tcW w:w="0" w:type="auto"/>
          </w:tcPr>
          <w:p w14:paraId="45056928" w14:textId="77777777" w:rsidR="00F455EA" w:rsidRPr="00F455EA" w:rsidRDefault="00F455EA" w:rsidP="00F455EA">
            <w:pPr>
              <w:pStyle w:val="NoSpacing"/>
            </w:pPr>
            <w:r w:rsidRPr="00F455EA">
              <w:t>30</w:t>
            </w:r>
          </w:p>
        </w:tc>
        <w:tc>
          <w:tcPr>
            <w:tcW w:w="0" w:type="auto"/>
          </w:tcPr>
          <w:p w14:paraId="7B9FED42" w14:textId="77777777" w:rsidR="00F455EA" w:rsidRPr="00F455EA" w:rsidRDefault="00F455EA" w:rsidP="00F455EA">
            <w:pPr>
              <w:pStyle w:val="NoSpacing"/>
            </w:pPr>
            <w:r w:rsidRPr="00F455EA">
              <w:t>[1.29, 8.84]</w:t>
            </w:r>
          </w:p>
        </w:tc>
        <w:tc>
          <w:tcPr>
            <w:tcW w:w="0" w:type="auto"/>
          </w:tcPr>
          <w:p w14:paraId="415DF2FD" w14:textId="77777777" w:rsidR="00F455EA" w:rsidRPr="00F455EA" w:rsidRDefault="00F455EA" w:rsidP="00F455EA">
            <w:pPr>
              <w:pStyle w:val="NoSpacing"/>
            </w:pPr>
            <w:r w:rsidRPr="00F455EA">
              <w:t>2.75**</w:t>
            </w:r>
          </w:p>
        </w:tc>
        <w:tc>
          <w:tcPr>
            <w:tcW w:w="0" w:type="auto"/>
          </w:tcPr>
          <w:p w14:paraId="4C3FB10C" w14:textId="77777777" w:rsidR="00F455EA" w:rsidRPr="00F455EA" w:rsidRDefault="00F455EA" w:rsidP="00F455EA">
            <w:pPr>
              <w:pStyle w:val="NoSpacing"/>
            </w:pPr>
            <w:r w:rsidRPr="00F455EA">
              <w:t>29</w:t>
            </w:r>
          </w:p>
        </w:tc>
        <w:tc>
          <w:tcPr>
            <w:tcW w:w="0" w:type="auto"/>
          </w:tcPr>
          <w:p w14:paraId="4277EABB" w14:textId="77777777" w:rsidR="00F455EA" w:rsidRPr="00F455EA" w:rsidRDefault="00F455EA" w:rsidP="00F455EA">
            <w:pPr>
              <w:pStyle w:val="NoSpacing"/>
            </w:pPr>
            <w:r w:rsidRPr="00F455EA">
              <w:t>0.50</w:t>
            </w:r>
          </w:p>
        </w:tc>
      </w:tr>
      <w:tr w:rsidR="005158F9" w:rsidRPr="00F455EA" w14:paraId="5371BA18" w14:textId="77777777" w:rsidTr="002952B0">
        <w:trPr>
          <w:trHeight w:val="230"/>
        </w:trPr>
        <w:tc>
          <w:tcPr>
            <w:tcW w:w="0" w:type="auto"/>
          </w:tcPr>
          <w:p w14:paraId="59876945" w14:textId="77777777" w:rsidR="00F455EA" w:rsidRPr="00F455EA" w:rsidRDefault="00F455EA" w:rsidP="00F455EA">
            <w:pPr>
              <w:pStyle w:val="NoSpacing"/>
            </w:pPr>
            <w:r w:rsidRPr="00F455EA">
              <w:t>F PSI</w:t>
            </w:r>
          </w:p>
        </w:tc>
        <w:tc>
          <w:tcPr>
            <w:tcW w:w="0" w:type="auto"/>
          </w:tcPr>
          <w:p w14:paraId="3ADE6CAF" w14:textId="77777777" w:rsidR="00F455EA" w:rsidRPr="00F455EA" w:rsidRDefault="00F455EA" w:rsidP="00F455EA">
            <w:pPr>
              <w:pStyle w:val="NoSpacing"/>
              <w:rPr>
                <w:i/>
                <w:iCs/>
              </w:rPr>
            </w:pPr>
            <w:r w:rsidRPr="00F455EA">
              <w:rPr>
                <w:i/>
                <w:iCs/>
              </w:rPr>
              <w:t>82.00</w:t>
            </w:r>
          </w:p>
        </w:tc>
        <w:tc>
          <w:tcPr>
            <w:tcW w:w="0" w:type="auto"/>
          </w:tcPr>
          <w:p w14:paraId="01FC4FA4" w14:textId="77777777" w:rsidR="00F455EA" w:rsidRPr="00F455EA" w:rsidRDefault="00F455EA" w:rsidP="00F455EA">
            <w:pPr>
              <w:pStyle w:val="NoSpacing"/>
            </w:pPr>
            <w:r w:rsidRPr="00F455EA">
              <w:t>25.32</w:t>
            </w:r>
          </w:p>
        </w:tc>
        <w:tc>
          <w:tcPr>
            <w:tcW w:w="0" w:type="auto"/>
          </w:tcPr>
          <w:p w14:paraId="478806CB" w14:textId="77777777" w:rsidR="00F455EA" w:rsidRPr="00F455EA" w:rsidRDefault="00F455EA" w:rsidP="00F455EA">
            <w:pPr>
              <w:pStyle w:val="NoSpacing"/>
            </w:pPr>
            <w:r w:rsidRPr="00F455EA">
              <w:t>16</w:t>
            </w:r>
          </w:p>
        </w:tc>
        <w:tc>
          <w:tcPr>
            <w:tcW w:w="0" w:type="auto"/>
          </w:tcPr>
          <w:p w14:paraId="487966C6" w14:textId="77777777" w:rsidR="00F455EA" w:rsidRPr="00F455EA" w:rsidRDefault="00F455EA" w:rsidP="00F455EA">
            <w:pPr>
              <w:pStyle w:val="NoSpacing"/>
            </w:pPr>
          </w:p>
        </w:tc>
        <w:tc>
          <w:tcPr>
            <w:tcW w:w="0" w:type="auto"/>
          </w:tcPr>
          <w:p w14:paraId="7468A047" w14:textId="77777777" w:rsidR="00F455EA" w:rsidRPr="00F455EA" w:rsidRDefault="00F455EA" w:rsidP="00F455EA">
            <w:pPr>
              <w:pStyle w:val="NoSpacing"/>
              <w:rPr>
                <w:i/>
                <w:iCs/>
              </w:rPr>
            </w:pPr>
            <w:r w:rsidRPr="00F455EA">
              <w:rPr>
                <w:i/>
                <w:iCs/>
              </w:rPr>
              <w:t>75.69</w:t>
            </w:r>
          </w:p>
        </w:tc>
        <w:tc>
          <w:tcPr>
            <w:tcW w:w="0" w:type="auto"/>
          </w:tcPr>
          <w:p w14:paraId="6CD9C8A3" w14:textId="77777777" w:rsidR="00F455EA" w:rsidRPr="00F455EA" w:rsidRDefault="00F455EA" w:rsidP="00F455EA">
            <w:pPr>
              <w:pStyle w:val="NoSpacing"/>
            </w:pPr>
            <w:r w:rsidRPr="00F455EA">
              <w:t>20.88</w:t>
            </w:r>
          </w:p>
        </w:tc>
        <w:tc>
          <w:tcPr>
            <w:tcW w:w="0" w:type="auto"/>
          </w:tcPr>
          <w:p w14:paraId="79F3175D" w14:textId="77777777" w:rsidR="00F455EA" w:rsidRPr="00F455EA" w:rsidRDefault="00F455EA" w:rsidP="00F455EA">
            <w:pPr>
              <w:pStyle w:val="NoSpacing"/>
            </w:pPr>
            <w:r w:rsidRPr="00F455EA">
              <w:t>16</w:t>
            </w:r>
          </w:p>
        </w:tc>
        <w:tc>
          <w:tcPr>
            <w:tcW w:w="0" w:type="auto"/>
          </w:tcPr>
          <w:p w14:paraId="7DD43840" w14:textId="77777777" w:rsidR="00F455EA" w:rsidRPr="00F455EA" w:rsidRDefault="00F455EA" w:rsidP="00F455EA">
            <w:pPr>
              <w:pStyle w:val="NoSpacing"/>
            </w:pPr>
            <w:r w:rsidRPr="00F455EA">
              <w:t>[0.13, 12.50]</w:t>
            </w:r>
          </w:p>
        </w:tc>
        <w:tc>
          <w:tcPr>
            <w:tcW w:w="0" w:type="auto"/>
          </w:tcPr>
          <w:p w14:paraId="517EFDFD" w14:textId="77777777" w:rsidR="00F455EA" w:rsidRPr="00F455EA" w:rsidRDefault="00F455EA" w:rsidP="00F455EA">
            <w:pPr>
              <w:pStyle w:val="NoSpacing"/>
            </w:pPr>
            <w:r w:rsidRPr="00F455EA">
              <w:t>2.18*</w:t>
            </w:r>
          </w:p>
        </w:tc>
        <w:tc>
          <w:tcPr>
            <w:tcW w:w="0" w:type="auto"/>
          </w:tcPr>
          <w:p w14:paraId="0FE2ADCD" w14:textId="77777777" w:rsidR="00F455EA" w:rsidRPr="00F455EA" w:rsidRDefault="00F455EA" w:rsidP="00F455EA">
            <w:pPr>
              <w:pStyle w:val="NoSpacing"/>
            </w:pPr>
            <w:r w:rsidRPr="00F455EA">
              <w:t>15</w:t>
            </w:r>
          </w:p>
        </w:tc>
        <w:tc>
          <w:tcPr>
            <w:tcW w:w="0" w:type="auto"/>
          </w:tcPr>
          <w:p w14:paraId="0632519D" w14:textId="77777777" w:rsidR="00F455EA" w:rsidRPr="00F455EA" w:rsidRDefault="00F455EA" w:rsidP="00F455EA">
            <w:pPr>
              <w:pStyle w:val="NoSpacing"/>
            </w:pPr>
            <w:r w:rsidRPr="00F455EA">
              <w:t>0.54</w:t>
            </w:r>
          </w:p>
        </w:tc>
      </w:tr>
      <w:tr w:rsidR="005158F9" w:rsidRPr="00F455EA" w14:paraId="488FF04E" w14:textId="77777777" w:rsidTr="002952B0">
        <w:trPr>
          <w:trHeight w:val="230"/>
        </w:trPr>
        <w:tc>
          <w:tcPr>
            <w:tcW w:w="0" w:type="auto"/>
          </w:tcPr>
          <w:p w14:paraId="4CFCFE30" w14:textId="77777777" w:rsidR="00F455EA" w:rsidRPr="00F455EA" w:rsidRDefault="00F455EA" w:rsidP="00F455EA">
            <w:pPr>
              <w:pStyle w:val="NoSpacing"/>
            </w:pPr>
            <w:r w:rsidRPr="00F455EA">
              <w:t>F PSOC</w:t>
            </w:r>
          </w:p>
        </w:tc>
        <w:tc>
          <w:tcPr>
            <w:tcW w:w="0" w:type="auto"/>
          </w:tcPr>
          <w:p w14:paraId="20B05E9E" w14:textId="77777777" w:rsidR="00F455EA" w:rsidRPr="00F455EA" w:rsidRDefault="00F455EA" w:rsidP="00F455EA">
            <w:pPr>
              <w:pStyle w:val="NoSpacing"/>
              <w:rPr>
                <w:i/>
                <w:iCs/>
              </w:rPr>
            </w:pPr>
            <w:r w:rsidRPr="00F455EA">
              <w:rPr>
                <w:i/>
                <w:iCs/>
              </w:rPr>
              <w:t>4.12</w:t>
            </w:r>
          </w:p>
        </w:tc>
        <w:tc>
          <w:tcPr>
            <w:tcW w:w="0" w:type="auto"/>
          </w:tcPr>
          <w:p w14:paraId="292A8B72" w14:textId="77777777" w:rsidR="00F455EA" w:rsidRPr="00F455EA" w:rsidRDefault="00F455EA" w:rsidP="00F455EA">
            <w:pPr>
              <w:pStyle w:val="NoSpacing"/>
            </w:pPr>
            <w:r w:rsidRPr="00F455EA">
              <w:t>0.93</w:t>
            </w:r>
          </w:p>
        </w:tc>
        <w:tc>
          <w:tcPr>
            <w:tcW w:w="0" w:type="auto"/>
          </w:tcPr>
          <w:p w14:paraId="60346928" w14:textId="77777777" w:rsidR="00F455EA" w:rsidRPr="00F455EA" w:rsidRDefault="00F455EA" w:rsidP="00F455EA">
            <w:pPr>
              <w:pStyle w:val="NoSpacing"/>
            </w:pPr>
            <w:r w:rsidRPr="00F455EA">
              <w:t>16</w:t>
            </w:r>
          </w:p>
        </w:tc>
        <w:tc>
          <w:tcPr>
            <w:tcW w:w="0" w:type="auto"/>
          </w:tcPr>
          <w:p w14:paraId="55B30E14" w14:textId="77777777" w:rsidR="00F455EA" w:rsidRPr="00F455EA" w:rsidRDefault="00F455EA" w:rsidP="00F455EA">
            <w:pPr>
              <w:pStyle w:val="NoSpacing"/>
            </w:pPr>
          </w:p>
        </w:tc>
        <w:tc>
          <w:tcPr>
            <w:tcW w:w="0" w:type="auto"/>
          </w:tcPr>
          <w:p w14:paraId="512FFA58" w14:textId="77777777" w:rsidR="00F455EA" w:rsidRPr="00F455EA" w:rsidRDefault="00F455EA" w:rsidP="00F455EA">
            <w:pPr>
              <w:pStyle w:val="NoSpacing"/>
              <w:rPr>
                <w:i/>
                <w:iCs/>
              </w:rPr>
            </w:pPr>
            <w:r w:rsidRPr="00F455EA">
              <w:rPr>
                <w:i/>
                <w:iCs/>
              </w:rPr>
              <w:t>4.94</w:t>
            </w:r>
          </w:p>
        </w:tc>
        <w:tc>
          <w:tcPr>
            <w:tcW w:w="0" w:type="auto"/>
          </w:tcPr>
          <w:p w14:paraId="38A3DD15" w14:textId="77777777" w:rsidR="00F455EA" w:rsidRPr="00F455EA" w:rsidRDefault="00F455EA" w:rsidP="00F455EA">
            <w:pPr>
              <w:pStyle w:val="NoSpacing"/>
            </w:pPr>
            <w:r w:rsidRPr="00F455EA">
              <w:t>0.59</w:t>
            </w:r>
          </w:p>
        </w:tc>
        <w:tc>
          <w:tcPr>
            <w:tcW w:w="0" w:type="auto"/>
          </w:tcPr>
          <w:p w14:paraId="016543AD" w14:textId="77777777" w:rsidR="00F455EA" w:rsidRPr="00F455EA" w:rsidRDefault="00F455EA" w:rsidP="00F455EA">
            <w:pPr>
              <w:pStyle w:val="NoSpacing"/>
            </w:pPr>
            <w:r w:rsidRPr="00F455EA">
              <w:t>16</w:t>
            </w:r>
          </w:p>
        </w:tc>
        <w:tc>
          <w:tcPr>
            <w:tcW w:w="0" w:type="auto"/>
          </w:tcPr>
          <w:p w14:paraId="24E1FD8B" w14:textId="77777777" w:rsidR="00F455EA" w:rsidRPr="00F455EA" w:rsidRDefault="00F455EA" w:rsidP="00F455EA">
            <w:pPr>
              <w:pStyle w:val="NoSpacing"/>
            </w:pPr>
            <w:r w:rsidRPr="00F455EA">
              <w:t>[–1.24, –0.40]</w:t>
            </w:r>
          </w:p>
        </w:tc>
        <w:tc>
          <w:tcPr>
            <w:tcW w:w="0" w:type="auto"/>
          </w:tcPr>
          <w:p w14:paraId="0CC89218" w14:textId="77777777" w:rsidR="00F455EA" w:rsidRPr="00F455EA" w:rsidRDefault="00F455EA" w:rsidP="00F455EA">
            <w:pPr>
              <w:pStyle w:val="NoSpacing"/>
            </w:pPr>
            <w:r w:rsidRPr="00F455EA">
              <w:t>−4.17***</w:t>
            </w:r>
          </w:p>
        </w:tc>
        <w:tc>
          <w:tcPr>
            <w:tcW w:w="0" w:type="auto"/>
          </w:tcPr>
          <w:p w14:paraId="05996479" w14:textId="77777777" w:rsidR="00F455EA" w:rsidRPr="00F455EA" w:rsidRDefault="00F455EA" w:rsidP="00F455EA">
            <w:pPr>
              <w:pStyle w:val="NoSpacing"/>
            </w:pPr>
            <w:r w:rsidRPr="00F455EA">
              <w:t>15</w:t>
            </w:r>
          </w:p>
        </w:tc>
        <w:tc>
          <w:tcPr>
            <w:tcW w:w="0" w:type="auto"/>
          </w:tcPr>
          <w:p w14:paraId="68B02532" w14:textId="77777777" w:rsidR="00F455EA" w:rsidRPr="00F455EA" w:rsidRDefault="00F455EA" w:rsidP="00F455EA">
            <w:pPr>
              <w:pStyle w:val="NoSpacing"/>
            </w:pPr>
            <w:r w:rsidRPr="00F455EA">
              <w:t>1.04</w:t>
            </w:r>
          </w:p>
        </w:tc>
      </w:tr>
      <w:tr w:rsidR="005158F9" w:rsidRPr="00F455EA" w14:paraId="10FC4A12" w14:textId="77777777" w:rsidTr="002952B0">
        <w:trPr>
          <w:trHeight w:val="289"/>
        </w:trPr>
        <w:tc>
          <w:tcPr>
            <w:tcW w:w="0" w:type="auto"/>
          </w:tcPr>
          <w:p w14:paraId="5502A92A" w14:textId="77777777" w:rsidR="00F455EA" w:rsidRPr="00F455EA" w:rsidRDefault="00F455EA" w:rsidP="00F455EA">
            <w:pPr>
              <w:pStyle w:val="NoSpacing"/>
            </w:pPr>
            <w:r w:rsidRPr="00F455EA">
              <w:t>F CHAOS</w:t>
            </w:r>
          </w:p>
        </w:tc>
        <w:tc>
          <w:tcPr>
            <w:tcW w:w="0" w:type="auto"/>
          </w:tcPr>
          <w:p w14:paraId="62209F60" w14:textId="77777777" w:rsidR="00F455EA" w:rsidRPr="00F455EA" w:rsidRDefault="00F455EA" w:rsidP="00F455EA">
            <w:pPr>
              <w:pStyle w:val="NoSpacing"/>
              <w:rPr>
                <w:i/>
                <w:iCs/>
              </w:rPr>
            </w:pPr>
            <w:r w:rsidRPr="00F455EA">
              <w:rPr>
                <w:i/>
                <w:iCs/>
              </w:rPr>
              <w:t>40.44</w:t>
            </w:r>
          </w:p>
        </w:tc>
        <w:tc>
          <w:tcPr>
            <w:tcW w:w="0" w:type="auto"/>
          </w:tcPr>
          <w:p w14:paraId="188F0E07" w14:textId="77777777" w:rsidR="00F455EA" w:rsidRPr="00F455EA" w:rsidRDefault="00F455EA" w:rsidP="00F455EA">
            <w:pPr>
              <w:pStyle w:val="NoSpacing"/>
            </w:pPr>
            <w:r w:rsidRPr="00F455EA">
              <w:t>12.47</w:t>
            </w:r>
          </w:p>
        </w:tc>
        <w:tc>
          <w:tcPr>
            <w:tcW w:w="0" w:type="auto"/>
          </w:tcPr>
          <w:p w14:paraId="4319E874" w14:textId="77777777" w:rsidR="00F455EA" w:rsidRPr="00F455EA" w:rsidRDefault="00F455EA" w:rsidP="00F455EA">
            <w:pPr>
              <w:pStyle w:val="NoSpacing"/>
            </w:pPr>
            <w:r w:rsidRPr="00F455EA">
              <w:t>16</w:t>
            </w:r>
          </w:p>
        </w:tc>
        <w:tc>
          <w:tcPr>
            <w:tcW w:w="0" w:type="auto"/>
          </w:tcPr>
          <w:p w14:paraId="53F76FAC" w14:textId="77777777" w:rsidR="00F455EA" w:rsidRPr="00F455EA" w:rsidRDefault="00F455EA" w:rsidP="00F455EA">
            <w:pPr>
              <w:pStyle w:val="NoSpacing"/>
            </w:pPr>
          </w:p>
        </w:tc>
        <w:tc>
          <w:tcPr>
            <w:tcW w:w="0" w:type="auto"/>
          </w:tcPr>
          <w:p w14:paraId="568408E7" w14:textId="77777777" w:rsidR="00F455EA" w:rsidRPr="00F455EA" w:rsidRDefault="00F455EA" w:rsidP="00F455EA">
            <w:pPr>
              <w:pStyle w:val="NoSpacing"/>
              <w:rPr>
                <w:i/>
                <w:iCs/>
              </w:rPr>
            </w:pPr>
            <w:r w:rsidRPr="00F455EA">
              <w:rPr>
                <w:i/>
                <w:iCs/>
              </w:rPr>
              <w:t>37.63</w:t>
            </w:r>
          </w:p>
        </w:tc>
        <w:tc>
          <w:tcPr>
            <w:tcW w:w="0" w:type="auto"/>
          </w:tcPr>
          <w:p w14:paraId="22566395" w14:textId="77777777" w:rsidR="00F455EA" w:rsidRPr="00F455EA" w:rsidRDefault="00F455EA" w:rsidP="00F455EA">
            <w:pPr>
              <w:pStyle w:val="NoSpacing"/>
            </w:pPr>
            <w:r w:rsidRPr="00F455EA">
              <w:t>9.11</w:t>
            </w:r>
          </w:p>
        </w:tc>
        <w:tc>
          <w:tcPr>
            <w:tcW w:w="0" w:type="auto"/>
          </w:tcPr>
          <w:p w14:paraId="6737008D" w14:textId="77777777" w:rsidR="00F455EA" w:rsidRPr="00F455EA" w:rsidRDefault="00F455EA" w:rsidP="00F455EA">
            <w:pPr>
              <w:pStyle w:val="NoSpacing"/>
            </w:pPr>
            <w:r w:rsidRPr="00F455EA">
              <w:t>16</w:t>
            </w:r>
          </w:p>
        </w:tc>
        <w:tc>
          <w:tcPr>
            <w:tcW w:w="0" w:type="auto"/>
          </w:tcPr>
          <w:p w14:paraId="441D0E9E" w14:textId="77777777" w:rsidR="00F455EA" w:rsidRPr="00F455EA" w:rsidRDefault="00F455EA" w:rsidP="00F455EA">
            <w:pPr>
              <w:pStyle w:val="NoSpacing"/>
            </w:pPr>
            <w:r w:rsidRPr="00F455EA">
              <w:t>[–2.55, 8.18]</w:t>
            </w:r>
          </w:p>
        </w:tc>
        <w:tc>
          <w:tcPr>
            <w:tcW w:w="0" w:type="auto"/>
          </w:tcPr>
          <w:p w14:paraId="29C6A4BB" w14:textId="77777777" w:rsidR="00F455EA" w:rsidRPr="00F455EA" w:rsidRDefault="00F455EA" w:rsidP="00F455EA">
            <w:pPr>
              <w:pStyle w:val="NoSpacing"/>
            </w:pPr>
            <w:r w:rsidRPr="00F455EA">
              <w:t>1.12</w:t>
            </w:r>
          </w:p>
        </w:tc>
        <w:tc>
          <w:tcPr>
            <w:tcW w:w="0" w:type="auto"/>
          </w:tcPr>
          <w:p w14:paraId="44AA71E6" w14:textId="77777777" w:rsidR="00F455EA" w:rsidRPr="00F455EA" w:rsidRDefault="00F455EA" w:rsidP="00F455EA">
            <w:pPr>
              <w:pStyle w:val="NoSpacing"/>
            </w:pPr>
            <w:r w:rsidRPr="00F455EA">
              <w:t>15</w:t>
            </w:r>
          </w:p>
        </w:tc>
        <w:tc>
          <w:tcPr>
            <w:tcW w:w="0" w:type="auto"/>
          </w:tcPr>
          <w:p w14:paraId="59E067D5" w14:textId="77777777" w:rsidR="00F455EA" w:rsidRPr="00F455EA" w:rsidRDefault="00F455EA" w:rsidP="00F455EA">
            <w:pPr>
              <w:pStyle w:val="NoSpacing"/>
            </w:pPr>
            <w:r w:rsidRPr="00F455EA">
              <w:t>0.28</w:t>
            </w:r>
          </w:p>
        </w:tc>
      </w:tr>
      <w:tr w:rsidR="005158F9" w:rsidRPr="00F455EA" w14:paraId="56922EF1" w14:textId="77777777" w:rsidTr="002952B0">
        <w:trPr>
          <w:trHeight w:val="365"/>
        </w:trPr>
        <w:tc>
          <w:tcPr>
            <w:tcW w:w="0" w:type="auto"/>
          </w:tcPr>
          <w:p w14:paraId="39B25966" w14:textId="77777777" w:rsidR="00F455EA" w:rsidRPr="00F455EA" w:rsidRDefault="00F455EA" w:rsidP="00F455EA">
            <w:pPr>
              <w:pStyle w:val="NoSpacing"/>
              <w:rPr>
                <w:b/>
                <w:bCs/>
              </w:rPr>
            </w:pPr>
          </w:p>
        </w:tc>
        <w:tc>
          <w:tcPr>
            <w:tcW w:w="0" w:type="auto"/>
          </w:tcPr>
          <w:p w14:paraId="0A1C7520" w14:textId="77777777" w:rsidR="00F455EA" w:rsidRPr="00F455EA" w:rsidRDefault="00F455EA" w:rsidP="00F455EA">
            <w:pPr>
              <w:pStyle w:val="NoSpacing"/>
              <w:rPr>
                <w:b/>
                <w:bCs/>
              </w:rPr>
            </w:pPr>
          </w:p>
        </w:tc>
        <w:tc>
          <w:tcPr>
            <w:tcW w:w="0" w:type="auto"/>
          </w:tcPr>
          <w:p w14:paraId="00C602A7" w14:textId="77777777" w:rsidR="00F455EA" w:rsidRPr="00F455EA" w:rsidRDefault="00F455EA" w:rsidP="00F455EA">
            <w:pPr>
              <w:pStyle w:val="NoSpacing"/>
              <w:rPr>
                <w:b/>
                <w:bCs/>
              </w:rPr>
            </w:pPr>
          </w:p>
        </w:tc>
        <w:tc>
          <w:tcPr>
            <w:tcW w:w="0" w:type="auto"/>
          </w:tcPr>
          <w:p w14:paraId="476072B8" w14:textId="77777777" w:rsidR="00F455EA" w:rsidRPr="00F455EA" w:rsidRDefault="00F455EA" w:rsidP="00F455EA">
            <w:pPr>
              <w:pStyle w:val="NoSpacing"/>
              <w:rPr>
                <w:b/>
                <w:bCs/>
              </w:rPr>
            </w:pPr>
          </w:p>
        </w:tc>
        <w:tc>
          <w:tcPr>
            <w:tcW w:w="0" w:type="auto"/>
          </w:tcPr>
          <w:p w14:paraId="5A1DE392" w14:textId="77777777" w:rsidR="00F455EA" w:rsidRPr="00F455EA" w:rsidRDefault="00F455EA" w:rsidP="00F455EA">
            <w:pPr>
              <w:pStyle w:val="NoSpacing"/>
              <w:rPr>
                <w:b/>
                <w:bCs/>
              </w:rPr>
            </w:pPr>
            <w:r w:rsidRPr="00F455EA">
              <w:rPr>
                <w:b/>
                <w:bCs/>
              </w:rPr>
              <w:t>ST</w:t>
            </w:r>
          </w:p>
        </w:tc>
        <w:tc>
          <w:tcPr>
            <w:tcW w:w="0" w:type="auto"/>
          </w:tcPr>
          <w:p w14:paraId="47B03E77" w14:textId="77777777" w:rsidR="00F455EA" w:rsidRPr="00F455EA" w:rsidRDefault="00F455EA" w:rsidP="00F455EA">
            <w:pPr>
              <w:pStyle w:val="NoSpacing"/>
              <w:rPr>
                <w:b/>
                <w:bCs/>
              </w:rPr>
            </w:pPr>
          </w:p>
        </w:tc>
        <w:tc>
          <w:tcPr>
            <w:tcW w:w="0" w:type="auto"/>
          </w:tcPr>
          <w:p w14:paraId="4F5940AF" w14:textId="77777777" w:rsidR="00F455EA" w:rsidRPr="00F455EA" w:rsidRDefault="00F455EA" w:rsidP="00F455EA">
            <w:pPr>
              <w:pStyle w:val="NoSpacing"/>
              <w:rPr>
                <w:b/>
                <w:bCs/>
              </w:rPr>
            </w:pPr>
          </w:p>
        </w:tc>
        <w:tc>
          <w:tcPr>
            <w:tcW w:w="0" w:type="auto"/>
          </w:tcPr>
          <w:p w14:paraId="2E13512B" w14:textId="77777777" w:rsidR="00F455EA" w:rsidRPr="00F455EA" w:rsidRDefault="00F455EA" w:rsidP="00F455EA">
            <w:pPr>
              <w:pStyle w:val="NoSpacing"/>
              <w:rPr>
                <w:b/>
                <w:bCs/>
              </w:rPr>
            </w:pPr>
          </w:p>
        </w:tc>
        <w:tc>
          <w:tcPr>
            <w:tcW w:w="0" w:type="auto"/>
          </w:tcPr>
          <w:p w14:paraId="361D9F0F" w14:textId="77777777" w:rsidR="00F455EA" w:rsidRPr="00F455EA" w:rsidRDefault="00F455EA" w:rsidP="00F455EA">
            <w:pPr>
              <w:pStyle w:val="NoSpacing"/>
              <w:rPr>
                <w:b/>
                <w:bCs/>
              </w:rPr>
            </w:pPr>
          </w:p>
        </w:tc>
        <w:tc>
          <w:tcPr>
            <w:tcW w:w="0" w:type="auto"/>
          </w:tcPr>
          <w:p w14:paraId="296BE462" w14:textId="77777777" w:rsidR="00F455EA" w:rsidRPr="00F455EA" w:rsidRDefault="00F455EA" w:rsidP="00F455EA">
            <w:pPr>
              <w:pStyle w:val="NoSpacing"/>
              <w:rPr>
                <w:b/>
                <w:bCs/>
              </w:rPr>
            </w:pPr>
          </w:p>
        </w:tc>
        <w:tc>
          <w:tcPr>
            <w:tcW w:w="0" w:type="auto"/>
          </w:tcPr>
          <w:p w14:paraId="2B254697" w14:textId="77777777" w:rsidR="00F455EA" w:rsidRPr="00F455EA" w:rsidRDefault="00F455EA" w:rsidP="00F455EA">
            <w:pPr>
              <w:pStyle w:val="NoSpacing"/>
              <w:rPr>
                <w:b/>
                <w:bCs/>
              </w:rPr>
            </w:pPr>
          </w:p>
        </w:tc>
        <w:tc>
          <w:tcPr>
            <w:tcW w:w="0" w:type="auto"/>
          </w:tcPr>
          <w:p w14:paraId="5011D12B" w14:textId="77777777" w:rsidR="00F455EA" w:rsidRPr="00F455EA" w:rsidRDefault="00F455EA" w:rsidP="00F455EA">
            <w:pPr>
              <w:pStyle w:val="NoSpacing"/>
              <w:rPr>
                <w:b/>
                <w:bCs/>
              </w:rPr>
            </w:pPr>
          </w:p>
        </w:tc>
      </w:tr>
      <w:tr w:rsidR="005158F9" w:rsidRPr="00F455EA" w14:paraId="454C3255" w14:textId="77777777" w:rsidTr="002952B0">
        <w:trPr>
          <w:trHeight w:val="360"/>
        </w:trPr>
        <w:tc>
          <w:tcPr>
            <w:tcW w:w="0" w:type="auto"/>
          </w:tcPr>
          <w:p w14:paraId="411FC8F7" w14:textId="77777777" w:rsidR="00F455EA" w:rsidRPr="00F455EA" w:rsidRDefault="00F455EA" w:rsidP="00F455EA">
            <w:pPr>
              <w:pStyle w:val="NoSpacing"/>
              <w:rPr>
                <w:b/>
                <w:bCs/>
              </w:rPr>
            </w:pPr>
          </w:p>
        </w:tc>
        <w:tc>
          <w:tcPr>
            <w:tcW w:w="0" w:type="auto"/>
          </w:tcPr>
          <w:p w14:paraId="7B6D7768" w14:textId="77777777" w:rsidR="00F455EA" w:rsidRPr="00F455EA" w:rsidRDefault="00F455EA" w:rsidP="00F455EA">
            <w:pPr>
              <w:pStyle w:val="NoSpacing"/>
              <w:rPr>
                <w:b/>
                <w:bCs/>
              </w:rPr>
            </w:pPr>
          </w:p>
        </w:tc>
        <w:tc>
          <w:tcPr>
            <w:tcW w:w="0" w:type="auto"/>
          </w:tcPr>
          <w:p w14:paraId="318ABC28" w14:textId="77777777" w:rsidR="00F455EA" w:rsidRPr="00F455EA" w:rsidRDefault="00F455EA" w:rsidP="00F455EA">
            <w:pPr>
              <w:pStyle w:val="NoSpacing"/>
              <w:rPr>
                <w:b/>
                <w:bCs/>
              </w:rPr>
            </w:pPr>
            <w:r w:rsidRPr="00F455EA">
              <w:rPr>
                <w:b/>
                <w:bCs/>
              </w:rPr>
              <w:t>Time 1</w:t>
            </w:r>
          </w:p>
        </w:tc>
        <w:tc>
          <w:tcPr>
            <w:tcW w:w="0" w:type="auto"/>
          </w:tcPr>
          <w:p w14:paraId="3261093F" w14:textId="77777777" w:rsidR="00F455EA" w:rsidRPr="00F455EA" w:rsidRDefault="00F455EA" w:rsidP="00F455EA">
            <w:pPr>
              <w:pStyle w:val="NoSpacing"/>
              <w:rPr>
                <w:b/>
                <w:bCs/>
              </w:rPr>
            </w:pPr>
          </w:p>
        </w:tc>
        <w:tc>
          <w:tcPr>
            <w:tcW w:w="0" w:type="auto"/>
          </w:tcPr>
          <w:p w14:paraId="4FAC9100" w14:textId="77777777" w:rsidR="00F455EA" w:rsidRPr="00F455EA" w:rsidRDefault="00F455EA" w:rsidP="00F455EA">
            <w:pPr>
              <w:pStyle w:val="NoSpacing"/>
              <w:rPr>
                <w:b/>
                <w:bCs/>
              </w:rPr>
            </w:pPr>
          </w:p>
        </w:tc>
        <w:tc>
          <w:tcPr>
            <w:tcW w:w="0" w:type="auto"/>
          </w:tcPr>
          <w:p w14:paraId="2A43820C" w14:textId="77777777" w:rsidR="00F455EA" w:rsidRPr="00F455EA" w:rsidRDefault="00F455EA" w:rsidP="00F455EA">
            <w:pPr>
              <w:pStyle w:val="NoSpacing"/>
              <w:rPr>
                <w:b/>
                <w:bCs/>
              </w:rPr>
            </w:pPr>
          </w:p>
        </w:tc>
        <w:tc>
          <w:tcPr>
            <w:tcW w:w="0" w:type="auto"/>
          </w:tcPr>
          <w:p w14:paraId="7AE0C00D" w14:textId="77777777" w:rsidR="00F455EA" w:rsidRPr="00F455EA" w:rsidRDefault="00F455EA" w:rsidP="00F455EA">
            <w:pPr>
              <w:pStyle w:val="NoSpacing"/>
              <w:rPr>
                <w:b/>
                <w:bCs/>
              </w:rPr>
            </w:pPr>
            <w:r w:rsidRPr="00F455EA">
              <w:rPr>
                <w:b/>
                <w:bCs/>
              </w:rPr>
              <w:t>Time 2</w:t>
            </w:r>
          </w:p>
        </w:tc>
        <w:tc>
          <w:tcPr>
            <w:tcW w:w="0" w:type="auto"/>
          </w:tcPr>
          <w:p w14:paraId="1B34ADAF" w14:textId="77777777" w:rsidR="00F455EA" w:rsidRPr="00F455EA" w:rsidRDefault="00F455EA" w:rsidP="00F455EA">
            <w:pPr>
              <w:pStyle w:val="NoSpacing"/>
              <w:rPr>
                <w:b/>
                <w:bCs/>
              </w:rPr>
            </w:pPr>
          </w:p>
        </w:tc>
        <w:tc>
          <w:tcPr>
            <w:tcW w:w="0" w:type="auto"/>
          </w:tcPr>
          <w:p w14:paraId="4EF7C8E6" w14:textId="77777777" w:rsidR="00F455EA" w:rsidRPr="00F455EA" w:rsidRDefault="00F455EA" w:rsidP="00F455EA">
            <w:pPr>
              <w:pStyle w:val="NoSpacing"/>
              <w:rPr>
                <w:b/>
                <w:bCs/>
              </w:rPr>
            </w:pPr>
          </w:p>
        </w:tc>
        <w:tc>
          <w:tcPr>
            <w:tcW w:w="0" w:type="auto"/>
          </w:tcPr>
          <w:p w14:paraId="12E2ED7C" w14:textId="77777777" w:rsidR="00F455EA" w:rsidRPr="00F455EA" w:rsidRDefault="00F455EA" w:rsidP="00F455EA">
            <w:pPr>
              <w:pStyle w:val="NoSpacing"/>
              <w:rPr>
                <w:b/>
                <w:bCs/>
              </w:rPr>
            </w:pPr>
          </w:p>
        </w:tc>
        <w:tc>
          <w:tcPr>
            <w:tcW w:w="0" w:type="auto"/>
          </w:tcPr>
          <w:p w14:paraId="26BD5DEE" w14:textId="77777777" w:rsidR="00F455EA" w:rsidRPr="00F455EA" w:rsidRDefault="00F455EA" w:rsidP="00F455EA">
            <w:pPr>
              <w:pStyle w:val="NoSpacing"/>
              <w:rPr>
                <w:b/>
                <w:bCs/>
              </w:rPr>
            </w:pPr>
          </w:p>
        </w:tc>
        <w:tc>
          <w:tcPr>
            <w:tcW w:w="0" w:type="auto"/>
          </w:tcPr>
          <w:p w14:paraId="49C9298F" w14:textId="77777777" w:rsidR="00F455EA" w:rsidRPr="00F455EA" w:rsidRDefault="00F455EA" w:rsidP="00F455EA">
            <w:pPr>
              <w:pStyle w:val="NoSpacing"/>
              <w:rPr>
                <w:b/>
                <w:bCs/>
              </w:rPr>
            </w:pPr>
          </w:p>
        </w:tc>
      </w:tr>
      <w:tr w:rsidR="005158F9" w:rsidRPr="00F455EA" w14:paraId="52266DDF" w14:textId="77777777" w:rsidTr="002952B0">
        <w:trPr>
          <w:trHeight w:val="354"/>
        </w:trPr>
        <w:tc>
          <w:tcPr>
            <w:tcW w:w="0" w:type="auto"/>
          </w:tcPr>
          <w:p w14:paraId="1733C97D" w14:textId="77777777" w:rsidR="00F455EA" w:rsidRPr="00F455EA" w:rsidRDefault="00F455EA" w:rsidP="00F455EA">
            <w:pPr>
              <w:pStyle w:val="NoSpacing"/>
              <w:rPr>
                <w:b/>
                <w:bCs/>
              </w:rPr>
            </w:pPr>
          </w:p>
        </w:tc>
        <w:tc>
          <w:tcPr>
            <w:tcW w:w="0" w:type="auto"/>
          </w:tcPr>
          <w:p w14:paraId="38C57563" w14:textId="77777777" w:rsidR="00F455EA" w:rsidRPr="00F455EA" w:rsidRDefault="00F455EA" w:rsidP="00F455EA">
            <w:pPr>
              <w:pStyle w:val="NoSpacing"/>
              <w:rPr>
                <w:b/>
                <w:bCs/>
                <w:i/>
                <w:iCs/>
              </w:rPr>
            </w:pPr>
            <w:r w:rsidRPr="00F455EA">
              <w:rPr>
                <w:b/>
                <w:bCs/>
                <w:i/>
                <w:iCs/>
              </w:rPr>
              <w:t>M</w:t>
            </w:r>
          </w:p>
        </w:tc>
        <w:tc>
          <w:tcPr>
            <w:tcW w:w="0" w:type="auto"/>
          </w:tcPr>
          <w:p w14:paraId="0A351A8E" w14:textId="77777777" w:rsidR="00F455EA" w:rsidRPr="00F455EA" w:rsidRDefault="00F455EA" w:rsidP="00F455EA">
            <w:pPr>
              <w:pStyle w:val="NoSpacing"/>
              <w:rPr>
                <w:b/>
                <w:bCs/>
                <w:i/>
                <w:iCs/>
              </w:rPr>
            </w:pPr>
            <w:r w:rsidRPr="00F455EA">
              <w:rPr>
                <w:b/>
                <w:bCs/>
                <w:i/>
                <w:iCs/>
              </w:rPr>
              <w:t>SD</w:t>
            </w:r>
          </w:p>
        </w:tc>
        <w:tc>
          <w:tcPr>
            <w:tcW w:w="0" w:type="auto"/>
          </w:tcPr>
          <w:p w14:paraId="324866EB" w14:textId="77777777" w:rsidR="00F455EA" w:rsidRPr="00F455EA" w:rsidRDefault="00F455EA" w:rsidP="00F455EA">
            <w:pPr>
              <w:pStyle w:val="NoSpacing"/>
              <w:rPr>
                <w:b/>
                <w:bCs/>
                <w:i/>
                <w:iCs/>
              </w:rPr>
            </w:pPr>
            <w:r w:rsidRPr="00F455EA">
              <w:rPr>
                <w:b/>
                <w:bCs/>
                <w:i/>
                <w:iCs/>
              </w:rPr>
              <w:t>n</w:t>
            </w:r>
          </w:p>
        </w:tc>
        <w:tc>
          <w:tcPr>
            <w:tcW w:w="0" w:type="auto"/>
          </w:tcPr>
          <w:p w14:paraId="1EA11B17" w14:textId="77777777" w:rsidR="00F455EA" w:rsidRPr="00F455EA" w:rsidRDefault="00F455EA" w:rsidP="00F455EA">
            <w:pPr>
              <w:pStyle w:val="NoSpacing"/>
              <w:rPr>
                <w:b/>
                <w:bCs/>
              </w:rPr>
            </w:pPr>
          </w:p>
        </w:tc>
        <w:tc>
          <w:tcPr>
            <w:tcW w:w="0" w:type="auto"/>
          </w:tcPr>
          <w:p w14:paraId="25991367" w14:textId="77777777" w:rsidR="00F455EA" w:rsidRPr="00F455EA" w:rsidRDefault="00F455EA" w:rsidP="00F455EA">
            <w:pPr>
              <w:pStyle w:val="NoSpacing"/>
              <w:rPr>
                <w:b/>
                <w:bCs/>
                <w:i/>
                <w:iCs/>
              </w:rPr>
            </w:pPr>
            <w:r w:rsidRPr="00F455EA">
              <w:rPr>
                <w:b/>
                <w:bCs/>
                <w:i/>
                <w:iCs/>
              </w:rPr>
              <w:t>M</w:t>
            </w:r>
          </w:p>
        </w:tc>
        <w:tc>
          <w:tcPr>
            <w:tcW w:w="0" w:type="auto"/>
          </w:tcPr>
          <w:p w14:paraId="7C8A2C48" w14:textId="77777777" w:rsidR="00F455EA" w:rsidRPr="00F455EA" w:rsidRDefault="00F455EA" w:rsidP="00F455EA">
            <w:pPr>
              <w:pStyle w:val="NoSpacing"/>
              <w:rPr>
                <w:b/>
                <w:bCs/>
                <w:i/>
                <w:iCs/>
              </w:rPr>
            </w:pPr>
            <w:r w:rsidRPr="00F455EA">
              <w:rPr>
                <w:b/>
                <w:bCs/>
                <w:i/>
                <w:iCs/>
              </w:rPr>
              <w:t>SD</w:t>
            </w:r>
          </w:p>
        </w:tc>
        <w:tc>
          <w:tcPr>
            <w:tcW w:w="0" w:type="auto"/>
          </w:tcPr>
          <w:p w14:paraId="5BD1CC80" w14:textId="77777777" w:rsidR="00F455EA" w:rsidRPr="00F455EA" w:rsidRDefault="00F455EA" w:rsidP="00F455EA">
            <w:pPr>
              <w:pStyle w:val="NoSpacing"/>
              <w:rPr>
                <w:b/>
                <w:bCs/>
                <w:i/>
                <w:iCs/>
              </w:rPr>
            </w:pPr>
            <w:r w:rsidRPr="00F455EA">
              <w:rPr>
                <w:b/>
                <w:bCs/>
                <w:i/>
                <w:iCs/>
              </w:rPr>
              <w:t>n</w:t>
            </w:r>
          </w:p>
        </w:tc>
        <w:tc>
          <w:tcPr>
            <w:tcW w:w="0" w:type="auto"/>
          </w:tcPr>
          <w:p w14:paraId="1A9F3E91" w14:textId="77777777" w:rsidR="00F455EA" w:rsidRPr="00F455EA" w:rsidRDefault="00F455EA" w:rsidP="00F455EA">
            <w:pPr>
              <w:pStyle w:val="NoSpacing"/>
              <w:rPr>
                <w:b/>
                <w:bCs/>
              </w:rPr>
            </w:pPr>
            <w:r w:rsidRPr="00F455EA">
              <w:rPr>
                <w:b/>
                <w:bCs/>
              </w:rPr>
              <w:t>95% CI</w:t>
            </w:r>
          </w:p>
        </w:tc>
        <w:tc>
          <w:tcPr>
            <w:tcW w:w="0" w:type="auto"/>
          </w:tcPr>
          <w:p w14:paraId="6A300203" w14:textId="77777777" w:rsidR="00F455EA" w:rsidRPr="00F455EA" w:rsidRDefault="00F455EA" w:rsidP="00F455EA">
            <w:pPr>
              <w:pStyle w:val="NoSpacing"/>
              <w:rPr>
                <w:b/>
                <w:bCs/>
                <w:i/>
                <w:iCs/>
              </w:rPr>
            </w:pPr>
            <w:r w:rsidRPr="00F455EA">
              <w:rPr>
                <w:b/>
                <w:bCs/>
                <w:i/>
                <w:iCs/>
              </w:rPr>
              <w:t>t</w:t>
            </w:r>
          </w:p>
        </w:tc>
        <w:tc>
          <w:tcPr>
            <w:tcW w:w="0" w:type="auto"/>
          </w:tcPr>
          <w:p w14:paraId="4ECA15EA" w14:textId="77777777" w:rsidR="00F455EA" w:rsidRPr="00F455EA" w:rsidRDefault="00F455EA" w:rsidP="00F455EA">
            <w:pPr>
              <w:pStyle w:val="NoSpacing"/>
              <w:rPr>
                <w:b/>
                <w:bCs/>
                <w:i/>
                <w:iCs/>
              </w:rPr>
            </w:pPr>
            <w:r w:rsidRPr="00F455EA">
              <w:rPr>
                <w:b/>
                <w:bCs/>
                <w:i/>
                <w:iCs/>
              </w:rPr>
              <w:t>df</w:t>
            </w:r>
          </w:p>
        </w:tc>
        <w:tc>
          <w:tcPr>
            <w:tcW w:w="0" w:type="auto"/>
          </w:tcPr>
          <w:p w14:paraId="39B79045" w14:textId="77777777" w:rsidR="00F455EA" w:rsidRPr="00F455EA" w:rsidRDefault="00F455EA" w:rsidP="00F455EA">
            <w:pPr>
              <w:pStyle w:val="NoSpacing"/>
              <w:rPr>
                <w:b/>
                <w:bCs/>
                <w:i/>
                <w:iCs/>
              </w:rPr>
            </w:pPr>
            <w:r w:rsidRPr="00F455EA">
              <w:rPr>
                <w:b/>
                <w:bCs/>
              </w:rPr>
              <w:t xml:space="preserve">Cohen’s </w:t>
            </w:r>
            <w:r w:rsidRPr="00F455EA">
              <w:rPr>
                <w:b/>
                <w:bCs/>
                <w:i/>
                <w:iCs/>
              </w:rPr>
              <w:t>d</w:t>
            </w:r>
          </w:p>
        </w:tc>
      </w:tr>
      <w:tr w:rsidR="005158F9" w:rsidRPr="00F455EA" w14:paraId="27696139" w14:textId="77777777" w:rsidTr="002952B0">
        <w:trPr>
          <w:trHeight w:val="285"/>
        </w:trPr>
        <w:tc>
          <w:tcPr>
            <w:tcW w:w="0" w:type="auto"/>
          </w:tcPr>
          <w:p w14:paraId="2751F6CE" w14:textId="77777777" w:rsidR="00F455EA" w:rsidRPr="00F455EA" w:rsidRDefault="00F455EA" w:rsidP="00F455EA">
            <w:pPr>
              <w:pStyle w:val="NoSpacing"/>
            </w:pPr>
            <w:r w:rsidRPr="00F455EA">
              <w:t>M PSI</w:t>
            </w:r>
          </w:p>
        </w:tc>
        <w:tc>
          <w:tcPr>
            <w:tcW w:w="0" w:type="auto"/>
          </w:tcPr>
          <w:p w14:paraId="0E75FACE" w14:textId="77777777" w:rsidR="00F455EA" w:rsidRPr="00F455EA" w:rsidRDefault="00F455EA" w:rsidP="00F455EA">
            <w:pPr>
              <w:pStyle w:val="NoSpacing"/>
              <w:rPr>
                <w:i/>
                <w:iCs/>
              </w:rPr>
            </w:pPr>
            <w:r w:rsidRPr="00F455EA">
              <w:rPr>
                <w:i/>
                <w:iCs/>
              </w:rPr>
              <w:t>87.37</w:t>
            </w:r>
          </w:p>
        </w:tc>
        <w:tc>
          <w:tcPr>
            <w:tcW w:w="0" w:type="auto"/>
          </w:tcPr>
          <w:p w14:paraId="5F236CA1" w14:textId="77777777" w:rsidR="00F455EA" w:rsidRPr="00F455EA" w:rsidRDefault="00F455EA" w:rsidP="00F455EA">
            <w:pPr>
              <w:pStyle w:val="NoSpacing"/>
            </w:pPr>
            <w:r w:rsidRPr="00F455EA">
              <w:t>21.42</w:t>
            </w:r>
          </w:p>
        </w:tc>
        <w:tc>
          <w:tcPr>
            <w:tcW w:w="0" w:type="auto"/>
          </w:tcPr>
          <w:p w14:paraId="6D0B3460" w14:textId="77777777" w:rsidR="00F455EA" w:rsidRPr="00F455EA" w:rsidRDefault="00F455EA" w:rsidP="00F455EA">
            <w:pPr>
              <w:pStyle w:val="NoSpacing"/>
            </w:pPr>
            <w:r w:rsidRPr="00F455EA">
              <w:t>27</w:t>
            </w:r>
          </w:p>
        </w:tc>
        <w:tc>
          <w:tcPr>
            <w:tcW w:w="0" w:type="auto"/>
          </w:tcPr>
          <w:p w14:paraId="61E5498C" w14:textId="77777777" w:rsidR="00F455EA" w:rsidRPr="00F455EA" w:rsidRDefault="00F455EA" w:rsidP="00F455EA">
            <w:pPr>
              <w:pStyle w:val="NoSpacing"/>
            </w:pPr>
          </w:p>
        </w:tc>
        <w:tc>
          <w:tcPr>
            <w:tcW w:w="0" w:type="auto"/>
          </w:tcPr>
          <w:p w14:paraId="344377AC" w14:textId="77777777" w:rsidR="00F455EA" w:rsidRPr="00F455EA" w:rsidRDefault="00F455EA" w:rsidP="00F455EA">
            <w:pPr>
              <w:pStyle w:val="NoSpacing"/>
              <w:rPr>
                <w:i/>
                <w:iCs/>
              </w:rPr>
            </w:pPr>
            <w:r w:rsidRPr="00F455EA">
              <w:rPr>
                <w:i/>
                <w:iCs/>
              </w:rPr>
              <w:t>80.15</w:t>
            </w:r>
          </w:p>
        </w:tc>
        <w:tc>
          <w:tcPr>
            <w:tcW w:w="0" w:type="auto"/>
          </w:tcPr>
          <w:p w14:paraId="1B52C5F9" w14:textId="77777777" w:rsidR="00F455EA" w:rsidRPr="00F455EA" w:rsidRDefault="00F455EA" w:rsidP="00F455EA">
            <w:pPr>
              <w:pStyle w:val="NoSpacing"/>
            </w:pPr>
            <w:r w:rsidRPr="00F455EA">
              <w:t>23.92</w:t>
            </w:r>
          </w:p>
        </w:tc>
        <w:tc>
          <w:tcPr>
            <w:tcW w:w="0" w:type="auto"/>
          </w:tcPr>
          <w:p w14:paraId="518195AE" w14:textId="77777777" w:rsidR="00F455EA" w:rsidRPr="00F455EA" w:rsidRDefault="00F455EA" w:rsidP="00F455EA">
            <w:pPr>
              <w:pStyle w:val="NoSpacing"/>
            </w:pPr>
            <w:r w:rsidRPr="00F455EA">
              <w:t>27</w:t>
            </w:r>
          </w:p>
        </w:tc>
        <w:tc>
          <w:tcPr>
            <w:tcW w:w="0" w:type="auto"/>
          </w:tcPr>
          <w:p w14:paraId="73582533" w14:textId="77777777" w:rsidR="00F455EA" w:rsidRPr="00F455EA" w:rsidRDefault="00F455EA" w:rsidP="00F455EA">
            <w:pPr>
              <w:pStyle w:val="NoSpacing"/>
            </w:pPr>
            <w:r w:rsidRPr="00F455EA">
              <w:t>[0.05, 14.40]</w:t>
            </w:r>
          </w:p>
        </w:tc>
        <w:tc>
          <w:tcPr>
            <w:tcW w:w="0" w:type="auto"/>
          </w:tcPr>
          <w:p w14:paraId="17981270" w14:textId="77777777" w:rsidR="00F455EA" w:rsidRPr="00F455EA" w:rsidRDefault="00F455EA" w:rsidP="00F455EA">
            <w:pPr>
              <w:pStyle w:val="NoSpacing"/>
            </w:pPr>
            <w:r w:rsidRPr="00F455EA">
              <w:t>2.07*</w:t>
            </w:r>
          </w:p>
        </w:tc>
        <w:tc>
          <w:tcPr>
            <w:tcW w:w="0" w:type="auto"/>
          </w:tcPr>
          <w:p w14:paraId="4007FE5F" w14:textId="77777777" w:rsidR="00F455EA" w:rsidRPr="00F455EA" w:rsidRDefault="00F455EA" w:rsidP="00F455EA">
            <w:pPr>
              <w:pStyle w:val="NoSpacing"/>
            </w:pPr>
            <w:r w:rsidRPr="00F455EA">
              <w:t>26</w:t>
            </w:r>
          </w:p>
        </w:tc>
        <w:tc>
          <w:tcPr>
            <w:tcW w:w="0" w:type="auto"/>
          </w:tcPr>
          <w:p w14:paraId="0DB65862" w14:textId="77777777" w:rsidR="00F455EA" w:rsidRPr="00F455EA" w:rsidRDefault="00F455EA" w:rsidP="00F455EA">
            <w:pPr>
              <w:pStyle w:val="NoSpacing"/>
            </w:pPr>
            <w:r w:rsidRPr="00F455EA">
              <w:t>0.40</w:t>
            </w:r>
          </w:p>
        </w:tc>
      </w:tr>
      <w:tr w:rsidR="005158F9" w:rsidRPr="00F455EA" w14:paraId="7DEEA470" w14:textId="77777777" w:rsidTr="002952B0">
        <w:trPr>
          <w:trHeight w:val="230"/>
        </w:trPr>
        <w:tc>
          <w:tcPr>
            <w:tcW w:w="0" w:type="auto"/>
          </w:tcPr>
          <w:p w14:paraId="10C39556" w14:textId="77777777" w:rsidR="00F455EA" w:rsidRPr="00F455EA" w:rsidRDefault="00F455EA" w:rsidP="00F455EA">
            <w:pPr>
              <w:pStyle w:val="NoSpacing"/>
            </w:pPr>
            <w:r w:rsidRPr="00F455EA">
              <w:t>M PSOC</w:t>
            </w:r>
          </w:p>
        </w:tc>
        <w:tc>
          <w:tcPr>
            <w:tcW w:w="0" w:type="auto"/>
          </w:tcPr>
          <w:p w14:paraId="3A44BE9D" w14:textId="77777777" w:rsidR="00F455EA" w:rsidRPr="00F455EA" w:rsidRDefault="00F455EA" w:rsidP="00F455EA">
            <w:pPr>
              <w:pStyle w:val="NoSpacing"/>
              <w:rPr>
                <w:i/>
                <w:iCs/>
              </w:rPr>
            </w:pPr>
            <w:r w:rsidRPr="00F455EA">
              <w:rPr>
                <w:i/>
                <w:iCs/>
              </w:rPr>
              <w:t>4.04</w:t>
            </w:r>
          </w:p>
        </w:tc>
        <w:tc>
          <w:tcPr>
            <w:tcW w:w="0" w:type="auto"/>
          </w:tcPr>
          <w:p w14:paraId="7A51539D" w14:textId="77777777" w:rsidR="00F455EA" w:rsidRPr="00F455EA" w:rsidRDefault="00F455EA" w:rsidP="00F455EA">
            <w:pPr>
              <w:pStyle w:val="NoSpacing"/>
            </w:pPr>
            <w:r w:rsidRPr="00F455EA">
              <w:t>0.86</w:t>
            </w:r>
          </w:p>
        </w:tc>
        <w:tc>
          <w:tcPr>
            <w:tcW w:w="0" w:type="auto"/>
          </w:tcPr>
          <w:p w14:paraId="1D01B249" w14:textId="77777777" w:rsidR="00F455EA" w:rsidRPr="00F455EA" w:rsidRDefault="00F455EA" w:rsidP="00F455EA">
            <w:pPr>
              <w:pStyle w:val="NoSpacing"/>
            </w:pPr>
            <w:r w:rsidRPr="00F455EA">
              <w:t>27</w:t>
            </w:r>
          </w:p>
        </w:tc>
        <w:tc>
          <w:tcPr>
            <w:tcW w:w="0" w:type="auto"/>
          </w:tcPr>
          <w:p w14:paraId="652164EC" w14:textId="77777777" w:rsidR="00F455EA" w:rsidRPr="00F455EA" w:rsidRDefault="00F455EA" w:rsidP="00F455EA">
            <w:pPr>
              <w:pStyle w:val="NoSpacing"/>
            </w:pPr>
          </w:p>
        </w:tc>
        <w:tc>
          <w:tcPr>
            <w:tcW w:w="0" w:type="auto"/>
          </w:tcPr>
          <w:p w14:paraId="4D2999BC" w14:textId="77777777" w:rsidR="00F455EA" w:rsidRPr="00F455EA" w:rsidRDefault="00F455EA" w:rsidP="00F455EA">
            <w:pPr>
              <w:pStyle w:val="NoSpacing"/>
              <w:rPr>
                <w:i/>
                <w:iCs/>
              </w:rPr>
            </w:pPr>
            <w:r w:rsidRPr="00F455EA">
              <w:rPr>
                <w:i/>
                <w:iCs/>
              </w:rPr>
              <w:t>4.69</w:t>
            </w:r>
          </w:p>
        </w:tc>
        <w:tc>
          <w:tcPr>
            <w:tcW w:w="0" w:type="auto"/>
          </w:tcPr>
          <w:p w14:paraId="4FFB9FA2" w14:textId="77777777" w:rsidR="00F455EA" w:rsidRPr="00F455EA" w:rsidRDefault="00F455EA" w:rsidP="00F455EA">
            <w:pPr>
              <w:pStyle w:val="NoSpacing"/>
            </w:pPr>
            <w:r w:rsidRPr="00F455EA">
              <w:t>0.73</w:t>
            </w:r>
          </w:p>
        </w:tc>
        <w:tc>
          <w:tcPr>
            <w:tcW w:w="0" w:type="auto"/>
          </w:tcPr>
          <w:p w14:paraId="0327D7A2" w14:textId="77777777" w:rsidR="00F455EA" w:rsidRPr="00F455EA" w:rsidRDefault="00F455EA" w:rsidP="00F455EA">
            <w:pPr>
              <w:pStyle w:val="NoSpacing"/>
            </w:pPr>
            <w:r w:rsidRPr="00F455EA">
              <w:t>27</w:t>
            </w:r>
          </w:p>
        </w:tc>
        <w:tc>
          <w:tcPr>
            <w:tcW w:w="0" w:type="auto"/>
          </w:tcPr>
          <w:p w14:paraId="2A8803CC" w14:textId="77777777" w:rsidR="00F455EA" w:rsidRPr="00F455EA" w:rsidRDefault="00F455EA" w:rsidP="00F455EA">
            <w:pPr>
              <w:pStyle w:val="NoSpacing"/>
            </w:pPr>
            <w:r w:rsidRPr="00F455EA">
              <w:t>[–0.98, –0.34]</w:t>
            </w:r>
          </w:p>
        </w:tc>
        <w:tc>
          <w:tcPr>
            <w:tcW w:w="0" w:type="auto"/>
          </w:tcPr>
          <w:p w14:paraId="3F066774" w14:textId="77777777" w:rsidR="00F455EA" w:rsidRPr="00F455EA" w:rsidRDefault="00F455EA" w:rsidP="00F455EA">
            <w:pPr>
              <w:pStyle w:val="NoSpacing"/>
            </w:pPr>
            <w:r w:rsidRPr="00F455EA">
              <w:t>−4.23***</w:t>
            </w:r>
          </w:p>
        </w:tc>
        <w:tc>
          <w:tcPr>
            <w:tcW w:w="0" w:type="auto"/>
          </w:tcPr>
          <w:p w14:paraId="73BB9C69" w14:textId="77777777" w:rsidR="00F455EA" w:rsidRPr="00F455EA" w:rsidRDefault="00F455EA" w:rsidP="00F455EA">
            <w:pPr>
              <w:pStyle w:val="NoSpacing"/>
            </w:pPr>
            <w:r w:rsidRPr="00F455EA">
              <w:t>26</w:t>
            </w:r>
          </w:p>
        </w:tc>
        <w:tc>
          <w:tcPr>
            <w:tcW w:w="0" w:type="auto"/>
          </w:tcPr>
          <w:p w14:paraId="7F6C6F16" w14:textId="77777777" w:rsidR="00F455EA" w:rsidRPr="00F455EA" w:rsidRDefault="00F455EA" w:rsidP="00F455EA">
            <w:pPr>
              <w:pStyle w:val="NoSpacing"/>
            </w:pPr>
            <w:r w:rsidRPr="00F455EA">
              <w:t>0.81</w:t>
            </w:r>
          </w:p>
        </w:tc>
      </w:tr>
      <w:tr w:rsidR="005158F9" w:rsidRPr="00F455EA" w14:paraId="61B45C37" w14:textId="77777777" w:rsidTr="002952B0">
        <w:trPr>
          <w:trHeight w:val="230"/>
        </w:trPr>
        <w:tc>
          <w:tcPr>
            <w:tcW w:w="0" w:type="auto"/>
          </w:tcPr>
          <w:p w14:paraId="472749DC" w14:textId="77777777" w:rsidR="00F455EA" w:rsidRPr="00F455EA" w:rsidRDefault="00F455EA" w:rsidP="00F455EA">
            <w:pPr>
              <w:pStyle w:val="NoSpacing"/>
            </w:pPr>
            <w:r w:rsidRPr="00F455EA">
              <w:t>M CHAOS</w:t>
            </w:r>
          </w:p>
        </w:tc>
        <w:tc>
          <w:tcPr>
            <w:tcW w:w="0" w:type="auto"/>
          </w:tcPr>
          <w:p w14:paraId="4949496C" w14:textId="77777777" w:rsidR="00F455EA" w:rsidRPr="00F455EA" w:rsidRDefault="00F455EA" w:rsidP="00F455EA">
            <w:pPr>
              <w:pStyle w:val="NoSpacing"/>
              <w:rPr>
                <w:i/>
                <w:iCs/>
              </w:rPr>
            </w:pPr>
            <w:r w:rsidRPr="00F455EA">
              <w:rPr>
                <w:i/>
                <w:iCs/>
              </w:rPr>
              <w:t>42.26</w:t>
            </w:r>
          </w:p>
        </w:tc>
        <w:tc>
          <w:tcPr>
            <w:tcW w:w="0" w:type="auto"/>
          </w:tcPr>
          <w:p w14:paraId="1B929F89" w14:textId="77777777" w:rsidR="00F455EA" w:rsidRPr="00F455EA" w:rsidRDefault="00F455EA" w:rsidP="00F455EA">
            <w:pPr>
              <w:pStyle w:val="NoSpacing"/>
            </w:pPr>
            <w:r w:rsidRPr="00F455EA">
              <w:t>9.27</w:t>
            </w:r>
          </w:p>
        </w:tc>
        <w:tc>
          <w:tcPr>
            <w:tcW w:w="0" w:type="auto"/>
          </w:tcPr>
          <w:p w14:paraId="62FF0270" w14:textId="77777777" w:rsidR="00F455EA" w:rsidRPr="00F455EA" w:rsidRDefault="00F455EA" w:rsidP="00F455EA">
            <w:pPr>
              <w:pStyle w:val="NoSpacing"/>
            </w:pPr>
            <w:r w:rsidRPr="00F455EA">
              <w:t>27</w:t>
            </w:r>
          </w:p>
        </w:tc>
        <w:tc>
          <w:tcPr>
            <w:tcW w:w="0" w:type="auto"/>
          </w:tcPr>
          <w:p w14:paraId="6C0D8150" w14:textId="77777777" w:rsidR="00F455EA" w:rsidRPr="00F455EA" w:rsidRDefault="00F455EA" w:rsidP="00F455EA">
            <w:pPr>
              <w:pStyle w:val="NoSpacing"/>
            </w:pPr>
          </w:p>
        </w:tc>
        <w:tc>
          <w:tcPr>
            <w:tcW w:w="0" w:type="auto"/>
          </w:tcPr>
          <w:p w14:paraId="5D26D937" w14:textId="77777777" w:rsidR="00F455EA" w:rsidRPr="00F455EA" w:rsidRDefault="00F455EA" w:rsidP="00F455EA">
            <w:pPr>
              <w:pStyle w:val="NoSpacing"/>
              <w:rPr>
                <w:i/>
                <w:iCs/>
              </w:rPr>
            </w:pPr>
            <w:r w:rsidRPr="00F455EA">
              <w:rPr>
                <w:i/>
                <w:iCs/>
              </w:rPr>
              <w:t>41.63</w:t>
            </w:r>
          </w:p>
        </w:tc>
        <w:tc>
          <w:tcPr>
            <w:tcW w:w="0" w:type="auto"/>
          </w:tcPr>
          <w:p w14:paraId="3667F643" w14:textId="77777777" w:rsidR="00F455EA" w:rsidRPr="00F455EA" w:rsidRDefault="00F455EA" w:rsidP="00F455EA">
            <w:pPr>
              <w:pStyle w:val="NoSpacing"/>
            </w:pPr>
            <w:r w:rsidRPr="00F455EA">
              <w:t>11.60</w:t>
            </w:r>
          </w:p>
        </w:tc>
        <w:tc>
          <w:tcPr>
            <w:tcW w:w="0" w:type="auto"/>
          </w:tcPr>
          <w:p w14:paraId="4D5F35AA" w14:textId="77777777" w:rsidR="00F455EA" w:rsidRPr="00F455EA" w:rsidRDefault="00F455EA" w:rsidP="00F455EA">
            <w:pPr>
              <w:pStyle w:val="NoSpacing"/>
            </w:pPr>
            <w:r w:rsidRPr="00F455EA">
              <w:t>27</w:t>
            </w:r>
          </w:p>
        </w:tc>
        <w:tc>
          <w:tcPr>
            <w:tcW w:w="0" w:type="auto"/>
          </w:tcPr>
          <w:p w14:paraId="589AA5FB" w14:textId="77777777" w:rsidR="00F455EA" w:rsidRPr="00F455EA" w:rsidRDefault="00F455EA" w:rsidP="00F455EA">
            <w:pPr>
              <w:pStyle w:val="NoSpacing"/>
            </w:pPr>
            <w:r w:rsidRPr="00F455EA">
              <w:t>[–2.79, 4.05]</w:t>
            </w:r>
          </w:p>
        </w:tc>
        <w:tc>
          <w:tcPr>
            <w:tcW w:w="0" w:type="auto"/>
          </w:tcPr>
          <w:p w14:paraId="3FDE6540" w14:textId="77777777" w:rsidR="00F455EA" w:rsidRPr="00F455EA" w:rsidRDefault="00F455EA" w:rsidP="00F455EA">
            <w:pPr>
              <w:pStyle w:val="NoSpacing"/>
            </w:pPr>
            <w:r w:rsidRPr="00F455EA">
              <w:t>0.38</w:t>
            </w:r>
          </w:p>
        </w:tc>
        <w:tc>
          <w:tcPr>
            <w:tcW w:w="0" w:type="auto"/>
          </w:tcPr>
          <w:p w14:paraId="51DF24A3" w14:textId="77777777" w:rsidR="00F455EA" w:rsidRPr="00F455EA" w:rsidRDefault="00F455EA" w:rsidP="00F455EA">
            <w:pPr>
              <w:pStyle w:val="NoSpacing"/>
            </w:pPr>
            <w:r w:rsidRPr="00F455EA">
              <w:t>26</w:t>
            </w:r>
          </w:p>
        </w:tc>
        <w:tc>
          <w:tcPr>
            <w:tcW w:w="0" w:type="auto"/>
          </w:tcPr>
          <w:p w14:paraId="788D59A1" w14:textId="77777777" w:rsidR="00F455EA" w:rsidRPr="00F455EA" w:rsidRDefault="00F455EA" w:rsidP="00F455EA">
            <w:pPr>
              <w:pStyle w:val="NoSpacing"/>
            </w:pPr>
            <w:r w:rsidRPr="00F455EA">
              <w:t>0.07</w:t>
            </w:r>
          </w:p>
        </w:tc>
      </w:tr>
      <w:tr w:rsidR="005158F9" w:rsidRPr="00F455EA" w14:paraId="35FFE706" w14:textId="77777777" w:rsidTr="002952B0">
        <w:trPr>
          <w:trHeight w:val="230"/>
        </w:trPr>
        <w:tc>
          <w:tcPr>
            <w:tcW w:w="0" w:type="auto"/>
          </w:tcPr>
          <w:p w14:paraId="5F428504" w14:textId="77777777" w:rsidR="00F455EA" w:rsidRPr="00F455EA" w:rsidRDefault="00F455EA" w:rsidP="00F455EA">
            <w:pPr>
              <w:pStyle w:val="NoSpacing"/>
            </w:pPr>
            <w:r w:rsidRPr="00F455EA">
              <w:t>F PSI</w:t>
            </w:r>
          </w:p>
        </w:tc>
        <w:tc>
          <w:tcPr>
            <w:tcW w:w="0" w:type="auto"/>
          </w:tcPr>
          <w:p w14:paraId="15F5DEE5" w14:textId="77777777" w:rsidR="00F455EA" w:rsidRPr="00F455EA" w:rsidRDefault="00F455EA" w:rsidP="00F455EA">
            <w:pPr>
              <w:pStyle w:val="NoSpacing"/>
              <w:rPr>
                <w:i/>
                <w:iCs/>
              </w:rPr>
            </w:pPr>
            <w:r w:rsidRPr="00F455EA">
              <w:rPr>
                <w:i/>
                <w:iCs/>
              </w:rPr>
              <w:t>85.22</w:t>
            </w:r>
          </w:p>
        </w:tc>
        <w:tc>
          <w:tcPr>
            <w:tcW w:w="0" w:type="auto"/>
          </w:tcPr>
          <w:p w14:paraId="1474B503" w14:textId="77777777" w:rsidR="00F455EA" w:rsidRPr="00F455EA" w:rsidRDefault="00F455EA" w:rsidP="00F455EA">
            <w:pPr>
              <w:pStyle w:val="NoSpacing"/>
            </w:pPr>
            <w:r w:rsidRPr="00F455EA">
              <w:t>13.50</w:t>
            </w:r>
          </w:p>
        </w:tc>
        <w:tc>
          <w:tcPr>
            <w:tcW w:w="0" w:type="auto"/>
          </w:tcPr>
          <w:p w14:paraId="5C50E1F2" w14:textId="77777777" w:rsidR="00F455EA" w:rsidRPr="00F455EA" w:rsidRDefault="00F455EA" w:rsidP="00F455EA">
            <w:pPr>
              <w:pStyle w:val="NoSpacing"/>
            </w:pPr>
            <w:r w:rsidRPr="00F455EA">
              <w:t>9</w:t>
            </w:r>
          </w:p>
        </w:tc>
        <w:tc>
          <w:tcPr>
            <w:tcW w:w="0" w:type="auto"/>
          </w:tcPr>
          <w:p w14:paraId="25F8E10D" w14:textId="77777777" w:rsidR="00F455EA" w:rsidRPr="00F455EA" w:rsidRDefault="00F455EA" w:rsidP="00F455EA">
            <w:pPr>
              <w:pStyle w:val="NoSpacing"/>
            </w:pPr>
          </w:p>
        </w:tc>
        <w:tc>
          <w:tcPr>
            <w:tcW w:w="0" w:type="auto"/>
          </w:tcPr>
          <w:p w14:paraId="57DE64EC" w14:textId="77777777" w:rsidR="00F455EA" w:rsidRPr="00F455EA" w:rsidRDefault="00F455EA" w:rsidP="00F455EA">
            <w:pPr>
              <w:pStyle w:val="NoSpacing"/>
              <w:rPr>
                <w:i/>
                <w:iCs/>
              </w:rPr>
            </w:pPr>
            <w:r w:rsidRPr="00F455EA">
              <w:rPr>
                <w:i/>
                <w:iCs/>
              </w:rPr>
              <w:t>83.44</w:t>
            </w:r>
          </w:p>
        </w:tc>
        <w:tc>
          <w:tcPr>
            <w:tcW w:w="0" w:type="auto"/>
          </w:tcPr>
          <w:p w14:paraId="09D28A3A" w14:textId="77777777" w:rsidR="00F455EA" w:rsidRPr="00F455EA" w:rsidRDefault="00F455EA" w:rsidP="00F455EA">
            <w:pPr>
              <w:pStyle w:val="NoSpacing"/>
            </w:pPr>
            <w:r w:rsidRPr="00F455EA">
              <w:t>11.33</w:t>
            </w:r>
          </w:p>
        </w:tc>
        <w:tc>
          <w:tcPr>
            <w:tcW w:w="0" w:type="auto"/>
          </w:tcPr>
          <w:p w14:paraId="6D0D9A66" w14:textId="77777777" w:rsidR="00F455EA" w:rsidRPr="00F455EA" w:rsidRDefault="00F455EA" w:rsidP="00F455EA">
            <w:pPr>
              <w:pStyle w:val="NoSpacing"/>
            </w:pPr>
            <w:r w:rsidRPr="00F455EA">
              <w:t>9</w:t>
            </w:r>
          </w:p>
        </w:tc>
        <w:tc>
          <w:tcPr>
            <w:tcW w:w="0" w:type="auto"/>
          </w:tcPr>
          <w:p w14:paraId="3DE93843" w14:textId="77777777" w:rsidR="00F455EA" w:rsidRPr="00F455EA" w:rsidRDefault="00F455EA" w:rsidP="00F455EA">
            <w:pPr>
              <w:pStyle w:val="NoSpacing"/>
            </w:pPr>
            <w:r w:rsidRPr="00F455EA">
              <w:t>[–5.12, 8.67]</w:t>
            </w:r>
          </w:p>
        </w:tc>
        <w:tc>
          <w:tcPr>
            <w:tcW w:w="0" w:type="auto"/>
          </w:tcPr>
          <w:p w14:paraId="372029E6" w14:textId="77777777" w:rsidR="00F455EA" w:rsidRPr="00F455EA" w:rsidRDefault="00F455EA" w:rsidP="00F455EA">
            <w:pPr>
              <w:pStyle w:val="NoSpacing"/>
            </w:pPr>
            <w:r w:rsidRPr="00F455EA">
              <w:t>0.60</w:t>
            </w:r>
          </w:p>
        </w:tc>
        <w:tc>
          <w:tcPr>
            <w:tcW w:w="0" w:type="auto"/>
          </w:tcPr>
          <w:p w14:paraId="67F421F0" w14:textId="77777777" w:rsidR="00F455EA" w:rsidRPr="00F455EA" w:rsidRDefault="00F455EA" w:rsidP="00F455EA">
            <w:pPr>
              <w:pStyle w:val="NoSpacing"/>
            </w:pPr>
            <w:r w:rsidRPr="00F455EA">
              <w:t>8</w:t>
            </w:r>
          </w:p>
        </w:tc>
        <w:tc>
          <w:tcPr>
            <w:tcW w:w="0" w:type="auto"/>
          </w:tcPr>
          <w:p w14:paraId="1BC6D5AC" w14:textId="77777777" w:rsidR="00F455EA" w:rsidRPr="00F455EA" w:rsidRDefault="00F455EA" w:rsidP="00F455EA">
            <w:pPr>
              <w:pStyle w:val="NoSpacing"/>
            </w:pPr>
            <w:r w:rsidRPr="00F455EA">
              <w:t>0.20</w:t>
            </w:r>
          </w:p>
        </w:tc>
      </w:tr>
      <w:tr w:rsidR="005158F9" w:rsidRPr="00F455EA" w14:paraId="3CBA73AE" w14:textId="77777777" w:rsidTr="002952B0">
        <w:trPr>
          <w:trHeight w:val="218"/>
        </w:trPr>
        <w:tc>
          <w:tcPr>
            <w:tcW w:w="0" w:type="auto"/>
          </w:tcPr>
          <w:p w14:paraId="354EAC38" w14:textId="77777777" w:rsidR="00F455EA" w:rsidRPr="00F455EA" w:rsidRDefault="00F455EA" w:rsidP="00F455EA">
            <w:pPr>
              <w:pStyle w:val="NoSpacing"/>
            </w:pPr>
            <w:r w:rsidRPr="00F455EA">
              <w:t>F PSOC</w:t>
            </w:r>
          </w:p>
        </w:tc>
        <w:tc>
          <w:tcPr>
            <w:tcW w:w="0" w:type="auto"/>
          </w:tcPr>
          <w:p w14:paraId="2631AE6C" w14:textId="77777777" w:rsidR="00F455EA" w:rsidRPr="00F455EA" w:rsidRDefault="00F455EA" w:rsidP="00F455EA">
            <w:pPr>
              <w:pStyle w:val="NoSpacing"/>
              <w:rPr>
                <w:i/>
                <w:iCs/>
              </w:rPr>
            </w:pPr>
            <w:r w:rsidRPr="00F455EA">
              <w:rPr>
                <w:i/>
                <w:iCs/>
              </w:rPr>
              <w:t>4.17</w:t>
            </w:r>
          </w:p>
        </w:tc>
        <w:tc>
          <w:tcPr>
            <w:tcW w:w="0" w:type="auto"/>
          </w:tcPr>
          <w:p w14:paraId="5AFD230D" w14:textId="77777777" w:rsidR="00F455EA" w:rsidRPr="00F455EA" w:rsidRDefault="00F455EA" w:rsidP="00F455EA">
            <w:pPr>
              <w:pStyle w:val="NoSpacing"/>
            </w:pPr>
            <w:r w:rsidRPr="00F455EA">
              <w:t>0.82</w:t>
            </w:r>
          </w:p>
        </w:tc>
        <w:tc>
          <w:tcPr>
            <w:tcW w:w="0" w:type="auto"/>
          </w:tcPr>
          <w:p w14:paraId="3C367DF1" w14:textId="77777777" w:rsidR="00F455EA" w:rsidRPr="00F455EA" w:rsidRDefault="00F455EA" w:rsidP="00F455EA">
            <w:pPr>
              <w:pStyle w:val="NoSpacing"/>
            </w:pPr>
            <w:r w:rsidRPr="00F455EA">
              <w:t>9</w:t>
            </w:r>
          </w:p>
        </w:tc>
        <w:tc>
          <w:tcPr>
            <w:tcW w:w="0" w:type="auto"/>
          </w:tcPr>
          <w:p w14:paraId="118A66B0" w14:textId="77777777" w:rsidR="00F455EA" w:rsidRPr="00F455EA" w:rsidRDefault="00F455EA" w:rsidP="00F455EA">
            <w:pPr>
              <w:pStyle w:val="NoSpacing"/>
            </w:pPr>
          </w:p>
        </w:tc>
        <w:tc>
          <w:tcPr>
            <w:tcW w:w="0" w:type="auto"/>
          </w:tcPr>
          <w:p w14:paraId="05922324" w14:textId="77777777" w:rsidR="00F455EA" w:rsidRPr="00F455EA" w:rsidRDefault="00F455EA" w:rsidP="00F455EA">
            <w:pPr>
              <w:pStyle w:val="NoSpacing"/>
              <w:rPr>
                <w:i/>
                <w:iCs/>
              </w:rPr>
            </w:pPr>
            <w:r w:rsidRPr="00F455EA">
              <w:rPr>
                <w:i/>
                <w:iCs/>
              </w:rPr>
              <w:t>5.10</w:t>
            </w:r>
          </w:p>
        </w:tc>
        <w:tc>
          <w:tcPr>
            <w:tcW w:w="0" w:type="auto"/>
          </w:tcPr>
          <w:p w14:paraId="525ACE34" w14:textId="77777777" w:rsidR="00F455EA" w:rsidRPr="00F455EA" w:rsidRDefault="00F455EA" w:rsidP="00F455EA">
            <w:pPr>
              <w:pStyle w:val="NoSpacing"/>
            </w:pPr>
            <w:r w:rsidRPr="00F455EA">
              <w:t>0.34</w:t>
            </w:r>
          </w:p>
        </w:tc>
        <w:tc>
          <w:tcPr>
            <w:tcW w:w="0" w:type="auto"/>
          </w:tcPr>
          <w:p w14:paraId="00A58E97" w14:textId="77777777" w:rsidR="00F455EA" w:rsidRPr="00F455EA" w:rsidRDefault="00F455EA" w:rsidP="00F455EA">
            <w:pPr>
              <w:pStyle w:val="NoSpacing"/>
            </w:pPr>
            <w:r w:rsidRPr="00F455EA">
              <w:t>9</w:t>
            </w:r>
          </w:p>
        </w:tc>
        <w:tc>
          <w:tcPr>
            <w:tcW w:w="0" w:type="auto"/>
          </w:tcPr>
          <w:p w14:paraId="6A5BE755" w14:textId="77777777" w:rsidR="00F455EA" w:rsidRPr="00F455EA" w:rsidRDefault="00F455EA" w:rsidP="00F455EA">
            <w:pPr>
              <w:pStyle w:val="NoSpacing"/>
            </w:pPr>
            <w:r w:rsidRPr="00F455EA">
              <w:t>[–1.69, –0.15]</w:t>
            </w:r>
          </w:p>
        </w:tc>
        <w:tc>
          <w:tcPr>
            <w:tcW w:w="0" w:type="auto"/>
          </w:tcPr>
          <w:p w14:paraId="62C695B9" w14:textId="77777777" w:rsidR="00F455EA" w:rsidRPr="00F455EA" w:rsidRDefault="00F455EA" w:rsidP="00F455EA">
            <w:pPr>
              <w:pStyle w:val="NoSpacing"/>
            </w:pPr>
            <w:r w:rsidRPr="00F455EA">
              <w:t>−2.76*</w:t>
            </w:r>
          </w:p>
        </w:tc>
        <w:tc>
          <w:tcPr>
            <w:tcW w:w="0" w:type="auto"/>
          </w:tcPr>
          <w:p w14:paraId="776ACA72" w14:textId="77777777" w:rsidR="00F455EA" w:rsidRPr="00F455EA" w:rsidRDefault="00F455EA" w:rsidP="00F455EA">
            <w:pPr>
              <w:pStyle w:val="NoSpacing"/>
            </w:pPr>
            <w:r w:rsidRPr="00F455EA">
              <w:t>8</w:t>
            </w:r>
          </w:p>
        </w:tc>
        <w:tc>
          <w:tcPr>
            <w:tcW w:w="0" w:type="auto"/>
          </w:tcPr>
          <w:p w14:paraId="56E57B5D" w14:textId="77777777" w:rsidR="00F455EA" w:rsidRPr="00F455EA" w:rsidRDefault="00F455EA" w:rsidP="00F455EA">
            <w:pPr>
              <w:pStyle w:val="NoSpacing"/>
            </w:pPr>
            <w:r w:rsidRPr="00F455EA">
              <w:t>0.92</w:t>
            </w:r>
          </w:p>
        </w:tc>
      </w:tr>
      <w:tr w:rsidR="005158F9" w:rsidRPr="00F455EA" w14:paraId="646D9C07" w14:textId="77777777" w:rsidTr="002952B0">
        <w:trPr>
          <w:trHeight w:val="301"/>
        </w:trPr>
        <w:tc>
          <w:tcPr>
            <w:tcW w:w="0" w:type="auto"/>
          </w:tcPr>
          <w:p w14:paraId="57F4AC55" w14:textId="77777777" w:rsidR="00F455EA" w:rsidRPr="00F455EA" w:rsidRDefault="00F455EA" w:rsidP="00F455EA">
            <w:pPr>
              <w:pStyle w:val="NoSpacing"/>
            </w:pPr>
            <w:r w:rsidRPr="00F455EA">
              <w:t>F CHAOS</w:t>
            </w:r>
          </w:p>
        </w:tc>
        <w:tc>
          <w:tcPr>
            <w:tcW w:w="0" w:type="auto"/>
          </w:tcPr>
          <w:p w14:paraId="608415B7" w14:textId="77777777" w:rsidR="00F455EA" w:rsidRPr="00F455EA" w:rsidRDefault="00F455EA" w:rsidP="00F455EA">
            <w:pPr>
              <w:pStyle w:val="NoSpacing"/>
              <w:rPr>
                <w:i/>
                <w:iCs/>
              </w:rPr>
            </w:pPr>
            <w:r w:rsidRPr="00F455EA">
              <w:rPr>
                <w:i/>
                <w:iCs/>
              </w:rPr>
              <w:t>43.00</w:t>
            </w:r>
          </w:p>
        </w:tc>
        <w:tc>
          <w:tcPr>
            <w:tcW w:w="0" w:type="auto"/>
          </w:tcPr>
          <w:p w14:paraId="4641E958" w14:textId="77777777" w:rsidR="00F455EA" w:rsidRPr="00F455EA" w:rsidRDefault="00F455EA" w:rsidP="00F455EA">
            <w:pPr>
              <w:pStyle w:val="NoSpacing"/>
            </w:pPr>
            <w:r w:rsidRPr="00F455EA">
              <w:t>6.54</w:t>
            </w:r>
          </w:p>
        </w:tc>
        <w:tc>
          <w:tcPr>
            <w:tcW w:w="0" w:type="auto"/>
          </w:tcPr>
          <w:p w14:paraId="69A1A2F8" w14:textId="77777777" w:rsidR="00F455EA" w:rsidRPr="00F455EA" w:rsidRDefault="00F455EA" w:rsidP="00F455EA">
            <w:pPr>
              <w:pStyle w:val="NoSpacing"/>
            </w:pPr>
            <w:r w:rsidRPr="00F455EA">
              <w:t>9</w:t>
            </w:r>
          </w:p>
        </w:tc>
        <w:tc>
          <w:tcPr>
            <w:tcW w:w="0" w:type="auto"/>
          </w:tcPr>
          <w:p w14:paraId="78F5E14D" w14:textId="77777777" w:rsidR="00F455EA" w:rsidRPr="00F455EA" w:rsidRDefault="00F455EA" w:rsidP="00F455EA">
            <w:pPr>
              <w:pStyle w:val="NoSpacing"/>
            </w:pPr>
          </w:p>
        </w:tc>
        <w:tc>
          <w:tcPr>
            <w:tcW w:w="0" w:type="auto"/>
          </w:tcPr>
          <w:p w14:paraId="0BD145AE" w14:textId="77777777" w:rsidR="00F455EA" w:rsidRPr="00F455EA" w:rsidRDefault="00F455EA" w:rsidP="00F455EA">
            <w:pPr>
              <w:pStyle w:val="NoSpacing"/>
              <w:rPr>
                <w:i/>
                <w:iCs/>
              </w:rPr>
            </w:pPr>
            <w:r w:rsidRPr="00F455EA">
              <w:rPr>
                <w:i/>
                <w:iCs/>
              </w:rPr>
              <w:t>36.89</w:t>
            </w:r>
          </w:p>
        </w:tc>
        <w:tc>
          <w:tcPr>
            <w:tcW w:w="0" w:type="auto"/>
          </w:tcPr>
          <w:p w14:paraId="766ADDAE" w14:textId="77777777" w:rsidR="00F455EA" w:rsidRPr="00F455EA" w:rsidRDefault="00F455EA" w:rsidP="00F455EA">
            <w:pPr>
              <w:pStyle w:val="NoSpacing"/>
            </w:pPr>
            <w:r w:rsidRPr="00F455EA">
              <w:t>9.51</w:t>
            </w:r>
          </w:p>
        </w:tc>
        <w:tc>
          <w:tcPr>
            <w:tcW w:w="0" w:type="auto"/>
          </w:tcPr>
          <w:p w14:paraId="7CC74243" w14:textId="77777777" w:rsidR="00F455EA" w:rsidRPr="00F455EA" w:rsidRDefault="00F455EA" w:rsidP="00F455EA">
            <w:pPr>
              <w:pStyle w:val="NoSpacing"/>
            </w:pPr>
            <w:r w:rsidRPr="00F455EA">
              <w:t>9</w:t>
            </w:r>
          </w:p>
        </w:tc>
        <w:tc>
          <w:tcPr>
            <w:tcW w:w="0" w:type="auto"/>
          </w:tcPr>
          <w:p w14:paraId="0345ED78" w14:textId="77777777" w:rsidR="00F455EA" w:rsidRPr="00F455EA" w:rsidRDefault="00F455EA" w:rsidP="00F455EA">
            <w:pPr>
              <w:pStyle w:val="NoSpacing"/>
            </w:pPr>
            <w:r w:rsidRPr="00F455EA">
              <w:t>[–0.90, 13.12]</w:t>
            </w:r>
          </w:p>
        </w:tc>
        <w:tc>
          <w:tcPr>
            <w:tcW w:w="0" w:type="auto"/>
          </w:tcPr>
          <w:p w14:paraId="2CB3C214" w14:textId="77777777" w:rsidR="00F455EA" w:rsidRPr="00F455EA" w:rsidRDefault="00F455EA" w:rsidP="00F455EA">
            <w:pPr>
              <w:pStyle w:val="NoSpacing"/>
              <w:rPr>
                <w:vertAlign w:val="superscript"/>
              </w:rPr>
            </w:pPr>
            <w:r w:rsidRPr="00F455EA">
              <w:t>2.01</w:t>
            </w:r>
            <w:r w:rsidRPr="00F455EA">
              <w:rPr>
                <w:vertAlign w:val="superscript"/>
              </w:rPr>
              <w:t>†</w:t>
            </w:r>
          </w:p>
        </w:tc>
        <w:tc>
          <w:tcPr>
            <w:tcW w:w="0" w:type="auto"/>
          </w:tcPr>
          <w:p w14:paraId="07293690" w14:textId="77777777" w:rsidR="00F455EA" w:rsidRPr="00F455EA" w:rsidRDefault="00F455EA" w:rsidP="00F455EA">
            <w:pPr>
              <w:pStyle w:val="NoSpacing"/>
            </w:pPr>
            <w:r w:rsidRPr="00F455EA">
              <w:t>8</w:t>
            </w:r>
          </w:p>
        </w:tc>
        <w:tc>
          <w:tcPr>
            <w:tcW w:w="0" w:type="auto"/>
          </w:tcPr>
          <w:p w14:paraId="531EECC1" w14:textId="77777777" w:rsidR="00F455EA" w:rsidRPr="00F455EA" w:rsidRDefault="00F455EA" w:rsidP="00F455EA">
            <w:pPr>
              <w:pStyle w:val="NoSpacing"/>
            </w:pPr>
            <w:r w:rsidRPr="00F455EA">
              <w:t>0.67</w:t>
            </w:r>
          </w:p>
        </w:tc>
      </w:tr>
    </w:tbl>
    <w:p w14:paraId="2F42D198" w14:textId="1DD4C74C" w:rsidR="00450F81" w:rsidRDefault="00450F81" w:rsidP="00A07CCB">
      <w:pPr>
        <w:pStyle w:val="NoSpacing"/>
        <w:rPr>
          <w:rFonts w:cstheme="minorHAnsi"/>
        </w:rPr>
      </w:pPr>
      <w:r w:rsidRPr="00A07CCB">
        <w:rPr>
          <w:rFonts w:cstheme="minorHAnsi"/>
        </w:rPr>
        <w:t>Finally, using the same approach as previously described, repeated-measures ANOVAs were employed to examine whether CAT resulted in greater improvements in parental functioning than standard EBT. One marginally significant interaction emerged for mother-reported chaos, </w:t>
      </w:r>
      <w:proofErr w:type="gramStart"/>
      <w:r w:rsidRPr="00A07CCB">
        <w:rPr>
          <w:rFonts w:cstheme="minorHAnsi"/>
          <w:i/>
          <w:iCs/>
        </w:rPr>
        <w:t>F</w:t>
      </w:r>
      <w:r w:rsidRPr="00A07CCB">
        <w:rPr>
          <w:rFonts w:cstheme="minorHAnsi"/>
        </w:rPr>
        <w:t>(</w:t>
      </w:r>
      <w:proofErr w:type="gramEnd"/>
      <w:r w:rsidRPr="00A07CCB">
        <w:rPr>
          <w:rFonts w:cstheme="minorHAnsi"/>
        </w:rPr>
        <w:t>1, 56) = 2.9, </w:t>
      </w:r>
      <w:r w:rsidRPr="00A07CCB">
        <w:rPr>
          <w:rFonts w:cstheme="minorHAnsi"/>
          <w:i/>
          <w:iCs/>
        </w:rPr>
        <w:t>p</w:t>
      </w:r>
      <w:r w:rsidRPr="00A07CCB">
        <w:rPr>
          <w:rFonts w:cstheme="minorHAnsi"/>
        </w:rPr>
        <w:t> &lt; .10. As can be seen in </w:t>
      </w:r>
      <w:hyperlink r:id="rId92" w:tooltip="Open Figure Viewer" w:history="1">
        <w:r w:rsidRPr="00A07CCB">
          <w:rPr>
            <w:rStyle w:val="Hyperlink"/>
            <w:rFonts w:eastAsiaTheme="majorEastAsia" w:cstheme="minorHAnsi"/>
            <w:color w:val="006ACC"/>
          </w:rPr>
          <w:t>Figure 3</w:t>
        </w:r>
      </w:hyperlink>
      <w:r w:rsidRPr="00A07CCB">
        <w:rPr>
          <w:rFonts w:cstheme="minorHAnsi"/>
        </w:rPr>
        <w:t>, mothers who participated in CAT reported greater improvement in chaos in the home following treatment than parents who participated in standard EBT. The effect size was medium. No other Time × Treatment Condition interactions emerged.</w:t>
      </w:r>
    </w:p>
    <w:p w14:paraId="06EE6071" w14:textId="77777777" w:rsidR="00A07CCB" w:rsidRPr="00A07CCB" w:rsidRDefault="00A07CCB" w:rsidP="00A07CCB">
      <w:pPr>
        <w:pStyle w:val="NoSpacing"/>
        <w:rPr>
          <w:rFonts w:cstheme="minorHAnsi"/>
        </w:rPr>
      </w:pPr>
    </w:p>
    <w:p w14:paraId="316F752F" w14:textId="43FC5ED5" w:rsidR="00450F81" w:rsidRDefault="00450F81" w:rsidP="00450F81">
      <w:pPr>
        <w:shd w:val="clear" w:color="auto" w:fill="FFFFFF"/>
        <w:spacing w:line="390" w:lineRule="atLeast"/>
        <w:rPr>
          <w:rFonts w:ascii="Arial" w:hAnsi="Arial" w:cs="Arial"/>
          <w:color w:val="333333"/>
        </w:rPr>
      </w:pPr>
      <w:r>
        <w:rPr>
          <w:rFonts w:ascii="Arial" w:hAnsi="Arial" w:cs="Arial"/>
          <w:noProof/>
          <w:color w:val="006ACC"/>
        </w:rPr>
        <w:drawing>
          <wp:inline distT="0" distB="0" distL="0" distR="0" wp14:anchorId="05237FAE" wp14:editId="01F67A83">
            <wp:extent cx="3657600" cy="1773936"/>
            <wp:effectExtent l="0" t="0" r="0" b="0"/>
            <wp:docPr id="2" name="Picture 2" descr="&#10;                        figure&#10;                    ">
              <a:hlinkClick xmlns:a="http://schemas.openxmlformats.org/drawingml/2006/main" r:id="rId53" tooltip="&quot;Open Figure Viewer&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10;                        figure&#10;                    ">
                      <a:hlinkClick r:id="rId58" tooltip="&quot;Open Figure Viewer&quot;"/>
                    </pic:cNvPr>
                    <pic:cNvPicPr>
                      <a:picLocks noChangeAspect="1" noChangeArrowheads="1"/>
                    </pic:cNvPicPr>
                  </pic:nvPicPr>
                  <pic:blipFill>
                    <a:blip r:embed="rId93">
                      <a:extLst>
                        <a:ext uri="{28A0092B-C50C-407E-A947-70E740481C1C}">
                          <a14:useLocalDpi xmlns:a14="http://schemas.microsoft.com/office/drawing/2010/main" val="0"/>
                        </a:ext>
                      </a:extLst>
                    </a:blip>
                    <a:srcRect/>
                    <a:stretch>
                      <a:fillRect/>
                    </a:stretch>
                  </pic:blipFill>
                  <pic:spPr bwMode="auto">
                    <a:xfrm>
                      <a:off x="0" y="0"/>
                      <a:ext cx="3657600" cy="1773936"/>
                    </a:xfrm>
                    <a:prstGeom prst="rect">
                      <a:avLst/>
                    </a:prstGeom>
                    <a:noFill/>
                    <a:ln>
                      <a:noFill/>
                    </a:ln>
                  </pic:spPr>
                </pic:pic>
              </a:graphicData>
            </a:graphic>
          </wp:inline>
        </w:drawing>
      </w:r>
    </w:p>
    <w:p w14:paraId="1BEF520F" w14:textId="30E2F581" w:rsidR="00450F81" w:rsidRDefault="00450F81" w:rsidP="00A07CCB">
      <w:pPr>
        <w:pStyle w:val="NoSpacing"/>
      </w:pPr>
      <w:r w:rsidRPr="00A07CCB">
        <w:rPr>
          <w:rStyle w:val="captionlabel"/>
          <w:b/>
          <w:bCs/>
        </w:rPr>
        <w:t>Figure 3</w:t>
      </w:r>
      <w:r w:rsidRPr="00A07CCB">
        <w:rPr>
          <w:rStyle w:val="captionlabel"/>
        </w:rPr>
        <w:t>.</w:t>
      </w:r>
      <w:r w:rsidRPr="00A07CCB">
        <w:t> Change in mother-reported chaos from pretreatment (Time 1) to posttreatment (Time 2) by treatment condition.</w:t>
      </w:r>
    </w:p>
    <w:p w14:paraId="0DF13507" w14:textId="77777777" w:rsidR="005563B0" w:rsidRPr="00A07CCB" w:rsidRDefault="005563B0" w:rsidP="00A07CCB">
      <w:pPr>
        <w:pStyle w:val="NoSpacing"/>
      </w:pPr>
    </w:p>
    <w:p w14:paraId="472BD5F3" w14:textId="77777777" w:rsidR="00450F81" w:rsidRDefault="00450F81" w:rsidP="005563B0">
      <w:pPr>
        <w:pStyle w:val="NoSpacing"/>
      </w:pPr>
      <w:r w:rsidRPr="00500AE7">
        <w:rPr>
          <w:b/>
          <w:bCs/>
        </w:rPr>
        <w:t>Note.</w:t>
      </w:r>
      <w:r>
        <w:t> CHAOS = Chaos, Hubbub, and Order Scale sum; ST = standard evidence-based treatment; CAT = culturally adapted evidence-based treatment.</w:t>
      </w:r>
    </w:p>
    <w:p w14:paraId="77BBB692" w14:textId="77777777" w:rsidR="00450F81" w:rsidRDefault="00450F81" w:rsidP="00EB1A84">
      <w:pPr>
        <w:pStyle w:val="Heading1"/>
      </w:pPr>
      <w:bookmarkStart w:id="9" w:name="_i50"/>
      <w:bookmarkEnd w:id="9"/>
      <w:r>
        <w:t>Discussion</w:t>
      </w:r>
    </w:p>
    <w:p w14:paraId="7758036F" w14:textId="62FB26D7" w:rsidR="00450F81" w:rsidRPr="00500AE7" w:rsidRDefault="00450F81" w:rsidP="00500AE7">
      <w:pPr>
        <w:pStyle w:val="NoSpacing"/>
        <w:rPr>
          <w:rFonts w:cstheme="minorHAnsi"/>
        </w:rPr>
      </w:pPr>
      <w:r w:rsidRPr="00500AE7">
        <w:rPr>
          <w:rFonts w:cstheme="minorHAnsi"/>
        </w:rPr>
        <w:t>To combat current mental health disparities in the United States, research is needed on effective treatments for many childhood disorders in ethnic minority youth. This need is particularly strong for ADHD given its prevalence and developmental trajectory, and for Latino youth who are estimated to account for nearly 40% of the children in the United States by 2060 (</w:t>
      </w:r>
      <w:hyperlink r:id="rId94" w:history="1">
        <w:r w:rsidRPr="00500AE7">
          <w:rPr>
            <w:rStyle w:val="Hyperlink"/>
            <w:rFonts w:eastAsiaTheme="majorEastAsia" w:cstheme="minorHAnsi"/>
            <w:color w:val="006ACC"/>
          </w:rPr>
          <w:t>Alegría et al., 2010</w:t>
        </w:r>
      </w:hyperlink>
      <w:r w:rsidRPr="00500AE7">
        <w:rPr>
          <w:rFonts w:cstheme="minorHAnsi"/>
        </w:rPr>
        <w:t>; </w:t>
      </w:r>
      <w:hyperlink r:id="rId95" w:history="1">
        <w:r w:rsidRPr="00500AE7">
          <w:rPr>
            <w:rStyle w:val="Hyperlink"/>
            <w:rFonts w:eastAsiaTheme="majorEastAsia" w:cstheme="minorHAnsi"/>
            <w:color w:val="006ACC"/>
          </w:rPr>
          <w:t>American Psychiatric Association, 2013</w:t>
        </w:r>
      </w:hyperlink>
      <w:r w:rsidRPr="00500AE7">
        <w:rPr>
          <w:rFonts w:cstheme="minorHAnsi"/>
        </w:rPr>
        <w:t>; </w:t>
      </w:r>
      <w:hyperlink r:id="rId96" w:history="1">
        <w:r w:rsidRPr="00500AE7">
          <w:rPr>
            <w:rStyle w:val="Hyperlink"/>
            <w:rFonts w:eastAsiaTheme="majorEastAsia" w:cstheme="minorHAnsi"/>
            <w:color w:val="006ACC"/>
          </w:rPr>
          <w:t>Eiraldi &amp; Diaz, 2010</w:t>
        </w:r>
      </w:hyperlink>
      <w:r w:rsidRPr="00500AE7">
        <w:rPr>
          <w:rFonts w:cstheme="minorHAnsi"/>
        </w:rPr>
        <w:t>; </w:t>
      </w:r>
      <w:hyperlink r:id="rId97" w:history="1">
        <w:r w:rsidRPr="00500AE7">
          <w:rPr>
            <w:rStyle w:val="Hyperlink"/>
            <w:rFonts w:eastAsiaTheme="majorEastAsia" w:cstheme="minorHAnsi"/>
            <w:color w:val="006ACC"/>
          </w:rPr>
          <w:t>U.S. Census Bureau, 2015</w:t>
        </w:r>
      </w:hyperlink>
      <w:r w:rsidRPr="00500AE7">
        <w:rPr>
          <w:rFonts w:cstheme="minorHAnsi"/>
        </w:rPr>
        <w:t>). Providing effective treatment for ADHD in Latino youth will likely prevent continued difficulties and impairment in adulthood, which will lessen future mental health disparities for Latino adults. Thus, the current feasibility and pilot study was the first to compare CAT for ADHD to standard EBT, and it was the first to examine treatment outcomes for ADHD in Latino youth from families less oriented to U.S. mainstream culture. Apart from two trends favoring CAT, CAT and standard EBT were equally effective when examining traditional treatment outcomes. Both resulted in significant improvements in parent- and teacher-reported ADHD symptoms and functional impairment, as well as mother- and father-reported parental functioning. This is impressive considering the robustness of standard EBT, especially when delivered by culturally competent staff. CAT outperformed standard EBT when examining several engagement and acceptability outcomes.</w:t>
      </w:r>
    </w:p>
    <w:p w14:paraId="580DF5AC" w14:textId="77777777" w:rsidR="00500AE7" w:rsidRPr="00500AE7" w:rsidRDefault="00500AE7" w:rsidP="00500AE7">
      <w:pPr>
        <w:pStyle w:val="NoSpacing"/>
        <w:rPr>
          <w:rFonts w:cstheme="minorHAnsi"/>
        </w:rPr>
      </w:pPr>
    </w:p>
    <w:p w14:paraId="0688B808" w14:textId="77777777" w:rsidR="00450F81" w:rsidRDefault="00450F81" w:rsidP="00EB1A84">
      <w:pPr>
        <w:pStyle w:val="Heading2"/>
      </w:pPr>
      <w:r>
        <w:lastRenderedPageBreak/>
        <w:t>Engagement and Acceptability Outcomes</w:t>
      </w:r>
    </w:p>
    <w:p w14:paraId="4608C460" w14:textId="3F038AA7" w:rsidR="00450F81" w:rsidRPr="00500AE7" w:rsidRDefault="00450F81" w:rsidP="00500AE7">
      <w:pPr>
        <w:pStyle w:val="NoSpacing"/>
        <w:rPr>
          <w:rFonts w:cstheme="minorHAnsi"/>
        </w:rPr>
      </w:pPr>
      <w:r w:rsidRPr="00500AE7">
        <w:rPr>
          <w:rFonts w:cstheme="minorHAnsi"/>
        </w:rPr>
        <w:t xml:space="preserve">One of the </w:t>
      </w:r>
      <w:proofErr w:type="gramStart"/>
      <w:r w:rsidRPr="00500AE7">
        <w:rPr>
          <w:rFonts w:cstheme="minorHAnsi"/>
        </w:rPr>
        <w:t>primary</w:t>
      </w:r>
      <w:proofErr w:type="gramEnd"/>
      <w:r w:rsidRPr="00500AE7">
        <w:rPr>
          <w:rFonts w:cstheme="minorHAnsi"/>
        </w:rPr>
        <w:t xml:space="preserve"> aims of the current study was to explore whether CAT results in better engagement and acceptability outcomes (i.e., parental attendance, retention, engagement, and satisfaction) than standard EBT. This was an integral aim, as previous research indicates that ethnic minority families tend to be less engaged in psychosocial treatments and are more likely to drop out of treatment than European American families (</w:t>
      </w:r>
      <w:hyperlink r:id="rId98" w:history="1">
        <w:r w:rsidRPr="00500AE7">
          <w:rPr>
            <w:rStyle w:val="Hyperlink"/>
            <w:rFonts w:eastAsiaTheme="majorEastAsia" w:cstheme="minorHAnsi"/>
            <w:color w:val="006ACC"/>
          </w:rPr>
          <w:t>Flores &amp; The Committee on Pediatric Research, 2010</w:t>
        </w:r>
      </w:hyperlink>
      <w:r w:rsidRPr="00500AE7">
        <w:rPr>
          <w:rFonts w:cstheme="minorHAnsi"/>
        </w:rPr>
        <w:t>; </w:t>
      </w:r>
      <w:hyperlink r:id="rId99" w:history="1">
        <w:r w:rsidRPr="00500AE7">
          <w:rPr>
            <w:rStyle w:val="Hyperlink"/>
            <w:rFonts w:eastAsiaTheme="majorEastAsia" w:cstheme="minorHAnsi"/>
            <w:color w:val="006ACC"/>
          </w:rPr>
          <w:t>Nock &amp; Ferriter, 2005</w:t>
        </w:r>
      </w:hyperlink>
      <w:r w:rsidRPr="00500AE7">
        <w:rPr>
          <w:rFonts w:cstheme="minorHAnsi"/>
        </w:rPr>
        <w:t xml:space="preserve">), which puts them at an obvious disadvantage to benefit from treatment. Families who participated in CAT demonstrated greater engagement in treatment by completing their homework more frequently than families who participated in standard EBT, and mothers reported greater satisfaction with CAT than standard EBT. Similarly, trends demonstrated that parents who participated in CAT attended more treatment sessions/classes and were more likely to complete treatment than parents who participated in standard EBT. This is particularly impressive given that both treatment conditions experienced high rates of parental attendance, engagement, retention, and satisfaction with treatment. In addition, it is noteworthy that more fathers participated in CAT than in standard EBT. More research is needed to identify which adaptations </w:t>
      </w:r>
      <w:proofErr w:type="gramStart"/>
      <w:r w:rsidRPr="00500AE7">
        <w:rPr>
          <w:rFonts w:cstheme="minorHAnsi"/>
        </w:rPr>
        <w:t>in particular may</w:t>
      </w:r>
      <w:proofErr w:type="gramEnd"/>
      <w:r w:rsidRPr="00500AE7">
        <w:rPr>
          <w:rFonts w:cstheme="minorHAnsi"/>
        </w:rPr>
        <w:t xml:space="preserve"> have been helpful in promoting father participation in treatment.</w:t>
      </w:r>
    </w:p>
    <w:p w14:paraId="05EB0775" w14:textId="77777777" w:rsidR="00500AE7" w:rsidRPr="00500AE7" w:rsidRDefault="00500AE7" w:rsidP="00500AE7">
      <w:pPr>
        <w:pStyle w:val="NoSpacing"/>
        <w:rPr>
          <w:rFonts w:cstheme="minorHAnsi"/>
        </w:rPr>
      </w:pPr>
    </w:p>
    <w:p w14:paraId="59627CED" w14:textId="2489BE5D" w:rsidR="00450F81" w:rsidRPr="00500AE7" w:rsidRDefault="00450F81" w:rsidP="00500AE7">
      <w:pPr>
        <w:pStyle w:val="NoSpacing"/>
        <w:rPr>
          <w:rFonts w:cstheme="minorHAnsi"/>
        </w:rPr>
      </w:pPr>
      <w:r w:rsidRPr="00500AE7">
        <w:rPr>
          <w:rFonts w:cstheme="minorHAnsi"/>
        </w:rPr>
        <w:t>The current findings support previous arguments that culturally adapted interventions may be necessary to increase both retention and engagement of ethnic minority families in psychosocial treatments (</w:t>
      </w:r>
      <w:hyperlink r:id="rId100" w:history="1">
        <w:r w:rsidRPr="00500AE7">
          <w:rPr>
            <w:rStyle w:val="Hyperlink"/>
            <w:rFonts w:eastAsiaTheme="majorEastAsia" w:cstheme="minorHAnsi"/>
            <w:color w:val="006ACC"/>
          </w:rPr>
          <w:t>Kumpfer, Alvarado, Smith, &amp; Bellamy, 2002</w:t>
        </w:r>
      </w:hyperlink>
      <w:r w:rsidRPr="00500AE7">
        <w:rPr>
          <w:rFonts w:cstheme="minorHAnsi"/>
        </w:rPr>
        <w:t>). Furthermore, given that parental attendance, engagement, and retention are integral components to families benefiting from treatment and observing improvements in more traditional treatment outcomes, the current study provides additional support for the growing body of literature highlighting the need for and benefits of culturally adapted treatments for ethnic minority families (</w:t>
      </w:r>
      <w:hyperlink r:id="rId101" w:history="1">
        <w:r w:rsidRPr="00500AE7">
          <w:rPr>
            <w:rStyle w:val="Hyperlink"/>
            <w:rFonts w:eastAsiaTheme="majorEastAsia" w:cstheme="minorHAnsi"/>
            <w:color w:val="006ACC"/>
          </w:rPr>
          <w:t>Griner &amp; Smith, 2006</w:t>
        </w:r>
      </w:hyperlink>
      <w:r w:rsidRPr="00500AE7">
        <w:rPr>
          <w:rFonts w:cstheme="minorHAnsi"/>
        </w:rPr>
        <w:t>; </w:t>
      </w:r>
      <w:hyperlink r:id="rId102" w:history="1">
        <w:r w:rsidRPr="00500AE7">
          <w:rPr>
            <w:rStyle w:val="Hyperlink"/>
            <w:rFonts w:eastAsiaTheme="majorEastAsia" w:cstheme="minorHAnsi"/>
            <w:color w:val="006ACC"/>
          </w:rPr>
          <w:t>Huey &amp; Polo, 2008</w:t>
        </w:r>
      </w:hyperlink>
      <w:r w:rsidRPr="00500AE7">
        <w:rPr>
          <w:rFonts w:cstheme="minorHAnsi"/>
        </w:rPr>
        <w:t>; </w:t>
      </w:r>
      <w:hyperlink r:id="rId103" w:history="1">
        <w:r w:rsidRPr="00500AE7">
          <w:rPr>
            <w:rStyle w:val="Hyperlink"/>
            <w:rFonts w:eastAsiaTheme="majorEastAsia" w:cstheme="minorHAnsi"/>
            <w:color w:val="006ACC"/>
          </w:rPr>
          <w:t>Miranda et al., 2005</w:t>
        </w:r>
      </w:hyperlink>
      <w:r w:rsidRPr="00500AE7">
        <w:rPr>
          <w:rFonts w:cstheme="minorHAnsi"/>
        </w:rPr>
        <w:t>).</w:t>
      </w:r>
    </w:p>
    <w:p w14:paraId="5358CBBA" w14:textId="77777777" w:rsidR="00500AE7" w:rsidRPr="00500AE7" w:rsidRDefault="00500AE7" w:rsidP="00500AE7">
      <w:pPr>
        <w:pStyle w:val="NoSpacing"/>
        <w:rPr>
          <w:rFonts w:cstheme="minorHAnsi"/>
        </w:rPr>
      </w:pPr>
    </w:p>
    <w:p w14:paraId="325F7913" w14:textId="108C8586" w:rsidR="00450F81" w:rsidRPr="00500AE7" w:rsidRDefault="00450F81" w:rsidP="00500AE7">
      <w:pPr>
        <w:pStyle w:val="NoSpacing"/>
        <w:rPr>
          <w:rFonts w:cstheme="minorHAnsi"/>
        </w:rPr>
      </w:pPr>
      <w:r w:rsidRPr="00500AE7">
        <w:rPr>
          <w:rFonts w:cstheme="minorHAnsi"/>
        </w:rPr>
        <w:t>It is important to note that CAT included several adaptations that were not solely related to culture (e.g., location and home visits). CAT was conducted at a neighborhood community center serving Latino families, whereas standard EBT was held at a university-based clinic. CAT also included two home visits that were not part of standard EBT. These setting and dosage differences may fully or partially explain why CAT resulted in greater parental engagement and satisfaction with treatment than standard EBT. As </w:t>
      </w:r>
      <w:hyperlink r:id="rId104" w:history="1">
        <w:r w:rsidRPr="00500AE7">
          <w:rPr>
            <w:rStyle w:val="Hyperlink"/>
            <w:rFonts w:eastAsiaTheme="majorEastAsia" w:cstheme="minorHAnsi"/>
            <w:color w:val="006ACC"/>
          </w:rPr>
          <w:t>Baumann and colleagues (2015)</w:t>
        </w:r>
      </w:hyperlink>
      <w:r w:rsidRPr="00500AE7">
        <w:rPr>
          <w:rFonts w:cstheme="minorHAnsi"/>
        </w:rPr>
        <w:t> point out in their review, cultural adaptation research still needs to tease apart </w:t>
      </w:r>
      <w:r w:rsidRPr="00500AE7">
        <w:rPr>
          <w:rFonts w:cstheme="minorHAnsi"/>
          <w:i/>
          <w:iCs/>
        </w:rPr>
        <w:t>which</w:t>
      </w:r>
      <w:r w:rsidRPr="00500AE7">
        <w:rPr>
          <w:rFonts w:cstheme="minorHAnsi"/>
        </w:rPr>
        <w:t>adaptations are essential to treatment efficacy.</w:t>
      </w:r>
    </w:p>
    <w:p w14:paraId="79EB2F2E" w14:textId="77777777" w:rsidR="00500AE7" w:rsidRPr="00500AE7" w:rsidRDefault="00500AE7" w:rsidP="00500AE7">
      <w:pPr>
        <w:pStyle w:val="NoSpacing"/>
        <w:rPr>
          <w:rFonts w:cstheme="minorHAnsi"/>
        </w:rPr>
      </w:pPr>
    </w:p>
    <w:p w14:paraId="13B493BD" w14:textId="77777777" w:rsidR="00450F81" w:rsidRDefault="00450F81" w:rsidP="00EB1A84">
      <w:pPr>
        <w:pStyle w:val="Heading2"/>
      </w:pPr>
      <w:r>
        <w:t>ADHD Symptomatology and Functioning Outcomes</w:t>
      </w:r>
    </w:p>
    <w:p w14:paraId="1194783A" w14:textId="491C7587" w:rsidR="00450F81" w:rsidRPr="00500AE7" w:rsidRDefault="00450F81" w:rsidP="00500AE7">
      <w:pPr>
        <w:pStyle w:val="NoSpacing"/>
        <w:rPr>
          <w:rFonts w:cstheme="minorHAnsi"/>
        </w:rPr>
      </w:pPr>
      <w:r w:rsidRPr="00500AE7">
        <w:rPr>
          <w:rFonts w:cstheme="minorHAnsi"/>
        </w:rPr>
        <w:t>The other two aims of the current study involved examination of more traditional treatment outcomes. Specifically, the second aim was to explore whether CAT results in improvements in ADHD symptomatology and functioning and to explore whether CAT results in similar or greater improvements than standard EBT. As expected, parents and teachers reported less inattention and less functional impairment at the end of CAT relative to baseline. Similarly, a trend also indicated that parents reported less hyperactivity/impulsivity following CAT relative to baseline. Importantly, these findings are even more robust than those reported for the initial pilot of CAT (</w:t>
      </w:r>
      <w:r w:rsidRPr="00500AE7">
        <w:rPr>
          <w:rFonts w:cstheme="minorHAnsi"/>
          <w:i/>
          <w:iCs/>
        </w:rPr>
        <w:t>n</w:t>
      </w:r>
      <w:r w:rsidRPr="00500AE7">
        <w:rPr>
          <w:rFonts w:cstheme="minorHAnsi"/>
        </w:rPr>
        <w:t> = 5; </w:t>
      </w:r>
      <w:hyperlink r:id="rId105" w:history="1">
        <w:r w:rsidRPr="00500AE7">
          <w:rPr>
            <w:rStyle w:val="Hyperlink"/>
            <w:rFonts w:eastAsiaTheme="majorEastAsia" w:cstheme="minorHAnsi"/>
            <w:color w:val="006ACC"/>
          </w:rPr>
          <w:t>Gerdes et al., 2015</w:t>
        </w:r>
      </w:hyperlink>
      <w:r w:rsidRPr="00500AE7">
        <w:rPr>
          <w:rFonts w:cstheme="minorHAnsi"/>
        </w:rPr>
        <w:t>).</w:t>
      </w:r>
    </w:p>
    <w:p w14:paraId="63D5AA8F" w14:textId="77777777" w:rsidR="00500AE7" w:rsidRPr="00500AE7" w:rsidRDefault="00500AE7" w:rsidP="00500AE7">
      <w:pPr>
        <w:pStyle w:val="NoSpacing"/>
        <w:rPr>
          <w:rFonts w:cstheme="minorHAnsi"/>
        </w:rPr>
      </w:pPr>
    </w:p>
    <w:p w14:paraId="07D51640" w14:textId="16FD2D15" w:rsidR="00450F81" w:rsidRPr="00500AE7" w:rsidRDefault="00450F81" w:rsidP="00500AE7">
      <w:pPr>
        <w:pStyle w:val="NoSpacing"/>
        <w:rPr>
          <w:rFonts w:cstheme="minorHAnsi"/>
        </w:rPr>
      </w:pPr>
      <w:r w:rsidRPr="00500AE7">
        <w:rPr>
          <w:rFonts w:cstheme="minorHAnsi"/>
        </w:rPr>
        <w:t xml:space="preserve">With one exception for parent-reported inattention, CAT did not statistically differ from standard EBT when examining ADHD symptomatology and functioning outcomes. </w:t>
      </w:r>
      <w:proofErr w:type="gramStart"/>
      <w:r w:rsidRPr="00500AE7">
        <w:rPr>
          <w:rFonts w:cstheme="minorHAnsi"/>
        </w:rPr>
        <w:t>Similar to</w:t>
      </w:r>
      <w:proofErr w:type="gramEnd"/>
      <w:r w:rsidRPr="00500AE7">
        <w:rPr>
          <w:rFonts w:cstheme="minorHAnsi"/>
        </w:rPr>
        <w:t xml:space="preserve"> CAT, standard treatment resulted in improvements in most outcome measures, including teacher-reported ADHD symptoms and parent- and teacher-reported functioning. This is most likely due to the strength of both interventions that were delivered by culturally competent staff. As has been noted in existing studies (e.g., </w:t>
      </w:r>
      <w:hyperlink r:id="rId106" w:history="1">
        <w:r w:rsidRPr="00500AE7">
          <w:rPr>
            <w:rStyle w:val="Hyperlink"/>
            <w:rFonts w:eastAsiaTheme="majorEastAsia" w:cstheme="minorHAnsi"/>
            <w:color w:val="006ACC"/>
          </w:rPr>
          <w:t>McCabe &amp; Yeh, 2009</w:t>
        </w:r>
      </w:hyperlink>
      <w:r w:rsidRPr="00500AE7">
        <w:rPr>
          <w:rFonts w:cstheme="minorHAnsi"/>
        </w:rPr>
        <w:t xml:space="preserve">), it is very difficult to statistically outperform an established, evidence-based intervention. In the current study, standard EBT also was delivered by culturally competent staff, the importance of which cannot be understated and likely resulted in an improved EBT even without any adaptations specific to culture. For example, coleaders were attuned to cultural </w:t>
      </w:r>
      <w:r w:rsidRPr="00500AE7">
        <w:rPr>
          <w:rFonts w:cstheme="minorHAnsi"/>
        </w:rPr>
        <w:lastRenderedPageBreak/>
        <w:t>beliefs that may result in parental discomfort about some sessions (e.g., time out) and were open to discussing and validating parental concerns as part of the treatment session.</w:t>
      </w:r>
    </w:p>
    <w:p w14:paraId="09B73F25" w14:textId="77777777" w:rsidR="00500AE7" w:rsidRPr="00500AE7" w:rsidRDefault="00500AE7" w:rsidP="00500AE7">
      <w:pPr>
        <w:pStyle w:val="NoSpacing"/>
        <w:rPr>
          <w:rFonts w:cstheme="minorHAnsi"/>
        </w:rPr>
      </w:pPr>
    </w:p>
    <w:p w14:paraId="14C34C2D" w14:textId="55FE30FA" w:rsidR="00450F81" w:rsidRPr="00500AE7" w:rsidRDefault="00450F81" w:rsidP="00500AE7">
      <w:pPr>
        <w:pStyle w:val="NoSpacing"/>
        <w:rPr>
          <w:rFonts w:cstheme="minorHAnsi"/>
        </w:rPr>
      </w:pPr>
      <w:r w:rsidRPr="00500AE7">
        <w:rPr>
          <w:rFonts w:cstheme="minorHAnsi"/>
        </w:rPr>
        <w:t>These are important findings, as they are the first published findings demonstrating the effectiveness of both standard PMT, as well as culturally adapted PMT at improving child behavior in Latino youth with ADHD from families less oriented to U.S. mainstream culture. Until now, research examining PMT had established its effectiveness at improving child behavior in youth with ADHD from predominantly European American families or Latino families more oriented to U.S. mainstream culture (</w:t>
      </w:r>
      <w:hyperlink r:id="rId107" w:history="1">
        <w:r w:rsidRPr="00500AE7">
          <w:rPr>
            <w:rStyle w:val="Hyperlink"/>
            <w:rFonts w:eastAsiaTheme="majorEastAsia" w:cstheme="minorHAnsi"/>
            <w:color w:val="006ACC"/>
          </w:rPr>
          <w:t>Arnold et al., 2003</w:t>
        </w:r>
      </w:hyperlink>
      <w:r w:rsidRPr="00500AE7">
        <w:rPr>
          <w:rFonts w:cstheme="minorHAnsi"/>
        </w:rPr>
        <w:t>; </w:t>
      </w:r>
      <w:hyperlink r:id="rId108" w:history="1">
        <w:r w:rsidRPr="00500AE7">
          <w:rPr>
            <w:rStyle w:val="Hyperlink"/>
            <w:rFonts w:eastAsiaTheme="majorEastAsia" w:cstheme="minorHAnsi"/>
            <w:color w:val="006ACC"/>
          </w:rPr>
          <w:t>Pelham &amp; Fabiano, 2008</w:t>
        </w:r>
      </w:hyperlink>
      <w:r w:rsidRPr="00500AE7">
        <w:rPr>
          <w:rFonts w:cstheme="minorHAnsi"/>
        </w:rPr>
        <w:t>).</w:t>
      </w:r>
    </w:p>
    <w:p w14:paraId="13A9CC0D" w14:textId="77777777" w:rsidR="00500AE7" w:rsidRPr="00500AE7" w:rsidRDefault="00500AE7" w:rsidP="00500AE7">
      <w:pPr>
        <w:pStyle w:val="NoSpacing"/>
        <w:rPr>
          <w:rFonts w:cstheme="minorHAnsi"/>
        </w:rPr>
      </w:pPr>
    </w:p>
    <w:p w14:paraId="234E134C" w14:textId="77777777" w:rsidR="00450F81" w:rsidRDefault="00450F81" w:rsidP="00EB1A84">
      <w:pPr>
        <w:pStyle w:val="Heading2"/>
      </w:pPr>
      <w:r>
        <w:t>Parental and Family Functioning Outcomes</w:t>
      </w:r>
    </w:p>
    <w:p w14:paraId="0546FFE3" w14:textId="42715FE9" w:rsidR="00450F81" w:rsidRPr="00BF37AA" w:rsidRDefault="00450F81" w:rsidP="00BF37AA">
      <w:pPr>
        <w:pStyle w:val="NoSpacing"/>
        <w:rPr>
          <w:rFonts w:cstheme="minorHAnsi"/>
        </w:rPr>
      </w:pPr>
      <w:r w:rsidRPr="00BF37AA">
        <w:rPr>
          <w:rFonts w:cstheme="minorHAnsi"/>
        </w:rPr>
        <w:t>The final aim was to explore whether CAT results in improvements in parental and family functioning (i.e., parenting stress, parental efficacy, and family chaos) and to explore whether CAT results in similar or greater improvements than standard EBT. As expected, mothers and fathers reported improvements in parenting stress and parental efficacy and mothers reported less chaos in the home following CAT relative to baseline. Similar to the previously reported child outcomes, these findings are even stronger than expected based on the initial, small pilot of CAT (</w:t>
      </w:r>
      <w:hyperlink r:id="rId109" w:history="1">
        <w:r w:rsidRPr="00BF37AA">
          <w:rPr>
            <w:rStyle w:val="Hyperlink"/>
            <w:rFonts w:eastAsiaTheme="majorEastAsia" w:cstheme="minorHAnsi"/>
            <w:color w:val="006ACC"/>
          </w:rPr>
          <w:t>Gerdes et al., 2015</w:t>
        </w:r>
      </w:hyperlink>
      <w:r w:rsidRPr="00BF37AA">
        <w:rPr>
          <w:rFonts w:cstheme="minorHAnsi"/>
        </w:rPr>
        <w:t>).</w:t>
      </w:r>
    </w:p>
    <w:p w14:paraId="12793D72" w14:textId="77777777" w:rsidR="00BF37AA" w:rsidRPr="00BF37AA" w:rsidRDefault="00BF37AA" w:rsidP="00BF37AA">
      <w:pPr>
        <w:pStyle w:val="NoSpacing"/>
        <w:rPr>
          <w:rFonts w:cstheme="minorHAnsi"/>
        </w:rPr>
      </w:pPr>
    </w:p>
    <w:p w14:paraId="0FD36090" w14:textId="5037030C" w:rsidR="00450F81" w:rsidRPr="00BF37AA" w:rsidRDefault="00450F81" w:rsidP="00BF37AA">
      <w:pPr>
        <w:pStyle w:val="NoSpacing"/>
        <w:rPr>
          <w:rFonts w:cstheme="minorHAnsi"/>
        </w:rPr>
      </w:pPr>
      <w:r w:rsidRPr="00BF37AA">
        <w:rPr>
          <w:rFonts w:cstheme="minorHAnsi"/>
        </w:rPr>
        <w:t>With one exception for mother-reported chaos, CAT did not statistically differ from standard EBT when examining parental functioning outcomes. Standard EBT also resulted in improvements in maternal parenting stress, as well as maternal and paternal parental efficacy. As mentioned previously, the robustness of both interventions likely made it difficult for CAT to statistically outperform standard EBT, especially when delivered by culturally competent staff.</w:t>
      </w:r>
    </w:p>
    <w:p w14:paraId="697CCBE2" w14:textId="77777777" w:rsidR="00BF37AA" w:rsidRPr="00BF37AA" w:rsidRDefault="00BF37AA" w:rsidP="00BF37AA">
      <w:pPr>
        <w:pStyle w:val="NoSpacing"/>
        <w:rPr>
          <w:rFonts w:cstheme="minorHAnsi"/>
        </w:rPr>
      </w:pPr>
    </w:p>
    <w:p w14:paraId="3B2C3786" w14:textId="73A685D9" w:rsidR="00450F81" w:rsidRPr="00BF37AA" w:rsidRDefault="00450F81" w:rsidP="00BF37AA">
      <w:pPr>
        <w:pStyle w:val="NoSpacing"/>
        <w:rPr>
          <w:rFonts w:cstheme="minorHAnsi"/>
        </w:rPr>
      </w:pPr>
      <w:r w:rsidRPr="00BF37AA">
        <w:rPr>
          <w:rFonts w:cstheme="minorHAnsi"/>
        </w:rPr>
        <w:t>Previous research has documented that relative to parents of comparison youth, parents of youth with ADHD experience poorer functioning in many domains, including their own mental health, as well as their cognitions and affect related to parenting (for a review, see </w:t>
      </w:r>
      <w:hyperlink r:id="rId110" w:history="1">
        <w:r w:rsidRPr="00BF37AA">
          <w:rPr>
            <w:rStyle w:val="Hyperlink"/>
            <w:rFonts w:eastAsiaTheme="majorEastAsia" w:cstheme="minorHAnsi"/>
            <w:color w:val="006ACC"/>
          </w:rPr>
          <w:t>Johnston &amp; Mash, 2001</w:t>
        </w:r>
      </w:hyperlink>
      <w:r w:rsidRPr="00BF37AA">
        <w:rPr>
          <w:rFonts w:cstheme="minorHAnsi"/>
        </w:rPr>
        <w:t>). Thus, the current findings are particularly noteworthy, as they add to the small body of ADHD treatment outcome literature demonstrating improvements in parental functioning following PMT for youth with ADHD (</w:t>
      </w:r>
      <w:hyperlink r:id="rId111" w:history="1">
        <w:r w:rsidRPr="00BF37AA">
          <w:rPr>
            <w:rStyle w:val="Hyperlink"/>
            <w:rFonts w:eastAsiaTheme="majorEastAsia" w:cstheme="minorHAnsi"/>
            <w:color w:val="006ACC"/>
          </w:rPr>
          <w:t>Gerdes et al., 2012</w:t>
        </w:r>
      </w:hyperlink>
      <w:r w:rsidRPr="00BF37AA">
        <w:rPr>
          <w:rFonts w:cstheme="minorHAnsi"/>
        </w:rPr>
        <w:t>). Improvements in parental functioning likely are crucial to ensuring that parents continue to consistently implement the skills and strategies taught during PMT, which will allow for the maintenance of child improvements.</w:t>
      </w:r>
    </w:p>
    <w:p w14:paraId="5669D37C" w14:textId="77777777" w:rsidR="00BF37AA" w:rsidRPr="00BF37AA" w:rsidRDefault="00BF37AA" w:rsidP="00BF37AA">
      <w:pPr>
        <w:pStyle w:val="NoSpacing"/>
        <w:rPr>
          <w:rFonts w:cstheme="minorHAnsi"/>
        </w:rPr>
      </w:pPr>
    </w:p>
    <w:p w14:paraId="2A5AE6E6" w14:textId="77777777" w:rsidR="00450F81" w:rsidRDefault="00450F81" w:rsidP="00EB1A84">
      <w:pPr>
        <w:pStyle w:val="Heading2"/>
      </w:pPr>
      <w:r>
        <w:t>Limitations</w:t>
      </w:r>
    </w:p>
    <w:p w14:paraId="7C58C983" w14:textId="122B5761" w:rsidR="00450F81" w:rsidRPr="00BF37AA" w:rsidRDefault="00450F81" w:rsidP="00BF37AA">
      <w:pPr>
        <w:pStyle w:val="NoSpacing"/>
        <w:rPr>
          <w:rFonts w:cstheme="minorHAnsi"/>
        </w:rPr>
      </w:pPr>
      <w:r w:rsidRPr="00BF37AA">
        <w:rPr>
          <w:rFonts w:cstheme="minorHAnsi"/>
        </w:rPr>
        <w:t>Despite the important contributions of the current feasibility and pilot study, several limitations are worth noting. Due to the pilot nature of the study, the number of families per treatment condition was relatively small (approximately 30), and the number of fathers per condition was even smaller (approximately 10-15), despite holding groups in the evening and providing childcare. Effective methods to increase father involvement are needed, as it is possible that father participation in treatment may result in improved outcomes for the family (</w:t>
      </w:r>
      <w:hyperlink r:id="rId112" w:history="1">
        <w:r w:rsidRPr="00BF37AA">
          <w:rPr>
            <w:rStyle w:val="Hyperlink"/>
            <w:rFonts w:eastAsiaTheme="majorEastAsia" w:cstheme="minorHAnsi"/>
            <w:color w:val="006ACC"/>
          </w:rPr>
          <w:t>Lundahl, Tollefson, Risser, &amp; Lovejoy, 2007</w:t>
        </w:r>
      </w:hyperlink>
      <w:r w:rsidRPr="00BF37AA">
        <w:rPr>
          <w:rFonts w:cstheme="minorHAnsi"/>
        </w:rPr>
        <w:t>). The lack of follow-up data also is a limitation, as we are unable to establish whether treatment gains were sustained over time. Given both geographic parameters and primary aims of the study, the current sample also included a relatively homogeneous sample of Latino families; most were of Mexican decent, most were less oriented to U.S. mainstream culture and more oriented to traditional Latino culture, and most fell on the lower end of SES. Although this was the intended sample for the initial pilot study, a larger, more diverse sample of Latino families would provide more power to detect statistically significant differences, as well as the ability to examine potential moderators of treatment outcomes, such as Latino subgroup, parental acculturation, and SES.</w:t>
      </w:r>
    </w:p>
    <w:p w14:paraId="23C3EC19" w14:textId="77777777" w:rsidR="00BF37AA" w:rsidRPr="00BF37AA" w:rsidRDefault="00BF37AA" w:rsidP="00BF37AA">
      <w:pPr>
        <w:pStyle w:val="NoSpacing"/>
        <w:rPr>
          <w:rFonts w:cstheme="minorHAnsi"/>
        </w:rPr>
      </w:pPr>
    </w:p>
    <w:p w14:paraId="75379D20" w14:textId="77777777" w:rsidR="00450F81" w:rsidRDefault="00450F81" w:rsidP="00EB1A84">
      <w:pPr>
        <w:pStyle w:val="Heading2"/>
      </w:pPr>
      <w:r>
        <w:t>Clinical Implications and Future Directions</w:t>
      </w:r>
    </w:p>
    <w:p w14:paraId="7193BC40" w14:textId="4E1E23F9" w:rsidR="00450F81" w:rsidRPr="00BF37AA" w:rsidRDefault="00450F81" w:rsidP="00BF37AA">
      <w:pPr>
        <w:pStyle w:val="NoSpacing"/>
        <w:rPr>
          <w:rFonts w:cstheme="minorHAnsi"/>
        </w:rPr>
      </w:pPr>
      <w:r w:rsidRPr="00BF37AA">
        <w:rPr>
          <w:rFonts w:cstheme="minorHAnsi"/>
        </w:rPr>
        <w:t xml:space="preserve">In sum, findings from the current feasibility and pilot study are promising. This was the first study to compare a CAT for ADHD with standard EBT and the first to examine treatment outcomes for ADHD in school-aged Latino </w:t>
      </w:r>
      <w:r w:rsidRPr="00BF37AA">
        <w:rPr>
          <w:rFonts w:cstheme="minorHAnsi"/>
        </w:rPr>
        <w:lastRenderedPageBreak/>
        <w:t>youth from families less oriented to U.S. mainstream culture. Both CAT and EBT resulted in significant improvements when examining traditional treatment outcomes (i.e., parent- and teacher-reported ADHD symptoms and functional impairment, as well as mother- and father-reported parental functioning). This is impressive considering the robustness of standard EBT, especially when delivered by culturally competent staff. Although identification of the exact adaptations responsible is still needed (e.g., cultural versus setting and/or dosage), CAT outperformed standard EBT when examining several engagement and acceptability outcomes.</w:t>
      </w:r>
    </w:p>
    <w:p w14:paraId="7556F320" w14:textId="77777777" w:rsidR="00BF37AA" w:rsidRPr="00BF37AA" w:rsidRDefault="00BF37AA" w:rsidP="00BF37AA">
      <w:pPr>
        <w:pStyle w:val="NoSpacing"/>
        <w:rPr>
          <w:rFonts w:cstheme="minorHAnsi"/>
        </w:rPr>
      </w:pPr>
    </w:p>
    <w:p w14:paraId="348AFF86" w14:textId="78EB8FEE" w:rsidR="00BF37AA" w:rsidRPr="00BF37AA" w:rsidRDefault="00450F81" w:rsidP="00BF37AA">
      <w:pPr>
        <w:pStyle w:val="NoSpacing"/>
        <w:rPr>
          <w:rFonts w:cstheme="minorHAnsi"/>
        </w:rPr>
      </w:pPr>
      <w:r w:rsidRPr="00BF37AA">
        <w:rPr>
          <w:rFonts w:cstheme="minorHAnsi"/>
        </w:rPr>
        <w:t>As mentioned previously, replication of the current study with a larger, more diverse sample of Latino families is needed, including a greater representation of fathers. This would allow for examination of possible moderators (e.g., parental acculturation and SES) and provide valuable information on which families may benefit most from CAT versus standard EBT. The need to examine longitudinal, follow-up data also is warranted, as it is important to develop a better understanding of long-term outcomes for youth and their families participating in treatment. Consistent with </w:t>
      </w:r>
      <w:hyperlink r:id="rId113" w:history="1">
        <w:r w:rsidRPr="00BF37AA">
          <w:rPr>
            <w:rStyle w:val="Hyperlink"/>
            <w:rFonts w:eastAsiaTheme="majorEastAsia" w:cstheme="minorHAnsi"/>
            <w:color w:val="006ACC"/>
          </w:rPr>
          <w:t>Baumann and colleagues (2015)</w:t>
        </w:r>
      </w:hyperlink>
      <w:r w:rsidRPr="00BF37AA">
        <w:rPr>
          <w:rFonts w:cstheme="minorHAnsi"/>
        </w:rPr>
        <w:t> recommendations, another critical area for future research involves community dissemination. To ensure that as many Latino families as possible can access CAT, community partnership is needed. Thus, an important next step is to train existing community mental health professionals to deliver the treatment and to examine the effectiveness of CAT when delivered within a community setting by community providers. Finally, future research directly comparing several distinct cultural adaptations of the same treatment is needed to tease apart </w:t>
      </w:r>
      <w:r w:rsidRPr="00BF37AA">
        <w:rPr>
          <w:rFonts w:cstheme="minorHAnsi"/>
          <w:i/>
          <w:iCs/>
        </w:rPr>
        <w:t>which</w:t>
      </w:r>
      <w:r w:rsidRPr="00BF37AA">
        <w:rPr>
          <w:rFonts w:cstheme="minorHAnsi"/>
        </w:rPr>
        <w:t> adaptations are essential to treatment efficacy (</w:t>
      </w:r>
      <w:hyperlink r:id="rId114" w:history="1">
        <w:r w:rsidRPr="00BF37AA">
          <w:rPr>
            <w:rStyle w:val="Hyperlink"/>
            <w:rFonts w:eastAsiaTheme="majorEastAsia" w:cstheme="minorHAnsi"/>
            <w:color w:val="006ACC"/>
          </w:rPr>
          <w:t>Baumann et al., 2015</w:t>
        </w:r>
      </w:hyperlink>
      <w:r w:rsidRPr="00BF37AA">
        <w:rPr>
          <w:rFonts w:cstheme="minorHAnsi"/>
        </w:rPr>
        <w:t>).</w:t>
      </w:r>
    </w:p>
    <w:p w14:paraId="7379E0E5" w14:textId="77777777" w:rsidR="00EB1A84" w:rsidRDefault="00450F81" w:rsidP="00EB1A84">
      <w:pPr>
        <w:pStyle w:val="Heading1"/>
        <w:rPr>
          <w:rStyle w:val="Heading1Char"/>
        </w:rPr>
      </w:pPr>
      <w:r w:rsidRPr="00EB1A84">
        <w:rPr>
          <w:rStyle w:val="Heading1Char"/>
        </w:rPr>
        <w:t>Declaration of Conflicting Interests</w:t>
      </w:r>
    </w:p>
    <w:p w14:paraId="4AFE5F22" w14:textId="536C0EA0" w:rsidR="00450F81" w:rsidRDefault="00450F81" w:rsidP="00BF37AA">
      <w:pPr>
        <w:pStyle w:val="NoSpacing"/>
      </w:pPr>
      <w:r>
        <w:t>The author(s) declared no potential conflicts of interest with respect to the research, authorship, and/or publication of this article.</w:t>
      </w:r>
    </w:p>
    <w:p w14:paraId="31DDBCC3" w14:textId="77777777" w:rsidR="00EB1A84" w:rsidRDefault="00450F81" w:rsidP="00EB1A84">
      <w:pPr>
        <w:pStyle w:val="Heading1"/>
        <w:rPr>
          <w:rStyle w:val="Heading1Char"/>
        </w:rPr>
      </w:pPr>
      <w:r w:rsidRPr="00EB1A84">
        <w:rPr>
          <w:rStyle w:val="Heading1Char"/>
        </w:rPr>
        <w:t>Funding</w:t>
      </w:r>
    </w:p>
    <w:p w14:paraId="1B948AFF" w14:textId="45498E1D" w:rsidR="00450F81" w:rsidRDefault="00450F81" w:rsidP="00BF37AA">
      <w:pPr>
        <w:pStyle w:val="NoSpacing"/>
      </w:pPr>
      <w:r>
        <w:t>The author(s) disclosed receipt of the following financial support for the research, authorship, and/or publication of this article: This research was supported by the Eunice Kennedy Shriver National Institute of Child Health &amp; Human Development of the National Institutes of Health under Award Number R21HD078553. The content is solely the responsibility of the authors and does not necessarily represent the official views of the National Institutes of Health.</w:t>
      </w:r>
    </w:p>
    <w:p w14:paraId="56831B87" w14:textId="77777777" w:rsidR="00450F81" w:rsidRDefault="00450F81" w:rsidP="00EB1A84">
      <w:pPr>
        <w:pStyle w:val="Heading1"/>
      </w:pPr>
      <w:bookmarkStart w:id="10" w:name="_i57"/>
      <w:bookmarkEnd w:id="10"/>
      <w:r w:rsidRPr="00EB1A84">
        <w:t>References</w:t>
      </w:r>
    </w:p>
    <w:p w14:paraId="6164EFD1" w14:textId="77777777" w:rsidR="007867E7" w:rsidRPr="004972E2" w:rsidRDefault="00ED7A98" w:rsidP="004972E2">
      <w:pPr>
        <w:pStyle w:val="NoSpacing"/>
        <w:ind w:left="720" w:hanging="720"/>
      </w:pPr>
      <w:r w:rsidRPr="004972E2">
        <w:t xml:space="preserve">Abidin, R. R. (2012). </w:t>
      </w:r>
      <w:r w:rsidRPr="004972E2">
        <w:rPr>
          <w:i/>
          <w:iCs/>
        </w:rPr>
        <w:t xml:space="preserve">Parenting Stress Index </w:t>
      </w:r>
      <w:r w:rsidRPr="004972E2">
        <w:t>(4th ed.). Lutz, FL:</w:t>
      </w:r>
      <w:r w:rsidR="007867E7" w:rsidRPr="004972E2">
        <w:t xml:space="preserve"> </w:t>
      </w:r>
      <w:r w:rsidRPr="004972E2">
        <w:t>Psychological Assessment Resources.</w:t>
      </w:r>
      <w:r w:rsidR="007867E7" w:rsidRPr="004972E2">
        <w:t xml:space="preserve"> </w:t>
      </w:r>
    </w:p>
    <w:p w14:paraId="70E5EFFC" w14:textId="629FE6B5" w:rsidR="00ED7A98" w:rsidRPr="004972E2" w:rsidRDefault="00ED7A98" w:rsidP="004972E2">
      <w:pPr>
        <w:pStyle w:val="NoSpacing"/>
        <w:ind w:left="720" w:hanging="720"/>
      </w:pPr>
      <w:r w:rsidRPr="004972E2">
        <w:t xml:space="preserve">Achenbach, T. M., &amp; Rescorla, L. A. (2001). </w:t>
      </w:r>
      <w:r w:rsidRPr="004972E2">
        <w:rPr>
          <w:i/>
          <w:iCs/>
        </w:rPr>
        <w:t>Manual for the ASEBA</w:t>
      </w:r>
      <w:r w:rsidR="007867E7" w:rsidRPr="004972E2">
        <w:rPr>
          <w:i/>
          <w:iCs/>
        </w:rPr>
        <w:t xml:space="preserve"> </w:t>
      </w:r>
      <w:r w:rsidRPr="004972E2">
        <w:rPr>
          <w:i/>
          <w:iCs/>
        </w:rPr>
        <w:t>school-age forms &amp; profiles</w:t>
      </w:r>
      <w:r w:rsidRPr="004972E2">
        <w:t>. Burlington: Research Center for</w:t>
      </w:r>
      <w:r w:rsidR="007867E7" w:rsidRPr="004972E2">
        <w:t xml:space="preserve"> </w:t>
      </w:r>
      <w:r w:rsidRPr="004972E2">
        <w:t>Children, Youth, &amp; Families, University of Vermont.</w:t>
      </w:r>
    </w:p>
    <w:p w14:paraId="4E2F3EAF" w14:textId="77777777" w:rsidR="007867E7" w:rsidRPr="004972E2" w:rsidRDefault="00ED7A98" w:rsidP="004972E2">
      <w:pPr>
        <w:pStyle w:val="NoSpacing"/>
        <w:ind w:left="720" w:hanging="720"/>
      </w:pPr>
      <w:r w:rsidRPr="004972E2">
        <w:t>Alegría, M., Vallas, M., &amp; Pumariega, A. (2010). Racial and ethnic</w:t>
      </w:r>
      <w:r w:rsidR="007867E7" w:rsidRPr="004972E2">
        <w:t xml:space="preserve"> </w:t>
      </w:r>
      <w:r w:rsidRPr="004972E2">
        <w:t xml:space="preserve">disparities in pediatric mental health. </w:t>
      </w:r>
      <w:r w:rsidRPr="004972E2">
        <w:rPr>
          <w:i/>
          <w:iCs/>
        </w:rPr>
        <w:t>Child and Adolescent</w:t>
      </w:r>
      <w:r w:rsidR="007867E7" w:rsidRPr="004972E2">
        <w:rPr>
          <w:i/>
          <w:iCs/>
        </w:rPr>
        <w:t xml:space="preserve"> </w:t>
      </w:r>
      <w:r w:rsidRPr="004972E2">
        <w:rPr>
          <w:i/>
          <w:iCs/>
        </w:rPr>
        <w:t>Psychiatric Clinics of North America</w:t>
      </w:r>
      <w:r w:rsidRPr="004972E2">
        <w:t xml:space="preserve">, </w:t>
      </w:r>
      <w:r w:rsidRPr="004972E2">
        <w:rPr>
          <w:i/>
          <w:iCs/>
        </w:rPr>
        <w:t>19</w:t>
      </w:r>
      <w:r w:rsidRPr="004972E2">
        <w:t>, 759-774.</w:t>
      </w:r>
      <w:r w:rsidR="007867E7" w:rsidRPr="004972E2">
        <w:t xml:space="preserve"> </w:t>
      </w:r>
    </w:p>
    <w:p w14:paraId="1DE9E688" w14:textId="77777777" w:rsidR="00634E6E" w:rsidRPr="004972E2" w:rsidRDefault="00ED7A98" w:rsidP="004972E2">
      <w:pPr>
        <w:pStyle w:val="NoSpacing"/>
        <w:ind w:left="720" w:hanging="720"/>
      </w:pPr>
      <w:r w:rsidRPr="004972E2">
        <w:t>Alegría, M., &amp; Woo, M. (2009). Conceptual issues in Latino mental</w:t>
      </w:r>
      <w:r w:rsidR="007867E7" w:rsidRPr="004972E2">
        <w:t xml:space="preserve"> </w:t>
      </w:r>
      <w:r w:rsidRPr="004972E2">
        <w:t>health. In F. A. Villarruel, G. Carlo, J. M. Grau, M. Amity,</w:t>
      </w:r>
      <w:r w:rsidR="00634E6E" w:rsidRPr="004972E2">
        <w:t xml:space="preserve"> </w:t>
      </w:r>
      <w:r w:rsidRPr="004972E2">
        <w:t xml:space="preserve">N. J. Cabrera, &amp; T. J. Schahin (Eds.), </w:t>
      </w:r>
      <w:r w:rsidRPr="004972E2">
        <w:rPr>
          <w:i/>
          <w:iCs/>
        </w:rPr>
        <w:t>Handbook of U.S.</w:t>
      </w:r>
      <w:r w:rsidR="00634E6E" w:rsidRPr="004972E2">
        <w:rPr>
          <w:i/>
          <w:iCs/>
        </w:rPr>
        <w:t xml:space="preserve"> </w:t>
      </w:r>
      <w:r w:rsidRPr="004972E2">
        <w:rPr>
          <w:i/>
          <w:iCs/>
        </w:rPr>
        <w:t>Latino psychology: Developmental and community-based</w:t>
      </w:r>
      <w:r w:rsidR="00634E6E" w:rsidRPr="004972E2">
        <w:rPr>
          <w:i/>
          <w:iCs/>
        </w:rPr>
        <w:t xml:space="preserve"> </w:t>
      </w:r>
      <w:r w:rsidRPr="004972E2">
        <w:rPr>
          <w:i/>
          <w:iCs/>
        </w:rPr>
        <w:t xml:space="preserve">perspectives </w:t>
      </w:r>
      <w:r w:rsidRPr="004972E2">
        <w:t>(pp. 15-30). Thousand Oaks, CA: SAGE.</w:t>
      </w:r>
    </w:p>
    <w:p w14:paraId="1906C048" w14:textId="77777777" w:rsidR="00634E6E" w:rsidRPr="004972E2" w:rsidRDefault="00ED7A98" w:rsidP="004972E2">
      <w:pPr>
        <w:pStyle w:val="NoSpacing"/>
        <w:ind w:left="720" w:hanging="720"/>
      </w:pPr>
      <w:r w:rsidRPr="004972E2">
        <w:t xml:space="preserve">American Psychiatric Association. (2013). </w:t>
      </w:r>
      <w:r w:rsidRPr="004972E2">
        <w:rPr>
          <w:i/>
          <w:iCs/>
        </w:rPr>
        <w:t>Diagnostic and statistical</w:t>
      </w:r>
      <w:r w:rsidR="00634E6E" w:rsidRPr="004972E2">
        <w:rPr>
          <w:i/>
          <w:iCs/>
        </w:rPr>
        <w:t xml:space="preserve"> </w:t>
      </w:r>
      <w:r w:rsidRPr="004972E2">
        <w:rPr>
          <w:i/>
          <w:iCs/>
        </w:rPr>
        <w:t xml:space="preserve">manual of mental disorders </w:t>
      </w:r>
      <w:r w:rsidRPr="004972E2">
        <w:t>(5th ed.). Arlington, VA:</w:t>
      </w:r>
      <w:r w:rsidR="00634E6E" w:rsidRPr="004972E2">
        <w:t xml:space="preserve"> </w:t>
      </w:r>
      <w:r w:rsidRPr="004972E2">
        <w:t>American Psychiatric Publishing.</w:t>
      </w:r>
      <w:r w:rsidR="00634E6E" w:rsidRPr="004972E2">
        <w:t xml:space="preserve"> </w:t>
      </w:r>
    </w:p>
    <w:p w14:paraId="5D0B30EB" w14:textId="4C394994" w:rsidR="00ED7A98" w:rsidRPr="004972E2" w:rsidRDefault="00ED7A98" w:rsidP="004972E2">
      <w:pPr>
        <w:pStyle w:val="NoSpacing"/>
        <w:ind w:left="720" w:hanging="720"/>
      </w:pPr>
      <w:r w:rsidRPr="004972E2">
        <w:t>Arcia, E., Fernández, M. C., &amp; Jáquez, M. (2004). Latina mothers’</w:t>
      </w:r>
      <w:r w:rsidR="00634E6E" w:rsidRPr="004972E2">
        <w:t xml:space="preserve"> </w:t>
      </w:r>
      <w:r w:rsidRPr="004972E2">
        <w:t>stances on stimulant medication: Complexity, conflict,</w:t>
      </w:r>
      <w:r w:rsidR="00634E6E" w:rsidRPr="004972E2">
        <w:t xml:space="preserve"> </w:t>
      </w:r>
      <w:r w:rsidRPr="004972E2">
        <w:t xml:space="preserve">and compromise. </w:t>
      </w:r>
      <w:r w:rsidRPr="004972E2">
        <w:rPr>
          <w:i/>
          <w:iCs/>
        </w:rPr>
        <w:t>Journal of Developmental &amp; Behavioral</w:t>
      </w:r>
      <w:r w:rsidR="00634E6E" w:rsidRPr="004972E2">
        <w:rPr>
          <w:i/>
          <w:iCs/>
        </w:rPr>
        <w:t xml:space="preserve"> </w:t>
      </w:r>
      <w:r w:rsidRPr="004972E2">
        <w:rPr>
          <w:i/>
          <w:iCs/>
        </w:rPr>
        <w:t>Pediatrics</w:t>
      </w:r>
      <w:r w:rsidRPr="004972E2">
        <w:t xml:space="preserve">, </w:t>
      </w:r>
      <w:r w:rsidRPr="004972E2">
        <w:rPr>
          <w:i/>
          <w:iCs/>
        </w:rPr>
        <w:t>25</w:t>
      </w:r>
      <w:r w:rsidRPr="004972E2">
        <w:t>, 311-317.</w:t>
      </w:r>
    </w:p>
    <w:p w14:paraId="30839B17" w14:textId="2E810932" w:rsidR="00634E6E" w:rsidRPr="004972E2" w:rsidRDefault="00ED7A98" w:rsidP="004972E2">
      <w:pPr>
        <w:pStyle w:val="NoSpacing"/>
        <w:ind w:left="720" w:hanging="720"/>
      </w:pPr>
      <w:r w:rsidRPr="004972E2">
        <w:t>Arnold, L. E., Elliott, M., Sachs, L., Bird, H., Kraemer, H. C.,</w:t>
      </w:r>
      <w:r w:rsidR="00634E6E" w:rsidRPr="004972E2">
        <w:t xml:space="preserve"> </w:t>
      </w:r>
      <w:r w:rsidRPr="004972E2">
        <w:t>Wells, K. C., . . . Wigal, T. (2003). Effects of ethnicity on</w:t>
      </w:r>
      <w:r w:rsidR="004972E2">
        <w:t xml:space="preserve"> </w:t>
      </w:r>
      <w:r w:rsidRPr="004972E2">
        <w:t>treatment attendance, stimulant response/dose, and 14-month</w:t>
      </w:r>
      <w:r w:rsidR="00634E6E" w:rsidRPr="004972E2">
        <w:t xml:space="preserve"> </w:t>
      </w:r>
      <w:r w:rsidRPr="004972E2">
        <w:t xml:space="preserve">outcome in ADHD. </w:t>
      </w:r>
      <w:r w:rsidRPr="004972E2">
        <w:rPr>
          <w:i/>
          <w:iCs/>
        </w:rPr>
        <w:t>Journal of Consulting and Clinical</w:t>
      </w:r>
      <w:r w:rsidR="00634E6E" w:rsidRPr="004972E2">
        <w:rPr>
          <w:i/>
          <w:iCs/>
        </w:rPr>
        <w:t xml:space="preserve"> </w:t>
      </w:r>
      <w:r w:rsidRPr="004972E2">
        <w:rPr>
          <w:i/>
          <w:iCs/>
        </w:rPr>
        <w:t>Psychology</w:t>
      </w:r>
      <w:r w:rsidRPr="004972E2">
        <w:t xml:space="preserve">, </w:t>
      </w:r>
      <w:r w:rsidRPr="004972E2">
        <w:rPr>
          <w:i/>
          <w:iCs/>
        </w:rPr>
        <w:t>71</w:t>
      </w:r>
      <w:r w:rsidRPr="004972E2">
        <w:t>, 713-727.</w:t>
      </w:r>
      <w:r w:rsidR="00634E6E" w:rsidRPr="004972E2">
        <w:t xml:space="preserve"> </w:t>
      </w:r>
    </w:p>
    <w:p w14:paraId="3950F3CC" w14:textId="77777777" w:rsidR="00423F26" w:rsidRPr="004972E2" w:rsidRDefault="00ED7A98" w:rsidP="004972E2">
      <w:pPr>
        <w:pStyle w:val="NoSpacing"/>
        <w:ind w:left="720" w:hanging="720"/>
      </w:pPr>
      <w:r w:rsidRPr="004972E2">
        <w:t xml:space="preserve">Barkley, R. A. (1997). </w:t>
      </w:r>
      <w:r w:rsidRPr="004972E2">
        <w:rPr>
          <w:i/>
          <w:iCs/>
        </w:rPr>
        <w:t>Defiant children: A clinician’s manual for</w:t>
      </w:r>
      <w:r w:rsidR="00634E6E" w:rsidRPr="004972E2">
        <w:rPr>
          <w:i/>
          <w:iCs/>
        </w:rPr>
        <w:t xml:space="preserve"> </w:t>
      </w:r>
      <w:r w:rsidRPr="004972E2">
        <w:rPr>
          <w:i/>
          <w:iCs/>
        </w:rPr>
        <w:t>assessment and parent training</w:t>
      </w:r>
      <w:r w:rsidRPr="004972E2">
        <w:t>. New York, NY: Guilford</w:t>
      </w:r>
      <w:r w:rsidR="00634E6E" w:rsidRPr="004972E2">
        <w:t xml:space="preserve"> </w:t>
      </w:r>
      <w:r w:rsidRPr="004972E2">
        <w:t>Press.</w:t>
      </w:r>
      <w:r w:rsidR="00634E6E" w:rsidRPr="004972E2">
        <w:t xml:space="preserve"> </w:t>
      </w:r>
    </w:p>
    <w:p w14:paraId="3F72062D" w14:textId="5308CBEE" w:rsidR="00ED7A98" w:rsidRPr="004972E2" w:rsidRDefault="00ED7A98" w:rsidP="004972E2">
      <w:pPr>
        <w:pStyle w:val="NoSpacing"/>
        <w:ind w:left="720" w:hanging="720"/>
      </w:pPr>
      <w:r w:rsidRPr="004972E2">
        <w:lastRenderedPageBreak/>
        <w:t>Baumann, A. A., Powell, B. J., Kohl, P. L., Tabak, R. G., Penalba,</w:t>
      </w:r>
      <w:r w:rsidR="00423F26" w:rsidRPr="004972E2">
        <w:t xml:space="preserve"> </w:t>
      </w:r>
      <w:r w:rsidRPr="004972E2">
        <w:t>V., Proctor, E. K., . . . Cabassa, L. J. (2015). Cultural adaptation</w:t>
      </w:r>
      <w:r w:rsidR="00423F26" w:rsidRPr="004972E2">
        <w:t xml:space="preserve"> </w:t>
      </w:r>
      <w:r w:rsidRPr="004972E2">
        <w:t>and implementation of evidence-based parent-training: A</w:t>
      </w:r>
      <w:r w:rsidR="00423F26" w:rsidRPr="004972E2">
        <w:t xml:space="preserve"> </w:t>
      </w:r>
      <w:r w:rsidRPr="004972E2">
        <w:t xml:space="preserve">systematic review and critique of guiding evidence. </w:t>
      </w:r>
      <w:r w:rsidRPr="004972E2">
        <w:rPr>
          <w:i/>
          <w:iCs/>
        </w:rPr>
        <w:t>Child and</w:t>
      </w:r>
      <w:r w:rsidR="00423F26" w:rsidRPr="004972E2">
        <w:rPr>
          <w:i/>
          <w:iCs/>
        </w:rPr>
        <w:t xml:space="preserve"> </w:t>
      </w:r>
      <w:r w:rsidRPr="004972E2">
        <w:rPr>
          <w:i/>
          <w:iCs/>
        </w:rPr>
        <w:t>Youth Services Review</w:t>
      </w:r>
      <w:r w:rsidRPr="004972E2">
        <w:t xml:space="preserve">, </w:t>
      </w:r>
      <w:r w:rsidRPr="004972E2">
        <w:rPr>
          <w:i/>
          <w:iCs/>
        </w:rPr>
        <w:t>53</w:t>
      </w:r>
      <w:r w:rsidRPr="004972E2">
        <w:t>, 113-120.</w:t>
      </w:r>
    </w:p>
    <w:p w14:paraId="3F42DB48" w14:textId="77777777" w:rsidR="00F912E5" w:rsidRPr="004972E2" w:rsidRDefault="00ED7A98" w:rsidP="004972E2">
      <w:pPr>
        <w:pStyle w:val="NoSpacing"/>
        <w:ind w:left="720" w:hanging="720"/>
      </w:pPr>
      <w:r w:rsidRPr="004972E2">
        <w:t>Bernal, G., &amp; Domenech Rodríguez, M. M. (Eds.). (2012).</w:t>
      </w:r>
      <w:r w:rsidR="00423F26" w:rsidRPr="004972E2">
        <w:t xml:space="preserve"> </w:t>
      </w:r>
      <w:r w:rsidRPr="004972E2">
        <w:rPr>
          <w:i/>
          <w:iCs/>
        </w:rPr>
        <w:t>Cultural adaptations: Tools for evidence-based practice</w:t>
      </w:r>
      <w:r w:rsidR="00423F26" w:rsidRPr="004972E2">
        <w:rPr>
          <w:i/>
          <w:iCs/>
        </w:rPr>
        <w:t xml:space="preserve"> </w:t>
      </w:r>
      <w:r w:rsidRPr="004972E2">
        <w:rPr>
          <w:i/>
          <w:iCs/>
        </w:rPr>
        <w:t>with diverse populations</w:t>
      </w:r>
      <w:r w:rsidRPr="004972E2">
        <w:t>. Washington, DC: American</w:t>
      </w:r>
      <w:r w:rsidR="00423F26" w:rsidRPr="004972E2">
        <w:t xml:space="preserve"> </w:t>
      </w:r>
      <w:r w:rsidRPr="004972E2">
        <w:t>Psychological Association.</w:t>
      </w:r>
      <w:r w:rsidR="00423F26" w:rsidRPr="004972E2">
        <w:t xml:space="preserve"> </w:t>
      </w:r>
    </w:p>
    <w:p w14:paraId="718C3D7F" w14:textId="33E5DF78" w:rsidR="00ED7A98" w:rsidRPr="004972E2" w:rsidRDefault="00ED7A98" w:rsidP="004972E2">
      <w:pPr>
        <w:pStyle w:val="NoSpacing"/>
        <w:ind w:left="720" w:hanging="720"/>
      </w:pPr>
      <w:r w:rsidRPr="004972E2">
        <w:t>Bernal, G., Jiménez-Chafey, M. I., &amp; Domenech Rodríguez, M.</w:t>
      </w:r>
      <w:r w:rsidR="00F912E5" w:rsidRPr="004972E2">
        <w:t xml:space="preserve"> </w:t>
      </w:r>
      <w:r w:rsidRPr="004972E2">
        <w:t>M. (2009). Cultural adaptation of treatments: A resource for</w:t>
      </w:r>
      <w:r w:rsidR="00EE2D76" w:rsidRPr="004972E2">
        <w:t xml:space="preserve"> </w:t>
      </w:r>
      <w:r w:rsidRPr="004972E2">
        <w:t xml:space="preserve">considering culture in evidence-based practice. </w:t>
      </w:r>
      <w:r w:rsidRPr="004972E2">
        <w:rPr>
          <w:i/>
          <w:iCs/>
        </w:rPr>
        <w:t>Professional</w:t>
      </w:r>
      <w:r w:rsidR="00EE2D76" w:rsidRPr="004972E2">
        <w:rPr>
          <w:i/>
          <w:iCs/>
        </w:rPr>
        <w:t xml:space="preserve"> </w:t>
      </w:r>
      <w:r w:rsidRPr="004972E2">
        <w:rPr>
          <w:i/>
          <w:iCs/>
        </w:rPr>
        <w:t>Psychology: Research and Practice</w:t>
      </w:r>
      <w:r w:rsidRPr="004972E2">
        <w:t xml:space="preserve">, </w:t>
      </w:r>
      <w:r w:rsidRPr="004972E2">
        <w:rPr>
          <w:i/>
          <w:iCs/>
        </w:rPr>
        <w:t>40</w:t>
      </w:r>
      <w:r w:rsidRPr="004972E2">
        <w:t>, 361-368.</w:t>
      </w:r>
    </w:p>
    <w:p w14:paraId="08ACFF85" w14:textId="77777777" w:rsidR="006C5E6F" w:rsidRPr="004972E2" w:rsidRDefault="00ED7A98" w:rsidP="004972E2">
      <w:pPr>
        <w:pStyle w:val="NoSpacing"/>
        <w:ind w:left="720" w:hanging="720"/>
      </w:pPr>
      <w:r w:rsidRPr="004972E2">
        <w:t>Biederman, J., Petty, C. R., Woodworth, K. Y., Lomedico, A.,</w:t>
      </w:r>
      <w:r w:rsidR="006C5E6F" w:rsidRPr="004972E2">
        <w:t xml:space="preserve"> </w:t>
      </w:r>
      <w:r w:rsidRPr="004972E2">
        <w:t>Hyder, L. L., &amp; Faraone, S. V. (2012). Adult outcome of</w:t>
      </w:r>
      <w:r w:rsidR="006C5E6F" w:rsidRPr="004972E2">
        <w:t xml:space="preserve"> </w:t>
      </w:r>
      <w:r w:rsidRPr="004972E2">
        <w:t>attention-deficit/hyperactivity disorder: A controlled 16-year</w:t>
      </w:r>
      <w:r w:rsidR="006C5E6F" w:rsidRPr="004972E2">
        <w:t xml:space="preserve"> </w:t>
      </w:r>
      <w:r w:rsidRPr="004972E2">
        <w:t xml:space="preserve">follow-up study. </w:t>
      </w:r>
      <w:r w:rsidRPr="004972E2">
        <w:rPr>
          <w:i/>
          <w:iCs/>
        </w:rPr>
        <w:t>Journal of Clinical Psychiatry</w:t>
      </w:r>
      <w:r w:rsidRPr="004972E2">
        <w:t xml:space="preserve">, </w:t>
      </w:r>
      <w:r w:rsidRPr="004972E2">
        <w:rPr>
          <w:i/>
          <w:iCs/>
        </w:rPr>
        <w:t>73</w:t>
      </w:r>
      <w:r w:rsidRPr="004972E2">
        <w:t>, 941-950.</w:t>
      </w:r>
      <w:r w:rsidR="006C5E6F" w:rsidRPr="004972E2">
        <w:t xml:space="preserve"> </w:t>
      </w:r>
    </w:p>
    <w:p w14:paraId="426CEE3B" w14:textId="7DE3CE4A" w:rsidR="00ED7A98" w:rsidRPr="004972E2" w:rsidRDefault="00ED7A98" w:rsidP="004972E2">
      <w:pPr>
        <w:pStyle w:val="NoSpacing"/>
        <w:ind w:left="720" w:hanging="720"/>
      </w:pPr>
      <w:r w:rsidRPr="004972E2">
        <w:t>Cabassa, L. J., Zayas, L. H., &amp; Hansen, M. C. (2006). Latino</w:t>
      </w:r>
      <w:r w:rsidR="006C5E6F" w:rsidRPr="004972E2">
        <w:t xml:space="preserve"> </w:t>
      </w:r>
      <w:r w:rsidRPr="004972E2">
        <w:t>adults’ access to mental health care: A review of epidemiological</w:t>
      </w:r>
      <w:r w:rsidR="006C5E6F" w:rsidRPr="004972E2">
        <w:t xml:space="preserve"> </w:t>
      </w:r>
      <w:r w:rsidRPr="004972E2">
        <w:t xml:space="preserve">studies. </w:t>
      </w:r>
      <w:r w:rsidRPr="004972E2">
        <w:rPr>
          <w:i/>
          <w:iCs/>
        </w:rPr>
        <w:t>Administration and Policy in Mental Health</w:t>
      </w:r>
      <w:r w:rsidR="006C5E6F" w:rsidRPr="004972E2">
        <w:rPr>
          <w:i/>
          <w:iCs/>
        </w:rPr>
        <w:t xml:space="preserve"> </w:t>
      </w:r>
      <w:r w:rsidRPr="004972E2">
        <w:rPr>
          <w:i/>
          <w:iCs/>
        </w:rPr>
        <w:t>and Mental Health Services Research</w:t>
      </w:r>
      <w:r w:rsidRPr="004972E2">
        <w:t xml:space="preserve">, </w:t>
      </w:r>
      <w:r w:rsidRPr="004972E2">
        <w:rPr>
          <w:i/>
          <w:iCs/>
        </w:rPr>
        <w:t>33</w:t>
      </w:r>
      <w:r w:rsidRPr="004972E2">
        <w:t>, 316-330.</w:t>
      </w:r>
    </w:p>
    <w:p w14:paraId="4B97A007" w14:textId="2C15F7C0" w:rsidR="00ED7A98" w:rsidRPr="004972E2" w:rsidRDefault="00ED7A98" w:rsidP="004972E2">
      <w:pPr>
        <w:pStyle w:val="NoSpacing"/>
        <w:ind w:left="720" w:hanging="720"/>
      </w:pPr>
      <w:r w:rsidRPr="004972E2">
        <w:t xml:space="preserve">Centers for Disease Control and Prevention. (2018). </w:t>
      </w:r>
      <w:r w:rsidRPr="004972E2">
        <w:rPr>
          <w:i/>
          <w:iCs/>
        </w:rPr>
        <w:t>ADHD, data</w:t>
      </w:r>
      <w:r w:rsidR="006C5E6F" w:rsidRPr="004972E2">
        <w:rPr>
          <w:i/>
          <w:iCs/>
        </w:rPr>
        <w:t xml:space="preserve"> </w:t>
      </w:r>
      <w:r w:rsidRPr="004972E2">
        <w:rPr>
          <w:i/>
          <w:iCs/>
        </w:rPr>
        <w:t>and statistics</w:t>
      </w:r>
      <w:r w:rsidRPr="004972E2">
        <w:t xml:space="preserve">. Retrieved from </w:t>
      </w:r>
      <w:hyperlink r:id="rId115" w:history="1">
        <w:r w:rsidR="006C5E6F" w:rsidRPr="004972E2">
          <w:rPr>
            <w:rStyle w:val="Hyperlink"/>
            <w:rFonts w:cstheme="minorHAnsi"/>
          </w:rPr>
          <w:t>https://www.cdc.gov/ncbddd/</w:t>
        </w:r>
      </w:hyperlink>
      <w:r w:rsidRPr="004972E2">
        <w:t>adhd/data.html</w:t>
      </w:r>
    </w:p>
    <w:p w14:paraId="267512A0" w14:textId="77777777" w:rsidR="006C5E6F" w:rsidRPr="004972E2" w:rsidRDefault="00ED7A98" w:rsidP="004972E2">
      <w:pPr>
        <w:pStyle w:val="NoSpacing"/>
        <w:ind w:left="720" w:hanging="720"/>
      </w:pPr>
      <w:r w:rsidRPr="004972E2">
        <w:t>Cuellar, I., Arnold, B., &amp; Maldonado, R. (1995). Acculturation</w:t>
      </w:r>
      <w:r w:rsidR="006C5E6F" w:rsidRPr="004972E2">
        <w:t xml:space="preserve"> </w:t>
      </w:r>
      <w:r w:rsidRPr="004972E2">
        <w:t>Rating Scale for Mexican Americans-II: A revision of the</w:t>
      </w:r>
      <w:r w:rsidR="006C5E6F" w:rsidRPr="004972E2">
        <w:t xml:space="preserve"> </w:t>
      </w:r>
      <w:r w:rsidRPr="004972E2">
        <w:t xml:space="preserve">original ARSMA scale. </w:t>
      </w:r>
      <w:r w:rsidRPr="004972E2">
        <w:rPr>
          <w:i/>
          <w:iCs/>
        </w:rPr>
        <w:t>Hispanic Journal of Behavioral</w:t>
      </w:r>
      <w:r w:rsidR="006C5E6F" w:rsidRPr="004972E2">
        <w:rPr>
          <w:i/>
          <w:iCs/>
        </w:rPr>
        <w:t xml:space="preserve"> </w:t>
      </w:r>
      <w:r w:rsidRPr="004972E2">
        <w:rPr>
          <w:i/>
          <w:iCs/>
        </w:rPr>
        <w:t>Sciences</w:t>
      </w:r>
      <w:r w:rsidRPr="004972E2">
        <w:t xml:space="preserve">, </w:t>
      </w:r>
      <w:r w:rsidRPr="004972E2">
        <w:rPr>
          <w:i/>
          <w:iCs/>
        </w:rPr>
        <w:t>17</w:t>
      </w:r>
      <w:r w:rsidRPr="004972E2">
        <w:t>, 275-304.</w:t>
      </w:r>
    </w:p>
    <w:p w14:paraId="555903E8" w14:textId="69C7647B" w:rsidR="00ED7A98" w:rsidRPr="004972E2" w:rsidRDefault="00ED7A98" w:rsidP="004972E2">
      <w:pPr>
        <w:pStyle w:val="NoSpacing"/>
        <w:ind w:left="720" w:hanging="720"/>
      </w:pPr>
      <w:r w:rsidRPr="004972E2">
        <w:t>Davanzo, P., Kerwin, L., Nikore, V., Esparza, C., Forness, S., &amp;</w:t>
      </w:r>
      <w:r w:rsidR="00AD46A0" w:rsidRPr="004972E2">
        <w:t xml:space="preserve"> </w:t>
      </w:r>
      <w:r w:rsidRPr="004972E2">
        <w:t>Murrelle, L. (2004). Spanish translation and reliability testing</w:t>
      </w:r>
      <w:r w:rsidR="00AD46A0" w:rsidRPr="004972E2">
        <w:t xml:space="preserve"> </w:t>
      </w:r>
      <w:r w:rsidRPr="004972E2">
        <w:t xml:space="preserve">of the Child Depression Inventory. </w:t>
      </w:r>
      <w:r w:rsidRPr="004972E2">
        <w:rPr>
          <w:i/>
          <w:iCs/>
        </w:rPr>
        <w:t>Child Psychiatry &amp;</w:t>
      </w:r>
      <w:r w:rsidR="00AD46A0" w:rsidRPr="004972E2">
        <w:rPr>
          <w:i/>
          <w:iCs/>
        </w:rPr>
        <w:t xml:space="preserve"> </w:t>
      </w:r>
      <w:r w:rsidRPr="004972E2">
        <w:rPr>
          <w:i/>
          <w:iCs/>
        </w:rPr>
        <w:t>Human Development</w:t>
      </w:r>
      <w:r w:rsidRPr="004972E2">
        <w:t xml:space="preserve">, </w:t>
      </w:r>
      <w:r w:rsidRPr="004972E2">
        <w:rPr>
          <w:i/>
          <w:iCs/>
        </w:rPr>
        <w:t>35</w:t>
      </w:r>
      <w:r w:rsidRPr="004972E2">
        <w:t>, 75-92.</w:t>
      </w:r>
    </w:p>
    <w:p w14:paraId="04618D9D" w14:textId="0F1A5F3D" w:rsidR="00450F81" w:rsidRPr="004972E2" w:rsidRDefault="00ED7A98" w:rsidP="004972E2">
      <w:pPr>
        <w:pStyle w:val="NoSpacing"/>
        <w:ind w:left="720" w:hanging="720"/>
      </w:pPr>
      <w:r w:rsidRPr="004972E2">
        <w:t xml:space="preserve">Eiraldi, R., &amp; Diaz, Y. (2010). Use of treatment services for attention-deficit/hyperactivity disorder in Latino children. </w:t>
      </w:r>
      <w:r w:rsidRPr="004972E2">
        <w:rPr>
          <w:i/>
          <w:iCs/>
        </w:rPr>
        <w:t>Current</w:t>
      </w:r>
      <w:r w:rsidR="00AD46A0" w:rsidRPr="004972E2">
        <w:rPr>
          <w:i/>
          <w:iCs/>
        </w:rPr>
        <w:t xml:space="preserve"> </w:t>
      </w:r>
      <w:r w:rsidRPr="004972E2">
        <w:rPr>
          <w:i/>
          <w:iCs/>
        </w:rPr>
        <w:t>Psychiatry Reports</w:t>
      </w:r>
      <w:r w:rsidRPr="004972E2">
        <w:t xml:space="preserve">, </w:t>
      </w:r>
      <w:r w:rsidRPr="004972E2">
        <w:rPr>
          <w:i/>
          <w:iCs/>
        </w:rPr>
        <w:t>12</w:t>
      </w:r>
      <w:r w:rsidRPr="004972E2">
        <w:t>, 403-408.</w:t>
      </w:r>
    </w:p>
    <w:p w14:paraId="7E3DD6E2" w14:textId="77777777" w:rsidR="00AD46A0" w:rsidRPr="004972E2" w:rsidRDefault="00ED7A98" w:rsidP="004972E2">
      <w:pPr>
        <w:pStyle w:val="NoSpacing"/>
        <w:ind w:left="720" w:hanging="720"/>
      </w:pPr>
      <w:r w:rsidRPr="004972E2">
        <w:t>Eisenstadt, T. H., Eyberg, S., McNeil, C. B., Newcomb, K., &amp;</w:t>
      </w:r>
      <w:r w:rsidR="00AD46A0" w:rsidRPr="004972E2">
        <w:t xml:space="preserve"> </w:t>
      </w:r>
      <w:r w:rsidRPr="004972E2">
        <w:t>Funderburk, B. (1993). Parent-Child Interaction Therapy</w:t>
      </w:r>
      <w:r w:rsidR="00AD46A0" w:rsidRPr="004972E2">
        <w:t xml:space="preserve"> </w:t>
      </w:r>
      <w:r w:rsidRPr="004972E2">
        <w:t>with behavior problem children: Relative effectiveness of</w:t>
      </w:r>
      <w:r w:rsidR="00AD46A0" w:rsidRPr="004972E2">
        <w:t xml:space="preserve"> </w:t>
      </w:r>
      <w:r w:rsidRPr="004972E2">
        <w:t xml:space="preserve">two stages and overall treatment outcome. </w:t>
      </w:r>
      <w:r w:rsidRPr="004972E2">
        <w:rPr>
          <w:i/>
          <w:iCs/>
        </w:rPr>
        <w:t>Journal of Clinical</w:t>
      </w:r>
      <w:r w:rsidR="00AD46A0" w:rsidRPr="004972E2">
        <w:rPr>
          <w:i/>
          <w:iCs/>
        </w:rPr>
        <w:t xml:space="preserve"> </w:t>
      </w:r>
      <w:r w:rsidRPr="004972E2">
        <w:rPr>
          <w:i/>
          <w:iCs/>
        </w:rPr>
        <w:t>Child Psychology</w:t>
      </w:r>
      <w:r w:rsidRPr="004972E2">
        <w:t xml:space="preserve">, </w:t>
      </w:r>
      <w:r w:rsidRPr="004972E2">
        <w:rPr>
          <w:i/>
          <w:iCs/>
        </w:rPr>
        <w:t>22</w:t>
      </w:r>
      <w:r w:rsidRPr="004972E2">
        <w:t>, 42-51.</w:t>
      </w:r>
    </w:p>
    <w:p w14:paraId="5C680F90" w14:textId="1B19A4AC" w:rsidR="00ED7A98" w:rsidRPr="004972E2" w:rsidRDefault="00ED7A98" w:rsidP="004972E2">
      <w:pPr>
        <w:pStyle w:val="NoSpacing"/>
        <w:ind w:left="720" w:hanging="720"/>
      </w:pPr>
      <w:r w:rsidRPr="004972E2">
        <w:t>Eyberg, S. M. (1993). Consumer satisfaction measures for assessing</w:t>
      </w:r>
      <w:r w:rsidR="00AD46A0" w:rsidRPr="004972E2">
        <w:t xml:space="preserve"> </w:t>
      </w:r>
      <w:r w:rsidRPr="004972E2">
        <w:t>parent training programs. In L. VandeCreek, S. Knapp,</w:t>
      </w:r>
      <w:r w:rsidR="00AD46A0" w:rsidRPr="004972E2">
        <w:t xml:space="preserve"> </w:t>
      </w:r>
      <w:r w:rsidRPr="004972E2">
        <w:t xml:space="preserve">&amp; T. L. Jackson (Eds.), </w:t>
      </w:r>
      <w:r w:rsidRPr="004972E2">
        <w:rPr>
          <w:i/>
          <w:iCs/>
        </w:rPr>
        <w:t>Innovations in clinical practice: A</w:t>
      </w:r>
      <w:r w:rsidR="00AD46A0" w:rsidRPr="004972E2">
        <w:rPr>
          <w:i/>
          <w:iCs/>
        </w:rPr>
        <w:t xml:space="preserve"> </w:t>
      </w:r>
      <w:r w:rsidRPr="004972E2">
        <w:rPr>
          <w:i/>
          <w:iCs/>
        </w:rPr>
        <w:t xml:space="preserve">source book </w:t>
      </w:r>
      <w:r w:rsidRPr="004972E2">
        <w:t>(Vol. 12, pp. 377-382). Sarasota, FL: Professional</w:t>
      </w:r>
      <w:r w:rsidR="00AD46A0" w:rsidRPr="004972E2">
        <w:t xml:space="preserve"> </w:t>
      </w:r>
      <w:r w:rsidRPr="004972E2">
        <w:t>Resource Press.</w:t>
      </w:r>
    </w:p>
    <w:p w14:paraId="42E2F1C0" w14:textId="406B9C95" w:rsidR="00ED7A98" w:rsidRPr="004972E2" w:rsidRDefault="00ED7A98" w:rsidP="004972E2">
      <w:pPr>
        <w:pStyle w:val="NoSpacing"/>
        <w:ind w:left="720" w:hanging="720"/>
      </w:pPr>
      <w:r w:rsidRPr="004972E2">
        <w:t>Flores, G., &amp; The Committee on Pediatric Research. (2010).</w:t>
      </w:r>
      <w:r w:rsidR="00AD4CC7" w:rsidRPr="004972E2">
        <w:t xml:space="preserve"> </w:t>
      </w:r>
      <w:r w:rsidRPr="004972E2">
        <w:t>Racial and ethnic disparities in the health and health care of</w:t>
      </w:r>
      <w:r w:rsidR="00AD4CC7" w:rsidRPr="004972E2">
        <w:t xml:space="preserve"> </w:t>
      </w:r>
      <w:r w:rsidRPr="004972E2">
        <w:t xml:space="preserve">children. </w:t>
      </w:r>
      <w:r w:rsidRPr="004972E2">
        <w:rPr>
          <w:i/>
          <w:iCs/>
        </w:rPr>
        <w:t>Pediatrics</w:t>
      </w:r>
      <w:r w:rsidRPr="004972E2">
        <w:t xml:space="preserve">, </w:t>
      </w:r>
      <w:r w:rsidRPr="004972E2">
        <w:rPr>
          <w:i/>
          <w:iCs/>
        </w:rPr>
        <w:t>125</w:t>
      </w:r>
      <w:r w:rsidRPr="004972E2">
        <w:t>, e979-e1020.</w:t>
      </w:r>
      <w:r w:rsidR="00AD4CC7" w:rsidRPr="004972E2">
        <w:t xml:space="preserve"> </w:t>
      </w:r>
      <w:r w:rsidRPr="004972E2">
        <w:t>Gerdes, A. C., Haack, L. M., &amp; Schneider, B. W. (2012). Parental</w:t>
      </w:r>
      <w:r w:rsidR="006804FE">
        <w:t xml:space="preserve"> </w:t>
      </w:r>
      <w:r w:rsidRPr="004972E2">
        <w:t>functioning in families of children with ADHD: Evidence for</w:t>
      </w:r>
      <w:r w:rsidR="00AD4CC7" w:rsidRPr="004972E2">
        <w:t xml:space="preserve"> </w:t>
      </w:r>
      <w:r w:rsidRPr="004972E2">
        <w:t>behavioral parent training and importance of clinical meaningfulness.</w:t>
      </w:r>
      <w:r w:rsidR="00AD4CC7" w:rsidRPr="004972E2">
        <w:t xml:space="preserve"> </w:t>
      </w:r>
      <w:r w:rsidRPr="004972E2">
        <w:rPr>
          <w:i/>
          <w:iCs/>
        </w:rPr>
        <w:t>Journal of Attention Disorders</w:t>
      </w:r>
      <w:r w:rsidRPr="004972E2">
        <w:t xml:space="preserve">, </w:t>
      </w:r>
      <w:r w:rsidRPr="004972E2">
        <w:rPr>
          <w:i/>
          <w:iCs/>
        </w:rPr>
        <w:t>16</w:t>
      </w:r>
      <w:r w:rsidRPr="004972E2">
        <w:t>, 147-156.</w:t>
      </w:r>
      <w:r w:rsidR="00AD4CC7" w:rsidRPr="004972E2">
        <w:t xml:space="preserve"> </w:t>
      </w:r>
    </w:p>
    <w:p w14:paraId="0992A1FB" w14:textId="04EE581A" w:rsidR="00ED7A98" w:rsidRPr="004972E2" w:rsidRDefault="00ED7A98" w:rsidP="004972E2">
      <w:pPr>
        <w:pStyle w:val="NoSpacing"/>
        <w:ind w:left="720" w:hanging="720"/>
      </w:pPr>
      <w:r w:rsidRPr="004972E2">
        <w:t>Gerdes, A. C., Kapke, T. L., Lawton, K. E., Grace, M., &amp; Dieguez</w:t>
      </w:r>
      <w:r w:rsidR="00AD4CC7" w:rsidRPr="004972E2">
        <w:t xml:space="preserve"> </w:t>
      </w:r>
      <w:r w:rsidRPr="004972E2">
        <w:t>Hurtado, G. (2015). Culturally adapting parent training for</w:t>
      </w:r>
      <w:r w:rsidR="00AD4CC7" w:rsidRPr="004972E2">
        <w:t xml:space="preserve"> </w:t>
      </w:r>
      <w:r w:rsidRPr="004972E2">
        <w:t xml:space="preserve">Latino youth with ADHD: Development and pilot. </w:t>
      </w:r>
      <w:r w:rsidRPr="004972E2">
        <w:rPr>
          <w:i/>
          <w:iCs/>
        </w:rPr>
        <w:t>Journal of</w:t>
      </w:r>
      <w:r w:rsidR="00AD4CC7" w:rsidRPr="004972E2">
        <w:rPr>
          <w:i/>
          <w:iCs/>
        </w:rPr>
        <w:t xml:space="preserve"> </w:t>
      </w:r>
      <w:r w:rsidRPr="004972E2">
        <w:rPr>
          <w:i/>
          <w:iCs/>
        </w:rPr>
        <w:t>Latina/o Psychology</w:t>
      </w:r>
      <w:r w:rsidRPr="004972E2">
        <w:t xml:space="preserve">, </w:t>
      </w:r>
      <w:r w:rsidRPr="004972E2">
        <w:rPr>
          <w:i/>
          <w:iCs/>
        </w:rPr>
        <w:t>3</w:t>
      </w:r>
      <w:r w:rsidRPr="004972E2">
        <w:t>, 71-87.</w:t>
      </w:r>
    </w:p>
    <w:p w14:paraId="31F57214" w14:textId="55F3666B" w:rsidR="00ED7A98" w:rsidRPr="004972E2" w:rsidRDefault="00ED7A98" w:rsidP="004972E2">
      <w:pPr>
        <w:pStyle w:val="NoSpacing"/>
        <w:ind w:left="720" w:hanging="720"/>
      </w:pPr>
      <w:r w:rsidRPr="004972E2">
        <w:t>Gerdes, A. C., Lawton, K. E., Haack, L. M., &amp; Dieguez Hurtado,</w:t>
      </w:r>
      <w:r w:rsidR="00AD4CC7" w:rsidRPr="004972E2">
        <w:t xml:space="preserve"> </w:t>
      </w:r>
      <w:r w:rsidRPr="004972E2">
        <w:t>G. (2013). Assessing ADHD in Latino families: Evidence</w:t>
      </w:r>
      <w:r w:rsidR="00AD4CC7" w:rsidRPr="004972E2">
        <w:t xml:space="preserve"> </w:t>
      </w:r>
      <w:r w:rsidRPr="004972E2">
        <w:t xml:space="preserve">for moving beyond symptomatology. </w:t>
      </w:r>
      <w:r w:rsidRPr="004972E2">
        <w:rPr>
          <w:i/>
          <w:iCs/>
        </w:rPr>
        <w:t>Journal of Attention</w:t>
      </w:r>
      <w:r w:rsidR="00AD4CC7" w:rsidRPr="004972E2">
        <w:rPr>
          <w:i/>
          <w:iCs/>
        </w:rPr>
        <w:t xml:space="preserve"> </w:t>
      </w:r>
      <w:r w:rsidRPr="004972E2">
        <w:rPr>
          <w:i/>
          <w:iCs/>
        </w:rPr>
        <w:t>Disorders</w:t>
      </w:r>
      <w:r w:rsidRPr="004972E2">
        <w:t xml:space="preserve">, </w:t>
      </w:r>
      <w:r w:rsidRPr="004972E2">
        <w:rPr>
          <w:i/>
          <w:iCs/>
        </w:rPr>
        <w:t>17</w:t>
      </w:r>
      <w:r w:rsidRPr="004972E2">
        <w:t>, 128-140.</w:t>
      </w:r>
    </w:p>
    <w:p w14:paraId="4F2D6C76" w14:textId="77777777" w:rsidR="00AD4CC7" w:rsidRPr="004972E2" w:rsidRDefault="00ED7A98" w:rsidP="004972E2">
      <w:pPr>
        <w:pStyle w:val="NoSpacing"/>
        <w:ind w:left="720" w:hanging="720"/>
      </w:pPr>
      <w:r w:rsidRPr="004972E2">
        <w:t>Griner, D., &amp; Smith, T. B. (2006). Culturally adapted mental</w:t>
      </w:r>
      <w:r w:rsidR="00AD4CC7" w:rsidRPr="004972E2">
        <w:t xml:space="preserve"> </w:t>
      </w:r>
      <w:r w:rsidRPr="004972E2">
        <w:t xml:space="preserve">health interventions: A meta-analytic review. </w:t>
      </w:r>
      <w:r w:rsidRPr="004972E2">
        <w:rPr>
          <w:i/>
          <w:iCs/>
        </w:rPr>
        <w:t>Psychotherapy:</w:t>
      </w:r>
      <w:r w:rsidR="00AD4CC7" w:rsidRPr="004972E2">
        <w:rPr>
          <w:i/>
          <w:iCs/>
        </w:rPr>
        <w:t xml:space="preserve"> </w:t>
      </w:r>
      <w:r w:rsidRPr="004972E2">
        <w:rPr>
          <w:i/>
          <w:iCs/>
        </w:rPr>
        <w:t>Theory, Research, Practice, Training</w:t>
      </w:r>
      <w:r w:rsidRPr="004972E2">
        <w:t xml:space="preserve">, </w:t>
      </w:r>
      <w:r w:rsidRPr="004972E2">
        <w:rPr>
          <w:i/>
          <w:iCs/>
        </w:rPr>
        <w:t>43</w:t>
      </w:r>
      <w:r w:rsidRPr="004972E2">
        <w:t>, 531-548.</w:t>
      </w:r>
      <w:r w:rsidR="00AD4CC7" w:rsidRPr="004972E2">
        <w:t xml:space="preserve"> </w:t>
      </w:r>
    </w:p>
    <w:p w14:paraId="49D599C5" w14:textId="66E75E73" w:rsidR="00ED7A98" w:rsidRPr="004972E2" w:rsidRDefault="00ED7A98" w:rsidP="004972E2">
      <w:pPr>
        <w:pStyle w:val="NoSpacing"/>
        <w:ind w:left="720" w:hanging="720"/>
      </w:pPr>
      <w:r w:rsidRPr="004972E2">
        <w:t>Haack, L. M., Gerdes, A. C., Lawton, K. E., &amp; Schneider, B. W.</w:t>
      </w:r>
      <w:r w:rsidR="00AD4CC7" w:rsidRPr="004972E2">
        <w:t xml:space="preserve"> </w:t>
      </w:r>
      <w:r w:rsidRPr="004972E2">
        <w:t>(2016). Understanding and measuring functional impairment in</w:t>
      </w:r>
      <w:r w:rsidR="00AD4CC7" w:rsidRPr="004972E2">
        <w:t xml:space="preserve"> </w:t>
      </w:r>
      <w:r w:rsidRPr="004972E2">
        <w:t>diverse children with ADHD: Development of the ADHD-FX</w:t>
      </w:r>
      <w:r w:rsidR="00AD4CC7" w:rsidRPr="004972E2">
        <w:t xml:space="preserve"> </w:t>
      </w:r>
      <w:r w:rsidRPr="004972E2">
        <w:t xml:space="preserve">scale with an at-risk, community sample. </w:t>
      </w:r>
      <w:r w:rsidRPr="004972E2">
        <w:rPr>
          <w:i/>
          <w:iCs/>
        </w:rPr>
        <w:t>Journal of Attention</w:t>
      </w:r>
      <w:r w:rsidR="00AD4CC7" w:rsidRPr="004972E2">
        <w:rPr>
          <w:i/>
          <w:iCs/>
        </w:rPr>
        <w:t xml:space="preserve"> </w:t>
      </w:r>
      <w:r w:rsidRPr="004972E2">
        <w:rPr>
          <w:i/>
          <w:iCs/>
        </w:rPr>
        <w:t>Disorders</w:t>
      </w:r>
      <w:r w:rsidRPr="004972E2">
        <w:t xml:space="preserve">, </w:t>
      </w:r>
      <w:r w:rsidRPr="004972E2">
        <w:rPr>
          <w:i/>
          <w:iCs/>
        </w:rPr>
        <w:t>20</w:t>
      </w:r>
      <w:r w:rsidRPr="004972E2">
        <w:t>, 487-500. doi:10.1177/1087054714527791</w:t>
      </w:r>
    </w:p>
    <w:p w14:paraId="315FB717" w14:textId="34B894E7" w:rsidR="00ED7A98" w:rsidRPr="004972E2" w:rsidRDefault="00ED7A98" w:rsidP="004972E2">
      <w:pPr>
        <w:pStyle w:val="NoSpacing"/>
        <w:ind w:left="720" w:hanging="720"/>
      </w:pPr>
      <w:r w:rsidRPr="004972E2">
        <w:t>Haack, L. M., Gerdes, A. C., Schneider, B. W., &amp; Dieguez</w:t>
      </w:r>
      <w:r w:rsidR="00AD4CC7" w:rsidRPr="004972E2">
        <w:t xml:space="preserve"> </w:t>
      </w:r>
      <w:r w:rsidRPr="004972E2">
        <w:t>Hurtado, G. (2011). Advancing our knowledge of ADHD</w:t>
      </w:r>
      <w:r w:rsidR="00AD4CC7" w:rsidRPr="004972E2">
        <w:t xml:space="preserve"> </w:t>
      </w:r>
      <w:r w:rsidRPr="004972E2">
        <w:t>in Latino children: Psychometric and cultural properties of</w:t>
      </w:r>
      <w:r w:rsidR="00AD4CC7" w:rsidRPr="004972E2">
        <w:t xml:space="preserve"> </w:t>
      </w:r>
      <w:r w:rsidRPr="004972E2">
        <w:t>Spanish-versions of parental/family functioning measures.</w:t>
      </w:r>
      <w:r w:rsidR="00AD4CC7" w:rsidRPr="004972E2">
        <w:t xml:space="preserve"> </w:t>
      </w:r>
      <w:r w:rsidRPr="004972E2">
        <w:rPr>
          <w:i/>
          <w:iCs/>
        </w:rPr>
        <w:t>Journal of Abnormal Child Psychology</w:t>
      </w:r>
      <w:r w:rsidRPr="004972E2">
        <w:t xml:space="preserve">, </w:t>
      </w:r>
      <w:r w:rsidRPr="004972E2">
        <w:rPr>
          <w:i/>
          <w:iCs/>
        </w:rPr>
        <w:t>39</w:t>
      </w:r>
      <w:r w:rsidRPr="004972E2">
        <w:t>, 33-43.</w:t>
      </w:r>
    </w:p>
    <w:p w14:paraId="51F46D7D" w14:textId="0661E343" w:rsidR="00ED7A98" w:rsidRPr="004972E2" w:rsidRDefault="00ED7A98" w:rsidP="004972E2">
      <w:pPr>
        <w:pStyle w:val="NoSpacing"/>
        <w:ind w:left="720" w:hanging="720"/>
      </w:pPr>
      <w:r w:rsidRPr="004972E2">
        <w:t>Haack, L. M., Gonring, K., Harris, M., Gerdes, A. C., &amp; Pfiffner,</w:t>
      </w:r>
      <w:r w:rsidR="00AD4CC7" w:rsidRPr="004972E2">
        <w:t xml:space="preserve"> </w:t>
      </w:r>
      <w:r w:rsidRPr="004972E2">
        <w:t>L. J. (2016). Assessing impairment in childhood ADHD:</w:t>
      </w:r>
      <w:r w:rsidR="00AD4CC7" w:rsidRPr="004972E2">
        <w:t xml:space="preserve"> </w:t>
      </w:r>
      <w:r w:rsidRPr="004972E2">
        <w:t>Validation of the parent and teacher ADHD-FX rating scale</w:t>
      </w:r>
      <w:r w:rsidR="00AD4CC7" w:rsidRPr="004972E2">
        <w:t xml:space="preserve"> </w:t>
      </w:r>
      <w:r w:rsidRPr="004972E2">
        <w:t xml:space="preserve">in a dual-site clinical sample. </w:t>
      </w:r>
      <w:r w:rsidRPr="004972E2">
        <w:rPr>
          <w:i/>
          <w:iCs/>
        </w:rPr>
        <w:t>Journal of Attention Disorders</w:t>
      </w:r>
      <w:r w:rsidRPr="004972E2">
        <w:t>.</w:t>
      </w:r>
      <w:r w:rsidR="00AD4CC7" w:rsidRPr="004972E2">
        <w:t xml:space="preserve"> </w:t>
      </w:r>
      <w:r w:rsidRPr="004972E2">
        <w:t>Advance online publication. doi: 10.1177/1087054716659360</w:t>
      </w:r>
    </w:p>
    <w:p w14:paraId="789B8BA3" w14:textId="77777777" w:rsidR="00AD4CC7" w:rsidRPr="004972E2" w:rsidRDefault="00ED7A98" w:rsidP="004972E2">
      <w:pPr>
        <w:pStyle w:val="NoSpacing"/>
        <w:ind w:left="720" w:hanging="720"/>
      </w:pPr>
      <w:r w:rsidRPr="004972E2">
        <w:t xml:space="preserve">Hollingshead, A. A. (1975). </w:t>
      </w:r>
      <w:r w:rsidRPr="004972E2">
        <w:rPr>
          <w:i/>
          <w:iCs/>
        </w:rPr>
        <w:t>Four-factor index of social status</w:t>
      </w:r>
      <w:r w:rsidRPr="004972E2">
        <w:t>.</w:t>
      </w:r>
      <w:r w:rsidR="00AD4CC7" w:rsidRPr="004972E2">
        <w:t xml:space="preserve"> </w:t>
      </w:r>
      <w:r w:rsidRPr="004972E2">
        <w:t>Unpublished manuscript, Yale University, New Haven, CT.</w:t>
      </w:r>
      <w:r w:rsidR="00AD4CC7" w:rsidRPr="004972E2">
        <w:t xml:space="preserve"> </w:t>
      </w:r>
    </w:p>
    <w:p w14:paraId="22DEA90F" w14:textId="67B1BCCB" w:rsidR="00ED7A98" w:rsidRPr="004972E2" w:rsidRDefault="00ED7A98" w:rsidP="004972E2">
      <w:pPr>
        <w:pStyle w:val="NoSpacing"/>
        <w:ind w:left="720" w:hanging="720"/>
      </w:pPr>
      <w:r w:rsidRPr="004972E2">
        <w:lastRenderedPageBreak/>
        <w:t>Huey, S. J., &amp; Polo, A. J., Jr. (2008). Evidence-based psychosocial</w:t>
      </w:r>
      <w:r w:rsidR="00AD4CC7" w:rsidRPr="004972E2">
        <w:t xml:space="preserve"> </w:t>
      </w:r>
      <w:r w:rsidRPr="004972E2">
        <w:t xml:space="preserve">treatments for ethnic minority youth. </w:t>
      </w:r>
      <w:r w:rsidRPr="004972E2">
        <w:rPr>
          <w:i/>
          <w:iCs/>
        </w:rPr>
        <w:t>Journal of Clinical</w:t>
      </w:r>
      <w:r w:rsidR="00AD4CC7" w:rsidRPr="004972E2">
        <w:rPr>
          <w:i/>
          <w:iCs/>
        </w:rPr>
        <w:t xml:space="preserve"> </w:t>
      </w:r>
      <w:r w:rsidRPr="004972E2">
        <w:rPr>
          <w:i/>
          <w:iCs/>
        </w:rPr>
        <w:t>Child &amp; Adolescent Psychology</w:t>
      </w:r>
      <w:r w:rsidRPr="004972E2">
        <w:t xml:space="preserve">, </w:t>
      </w:r>
      <w:r w:rsidRPr="004972E2">
        <w:rPr>
          <w:i/>
          <w:iCs/>
        </w:rPr>
        <w:t>37</w:t>
      </w:r>
      <w:r w:rsidRPr="004972E2">
        <w:t>, 262-301.</w:t>
      </w:r>
    </w:p>
    <w:p w14:paraId="04CEAEBF" w14:textId="77777777" w:rsidR="00AD4CC7" w:rsidRPr="004972E2" w:rsidRDefault="00ED7A98" w:rsidP="004972E2">
      <w:pPr>
        <w:pStyle w:val="NoSpacing"/>
        <w:ind w:left="720" w:hanging="720"/>
      </w:pPr>
      <w:r w:rsidRPr="004972E2">
        <w:t>Johnston, C., &amp; Mash, E. J. (1989). A measure of parenting satisfaction</w:t>
      </w:r>
      <w:r w:rsidR="00AD4CC7" w:rsidRPr="004972E2">
        <w:t xml:space="preserve"> </w:t>
      </w:r>
      <w:r w:rsidRPr="004972E2">
        <w:t xml:space="preserve">and efficacy. </w:t>
      </w:r>
      <w:r w:rsidRPr="004972E2">
        <w:rPr>
          <w:i/>
          <w:iCs/>
        </w:rPr>
        <w:t>Journal of Clinical Child Psychology</w:t>
      </w:r>
      <w:r w:rsidRPr="004972E2">
        <w:t>,</w:t>
      </w:r>
      <w:r w:rsidR="00AD4CC7" w:rsidRPr="004972E2">
        <w:t xml:space="preserve"> </w:t>
      </w:r>
      <w:r w:rsidRPr="004972E2">
        <w:rPr>
          <w:i/>
          <w:iCs/>
        </w:rPr>
        <w:t>18</w:t>
      </w:r>
      <w:r w:rsidRPr="004972E2">
        <w:t>, 167-175.</w:t>
      </w:r>
      <w:r w:rsidR="00AD4CC7" w:rsidRPr="004972E2">
        <w:t xml:space="preserve"> </w:t>
      </w:r>
    </w:p>
    <w:p w14:paraId="509B1CE2" w14:textId="05DF0CA7" w:rsidR="00ED7A98" w:rsidRPr="004972E2" w:rsidRDefault="00ED7A98" w:rsidP="004972E2">
      <w:pPr>
        <w:pStyle w:val="NoSpacing"/>
        <w:ind w:left="720" w:hanging="720"/>
      </w:pPr>
      <w:r w:rsidRPr="004972E2">
        <w:t>Johnston, C., &amp; Mash, E. J. (2001). Families of children with</w:t>
      </w:r>
      <w:r w:rsidR="00AD4CC7" w:rsidRPr="004972E2">
        <w:t xml:space="preserve"> </w:t>
      </w:r>
      <w:r w:rsidRPr="004972E2">
        <w:t>attention-deficit/hyperactivity disorder: Review and recommendations</w:t>
      </w:r>
      <w:r w:rsidR="00AD4CC7" w:rsidRPr="004972E2">
        <w:t xml:space="preserve"> </w:t>
      </w:r>
      <w:r w:rsidRPr="004972E2">
        <w:t xml:space="preserve">for future research. </w:t>
      </w:r>
      <w:r w:rsidRPr="004972E2">
        <w:rPr>
          <w:i/>
          <w:iCs/>
        </w:rPr>
        <w:t>Clinical Child and Family</w:t>
      </w:r>
      <w:r w:rsidR="00AD4CC7" w:rsidRPr="004972E2">
        <w:rPr>
          <w:i/>
          <w:iCs/>
        </w:rPr>
        <w:t xml:space="preserve"> </w:t>
      </w:r>
      <w:r w:rsidRPr="004972E2">
        <w:rPr>
          <w:i/>
          <w:iCs/>
        </w:rPr>
        <w:t>Psychology Review</w:t>
      </w:r>
      <w:r w:rsidRPr="004972E2">
        <w:t xml:space="preserve">, </w:t>
      </w:r>
      <w:r w:rsidRPr="004972E2">
        <w:rPr>
          <w:i/>
          <w:iCs/>
        </w:rPr>
        <w:t>4</w:t>
      </w:r>
      <w:r w:rsidRPr="004972E2">
        <w:t>, 183-207.</w:t>
      </w:r>
    </w:p>
    <w:p w14:paraId="1435994D" w14:textId="3090FA90" w:rsidR="00ED7A98" w:rsidRPr="004972E2" w:rsidRDefault="00ED7A98" w:rsidP="004972E2">
      <w:pPr>
        <w:pStyle w:val="NoSpacing"/>
        <w:ind w:left="720" w:hanging="720"/>
      </w:pPr>
      <w:r w:rsidRPr="004972E2">
        <w:t>Kim, R. E., Lau, A. S., &amp; Chorpita, B. F. (2016). The impact</w:t>
      </w:r>
      <w:r w:rsidR="00AD4CC7" w:rsidRPr="004972E2">
        <w:t xml:space="preserve"> </w:t>
      </w:r>
      <w:r w:rsidRPr="004972E2">
        <w:t>of Latino caregiver acculturation on treatment engagement</w:t>
      </w:r>
      <w:r w:rsidR="00AD4CC7" w:rsidRPr="004972E2">
        <w:t xml:space="preserve"> </w:t>
      </w:r>
      <w:r w:rsidRPr="004972E2">
        <w:t xml:space="preserve">in children’s community mental health services. </w:t>
      </w:r>
      <w:r w:rsidRPr="004972E2">
        <w:rPr>
          <w:i/>
          <w:iCs/>
        </w:rPr>
        <w:t>Journal of</w:t>
      </w:r>
      <w:r w:rsidR="00AD4CC7" w:rsidRPr="004972E2">
        <w:rPr>
          <w:i/>
          <w:iCs/>
        </w:rPr>
        <w:t xml:space="preserve"> </w:t>
      </w:r>
      <w:r w:rsidRPr="004972E2">
        <w:rPr>
          <w:i/>
          <w:iCs/>
        </w:rPr>
        <w:t>Child and Family Studies</w:t>
      </w:r>
      <w:r w:rsidRPr="004972E2">
        <w:t xml:space="preserve">, </w:t>
      </w:r>
      <w:r w:rsidRPr="004972E2">
        <w:rPr>
          <w:i/>
          <w:iCs/>
        </w:rPr>
        <w:t>25</w:t>
      </w:r>
      <w:r w:rsidRPr="004972E2">
        <w:t>, 891-901.</w:t>
      </w:r>
    </w:p>
    <w:p w14:paraId="7925468E" w14:textId="073FED44" w:rsidR="00ED7A98" w:rsidRPr="004972E2" w:rsidRDefault="00ED7A98" w:rsidP="004972E2">
      <w:pPr>
        <w:pStyle w:val="NoSpacing"/>
        <w:ind w:left="720" w:hanging="720"/>
      </w:pPr>
      <w:r w:rsidRPr="004972E2">
        <w:t>Knight, G. P., Gonzales, N. A., Saenz, D. S., Bonds, D. D.,</w:t>
      </w:r>
      <w:r w:rsidR="00484834" w:rsidRPr="004972E2">
        <w:t xml:space="preserve"> </w:t>
      </w:r>
      <w:r w:rsidRPr="004972E2">
        <w:t>German, M., . . . Updegraff, K. A. (2010). The Mexican</w:t>
      </w:r>
      <w:r w:rsidR="00484834" w:rsidRPr="004972E2">
        <w:t xml:space="preserve"> </w:t>
      </w:r>
      <w:r w:rsidRPr="004972E2">
        <w:t>American Cultural Values Scale for adolescents and adults.</w:t>
      </w:r>
      <w:r w:rsidR="00484834" w:rsidRPr="004972E2">
        <w:t xml:space="preserve"> </w:t>
      </w:r>
      <w:r w:rsidRPr="004972E2">
        <w:rPr>
          <w:i/>
          <w:iCs/>
        </w:rPr>
        <w:t>Journal of Early Adolescence</w:t>
      </w:r>
      <w:r w:rsidRPr="004972E2">
        <w:t xml:space="preserve">, </w:t>
      </w:r>
      <w:r w:rsidRPr="004972E2">
        <w:rPr>
          <w:i/>
          <w:iCs/>
        </w:rPr>
        <w:t>30</w:t>
      </w:r>
      <w:r w:rsidRPr="004972E2">
        <w:t>, 444-481.</w:t>
      </w:r>
    </w:p>
    <w:p w14:paraId="1752FF1F" w14:textId="71890B8D" w:rsidR="00ED7A98" w:rsidRPr="004972E2" w:rsidRDefault="00ED7A98" w:rsidP="004972E2">
      <w:pPr>
        <w:pStyle w:val="NoSpacing"/>
        <w:ind w:left="720" w:hanging="720"/>
      </w:pPr>
      <w:r w:rsidRPr="004972E2">
        <w:t>Kouyoumdjian, H., Zamboanga, B. L., &amp; Hansen, D. J. (2003).</w:t>
      </w:r>
      <w:r w:rsidR="00484834" w:rsidRPr="004972E2">
        <w:t xml:space="preserve"> </w:t>
      </w:r>
      <w:r w:rsidRPr="004972E2">
        <w:t>Barriers to community mental health services for Latinos:</w:t>
      </w:r>
      <w:r w:rsidR="00484834" w:rsidRPr="004972E2">
        <w:t xml:space="preserve"> </w:t>
      </w:r>
      <w:r w:rsidRPr="004972E2">
        <w:t xml:space="preserve">Treatment considerations. </w:t>
      </w:r>
      <w:r w:rsidRPr="004972E2">
        <w:rPr>
          <w:i/>
          <w:iCs/>
        </w:rPr>
        <w:t>Clinical Psychology: Science and</w:t>
      </w:r>
      <w:r w:rsidR="00484834" w:rsidRPr="004972E2">
        <w:rPr>
          <w:i/>
          <w:iCs/>
        </w:rPr>
        <w:t xml:space="preserve"> </w:t>
      </w:r>
      <w:r w:rsidRPr="004972E2">
        <w:rPr>
          <w:i/>
          <w:iCs/>
        </w:rPr>
        <w:t>Practice</w:t>
      </w:r>
      <w:r w:rsidRPr="004972E2">
        <w:t xml:space="preserve">, </w:t>
      </w:r>
      <w:r w:rsidRPr="004972E2">
        <w:rPr>
          <w:i/>
          <w:iCs/>
        </w:rPr>
        <w:t>10</w:t>
      </w:r>
      <w:r w:rsidRPr="004972E2">
        <w:t>, 394-422.</w:t>
      </w:r>
    </w:p>
    <w:p w14:paraId="66C66265" w14:textId="77777777" w:rsidR="00484834" w:rsidRPr="004972E2" w:rsidRDefault="00ED7A98" w:rsidP="004972E2">
      <w:pPr>
        <w:pStyle w:val="NoSpacing"/>
        <w:ind w:left="720" w:hanging="720"/>
      </w:pPr>
      <w:r w:rsidRPr="004972E2">
        <w:t xml:space="preserve">Kovacs, M., &amp; MHS Staff. (2011). </w:t>
      </w:r>
      <w:r w:rsidRPr="004972E2">
        <w:rPr>
          <w:i/>
          <w:iCs/>
        </w:rPr>
        <w:t>The Children’s Depression</w:t>
      </w:r>
      <w:r w:rsidR="00484834" w:rsidRPr="004972E2">
        <w:rPr>
          <w:i/>
          <w:iCs/>
        </w:rPr>
        <w:t xml:space="preserve"> </w:t>
      </w:r>
      <w:r w:rsidRPr="004972E2">
        <w:rPr>
          <w:i/>
          <w:iCs/>
        </w:rPr>
        <w:t>Inventory 2 Manual</w:t>
      </w:r>
      <w:r w:rsidRPr="004972E2">
        <w:t>. North Tonawanda, NY: Multi-Health</w:t>
      </w:r>
      <w:r w:rsidR="00484834" w:rsidRPr="004972E2">
        <w:t xml:space="preserve"> </w:t>
      </w:r>
      <w:r w:rsidRPr="004972E2">
        <w:t>Systems.</w:t>
      </w:r>
      <w:r w:rsidR="00484834" w:rsidRPr="004972E2">
        <w:t xml:space="preserve"> </w:t>
      </w:r>
    </w:p>
    <w:p w14:paraId="5EC1A7B4" w14:textId="07C3D784" w:rsidR="00484834" w:rsidRPr="004972E2" w:rsidRDefault="00ED7A98" w:rsidP="004972E2">
      <w:pPr>
        <w:pStyle w:val="NoSpacing"/>
        <w:ind w:left="720" w:hanging="720"/>
      </w:pPr>
      <w:r w:rsidRPr="004972E2">
        <w:t>Kumpfer, K. L., Alvarado, R., Smith, P., &amp; Bellamy, N. (2002).</w:t>
      </w:r>
      <w:r w:rsidR="00484834" w:rsidRPr="004972E2">
        <w:t xml:space="preserve"> </w:t>
      </w:r>
      <w:r w:rsidRPr="004972E2">
        <w:t>Cultural sensitivity and adaptation in family-based prevention</w:t>
      </w:r>
      <w:r w:rsidR="00484834" w:rsidRPr="004972E2">
        <w:t xml:space="preserve"> </w:t>
      </w:r>
      <w:r w:rsidRPr="004972E2">
        <w:t xml:space="preserve">interventions. </w:t>
      </w:r>
      <w:r w:rsidRPr="004972E2">
        <w:rPr>
          <w:i/>
          <w:iCs/>
        </w:rPr>
        <w:t>Prevention Science</w:t>
      </w:r>
      <w:r w:rsidRPr="004972E2">
        <w:t xml:space="preserve">, </w:t>
      </w:r>
      <w:r w:rsidRPr="004972E2">
        <w:rPr>
          <w:i/>
          <w:iCs/>
        </w:rPr>
        <w:t>3</w:t>
      </w:r>
      <w:r w:rsidRPr="004972E2">
        <w:t>, 241-246.</w:t>
      </w:r>
    </w:p>
    <w:p w14:paraId="5139323E" w14:textId="77777777" w:rsidR="00484834" w:rsidRPr="004972E2" w:rsidRDefault="00ED7A98" w:rsidP="004972E2">
      <w:pPr>
        <w:pStyle w:val="NoSpacing"/>
        <w:ind w:left="720" w:hanging="720"/>
      </w:pPr>
      <w:r w:rsidRPr="004972E2">
        <w:t>Lahey, B. B., Pelham, W. E., Loney, J., Kipp, H., Ehrhardt, A.,</w:t>
      </w:r>
      <w:r w:rsidR="00484834" w:rsidRPr="004972E2">
        <w:t xml:space="preserve"> </w:t>
      </w:r>
      <w:r w:rsidRPr="004972E2">
        <w:t>Lee, S. S., . . . Massetti, G. (2004). Three-year predictive</w:t>
      </w:r>
      <w:r w:rsidR="00484834" w:rsidRPr="004972E2">
        <w:t xml:space="preserve"> </w:t>
      </w:r>
      <w:r w:rsidRPr="004972E2">
        <w:t>validity of DSM-IV attention deficit hyperactivity disorder in</w:t>
      </w:r>
      <w:r w:rsidR="00484834" w:rsidRPr="004972E2">
        <w:t xml:space="preserve"> </w:t>
      </w:r>
      <w:r w:rsidRPr="004972E2">
        <w:t xml:space="preserve">children diagnosed at 4-6 years of age. </w:t>
      </w:r>
      <w:r w:rsidRPr="004972E2">
        <w:rPr>
          <w:i/>
          <w:iCs/>
        </w:rPr>
        <w:t>American Journal of</w:t>
      </w:r>
      <w:r w:rsidR="00484834" w:rsidRPr="004972E2">
        <w:rPr>
          <w:i/>
          <w:iCs/>
        </w:rPr>
        <w:t xml:space="preserve"> </w:t>
      </w:r>
      <w:r w:rsidRPr="004972E2">
        <w:rPr>
          <w:i/>
          <w:iCs/>
        </w:rPr>
        <w:t>Psychiatry</w:t>
      </w:r>
      <w:r w:rsidRPr="004972E2">
        <w:t xml:space="preserve">, </w:t>
      </w:r>
      <w:r w:rsidRPr="004972E2">
        <w:rPr>
          <w:i/>
          <w:iCs/>
        </w:rPr>
        <w:t>161</w:t>
      </w:r>
      <w:r w:rsidRPr="004972E2">
        <w:t>, 2014-2020.</w:t>
      </w:r>
      <w:r w:rsidR="00484834" w:rsidRPr="004972E2">
        <w:t xml:space="preserve"> </w:t>
      </w:r>
    </w:p>
    <w:p w14:paraId="42AF375E" w14:textId="5AD22FDD" w:rsidR="00ED7A98" w:rsidRPr="004972E2" w:rsidRDefault="00ED7A98" w:rsidP="004972E2">
      <w:pPr>
        <w:pStyle w:val="NoSpacing"/>
        <w:ind w:left="720" w:hanging="720"/>
      </w:pPr>
      <w:r w:rsidRPr="004972E2">
        <w:t>Leibach, G. G., Perrin, P. B., Nicholls, E., Olivera, S. L., Quintero,</w:t>
      </w:r>
      <w:r w:rsidR="00C46257" w:rsidRPr="004972E2">
        <w:t xml:space="preserve"> </w:t>
      </w:r>
      <w:r w:rsidRPr="004972E2">
        <w:t>L. M., Trujillo, D. M. V., &amp; Arango-Lasprilla, J. C. (2015).</w:t>
      </w:r>
      <w:r w:rsidR="00C46257" w:rsidRPr="004972E2">
        <w:t xml:space="preserve"> </w:t>
      </w:r>
      <w:r w:rsidRPr="004972E2">
        <w:t>Health related quality of life and mental health in children</w:t>
      </w:r>
      <w:r w:rsidR="00C46257" w:rsidRPr="004972E2">
        <w:t xml:space="preserve"> </w:t>
      </w:r>
      <w:r w:rsidRPr="004972E2">
        <w:t xml:space="preserve">with SCI/D from Neiva, Colombia. </w:t>
      </w:r>
      <w:r w:rsidRPr="004972E2">
        <w:rPr>
          <w:i/>
          <w:iCs/>
        </w:rPr>
        <w:t>NeuroRehabilitation</w:t>
      </w:r>
      <w:r w:rsidRPr="004972E2">
        <w:t xml:space="preserve">, </w:t>
      </w:r>
      <w:r w:rsidRPr="004972E2">
        <w:rPr>
          <w:i/>
          <w:iCs/>
        </w:rPr>
        <w:t>36</w:t>
      </w:r>
      <w:r w:rsidRPr="004972E2">
        <w:t>,</w:t>
      </w:r>
      <w:r w:rsidR="00C46257" w:rsidRPr="004972E2">
        <w:t xml:space="preserve"> </w:t>
      </w:r>
      <w:r w:rsidRPr="004972E2">
        <w:t>215-221.</w:t>
      </w:r>
    </w:p>
    <w:p w14:paraId="4882F8EB" w14:textId="6259A3F4" w:rsidR="00ED7A98" w:rsidRPr="004972E2" w:rsidRDefault="00ED7A98" w:rsidP="004972E2">
      <w:pPr>
        <w:pStyle w:val="NoSpacing"/>
        <w:ind w:left="720" w:hanging="720"/>
      </w:pPr>
      <w:r w:rsidRPr="004972E2">
        <w:t>Leslie, L. K., Lambros, K. M., Aarons, G. A., Haine, R. A., &amp;</w:t>
      </w:r>
      <w:r w:rsidR="00C46257" w:rsidRPr="004972E2">
        <w:t xml:space="preserve"> </w:t>
      </w:r>
      <w:r w:rsidRPr="004972E2">
        <w:t>Hough, R. L. (2008). School-based service use by youth with</w:t>
      </w:r>
      <w:r w:rsidR="00C46257" w:rsidRPr="004972E2">
        <w:t xml:space="preserve"> </w:t>
      </w:r>
      <w:r w:rsidRPr="004972E2">
        <w:t xml:space="preserve">ADHD in public-sector settings. </w:t>
      </w:r>
      <w:r w:rsidRPr="004972E2">
        <w:rPr>
          <w:i/>
          <w:iCs/>
        </w:rPr>
        <w:t>Journal of Emotional and</w:t>
      </w:r>
      <w:r w:rsidR="00C46257" w:rsidRPr="004972E2">
        <w:rPr>
          <w:i/>
          <w:iCs/>
        </w:rPr>
        <w:t xml:space="preserve"> </w:t>
      </w:r>
      <w:r w:rsidRPr="004972E2">
        <w:rPr>
          <w:i/>
          <w:iCs/>
        </w:rPr>
        <w:t>Behavioral Disorders</w:t>
      </w:r>
      <w:r w:rsidRPr="004972E2">
        <w:t xml:space="preserve">, </w:t>
      </w:r>
      <w:r w:rsidRPr="004972E2">
        <w:rPr>
          <w:i/>
          <w:iCs/>
        </w:rPr>
        <w:t>16</w:t>
      </w:r>
      <w:r w:rsidRPr="004972E2">
        <w:t>, 163-177.</w:t>
      </w:r>
    </w:p>
    <w:p w14:paraId="309589B8" w14:textId="17905982" w:rsidR="00ED7A98" w:rsidRPr="004972E2" w:rsidRDefault="00ED7A98" w:rsidP="004972E2">
      <w:pPr>
        <w:pStyle w:val="NoSpacing"/>
        <w:ind w:left="720" w:hanging="720"/>
      </w:pPr>
      <w:r w:rsidRPr="004972E2">
        <w:t>Lundahl, B. W., Tollefson, D., Risser, H., &amp; Lovejoy, M. C.</w:t>
      </w:r>
      <w:r w:rsidR="00C46257" w:rsidRPr="004972E2">
        <w:t xml:space="preserve"> </w:t>
      </w:r>
      <w:r w:rsidRPr="004972E2">
        <w:t>(2007). A meta-analysis of father involvement in parent training.</w:t>
      </w:r>
      <w:r w:rsidR="00C46257" w:rsidRPr="004972E2">
        <w:t xml:space="preserve"> </w:t>
      </w:r>
      <w:r w:rsidRPr="004972E2">
        <w:rPr>
          <w:i/>
          <w:iCs/>
        </w:rPr>
        <w:t>Research on Social Work Practice</w:t>
      </w:r>
      <w:r w:rsidRPr="004972E2">
        <w:t xml:space="preserve">, </w:t>
      </w:r>
      <w:r w:rsidRPr="004972E2">
        <w:rPr>
          <w:i/>
          <w:iCs/>
        </w:rPr>
        <w:t>18</w:t>
      </w:r>
      <w:r w:rsidRPr="004972E2">
        <w:t>, 97-106.</w:t>
      </w:r>
    </w:p>
    <w:p w14:paraId="1B14EB6E" w14:textId="1D61403C" w:rsidR="00ED7A98" w:rsidRPr="004972E2" w:rsidRDefault="00ED7A98" w:rsidP="004972E2">
      <w:pPr>
        <w:pStyle w:val="NoSpacing"/>
        <w:ind w:left="720" w:hanging="720"/>
      </w:pPr>
      <w:r w:rsidRPr="004972E2">
        <w:t>Matheny, A. P., Wachs, T. D., Ludwig, J. L., &amp; Phillips, K. (1995).</w:t>
      </w:r>
      <w:r w:rsidR="00C46257" w:rsidRPr="004972E2">
        <w:t xml:space="preserve"> </w:t>
      </w:r>
      <w:r w:rsidRPr="004972E2">
        <w:t>Bringing order out of chaos: Psychometric characteristics of</w:t>
      </w:r>
      <w:r w:rsidR="00C46257" w:rsidRPr="004972E2">
        <w:t xml:space="preserve"> </w:t>
      </w:r>
      <w:r w:rsidRPr="004972E2">
        <w:t xml:space="preserve">the Confusion, Hubbub, and Order Scale. </w:t>
      </w:r>
      <w:r w:rsidRPr="004972E2">
        <w:rPr>
          <w:i/>
          <w:iCs/>
        </w:rPr>
        <w:t>Journal of Applied</w:t>
      </w:r>
      <w:r w:rsidR="00C46257" w:rsidRPr="004972E2">
        <w:rPr>
          <w:i/>
          <w:iCs/>
        </w:rPr>
        <w:t xml:space="preserve"> </w:t>
      </w:r>
      <w:r w:rsidRPr="004972E2">
        <w:rPr>
          <w:i/>
          <w:iCs/>
        </w:rPr>
        <w:t>Developmental Psychology</w:t>
      </w:r>
      <w:r w:rsidRPr="004972E2">
        <w:t xml:space="preserve">, </w:t>
      </w:r>
      <w:r w:rsidRPr="004972E2">
        <w:rPr>
          <w:i/>
          <w:iCs/>
        </w:rPr>
        <w:t>16</w:t>
      </w:r>
      <w:r w:rsidRPr="004972E2">
        <w:t>, 429-444.</w:t>
      </w:r>
    </w:p>
    <w:p w14:paraId="55CB84CA" w14:textId="65E983C8" w:rsidR="00ED7A98" w:rsidRPr="004972E2" w:rsidRDefault="00ED7A98" w:rsidP="004972E2">
      <w:pPr>
        <w:pStyle w:val="NoSpacing"/>
        <w:ind w:left="720" w:hanging="720"/>
      </w:pPr>
      <w:r w:rsidRPr="004972E2">
        <w:t>McCabe, K., &amp; Yeh, M. (2009). Parent-Child Interaction Therapy</w:t>
      </w:r>
      <w:r w:rsidR="00C46257" w:rsidRPr="004972E2">
        <w:t xml:space="preserve"> </w:t>
      </w:r>
      <w:r w:rsidRPr="004972E2">
        <w:t xml:space="preserve">for Mexican Americans: A randomized clinical trial. </w:t>
      </w:r>
      <w:r w:rsidRPr="004972E2">
        <w:rPr>
          <w:i/>
          <w:iCs/>
        </w:rPr>
        <w:t>Journal</w:t>
      </w:r>
      <w:r w:rsidR="00C46257" w:rsidRPr="004972E2">
        <w:rPr>
          <w:i/>
          <w:iCs/>
        </w:rPr>
        <w:t xml:space="preserve"> </w:t>
      </w:r>
      <w:r w:rsidRPr="004972E2">
        <w:rPr>
          <w:i/>
          <w:iCs/>
        </w:rPr>
        <w:t>of Clinical Child &amp; Adolescent Psychology</w:t>
      </w:r>
      <w:r w:rsidRPr="004972E2">
        <w:t xml:space="preserve">, </w:t>
      </w:r>
      <w:r w:rsidRPr="004972E2">
        <w:rPr>
          <w:i/>
          <w:iCs/>
        </w:rPr>
        <w:t>38</w:t>
      </w:r>
      <w:r w:rsidRPr="004972E2">
        <w:t>, 753-759.</w:t>
      </w:r>
      <w:r w:rsidR="00C46257" w:rsidRPr="004972E2">
        <w:t xml:space="preserve"> </w:t>
      </w:r>
    </w:p>
    <w:p w14:paraId="07F175E5" w14:textId="696C73CF" w:rsidR="00ED7A98" w:rsidRPr="004972E2" w:rsidRDefault="00ED7A98" w:rsidP="004972E2">
      <w:pPr>
        <w:pStyle w:val="NoSpacing"/>
        <w:ind w:left="720" w:hanging="720"/>
      </w:pPr>
      <w:r w:rsidRPr="004972E2">
        <w:t>McCabe, K., Yeh, M., Lau, A., &amp; Argote, C. B. (2012). Parent</w:t>
      </w:r>
      <w:r w:rsidR="00117107">
        <w:t xml:space="preserve"> </w:t>
      </w:r>
      <w:r w:rsidRPr="004972E2">
        <w:t>child</w:t>
      </w:r>
      <w:r w:rsidR="00C46257" w:rsidRPr="004972E2">
        <w:t xml:space="preserve"> </w:t>
      </w:r>
      <w:r w:rsidRPr="004972E2">
        <w:t>interaction therapy for Mexican Americans: Results</w:t>
      </w:r>
      <w:r w:rsidR="00C46257" w:rsidRPr="004972E2">
        <w:t xml:space="preserve"> </w:t>
      </w:r>
      <w:r w:rsidRPr="004972E2">
        <w:t xml:space="preserve">of a pilot randomized clinical trial at follow-up. </w:t>
      </w:r>
      <w:r w:rsidRPr="004972E2">
        <w:rPr>
          <w:i/>
          <w:iCs/>
        </w:rPr>
        <w:t>Behavior</w:t>
      </w:r>
      <w:r w:rsidR="00C46257" w:rsidRPr="004972E2">
        <w:rPr>
          <w:i/>
          <w:iCs/>
        </w:rPr>
        <w:t xml:space="preserve"> </w:t>
      </w:r>
      <w:r w:rsidRPr="004972E2">
        <w:rPr>
          <w:i/>
          <w:iCs/>
        </w:rPr>
        <w:t>Therapy</w:t>
      </w:r>
      <w:r w:rsidRPr="004972E2">
        <w:t xml:space="preserve">, </w:t>
      </w:r>
      <w:r w:rsidRPr="004972E2">
        <w:rPr>
          <w:i/>
          <w:iCs/>
        </w:rPr>
        <w:t>43</w:t>
      </w:r>
      <w:r w:rsidRPr="004972E2">
        <w:t>, 606-618.</w:t>
      </w:r>
    </w:p>
    <w:p w14:paraId="39ADE083" w14:textId="39FC0F21" w:rsidR="00ED7A98" w:rsidRPr="004972E2" w:rsidRDefault="00ED7A98" w:rsidP="004972E2">
      <w:pPr>
        <w:pStyle w:val="NoSpacing"/>
        <w:ind w:left="720" w:hanging="720"/>
      </w:pPr>
      <w:r w:rsidRPr="004972E2">
        <w:t>Miranda, J., Bernal, G., Lau, A., Kohn, L., Hwang, W., &amp;</w:t>
      </w:r>
      <w:r w:rsidR="00663108" w:rsidRPr="004972E2">
        <w:t xml:space="preserve"> </w:t>
      </w:r>
      <w:r w:rsidRPr="004972E2">
        <w:t>LaFromboise, T. (2005). State of the science on psychosocial</w:t>
      </w:r>
      <w:r w:rsidR="00663108" w:rsidRPr="004972E2">
        <w:t xml:space="preserve"> </w:t>
      </w:r>
      <w:r w:rsidRPr="004972E2">
        <w:t xml:space="preserve">interventions for ethnic minorities. </w:t>
      </w:r>
      <w:r w:rsidRPr="004972E2">
        <w:rPr>
          <w:i/>
          <w:iCs/>
        </w:rPr>
        <w:t>Annual Review of Clinical</w:t>
      </w:r>
      <w:r w:rsidR="00663108" w:rsidRPr="004972E2">
        <w:rPr>
          <w:i/>
          <w:iCs/>
        </w:rPr>
        <w:t xml:space="preserve"> </w:t>
      </w:r>
      <w:r w:rsidRPr="004972E2">
        <w:rPr>
          <w:i/>
          <w:iCs/>
        </w:rPr>
        <w:t>Psychology</w:t>
      </w:r>
      <w:r w:rsidRPr="004972E2">
        <w:t xml:space="preserve">, </w:t>
      </w:r>
      <w:r w:rsidRPr="004972E2">
        <w:rPr>
          <w:i/>
          <w:iCs/>
        </w:rPr>
        <w:t>1</w:t>
      </w:r>
      <w:r w:rsidRPr="004972E2">
        <w:t>, 113-142.</w:t>
      </w:r>
    </w:p>
    <w:p w14:paraId="43D1365A" w14:textId="0E34B27E" w:rsidR="00ED7A98" w:rsidRPr="004972E2" w:rsidRDefault="00ED7A98" w:rsidP="004972E2">
      <w:pPr>
        <w:pStyle w:val="NoSpacing"/>
        <w:ind w:left="720" w:hanging="720"/>
      </w:pPr>
      <w:r w:rsidRPr="004972E2">
        <w:t>Morgan, P. L., Hillemeier, M. M., Farkas, G., &amp; Maczuga, S.</w:t>
      </w:r>
      <w:r w:rsidR="00663108" w:rsidRPr="004972E2">
        <w:t xml:space="preserve"> </w:t>
      </w:r>
      <w:r w:rsidRPr="004972E2">
        <w:t>(2014). Racial/ethnic disparities in ADHD diagnosis by kindergarten</w:t>
      </w:r>
      <w:r w:rsidR="00663108" w:rsidRPr="004972E2">
        <w:t xml:space="preserve"> </w:t>
      </w:r>
      <w:r w:rsidRPr="004972E2">
        <w:t xml:space="preserve">entry. </w:t>
      </w:r>
      <w:r w:rsidRPr="004972E2">
        <w:rPr>
          <w:i/>
          <w:iCs/>
        </w:rPr>
        <w:t>Journal of Child Psychology and Psychiatry</w:t>
      </w:r>
      <w:r w:rsidRPr="004972E2">
        <w:t>,</w:t>
      </w:r>
      <w:r w:rsidR="00663108" w:rsidRPr="004972E2">
        <w:t xml:space="preserve"> </w:t>
      </w:r>
      <w:r w:rsidRPr="004972E2">
        <w:rPr>
          <w:i/>
          <w:iCs/>
        </w:rPr>
        <w:t>55</w:t>
      </w:r>
      <w:r w:rsidRPr="004972E2">
        <w:t>, 905-913.</w:t>
      </w:r>
    </w:p>
    <w:p w14:paraId="78B229E3" w14:textId="31C07B2F" w:rsidR="00ED7A98" w:rsidRPr="004972E2" w:rsidRDefault="00ED7A98" w:rsidP="004972E2">
      <w:pPr>
        <w:pStyle w:val="NoSpacing"/>
        <w:ind w:left="720" w:hanging="720"/>
      </w:pPr>
      <w:r w:rsidRPr="004972E2">
        <w:t>Nock, M. K., &amp; Ferriter, C. (2005). Parent management of attendance</w:t>
      </w:r>
      <w:r w:rsidR="00663108" w:rsidRPr="004972E2">
        <w:t xml:space="preserve"> </w:t>
      </w:r>
      <w:r w:rsidRPr="004972E2">
        <w:t>and adherence in child and adolescent therapy: A</w:t>
      </w:r>
      <w:r w:rsidR="00663108" w:rsidRPr="004972E2">
        <w:t xml:space="preserve"> </w:t>
      </w:r>
      <w:r w:rsidRPr="004972E2">
        <w:t xml:space="preserve">conceptual and empirical review. </w:t>
      </w:r>
      <w:r w:rsidRPr="004972E2">
        <w:rPr>
          <w:i/>
          <w:iCs/>
        </w:rPr>
        <w:t>Clinical Child and Family</w:t>
      </w:r>
      <w:r w:rsidR="00663108" w:rsidRPr="004972E2">
        <w:rPr>
          <w:i/>
          <w:iCs/>
        </w:rPr>
        <w:t xml:space="preserve"> </w:t>
      </w:r>
      <w:r w:rsidRPr="004972E2">
        <w:rPr>
          <w:i/>
          <w:iCs/>
        </w:rPr>
        <w:t>Psychology Review</w:t>
      </w:r>
      <w:r w:rsidRPr="004972E2">
        <w:t xml:space="preserve">, </w:t>
      </w:r>
      <w:r w:rsidRPr="004972E2">
        <w:rPr>
          <w:i/>
          <w:iCs/>
        </w:rPr>
        <w:t>8</w:t>
      </w:r>
      <w:r w:rsidRPr="004972E2">
        <w:t>, 149-166.</w:t>
      </w:r>
    </w:p>
    <w:p w14:paraId="656971E6" w14:textId="420FBD97" w:rsidR="00ED7A98" w:rsidRPr="004972E2" w:rsidRDefault="00ED7A98" w:rsidP="004972E2">
      <w:pPr>
        <w:pStyle w:val="NoSpacing"/>
        <w:ind w:left="720" w:hanging="720"/>
      </w:pPr>
      <w:r w:rsidRPr="004972E2">
        <w:t xml:space="preserve">Pelham, W. E. (2002). </w:t>
      </w:r>
      <w:r w:rsidRPr="004972E2">
        <w:rPr>
          <w:i/>
          <w:iCs/>
        </w:rPr>
        <w:t>Attention deficit hyperactivity disorder:</w:t>
      </w:r>
      <w:r w:rsidR="00663108" w:rsidRPr="004972E2">
        <w:rPr>
          <w:i/>
          <w:iCs/>
        </w:rPr>
        <w:t xml:space="preserve"> </w:t>
      </w:r>
      <w:r w:rsidRPr="004972E2">
        <w:rPr>
          <w:i/>
          <w:iCs/>
        </w:rPr>
        <w:t>Diagnosis, assessment, nature, etiology, and treatment</w:t>
      </w:r>
      <w:r w:rsidRPr="004972E2">
        <w:t>.</w:t>
      </w:r>
      <w:r w:rsidR="00663108" w:rsidRPr="004972E2">
        <w:t xml:space="preserve"> </w:t>
      </w:r>
      <w:r w:rsidRPr="004972E2">
        <w:t>Unpublished manuscript, State University of New York at</w:t>
      </w:r>
      <w:r w:rsidR="00663108" w:rsidRPr="004972E2">
        <w:t xml:space="preserve"> </w:t>
      </w:r>
      <w:r w:rsidRPr="004972E2">
        <w:t>Buffalo.</w:t>
      </w:r>
    </w:p>
    <w:p w14:paraId="25F19D96" w14:textId="4ED44AA3" w:rsidR="00ED7A98" w:rsidRPr="004972E2" w:rsidRDefault="00ED7A98" w:rsidP="004972E2">
      <w:pPr>
        <w:pStyle w:val="NoSpacing"/>
        <w:ind w:left="720" w:hanging="720"/>
      </w:pPr>
      <w:r w:rsidRPr="004972E2">
        <w:t>Pelham, W. E., &amp; Fabiano, G. A. (2008). Evidence-based psychosocial</w:t>
      </w:r>
      <w:r w:rsidR="00663108" w:rsidRPr="004972E2">
        <w:t xml:space="preserve"> </w:t>
      </w:r>
      <w:r w:rsidRPr="004972E2">
        <w:t>treatments for attention-</w:t>
      </w:r>
      <w:r w:rsidR="00663108" w:rsidRPr="004972E2">
        <w:t xml:space="preserve"> </w:t>
      </w:r>
      <w:r w:rsidRPr="004972E2">
        <w:t>deficit/hyperactivity disorder.</w:t>
      </w:r>
      <w:r w:rsidR="00663108" w:rsidRPr="004972E2">
        <w:t xml:space="preserve"> </w:t>
      </w:r>
      <w:r w:rsidRPr="004972E2">
        <w:rPr>
          <w:i/>
          <w:iCs/>
        </w:rPr>
        <w:t>Journal of Child &amp; Adolescent Psychology</w:t>
      </w:r>
      <w:r w:rsidRPr="004972E2">
        <w:t xml:space="preserve">, </w:t>
      </w:r>
      <w:r w:rsidRPr="004972E2">
        <w:rPr>
          <w:i/>
          <w:iCs/>
        </w:rPr>
        <w:t>37</w:t>
      </w:r>
      <w:r w:rsidRPr="004972E2">
        <w:t>, 184-217.</w:t>
      </w:r>
    </w:p>
    <w:p w14:paraId="60543173" w14:textId="69140EDA" w:rsidR="00ED7A98" w:rsidRPr="004972E2" w:rsidRDefault="00ED7A98" w:rsidP="004972E2">
      <w:pPr>
        <w:pStyle w:val="NoSpacing"/>
        <w:ind w:left="720" w:hanging="720"/>
      </w:pPr>
      <w:r w:rsidRPr="004972E2">
        <w:t>Pelham, W. E., Gnagy, E. M., Greenslade, K. E., &amp; Milich, R.</w:t>
      </w:r>
      <w:r w:rsidR="00663108" w:rsidRPr="004972E2">
        <w:t xml:space="preserve"> </w:t>
      </w:r>
      <w:r w:rsidRPr="004972E2">
        <w:t>(1992). Teacher ratings of DSM-III-R symptoms for the disruptive</w:t>
      </w:r>
      <w:r w:rsidR="0003501D" w:rsidRPr="004972E2">
        <w:t xml:space="preserve"> </w:t>
      </w:r>
      <w:r w:rsidRPr="004972E2">
        <w:t xml:space="preserve">behavior disorders. </w:t>
      </w:r>
      <w:r w:rsidRPr="004972E2">
        <w:rPr>
          <w:i/>
          <w:iCs/>
        </w:rPr>
        <w:t>Journal of the American Academy</w:t>
      </w:r>
      <w:r w:rsidR="0003501D" w:rsidRPr="004972E2">
        <w:rPr>
          <w:i/>
          <w:iCs/>
        </w:rPr>
        <w:t xml:space="preserve"> </w:t>
      </w:r>
      <w:r w:rsidRPr="004972E2">
        <w:rPr>
          <w:i/>
          <w:iCs/>
        </w:rPr>
        <w:t>of Child &amp; Adolescent Psychiatry</w:t>
      </w:r>
      <w:r w:rsidRPr="004972E2">
        <w:t xml:space="preserve">, </w:t>
      </w:r>
      <w:r w:rsidRPr="004972E2">
        <w:rPr>
          <w:i/>
          <w:iCs/>
        </w:rPr>
        <w:t>31</w:t>
      </w:r>
      <w:r w:rsidRPr="004972E2">
        <w:t>, 210-218.</w:t>
      </w:r>
    </w:p>
    <w:p w14:paraId="447CEDF9" w14:textId="7ACDD421" w:rsidR="00ED7A98" w:rsidRPr="004972E2" w:rsidRDefault="00ED7A98" w:rsidP="004972E2">
      <w:pPr>
        <w:pStyle w:val="NoSpacing"/>
        <w:ind w:left="720" w:hanging="720"/>
      </w:pPr>
      <w:r w:rsidRPr="004972E2">
        <w:t xml:space="preserve">Reynolds, C. R., &amp; Richmond, B. O. (2008). </w:t>
      </w:r>
      <w:r w:rsidRPr="004972E2">
        <w:rPr>
          <w:i/>
          <w:iCs/>
        </w:rPr>
        <w:t>Revised Children’s</w:t>
      </w:r>
      <w:r w:rsidR="0003501D" w:rsidRPr="004972E2">
        <w:rPr>
          <w:i/>
          <w:iCs/>
        </w:rPr>
        <w:t xml:space="preserve"> </w:t>
      </w:r>
      <w:r w:rsidRPr="004972E2">
        <w:rPr>
          <w:i/>
          <w:iCs/>
        </w:rPr>
        <w:t>Manifest Anxiety Scale-Second Edition manual</w:t>
      </w:r>
      <w:r w:rsidRPr="004972E2">
        <w:t>. Los Angeles,</w:t>
      </w:r>
      <w:r w:rsidR="0003501D" w:rsidRPr="004972E2">
        <w:t xml:space="preserve"> </w:t>
      </w:r>
      <w:r w:rsidRPr="004972E2">
        <w:t>CA: Western Psychological Services.</w:t>
      </w:r>
      <w:r w:rsidR="0003501D" w:rsidRPr="004972E2">
        <w:t xml:space="preserve"> </w:t>
      </w:r>
      <w:r w:rsidRPr="004972E2">
        <w:t xml:space="preserve">Rubio-Stipec, M., Bird, H., Canino, G., &amp; Gould, M. (1990). </w:t>
      </w:r>
      <w:r w:rsidRPr="004972E2">
        <w:lastRenderedPageBreak/>
        <w:t>The</w:t>
      </w:r>
      <w:r w:rsidR="001E6551">
        <w:t xml:space="preserve"> </w:t>
      </w:r>
      <w:r w:rsidRPr="004972E2">
        <w:t>internal consistency and concurrent validity of a Spanish translation</w:t>
      </w:r>
      <w:r w:rsidR="0003501D" w:rsidRPr="004972E2">
        <w:t xml:space="preserve"> </w:t>
      </w:r>
      <w:r w:rsidRPr="004972E2">
        <w:t xml:space="preserve">of the child behavior checklist. </w:t>
      </w:r>
      <w:r w:rsidRPr="004972E2">
        <w:rPr>
          <w:i/>
          <w:iCs/>
        </w:rPr>
        <w:t>Journal of Abnormal</w:t>
      </w:r>
      <w:r w:rsidR="0003501D" w:rsidRPr="004972E2">
        <w:rPr>
          <w:i/>
          <w:iCs/>
        </w:rPr>
        <w:t xml:space="preserve"> </w:t>
      </w:r>
      <w:r w:rsidRPr="004972E2">
        <w:rPr>
          <w:i/>
          <w:iCs/>
        </w:rPr>
        <w:t>Child Psychology</w:t>
      </w:r>
      <w:r w:rsidRPr="004972E2">
        <w:t xml:space="preserve">, </w:t>
      </w:r>
      <w:r w:rsidRPr="004972E2">
        <w:rPr>
          <w:i/>
          <w:iCs/>
        </w:rPr>
        <w:t>18</w:t>
      </w:r>
      <w:r w:rsidRPr="004972E2">
        <w:t>, 393-406.</w:t>
      </w:r>
    </w:p>
    <w:p w14:paraId="0ABE7F8D" w14:textId="410241AD" w:rsidR="00ED7A98" w:rsidRPr="004972E2" w:rsidRDefault="00ED7A98" w:rsidP="004972E2">
      <w:pPr>
        <w:pStyle w:val="NoSpacing"/>
        <w:ind w:left="720" w:hanging="720"/>
      </w:pPr>
      <w:r w:rsidRPr="004972E2">
        <w:t>Steidel, A. G. L., &amp; Contreras, J. M. (2003). A new familism</w:t>
      </w:r>
      <w:r w:rsidR="0003501D" w:rsidRPr="004972E2">
        <w:t xml:space="preserve"> </w:t>
      </w:r>
      <w:r w:rsidRPr="004972E2">
        <w:t xml:space="preserve">scale for use with Latino populations. </w:t>
      </w:r>
      <w:r w:rsidRPr="004972E2">
        <w:rPr>
          <w:i/>
          <w:iCs/>
        </w:rPr>
        <w:t>Hispanic Journal of</w:t>
      </w:r>
      <w:r w:rsidR="0003501D" w:rsidRPr="004972E2">
        <w:rPr>
          <w:i/>
          <w:iCs/>
        </w:rPr>
        <w:t xml:space="preserve"> </w:t>
      </w:r>
      <w:r w:rsidRPr="004972E2">
        <w:rPr>
          <w:i/>
          <w:iCs/>
        </w:rPr>
        <w:t>Behavioral Sciences</w:t>
      </w:r>
      <w:r w:rsidRPr="004972E2">
        <w:t xml:space="preserve">, </w:t>
      </w:r>
      <w:r w:rsidRPr="004972E2">
        <w:rPr>
          <w:i/>
          <w:iCs/>
        </w:rPr>
        <w:t>25</w:t>
      </w:r>
      <w:r w:rsidRPr="004972E2">
        <w:t>, 312-330.</w:t>
      </w:r>
      <w:r w:rsidR="0003501D" w:rsidRPr="004972E2">
        <w:t xml:space="preserve"> </w:t>
      </w:r>
    </w:p>
    <w:p w14:paraId="3F48125D" w14:textId="120BAEDE" w:rsidR="00ED7A98" w:rsidRPr="004972E2" w:rsidRDefault="00ED7A98" w:rsidP="004972E2">
      <w:pPr>
        <w:pStyle w:val="NoSpacing"/>
        <w:ind w:left="720" w:hanging="720"/>
      </w:pPr>
      <w:r w:rsidRPr="004972E2">
        <w:t>Sue, S., Zane, N., Nagayama Hall, G. C., &amp; Berger, L. K. (2009).</w:t>
      </w:r>
      <w:r w:rsidR="0003501D" w:rsidRPr="004972E2">
        <w:t xml:space="preserve"> </w:t>
      </w:r>
      <w:r w:rsidRPr="004972E2">
        <w:t>The case for cultural competency in psychotherapeutic interventions.</w:t>
      </w:r>
      <w:r w:rsidR="0003501D" w:rsidRPr="004972E2">
        <w:t xml:space="preserve"> </w:t>
      </w:r>
      <w:r w:rsidRPr="004972E2">
        <w:rPr>
          <w:i/>
          <w:iCs/>
        </w:rPr>
        <w:t>Annual Review of Psychology</w:t>
      </w:r>
      <w:r w:rsidRPr="004972E2">
        <w:t xml:space="preserve">, </w:t>
      </w:r>
      <w:r w:rsidRPr="004972E2">
        <w:rPr>
          <w:i/>
          <w:iCs/>
        </w:rPr>
        <w:t>60</w:t>
      </w:r>
      <w:r w:rsidRPr="004972E2">
        <w:t>, 525-548.</w:t>
      </w:r>
      <w:r w:rsidR="0003501D" w:rsidRPr="004972E2">
        <w:t xml:space="preserve"> </w:t>
      </w:r>
    </w:p>
    <w:p w14:paraId="15970A03" w14:textId="72B45245" w:rsidR="00CF7BDF" w:rsidRPr="004972E2" w:rsidRDefault="00ED7A98" w:rsidP="004972E2">
      <w:pPr>
        <w:pStyle w:val="NoSpacing"/>
        <w:ind w:left="720" w:hanging="720"/>
      </w:pPr>
      <w:r w:rsidRPr="004972E2">
        <w:t xml:space="preserve">U.S. Census Bureau. (2015). </w:t>
      </w:r>
      <w:r w:rsidRPr="004972E2">
        <w:rPr>
          <w:i/>
          <w:iCs/>
        </w:rPr>
        <w:t>Projections of the size and composition</w:t>
      </w:r>
      <w:r w:rsidR="00CF7BDF" w:rsidRPr="004972E2">
        <w:rPr>
          <w:i/>
          <w:iCs/>
        </w:rPr>
        <w:t xml:space="preserve"> </w:t>
      </w:r>
      <w:r w:rsidRPr="004972E2">
        <w:rPr>
          <w:i/>
          <w:iCs/>
        </w:rPr>
        <w:t>of the U.S. population: 2014-2060</w:t>
      </w:r>
      <w:r w:rsidRPr="004972E2">
        <w:t>. Retrieved from</w:t>
      </w:r>
      <w:r w:rsidR="00CF7BDF" w:rsidRPr="004972E2">
        <w:t xml:space="preserve"> </w:t>
      </w:r>
      <w:hyperlink r:id="rId116" w:history="1">
        <w:r w:rsidR="00CF7BDF" w:rsidRPr="004972E2">
          <w:rPr>
            <w:rStyle w:val="Hyperlink"/>
            <w:rFonts w:cstheme="minorHAnsi"/>
          </w:rPr>
          <w:t>https://www.census.gov/library/publications/2015/demo/</w:t>
        </w:r>
      </w:hyperlink>
      <w:r w:rsidRPr="004972E2">
        <w:t>p25-1143.html</w:t>
      </w:r>
    </w:p>
    <w:p w14:paraId="6D2F741F" w14:textId="482D1132" w:rsidR="00ED7A98" w:rsidRPr="004972E2" w:rsidRDefault="00ED7A98" w:rsidP="004972E2">
      <w:pPr>
        <w:pStyle w:val="NoSpacing"/>
        <w:ind w:left="720" w:hanging="720"/>
      </w:pPr>
      <w:r w:rsidRPr="004972E2">
        <w:t>Visser, S. N., Bitsko, R. H., Danielson, M. L., Perou, R., &amp; Blumberg,</w:t>
      </w:r>
      <w:r w:rsidR="00CF7BDF" w:rsidRPr="004972E2">
        <w:t xml:space="preserve"> </w:t>
      </w:r>
      <w:r w:rsidRPr="004972E2">
        <w:t>S. J. (2010). Increasing prevalence of parent-reported attentiondeficit/hyperactivity disorder among children-United States,</w:t>
      </w:r>
      <w:r w:rsidR="00CF7BDF" w:rsidRPr="004972E2">
        <w:t xml:space="preserve"> </w:t>
      </w:r>
      <w:r w:rsidRPr="004972E2">
        <w:t xml:space="preserve">2003 and 2007. </w:t>
      </w:r>
      <w:r w:rsidRPr="004972E2">
        <w:rPr>
          <w:i/>
          <w:iCs/>
        </w:rPr>
        <w:t>Morbidity and Mortality Weekly Report</w:t>
      </w:r>
      <w:r w:rsidRPr="004972E2">
        <w:t xml:space="preserve">, </w:t>
      </w:r>
      <w:r w:rsidRPr="004972E2">
        <w:rPr>
          <w:i/>
          <w:iCs/>
        </w:rPr>
        <w:t>59</w:t>
      </w:r>
      <w:r w:rsidRPr="004972E2">
        <w:t>,</w:t>
      </w:r>
      <w:r w:rsidR="00CF7BDF" w:rsidRPr="004972E2">
        <w:t xml:space="preserve"> </w:t>
      </w:r>
      <w:r w:rsidRPr="004972E2">
        <w:t>1439-1443.</w:t>
      </w:r>
    </w:p>
    <w:sectPr w:rsidR="00ED7A98" w:rsidRPr="004972E2" w:rsidSect="00D64EFB">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Gill Sans MT">
    <w:panose1 w:val="020B0502020104020203"/>
    <w:charset w:val="00"/>
    <w:family w:val="swiss"/>
    <w:pitch w:val="variable"/>
    <w:sig w:usb0="00000007" w:usb1="00000000" w:usb2="00000000" w:usb3="00000000" w:csb0="00000003"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xtQcfet/iOW9ZceB7AhGcd0hRxoEJqhSdDUzUitjaICXE6pWZxQLK/VbeUzegxpqkIRlReycTWCWFG1fEPTKXw==" w:salt="p/hUsN3zYbrGmXhmkTmPrQ=="/>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4F38"/>
    <w:rsid w:val="000233C1"/>
    <w:rsid w:val="00024048"/>
    <w:rsid w:val="00026BC7"/>
    <w:rsid w:val="0003036D"/>
    <w:rsid w:val="00034205"/>
    <w:rsid w:val="0003501D"/>
    <w:rsid w:val="00035704"/>
    <w:rsid w:val="00041C27"/>
    <w:rsid w:val="000437DE"/>
    <w:rsid w:val="00043C8E"/>
    <w:rsid w:val="00044EBA"/>
    <w:rsid w:val="0004637E"/>
    <w:rsid w:val="0004717F"/>
    <w:rsid w:val="000525F1"/>
    <w:rsid w:val="0005413F"/>
    <w:rsid w:val="00057D20"/>
    <w:rsid w:val="000606A8"/>
    <w:rsid w:val="00061102"/>
    <w:rsid w:val="00064ECB"/>
    <w:rsid w:val="00071537"/>
    <w:rsid w:val="00072612"/>
    <w:rsid w:val="000735D6"/>
    <w:rsid w:val="00074B64"/>
    <w:rsid w:val="000769FD"/>
    <w:rsid w:val="00077000"/>
    <w:rsid w:val="0008002D"/>
    <w:rsid w:val="00082637"/>
    <w:rsid w:val="00083102"/>
    <w:rsid w:val="000846CC"/>
    <w:rsid w:val="00085797"/>
    <w:rsid w:val="00087367"/>
    <w:rsid w:val="0009064A"/>
    <w:rsid w:val="00091815"/>
    <w:rsid w:val="00092DFF"/>
    <w:rsid w:val="00093C1A"/>
    <w:rsid w:val="00097FBC"/>
    <w:rsid w:val="000A0975"/>
    <w:rsid w:val="000A1182"/>
    <w:rsid w:val="000A266C"/>
    <w:rsid w:val="000A7622"/>
    <w:rsid w:val="000A7F84"/>
    <w:rsid w:val="000B1EEB"/>
    <w:rsid w:val="000B22D3"/>
    <w:rsid w:val="000B2768"/>
    <w:rsid w:val="000B3464"/>
    <w:rsid w:val="000B389E"/>
    <w:rsid w:val="000B501D"/>
    <w:rsid w:val="000B5170"/>
    <w:rsid w:val="000C0E5B"/>
    <w:rsid w:val="000C6BA7"/>
    <w:rsid w:val="000D16DF"/>
    <w:rsid w:val="000D3573"/>
    <w:rsid w:val="000D4F0B"/>
    <w:rsid w:val="000D6BF2"/>
    <w:rsid w:val="000E69EF"/>
    <w:rsid w:val="000E7C46"/>
    <w:rsid w:val="000F0449"/>
    <w:rsid w:val="000F08DA"/>
    <w:rsid w:val="000F14F0"/>
    <w:rsid w:val="000F1D5E"/>
    <w:rsid w:val="000F33D0"/>
    <w:rsid w:val="00101A98"/>
    <w:rsid w:val="00104CE6"/>
    <w:rsid w:val="001073E8"/>
    <w:rsid w:val="00107EA8"/>
    <w:rsid w:val="00114114"/>
    <w:rsid w:val="00117107"/>
    <w:rsid w:val="00117F89"/>
    <w:rsid w:val="00120313"/>
    <w:rsid w:val="001233A5"/>
    <w:rsid w:val="00123BC0"/>
    <w:rsid w:val="00123E80"/>
    <w:rsid w:val="00131A15"/>
    <w:rsid w:val="00131C28"/>
    <w:rsid w:val="00134B7F"/>
    <w:rsid w:val="00134CF7"/>
    <w:rsid w:val="00135F19"/>
    <w:rsid w:val="0014182B"/>
    <w:rsid w:val="0014490B"/>
    <w:rsid w:val="00146A5C"/>
    <w:rsid w:val="00146D3D"/>
    <w:rsid w:val="00146E50"/>
    <w:rsid w:val="00150DB6"/>
    <w:rsid w:val="00154D34"/>
    <w:rsid w:val="00160E1F"/>
    <w:rsid w:val="00161372"/>
    <w:rsid w:val="001622DB"/>
    <w:rsid w:val="00163F71"/>
    <w:rsid w:val="00173556"/>
    <w:rsid w:val="0018114F"/>
    <w:rsid w:val="00181ADF"/>
    <w:rsid w:val="00183A38"/>
    <w:rsid w:val="001854EA"/>
    <w:rsid w:val="00185C26"/>
    <w:rsid w:val="00196C7C"/>
    <w:rsid w:val="001A1C71"/>
    <w:rsid w:val="001A1DF4"/>
    <w:rsid w:val="001A34C4"/>
    <w:rsid w:val="001B6E76"/>
    <w:rsid w:val="001C2B51"/>
    <w:rsid w:val="001C3A3F"/>
    <w:rsid w:val="001D1087"/>
    <w:rsid w:val="001D2448"/>
    <w:rsid w:val="001D3ADE"/>
    <w:rsid w:val="001D58D3"/>
    <w:rsid w:val="001D776C"/>
    <w:rsid w:val="001D7BCC"/>
    <w:rsid w:val="001E18FE"/>
    <w:rsid w:val="001E6551"/>
    <w:rsid w:val="001F3DDB"/>
    <w:rsid w:val="001F70BC"/>
    <w:rsid w:val="001F7FBE"/>
    <w:rsid w:val="002016B1"/>
    <w:rsid w:val="00201875"/>
    <w:rsid w:val="00201AFD"/>
    <w:rsid w:val="00201FDC"/>
    <w:rsid w:val="002022D8"/>
    <w:rsid w:val="00206486"/>
    <w:rsid w:val="00206CC8"/>
    <w:rsid w:val="00211422"/>
    <w:rsid w:val="00212109"/>
    <w:rsid w:val="00224240"/>
    <w:rsid w:val="00226FA2"/>
    <w:rsid w:val="0024134B"/>
    <w:rsid w:val="00251132"/>
    <w:rsid w:val="002535DF"/>
    <w:rsid w:val="002558EB"/>
    <w:rsid w:val="00255B43"/>
    <w:rsid w:val="00255BDC"/>
    <w:rsid w:val="00255BEA"/>
    <w:rsid w:val="00261403"/>
    <w:rsid w:val="00261F59"/>
    <w:rsid w:val="0027257B"/>
    <w:rsid w:val="00272AF4"/>
    <w:rsid w:val="00276C06"/>
    <w:rsid w:val="00280198"/>
    <w:rsid w:val="00282094"/>
    <w:rsid w:val="002843BC"/>
    <w:rsid w:val="00284A84"/>
    <w:rsid w:val="0029129F"/>
    <w:rsid w:val="002952B0"/>
    <w:rsid w:val="00296B90"/>
    <w:rsid w:val="00297296"/>
    <w:rsid w:val="002A0668"/>
    <w:rsid w:val="002A26E0"/>
    <w:rsid w:val="002A6B8B"/>
    <w:rsid w:val="002A7FBB"/>
    <w:rsid w:val="002B1ED8"/>
    <w:rsid w:val="002B45EC"/>
    <w:rsid w:val="002B62C6"/>
    <w:rsid w:val="002C17A7"/>
    <w:rsid w:val="002C2DA5"/>
    <w:rsid w:val="002C4714"/>
    <w:rsid w:val="002C6160"/>
    <w:rsid w:val="002D02F2"/>
    <w:rsid w:val="002D28EA"/>
    <w:rsid w:val="002D51BB"/>
    <w:rsid w:val="002D5BAE"/>
    <w:rsid w:val="002D5DDC"/>
    <w:rsid w:val="002D6AA3"/>
    <w:rsid w:val="002D7BAF"/>
    <w:rsid w:val="002E5C33"/>
    <w:rsid w:val="002E5D29"/>
    <w:rsid w:val="00300EE4"/>
    <w:rsid w:val="0030197F"/>
    <w:rsid w:val="0030223E"/>
    <w:rsid w:val="00303A1E"/>
    <w:rsid w:val="00303BBD"/>
    <w:rsid w:val="00313440"/>
    <w:rsid w:val="00314FCD"/>
    <w:rsid w:val="00324290"/>
    <w:rsid w:val="00331737"/>
    <w:rsid w:val="0033243D"/>
    <w:rsid w:val="0033652E"/>
    <w:rsid w:val="00340617"/>
    <w:rsid w:val="00340B13"/>
    <w:rsid w:val="00340CDB"/>
    <w:rsid w:val="003427C6"/>
    <w:rsid w:val="00343472"/>
    <w:rsid w:val="003455AA"/>
    <w:rsid w:val="00347634"/>
    <w:rsid w:val="00351E90"/>
    <w:rsid w:val="00360206"/>
    <w:rsid w:val="003624EE"/>
    <w:rsid w:val="003632E1"/>
    <w:rsid w:val="00363CD3"/>
    <w:rsid w:val="003656A9"/>
    <w:rsid w:val="00366852"/>
    <w:rsid w:val="003706EF"/>
    <w:rsid w:val="00370BE4"/>
    <w:rsid w:val="00371D56"/>
    <w:rsid w:val="0037755D"/>
    <w:rsid w:val="00381F0E"/>
    <w:rsid w:val="0038549B"/>
    <w:rsid w:val="0038628A"/>
    <w:rsid w:val="0038634F"/>
    <w:rsid w:val="00391C48"/>
    <w:rsid w:val="00394337"/>
    <w:rsid w:val="003A437A"/>
    <w:rsid w:val="003A503E"/>
    <w:rsid w:val="003A6039"/>
    <w:rsid w:val="003B47FA"/>
    <w:rsid w:val="003B6208"/>
    <w:rsid w:val="003B7F8F"/>
    <w:rsid w:val="003C4172"/>
    <w:rsid w:val="003C437D"/>
    <w:rsid w:val="003C4456"/>
    <w:rsid w:val="003D3301"/>
    <w:rsid w:val="003D4641"/>
    <w:rsid w:val="003E05B7"/>
    <w:rsid w:val="003E0C0A"/>
    <w:rsid w:val="003E6CFF"/>
    <w:rsid w:val="004010E3"/>
    <w:rsid w:val="004055B8"/>
    <w:rsid w:val="0040709D"/>
    <w:rsid w:val="004122F9"/>
    <w:rsid w:val="004124D3"/>
    <w:rsid w:val="004139BA"/>
    <w:rsid w:val="00421CBC"/>
    <w:rsid w:val="00423F26"/>
    <w:rsid w:val="0043008C"/>
    <w:rsid w:val="00430703"/>
    <w:rsid w:val="00430B91"/>
    <w:rsid w:val="004374EF"/>
    <w:rsid w:val="00440F61"/>
    <w:rsid w:val="004441CB"/>
    <w:rsid w:val="00450DB8"/>
    <w:rsid w:val="00450F81"/>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4834"/>
    <w:rsid w:val="00487185"/>
    <w:rsid w:val="004873AE"/>
    <w:rsid w:val="00487718"/>
    <w:rsid w:val="00490ABE"/>
    <w:rsid w:val="004932A8"/>
    <w:rsid w:val="004972E2"/>
    <w:rsid w:val="00497E47"/>
    <w:rsid w:val="004A0368"/>
    <w:rsid w:val="004A2715"/>
    <w:rsid w:val="004A2894"/>
    <w:rsid w:val="004A2B41"/>
    <w:rsid w:val="004A3B3E"/>
    <w:rsid w:val="004B2226"/>
    <w:rsid w:val="004B6BED"/>
    <w:rsid w:val="004B77C2"/>
    <w:rsid w:val="004C0B3D"/>
    <w:rsid w:val="004C2D7B"/>
    <w:rsid w:val="004C45D2"/>
    <w:rsid w:val="004C5EEF"/>
    <w:rsid w:val="004D118A"/>
    <w:rsid w:val="004D1CB9"/>
    <w:rsid w:val="004D21C9"/>
    <w:rsid w:val="004E34F8"/>
    <w:rsid w:val="004E3C84"/>
    <w:rsid w:val="004E528B"/>
    <w:rsid w:val="004F146C"/>
    <w:rsid w:val="004F1F3C"/>
    <w:rsid w:val="00500AE7"/>
    <w:rsid w:val="0050408D"/>
    <w:rsid w:val="00504C6A"/>
    <w:rsid w:val="00510364"/>
    <w:rsid w:val="005116C9"/>
    <w:rsid w:val="00511BEE"/>
    <w:rsid w:val="005158F9"/>
    <w:rsid w:val="005175E9"/>
    <w:rsid w:val="00520368"/>
    <w:rsid w:val="0052658A"/>
    <w:rsid w:val="005301A7"/>
    <w:rsid w:val="00533270"/>
    <w:rsid w:val="00540146"/>
    <w:rsid w:val="00543C22"/>
    <w:rsid w:val="0054405B"/>
    <w:rsid w:val="0054567F"/>
    <w:rsid w:val="00546B44"/>
    <w:rsid w:val="005479E2"/>
    <w:rsid w:val="00553291"/>
    <w:rsid w:val="005546FF"/>
    <w:rsid w:val="005563B0"/>
    <w:rsid w:val="00556B72"/>
    <w:rsid w:val="005605E4"/>
    <w:rsid w:val="00563D7B"/>
    <w:rsid w:val="00563E3B"/>
    <w:rsid w:val="005643C8"/>
    <w:rsid w:val="00564FA1"/>
    <w:rsid w:val="005673D1"/>
    <w:rsid w:val="00570F38"/>
    <w:rsid w:val="00573955"/>
    <w:rsid w:val="00580E33"/>
    <w:rsid w:val="00583225"/>
    <w:rsid w:val="0058724D"/>
    <w:rsid w:val="00596593"/>
    <w:rsid w:val="00596A35"/>
    <w:rsid w:val="005979CD"/>
    <w:rsid w:val="005A12F0"/>
    <w:rsid w:val="005A5291"/>
    <w:rsid w:val="005A6FD1"/>
    <w:rsid w:val="005B08F1"/>
    <w:rsid w:val="005B47BC"/>
    <w:rsid w:val="005C00EC"/>
    <w:rsid w:val="005C15C9"/>
    <w:rsid w:val="005C30E9"/>
    <w:rsid w:val="005C663B"/>
    <w:rsid w:val="005D1C38"/>
    <w:rsid w:val="005D1ED6"/>
    <w:rsid w:val="005D767A"/>
    <w:rsid w:val="005E2628"/>
    <w:rsid w:val="005E5F66"/>
    <w:rsid w:val="005F46EC"/>
    <w:rsid w:val="005F49C9"/>
    <w:rsid w:val="005F71CE"/>
    <w:rsid w:val="005F7A68"/>
    <w:rsid w:val="00601980"/>
    <w:rsid w:val="0060332C"/>
    <w:rsid w:val="00604C5A"/>
    <w:rsid w:val="00607F1D"/>
    <w:rsid w:val="00612DE8"/>
    <w:rsid w:val="00615A83"/>
    <w:rsid w:val="00620EA0"/>
    <w:rsid w:val="00623E47"/>
    <w:rsid w:val="00624CD2"/>
    <w:rsid w:val="0062795C"/>
    <w:rsid w:val="00631A06"/>
    <w:rsid w:val="00633D28"/>
    <w:rsid w:val="00633F1B"/>
    <w:rsid w:val="00634D07"/>
    <w:rsid w:val="00634E6E"/>
    <w:rsid w:val="00635799"/>
    <w:rsid w:val="00636A77"/>
    <w:rsid w:val="0064051B"/>
    <w:rsid w:val="00645D2C"/>
    <w:rsid w:val="00647B67"/>
    <w:rsid w:val="00650724"/>
    <w:rsid w:val="006517B5"/>
    <w:rsid w:val="00652076"/>
    <w:rsid w:val="00653DA3"/>
    <w:rsid w:val="00654823"/>
    <w:rsid w:val="00654D37"/>
    <w:rsid w:val="006621F0"/>
    <w:rsid w:val="00663108"/>
    <w:rsid w:val="006647E7"/>
    <w:rsid w:val="00666FD4"/>
    <w:rsid w:val="00667217"/>
    <w:rsid w:val="006702C6"/>
    <w:rsid w:val="00670DB4"/>
    <w:rsid w:val="006769E6"/>
    <w:rsid w:val="00676C63"/>
    <w:rsid w:val="006804FE"/>
    <w:rsid w:val="00681BDD"/>
    <w:rsid w:val="00682333"/>
    <w:rsid w:val="006844CA"/>
    <w:rsid w:val="006871E0"/>
    <w:rsid w:val="00693B53"/>
    <w:rsid w:val="00697377"/>
    <w:rsid w:val="006A1F61"/>
    <w:rsid w:val="006A533C"/>
    <w:rsid w:val="006A5E52"/>
    <w:rsid w:val="006A712D"/>
    <w:rsid w:val="006A7B71"/>
    <w:rsid w:val="006B20FD"/>
    <w:rsid w:val="006B3B2B"/>
    <w:rsid w:val="006C024E"/>
    <w:rsid w:val="006C5E6F"/>
    <w:rsid w:val="006C7ED1"/>
    <w:rsid w:val="006D75E1"/>
    <w:rsid w:val="006D7670"/>
    <w:rsid w:val="006E10F4"/>
    <w:rsid w:val="006E10FD"/>
    <w:rsid w:val="006E2996"/>
    <w:rsid w:val="006E2EEC"/>
    <w:rsid w:val="006E471E"/>
    <w:rsid w:val="006E4859"/>
    <w:rsid w:val="006F24E3"/>
    <w:rsid w:val="006F397B"/>
    <w:rsid w:val="007046F0"/>
    <w:rsid w:val="007065D3"/>
    <w:rsid w:val="007071B1"/>
    <w:rsid w:val="00707EC1"/>
    <w:rsid w:val="00710582"/>
    <w:rsid w:val="00714EE9"/>
    <w:rsid w:val="007246B0"/>
    <w:rsid w:val="007258CB"/>
    <w:rsid w:val="00730E29"/>
    <w:rsid w:val="00732FF6"/>
    <w:rsid w:val="00735393"/>
    <w:rsid w:val="00745E32"/>
    <w:rsid w:val="007466F7"/>
    <w:rsid w:val="00757D89"/>
    <w:rsid w:val="0076194B"/>
    <w:rsid w:val="00763676"/>
    <w:rsid w:val="00772776"/>
    <w:rsid w:val="00776E56"/>
    <w:rsid w:val="00781619"/>
    <w:rsid w:val="007867E7"/>
    <w:rsid w:val="0079146B"/>
    <w:rsid w:val="00791DD5"/>
    <w:rsid w:val="00796875"/>
    <w:rsid w:val="0079756E"/>
    <w:rsid w:val="007A1233"/>
    <w:rsid w:val="007A258F"/>
    <w:rsid w:val="007A3B3A"/>
    <w:rsid w:val="007B0BBA"/>
    <w:rsid w:val="007C16F7"/>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405C"/>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50E3E"/>
    <w:rsid w:val="00864432"/>
    <w:rsid w:val="008649A3"/>
    <w:rsid w:val="0086670A"/>
    <w:rsid w:val="00870BA1"/>
    <w:rsid w:val="00873CDE"/>
    <w:rsid w:val="00874421"/>
    <w:rsid w:val="00875997"/>
    <w:rsid w:val="0087796C"/>
    <w:rsid w:val="00880932"/>
    <w:rsid w:val="008825B5"/>
    <w:rsid w:val="00885E74"/>
    <w:rsid w:val="00886B14"/>
    <w:rsid w:val="008927F4"/>
    <w:rsid w:val="00893B58"/>
    <w:rsid w:val="00894E4C"/>
    <w:rsid w:val="0089642A"/>
    <w:rsid w:val="008A1743"/>
    <w:rsid w:val="008A23DD"/>
    <w:rsid w:val="008A6C51"/>
    <w:rsid w:val="008B15CF"/>
    <w:rsid w:val="008B2242"/>
    <w:rsid w:val="008B4AD1"/>
    <w:rsid w:val="008B6D93"/>
    <w:rsid w:val="008B7AF1"/>
    <w:rsid w:val="008C3543"/>
    <w:rsid w:val="008D0F0D"/>
    <w:rsid w:val="008D0FF2"/>
    <w:rsid w:val="008D14D6"/>
    <w:rsid w:val="008D1D7F"/>
    <w:rsid w:val="008D3526"/>
    <w:rsid w:val="008F03C3"/>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5107"/>
    <w:rsid w:val="00925421"/>
    <w:rsid w:val="009267EE"/>
    <w:rsid w:val="00927998"/>
    <w:rsid w:val="00932185"/>
    <w:rsid w:val="009346E4"/>
    <w:rsid w:val="00935F23"/>
    <w:rsid w:val="009372D8"/>
    <w:rsid w:val="00937D12"/>
    <w:rsid w:val="0094086F"/>
    <w:rsid w:val="00940ED2"/>
    <w:rsid w:val="00944C1D"/>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5216"/>
    <w:rsid w:val="00977F1D"/>
    <w:rsid w:val="00982217"/>
    <w:rsid w:val="00984B39"/>
    <w:rsid w:val="00986A83"/>
    <w:rsid w:val="00990645"/>
    <w:rsid w:val="009A130B"/>
    <w:rsid w:val="009A2639"/>
    <w:rsid w:val="009A397F"/>
    <w:rsid w:val="009B4F83"/>
    <w:rsid w:val="009B6983"/>
    <w:rsid w:val="009C5450"/>
    <w:rsid w:val="009C5716"/>
    <w:rsid w:val="009D316A"/>
    <w:rsid w:val="009D3527"/>
    <w:rsid w:val="009D5368"/>
    <w:rsid w:val="009D54DF"/>
    <w:rsid w:val="009E56AC"/>
    <w:rsid w:val="009E56AF"/>
    <w:rsid w:val="009E678D"/>
    <w:rsid w:val="009F28E2"/>
    <w:rsid w:val="009F4BDF"/>
    <w:rsid w:val="009F60BA"/>
    <w:rsid w:val="009F7F44"/>
    <w:rsid w:val="00A01B8D"/>
    <w:rsid w:val="00A034AE"/>
    <w:rsid w:val="00A035F5"/>
    <w:rsid w:val="00A07CCB"/>
    <w:rsid w:val="00A11F34"/>
    <w:rsid w:val="00A1350A"/>
    <w:rsid w:val="00A231A4"/>
    <w:rsid w:val="00A310DA"/>
    <w:rsid w:val="00A32FCB"/>
    <w:rsid w:val="00A3561C"/>
    <w:rsid w:val="00A374A0"/>
    <w:rsid w:val="00A400BC"/>
    <w:rsid w:val="00A40701"/>
    <w:rsid w:val="00A42169"/>
    <w:rsid w:val="00A424F1"/>
    <w:rsid w:val="00A426B2"/>
    <w:rsid w:val="00A43181"/>
    <w:rsid w:val="00A45EE8"/>
    <w:rsid w:val="00A465FC"/>
    <w:rsid w:val="00A47B50"/>
    <w:rsid w:val="00A50459"/>
    <w:rsid w:val="00A506CB"/>
    <w:rsid w:val="00A52369"/>
    <w:rsid w:val="00A52A88"/>
    <w:rsid w:val="00A55701"/>
    <w:rsid w:val="00A56ED1"/>
    <w:rsid w:val="00A648A4"/>
    <w:rsid w:val="00A650B2"/>
    <w:rsid w:val="00A7290A"/>
    <w:rsid w:val="00A740A7"/>
    <w:rsid w:val="00A75006"/>
    <w:rsid w:val="00A81E28"/>
    <w:rsid w:val="00A82932"/>
    <w:rsid w:val="00A82D07"/>
    <w:rsid w:val="00A868FB"/>
    <w:rsid w:val="00A915ED"/>
    <w:rsid w:val="00A91CF2"/>
    <w:rsid w:val="00A93BA4"/>
    <w:rsid w:val="00A9416E"/>
    <w:rsid w:val="00AA493D"/>
    <w:rsid w:val="00AB4807"/>
    <w:rsid w:val="00AB4813"/>
    <w:rsid w:val="00AC0052"/>
    <w:rsid w:val="00AC04D6"/>
    <w:rsid w:val="00AC6F7E"/>
    <w:rsid w:val="00AD0685"/>
    <w:rsid w:val="00AD38C1"/>
    <w:rsid w:val="00AD46A0"/>
    <w:rsid w:val="00AD4CC7"/>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4374F"/>
    <w:rsid w:val="00B44237"/>
    <w:rsid w:val="00B47D09"/>
    <w:rsid w:val="00B50108"/>
    <w:rsid w:val="00B525D3"/>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37AA"/>
    <w:rsid w:val="00BF6ECD"/>
    <w:rsid w:val="00BF790B"/>
    <w:rsid w:val="00C01E67"/>
    <w:rsid w:val="00C05302"/>
    <w:rsid w:val="00C06B6B"/>
    <w:rsid w:val="00C06F37"/>
    <w:rsid w:val="00C0799A"/>
    <w:rsid w:val="00C13438"/>
    <w:rsid w:val="00C170FF"/>
    <w:rsid w:val="00C173E1"/>
    <w:rsid w:val="00C2019E"/>
    <w:rsid w:val="00C20672"/>
    <w:rsid w:val="00C27AEF"/>
    <w:rsid w:val="00C3110E"/>
    <w:rsid w:val="00C3466C"/>
    <w:rsid w:val="00C355FF"/>
    <w:rsid w:val="00C41A64"/>
    <w:rsid w:val="00C46257"/>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5AAE"/>
    <w:rsid w:val="00C85BDD"/>
    <w:rsid w:val="00C86B81"/>
    <w:rsid w:val="00C91557"/>
    <w:rsid w:val="00C92F74"/>
    <w:rsid w:val="00CA1C19"/>
    <w:rsid w:val="00CA204D"/>
    <w:rsid w:val="00CA2E14"/>
    <w:rsid w:val="00CA60CD"/>
    <w:rsid w:val="00CB10E9"/>
    <w:rsid w:val="00CB11D6"/>
    <w:rsid w:val="00CB5475"/>
    <w:rsid w:val="00CB665E"/>
    <w:rsid w:val="00CB6E09"/>
    <w:rsid w:val="00CC09A7"/>
    <w:rsid w:val="00CC0FD9"/>
    <w:rsid w:val="00CC1F8F"/>
    <w:rsid w:val="00CD139B"/>
    <w:rsid w:val="00CD5E59"/>
    <w:rsid w:val="00CD7831"/>
    <w:rsid w:val="00CE05D4"/>
    <w:rsid w:val="00CE4712"/>
    <w:rsid w:val="00CF53EE"/>
    <w:rsid w:val="00CF7BDF"/>
    <w:rsid w:val="00D01E5B"/>
    <w:rsid w:val="00D02378"/>
    <w:rsid w:val="00D02BE9"/>
    <w:rsid w:val="00D101DD"/>
    <w:rsid w:val="00D14423"/>
    <w:rsid w:val="00D15F27"/>
    <w:rsid w:val="00D17394"/>
    <w:rsid w:val="00D17B7F"/>
    <w:rsid w:val="00D21541"/>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65A57"/>
    <w:rsid w:val="00D66306"/>
    <w:rsid w:val="00D66B18"/>
    <w:rsid w:val="00D726DB"/>
    <w:rsid w:val="00D73164"/>
    <w:rsid w:val="00D77E53"/>
    <w:rsid w:val="00D8135F"/>
    <w:rsid w:val="00D81DD5"/>
    <w:rsid w:val="00D87BB8"/>
    <w:rsid w:val="00D90BD9"/>
    <w:rsid w:val="00D932C5"/>
    <w:rsid w:val="00D939A7"/>
    <w:rsid w:val="00D9581C"/>
    <w:rsid w:val="00D95DCB"/>
    <w:rsid w:val="00D96228"/>
    <w:rsid w:val="00DA02DC"/>
    <w:rsid w:val="00DA5459"/>
    <w:rsid w:val="00DB357A"/>
    <w:rsid w:val="00DB4233"/>
    <w:rsid w:val="00DB5097"/>
    <w:rsid w:val="00DC4F7C"/>
    <w:rsid w:val="00DC7134"/>
    <w:rsid w:val="00DC7C2C"/>
    <w:rsid w:val="00DD2256"/>
    <w:rsid w:val="00DD4B55"/>
    <w:rsid w:val="00DD5871"/>
    <w:rsid w:val="00DE2F66"/>
    <w:rsid w:val="00DE4173"/>
    <w:rsid w:val="00DE4592"/>
    <w:rsid w:val="00DF6125"/>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4692"/>
    <w:rsid w:val="00E747D9"/>
    <w:rsid w:val="00E75D5D"/>
    <w:rsid w:val="00E766CA"/>
    <w:rsid w:val="00E81F85"/>
    <w:rsid w:val="00E8413D"/>
    <w:rsid w:val="00E84C2A"/>
    <w:rsid w:val="00E856E7"/>
    <w:rsid w:val="00E90CA1"/>
    <w:rsid w:val="00E91D25"/>
    <w:rsid w:val="00E95F4D"/>
    <w:rsid w:val="00E97067"/>
    <w:rsid w:val="00EA6E8E"/>
    <w:rsid w:val="00EA7978"/>
    <w:rsid w:val="00EA7D19"/>
    <w:rsid w:val="00EB1A84"/>
    <w:rsid w:val="00EB34C3"/>
    <w:rsid w:val="00EB7F70"/>
    <w:rsid w:val="00EC4C2A"/>
    <w:rsid w:val="00EC6764"/>
    <w:rsid w:val="00EC726F"/>
    <w:rsid w:val="00EC7743"/>
    <w:rsid w:val="00EC7B8C"/>
    <w:rsid w:val="00ED2540"/>
    <w:rsid w:val="00ED48A6"/>
    <w:rsid w:val="00ED521A"/>
    <w:rsid w:val="00ED7A98"/>
    <w:rsid w:val="00EE1F48"/>
    <w:rsid w:val="00EE2D76"/>
    <w:rsid w:val="00EE3C5A"/>
    <w:rsid w:val="00EE4E0F"/>
    <w:rsid w:val="00EE504D"/>
    <w:rsid w:val="00EE75E3"/>
    <w:rsid w:val="00EE7777"/>
    <w:rsid w:val="00EF0C86"/>
    <w:rsid w:val="00EF2D7A"/>
    <w:rsid w:val="00EF586D"/>
    <w:rsid w:val="00F00B9A"/>
    <w:rsid w:val="00F0246E"/>
    <w:rsid w:val="00F026DB"/>
    <w:rsid w:val="00F04133"/>
    <w:rsid w:val="00F12233"/>
    <w:rsid w:val="00F12CE1"/>
    <w:rsid w:val="00F14096"/>
    <w:rsid w:val="00F14820"/>
    <w:rsid w:val="00F30DED"/>
    <w:rsid w:val="00F31DB2"/>
    <w:rsid w:val="00F37720"/>
    <w:rsid w:val="00F4046D"/>
    <w:rsid w:val="00F40A6C"/>
    <w:rsid w:val="00F44EA5"/>
    <w:rsid w:val="00F4518D"/>
    <w:rsid w:val="00F455EA"/>
    <w:rsid w:val="00F46AEA"/>
    <w:rsid w:val="00F46C28"/>
    <w:rsid w:val="00F46CF6"/>
    <w:rsid w:val="00F50A37"/>
    <w:rsid w:val="00F51019"/>
    <w:rsid w:val="00F52179"/>
    <w:rsid w:val="00F52B79"/>
    <w:rsid w:val="00F559A5"/>
    <w:rsid w:val="00F55F9D"/>
    <w:rsid w:val="00F56E1A"/>
    <w:rsid w:val="00F60EEE"/>
    <w:rsid w:val="00F6204B"/>
    <w:rsid w:val="00F62CDA"/>
    <w:rsid w:val="00F6448C"/>
    <w:rsid w:val="00F65D8A"/>
    <w:rsid w:val="00F74422"/>
    <w:rsid w:val="00F76222"/>
    <w:rsid w:val="00F83712"/>
    <w:rsid w:val="00F86BEC"/>
    <w:rsid w:val="00F912E5"/>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D0FFF"/>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257B"/>
  </w:style>
  <w:style w:type="paragraph" w:styleId="Heading1">
    <w:name w:val="heading 1"/>
    <w:basedOn w:val="Normal"/>
    <w:next w:val="Normal"/>
    <w:link w:val="Heading1Char"/>
    <w:uiPriority w:val="9"/>
    <w:qFormat/>
    <w:rsid w:val="009732A9"/>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9732A9"/>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9732A9"/>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9732A9"/>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9732A9"/>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9732A9"/>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9732A9"/>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9732A9"/>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9732A9"/>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732A9"/>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9732A9"/>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9732A9"/>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9732A9"/>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9732A9"/>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9732A9"/>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9732A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9732A9"/>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9732A9"/>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9732A9"/>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9732A9"/>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9732A9"/>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9732A9"/>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9732A9"/>
    <w:rPr>
      <w:color w:val="5A5A5A" w:themeColor="text1" w:themeTint="A5"/>
      <w:spacing w:val="15"/>
    </w:rPr>
  </w:style>
  <w:style w:type="character" w:styleId="Strong">
    <w:name w:val="Strong"/>
    <w:basedOn w:val="DefaultParagraphFont"/>
    <w:uiPriority w:val="22"/>
    <w:qFormat/>
    <w:rsid w:val="009732A9"/>
    <w:rPr>
      <w:b/>
      <w:bCs/>
      <w:color w:val="auto"/>
    </w:rPr>
  </w:style>
  <w:style w:type="character" w:styleId="Emphasis">
    <w:name w:val="Emphasis"/>
    <w:basedOn w:val="DefaultParagraphFont"/>
    <w:uiPriority w:val="20"/>
    <w:qFormat/>
    <w:rsid w:val="009732A9"/>
    <w:rPr>
      <w:i/>
      <w:iCs/>
      <w:color w:val="auto"/>
    </w:rPr>
  </w:style>
  <w:style w:type="paragraph" w:styleId="NoSpacing">
    <w:name w:val="No Spacing"/>
    <w:uiPriority w:val="1"/>
    <w:qFormat/>
    <w:rsid w:val="009732A9"/>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9732A9"/>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9732A9"/>
    <w:rPr>
      <w:i/>
      <w:iCs/>
      <w:color w:val="404040" w:themeColor="text1" w:themeTint="BF"/>
    </w:rPr>
  </w:style>
  <w:style w:type="paragraph" w:styleId="IntenseQuote">
    <w:name w:val="Intense Quote"/>
    <w:basedOn w:val="Normal"/>
    <w:next w:val="Normal"/>
    <w:link w:val="IntenseQuoteChar"/>
    <w:uiPriority w:val="30"/>
    <w:qFormat/>
    <w:rsid w:val="009732A9"/>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9732A9"/>
    <w:rPr>
      <w:i/>
      <w:iCs/>
      <w:color w:val="404040" w:themeColor="text1" w:themeTint="BF"/>
    </w:rPr>
  </w:style>
  <w:style w:type="character" w:styleId="SubtleEmphasis">
    <w:name w:val="Subtle Emphasis"/>
    <w:basedOn w:val="DefaultParagraphFont"/>
    <w:uiPriority w:val="19"/>
    <w:qFormat/>
    <w:rsid w:val="009732A9"/>
    <w:rPr>
      <w:i/>
      <w:iCs/>
      <w:color w:val="404040" w:themeColor="text1" w:themeTint="BF"/>
    </w:rPr>
  </w:style>
  <w:style w:type="character" w:styleId="IntenseEmphasis">
    <w:name w:val="Intense Emphasis"/>
    <w:basedOn w:val="DefaultParagraphFont"/>
    <w:uiPriority w:val="21"/>
    <w:qFormat/>
    <w:rsid w:val="009732A9"/>
    <w:rPr>
      <w:b/>
      <w:bCs/>
      <w:i/>
      <w:iCs/>
      <w:color w:val="auto"/>
    </w:rPr>
  </w:style>
  <w:style w:type="character" w:styleId="SubtleReference">
    <w:name w:val="Subtle Reference"/>
    <w:basedOn w:val="DefaultParagraphFont"/>
    <w:uiPriority w:val="31"/>
    <w:qFormat/>
    <w:rsid w:val="009732A9"/>
    <w:rPr>
      <w:smallCaps/>
      <w:color w:val="404040" w:themeColor="text1" w:themeTint="BF"/>
    </w:rPr>
  </w:style>
  <w:style w:type="character" w:styleId="IntenseReference">
    <w:name w:val="Intense Reference"/>
    <w:basedOn w:val="DefaultParagraphFont"/>
    <w:uiPriority w:val="32"/>
    <w:qFormat/>
    <w:rsid w:val="009732A9"/>
    <w:rPr>
      <w:b/>
      <w:bCs/>
      <w:smallCaps/>
      <w:color w:val="404040" w:themeColor="text1" w:themeTint="BF"/>
      <w:spacing w:val="5"/>
    </w:rPr>
  </w:style>
  <w:style w:type="character" w:styleId="BookTitle">
    <w:name w:val="Book Title"/>
    <w:basedOn w:val="DefaultParagraphFont"/>
    <w:uiPriority w:val="33"/>
    <w:qFormat/>
    <w:rsid w:val="009732A9"/>
    <w:rPr>
      <w:b/>
      <w:bCs/>
      <w:i/>
      <w:iCs/>
      <w:spacing w:val="5"/>
    </w:rPr>
  </w:style>
  <w:style w:type="paragraph" w:styleId="TOCHeading">
    <w:name w:val="TOC Heading"/>
    <w:basedOn w:val="Heading1"/>
    <w:next w:val="Normal"/>
    <w:uiPriority w:val="39"/>
    <w:semiHidden/>
    <w:unhideWhenUsed/>
    <w:qFormat/>
    <w:rsid w:val="009732A9"/>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
    <w:rsid w:val="00450F81"/>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450F81"/>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450F81"/>
    <w:rPr>
      <w:color w:val="0000FF"/>
      <w:u w:val="single"/>
    </w:rPr>
  </w:style>
  <w:style w:type="character" w:styleId="FollowedHyperlink">
    <w:name w:val="FollowedHyperlink"/>
    <w:basedOn w:val="DefaultParagraphFont"/>
    <w:uiPriority w:val="99"/>
    <w:semiHidden/>
    <w:unhideWhenUsed/>
    <w:rsid w:val="00450F81"/>
    <w:rPr>
      <w:color w:val="800080"/>
      <w:u w:val="single"/>
    </w:rPr>
  </w:style>
  <w:style w:type="character" w:customStyle="1" w:styleId="figure">
    <w:name w:val="figure"/>
    <w:basedOn w:val="DefaultParagraphFont"/>
    <w:rsid w:val="00450F81"/>
  </w:style>
  <w:style w:type="character" w:customStyle="1" w:styleId="overlay">
    <w:name w:val="overlay"/>
    <w:basedOn w:val="DefaultParagraphFont"/>
    <w:rsid w:val="00450F81"/>
  </w:style>
  <w:style w:type="character" w:customStyle="1" w:styleId="captionlabel">
    <w:name w:val="captionlabel"/>
    <w:basedOn w:val="DefaultParagraphFont"/>
    <w:rsid w:val="00450F81"/>
  </w:style>
  <w:style w:type="character" w:customStyle="1" w:styleId="nlmfn">
    <w:name w:val="nlm_fn"/>
    <w:basedOn w:val="DefaultParagraphFont"/>
    <w:rsid w:val="00450F81"/>
  </w:style>
  <w:style w:type="character" w:customStyle="1" w:styleId="fn-label">
    <w:name w:val="fn-label"/>
    <w:basedOn w:val="DefaultParagraphFont"/>
    <w:rsid w:val="00450F81"/>
  </w:style>
  <w:style w:type="character" w:customStyle="1" w:styleId="nlminline-graphic">
    <w:name w:val="nlm_inline-graphic"/>
    <w:basedOn w:val="DefaultParagraphFont"/>
    <w:rsid w:val="00450F81"/>
  </w:style>
  <w:style w:type="character" w:customStyle="1" w:styleId="nlmyear">
    <w:name w:val="nlm_year"/>
    <w:basedOn w:val="DefaultParagraphFont"/>
    <w:rsid w:val="00450F81"/>
  </w:style>
  <w:style w:type="character" w:customStyle="1" w:styleId="nlmedition">
    <w:name w:val="nlm_edition"/>
    <w:basedOn w:val="DefaultParagraphFont"/>
    <w:rsid w:val="00450F81"/>
  </w:style>
  <w:style w:type="character" w:customStyle="1" w:styleId="nlmpublisher-loc">
    <w:name w:val="nlm_publisher-loc"/>
    <w:basedOn w:val="DefaultParagraphFont"/>
    <w:rsid w:val="00450F81"/>
  </w:style>
  <w:style w:type="character" w:customStyle="1" w:styleId="nlmpublisher-name">
    <w:name w:val="nlm_publisher-name"/>
    <w:basedOn w:val="DefaultParagraphFont"/>
    <w:rsid w:val="00450F81"/>
  </w:style>
  <w:style w:type="character" w:customStyle="1" w:styleId="ref-google">
    <w:name w:val="ref-google"/>
    <w:basedOn w:val="DefaultParagraphFont"/>
    <w:rsid w:val="00450F81"/>
  </w:style>
  <w:style w:type="character" w:customStyle="1" w:styleId="ref-xlink">
    <w:name w:val="ref-xlink"/>
    <w:basedOn w:val="DefaultParagraphFont"/>
    <w:rsid w:val="00450F81"/>
  </w:style>
  <w:style w:type="character" w:customStyle="1" w:styleId="ref-sfxlink">
    <w:name w:val="ref-sfxlink"/>
    <w:basedOn w:val="DefaultParagraphFont"/>
    <w:rsid w:val="00450F81"/>
  </w:style>
  <w:style w:type="character" w:customStyle="1" w:styleId="nlmarticle-title">
    <w:name w:val="nlm_article-title"/>
    <w:basedOn w:val="DefaultParagraphFont"/>
    <w:rsid w:val="00450F81"/>
  </w:style>
  <w:style w:type="character" w:customStyle="1" w:styleId="nlmfpage">
    <w:name w:val="nlm_fpage"/>
    <w:basedOn w:val="DefaultParagraphFont"/>
    <w:rsid w:val="00450F81"/>
  </w:style>
  <w:style w:type="character" w:customStyle="1" w:styleId="nlmlpage">
    <w:name w:val="nlm_lpage"/>
    <w:basedOn w:val="DefaultParagraphFont"/>
    <w:rsid w:val="00450F81"/>
  </w:style>
  <w:style w:type="character" w:customStyle="1" w:styleId="contribdegrees">
    <w:name w:val="contribdegrees"/>
    <w:basedOn w:val="DefaultParagraphFont"/>
    <w:rsid w:val="00AC6F7E"/>
  </w:style>
  <w:style w:type="paragraph" w:styleId="BodyText">
    <w:name w:val="Body Text"/>
    <w:basedOn w:val="Normal"/>
    <w:link w:val="BodyTextChar"/>
    <w:uiPriority w:val="1"/>
    <w:qFormat/>
    <w:rsid w:val="00564FA1"/>
    <w:pPr>
      <w:autoSpaceDE w:val="0"/>
      <w:autoSpaceDN w:val="0"/>
      <w:adjustRightInd w:val="0"/>
      <w:spacing w:after="19" w:line="240" w:lineRule="auto"/>
      <w:ind w:left="40"/>
    </w:pPr>
    <w:rPr>
      <w:rFonts w:ascii="Gill Sans MT" w:hAnsi="Gill Sans MT" w:cs="Gill Sans MT"/>
      <w:sz w:val="18"/>
      <w:szCs w:val="18"/>
    </w:rPr>
  </w:style>
  <w:style w:type="character" w:customStyle="1" w:styleId="BodyTextChar">
    <w:name w:val="Body Text Char"/>
    <w:basedOn w:val="DefaultParagraphFont"/>
    <w:link w:val="BodyText"/>
    <w:uiPriority w:val="1"/>
    <w:rsid w:val="00564FA1"/>
    <w:rPr>
      <w:rFonts w:ascii="Gill Sans MT" w:hAnsi="Gill Sans MT" w:cs="Gill Sans MT"/>
      <w:sz w:val="18"/>
      <w:szCs w:val="18"/>
    </w:rPr>
  </w:style>
  <w:style w:type="paragraph" w:customStyle="1" w:styleId="TableParagraph">
    <w:name w:val="Table Paragraph"/>
    <w:basedOn w:val="Normal"/>
    <w:uiPriority w:val="1"/>
    <w:qFormat/>
    <w:rsid w:val="00564FA1"/>
    <w:pPr>
      <w:autoSpaceDE w:val="0"/>
      <w:autoSpaceDN w:val="0"/>
      <w:adjustRightInd w:val="0"/>
      <w:spacing w:after="0" w:line="240" w:lineRule="auto"/>
    </w:pPr>
    <w:rPr>
      <w:rFonts w:ascii="Gill Sans MT" w:hAnsi="Gill Sans MT" w:cs="Gill Sans MT"/>
      <w:sz w:val="24"/>
      <w:szCs w:val="24"/>
    </w:rPr>
  </w:style>
  <w:style w:type="table" w:styleId="TableGridLight">
    <w:name w:val="Grid Table Light"/>
    <w:basedOn w:val="TableNormal"/>
    <w:uiPriority w:val="40"/>
    <w:rsid w:val="00564FA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UnresolvedMention">
    <w:name w:val="Unresolved Mention"/>
    <w:basedOn w:val="DefaultParagraphFont"/>
    <w:uiPriority w:val="99"/>
    <w:semiHidden/>
    <w:unhideWhenUsed/>
    <w:rsid w:val="006C5E6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09508895">
      <w:bodyDiv w:val="1"/>
      <w:marLeft w:val="0"/>
      <w:marRight w:val="0"/>
      <w:marTop w:val="0"/>
      <w:marBottom w:val="0"/>
      <w:divBdr>
        <w:top w:val="none" w:sz="0" w:space="0" w:color="auto"/>
        <w:left w:val="none" w:sz="0" w:space="0" w:color="auto"/>
        <w:bottom w:val="none" w:sz="0" w:space="0" w:color="auto"/>
        <w:right w:val="none" w:sz="0" w:space="0" w:color="auto"/>
      </w:divBdr>
      <w:divsChild>
        <w:div w:id="11998113">
          <w:marLeft w:val="0"/>
          <w:marRight w:val="0"/>
          <w:marTop w:val="0"/>
          <w:marBottom w:val="0"/>
          <w:divBdr>
            <w:top w:val="none" w:sz="0" w:space="0" w:color="auto"/>
            <w:left w:val="none" w:sz="0" w:space="0" w:color="auto"/>
            <w:bottom w:val="none" w:sz="0" w:space="0" w:color="auto"/>
            <w:right w:val="none" w:sz="0" w:space="0" w:color="auto"/>
          </w:divBdr>
          <w:divsChild>
            <w:div w:id="1495342203">
              <w:marLeft w:val="0"/>
              <w:marRight w:val="0"/>
              <w:marTop w:val="0"/>
              <w:marBottom w:val="0"/>
              <w:divBdr>
                <w:top w:val="none" w:sz="0" w:space="0" w:color="auto"/>
                <w:left w:val="none" w:sz="0" w:space="0" w:color="auto"/>
                <w:bottom w:val="none" w:sz="0" w:space="0" w:color="auto"/>
                <w:right w:val="none" w:sz="0" w:space="0" w:color="auto"/>
              </w:divBdr>
            </w:div>
            <w:div w:id="966081073">
              <w:marLeft w:val="0"/>
              <w:marRight w:val="0"/>
              <w:marTop w:val="0"/>
              <w:marBottom w:val="0"/>
              <w:divBdr>
                <w:top w:val="none" w:sz="0" w:space="0" w:color="auto"/>
                <w:left w:val="none" w:sz="0" w:space="0" w:color="auto"/>
                <w:bottom w:val="none" w:sz="0" w:space="0" w:color="auto"/>
                <w:right w:val="none" w:sz="0" w:space="0" w:color="auto"/>
              </w:divBdr>
            </w:div>
          </w:divsChild>
        </w:div>
        <w:div w:id="657657569">
          <w:marLeft w:val="0"/>
          <w:marRight w:val="0"/>
          <w:marTop w:val="0"/>
          <w:marBottom w:val="150"/>
          <w:divBdr>
            <w:top w:val="none" w:sz="0" w:space="0" w:color="auto"/>
            <w:left w:val="none" w:sz="0" w:space="0" w:color="auto"/>
            <w:bottom w:val="single" w:sz="6" w:space="0" w:color="CCCCCC"/>
            <w:right w:val="none" w:sz="0" w:space="0" w:color="auto"/>
          </w:divBdr>
          <w:divsChild>
            <w:div w:id="594048973">
              <w:marLeft w:val="300"/>
              <w:marRight w:val="0"/>
              <w:marTop w:val="0"/>
              <w:marBottom w:val="450"/>
              <w:divBdr>
                <w:top w:val="none" w:sz="0" w:space="0" w:color="auto"/>
                <w:left w:val="none" w:sz="0" w:space="0" w:color="auto"/>
                <w:bottom w:val="none" w:sz="0" w:space="0" w:color="auto"/>
                <w:right w:val="none" w:sz="0" w:space="0" w:color="auto"/>
              </w:divBdr>
            </w:div>
          </w:divsChild>
        </w:div>
        <w:div w:id="211960544">
          <w:marLeft w:val="0"/>
          <w:marRight w:val="0"/>
          <w:marTop w:val="0"/>
          <w:marBottom w:val="0"/>
          <w:divBdr>
            <w:top w:val="none" w:sz="0" w:space="0" w:color="auto"/>
            <w:left w:val="none" w:sz="0" w:space="0" w:color="auto"/>
            <w:bottom w:val="none" w:sz="0" w:space="0" w:color="auto"/>
            <w:right w:val="none" w:sz="0" w:space="0" w:color="auto"/>
          </w:divBdr>
          <w:divsChild>
            <w:div w:id="404304216">
              <w:marLeft w:val="0"/>
              <w:marRight w:val="0"/>
              <w:marTop w:val="0"/>
              <w:marBottom w:val="0"/>
              <w:divBdr>
                <w:top w:val="none" w:sz="0" w:space="0" w:color="auto"/>
                <w:left w:val="none" w:sz="0" w:space="0" w:color="auto"/>
                <w:bottom w:val="none" w:sz="0" w:space="0" w:color="auto"/>
                <w:right w:val="none" w:sz="0" w:space="0" w:color="auto"/>
              </w:divBdr>
              <w:divsChild>
                <w:div w:id="1471626658">
                  <w:marLeft w:val="0"/>
                  <w:marRight w:val="0"/>
                  <w:marTop w:val="0"/>
                  <w:marBottom w:val="0"/>
                  <w:divBdr>
                    <w:top w:val="none" w:sz="0" w:space="0" w:color="auto"/>
                    <w:left w:val="none" w:sz="0" w:space="0" w:color="auto"/>
                    <w:bottom w:val="none" w:sz="0" w:space="0" w:color="auto"/>
                    <w:right w:val="none" w:sz="0" w:space="0" w:color="auto"/>
                  </w:divBdr>
                </w:div>
              </w:divsChild>
            </w:div>
            <w:div w:id="545259976">
              <w:marLeft w:val="0"/>
              <w:marRight w:val="0"/>
              <w:marTop w:val="0"/>
              <w:marBottom w:val="0"/>
              <w:divBdr>
                <w:top w:val="none" w:sz="0" w:space="0" w:color="auto"/>
                <w:left w:val="none" w:sz="0" w:space="0" w:color="auto"/>
                <w:bottom w:val="none" w:sz="0" w:space="0" w:color="auto"/>
                <w:right w:val="none" w:sz="0" w:space="0" w:color="auto"/>
              </w:divBdr>
              <w:divsChild>
                <w:div w:id="513307397">
                  <w:marLeft w:val="0"/>
                  <w:marRight w:val="0"/>
                  <w:marTop w:val="0"/>
                  <w:marBottom w:val="0"/>
                  <w:divBdr>
                    <w:top w:val="none" w:sz="0" w:space="0" w:color="auto"/>
                    <w:left w:val="none" w:sz="0" w:space="0" w:color="auto"/>
                    <w:bottom w:val="none" w:sz="0" w:space="0" w:color="auto"/>
                    <w:right w:val="none" w:sz="0" w:space="0" w:color="auto"/>
                  </w:divBdr>
                </w:div>
              </w:divsChild>
            </w:div>
            <w:div w:id="1243222859">
              <w:marLeft w:val="0"/>
              <w:marRight w:val="0"/>
              <w:marTop w:val="0"/>
              <w:marBottom w:val="0"/>
              <w:divBdr>
                <w:top w:val="none" w:sz="0" w:space="0" w:color="auto"/>
                <w:left w:val="none" w:sz="0" w:space="0" w:color="auto"/>
                <w:bottom w:val="none" w:sz="0" w:space="0" w:color="auto"/>
                <w:right w:val="none" w:sz="0" w:space="0" w:color="auto"/>
              </w:divBdr>
              <w:divsChild>
                <w:div w:id="1566601833">
                  <w:marLeft w:val="0"/>
                  <w:marRight w:val="0"/>
                  <w:marTop w:val="0"/>
                  <w:marBottom w:val="0"/>
                  <w:divBdr>
                    <w:top w:val="none" w:sz="0" w:space="0" w:color="auto"/>
                    <w:left w:val="none" w:sz="0" w:space="0" w:color="auto"/>
                    <w:bottom w:val="none" w:sz="0" w:space="0" w:color="auto"/>
                    <w:right w:val="none" w:sz="0" w:space="0" w:color="auto"/>
                  </w:divBdr>
                </w:div>
              </w:divsChild>
            </w:div>
            <w:div w:id="869875283">
              <w:marLeft w:val="0"/>
              <w:marRight w:val="0"/>
              <w:marTop w:val="0"/>
              <w:marBottom w:val="0"/>
              <w:divBdr>
                <w:top w:val="none" w:sz="0" w:space="0" w:color="auto"/>
                <w:left w:val="none" w:sz="0" w:space="0" w:color="auto"/>
                <w:bottom w:val="none" w:sz="0" w:space="0" w:color="auto"/>
                <w:right w:val="none" w:sz="0" w:space="0" w:color="auto"/>
              </w:divBdr>
              <w:divsChild>
                <w:div w:id="1157452981">
                  <w:marLeft w:val="0"/>
                  <w:marRight w:val="0"/>
                  <w:marTop w:val="0"/>
                  <w:marBottom w:val="0"/>
                  <w:divBdr>
                    <w:top w:val="none" w:sz="0" w:space="0" w:color="auto"/>
                    <w:left w:val="none" w:sz="0" w:space="0" w:color="auto"/>
                    <w:bottom w:val="none" w:sz="0" w:space="0" w:color="auto"/>
                    <w:right w:val="none" w:sz="0" w:space="0" w:color="auto"/>
                  </w:divBdr>
                </w:div>
              </w:divsChild>
            </w:div>
            <w:div w:id="1930040382">
              <w:marLeft w:val="0"/>
              <w:marRight w:val="0"/>
              <w:marTop w:val="0"/>
              <w:marBottom w:val="0"/>
              <w:divBdr>
                <w:top w:val="none" w:sz="0" w:space="0" w:color="auto"/>
                <w:left w:val="none" w:sz="0" w:space="0" w:color="auto"/>
                <w:bottom w:val="none" w:sz="0" w:space="0" w:color="auto"/>
                <w:right w:val="none" w:sz="0" w:space="0" w:color="auto"/>
              </w:divBdr>
              <w:divsChild>
                <w:div w:id="192152283">
                  <w:marLeft w:val="0"/>
                  <w:marRight w:val="0"/>
                  <w:marTop w:val="0"/>
                  <w:marBottom w:val="0"/>
                  <w:divBdr>
                    <w:top w:val="none" w:sz="0" w:space="0" w:color="auto"/>
                    <w:left w:val="none" w:sz="0" w:space="0" w:color="auto"/>
                    <w:bottom w:val="none" w:sz="0" w:space="0" w:color="auto"/>
                    <w:right w:val="none" w:sz="0" w:space="0" w:color="auto"/>
                  </w:divBdr>
                </w:div>
                <w:div w:id="646009819">
                  <w:marLeft w:val="0"/>
                  <w:marRight w:val="0"/>
                  <w:marTop w:val="0"/>
                  <w:marBottom w:val="0"/>
                  <w:divBdr>
                    <w:top w:val="none" w:sz="0" w:space="0" w:color="auto"/>
                    <w:left w:val="none" w:sz="0" w:space="0" w:color="auto"/>
                    <w:bottom w:val="none" w:sz="0" w:space="0" w:color="auto"/>
                    <w:right w:val="none" w:sz="0" w:space="0" w:color="auto"/>
                  </w:divBdr>
                  <w:divsChild>
                    <w:div w:id="392388399">
                      <w:marLeft w:val="300"/>
                      <w:marRight w:val="0"/>
                      <w:marTop w:val="0"/>
                      <w:marBottom w:val="0"/>
                      <w:divBdr>
                        <w:top w:val="none" w:sz="0" w:space="0" w:color="auto"/>
                        <w:left w:val="none" w:sz="0" w:space="0" w:color="auto"/>
                        <w:bottom w:val="none" w:sz="0" w:space="0" w:color="auto"/>
                        <w:right w:val="none" w:sz="0" w:space="0" w:color="auto"/>
                      </w:divBdr>
                    </w:div>
                    <w:div w:id="1458836285">
                      <w:marLeft w:val="300"/>
                      <w:marRight w:val="0"/>
                      <w:marTop w:val="0"/>
                      <w:marBottom w:val="0"/>
                      <w:divBdr>
                        <w:top w:val="none" w:sz="0" w:space="0" w:color="auto"/>
                        <w:left w:val="none" w:sz="0" w:space="0" w:color="auto"/>
                        <w:bottom w:val="none" w:sz="0" w:space="0" w:color="auto"/>
                        <w:right w:val="none" w:sz="0" w:space="0" w:color="auto"/>
                      </w:divBdr>
                      <w:divsChild>
                        <w:div w:id="1701515020">
                          <w:marLeft w:val="0"/>
                          <w:marRight w:val="0"/>
                          <w:marTop w:val="0"/>
                          <w:marBottom w:val="0"/>
                          <w:divBdr>
                            <w:top w:val="none" w:sz="0" w:space="0" w:color="auto"/>
                            <w:left w:val="none" w:sz="0" w:space="0" w:color="auto"/>
                            <w:bottom w:val="none" w:sz="0" w:space="0" w:color="auto"/>
                            <w:right w:val="none" w:sz="0" w:space="0" w:color="auto"/>
                          </w:divBdr>
                          <w:divsChild>
                            <w:div w:id="901795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8967467">
                      <w:marLeft w:val="0"/>
                      <w:marRight w:val="0"/>
                      <w:marTop w:val="0"/>
                      <w:marBottom w:val="0"/>
                      <w:divBdr>
                        <w:top w:val="none" w:sz="0" w:space="0" w:color="auto"/>
                        <w:left w:val="none" w:sz="0" w:space="0" w:color="auto"/>
                        <w:bottom w:val="none" w:sz="0" w:space="0" w:color="auto"/>
                        <w:right w:val="none" w:sz="0" w:space="0" w:color="auto"/>
                      </w:divBdr>
                    </w:div>
                    <w:div w:id="1188911630">
                      <w:marLeft w:val="0"/>
                      <w:marRight w:val="0"/>
                      <w:marTop w:val="0"/>
                      <w:marBottom w:val="0"/>
                      <w:divBdr>
                        <w:top w:val="none" w:sz="0" w:space="0" w:color="auto"/>
                        <w:left w:val="none" w:sz="0" w:space="0" w:color="auto"/>
                        <w:bottom w:val="none" w:sz="0" w:space="0" w:color="auto"/>
                        <w:right w:val="none" w:sz="0" w:space="0" w:color="auto"/>
                      </w:divBdr>
                    </w:div>
                    <w:div w:id="2146308865">
                      <w:marLeft w:val="375"/>
                      <w:marRight w:val="375"/>
                      <w:marTop w:val="0"/>
                      <w:marBottom w:val="0"/>
                      <w:divBdr>
                        <w:top w:val="none" w:sz="0" w:space="0" w:color="auto"/>
                        <w:left w:val="none" w:sz="0" w:space="0" w:color="auto"/>
                        <w:bottom w:val="none" w:sz="0" w:space="0" w:color="auto"/>
                        <w:right w:val="none" w:sz="0" w:space="0" w:color="auto"/>
                      </w:divBdr>
                      <w:divsChild>
                        <w:div w:id="1955558842">
                          <w:marLeft w:val="0"/>
                          <w:marRight w:val="0"/>
                          <w:marTop w:val="0"/>
                          <w:marBottom w:val="0"/>
                          <w:divBdr>
                            <w:top w:val="none" w:sz="0" w:space="0" w:color="auto"/>
                            <w:left w:val="none" w:sz="0" w:space="0" w:color="auto"/>
                            <w:bottom w:val="none" w:sz="0" w:space="0" w:color="auto"/>
                            <w:right w:val="none" w:sz="0" w:space="0" w:color="auto"/>
                          </w:divBdr>
                        </w:div>
                        <w:div w:id="80684848">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45030495">
                  <w:marLeft w:val="0"/>
                  <w:marRight w:val="0"/>
                  <w:marTop w:val="0"/>
                  <w:marBottom w:val="0"/>
                  <w:divBdr>
                    <w:top w:val="none" w:sz="0" w:space="0" w:color="auto"/>
                    <w:left w:val="none" w:sz="0" w:space="0" w:color="auto"/>
                    <w:bottom w:val="none" w:sz="0" w:space="0" w:color="auto"/>
                    <w:right w:val="none" w:sz="0" w:space="0" w:color="auto"/>
                  </w:divBdr>
                  <w:divsChild>
                    <w:div w:id="578289697">
                      <w:marLeft w:val="300"/>
                      <w:marRight w:val="0"/>
                      <w:marTop w:val="0"/>
                      <w:marBottom w:val="0"/>
                      <w:divBdr>
                        <w:top w:val="none" w:sz="0" w:space="0" w:color="auto"/>
                        <w:left w:val="none" w:sz="0" w:space="0" w:color="auto"/>
                        <w:bottom w:val="none" w:sz="0" w:space="0" w:color="auto"/>
                        <w:right w:val="none" w:sz="0" w:space="0" w:color="auto"/>
                      </w:divBdr>
                    </w:div>
                  </w:divsChild>
                </w:div>
                <w:div w:id="2119443868">
                  <w:marLeft w:val="0"/>
                  <w:marRight w:val="0"/>
                  <w:marTop w:val="0"/>
                  <w:marBottom w:val="0"/>
                  <w:divBdr>
                    <w:top w:val="none" w:sz="0" w:space="0" w:color="auto"/>
                    <w:left w:val="none" w:sz="0" w:space="0" w:color="auto"/>
                    <w:bottom w:val="none" w:sz="0" w:space="0" w:color="auto"/>
                    <w:right w:val="none" w:sz="0" w:space="0" w:color="auto"/>
                  </w:divBdr>
                  <w:divsChild>
                    <w:div w:id="2115854436">
                      <w:marLeft w:val="300"/>
                      <w:marRight w:val="0"/>
                      <w:marTop w:val="0"/>
                      <w:marBottom w:val="0"/>
                      <w:divBdr>
                        <w:top w:val="none" w:sz="0" w:space="0" w:color="auto"/>
                        <w:left w:val="none" w:sz="0" w:space="0" w:color="auto"/>
                        <w:bottom w:val="none" w:sz="0" w:space="0" w:color="auto"/>
                        <w:right w:val="none" w:sz="0" w:space="0" w:color="auto"/>
                      </w:divBdr>
                    </w:div>
                  </w:divsChild>
                </w:div>
                <w:div w:id="1209490368">
                  <w:marLeft w:val="0"/>
                  <w:marRight w:val="0"/>
                  <w:marTop w:val="0"/>
                  <w:marBottom w:val="0"/>
                  <w:divBdr>
                    <w:top w:val="none" w:sz="0" w:space="0" w:color="auto"/>
                    <w:left w:val="none" w:sz="0" w:space="0" w:color="auto"/>
                    <w:bottom w:val="none" w:sz="0" w:space="0" w:color="auto"/>
                    <w:right w:val="none" w:sz="0" w:space="0" w:color="auto"/>
                  </w:divBdr>
                  <w:divsChild>
                    <w:div w:id="1982079369">
                      <w:marLeft w:val="300"/>
                      <w:marRight w:val="0"/>
                      <w:marTop w:val="0"/>
                      <w:marBottom w:val="0"/>
                      <w:divBdr>
                        <w:top w:val="none" w:sz="0" w:space="0" w:color="auto"/>
                        <w:left w:val="none" w:sz="0" w:space="0" w:color="auto"/>
                        <w:bottom w:val="none" w:sz="0" w:space="0" w:color="auto"/>
                        <w:right w:val="none" w:sz="0" w:space="0" w:color="auto"/>
                      </w:divBdr>
                    </w:div>
                    <w:div w:id="1302079430">
                      <w:marLeft w:val="0"/>
                      <w:marRight w:val="0"/>
                      <w:marTop w:val="0"/>
                      <w:marBottom w:val="0"/>
                      <w:divBdr>
                        <w:top w:val="none" w:sz="0" w:space="0" w:color="auto"/>
                        <w:left w:val="none" w:sz="0" w:space="0" w:color="auto"/>
                        <w:bottom w:val="none" w:sz="0" w:space="0" w:color="auto"/>
                        <w:right w:val="none" w:sz="0" w:space="0" w:color="auto"/>
                      </w:divBdr>
                      <w:divsChild>
                        <w:div w:id="666059676">
                          <w:marLeft w:val="300"/>
                          <w:marRight w:val="0"/>
                          <w:marTop w:val="0"/>
                          <w:marBottom w:val="0"/>
                          <w:divBdr>
                            <w:top w:val="none" w:sz="0" w:space="0" w:color="auto"/>
                            <w:left w:val="none" w:sz="0" w:space="0" w:color="auto"/>
                            <w:bottom w:val="none" w:sz="0" w:space="0" w:color="auto"/>
                            <w:right w:val="none" w:sz="0" w:space="0" w:color="auto"/>
                          </w:divBdr>
                        </w:div>
                      </w:divsChild>
                    </w:div>
                    <w:div w:id="1415012210">
                      <w:marLeft w:val="0"/>
                      <w:marRight w:val="0"/>
                      <w:marTop w:val="0"/>
                      <w:marBottom w:val="0"/>
                      <w:divBdr>
                        <w:top w:val="none" w:sz="0" w:space="0" w:color="auto"/>
                        <w:left w:val="none" w:sz="0" w:space="0" w:color="auto"/>
                        <w:bottom w:val="none" w:sz="0" w:space="0" w:color="auto"/>
                        <w:right w:val="none" w:sz="0" w:space="0" w:color="auto"/>
                      </w:divBdr>
                      <w:divsChild>
                        <w:div w:id="1843935021">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467403328">
                  <w:marLeft w:val="0"/>
                  <w:marRight w:val="0"/>
                  <w:marTop w:val="0"/>
                  <w:marBottom w:val="0"/>
                  <w:divBdr>
                    <w:top w:val="none" w:sz="0" w:space="0" w:color="auto"/>
                    <w:left w:val="none" w:sz="0" w:space="0" w:color="auto"/>
                    <w:bottom w:val="none" w:sz="0" w:space="0" w:color="auto"/>
                    <w:right w:val="none" w:sz="0" w:space="0" w:color="auto"/>
                  </w:divBdr>
                  <w:divsChild>
                    <w:div w:id="1800029081">
                      <w:marLeft w:val="300"/>
                      <w:marRight w:val="0"/>
                      <w:marTop w:val="0"/>
                      <w:marBottom w:val="0"/>
                      <w:divBdr>
                        <w:top w:val="none" w:sz="0" w:space="0" w:color="auto"/>
                        <w:left w:val="none" w:sz="0" w:space="0" w:color="auto"/>
                        <w:bottom w:val="none" w:sz="0" w:space="0" w:color="auto"/>
                        <w:right w:val="none" w:sz="0" w:space="0" w:color="auto"/>
                      </w:divBdr>
                    </w:div>
                    <w:div w:id="829637989">
                      <w:marLeft w:val="0"/>
                      <w:marRight w:val="0"/>
                      <w:marTop w:val="0"/>
                      <w:marBottom w:val="0"/>
                      <w:divBdr>
                        <w:top w:val="none" w:sz="0" w:space="0" w:color="auto"/>
                        <w:left w:val="none" w:sz="0" w:space="0" w:color="auto"/>
                        <w:bottom w:val="none" w:sz="0" w:space="0" w:color="auto"/>
                        <w:right w:val="none" w:sz="0" w:space="0" w:color="auto"/>
                      </w:divBdr>
                      <w:divsChild>
                        <w:div w:id="1513032429">
                          <w:marLeft w:val="300"/>
                          <w:marRight w:val="0"/>
                          <w:marTop w:val="0"/>
                          <w:marBottom w:val="0"/>
                          <w:divBdr>
                            <w:top w:val="none" w:sz="0" w:space="0" w:color="auto"/>
                            <w:left w:val="none" w:sz="0" w:space="0" w:color="auto"/>
                            <w:bottom w:val="none" w:sz="0" w:space="0" w:color="auto"/>
                            <w:right w:val="none" w:sz="0" w:space="0" w:color="auto"/>
                          </w:divBdr>
                        </w:div>
                      </w:divsChild>
                    </w:div>
                    <w:div w:id="900604964">
                      <w:marLeft w:val="0"/>
                      <w:marRight w:val="0"/>
                      <w:marTop w:val="0"/>
                      <w:marBottom w:val="0"/>
                      <w:divBdr>
                        <w:top w:val="none" w:sz="0" w:space="0" w:color="auto"/>
                        <w:left w:val="none" w:sz="0" w:space="0" w:color="auto"/>
                        <w:bottom w:val="none" w:sz="0" w:space="0" w:color="auto"/>
                        <w:right w:val="none" w:sz="0" w:space="0" w:color="auto"/>
                      </w:divBdr>
                      <w:divsChild>
                        <w:div w:id="1403329095">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538708480">
                  <w:marLeft w:val="0"/>
                  <w:marRight w:val="0"/>
                  <w:marTop w:val="0"/>
                  <w:marBottom w:val="0"/>
                  <w:divBdr>
                    <w:top w:val="none" w:sz="0" w:space="0" w:color="auto"/>
                    <w:left w:val="none" w:sz="0" w:space="0" w:color="auto"/>
                    <w:bottom w:val="none" w:sz="0" w:space="0" w:color="auto"/>
                    <w:right w:val="none" w:sz="0" w:space="0" w:color="auto"/>
                  </w:divBdr>
                  <w:divsChild>
                    <w:div w:id="1762868912">
                      <w:marLeft w:val="300"/>
                      <w:marRight w:val="0"/>
                      <w:marTop w:val="0"/>
                      <w:marBottom w:val="0"/>
                      <w:divBdr>
                        <w:top w:val="none" w:sz="0" w:space="0" w:color="auto"/>
                        <w:left w:val="none" w:sz="0" w:space="0" w:color="auto"/>
                        <w:bottom w:val="none" w:sz="0" w:space="0" w:color="auto"/>
                        <w:right w:val="none" w:sz="0" w:space="0" w:color="auto"/>
                      </w:divBdr>
                    </w:div>
                    <w:div w:id="1355157932">
                      <w:marLeft w:val="0"/>
                      <w:marRight w:val="0"/>
                      <w:marTop w:val="0"/>
                      <w:marBottom w:val="0"/>
                      <w:divBdr>
                        <w:top w:val="none" w:sz="0" w:space="0" w:color="auto"/>
                        <w:left w:val="none" w:sz="0" w:space="0" w:color="auto"/>
                        <w:bottom w:val="none" w:sz="0" w:space="0" w:color="auto"/>
                        <w:right w:val="none" w:sz="0" w:space="0" w:color="auto"/>
                      </w:divBdr>
                      <w:divsChild>
                        <w:div w:id="2059282680">
                          <w:marLeft w:val="300"/>
                          <w:marRight w:val="0"/>
                          <w:marTop w:val="0"/>
                          <w:marBottom w:val="0"/>
                          <w:divBdr>
                            <w:top w:val="none" w:sz="0" w:space="0" w:color="auto"/>
                            <w:left w:val="none" w:sz="0" w:space="0" w:color="auto"/>
                            <w:bottom w:val="none" w:sz="0" w:space="0" w:color="auto"/>
                            <w:right w:val="none" w:sz="0" w:space="0" w:color="auto"/>
                          </w:divBdr>
                        </w:div>
                      </w:divsChild>
                    </w:div>
                    <w:div w:id="934941866">
                      <w:marLeft w:val="0"/>
                      <w:marRight w:val="0"/>
                      <w:marTop w:val="0"/>
                      <w:marBottom w:val="0"/>
                      <w:divBdr>
                        <w:top w:val="none" w:sz="0" w:space="0" w:color="auto"/>
                        <w:left w:val="none" w:sz="0" w:space="0" w:color="auto"/>
                        <w:bottom w:val="none" w:sz="0" w:space="0" w:color="auto"/>
                        <w:right w:val="none" w:sz="0" w:space="0" w:color="auto"/>
                      </w:divBdr>
                      <w:divsChild>
                        <w:div w:id="97531475">
                          <w:marLeft w:val="300"/>
                          <w:marRight w:val="0"/>
                          <w:marTop w:val="0"/>
                          <w:marBottom w:val="0"/>
                          <w:divBdr>
                            <w:top w:val="none" w:sz="0" w:space="0" w:color="auto"/>
                            <w:left w:val="none" w:sz="0" w:space="0" w:color="auto"/>
                            <w:bottom w:val="none" w:sz="0" w:space="0" w:color="auto"/>
                            <w:right w:val="none" w:sz="0" w:space="0" w:color="auto"/>
                          </w:divBdr>
                        </w:div>
                      </w:divsChild>
                    </w:div>
                    <w:div w:id="1911118218">
                      <w:marLeft w:val="0"/>
                      <w:marRight w:val="0"/>
                      <w:marTop w:val="0"/>
                      <w:marBottom w:val="0"/>
                      <w:divBdr>
                        <w:top w:val="none" w:sz="0" w:space="0" w:color="auto"/>
                        <w:left w:val="none" w:sz="0" w:space="0" w:color="auto"/>
                        <w:bottom w:val="none" w:sz="0" w:space="0" w:color="auto"/>
                        <w:right w:val="none" w:sz="0" w:space="0" w:color="auto"/>
                      </w:divBdr>
                      <w:divsChild>
                        <w:div w:id="1306931643">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463893908">
                  <w:marLeft w:val="0"/>
                  <w:marRight w:val="0"/>
                  <w:marTop w:val="0"/>
                  <w:marBottom w:val="0"/>
                  <w:divBdr>
                    <w:top w:val="none" w:sz="0" w:space="0" w:color="auto"/>
                    <w:left w:val="none" w:sz="0" w:space="0" w:color="auto"/>
                    <w:bottom w:val="none" w:sz="0" w:space="0" w:color="auto"/>
                    <w:right w:val="none" w:sz="0" w:space="0" w:color="auto"/>
                  </w:divBdr>
                  <w:divsChild>
                    <w:div w:id="639728663">
                      <w:marLeft w:val="300"/>
                      <w:marRight w:val="0"/>
                      <w:marTop w:val="0"/>
                      <w:marBottom w:val="0"/>
                      <w:divBdr>
                        <w:top w:val="none" w:sz="0" w:space="0" w:color="auto"/>
                        <w:left w:val="none" w:sz="0" w:space="0" w:color="auto"/>
                        <w:bottom w:val="none" w:sz="0" w:space="0" w:color="auto"/>
                        <w:right w:val="none" w:sz="0" w:space="0" w:color="auto"/>
                      </w:divBdr>
                    </w:div>
                    <w:div w:id="1548488876">
                      <w:marLeft w:val="0"/>
                      <w:marRight w:val="0"/>
                      <w:marTop w:val="0"/>
                      <w:marBottom w:val="0"/>
                      <w:divBdr>
                        <w:top w:val="none" w:sz="0" w:space="0" w:color="auto"/>
                        <w:left w:val="none" w:sz="0" w:space="0" w:color="auto"/>
                        <w:bottom w:val="none" w:sz="0" w:space="0" w:color="auto"/>
                        <w:right w:val="none" w:sz="0" w:space="0" w:color="auto"/>
                      </w:divBdr>
                      <w:divsChild>
                        <w:div w:id="436826709">
                          <w:marLeft w:val="300"/>
                          <w:marRight w:val="0"/>
                          <w:marTop w:val="0"/>
                          <w:marBottom w:val="0"/>
                          <w:divBdr>
                            <w:top w:val="none" w:sz="0" w:space="0" w:color="auto"/>
                            <w:left w:val="none" w:sz="0" w:space="0" w:color="auto"/>
                            <w:bottom w:val="none" w:sz="0" w:space="0" w:color="auto"/>
                            <w:right w:val="none" w:sz="0" w:space="0" w:color="auto"/>
                          </w:divBdr>
                        </w:div>
                      </w:divsChild>
                    </w:div>
                    <w:div w:id="250551671">
                      <w:marLeft w:val="0"/>
                      <w:marRight w:val="0"/>
                      <w:marTop w:val="0"/>
                      <w:marBottom w:val="0"/>
                      <w:divBdr>
                        <w:top w:val="none" w:sz="0" w:space="0" w:color="auto"/>
                        <w:left w:val="none" w:sz="0" w:space="0" w:color="auto"/>
                        <w:bottom w:val="none" w:sz="0" w:space="0" w:color="auto"/>
                        <w:right w:val="none" w:sz="0" w:space="0" w:color="auto"/>
                      </w:divBdr>
                      <w:divsChild>
                        <w:div w:id="869538515">
                          <w:marLeft w:val="300"/>
                          <w:marRight w:val="0"/>
                          <w:marTop w:val="0"/>
                          <w:marBottom w:val="0"/>
                          <w:divBdr>
                            <w:top w:val="none" w:sz="0" w:space="0" w:color="auto"/>
                            <w:left w:val="none" w:sz="0" w:space="0" w:color="auto"/>
                            <w:bottom w:val="none" w:sz="0" w:space="0" w:color="auto"/>
                            <w:right w:val="none" w:sz="0" w:space="0" w:color="auto"/>
                          </w:divBdr>
                        </w:div>
                      </w:divsChild>
                    </w:div>
                    <w:div w:id="323508865">
                      <w:marLeft w:val="0"/>
                      <w:marRight w:val="0"/>
                      <w:marTop w:val="0"/>
                      <w:marBottom w:val="0"/>
                      <w:divBdr>
                        <w:top w:val="none" w:sz="0" w:space="0" w:color="auto"/>
                        <w:left w:val="none" w:sz="0" w:space="0" w:color="auto"/>
                        <w:bottom w:val="none" w:sz="0" w:space="0" w:color="auto"/>
                        <w:right w:val="none" w:sz="0" w:space="0" w:color="auto"/>
                      </w:divBdr>
                      <w:divsChild>
                        <w:div w:id="17317993">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377125225">
                  <w:marLeft w:val="0"/>
                  <w:marRight w:val="0"/>
                  <w:marTop w:val="0"/>
                  <w:marBottom w:val="0"/>
                  <w:divBdr>
                    <w:top w:val="none" w:sz="0" w:space="0" w:color="auto"/>
                    <w:left w:val="none" w:sz="0" w:space="0" w:color="auto"/>
                    <w:bottom w:val="none" w:sz="0" w:space="0" w:color="auto"/>
                    <w:right w:val="none" w:sz="0" w:space="0" w:color="auto"/>
                  </w:divBdr>
                  <w:divsChild>
                    <w:div w:id="1666130042">
                      <w:marLeft w:val="300"/>
                      <w:marRight w:val="0"/>
                      <w:marTop w:val="0"/>
                      <w:marBottom w:val="0"/>
                      <w:divBdr>
                        <w:top w:val="none" w:sz="0" w:space="0" w:color="auto"/>
                        <w:left w:val="none" w:sz="0" w:space="0" w:color="auto"/>
                        <w:bottom w:val="none" w:sz="0" w:space="0" w:color="auto"/>
                        <w:right w:val="none" w:sz="0" w:space="0" w:color="auto"/>
                      </w:divBdr>
                    </w:div>
                    <w:div w:id="989410620">
                      <w:marLeft w:val="0"/>
                      <w:marRight w:val="0"/>
                      <w:marTop w:val="0"/>
                      <w:marBottom w:val="0"/>
                      <w:divBdr>
                        <w:top w:val="none" w:sz="0" w:space="0" w:color="auto"/>
                        <w:left w:val="none" w:sz="0" w:space="0" w:color="auto"/>
                        <w:bottom w:val="none" w:sz="0" w:space="0" w:color="auto"/>
                        <w:right w:val="none" w:sz="0" w:space="0" w:color="auto"/>
                      </w:divBdr>
                      <w:divsChild>
                        <w:div w:id="1889025717">
                          <w:marLeft w:val="300"/>
                          <w:marRight w:val="0"/>
                          <w:marTop w:val="0"/>
                          <w:marBottom w:val="0"/>
                          <w:divBdr>
                            <w:top w:val="none" w:sz="0" w:space="0" w:color="auto"/>
                            <w:left w:val="none" w:sz="0" w:space="0" w:color="auto"/>
                            <w:bottom w:val="none" w:sz="0" w:space="0" w:color="auto"/>
                            <w:right w:val="none" w:sz="0" w:space="0" w:color="auto"/>
                          </w:divBdr>
                        </w:div>
                      </w:divsChild>
                    </w:div>
                    <w:div w:id="2033023465">
                      <w:marLeft w:val="0"/>
                      <w:marRight w:val="0"/>
                      <w:marTop w:val="0"/>
                      <w:marBottom w:val="0"/>
                      <w:divBdr>
                        <w:top w:val="none" w:sz="0" w:space="0" w:color="auto"/>
                        <w:left w:val="none" w:sz="0" w:space="0" w:color="auto"/>
                        <w:bottom w:val="none" w:sz="0" w:space="0" w:color="auto"/>
                        <w:right w:val="none" w:sz="0" w:space="0" w:color="auto"/>
                      </w:divBdr>
                      <w:divsChild>
                        <w:div w:id="151807964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444422936">
                  <w:marLeft w:val="0"/>
                  <w:marRight w:val="0"/>
                  <w:marTop w:val="0"/>
                  <w:marBottom w:val="0"/>
                  <w:divBdr>
                    <w:top w:val="none" w:sz="0" w:space="0" w:color="auto"/>
                    <w:left w:val="none" w:sz="0" w:space="0" w:color="auto"/>
                    <w:bottom w:val="none" w:sz="0" w:space="0" w:color="auto"/>
                    <w:right w:val="none" w:sz="0" w:space="0" w:color="auto"/>
                  </w:divBdr>
                  <w:divsChild>
                    <w:div w:id="1441099728">
                      <w:marLeft w:val="300"/>
                      <w:marRight w:val="0"/>
                      <w:marTop w:val="0"/>
                      <w:marBottom w:val="0"/>
                      <w:divBdr>
                        <w:top w:val="none" w:sz="0" w:space="0" w:color="auto"/>
                        <w:left w:val="none" w:sz="0" w:space="0" w:color="auto"/>
                        <w:bottom w:val="none" w:sz="0" w:space="0" w:color="auto"/>
                        <w:right w:val="none" w:sz="0" w:space="0" w:color="auto"/>
                      </w:divBdr>
                    </w:div>
                    <w:div w:id="547572418">
                      <w:marLeft w:val="0"/>
                      <w:marRight w:val="0"/>
                      <w:marTop w:val="0"/>
                      <w:marBottom w:val="0"/>
                      <w:divBdr>
                        <w:top w:val="none" w:sz="0" w:space="0" w:color="auto"/>
                        <w:left w:val="none" w:sz="0" w:space="0" w:color="auto"/>
                        <w:bottom w:val="none" w:sz="0" w:space="0" w:color="auto"/>
                        <w:right w:val="none" w:sz="0" w:space="0" w:color="auto"/>
                      </w:divBdr>
                      <w:divsChild>
                        <w:div w:id="775097773">
                          <w:marLeft w:val="300"/>
                          <w:marRight w:val="0"/>
                          <w:marTop w:val="0"/>
                          <w:marBottom w:val="0"/>
                          <w:divBdr>
                            <w:top w:val="none" w:sz="0" w:space="0" w:color="auto"/>
                            <w:left w:val="none" w:sz="0" w:space="0" w:color="auto"/>
                            <w:bottom w:val="none" w:sz="0" w:space="0" w:color="auto"/>
                            <w:right w:val="none" w:sz="0" w:space="0" w:color="auto"/>
                          </w:divBdr>
                        </w:div>
                      </w:divsChild>
                    </w:div>
                    <w:div w:id="505904463">
                      <w:marLeft w:val="0"/>
                      <w:marRight w:val="0"/>
                      <w:marTop w:val="0"/>
                      <w:marBottom w:val="0"/>
                      <w:divBdr>
                        <w:top w:val="none" w:sz="0" w:space="0" w:color="auto"/>
                        <w:left w:val="none" w:sz="0" w:space="0" w:color="auto"/>
                        <w:bottom w:val="none" w:sz="0" w:space="0" w:color="auto"/>
                        <w:right w:val="none" w:sz="0" w:space="0" w:color="auto"/>
                      </w:divBdr>
                      <w:divsChild>
                        <w:div w:id="377171592">
                          <w:marLeft w:val="300"/>
                          <w:marRight w:val="0"/>
                          <w:marTop w:val="0"/>
                          <w:marBottom w:val="0"/>
                          <w:divBdr>
                            <w:top w:val="none" w:sz="0" w:space="0" w:color="auto"/>
                            <w:left w:val="none" w:sz="0" w:space="0" w:color="auto"/>
                            <w:bottom w:val="none" w:sz="0" w:space="0" w:color="auto"/>
                            <w:right w:val="none" w:sz="0" w:space="0" w:color="auto"/>
                          </w:divBdr>
                        </w:div>
                      </w:divsChild>
                    </w:div>
                    <w:div w:id="1851871480">
                      <w:marLeft w:val="0"/>
                      <w:marRight w:val="0"/>
                      <w:marTop w:val="0"/>
                      <w:marBottom w:val="0"/>
                      <w:divBdr>
                        <w:top w:val="none" w:sz="0" w:space="0" w:color="auto"/>
                        <w:left w:val="none" w:sz="0" w:space="0" w:color="auto"/>
                        <w:bottom w:val="none" w:sz="0" w:space="0" w:color="auto"/>
                        <w:right w:val="none" w:sz="0" w:space="0" w:color="auto"/>
                      </w:divBdr>
                      <w:divsChild>
                        <w:div w:id="1739862442">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012100480">
                  <w:marLeft w:val="0"/>
                  <w:marRight w:val="0"/>
                  <w:marTop w:val="0"/>
                  <w:marBottom w:val="0"/>
                  <w:divBdr>
                    <w:top w:val="none" w:sz="0" w:space="0" w:color="auto"/>
                    <w:left w:val="none" w:sz="0" w:space="0" w:color="auto"/>
                    <w:bottom w:val="none" w:sz="0" w:space="0" w:color="auto"/>
                    <w:right w:val="none" w:sz="0" w:space="0" w:color="auto"/>
                  </w:divBdr>
                  <w:divsChild>
                    <w:div w:id="383217251">
                      <w:marLeft w:val="300"/>
                      <w:marRight w:val="0"/>
                      <w:marTop w:val="0"/>
                      <w:marBottom w:val="0"/>
                      <w:divBdr>
                        <w:top w:val="none" w:sz="0" w:space="0" w:color="auto"/>
                        <w:left w:val="none" w:sz="0" w:space="0" w:color="auto"/>
                        <w:bottom w:val="none" w:sz="0" w:space="0" w:color="auto"/>
                        <w:right w:val="none" w:sz="0" w:space="0" w:color="auto"/>
                      </w:divBdr>
                    </w:div>
                    <w:div w:id="808792115">
                      <w:marLeft w:val="0"/>
                      <w:marRight w:val="0"/>
                      <w:marTop w:val="0"/>
                      <w:marBottom w:val="0"/>
                      <w:divBdr>
                        <w:top w:val="none" w:sz="0" w:space="0" w:color="auto"/>
                        <w:left w:val="none" w:sz="0" w:space="0" w:color="auto"/>
                        <w:bottom w:val="none" w:sz="0" w:space="0" w:color="auto"/>
                        <w:right w:val="none" w:sz="0" w:space="0" w:color="auto"/>
                      </w:divBdr>
                      <w:divsChild>
                        <w:div w:id="29384905">
                          <w:marLeft w:val="300"/>
                          <w:marRight w:val="0"/>
                          <w:marTop w:val="0"/>
                          <w:marBottom w:val="0"/>
                          <w:divBdr>
                            <w:top w:val="none" w:sz="0" w:space="0" w:color="auto"/>
                            <w:left w:val="none" w:sz="0" w:space="0" w:color="auto"/>
                            <w:bottom w:val="none" w:sz="0" w:space="0" w:color="auto"/>
                            <w:right w:val="none" w:sz="0" w:space="0" w:color="auto"/>
                          </w:divBdr>
                        </w:div>
                      </w:divsChild>
                    </w:div>
                    <w:div w:id="1606768365">
                      <w:marLeft w:val="0"/>
                      <w:marRight w:val="0"/>
                      <w:marTop w:val="0"/>
                      <w:marBottom w:val="0"/>
                      <w:divBdr>
                        <w:top w:val="none" w:sz="0" w:space="0" w:color="auto"/>
                        <w:left w:val="none" w:sz="0" w:space="0" w:color="auto"/>
                        <w:bottom w:val="none" w:sz="0" w:space="0" w:color="auto"/>
                        <w:right w:val="none" w:sz="0" w:space="0" w:color="auto"/>
                      </w:divBdr>
                      <w:divsChild>
                        <w:div w:id="494149954">
                          <w:marLeft w:val="300"/>
                          <w:marRight w:val="0"/>
                          <w:marTop w:val="0"/>
                          <w:marBottom w:val="0"/>
                          <w:divBdr>
                            <w:top w:val="none" w:sz="0" w:space="0" w:color="auto"/>
                            <w:left w:val="none" w:sz="0" w:space="0" w:color="auto"/>
                            <w:bottom w:val="none" w:sz="0" w:space="0" w:color="auto"/>
                            <w:right w:val="none" w:sz="0" w:space="0" w:color="auto"/>
                          </w:divBdr>
                        </w:div>
                      </w:divsChild>
                    </w:div>
                    <w:div w:id="976573081">
                      <w:marLeft w:val="0"/>
                      <w:marRight w:val="0"/>
                      <w:marTop w:val="0"/>
                      <w:marBottom w:val="0"/>
                      <w:divBdr>
                        <w:top w:val="none" w:sz="0" w:space="0" w:color="auto"/>
                        <w:left w:val="none" w:sz="0" w:space="0" w:color="auto"/>
                        <w:bottom w:val="none" w:sz="0" w:space="0" w:color="auto"/>
                        <w:right w:val="none" w:sz="0" w:space="0" w:color="auto"/>
                      </w:divBdr>
                      <w:divsChild>
                        <w:div w:id="1662194224">
                          <w:marLeft w:val="300"/>
                          <w:marRight w:val="0"/>
                          <w:marTop w:val="0"/>
                          <w:marBottom w:val="0"/>
                          <w:divBdr>
                            <w:top w:val="none" w:sz="0" w:space="0" w:color="auto"/>
                            <w:left w:val="none" w:sz="0" w:space="0" w:color="auto"/>
                            <w:bottom w:val="none" w:sz="0" w:space="0" w:color="auto"/>
                            <w:right w:val="none" w:sz="0" w:space="0" w:color="auto"/>
                          </w:divBdr>
                        </w:div>
                      </w:divsChild>
                    </w:div>
                    <w:div w:id="234291225">
                      <w:marLeft w:val="0"/>
                      <w:marRight w:val="0"/>
                      <w:marTop w:val="0"/>
                      <w:marBottom w:val="0"/>
                      <w:divBdr>
                        <w:top w:val="none" w:sz="0" w:space="0" w:color="auto"/>
                        <w:left w:val="none" w:sz="0" w:space="0" w:color="auto"/>
                        <w:bottom w:val="none" w:sz="0" w:space="0" w:color="auto"/>
                        <w:right w:val="none" w:sz="0" w:space="0" w:color="auto"/>
                      </w:divBdr>
                      <w:divsChild>
                        <w:div w:id="1364594099">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5643872">
              <w:marLeft w:val="0"/>
              <w:marRight w:val="0"/>
              <w:marTop w:val="0"/>
              <w:marBottom w:val="0"/>
              <w:divBdr>
                <w:top w:val="none" w:sz="0" w:space="0" w:color="auto"/>
                <w:left w:val="none" w:sz="0" w:space="0" w:color="auto"/>
                <w:bottom w:val="none" w:sz="0" w:space="0" w:color="auto"/>
                <w:right w:val="none" w:sz="0" w:space="0" w:color="auto"/>
              </w:divBdr>
              <w:divsChild>
                <w:div w:id="480122506">
                  <w:marLeft w:val="0"/>
                  <w:marRight w:val="0"/>
                  <w:marTop w:val="0"/>
                  <w:marBottom w:val="0"/>
                  <w:divBdr>
                    <w:top w:val="none" w:sz="0" w:space="0" w:color="auto"/>
                    <w:left w:val="none" w:sz="0" w:space="0" w:color="auto"/>
                    <w:bottom w:val="none" w:sz="0" w:space="0" w:color="auto"/>
                    <w:right w:val="none" w:sz="0" w:space="0" w:color="auto"/>
                  </w:divBdr>
                </w:div>
                <w:div w:id="582838366">
                  <w:marLeft w:val="0"/>
                  <w:marRight w:val="0"/>
                  <w:marTop w:val="0"/>
                  <w:marBottom w:val="0"/>
                  <w:divBdr>
                    <w:top w:val="none" w:sz="0" w:space="0" w:color="auto"/>
                    <w:left w:val="none" w:sz="0" w:space="0" w:color="auto"/>
                    <w:bottom w:val="none" w:sz="0" w:space="0" w:color="auto"/>
                    <w:right w:val="none" w:sz="0" w:space="0" w:color="auto"/>
                  </w:divBdr>
                  <w:divsChild>
                    <w:div w:id="1165633119">
                      <w:marLeft w:val="300"/>
                      <w:marRight w:val="0"/>
                      <w:marTop w:val="0"/>
                      <w:marBottom w:val="0"/>
                      <w:divBdr>
                        <w:top w:val="none" w:sz="0" w:space="0" w:color="auto"/>
                        <w:left w:val="none" w:sz="0" w:space="0" w:color="auto"/>
                        <w:bottom w:val="none" w:sz="0" w:space="0" w:color="auto"/>
                        <w:right w:val="none" w:sz="0" w:space="0" w:color="auto"/>
                      </w:divBdr>
                    </w:div>
                    <w:div w:id="433288185">
                      <w:marLeft w:val="0"/>
                      <w:marRight w:val="0"/>
                      <w:marTop w:val="0"/>
                      <w:marBottom w:val="0"/>
                      <w:divBdr>
                        <w:top w:val="none" w:sz="0" w:space="0" w:color="auto"/>
                        <w:left w:val="none" w:sz="0" w:space="0" w:color="auto"/>
                        <w:bottom w:val="none" w:sz="0" w:space="0" w:color="auto"/>
                        <w:right w:val="none" w:sz="0" w:space="0" w:color="auto"/>
                      </w:divBdr>
                      <w:divsChild>
                        <w:div w:id="709497357">
                          <w:marLeft w:val="300"/>
                          <w:marRight w:val="0"/>
                          <w:marTop w:val="0"/>
                          <w:marBottom w:val="0"/>
                          <w:divBdr>
                            <w:top w:val="none" w:sz="0" w:space="0" w:color="auto"/>
                            <w:left w:val="none" w:sz="0" w:space="0" w:color="auto"/>
                            <w:bottom w:val="none" w:sz="0" w:space="0" w:color="auto"/>
                            <w:right w:val="none" w:sz="0" w:space="0" w:color="auto"/>
                          </w:divBdr>
                        </w:div>
                      </w:divsChild>
                    </w:div>
                    <w:div w:id="2115591419">
                      <w:marLeft w:val="0"/>
                      <w:marRight w:val="0"/>
                      <w:marTop w:val="0"/>
                      <w:marBottom w:val="0"/>
                      <w:divBdr>
                        <w:top w:val="none" w:sz="0" w:space="0" w:color="auto"/>
                        <w:left w:val="none" w:sz="0" w:space="0" w:color="auto"/>
                        <w:bottom w:val="none" w:sz="0" w:space="0" w:color="auto"/>
                        <w:right w:val="none" w:sz="0" w:space="0" w:color="auto"/>
                      </w:divBdr>
                      <w:divsChild>
                        <w:div w:id="1354767652">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621379326">
                  <w:marLeft w:val="0"/>
                  <w:marRight w:val="0"/>
                  <w:marTop w:val="0"/>
                  <w:marBottom w:val="0"/>
                  <w:divBdr>
                    <w:top w:val="none" w:sz="0" w:space="0" w:color="auto"/>
                    <w:left w:val="none" w:sz="0" w:space="0" w:color="auto"/>
                    <w:bottom w:val="none" w:sz="0" w:space="0" w:color="auto"/>
                    <w:right w:val="none" w:sz="0" w:space="0" w:color="auto"/>
                  </w:divBdr>
                  <w:divsChild>
                    <w:div w:id="336268564">
                      <w:marLeft w:val="300"/>
                      <w:marRight w:val="0"/>
                      <w:marTop w:val="0"/>
                      <w:marBottom w:val="0"/>
                      <w:divBdr>
                        <w:top w:val="none" w:sz="0" w:space="0" w:color="auto"/>
                        <w:left w:val="none" w:sz="0" w:space="0" w:color="auto"/>
                        <w:bottom w:val="none" w:sz="0" w:space="0" w:color="auto"/>
                        <w:right w:val="none" w:sz="0" w:space="0" w:color="auto"/>
                      </w:divBdr>
                    </w:div>
                    <w:div w:id="587353715">
                      <w:marLeft w:val="0"/>
                      <w:marRight w:val="0"/>
                      <w:marTop w:val="0"/>
                      <w:marBottom w:val="0"/>
                      <w:divBdr>
                        <w:top w:val="none" w:sz="0" w:space="0" w:color="auto"/>
                        <w:left w:val="none" w:sz="0" w:space="0" w:color="auto"/>
                        <w:bottom w:val="none" w:sz="0" w:space="0" w:color="auto"/>
                        <w:right w:val="none" w:sz="0" w:space="0" w:color="auto"/>
                      </w:divBdr>
                      <w:divsChild>
                        <w:div w:id="1051418298">
                          <w:marLeft w:val="300"/>
                          <w:marRight w:val="0"/>
                          <w:marTop w:val="0"/>
                          <w:marBottom w:val="0"/>
                          <w:divBdr>
                            <w:top w:val="none" w:sz="0" w:space="0" w:color="auto"/>
                            <w:left w:val="none" w:sz="0" w:space="0" w:color="auto"/>
                            <w:bottom w:val="none" w:sz="0" w:space="0" w:color="auto"/>
                            <w:right w:val="none" w:sz="0" w:space="0" w:color="auto"/>
                          </w:divBdr>
                        </w:div>
                        <w:div w:id="479345865">
                          <w:marLeft w:val="0"/>
                          <w:marRight w:val="0"/>
                          <w:marTop w:val="0"/>
                          <w:marBottom w:val="0"/>
                          <w:divBdr>
                            <w:top w:val="none" w:sz="0" w:space="0" w:color="auto"/>
                            <w:left w:val="none" w:sz="0" w:space="0" w:color="auto"/>
                            <w:bottom w:val="none" w:sz="0" w:space="0" w:color="auto"/>
                            <w:right w:val="none" w:sz="0" w:space="0" w:color="auto"/>
                          </w:divBdr>
                        </w:div>
                        <w:div w:id="287778455">
                          <w:marLeft w:val="0"/>
                          <w:marRight w:val="0"/>
                          <w:marTop w:val="0"/>
                          <w:marBottom w:val="0"/>
                          <w:divBdr>
                            <w:top w:val="none" w:sz="0" w:space="0" w:color="auto"/>
                            <w:left w:val="none" w:sz="0" w:space="0" w:color="auto"/>
                            <w:bottom w:val="none" w:sz="0" w:space="0" w:color="auto"/>
                            <w:right w:val="none" w:sz="0" w:space="0" w:color="auto"/>
                          </w:divBdr>
                        </w:div>
                        <w:div w:id="911038061">
                          <w:marLeft w:val="375"/>
                          <w:marRight w:val="375"/>
                          <w:marTop w:val="0"/>
                          <w:marBottom w:val="0"/>
                          <w:divBdr>
                            <w:top w:val="none" w:sz="0" w:space="0" w:color="auto"/>
                            <w:left w:val="none" w:sz="0" w:space="0" w:color="auto"/>
                            <w:bottom w:val="none" w:sz="0" w:space="0" w:color="auto"/>
                            <w:right w:val="none" w:sz="0" w:space="0" w:color="auto"/>
                          </w:divBdr>
                          <w:divsChild>
                            <w:div w:id="1735274918">
                              <w:marLeft w:val="0"/>
                              <w:marRight w:val="0"/>
                              <w:marTop w:val="0"/>
                              <w:marBottom w:val="0"/>
                              <w:divBdr>
                                <w:top w:val="none" w:sz="0" w:space="0" w:color="auto"/>
                                <w:left w:val="none" w:sz="0" w:space="0" w:color="auto"/>
                                <w:bottom w:val="none" w:sz="0" w:space="0" w:color="auto"/>
                                <w:right w:val="none" w:sz="0" w:space="0" w:color="auto"/>
                              </w:divBdr>
                            </w:div>
                            <w:div w:id="1174029001">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646202323">
                      <w:marLeft w:val="0"/>
                      <w:marRight w:val="0"/>
                      <w:marTop w:val="0"/>
                      <w:marBottom w:val="0"/>
                      <w:divBdr>
                        <w:top w:val="none" w:sz="0" w:space="0" w:color="auto"/>
                        <w:left w:val="none" w:sz="0" w:space="0" w:color="auto"/>
                        <w:bottom w:val="none" w:sz="0" w:space="0" w:color="auto"/>
                        <w:right w:val="none" w:sz="0" w:space="0" w:color="auto"/>
                      </w:divBdr>
                      <w:divsChild>
                        <w:div w:id="870535580">
                          <w:marLeft w:val="300"/>
                          <w:marRight w:val="0"/>
                          <w:marTop w:val="0"/>
                          <w:marBottom w:val="0"/>
                          <w:divBdr>
                            <w:top w:val="none" w:sz="0" w:space="0" w:color="auto"/>
                            <w:left w:val="none" w:sz="0" w:space="0" w:color="auto"/>
                            <w:bottom w:val="none" w:sz="0" w:space="0" w:color="auto"/>
                            <w:right w:val="none" w:sz="0" w:space="0" w:color="auto"/>
                          </w:divBdr>
                        </w:div>
                        <w:div w:id="1628510721">
                          <w:marLeft w:val="0"/>
                          <w:marRight w:val="0"/>
                          <w:marTop w:val="0"/>
                          <w:marBottom w:val="0"/>
                          <w:divBdr>
                            <w:top w:val="none" w:sz="0" w:space="0" w:color="auto"/>
                            <w:left w:val="none" w:sz="0" w:space="0" w:color="auto"/>
                            <w:bottom w:val="none" w:sz="0" w:space="0" w:color="auto"/>
                            <w:right w:val="none" w:sz="0" w:space="0" w:color="auto"/>
                          </w:divBdr>
                        </w:div>
                        <w:div w:id="794517550">
                          <w:marLeft w:val="0"/>
                          <w:marRight w:val="0"/>
                          <w:marTop w:val="0"/>
                          <w:marBottom w:val="0"/>
                          <w:divBdr>
                            <w:top w:val="none" w:sz="0" w:space="0" w:color="auto"/>
                            <w:left w:val="none" w:sz="0" w:space="0" w:color="auto"/>
                            <w:bottom w:val="none" w:sz="0" w:space="0" w:color="auto"/>
                            <w:right w:val="none" w:sz="0" w:space="0" w:color="auto"/>
                          </w:divBdr>
                        </w:div>
                        <w:div w:id="1782918404">
                          <w:marLeft w:val="375"/>
                          <w:marRight w:val="375"/>
                          <w:marTop w:val="0"/>
                          <w:marBottom w:val="0"/>
                          <w:divBdr>
                            <w:top w:val="none" w:sz="0" w:space="0" w:color="auto"/>
                            <w:left w:val="none" w:sz="0" w:space="0" w:color="auto"/>
                            <w:bottom w:val="none" w:sz="0" w:space="0" w:color="auto"/>
                            <w:right w:val="none" w:sz="0" w:space="0" w:color="auto"/>
                          </w:divBdr>
                          <w:divsChild>
                            <w:div w:id="831995038">
                              <w:marLeft w:val="0"/>
                              <w:marRight w:val="0"/>
                              <w:marTop w:val="0"/>
                              <w:marBottom w:val="0"/>
                              <w:divBdr>
                                <w:top w:val="none" w:sz="0" w:space="0" w:color="auto"/>
                                <w:left w:val="none" w:sz="0" w:space="0" w:color="auto"/>
                                <w:bottom w:val="none" w:sz="0" w:space="0" w:color="auto"/>
                                <w:right w:val="none" w:sz="0" w:space="0" w:color="auto"/>
                              </w:divBdr>
                            </w:div>
                            <w:div w:id="415858232">
                              <w:marLeft w:val="0"/>
                              <w:marRight w:val="0"/>
                              <w:marTop w:val="150"/>
                              <w:marBottom w:val="0"/>
                              <w:divBdr>
                                <w:top w:val="none" w:sz="0" w:space="0" w:color="auto"/>
                                <w:left w:val="none" w:sz="0" w:space="0" w:color="auto"/>
                                <w:bottom w:val="none" w:sz="0" w:space="0" w:color="auto"/>
                                <w:right w:val="none" w:sz="0" w:space="0" w:color="auto"/>
                              </w:divBdr>
                            </w:div>
                          </w:divsChild>
                        </w:div>
                        <w:div w:id="2045474422">
                          <w:marLeft w:val="300"/>
                          <w:marRight w:val="0"/>
                          <w:marTop w:val="0"/>
                          <w:marBottom w:val="0"/>
                          <w:divBdr>
                            <w:top w:val="none" w:sz="0" w:space="0" w:color="auto"/>
                            <w:left w:val="none" w:sz="0" w:space="0" w:color="auto"/>
                            <w:bottom w:val="none" w:sz="0" w:space="0" w:color="auto"/>
                            <w:right w:val="none" w:sz="0" w:space="0" w:color="auto"/>
                          </w:divBdr>
                          <w:divsChild>
                            <w:div w:id="1642728535">
                              <w:marLeft w:val="0"/>
                              <w:marRight w:val="0"/>
                              <w:marTop w:val="0"/>
                              <w:marBottom w:val="0"/>
                              <w:divBdr>
                                <w:top w:val="none" w:sz="0" w:space="0" w:color="auto"/>
                                <w:left w:val="none" w:sz="0" w:space="0" w:color="auto"/>
                                <w:bottom w:val="none" w:sz="0" w:space="0" w:color="auto"/>
                                <w:right w:val="none" w:sz="0" w:space="0" w:color="auto"/>
                              </w:divBdr>
                              <w:divsChild>
                                <w:div w:id="327903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0166692">
                      <w:marLeft w:val="0"/>
                      <w:marRight w:val="0"/>
                      <w:marTop w:val="0"/>
                      <w:marBottom w:val="0"/>
                      <w:divBdr>
                        <w:top w:val="none" w:sz="0" w:space="0" w:color="auto"/>
                        <w:left w:val="none" w:sz="0" w:space="0" w:color="auto"/>
                        <w:bottom w:val="none" w:sz="0" w:space="0" w:color="auto"/>
                        <w:right w:val="none" w:sz="0" w:space="0" w:color="auto"/>
                      </w:divBdr>
                      <w:divsChild>
                        <w:div w:id="375933956">
                          <w:marLeft w:val="300"/>
                          <w:marRight w:val="0"/>
                          <w:marTop w:val="0"/>
                          <w:marBottom w:val="0"/>
                          <w:divBdr>
                            <w:top w:val="none" w:sz="0" w:space="0" w:color="auto"/>
                            <w:left w:val="none" w:sz="0" w:space="0" w:color="auto"/>
                            <w:bottom w:val="none" w:sz="0" w:space="0" w:color="auto"/>
                            <w:right w:val="none" w:sz="0" w:space="0" w:color="auto"/>
                          </w:divBdr>
                        </w:div>
                        <w:div w:id="1493256454">
                          <w:marLeft w:val="0"/>
                          <w:marRight w:val="0"/>
                          <w:marTop w:val="0"/>
                          <w:marBottom w:val="0"/>
                          <w:divBdr>
                            <w:top w:val="none" w:sz="0" w:space="0" w:color="auto"/>
                            <w:left w:val="none" w:sz="0" w:space="0" w:color="auto"/>
                            <w:bottom w:val="none" w:sz="0" w:space="0" w:color="auto"/>
                            <w:right w:val="none" w:sz="0" w:space="0" w:color="auto"/>
                          </w:divBdr>
                        </w:div>
                        <w:div w:id="230048183">
                          <w:marLeft w:val="0"/>
                          <w:marRight w:val="0"/>
                          <w:marTop w:val="0"/>
                          <w:marBottom w:val="0"/>
                          <w:divBdr>
                            <w:top w:val="none" w:sz="0" w:space="0" w:color="auto"/>
                            <w:left w:val="none" w:sz="0" w:space="0" w:color="auto"/>
                            <w:bottom w:val="none" w:sz="0" w:space="0" w:color="auto"/>
                            <w:right w:val="none" w:sz="0" w:space="0" w:color="auto"/>
                          </w:divBdr>
                        </w:div>
                        <w:div w:id="1701737831">
                          <w:marLeft w:val="375"/>
                          <w:marRight w:val="375"/>
                          <w:marTop w:val="0"/>
                          <w:marBottom w:val="0"/>
                          <w:divBdr>
                            <w:top w:val="none" w:sz="0" w:space="0" w:color="auto"/>
                            <w:left w:val="none" w:sz="0" w:space="0" w:color="auto"/>
                            <w:bottom w:val="none" w:sz="0" w:space="0" w:color="auto"/>
                            <w:right w:val="none" w:sz="0" w:space="0" w:color="auto"/>
                          </w:divBdr>
                          <w:divsChild>
                            <w:div w:id="1311012778">
                              <w:marLeft w:val="0"/>
                              <w:marRight w:val="0"/>
                              <w:marTop w:val="0"/>
                              <w:marBottom w:val="0"/>
                              <w:divBdr>
                                <w:top w:val="none" w:sz="0" w:space="0" w:color="auto"/>
                                <w:left w:val="none" w:sz="0" w:space="0" w:color="auto"/>
                                <w:bottom w:val="none" w:sz="0" w:space="0" w:color="auto"/>
                                <w:right w:val="none" w:sz="0" w:space="0" w:color="auto"/>
                              </w:divBdr>
                            </w:div>
                            <w:div w:id="1782072501">
                              <w:marLeft w:val="0"/>
                              <w:marRight w:val="0"/>
                              <w:marTop w:val="150"/>
                              <w:marBottom w:val="0"/>
                              <w:divBdr>
                                <w:top w:val="none" w:sz="0" w:space="0" w:color="auto"/>
                                <w:left w:val="none" w:sz="0" w:space="0" w:color="auto"/>
                                <w:bottom w:val="none" w:sz="0" w:space="0" w:color="auto"/>
                                <w:right w:val="none" w:sz="0" w:space="0" w:color="auto"/>
                              </w:divBdr>
                            </w:div>
                          </w:divsChild>
                        </w:div>
                        <w:div w:id="515311045">
                          <w:marLeft w:val="300"/>
                          <w:marRight w:val="0"/>
                          <w:marTop w:val="0"/>
                          <w:marBottom w:val="0"/>
                          <w:divBdr>
                            <w:top w:val="none" w:sz="0" w:space="0" w:color="auto"/>
                            <w:left w:val="none" w:sz="0" w:space="0" w:color="auto"/>
                            <w:bottom w:val="none" w:sz="0" w:space="0" w:color="auto"/>
                            <w:right w:val="none" w:sz="0" w:space="0" w:color="auto"/>
                          </w:divBdr>
                          <w:divsChild>
                            <w:div w:id="1708748778">
                              <w:marLeft w:val="0"/>
                              <w:marRight w:val="0"/>
                              <w:marTop w:val="0"/>
                              <w:marBottom w:val="0"/>
                              <w:divBdr>
                                <w:top w:val="none" w:sz="0" w:space="0" w:color="auto"/>
                                <w:left w:val="none" w:sz="0" w:space="0" w:color="auto"/>
                                <w:bottom w:val="none" w:sz="0" w:space="0" w:color="auto"/>
                                <w:right w:val="none" w:sz="0" w:space="0" w:color="auto"/>
                              </w:divBdr>
                              <w:divsChild>
                                <w:div w:id="246770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47684670">
              <w:marLeft w:val="0"/>
              <w:marRight w:val="0"/>
              <w:marTop w:val="0"/>
              <w:marBottom w:val="0"/>
              <w:divBdr>
                <w:top w:val="none" w:sz="0" w:space="0" w:color="auto"/>
                <w:left w:val="none" w:sz="0" w:space="0" w:color="auto"/>
                <w:bottom w:val="none" w:sz="0" w:space="0" w:color="auto"/>
                <w:right w:val="none" w:sz="0" w:space="0" w:color="auto"/>
              </w:divBdr>
              <w:divsChild>
                <w:div w:id="925190618">
                  <w:marLeft w:val="0"/>
                  <w:marRight w:val="0"/>
                  <w:marTop w:val="0"/>
                  <w:marBottom w:val="0"/>
                  <w:divBdr>
                    <w:top w:val="none" w:sz="0" w:space="0" w:color="auto"/>
                    <w:left w:val="none" w:sz="0" w:space="0" w:color="auto"/>
                    <w:bottom w:val="none" w:sz="0" w:space="0" w:color="auto"/>
                    <w:right w:val="none" w:sz="0" w:space="0" w:color="auto"/>
                  </w:divBdr>
                </w:div>
                <w:div w:id="994915813">
                  <w:marLeft w:val="0"/>
                  <w:marRight w:val="0"/>
                  <w:marTop w:val="0"/>
                  <w:marBottom w:val="0"/>
                  <w:divBdr>
                    <w:top w:val="none" w:sz="0" w:space="0" w:color="auto"/>
                    <w:left w:val="none" w:sz="0" w:space="0" w:color="auto"/>
                    <w:bottom w:val="none" w:sz="0" w:space="0" w:color="auto"/>
                    <w:right w:val="none" w:sz="0" w:space="0" w:color="auto"/>
                  </w:divBdr>
                  <w:divsChild>
                    <w:div w:id="1083601329">
                      <w:marLeft w:val="300"/>
                      <w:marRight w:val="0"/>
                      <w:marTop w:val="0"/>
                      <w:marBottom w:val="0"/>
                      <w:divBdr>
                        <w:top w:val="none" w:sz="0" w:space="0" w:color="auto"/>
                        <w:left w:val="none" w:sz="0" w:space="0" w:color="auto"/>
                        <w:bottom w:val="none" w:sz="0" w:space="0" w:color="auto"/>
                        <w:right w:val="none" w:sz="0" w:space="0" w:color="auto"/>
                      </w:divBdr>
                    </w:div>
                  </w:divsChild>
                </w:div>
                <w:div w:id="1685784248">
                  <w:marLeft w:val="0"/>
                  <w:marRight w:val="0"/>
                  <w:marTop w:val="0"/>
                  <w:marBottom w:val="0"/>
                  <w:divBdr>
                    <w:top w:val="none" w:sz="0" w:space="0" w:color="auto"/>
                    <w:left w:val="none" w:sz="0" w:space="0" w:color="auto"/>
                    <w:bottom w:val="none" w:sz="0" w:space="0" w:color="auto"/>
                    <w:right w:val="none" w:sz="0" w:space="0" w:color="auto"/>
                  </w:divBdr>
                  <w:divsChild>
                    <w:div w:id="704211357">
                      <w:marLeft w:val="300"/>
                      <w:marRight w:val="0"/>
                      <w:marTop w:val="0"/>
                      <w:marBottom w:val="0"/>
                      <w:divBdr>
                        <w:top w:val="none" w:sz="0" w:space="0" w:color="auto"/>
                        <w:left w:val="none" w:sz="0" w:space="0" w:color="auto"/>
                        <w:bottom w:val="none" w:sz="0" w:space="0" w:color="auto"/>
                        <w:right w:val="none" w:sz="0" w:space="0" w:color="auto"/>
                      </w:divBdr>
                    </w:div>
                  </w:divsChild>
                </w:div>
                <w:div w:id="163012619">
                  <w:marLeft w:val="0"/>
                  <w:marRight w:val="0"/>
                  <w:marTop w:val="0"/>
                  <w:marBottom w:val="0"/>
                  <w:divBdr>
                    <w:top w:val="none" w:sz="0" w:space="0" w:color="auto"/>
                    <w:left w:val="none" w:sz="0" w:space="0" w:color="auto"/>
                    <w:bottom w:val="none" w:sz="0" w:space="0" w:color="auto"/>
                    <w:right w:val="none" w:sz="0" w:space="0" w:color="auto"/>
                  </w:divBdr>
                  <w:divsChild>
                    <w:div w:id="1560509035">
                      <w:marLeft w:val="300"/>
                      <w:marRight w:val="0"/>
                      <w:marTop w:val="0"/>
                      <w:marBottom w:val="0"/>
                      <w:divBdr>
                        <w:top w:val="none" w:sz="0" w:space="0" w:color="auto"/>
                        <w:left w:val="none" w:sz="0" w:space="0" w:color="auto"/>
                        <w:bottom w:val="none" w:sz="0" w:space="0" w:color="auto"/>
                        <w:right w:val="none" w:sz="0" w:space="0" w:color="auto"/>
                      </w:divBdr>
                    </w:div>
                  </w:divsChild>
                </w:div>
                <w:div w:id="1753770767">
                  <w:marLeft w:val="0"/>
                  <w:marRight w:val="0"/>
                  <w:marTop w:val="0"/>
                  <w:marBottom w:val="0"/>
                  <w:divBdr>
                    <w:top w:val="none" w:sz="0" w:space="0" w:color="auto"/>
                    <w:left w:val="none" w:sz="0" w:space="0" w:color="auto"/>
                    <w:bottom w:val="none" w:sz="0" w:space="0" w:color="auto"/>
                    <w:right w:val="none" w:sz="0" w:space="0" w:color="auto"/>
                  </w:divBdr>
                  <w:divsChild>
                    <w:div w:id="549145534">
                      <w:marLeft w:val="300"/>
                      <w:marRight w:val="0"/>
                      <w:marTop w:val="0"/>
                      <w:marBottom w:val="0"/>
                      <w:divBdr>
                        <w:top w:val="none" w:sz="0" w:space="0" w:color="auto"/>
                        <w:left w:val="none" w:sz="0" w:space="0" w:color="auto"/>
                        <w:bottom w:val="none" w:sz="0" w:space="0" w:color="auto"/>
                        <w:right w:val="none" w:sz="0" w:space="0" w:color="auto"/>
                      </w:divBdr>
                    </w:div>
                  </w:divsChild>
                </w:div>
                <w:div w:id="1603143764">
                  <w:marLeft w:val="0"/>
                  <w:marRight w:val="0"/>
                  <w:marTop w:val="0"/>
                  <w:marBottom w:val="0"/>
                  <w:divBdr>
                    <w:top w:val="none" w:sz="0" w:space="0" w:color="auto"/>
                    <w:left w:val="none" w:sz="0" w:space="0" w:color="auto"/>
                    <w:bottom w:val="none" w:sz="0" w:space="0" w:color="auto"/>
                    <w:right w:val="none" w:sz="0" w:space="0" w:color="auto"/>
                  </w:divBdr>
                  <w:divsChild>
                    <w:div w:id="1195581114">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518807434">
              <w:marLeft w:val="0"/>
              <w:marRight w:val="0"/>
              <w:marTop w:val="0"/>
              <w:marBottom w:val="0"/>
              <w:divBdr>
                <w:top w:val="none" w:sz="0" w:space="0" w:color="auto"/>
                <w:left w:val="none" w:sz="0" w:space="0" w:color="auto"/>
                <w:bottom w:val="none" w:sz="0" w:space="0" w:color="auto"/>
                <w:right w:val="none" w:sz="0" w:space="0" w:color="auto"/>
              </w:divBdr>
            </w:div>
            <w:div w:id="490830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6710937">
      <w:bodyDiv w:val="1"/>
      <w:marLeft w:val="0"/>
      <w:marRight w:val="0"/>
      <w:marTop w:val="0"/>
      <w:marBottom w:val="0"/>
      <w:divBdr>
        <w:top w:val="none" w:sz="0" w:space="0" w:color="auto"/>
        <w:left w:val="none" w:sz="0" w:space="0" w:color="auto"/>
        <w:bottom w:val="none" w:sz="0" w:space="0" w:color="auto"/>
        <w:right w:val="none" w:sz="0" w:space="0" w:color="auto"/>
      </w:divBdr>
    </w:div>
    <w:div w:id="1925799450">
      <w:bodyDiv w:val="1"/>
      <w:marLeft w:val="0"/>
      <w:marRight w:val="0"/>
      <w:marTop w:val="0"/>
      <w:marBottom w:val="0"/>
      <w:divBdr>
        <w:top w:val="none" w:sz="0" w:space="0" w:color="auto"/>
        <w:left w:val="none" w:sz="0" w:space="0" w:color="auto"/>
        <w:bottom w:val="none" w:sz="0" w:space="0" w:color="auto"/>
        <w:right w:val="none" w:sz="0" w:space="0" w:color="auto"/>
      </w:divBdr>
      <w:divsChild>
        <w:div w:id="540673741">
          <w:marLeft w:val="0"/>
          <w:marRight w:val="0"/>
          <w:marTop w:val="0"/>
          <w:marBottom w:val="0"/>
          <w:divBdr>
            <w:top w:val="none" w:sz="0" w:space="0" w:color="auto"/>
            <w:left w:val="none" w:sz="0" w:space="0" w:color="auto"/>
            <w:bottom w:val="none" w:sz="0" w:space="0" w:color="auto"/>
            <w:right w:val="none" w:sz="0" w:space="0" w:color="auto"/>
          </w:divBdr>
          <w:divsChild>
            <w:div w:id="1697848397">
              <w:marLeft w:val="0"/>
              <w:marRight w:val="0"/>
              <w:marTop w:val="0"/>
              <w:marBottom w:val="0"/>
              <w:divBdr>
                <w:top w:val="none" w:sz="0" w:space="0" w:color="auto"/>
                <w:left w:val="none" w:sz="0" w:space="0" w:color="auto"/>
                <w:bottom w:val="none" w:sz="0" w:space="0" w:color="auto"/>
                <w:right w:val="none" w:sz="0" w:space="0" w:color="auto"/>
              </w:divBdr>
            </w:div>
            <w:div w:id="309485439">
              <w:marLeft w:val="0"/>
              <w:marRight w:val="0"/>
              <w:marTop w:val="0"/>
              <w:marBottom w:val="0"/>
              <w:divBdr>
                <w:top w:val="none" w:sz="0" w:space="0" w:color="auto"/>
                <w:left w:val="none" w:sz="0" w:space="0" w:color="auto"/>
                <w:bottom w:val="none" w:sz="0" w:space="0" w:color="auto"/>
                <w:right w:val="none" w:sz="0" w:space="0" w:color="auto"/>
              </w:divBdr>
              <w:divsChild>
                <w:div w:id="876311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009108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journals.sagepub.com/doi/10.1177/1087054718821729" TargetMode="External"/><Relationship Id="rId117" Type="http://schemas.openxmlformats.org/officeDocument/2006/relationships/fontTable" Target="fontTable.xml"/><Relationship Id="rId21" Type="http://schemas.openxmlformats.org/officeDocument/2006/relationships/hyperlink" Target="https://journals.sagepub.com/doi/10.1177/1087054718821729" TargetMode="External"/><Relationship Id="rId42" Type="http://schemas.openxmlformats.org/officeDocument/2006/relationships/image" Target="media/image1.gif"/><Relationship Id="rId47" Type="http://schemas.openxmlformats.org/officeDocument/2006/relationships/hyperlink" Target="https://journals.sagepub.com/doi/10.1177/1087054718821729" TargetMode="External"/><Relationship Id="rId63" Type="http://schemas.openxmlformats.org/officeDocument/2006/relationships/hyperlink" Target="https://journals.sagepub.com/doi/10.1177/1087054718821729" TargetMode="External"/><Relationship Id="rId68" Type="http://schemas.openxmlformats.org/officeDocument/2006/relationships/hyperlink" Target="https://journals.sagepub.com/doi/10.1177/1087054718821729" TargetMode="External"/><Relationship Id="rId84" Type="http://schemas.openxmlformats.org/officeDocument/2006/relationships/hyperlink" Target="https://journals.sagepub.com/doi/10.1177/1087054718821729" TargetMode="External"/><Relationship Id="rId89" Type="http://schemas.openxmlformats.org/officeDocument/2006/relationships/image" Target="media/image2.gif"/><Relationship Id="rId112" Type="http://schemas.openxmlformats.org/officeDocument/2006/relationships/hyperlink" Target="https://journals.sagepub.com/doi/10.1177/1087054718821729" TargetMode="External"/><Relationship Id="rId16" Type="http://schemas.openxmlformats.org/officeDocument/2006/relationships/hyperlink" Target="https://journals.sagepub.com/doi/10.1177/1087054718821729" TargetMode="External"/><Relationship Id="rId107" Type="http://schemas.openxmlformats.org/officeDocument/2006/relationships/hyperlink" Target="https://journals.sagepub.com/doi/10.1177/1087054718821729" TargetMode="External"/><Relationship Id="rId11" Type="http://schemas.openxmlformats.org/officeDocument/2006/relationships/hyperlink" Target="https://journals.sagepub.com/doi/10.1177/1087054718821729" TargetMode="External"/><Relationship Id="rId32" Type="http://schemas.openxmlformats.org/officeDocument/2006/relationships/hyperlink" Target="https://journals.sagepub.com/doi/10.1177/1087054718821729" TargetMode="External"/><Relationship Id="rId37" Type="http://schemas.openxmlformats.org/officeDocument/2006/relationships/hyperlink" Target="https://journals.sagepub.com/doi/10.1177/1087054718821729" TargetMode="External"/><Relationship Id="rId53" Type="http://schemas.openxmlformats.org/officeDocument/2006/relationships/hyperlink" Target="https://journals.sagepub.com/doi/10.1177/1087054718821729" TargetMode="External"/><Relationship Id="rId58" Type="http://schemas.openxmlformats.org/officeDocument/2006/relationships/hyperlink" Target="https://journals.sagepub.com/doi/10.1177/1087054718821729" TargetMode="External"/><Relationship Id="rId74" Type="http://schemas.openxmlformats.org/officeDocument/2006/relationships/hyperlink" Target="https://journals.sagepub.com/doi/10.1177/1087054718821729" TargetMode="External"/><Relationship Id="rId79" Type="http://schemas.openxmlformats.org/officeDocument/2006/relationships/hyperlink" Target="https://journals.sagepub.com/doi/10.1177/1087054718821729" TargetMode="External"/><Relationship Id="rId102" Type="http://schemas.openxmlformats.org/officeDocument/2006/relationships/hyperlink" Target="https://journals.sagepub.com/doi/10.1177/1087054718821729" TargetMode="External"/><Relationship Id="rId5" Type="http://schemas.openxmlformats.org/officeDocument/2006/relationships/settings" Target="settings.xml"/><Relationship Id="rId90" Type="http://schemas.openxmlformats.org/officeDocument/2006/relationships/hyperlink" Target="https://journals.sagepub.com/doi/10.1177/1087054718821729" TargetMode="External"/><Relationship Id="rId95" Type="http://schemas.openxmlformats.org/officeDocument/2006/relationships/hyperlink" Target="https://journals.sagepub.com/doi/10.1177/1087054718821729" TargetMode="External"/><Relationship Id="rId22" Type="http://schemas.openxmlformats.org/officeDocument/2006/relationships/hyperlink" Target="https://journals.sagepub.com/doi/10.1177/1087054718821729" TargetMode="External"/><Relationship Id="rId27" Type="http://schemas.openxmlformats.org/officeDocument/2006/relationships/hyperlink" Target="https://journals.sagepub.com/doi/10.1177/1087054718821729" TargetMode="External"/><Relationship Id="rId43" Type="http://schemas.openxmlformats.org/officeDocument/2006/relationships/hyperlink" Target="https://journals.sagepub.com/doi/10.1177/1087054718821729" TargetMode="External"/><Relationship Id="rId48" Type="http://schemas.openxmlformats.org/officeDocument/2006/relationships/hyperlink" Target="https://journals.sagepub.com/doi/10.1177/1087054718821729" TargetMode="External"/><Relationship Id="rId64" Type="http://schemas.openxmlformats.org/officeDocument/2006/relationships/hyperlink" Target="https://journals.sagepub.com/doi/10.1177/1087054718821729" TargetMode="External"/><Relationship Id="rId69" Type="http://schemas.openxmlformats.org/officeDocument/2006/relationships/hyperlink" Target="https://journals.sagepub.com/doi/10.1177/1087054718821729" TargetMode="External"/><Relationship Id="rId113" Type="http://schemas.openxmlformats.org/officeDocument/2006/relationships/hyperlink" Target="https://journals.sagepub.com/doi/10.1177/1087054718821729" TargetMode="External"/><Relationship Id="rId118" Type="http://schemas.openxmlformats.org/officeDocument/2006/relationships/theme" Target="theme/theme1.xml"/><Relationship Id="rId80" Type="http://schemas.openxmlformats.org/officeDocument/2006/relationships/hyperlink" Target="https://journals.sagepub.com/doi/10.1177/1087054718821729" TargetMode="External"/><Relationship Id="rId85" Type="http://schemas.openxmlformats.org/officeDocument/2006/relationships/hyperlink" Target="https://journals.sagepub.com/doi/10.1177/1087054718821729" TargetMode="External"/><Relationship Id="rId12" Type="http://schemas.openxmlformats.org/officeDocument/2006/relationships/hyperlink" Target="https://journals.sagepub.com/doi/10.1177/1087054718821729" TargetMode="External"/><Relationship Id="rId17" Type="http://schemas.openxmlformats.org/officeDocument/2006/relationships/hyperlink" Target="https://journals.sagepub.com/doi/10.1177/1087054718821729" TargetMode="External"/><Relationship Id="rId33" Type="http://schemas.openxmlformats.org/officeDocument/2006/relationships/hyperlink" Target="https://journals.sagepub.com/doi/10.1177/1087054718821729" TargetMode="External"/><Relationship Id="rId38" Type="http://schemas.openxmlformats.org/officeDocument/2006/relationships/hyperlink" Target="https://journals.sagepub.com/doi/10.1177/1087054718821729" TargetMode="External"/><Relationship Id="rId59" Type="http://schemas.openxmlformats.org/officeDocument/2006/relationships/hyperlink" Target="https://journals.sagepub.com/doi/10.1177/1087054718821729" TargetMode="External"/><Relationship Id="rId103" Type="http://schemas.openxmlformats.org/officeDocument/2006/relationships/hyperlink" Target="https://journals.sagepub.com/doi/10.1177/1087054718821729" TargetMode="External"/><Relationship Id="rId108" Type="http://schemas.openxmlformats.org/officeDocument/2006/relationships/hyperlink" Target="https://journals.sagepub.com/doi/10.1177/1087054718821729" TargetMode="External"/><Relationship Id="rId54" Type="http://schemas.openxmlformats.org/officeDocument/2006/relationships/hyperlink" Target="https://journals.sagepub.com/doi/10.1177/1087054718821729" TargetMode="External"/><Relationship Id="rId70" Type="http://schemas.openxmlformats.org/officeDocument/2006/relationships/hyperlink" Target="https://journals.sagepub.com/doi/10.1177/1087054718821729" TargetMode="External"/><Relationship Id="rId75" Type="http://schemas.openxmlformats.org/officeDocument/2006/relationships/hyperlink" Target="https://journals.sagepub.com/doi/10.1177/1087054718821729" TargetMode="External"/><Relationship Id="rId91" Type="http://schemas.openxmlformats.org/officeDocument/2006/relationships/hyperlink" Target="https://journals.sagepub.com/doi/10.1177/1087054718821729" TargetMode="External"/><Relationship Id="rId96" Type="http://schemas.openxmlformats.org/officeDocument/2006/relationships/hyperlink" Target="https://journals.sagepub.com/doi/10.1177/1087054718821729" TargetMode="External"/><Relationship Id="rId1" Type="http://schemas.openxmlformats.org/officeDocument/2006/relationships/customXml" Target="../customXml/item1.xml"/><Relationship Id="rId6" Type="http://schemas.openxmlformats.org/officeDocument/2006/relationships/webSettings" Target="webSettings.xml"/><Relationship Id="rId23" Type="http://schemas.openxmlformats.org/officeDocument/2006/relationships/hyperlink" Target="https://journals.sagepub.com/doi/10.1177/1087054718821729" TargetMode="External"/><Relationship Id="rId28" Type="http://schemas.openxmlformats.org/officeDocument/2006/relationships/hyperlink" Target="https://journals.sagepub.com/doi/10.1177/1087054718821729" TargetMode="External"/><Relationship Id="rId49" Type="http://schemas.openxmlformats.org/officeDocument/2006/relationships/hyperlink" Target="https://journals.sagepub.com/doi/10.1177/1087054718821729" TargetMode="External"/><Relationship Id="rId114" Type="http://schemas.openxmlformats.org/officeDocument/2006/relationships/hyperlink" Target="https://journals.sagepub.com/doi/10.1177/1087054718821729" TargetMode="External"/><Relationship Id="rId10" Type="http://schemas.openxmlformats.org/officeDocument/2006/relationships/hyperlink" Target="https://journals.sagepub.com/doi/10.1177/1087054718821729" TargetMode="External"/><Relationship Id="rId31" Type="http://schemas.openxmlformats.org/officeDocument/2006/relationships/hyperlink" Target="https://journals.sagepub.com/doi/10.1177/1087054718821729" TargetMode="External"/><Relationship Id="rId44" Type="http://schemas.openxmlformats.org/officeDocument/2006/relationships/hyperlink" Target="https://journals.sagepub.com/doi/10.1177/1087054718821729" TargetMode="External"/><Relationship Id="rId52" Type="http://schemas.openxmlformats.org/officeDocument/2006/relationships/hyperlink" Target="https://journals.sagepub.com/doi/10.1177/1087054718821729" TargetMode="External"/><Relationship Id="rId60" Type="http://schemas.openxmlformats.org/officeDocument/2006/relationships/hyperlink" Target="https://journals.sagepub.com/doi/10.1177/1087054718821729" TargetMode="External"/><Relationship Id="rId65" Type="http://schemas.openxmlformats.org/officeDocument/2006/relationships/hyperlink" Target="https://journals.sagepub.com/doi/10.1177/1087054718821729" TargetMode="External"/><Relationship Id="rId73" Type="http://schemas.openxmlformats.org/officeDocument/2006/relationships/hyperlink" Target="https://journals.sagepub.com/doi/10.1177/1087054718821729" TargetMode="External"/><Relationship Id="rId78" Type="http://schemas.openxmlformats.org/officeDocument/2006/relationships/hyperlink" Target="https://journals.sagepub.com/doi/10.1177/1087054718821729" TargetMode="External"/><Relationship Id="rId81" Type="http://schemas.openxmlformats.org/officeDocument/2006/relationships/hyperlink" Target="https://journals.sagepub.com/doi/10.1177/1087054718821729" TargetMode="External"/><Relationship Id="rId86" Type="http://schemas.openxmlformats.org/officeDocument/2006/relationships/hyperlink" Target="https://journals.sagepub.com/doi/10.1177/1087054718821729" TargetMode="External"/><Relationship Id="rId94" Type="http://schemas.openxmlformats.org/officeDocument/2006/relationships/hyperlink" Target="https://journals.sagepub.com/doi/10.1177/1087054718821729" TargetMode="External"/><Relationship Id="rId99" Type="http://schemas.openxmlformats.org/officeDocument/2006/relationships/hyperlink" Target="https://journals.sagepub.com/doi/10.1177/1087054718821729" TargetMode="External"/><Relationship Id="rId101" Type="http://schemas.openxmlformats.org/officeDocument/2006/relationships/hyperlink" Target="https://journals.sagepub.com/doi/10.1177/1087054718821729" TargetMode="External"/><Relationship Id="rId4" Type="http://schemas.openxmlformats.org/officeDocument/2006/relationships/styles" Target="styles.xml"/><Relationship Id="rId9" Type="http://schemas.openxmlformats.org/officeDocument/2006/relationships/hyperlink" Target="https://journals.sagepub.com/doi/10.1177/1087054718821729" TargetMode="External"/><Relationship Id="rId13" Type="http://schemas.openxmlformats.org/officeDocument/2006/relationships/hyperlink" Target="https://journals.sagepub.com/doi/10.1177/1087054718821729" TargetMode="External"/><Relationship Id="rId18" Type="http://schemas.openxmlformats.org/officeDocument/2006/relationships/hyperlink" Target="https://journals.sagepub.com/doi/10.1177/1087054718821729" TargetMode="External"/><Relationship Id="rId39" Type="http://schemas.openxmlformats.org/officeDocument/2006/relationships/hyperlink" Target="https://journals.sagepub.com/doi/10.1177/1087054718821729" TargetMode="External"/><Relationship Id="rId109" Type="http://schemas.openxmlformats.org/officeDocument/2006/relationships/hyperlink" Target="https://journals.sagepub.com/doi/10.1177/1087054718821729" TargetMode="External"/><Relationship Id="rId34" Type="http://schemas.openxmlformats.org/officeDocument/2006/relationships/hyperlink" Target="https://journals.sagepub.com/doi/10.1177/1087054718821729" TargetMode="External"/><Relationship Id="rId50" Type="http://schemas.openxmlformats.org/officeDocument/2006/relationships/hyperlink" Target="https://journals.sagepub.com/doi/10.1177/1087054718821729" TargetMode="External"/><Relationship Id="rId55" Type="http://schemas.openxmlformats.org/officeDocument/2006/relationships/hyperlink" Target="https://journals.sagepub.com/doi/10.1177/1087054718821729" TargetMode="External"/><Relationship Id="rId76" Type="http://schemas.openxmlformats.org/officeDocument/2006/relationships/hyperlink" Target="https://journals.sagepub.com/doi/10.1177/1087054718821729" TargetMode="External"/><Relationship Id="rId97" Type="http://schemas.openxmlformats.org/officeDocument/2006/relationships/hyperlink" Target="https://journals.sagepub.com/doi/10.1177/1087054718821729" TargetMode="External"/><Relationship Id="rId104" Type="http://schemas.openxmlformats.org/officeDocument/2006/relationships/hyperlink" Target="https://journals.sagepub.com/doi/10.1177/1087054718821729" TargetMode="External"/><Relationship Id="rId7" Type="http://schemas.openxmlformats.org/officeDocument/2006/relationships/hyperlink" Target="10.1177/1087054718821729" TargetMode="External"/><Relationship Id="rId71" Type="http://schemas.openxmlformats.org/officeDocument/2006/relationships/hyperlink" Target="https://journals.sagepub.com/doi/10.1177/1087054718821729" TargetMode="External"/><Relationship Id="rId92" Type="http://schemas.openxmlformats.org/officeDocument/2006/relationships/hyperlink" Target="https://journals.sagepub.com/doi/10.1177/1087054718821729" TargetMode="External"/><Relationship Id="rId2" Type="http://schemas.openxmlformats.org/officeDocument/2006/relationships/customXml" Target="../customXml/item2.xml"/><Relationship Id="rId29" Type="http://schemas.openxmlformats.org/officeDocument/2006/relationships/hyperlink" Target="https://journals.sagepub.com/doi/10.1177/1087054718821729" TargetMode="External"/><Relationship Id="rId24" Type="http://schemas.openxmlformats.org/officeDocument/2006/relationships/hyperlink" Target="https://journals.sagepub.com/doi/10.1177/1087054718821729" TargetMode="External"/><Relationship Id="rId40" Type="http://schemas.openxmlformats.org/officeDocument/2006/relationships/hyperlink" Target="https://journals.sagepub.com/doi/10.1177/1087054718821729" TargetMode="External"/><Relationship Id="rId45" Type="http://schemas.openxmlformats.org/officeDocument/2006/relationships/hyperlink" Target="https://journals.sagepub.com/doi/10.1177/1087054718821729" TargetMode="External"/><Relationship Id="rId66" Type="http://schemas.openxmlformats.org/officeDocument/2006/relationships/hyperlink" Target="https://journals.sagepub.com/doi/10.1177/1087054718821729" TargetMode="External"/><Relationship Id="rId87" Type="http://schemas.openxmlformats.org/officeDocument/2006/relationships/hyperlink" Target="https://journals.sagepub.com/doi/10.1177/1087054718821729" TargetMode="External"/><Relationship Id="rId110" Type="http://schemas.openxmlformats.org/officeDocument/2006/relationships/hyperlink" Target="https://journals.sagepub.com/doi/10.1177/1087054718821729" TargetMode="External"/><Relationship Id="rId115" Type="http://schemas.openxmlformats.org/officeDocument/2006/relationships/hyperlink" Target="https://www.cdc.gov/ncbddd/" TargetMode="External"/><Relationship Id="rId61" Type="http://schemas.openxmlformats.org/officeDocument/2006/relationships/hyperlink" Target="https://journals.sagepub.com/doi/10.1177/1087054718821729" TargetMode="External"/><Relationship Id="rId82" Type="http://schemas.openxmlformats.org/officeDocument/2006/relationships/hyperlink" Target="https://journals.sagepub.com/doi/10.1177/1087054718821729" TargetMode="External"/><Relationship Id="rId19" Type="http://schemas.openxmlformats.org/officeDocument/2006/relationships/hyperlink" Target="https://journals.sagepub.com/doi/10.1177/1087054718821729" TargetMode="External"/><Relationship Id="rId14" Type="http://schemas.openxmlformats.org/officeDocument/2006/relationships/hyperlink" Target="https://journals.sagepub.com/doi/10.1177/1087054718821729" TargetMode="External"/><Relationship Id="rId30" Type="http://schemas.openxmlformats.org/officeDocument/2006/relationships/hyperlink" Target="https://journals.sagepub.com/doi/10.1177/1087054718821729" TargetMode="External"/><Relationship Id="rId35" Type="http://schemas.openxmlformats.org/officeDocument/2006/relationships/hyperlink" Target="https://journals.sagepub.com/doi/10.1177/1087054718821729" TargetMode="External"/><Relationship Id="rId56" Type="http://schemas.openxmlformats.org/officeDocument/2006/relationships/hyperlink" Target="https://journals.sagepub.com/doi/10.1177/1087054718821729" TargetMode="External"/><Relationship Id="rId77" Type="http://schemas.openxmlformats.org/officeDocument/2006/relationships/hyperlink" Target="https://journals.sagepub.com/doi/10.1177/1087054718821729" TargetMode="External"/><Relationship Id="rId100" Type="http://schemas.openxmlformats.org/officeDocument/2006/relationships/hyperlink" Target="https://journals.sagepub.com/doi/10.1177/1087054718821729" TargetMode="External"/><Relationship Id="rId105" Type="http://schemas.openxmlformats.org/officeDocument/2006/relationships/hyperlink" Target="https://journals.sagepub.com/doi/10.1177/1087054718821729" TargetMode="External"/><Relationship Id="rId8" Type="http://schemas.openxmlformats.org/officeDocument/2006/relationships/hyperlink" Target="http://epublications.marquette.edu/" TargetMode="External"/><Relationship Id="rId51" Type="http://schemas.openxmlformats.org/officeDocument/2006/relationships/hyperlink" Target="https://journals.sagepub.com/doi/10.1177/1087054718821729" TargetMode="External"/><Relationship Id="rId72" Type="http://schemas.openxmlformats.org/officeDocument/2006/relationships/hyperlink" Target="https://journals.sagepub.com/doi/10.1177/1087054718821729" TargetMode="External"/><Relationship Id="rId93" Type="http://schemas.openxmlformats.org/officeDocument/2006/relationships/image" Target="media/image3.gif"/><Relationship Id="rId98" Type="http://schemas.openxmlformats.org/officeDocument/2006/relationships/hyperlink" Target="https://journals.sagepub.com/doi/10.1177/1087054718821729" TargetMode="External"/><Relationship Id="rId3" Type="http://schemas.openxmlformats.org/officeDocument/2006/relationships/customXml" Target="../customXml/item3.xml"/><Relationship Id="rId25" Type="http://schemas.openxmlformats.org/officeDocument/2006/relationships/hyperlink" Target="https://journals.sagepub.com/doi/10.1177/1087054718821729" TargetMode="External"/><Relationship Id="rId46" Type="http://schemas.openxmlformats.org/officeDocument/2006/relationships/hyperlink" Target="https://journals.sagepub.com/doi/10.1177/1087054718821729" TargetMode="External"/><Relationship Id="rId67" Type="http://schemas.openxmlformats.org/officeDocument/2006/relationships/hyperlink" Target="https://journals.sagepub.com/doi/10.1177/1087054718821729" TargetMode="External"/><Relationship Id="rId116" Type="http://schemas.openxmlformats.org/officeDocument/2006/relationships/hyperlink" Target="https://www.census.gov/library/publications/2015/demo/" TargetMode="External"/><Relationship Id="rId20" Type="http://schemas.openxmlformats.org/officeDocument/2006/relationships/hyperlink" Target="https://journals.sagepub.com/doi/10.1177/1087054718821729" TargetMode="External"/><Relationship Id="rId41" Type="http://schemas.openxmlformats.org/officeDocument/2006/relationships/hyperlink" Target="https://journals.sagepub.com/doi/10.1177/1087054718821729" TargetMode="External"/><Relationship Id="rId62" Type="http://schemas.openxmlformats.org/officeDocument/2006/relationships/hyperlink" Target="https://journals.sagepub.com/doi/10.1177/1087054718821729" TargetMode="External"/><Relationship Id="rId83" Type="http://schemas.openxmlformats.org/officeDocument/2006/relationships/hyperlink" Target="https://journals.sagepub.com/doi/10.1177/1087054718821729" TargetMode="External"/><Relationship Id="rId88" Type="http://schemas.openxmlformats.org/officeDocument/2006/relationships/hyperlink" Target="https://journals.sagepub.com/doi/10.1177/1087054718821729" TargetMode="External"/><Relationship Id="rId111" Type="http://schemas.openxmlformats.org/officeDocument/2006/relationships/hyperlink" Target="https://journals.sagepub.com/doi/10.1177/1087054718821729" TargetMode="External"/><Relationship Id="rId15" Type="http://schemas.openxmlformats.org/officeDocument/2006/relationships/hyperlink" Target="https://journals.sagepub.com/doi/10.1177/1087054718821729" TargetMode="External"/><Relationship Id="rId36" Type="http://schemas.openxmlformats.org/officeDocument/2006/relationships/hyperlink" Target="https://journals.sagepub.com/doi/10.1177/1087054718821729" TargetMode="External"/><Relationship Id="rId57" Type="http://schemas.openxmlformats.org/officeDocument/2006/relationships/hyperlink" Target="https://journals.sagepub.com/doi/10.1177/1087054718821729" TargetMode="External"/><Relationship Id="rId106" Type="http://schemas.openxmlformats.org/officeDocument/2006/relationships/hyperlink" Target="https://journals.sagepub.com/doi/10.1177/108705471882172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9BD0B8172F0E2469E94A200EC16DB09" ma:contentTypeVersion="12" ma:contentTypeDescription="Create a new document." ma:contentTypeScope="" ma:versionID="d8ca4a14136725a3d51af0c93e6a1d9f">
  <xsd:schema xmlns:xsd="http://www.w3.org/2001/XMLSchema" xmlns:xs="http://www.w3.org/2001/XMLSchema" xmlns:p="http://schemas.microsoft.com/office/2006/metadata/properties" xmlns:ns2="455b151d-75b8-4438-a72d-e06b314124a1" xmlns:ns3="1dc5a16d-a9e1-4107-81af-b56e13c8526c" targetNamespace="http://schemas.microsoft.com/office/2006/metadata/properties" ma:root="true" ma:fieldsID="8bbf66a36d55c819fbaf9504a7230a69" ns2:_="" ns3:_="">
    <xsd:import namespace="455b151d-75b8-4438-a72d-e06b314124a1"/>
    <xsd:import namespace="1dc5a16d-a9e1-4107-81af-b56e13c8526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5b151d-75b8-4438-a72d-e06b314124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dc5a16d-a9e1-4107-81af-b56e13c8526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B2E1449-7AEF-46C0-A37D-6478837F5B9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5b151d-75b8-4438-a72d-e06b314124a1"/>
    <ds:schemaRef ds:uri="1dc5a16d-a9e1-4107-81af-b56e13c852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9C5AB5C-245D-4E9F-80B4-4200C7BA4039}">
  <ds:schemaRefs>
    <ds:schemaRef ds:uri="http://schemas.microsoft.com/sharepoint/v3/contenttype/forms"/>
  </ds:schemaRefs>
</ds:datastoreItem>
</file>

<file path=customXml/itemProps3.xml><?xml version="1.0" encoding="utf-8"?>
<ds:datastoreItem xmlns:ds="http://schemas.openxmlformats.org/officeDocument/2006/customXml" ds:itemID="{C8F6867D-58E6-4F1A-879B-5562638D996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21</Pages>
  <Words>11608</Words>
  <Characters>66752</Characters>
  <Application>Microsoft Office Word</Application>
  <DocSecurity>8</DocSecurity>
  <Lines>1756</Lines>
  <Paragraphs>967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77393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Clapham, Danielle</cp:lastModifiedBy>
  <cp:revision>66</cp:revision>
  <dcterms:created xsi:type="dcterms:W3CDTF">2019-07-18T16:28:00Z</dcterms:created>
  <dcterms:modified xsi:type="dcterms:W3CDTF">2019-08-02T20:18:00Z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0x010100B9BD0B8172F0E2469E94A200EC16DB09</vt:lpwstr>
  </property>
</Properties>
</file>