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59BCAA8A" w:rsidR="000A7622" w:rsidRPr="00C04F25" w:rsidRDefault="00B47B64" w:rsidP="00D14423">
      <w:pPr>
        <w:autoSpaceDE w:val="0"/>
        <w:autoSpaceDN w:val="0"/>
        <w:adjustRightInd w:val="0"/>
        <w:rPr>
          <w:rFonts w:cstheme="minorHAnsi"/>
          <w:b/>
          <w:bCs/>
          <w:i/>
          <w:iCs/>
          <w:sz w:val="32"/>
          <w:szCs w:val="32"/>
        </w:rPr>
      </w:pPr>
      <w:proofErr w:type="spellStart"/>
      <w:r>
        <w:rPr>
          <w:rFonts w:cstheme="minorHAnsi"/>
          <w:b/>
          <w:bCs/>
          <w:i/>
          <w:iCs/>
          <w:sz w:val="32"/>
          <w:szCs w:val="32"/>
        </w:rPr>
        <w:t>Pscyhology</w:t>
      </w:r>
      <w:proofErr w:type="spellEnd"/>
      <w:r>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58C333D" w:rsidR="000A7622" w:rsidRDefault="008339A1" w:rsidP="00D14423">
      <w:pPr>
        <w:rPr>
          <w:rFonts w:cstheme="minorHAnsi"/>
          <w:sz w:val="24"/>
          <w:szCs w:val="24"/>
        </w:rPr>
      </w:pPr>
      <w:r>
        <w:rPr>
          <w:rFonts w:cstheme="minorHAnsi"/>
          <w:i/>
          <w:sz w:val="24"/>
          <w:szCs w:val="24"/>
          <w:lang w:val="fr-FR"/>
        </w:rPr>
        <w:t xml:space="preserve">Child &amp; Family </w:t>
      </w:r>
      <w:proofErr w:type="spellStart"/>
      <w:r>
        <w:rPr>
          <w:rFonts w:cstheme="minorHAnsi"/>
          <w:i/>
          <w:sz w:val="24"/>
          <w:szCs w:val="24"/>
          <w:lang w:val="fr-FR"/>
        </w:rPr>
        <w:t>Behavior</w:t>
      </w:r>
      <w:proofErr w:type="spellEnd"/>
      <w:r>
        <w:rPr>
          <w:rFonts w:cstheme="minorHAnsi"/>
          <w:i/>
          <w:sz w:val="24"/>
          <w:szCs w:val="24"/>
          <w:lang w:val="fr-FR"/>
        </w:rPr>
        <w:t xml:space="preserve"> </w:t>
      </w:r>
      <w:proofErr w:type="spellStart"/>
      <w:r>
        <w:rPr>
          <w:rFonts w:cstheme="minorHAnsi"/>
          <w:i/>
          <w:sz w:val="24"/>
          <w:szCs w:val="24"/>
          <w:lang w:val="fr-FR"/>
        </w:rPr>
        <w:t>Therapy</w:t>
      </w:r>
      <w:proofErr w:type="spellEnd"/>
      <w:r w:rsidR="000A7622" w:rsidRPr="00C04F25">
        <w:rPr>
          <w:rFonts w:cstheme="minorHAnsi"/>
          <w:sz w:val="24"/>
          <w:szCs w:val="24"/>
          <w:lang w:val="fr-FR"/>
        </w:rPr>
        <w:t xml:space="preserve">, Vol. </w:t>
      </w:r>
      <w:r>
        <w:rPr>
          <w:rFonts w:cstheme="minorHAnsi"/>
          <w:sz w:val="24"/>
          <w:szCs w:val="24"/>
          <w:lang w:val="fr-FR"/>
        </w:rPr>
        <w:t>41</w:t>
      </w:r>
      <w:r w:rsidR="000A7622" w:rsidRPr="00C04F25">
        <w:rPr>
          <w:rFonts w:cstheme="minorHAnsi"/>
          <w:sz w:val="24"/>
          <w:szCs w:val="24"/>
          <w:lang w:val="fr-FR"/>
        </w:rPr>
        <w:t xml:space="preserve">, No. </w:t>
      </w:r>
      <w:r w:rsidR="00C613D2">
        <w:rPr>
          <w:rFonts w:cstheme="minorHAnsi"/>
          <w:sz w:val="24"/>
          <w:szCs w:val="24"/>
          <w:lang w:val="fr-FR"/>
        </w:rPr>
        <w:t>2</w:t>
      </w:r>
      <w:r w:rsidR="000A7622" w:rsidRPr="00C04F25">
        <w:rPr>
          <w:rFonts w:cstheme="minorHAnsi"/>
          <w:sz w:val="24"/>
          <w:szCs w:val="24"/>
          <w:lang w:val="fr-FR"/>
        </w:rPr>
        <w:t xml:space="preserve"> (</w:t>
      </w:r>
      <w:r w:rsidR="00C613D2">
        <w:rPr>
          <w:rFonts w:cstheme="minorHAnsi"/>
          <w:sz w:val="24"/>
          <w:szCs w:val="24"/>
          <w:lang w:val="fr-FR"/>
        </w:rPr>
        <w:t>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C613D2">
        <w:rPr>
          <w:rFonts w:cstheme="minorHAnsi"/>
          <w:sz w:val="24"/>
          <w:szCs w:val="24"/>
          <w:lang w:val="fr-FR"/>
        </w:rPr>
        <w:t>84-109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05301">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005301">
        <w:rPr>
          <w:rFonts w:cstheme="minorHAnsi"/>
          <w:sz w:val="24"/>
          <w:szCs w:val="24"/>
        </w:rPr>
        <w:t xml:space="preserve">Taylor &amp; Francis (Routledge) </w:t>
      </w:r>
      <w:r w:rsidR="000A7622" w:rsidRPr="00C04F25">
        <w:rPr>
          <w:rFonts w:cstheme="minorHAnsi"/>
          <w:sz w:val="24"/>
          <w:szCs w:val="24"/>
        </w:rPr>
        <w:t xml:space="preserve">does not grant permission for this article to be further copied/distributed or hosted elsewhere without the express permission from </w:t>
      </w:r>
      <w:r w:rsidR="00005301">
        <w:rPr>
          <w:rFonts w:cstheme="minorHAnsi"/>
          <w:sz w:val="24"/>
          <w:szCs w:val="24"/>
        </w:rPr>
        <w:t>Taylor &amp; Francis (Routledge).</w:t>
      </w:r>
    </w:p>
    <w:p w14:paraId="6E965711" w14:textId="27DC9865" w:rsidR="00B47B64" w:rsidRDefault="00B47B64" w:rsidP="00B47B64">
      <w:pPr>
        <w:pStyle w:val="NoSpacing"/>
      </w:pPr>
    </w:p>
    <w:p w14:paraId="7154533F" w14:textId="77777777" w:rsidR="00B47B64" w:rsidRPr="00C04F25" w:rsidRDefault="00B47B64" w:rsidP="00B47B64">
      <w:pPr>
        <w:pStyle w:val="NoSpacing"/>
      </w:pPr>
    </w:p>
    <w:bookmarkEnd w:id="1"/>
    <w:p w14:paraId="04471E3F" w14:textId="77777777" w:rsidR="00B47B64" w:rsidRDefault="00B47B64" w:rsidP="00B47B64">
      <w:pPr>
        <w:pStyle w:val="Title"/>
      </w:pPr>
      <w:r>
        <w:rPr>
          <w:rStyle w:val="nlmarticle-title"/>
        </w:rPr>
        <w:t>Examining Latino Family Participation in Treatment for Childhood ADHD: The Role of Parental Cultural Factors and Perceptions</w:t>
      </w:r>
    </w:p>
    <w:p w14:paraId="5AA5361D" w14:textId="3F260123" w:rsidR="00B47B64" w:rsidRDefault="00B47B64" w:rsidP="00B47B64">
      <w:pPr>
        <w:pStyle w:val="NoSpacing"/>
      </w:pPr>
    </w:p>
    <w:p w14:paraId="5B26A8C9" w14:textId="2A5F9A36" w:rsidR="00417D2C" w:rsidRPr="00973EC9" w:rsidRDefault="00417D2C" w:rsidP="00973EC9">
      <w:pPr>
        <w:pStyle w:val="NoSpacing"/>
      </w:pPr>
      <w:r w:rsidRPr="00973EC9">
        <w:rPr>
          <w:sz w:val="28"/>
          <w:szCs w:val="28"/>
        </w:rPr>
        <w:t xml:space="preserve">Theresa L. </w:t>
      </w:r>
      <w:proofErr w:type="spellStart"/>
      <w:r w:rsidRPr="00973EC9">
        <w:rPr>
          <w:sz w:val="28"/>
          <w:szCs w:val="28"/>
        </w:rPr>
        <w:t>Kapke</w:t>
      </w:r>
      <w:proofErr w:type="spellEnd"/>
      <w:r w:rsidR="00BB554C" w:rsidRPr="00973EC9">
        <w:rPr>
          <w:sz w:val="28"/>
          <w:szCs w:val="28"/>
        </w:rPr>
        <w:t>,</w:t>
      </w:r>
      <w:r w:rsidR="00BB554C" w:rsidRPr="00973EC9">
        <w:t xml:space="preserve"> PhD</w:t>
      </w:r>
    </w:p>
    <w:p w14:paraId="0746BBAA" w14:textId="750F4512" w:rsidR="00417D2C" w:rsidRPr="00973EC9" w:rsidRDefault="00BB554C" w:rsidP="00973EC9">
      <w:pPr>
        <w:pStyle w:val="NoSpacing"/>
      </w:pPr>
      <w:r w:rsidRPr="00973EC9">
        <w:t>Department of Psychology, Marquette University, Milwaukee, USA;</w:t>
      </w:r>
    </w:p>
    <w:p w14:paraId="65D9A6E4" w14:textId="77777777" w:rsidR="00BB554C" w:rsidRPr="00973EC9" w:rsidRDefault="00BB554C" w:rsidP="00973EC9">
      <w:pPr>
        <w:pStyle w:val="NoSpacing"/>
      </w:pPr>
    </w:p>
    <w:p w14:paraId="2C232449" w14:textId="22312106" w:rsidR="00417D2C" w:rsidRPr="00973EC9" w:rsidRDefault="00417D2C" w:rsidP="00973EC9">
      <w:pPr>
        <w:pStyle w:val="NoSpacing"/>
      </w:pPr>
      <w:r w:rsidRPr="00973EC9">
        <w:rPr>
          <w:sz w:val="28"/>
          <w:szCs w:val="28"/>
        </w:rPr>
        <w:t>Margaret A. Grace</w:t>
      </w:r>
      <w:r w:rsidR="00BB554C" w:rsidRPr="00973EC9">
        <w:rPr>
          <w:sz w:val="28"/>
          <w:szCs w:val="28"/>
        </w:rPr>
        <w:t>,</w:t>
      </w:r>
      <w:r w:rsidR="00BB554C" w:rsidRPr="00973EC9">
        <w:t xml:space="preserve"> MS</w:t>
      </w:r>
    </w:p>
    <w:p w14:paraId="19369912" w14:textId="31256B82" w:rsidR="00417D2C" w:rsidRPr="00973EC9" w:rsidRDefault="00BB554C" w:rsidP="00973EC9">
      <w:pPr>
        <w:pStyle w:val="NoSpacing"/>
      </w:pPr>
      <w:r w:rsidRPr="00973EC9">
        <w:t>Department of Psychology, Marquette University, Milwaukee, USA;</w:t>
      </w:r>
    </w:p>
    <w:p w14:paraId="7C3502E3" w14:textId="77777777" w:rsidR="00BB554C" w:rsidRPr="00973EC9" w:rsidRDefault="00BB554C" w:rsidP="00973EC9">
      <w:pPr>
        <w:pStyle w:val="NoSpacing"/>
      </w:pPr>
    </w:p>
    <w:p w14:paraId="3D3B0C72" w14:textId="30E49414" w:rsidR="00417D2C" w:rsidRPr="00973EC9" w:rsidRDefault="00417D2C" w:rsidP="00973EC9">
      <w:pPr>
        <w:pStyle w:val="NoSpacing"/>
      </w:pPr>
      <w:r w:rsidRPr="00973EC9">
        <w:rPr>
          <w:sz w:val="28"/>
          <w:szCs w:val="28"/>
        </w:rPr>
        <w:t>Al Castro</w:t>
      </w:r>
      <w:r w:rsidR="0047041E" w:rsidRPr="00973EC9">
        <w:rPr>
          <w:sz w:val="28"/>
          <w:szCs w:val="28"/>
        </w:rPr>
        <w:t>,</w:t>
      </w:r>
      <w:r w:rsidR="0047041E" w:rsidRPr="00973EC9">
        <w:t xml:space="preserve"> MS</w:t>
      </w:r>
    </w:p>
    <w:p w14:paraId="7CFDFEB4" w14:textId="74F0AA79" w:rsidR="00417D2C" w:rsidRPr="00973EC9" w:rsidRDefault="00973EC9" w:rsidP="00973EC9">
      <w:pPr>
        <w:pStyle w:val="NoSpacing"/>
      </w:pPr>
      <w:r w:rsidRPr="00973EC9">
        <w:t xml:space="preserve">United Community Center/Centro de la </w:t>
      </w:r>
      <w:proofErr w:type="spellStart"/>
      <w:r w:rsidRPr="00973EC9">
        <w:t>Comunidad</w:t>
      </w:r>
      <w:proofErr w:type="spellEnd"/>
      <w:r w:rsidRPr="00973EC9">
        <w:t xml:space="preserve"> </w:t>
      </w:r>
      <w:proofErr w:type="spellStart"/>
      <w:r w:rsidRPr="00973EC9">
        <w:t>Unida</w:t>
      </w:r>
      <w:proofErr w:type="spellEnd"/>
      <w:r w:rsidRPr="00973EC9">
        <w:t>, Milwaukee, USA</w:t>
      </w:r>
    </w:p>
    <w:p w14:paraId="72D1E73D" w14:textId="77777777" w:rsidR="0047041E" w:rsidRPr="00973EC9" w:rsidRDefault="0047041E" w:rsidP="00973EC9">
      <w:pPr>
        <w:pStyle w:val="NoSpacing"/>
      </w:pPr>
    </w:p>
    <w:p w14:paraId="03272D26" w14:textId="537D4E7F" w:rsidR="00417D2C" w:rsidRPr="00973EC9" w:rsidRDefault="00417D2C" w:rsidP="00973EC9">
      <w:pPr>
        <w:pStyle w:val="NoSpacing"/>
      </w:pPr>
      <w:r w:rsidRPr="00973EC9">
        <w:rPr>
          <w:sz w:val="28"/>
          <w:szCs w:val="28"/>
        </w:rPr>
        <w:t>Alyson C. Gerdes</w:t>
      </w:r>
      <w:r w:rsidR="0047041E" w:rsidRPr="00973EC9">
        <w:rPr>
          <w:sz w:val="28"/>
          <w:szCs w:val="28"/>
        </w:rPr>
        <w:t>,</w:t>
      </w:r>
      <w:r w:rsidR="0047041E" w:rsidRPr="00973EC9">
        <w:t xml:space="preserve"> PhD</w:t>
      </w:r>
    </w:p>
    <w:p w14:paraId="627167DA" w14:textId="77777777" w:rsidR="00973EC9" w:rsidRPr="00973EC9" w:rsidRDefault="00973EC9" w:rsidP="00973EC9">
      <w:pPr>
        <w:pStyle w:val="NoSpacing"/>
      </w:pPr>
      <w:r w:rsidRPr="00973EC9">
        <w:t xml:space="preserve">United Community Center/Centro de la </w:t>
      </w:r>
      <w:proofErr w:type="spellStart"/>
      <w:r w:rsidRPr="00973EC9">
        <w:t>Comunidad</w:t>
      </w:r>
      <w:proofErr w:type="spellEnd"/>
      <w:r w:rsidRPr="00973EC9">
        <w:t xml:space="preserve"> </w:t>
      </w:r>
      <w:proofErr w:type="spellStart"/>
      <w:r w:rsidRPr="00973EC9">
        <w:t>Unida</w:t>
      </w:r>
      <w:proofErr w:type="spellEnd"/>
      <w:r w:rsidRPr="00973EC9">
        <w:t>, Milwaukee, USA</w:t>
      </w:r>
    </w:p>
    <w:p w14:paraId="30066AC4" w14:textId="40899201" w:rsidR="00B47B64" w:rsidRDefault="00B47B64" w:rsidP="00417D2C">
      <w:pPr>
        <w:pStyle w:val="NoSpacing"/>
      </w:pPr>
    </w:p>
    <w:p w14:paraId="0D0FAE74" w14:textId="1BBE83F0" w:rsidR="00154445" w:rsidRPr="00154445" w:rsidRDefault="00154445" w:rsidP="00154445">
      <w:pPr>
        <w:pStyle w:val="Heading1"/>
      </w:pPr>
      <w:r>
        <w:t>Abstract</w:t>
      </w:r>
      <w:bookmarkStart w:id="2" w:name="_GoBack"/>
      <w:bookmarkEnd w:id="2"/>
    </w:p>
    <w:p w14:paraId="59C7BE51" w14:textId="533699AF" w:rsidR="00154445" w:rsidRDefault="00C62F5D" w:rsidP="00154445">
      <w:pPr>
        <w:pStyle w:val="NoSpacing"/>
      </w:pPr>
      <w:r>
        <w:t xml:space="preserve">Attention-deficit/hyperactivity disorder (ADHD) is a common mental health disorder in childhood. Unfortunately, Latino youth and their families are at increased risk of demonstrating poor treatment outcomes. The current study examined the impact of parental cultural factors and perceptions on Latino family </w:t>
      </w:r>
      <w:r>
        <w:lastRenderedPageBreak/>
        <w:t>participation in a psychosocial intervention for childhood ADHD. Sixty-one Latino youth and at least one of their primary parents and teachers participated in the current study. Results indicated that parental acculturation, attitudes regarding treatment, and baseline severity of child symptomatology and functional impairment were related to treatment participation outcomes. Implications and future directions are discussed.</w:t>
      </w:r>
    </w:p>
    <w:p w14:paraId="4948ACBD" w14:textId="77777777" w:rsidR="00154445" w:rsidRDefault="00C62F5D" w:rsidP="00154445">
      <w:pPr>
        <w:pStyle w:val="Heading1"/>
      </w:pPr>
      <w:r>
        <w:t>Keywords</w:t>
      </w:r>
    </w:p>
    <w:p w14:paraId="45383778" w14:textId="0B23ECD7" w:rsidR="00C62F5D" w:rsidRDefault="00C62F5D" w:rsidP="00154445">
      <w:pPr>
        <w:pStyle w:val="NoSpacing"/>
      </w:pPr>
      <w:r w:rsidRPr="00154445">
        <w:t>Acculturation</w:t>
      </w:r>
      <w:r>
        <w:rPr>
          <w:rStyle w:val="comma"/>
          <w:rFonts w:ascii="Arial" w:hAnsi="Arial" w:cs="Arial"/>
          <w:color w:val="333333"/>
          <w:sz w:val="20"/>
          <w:szCs w:val="20"/>
        </w:rPr>
        <w:t>, </w:t>
      </w:r>
      <w:r w:rsidRPr="00154445">
        <w:t>ADHD</w:t>
      </w:r>
      <w:r>
        <w:rPr>
          <w:rStyle w:val="comma"/>
          <w:rFonts w:ascii="Arial" w:hAnsi="Arial" w:cs="Arial"/>
          <w:color w:val="333333"/>
          <w:sz w:val="20"/>
          <w:szCs w:val="20"/>
        </w:rPr>
        <w:t>, </w:t>
      </w:r>
      <w:r w:rsidRPr="00154445">
        <w:t>child psychology</w:t>
      </w:r>
      <w:r>
        <w:rPr>
          <w:rStyle w:val="comma"/>
          <w:rFonts w:ascii="Arial" w:hAnsi="Arial" w:cs="Arial"/>
          <w:color w:val="333333"/>
          <w:sz w:val="20"/>
          <w:szCs w:val="20"/>
        </w:rPr>
        <w:t>, </w:t>
      </w:r>
      <w:r w:rsidRPr="00154445">
        <w:t>Latino/a</w:t>
      </w:r>
      <w:r>
        <w:rPr>
          <w:rStyle w:val="comma"/>
          <w:rFonts w:ascii="Arial" w:hAnsi="Arial" w:cs="Arial"/>
          <w:color w:val="333333"/>
          <w:sz w:val="20"/>
          <w:szCs w:val="20"/>
        </w:rPr>
        <w:t>, </w:t>
      </w:r>
      <w:r w:rsidRPr="00154445">
        <w:t>stigma</w:t>
      </w:r>
    </w:p>
    <w:p w14:paraId="7C41B357" w14:textId="40FF3E65" w:rsidR="004B1A2E" w:rsidRDefault="00003068" w:rsidP="004B1A2E">
      <w:pPr>
        <w:pStyle w:val="Heading1"/>
      </w:pPr>
      <w:r>
        <w:t>Introduction</w:t>
      </w:r>
    </w:p>
    <w:p w14:paraId="2F3B509E" w14:textId="50571643" w:rsidR="008A7A45" w:rsidRDefault="008A7A45" w:rsidP="00D64ABB">
      <w:pPr>
        <w:pStyle w:val="NoSpacing"/>
      </w:pPr>
      <w:r w:rsidRPr="008A7A45">
        <w:t xml:space="preserve">Attention-deficit/hyperactivity disorder (ADHD) is one of the most com-mon mental health disorders in childhood, affecting approximately 5% of children in the United States (American Psychiatric Association [APA], 2013). ADHD is thought to consist of developmentally inappropriate levels of inattention, hyperactivity, and/or impulsivity, frequently leading to significant functional impairment across various settings and other psycho-social difficulties (APA, 2013). Although efficacious treatments for childhood ADHD have been identified, including pharmacological and psychosocial treatments (i.e., parent management training [PMT] and class-room behavior management interventions; </w:t>
      </w:r>
      <w:proofErr w:type="spellStart"/>
      <w:r w:rsidRPr="008A7A45">
        <w:t>Corkum</w:t>
      </w:r>
      <w:proofErr w:type="spellEnd"/>
      <w:r w:rsidRPr="008A7A45">
        <w:t xml:space="preserve">, </w:t>
      </w:r>
      <w:proofErr w:type="spellStart"/>
      <w:r w:rsidRPr="008A7A45">
        <w:t>Bessey</w:t>
      </w:r>
      <w:proofErr w:type="spellEnd"/>
      <w:r w:rsidRPr="008A7A45">
        <w:t xml:space="preserve">, McGonnell, &amp; </w:t>
      </w:r>
      <w:proofErr w:type="spellStart"/>
      <w:r w:rsidRPr="008A7A45">
        <w:t>Dorbeck</w:t>
      </w:r>
      <w:proofErr w:type="spellEnd"/>
      <w:r w:rsidRPr="008A7A45">
        <w:t>, 2015; Pelham &amp; Fabiano, 2008), available research suggests that the majority of children and families who require mental health services do not receive them (Kataoka, Zhang, &amp; Wells, 2002).</w:t>
      </w:r>
    </w:p>
    <w:p w14:paraId="09129CED" w14:textId="77777777" w:rsidR="008A7A45" w:rsidRPr="008A7A45" w:rsidRDefault="008A7A45" w:rsidP="00D64ABB">
      <w:pPr>
        <w:pStyle w:val="NoSpacing"/>
      </w:pPr>
    </w:p>
    <w:p w14:paraId="5D45BF32" w14:textId="65F5D316" w:rsidR="00D64ABB" w:rsidRDefault="008A7A45" w:rsidP="00D64ABB">
      <w:pPr>
        <w:pStyle w:val="NoSpacing"/>
      </w:pPr>
      <w:r w:rsidRPr="008A7A45">
        <w:t xml:space="preserve">Despite comparable </w:t>
      </w:r>
      <w:proofErr w:type="spellStart"/>
      <w:r w:rsidRPr="008A7A45">
        <w:t>prevalance</w:t>
      </w:r>
      <w:proofErr w:type="spellEnd"/>
      <w:r w:rsidRPr="008A7A45">
        <w:t xml:space="preserve"> rates of ADHD (Bird et al., 2008), ethnic minority populations, including Latino youth and their families, are less</w:t>
      </w:r>
      <w:r w:rsidR="00D64ABB" w:rsidRPr="00D64ABB">
        <w:t xml:space="preserve"> likely than European American youth to receive diagnoses and ADHD treatment (</w:t>
      </w:r>
      <w:proofErr w:type="spellStart"/>
      <w:r w:rsidR="00D64ABB" w:rsidRPr="00D64ABB">
        <w:t>Eiraldi</w:t>
      </w:r>
      <w:proofErr w:type="spellEnd"/>
      <w:r w:rsidR="00D64ABB" w:rsidRPr="00D64ABB">
        <w:t xml:space="preserve"> &amp; Diaz, 2010; Morgan, </w:t>
      </w:r>
      <w:proofErr w:type="spellStart"/>
      <w:r w:rsidR="00D64ABB" w:rsidRPr="00D64ABB">
        <w:t>Hillemeier</w:t>
      </w:r>
      <w:proofErr w:type="spellEnd"/>
      <w:r w:rsidR="00D64ABB" w:rsidRPr="00D64ABB">
        <w:t xml:space="preserve">, Farkas, &amp; </w:t>
      </w:r>
      <w:proofErr w:type="spellStart"/>
      <w:r w:rsidR="00D64ABB" w:rsidRPr="00D64ABB">
        <w:t>Maczuga</w:t>
      </w:r>
      <w:proofErr w:type="spellEnd"/>
      <w:r w:rsidR="00D64ABB" w:rsidRPr="00D64ABB">
        <w:t xml:space="preserve">, 2014). Various practical and sociocultural factors are thought to contribute to the underdiagnosis of ADHD in Latino youth. Some of the barriers that have been linked to decreased likelihood of mental health care utilization for Latino youth, ultimately leading to fewer opportunities for diagnosis and treatment, include access and availability of culturally sensitive and linguistically appropriate mental health care services; lack of transportation, childcare, insurance, and experience with the mental health care system in the United States; scheduling difficulties; cost; and potential concerns regarding the impact of mental health care utilization on immigration status (see Gerdes, Lawton, Haack, &amp; Hurtado, 2013; </w:t>
      </w:r>
      <w:proofErr w:type="spellStart"/>
      <w:r w:rsidR="00D64ABB" w:rsidRPr="00D64ABB">
        <w:t>Kapke</w:t>
      </w:r>
      <w:proofErr w:type="spellEnd"/>
      <w:r w:rsidR="00D64ABB" w:rsidRPr="00D64ABB">
        <w:t xml:space="preserve"> &amp; Gerdes, 2015 for a review). In addition, research suggests that an overreliance on parents’ reports of symptomatology, which may be subject to cultural biases and differences in etiological beliefs; concerns regarding seeking help outside the family unit; poorer </w:t>
      </w:r>
      <w:r w:rsidR="00380044" w:rsidRPr="00D64ABB">
        <w:t>quality</w:t>
      </w:r>
      <w:r w:rsidR="00D64ABB" w:rsidRPr="00D64ABB">
        <w:t xml:space="preserve"> of care, communication, and collaboration with health care providers; and providers’ biases against diagnosing children from racial/ethnic minority backgrounds with conditions requiring treatment (see Gerdes et al., 2013; </w:t>
      </w:r>
      <w:proofErr w:type="spellStart"/>
      <w:r w:rsidR="00D64ABB" w:rsidRPr="00D64ABB">
        <w:t>Kapke</w:t>
      </w:r>
      <w:proofErr w:type="spellEnd"/>
      <w:r w:rsidR="00D64ABB" w:rsidRPr="00D64ABB">
        <w:t xml:space="preserve"> &amp; Gerdes, 2015; Morgan et al., 2014; </w:t>
      </w:r>
      <w:proofErr w:type="spellStart"/>
      <w:r w:rsidR="00D64ABB" w:rsidRPr="00D64ABB">
        <w:t>Paidpati</w:t>
      </w:r>
      <w:proofErr w:type="spellEnd"/>
      <w:r w:rsidR="00D64ABB" w:rsidRPr="00D64ABB">
        <w:t xml:space="preserve">, Brawner, </w:t>
      </w:r>
      <w:proofErr w:type="spellStart"/>
      <w:r w:rsidR="00D64ABB" w:rsidRPr="00D64ABB">
        <w:t>Eiraldi</w:t>
      </w:r>
      <w:proofErr w:type="spellEnd"/>
      <w:r w:rsidR="00D64ABB" w:rsidRPr="00D64ABB">
        <w:t xml:space="preserve">, &amp; </w:t>
      </w:r>
      <w:proofErr w:type="spellStart"/>
      <w:r w:rsidR="00D64ABB" w:rsidRPr="00D64ABB">
        <w:t>Deatrick</w:t>
      </w:r>
      <w:proofErr w:type="spellEnd"/>
      <w:r w:rsidR="00D64ABB" w:rsidRPr="00D64ABB">
        <w:t>, 2017 for a review) also likely contribute to existing disparities.</w:t>
      </w:r>
    </w:p>
    <w:p w14:paraId="6D3A7133" w14:textId="77777777" w:rsidR="00D64ABB" w:rsidRPr="00D64ABB" w:rsidRDefault="00D64ABB" w:rsidP="00D64ABB">
      <w:pPr>
        <w:pStyle w:val="NoSpacing"/>
      </w:pPr>
    </w:p>
    <w:p w14:paraId="7CF2B5A4" w14:textId="590FB697" w:rsidR="00641103" w:rsidRDefault="00D64ABB" w:rsidP="00D64ABB">
      <w:pPr>
        <w:pStyle w:val="NoSpacing"/>
      </w:pPr>
      <w:r w:rsidRPr="00D64ABB">
        <w:t>These findings are alarming, especially since the Latino population is the largest and most rapidly growing ethnic minority group in the United States (Pew Hispanic Center, 2011). Although research suggests that Latino families may be more receptive to psychosocial treatments as opposed to medication, these services are underutilized as well (</w:t>
      </w:r>
      <w:proofErr w:type="spellStart"/>
      <w:r w:rsidRPr="00D64ABB">
        <w:t>Arcia</w:t>
      </w:r>
      <w:proofErr w:type="spellEnd"/>
      <w:r w:rsidRPr="00D64ABB">
        <w:t xml:space="preserve">, Fernandez, &amp; Jaquez, 2004; </w:t>
      </w:r>
      <w:proofErr w:type="spellStart"/>
      <w:r w:rsidRPr="00D64ABB">
        <w:t>Bauermeister</w:t>
      </w:r>
      <w:proofErr w:type="spellEnd"/>
      <w:r w:rsidRPr="00D64ABB">
        <w:t xml:space="preserve"> et al., 2003; </w:t>
      </w:r>
      <w:proofErr w:type="spellStart"/>
      <w:r w:rsidRPr="00D64ABB">
        <w:t>Eiraldi</w:t>
      </w:r>
      <w:proofErr w:type="spellEnd"/>
      <w:r w:rsidRPr="00D64ABB">
        <w:t xml:space="preserve"> &amp; Diaz, 2010). Despite the well-documented low rates of ADHD service use, it is important to note that Latino youth and their families should not be viewed as resistant to or unable to benefit from treatment. Rather, attention should be paid to the factors that influence accessibility and quality of services, including specific barriers to treatment and the need for culturally responsive interventions (</w:t>
      </w:r>
      <w:proofErr w:type="spellStart"/>
      <w:r w:rsidRPr="00D64ABB">
        <w:t>Eiraldi</w:t>
      </w:r>
      <w:proofErr w:type="spellEnd"/>
      <w:r w:rsidRPr="00D64ABB">
        <w:t xml:space="preserve"> &amp; Diaz, 2010; (Miranda et al., 2002).</w:t>
      </w:r>
    </w:p>
    <w:p w14:paraId="44F318AE" w14:textId="6ED87EF9" w:rsidR="00641103" w:rsidRDefault="00641103" w:rsidP="00641103">
      <w:pPr>
        <w:pStyle w:val="Heading1"/>
      </w:pPr>
      <w:r w:rsidRPr="00641103">
        <w:t>Overview of Latino Family Participation in Child Mental Health Services</w:t>
      </w:r>
    </w:p>
    <w:p w14:paraId="028C11B8" w14:textId="37FDE5B4" w:rsidR="00641103" w:rsidRDefault="00641103" w:rsidP="00641103">
      <w:pPr>
        <w:pStyle w:val="NoSpacing"/>
      </w:pPr>
      <w:r w:rsidRPr="00641103">
        <w:t>Health care utilization is thought to consist of both the identification and receipt of services, and although many Latino families also may seek sup-port from informal sources (</w:t>
      </w:r>
      <w:proofErr w:type="spellStart"/>
      <w:r w:rsidRPr="00641103">
        <w:t>Cauce</w:t>
      </w:r>
      <w:proofErr w:type="spellEnd"/>
      <w:r w:rsidRPr="00641103">
        <w:t xml:space="preserve"> et al., 2002; Garland et al., 2005), the current study focuses on Latino family participation in formal mental health services and the receipt of services once they have sought help. Unfortunately, research suggests that Latino youth and families are at risk</w:t>
      </w:r>
      <w:r>
        <w:t xml:space="preserve"> </w:t>
      </w:r>
      <w:r w:rsidRPr="00641103">
        <w:t xml:space="preserve">of </w:t>
      </w:r>
      <w:r w:rsidRPr="00641103">
        <w:lastRenderedPageBreak/>
        <w:t xml:space="preserve">demonstrating poor treatment outcomes, including treatment attendance, retention, engagement, and response. In the general population, it is estimated that up to 60% of youth and families drop out of treatment before the initial intake appointment (Gopalan et al., 2010), and approximately 30% to 75% of youth and families drop of out treatment before receiving the prescribed intervention (de </w:t>
      </w:r>
      <w:proofErr w:type="spellStart"/>
      <w:r w:rsidRPr="00641103">
        <w:t>Haan</w:t>
      </w:r>
      <w:proofErr w:type="spellEnd"/>
      <w:r w:rsidRPr="00641103">
        <w:t xml:space="preserve">, Boon, de Jong, </w:t>
      </w:r>
      <w:proofErr w:type="spellStart"/>
      <w:r w:rsidRPr="00641103">
        <w:t>Hoeve</w:t>
      </w:r>
      <w:proofErr w:type="spellEnd"/>
      <w:r w:rsidRPr="00641103">
        <w:t xml:space="preserve">, &amp; </w:t>
      </w:r>
      <w:proofErr w:type="spellStart"/>
      <w:r w:rsidRPr="00641103">
        <w:t>Vermeiren</w:t>
      </w:r>
      <w:proofErr w:type="spellEnd"/>
      <w:r w:rsidRPr="00641103">
        <w:t xml:space="preserve">, 2013). Although there is limited research on treatment retention for Latino families, ethnic minority youth and families, especially those from low-socioeconomic-status (SES) backgrounds, demonstrate poorer engagement in child therapy services than European American youth (Gopalan et al., 2010; </w:t>
      </w:r>
      <w:proofErr w:type="spellStart"/>
      <w:r w:rsidRPr="00641103">
        <w:t>Ingoldsby</w:t>
      </w:r>
      <w:proofErr w:type="spellEnd"/>
      <w:r w:rsidRPr="00641103">
        <w:t xml:space="preserve">, 2010), leading to reduced treatment effectiveness (Barrett et al., 2008). Although SES factors and parental stress likely contribute to these findings (Nix, Bierman, &amp; McMahon, 2009; </w:t>
      </w:r>
      <w:proofErr w:type="spellStart"/>
      <w:r w:rsidRPr="00641103">
        <w:t>Reyno</w:t>
      </w:r>
      <w:proofErr w:type="spellEnd"/>
      <w:r w:rsidRPr="00641103">
        <w:t xml:space="preserve"> &amp; McGrath, 2006), cultural and family system factors also are theorized to impact family engagement in PMT (Forehand &amp; </w:t>
      </w:r>
      <w:proofErr w:type="spellStart"/>
      <w:r w:rsidRPr="00641103">
        <w:t>Kotchick</w:t>
      </w:r>
      <w:proofErr w:type="spellEnd"/>
      <w:r w:rsidRPr="00641103">
        <w:t xml:space="preserve">, 1996, 2002). Parental cultural factors and perceptions are of </w:t>
      </w:r>
      <w:proofErr w:type="gramStart"/>
      <w:r w:rsidRPr="00641103">
        <w:t>particular interest</w:t>
      </w:r>
      <w:proofErr w:type="gramEnd"/>
      <w:r w:rsidRPr="00641103">
        <w:t xml:space="preserve"> in the current study, given parents’ unique role in initiating and sustaining treatment.</w:t>
      </w:r>
    </w:p>
    <w:p w14:paraId="6CF4FE97" w14:textId="28085A72" w:rsidR="00641103" w:rsidRDefault="008E6F8B" w:rsidP="008E6F8B">
      <w:pPr>
        <w:pStyle w:val="Heading1"/>
      </w:pPr>
      <w:r w:rsidRPr="008E6F8B">
        <w:t>Factors that Influence Latino Family Participation in Child Mental Health Services</w:t>
      </w:r>
    </w:p>
    <w:p w14:paraId="63829111" w14:textId="2261EA4E" w:rsidR="008E6F8B" w:rsidRDefault="008E6F8B" w:rsidP="008E6F8B">
      <w:pPr>
        <w:pStyle w:val="NoSpacing"/>
      </w:pPr>
      <w:r w:rsidRPr="008E6F8B">
        <w:t>Various factors have been found to predict participation in ADHD treatment in the general population, such that females, younger children, and those with lesser severity of symptoms and higher SES demonstrate improved treatment adherence and response (</w:t>
      </w:r>
      <w:proofErr w:type="spellStart"/>
      <w:r w:rsidRPr="008E6F8B">
        <w:t>Corkum</w:t>
      </w:r>
      <w:proofErr w:type="spellEnd"/>
      <w:r w:rsidRPr="008E6F8B">
        <w:t xml:space="preserve"> et al., 2015; </w:t>
      </w:r>
      <w:proofErr w:type="spellStart"/>
      <w:r w:rsidRPr="008E6F8B">
        <w:t>Reyno</w:t>
      </w:r>
      <w:proofErr w:type="spellEnd"/>
      <w:r w:rsidRPr="008E6F8B">
        <w:t xml:space="preserve"> &amp; McGrath, 2006). Research on the impact of comorbidity on ADHD treatment outcomes has presented mixed findings (e.g., </w:t>
      </w:r>
      <w:proofErr w:type="spellStart"/>
      <w:r w:rsidRPr="008E6F8B">
        <w:t>Graetz</w:t>
      </w:r>
      <w:proofErr w:type="spellEnd"/>
      <w:r w:rsidRPr="008E6F8B">
        <w:t xml:space="preserve">, Sawyer, </w:t>
      </w:r>
      <w:proofErr w:type="spellStart"/>
      <w:r w:rsidRPr="008E6F8B">
        <w:t>Baghurst</w:t>
      </w:r>
      <w:proofErr w:type="spellEnd"/>
      <w:r w:rsidRPr="008E6F8B">
        <w:t xml:space="preserve">, &amp; </w:t>
      </w:r>
      <w:proofErr w:type="spellStart"/>
      <w:r w:rsidRPr="008E6F8B">
        <w:t>Hirte</w:t>
      </w:r>
      <w:proofErr w:type="spellEnd"/>
      <w:r w:rsidRPr="008E6F8B">
        <w:t xml:space="preserve">, 2006; </w:t>
      </w:r>
      <w:proofErr w:type="spellStart"/>
      <w:r w:rsidRPr="008E6F8B">
        <w:t>Thiruchelvam</w:t>
      </w:r>
      <w:proofErr w:type="spellEnd"/>
      <w:r w:rsidRPr="008E6F8B">
        <w:t xml:space="preserve">, </w:t>
      </w:r>
      <w:proofErr w:type="spellStart"/>
      <w:r w:rsidRPr="008E6F8B">
        <w:t>Charach</w:t>
      </w:r>
      <w:proofErr w:type="spellEnd"/>
      <w:r w:rsidRPr="008E6F8B">
        <w:t xml:space="preserve">, &amp; </w:t>
      </w:r>
      <w:proofErr w:type="spellStart"/>
      <w:r w:rsidRPr="008E6F8B">
        <w:t>Schachar</w:t>
      </w:r>
      <w:proofErr w:type="spellEnd"/>
      <w:r w:rsidRPr="008E6F8B">
        <w:t>, 2001). It is unclear how these findings extend to Latino families in the United States, especially considering their unique health care accessibility and utilization needs. In addition, much of the available literature centers on pharmaco-logical treatment outcomes and fails to distinguish between the different aspects of treatment participation (</w:t>
      </w:r>
      <w:proofErr w:type="spellStart"/>
      <w:r w:rsidRPr="008E6F8B">
        <w:t>Corkum</w:t>
      </w:r>
      <w:proofErr w:type="spellEnd"/>
      <w:r w:rsidRPr="008E6F8B">
        <w:t xml:space="preserve"> et al., 2015). Thus, more research is needed to understand the factors that impact Latino family participation in psychosocial treatments for ADHD.</w:t>
      </w:r>
    </w:p>
    <w:p w14:paraId="416F4E74" w14:textId="1F410B33" w:rsidR="008E6F8B" w:rsidRDefault="008E6F8B" w:rsidP="008E6F8B">
      <w:pPr>
        <w:pStyle w:val="Heading1"/>
      </w:pPr>
      <w:r w:rsidRPr="008E6F8B">
        <w:t>Parental Cultural Factors: Acculturation and Ethnic Identity</w:t>
      </w:r>
    </w:p>
    <w:p w14:paraId="168C12CC" w14:textId="63FD8058" w:rsidR="00380044" w:rsidRDefault="00380044" w:rsidP="00380044">
      <w:pPr>
        <w:pStyle w:val="NoSpacing"/>
        <w:tabs>
          <w:tab w:val="left" w:pos="1575"/>
        </w:tabs>
      </w:pPr>
      <w:r w:rsidRPr="00380044">
        <w:t xml:space="preserve">Given that nearly 40% of Latino individuals in the United States are foreign-born (U.S. Census Bureau, 2014) and over half of Latino youth in the U.S. are children of immigrant parents (Pew Hispanic Center, 2009), </w:t>
      </w:r>
      <w:proofErr w:type="spellStart"/>
      <w:r w:rsidRPr="00380044">
        <w:t>cul-tural</w:t>
      </w:r>
      <w:proofErr w:type="spellEnd"/>
      <w:r w:rsidRPr="00380044">
        <w:t xml:space="preserve"> factors must be considered when examining Latino family participation in mental health treatment. Acculturation, one of the major cultural</w:t>
      </w:r>
      <w:r>
        <w:t xml:space="preserve"> concepts that has been identified, is defined as the multidimensional process that occurs when individuals from different cultural backgrounds interact with each other, which often produces changes in one’s behavior, beliefs, and values related to their ethnic culture of origin and/or host culture (</w:t>
      </w:r>
      <w:proofErr w:type="spellStart"/>
      <w:r>
        <w:t>Mar</w:t>
      </w:r>
      <w:r>
        <w:rPr>
          <w:rFonts w:ascii="Calibri" w:eastAsia="Calibri" w:hAnsi="Calibri" w:cs="Calibri"/>
        </w:rPr>
        <w:t>t</w:t>
      </w:r>
      <w:r>
        <w:rPr>
          <w:rFonts w:hint="eastAsia"/>
        </w:rPr>
        <w:t>ı</w:t>
      </w:r>
      <w:r>
        <w:t>n</w:t>
      </w:r>
      <w:proofErr w:type="spellEnd"/>
      <w:r>
        <w:t xml:space="preserve">, 1992; Schwartz, Unger, Zamboanga, &amp; </w:t>
      </w:r>
      <w:proofErr w:type="spellStart"/>
      <w:r>
        <w:t>Szapocznik</w:t>
      </w:r>
      <w:proofErr w:type="spellEnd"/>
      <w:r>
        <w:t xml:space="preserve">, 2010). Most studies have found that greater orientation to U.S. mainstream culture is associated with increased service use (Lara, </w:t>
      </w:r>
      <w:proofErr w:type="spellStart"/>
      <w:r>
        <w:t>Gamboa</w:t>
      </w:r>
      <w:proofErr w:type="spellEnd"/>
      <w:r>
        <w:t xml:space="preserve">, </w:t>
      </w:r>
      <w:proofErr w:type="spellStart"/>
      <w:r>
        <w:t>Kahramanian</w:t>
      </w:r>
      <w:proofErr w:type="spellEnd"/>
      <w:r>
        <w:t xml:space="preserve">, Morales, &amp; Bautista, 2005). Proxy measures of acculturation, such as time in the United States and English language use, also have been associated with a higher degree of mental health service use (Keyes et al., 2012; Nandi et al., 2008), yet the few existing studies examining Latino caregiver acculturation status and youth mental health service utilization present mixed findings (e.g., Ho, Yeh, McCabe, &amp; Hough, 2007; Kim, Lau, &amp; </w:t>
      </w:r>
      <w:proofErr w:type="spellStart"/>
      <w:r>
        <w:t>Chorpita</w:t>
      </w:r>
      <w:proofErr w:type="spellEnd"/>
      <w:r>
        <w:t>, 2016; McCabe, 2002a).</w:t>
      </w:r>
    </w:p>
    <w:p w14:paraId="3A1B6829" w14:textId="77777777" w:rsidR="00380044" w:rsidRDefault="00380044" w:rsidP="00380044">
      <w:pPr>
        <w:pStyle w:val="NoSpacing"/>
        <w:tabs>
          <w:tab w:val="left" w:pos="1575"/>
        </w:tabs>
      </w:pPr>
    </w:p>
    <w:p w14:paraId="2EE4B323" w14:textId="3AADA366" w:rsidR="008E6F8B" w:rsidRDefault="00380044" w:rsidP="00380044">
      <w:pPr>
        <w:pStyle w:val="NoSpacing"/>
        <w:tabs>
          <w:tab w:val="left" w:pos="1575"/>
        </w:tabs>
      </w:pPr>
      <w:r>
        <w:t xml:space="preserve">Ethnic identity is another cultural factor that has been linked to participation in mental health services and refers to the sense of identification with and belonging to one’s ethnic community and culture of origin (Phinney &amp; Ong, 2007). Although ethnic identity has been linked to various psychological benefits for Latino individuals (Quintana &amp; Scull, 2009), it may have differential effects on service utilization. For example, a recent study found that individuals reporting strong Latino ethnic identity were less likely to use mental health services for mood and anxiety disorders, even after controlling for severity of symptoms, income, education, and insurance (Keyes et al., 2012). Thus, research suggests that both acculturation and ethnic identity should be </w:t>
      </w:r>
      <w:proofErr w:type="gramStart"/>
      <w:r>
        <w:t>taken into account</w:t>
      </w:r>
      <w:proofErr w:type="gramEnd"/>
      <w:r>
        <w:t xml:space="preserve"> when examining Latino family participation in ADHD treatment.</w:t>
      </w:r>
    </w:p>
    <w:p w14:paraId="32624464" w14:textId="2CFE0B83" w:rsidR="00A52366" w:rsidRDefault="00A52366" w:rsidP="00A52366">
      <w:pPr>
        <w:pStyle w:val="Heading1"/>
      </w:pPr>
      <w:r w:rsidRPr="00A52366">
        <w:lastRenderedPageBreak/>
        <w:t>Parental Perceptions: Attitudes and Expectations Regarding Treatment</w:t>
      </w:r>
    </w:p>
    <w:p w14:paraId="290C7D94" w14:textId="377E9857" w:rsidR="00A52366" w:rsidRDefault="00A52366" w:rsidP="00A52366">
      <w:pPr>
        <w:pStyle w:val="NoSpacing"/>
      </w:pPr>
      <w:r w:rsidRPr="00A52366">
        <w:t>In addition to parental cultural factors, parental perceptions regarding mental health and treatment also must be examined. Researchers suggest that parental cognitions impact family participation in ADHD treatment, such as ideas and beliefs regarding ADHD, parental efficacy, and perceptions regarding child behavior and mental health treatment (</w:t>
      </w:r>
      <w:proofErr w:type="spellStart"/>
      <w:r w:rsidRPr="00A52366">
        <w:t>Hoza</w:t>
      </w:r>
      <w:proofErr w:type="spellEnd"/>
      <w:r w:rsidRPr="00A52366">
        <w:t xml:space="preserve">, Johnston, Pillow, &amp; </w:t>
      </w:r>
      <w:proofErr w:type="spellStart"/>
      <w:r w:rsidRPr="00A52366">
        <w:t>Ascough</w:t>
      </w:r>
      <w:proofErr w:type="spellEnd"/>
      <w:r w:rsidRPr="00A52366">
        <w:t>, 2006). Stigmatized attitudes among parents have been identified as a major barrier to ADHD service utilization (</w:t>
      </w:r>
      <w:proofErr w:type="spellStart"/>
      <w:r w:rsidRPr="00A52366">
        <w:t>Corkum</w:t>
      </w:r>
      <w:proofErr w:type="spellEnd"/>
      <w:r w:rsidRPr="00A52366">
        <w:t xml:space="preserve"> et al., 2015). Stigma may be particularly salient for Latino families, as studies indicate that ethnic minority individuals are likely to endorse mental health stigma, negative attitudes towards health care pro-</w:t>
      </w:r>
      <w:proofErr w:type="spellStart"/>
      <w:r w:rsidRPr="00A52366">
        <w:t>viders</w:t>
      </w:r>
      <w:proofErr w:type="spellEnd"/>
      <w:r w:rsidRPr="00A52366">
        <w:t xml:space="preserve">, and a belief that problems should be handled within the family (see </w:t>
      </w:r>
      <w:proofErr w:type="spellStart"/>
      <w:r w:rsidRPr="00A52366">
        <w:t>Villatoro</w:t>
      </w:r>
      <w:proofErr w:type="spellEnd"/>
      <w:r w:rsidRPr="00A52366">
        <w:t xml:space="preserve">, Morales, &amp; Mays, 2014 for a review). Research suggests that </w:t>
      </w:r>
      <w:proofErr w:type="gramStart"/>
      <w:r w:rsidRPr="00A52366">
        <w:t>care-givers</w:t>
      </w:r>
      <w:proofErr w:type="gramEnd"/>
      <w:r w:rsidRPr="00A52366">
        <w:t xml:space="preserve"> from ethnic-minority backgrounds may hesitate to seek treatment</w:t>
      </w:r>
    </w:p>
    <w:p w14:paraId="0EA71049" w14:textId="77777777" w:rsidR="00A52366" w:rsidRDefault="00A52366" w:rsidP="00A52366">
      <w:pPr>
        <w:pStyle w:val="NoSpacing"/>
      </w:pPr>
    </w:p>
    <w:p w14:paraId="387FEABB" w14:textId="295C7005" w:rsidR="00A52366" w:rsidRDefault="00A52366" w:rsidP="00A52366">
      <w:pPr>
        <w:pStyle w:val="NoSpacing"/>
      </w:pPr>
      <w:r>
        <w:t xml:space="preserve">for their child’s behavioral issues due to feelings of self-blame and perceived stigma from their communities, which may lead to decreased perceived competence and social interactions (Fernandez &amp; </w:t>
      </w:r>
      <w:proofErr w:type="spellStart"/>
      <w:r>
        <w:t>Arcia</w:t>
      </w:r>
      <w:proofErr w:type="spellEnd"/>
      <w:r>
        <w:t>, 2004).</w:t>
      </w:r>
    </w:p>
    <w:p w14:paraId="544BDDD0" w14:textId="3A28695B" w:rsidR="00A52366" w:rsidRDefault="00A52366" w:rsidP="00A52366">
      <w:pPr>
        <w:pStyle w:val="NoSpacing"/>
      </w:pPr>
      <w:r>
        <w:t>Expectations regarding treatment also may have implications for family participation. Research suggests that many Latino families may experience low health literacy (</w:t>
      </w:r>
      <w:proofErr w:type="spellStart"/>
      <w:r>
        <w:t>Gazmararian</w:t>
      </w:r>
      <w:proofErr w:type="spellEnd"/>
      <w:r>
        <w:t xml:space="preserve">, Curran, Parker, Bernhardt, &amp; </w:t>
      </w:r>
      <w:proofErr w:type="spellStart"/>
      <w:r>
        <w:t>DeBuono</w:t>
      </w:r>
      <w:proofErr w:type="spellEnd"/>
      <w:r>
        <w:t>, 2005) and have limited knowledge, resources, and experience related to use of formal mental health services in the United States, all of which may influence parental expectations regarding treatment, especially if parental expectations are incongruent with those of the health care provider (McCabe, 2002a). Other systemic barriers related to receipt of ADHD treatment also have been identified, such as parental perceptions of financial burden of treatment, lack of time, lack of insurance, and long waiting lists (</w:t>
      </w:r>
      <w:proofErr w:type="spellStart"/>
      <w:r>
        <w:t>Corkum</w:t>
      </w:r>
      <w:proofErr w:type="spellEnd"/>
      <w:r>
        <w:t xml:space="preserve"> et al., 2015), but less is known regarding Latino families specifically.</w:t>
      </w:r>
    </w:p>
    <w:p w14:paraId="3B5EA1AC" w14:textId="7707F4AD" w:rsidR="00A52366" w:rsidRDefault="00A52366" w:rsidP="00A52366">
      <w:pPr>
        <w:pStyle w:val="Heading1"/>
      </w:pPr>
      <w:r w:rsidRPr="00A52366">
        <w:t>Current Study</w:t>
      </w:r>
    </w:p>
    <w:p w14:paraId="3773AD3B" w14:textId="31C4876F" w:rsidR="00DA5479" w:rsidRDefault="00DA5479" w:rsidP="00DA5479">
      <w:pPr>
        <w:pStyle w:val="NoSpacing"/>
      </w:pPr>
      <w:r>
        <w:t>Although existing research provides a good foundation for understanding barriers related to child mental health services in the United States, information related to the development and progress of ADHD treatment among Latino youth is scarce, and little is known about psychosocial treatment of ADHD in Latino families (</w:t>
      </w:r>
      <w:proofErr w:type="spellStart"/>
      <w:r>
        <w:t>Eiraldi</w:t>
      </w:r>
      <w:proofErr w:type="spellEnd"/>
      <w:r>
        <w:t xml:space="preserve"> &amp; Diaz, 2010; Gerdes, </w:t>
      </w:r>
      <w:proofErr w:type="spellStart"/>
      <w:r>
        <w:t>Kapke</w:t>
      </w:r>
      <w:proofErr w:type="spellEnd"/>
      <w:r>
        <w:t>, Lawton, Grace, &amp; Hurtado, 2015). Improved understanding of the factors that impact Latino family participation in mental health services is crucial to addressing existing mental health disparities. The current study aimed to contribute to this area of research by providing knowledge about the way in which parental cultural factors (i.e., acculturation and ethnic identity) and perceptions (i.e., attitudes and expectations regarding treatment) impact Latino family participation in a psychosocial intervention for child-hood ADHD, including attendance, retention, engagement, and treatment response outcomes.</w:t>
      </w:r>
    </w:p>
    <w:p w14:paraId="2D7D17A2" w14:textId="77777777" w:rsidR="00DA5479" w:rsidRDefault="00DA5479" w:rsidP="00DA5479">
      <w:pPr>
        <w:pStyle w:val="NoSpacing"/>
      </w:pPr>
    </w:p>
    <w:p w14:paraId="3170D69C" w14:textId="569AEE5B" w:rsidR="00630DFF" w:rsidRDefault="00DA5479" w:rsidP="00DA5479">
      <w:pPr>
        <w:pStyle w:val="NoSpacing"/>
      </w:pPr>
      <w:r>
        <w:t xml:space="preserve">It was hypothesized that after accounting for treatment condition and child demographic/diagnostic factors (i.e., child sex, age, severity of ADHD symptoms, comorbidity, and SES), greater orientation to Latino culture on measures of acculturation and higher levels of ethnic identity among parents would predict poorer treatment participation outcomes, including attendance, retention, engagement, and treatment response. However, greater orientation to U.S. mainstream culture on measures of acculturation and lower levels of ethnic identity among parents were expected to predict improved treatment participation outcomes. Similarly, it was hypothesized that greater endorsement of specific parental attitudes and expectations </w:t>
      </w:r>
      <w:r w:rsidRPr="00DA5479">
        <w:t>regarding treatment (i.e., belief that problems should be handled within the family unit, stigmatized attitudes related to mental health treatment, perceived barriers to treatment, and expectations for a speedy recovery in treatment) would predict poorer treatment participation outcomes.</w:t>
      </w:r>
    </w:p>
    <w:p w14:paraId="38E24B2A" w14:textId="3E7534A1" w:rsidR="00DA5479" w:rsidRDefault="00630DFF" w:rsidP="00630DFF">
      <w:pPr>
        <w:pStyle w:val="Heading1"/>
      </w:pPr>
      <w:r w:rsidRPr="00630DFF">
        <w:t>Method</w:t>
      </w:r>
    </w:p>
    <w:p w14:paraId="76AEDA59" w14:textId="1C07EDE0" w:rsidR="00DA5479" w:rsidRDefault="00630DFF" w:rsidP="00630DFF">
      <w:pPr>
        <w:pStyle w:val="Heading2"/>
      </w:pPr>
      <w:r w:rsidRPr="00630DFF">
        <w:t>Participants</w:t>
      </w:r>
    </w:p>
    <w:p w14:paraId="40125AD4" w14:textId="5675D6E6" w:rsidR="007C0F00" w:rsidRDefault="007C0F00" w:rsidP="007C0F00">
      <w:pPr>
        <w:pStyle w:val="NoSpacing"/>
      </w:pPr>
      <w:r>
        <w:t xml:space="preserve">Based on multicultural guidelines for promoting participation of Latino families in research (e.g., National Institutes of Health, 2002; Yancey, Ortega, &amp; Kumanyika, 2006), partnerships were established with local schools </w:t>
      </w:r>
      <w:r>
        <w:lastRenderedPageBreak/>
        <w:t>and a community center predominantly serving Latino families in an urban setting, and in-person recruitment took place with families, teachers, and school staff during various school-sponsored events, as well as via school announcements, mailings, and word-of-mouth referral. Partnerships also were established with health care providers from a local community health center in order to identify eligible families.</w:t>
      </w:r>
    </w:p>
    <w:p w14:paraId="164B0119" w14:textId="77777777" w:rsidR="007C0F00" w:rsidRDefault="007C0F00" w:rsidP="007C0F00">
      <w:pPr>
        <w:pStyle w:val="NoSpacing"/>
      </w:pPr>
    </w:p>
    <w:p w14:paraId="773D65DD" w14:textId="5415A4B9" w:rsidR="007C0F00" w:rsidRDefault="007C0F00" w:rsidP="007C0F00">
      <w:pPr>
        <w:pStyle w:val="NoSpacing"/>
      </w:pPr>
      <w:r>
        <w:t xml:space="preserve">Participants for the current study included Latino youth between the ages of 5 and 13 years who were assessed for ADHD as part of a larger research project (see Gerdes, </w:t>
      </w:r>
      <w:proofErr w:type="spellStart"/>
      <w:r>
        <w:t>Kapke</w:t>
      </w:r>
      <w:proofErr w:type="spellEnd"/>
      <w:r>
        <w:t xml:space="preserve">, Grace, &amp; Castro, 2017) and at least one of their primary parents and teachers. Sixty-one families participated in the current study, including 61 Latino youth (44 males, 17 females) with a mean age of 7.98 years (SD </w:t>
      </w:r>
      <w:r w:rsidR="00086656">
        <w:t>=</w:t>
      </w:r>
      <w:r>
        <w:t xml:space="preserve"> 2.57), 60 mothers and 26 fathers with a mean age of 37.26 years (SD </w:t>
      </w:r>
      <w:r w:rsidR="00086656">
        <w:t>=</w:t>
      </w:r>
      <w:r>
        <w:t xml:space="preserve"> 7.29), and 61 teachers. Of the 86 participating parents, 38 parents identified as Spanish speaking only, and 48 parents identified as speaking both Spanish and English, including being bilingual, primarily speaking Spanish and some English, and/or primarily speaking English and some Spanish.</w:t>
      </w:r>
    </w:p>
    <w:p w14:paraId="22A39830" w14:textId="77777777" w:rsidR="00954DA6" w:rsidRPr="007C0F00" w:rsidRDefault="00954DA6" w:rsidP="007C0F00">
      <w:pPr>
        <w:pStyle w:val="NoSpacing"/>
      </w:pPr>
    </w:p>
    <w:p w14:paraId="6B710213" w14:textId="7BA608C7" w:rsidR="00630DFF" w:rsidRDefault="00630DFF" w:rsidP="00630DFF">
      <w:pPr>
        <w:pStyle w:val="Heading2"/>
      </w:pPr>
      <w:r>
        <w:t>Procedure</w:t>
      </w:r>
    </w:p>
    <w:p w14:paraId="303F446D" w14:textId="30CC1AE9" w:rsidR="00954DA6" w:rsidRDefault="00F709A4" w:rsidP="00954DA6">
      <w:pPr>
        <w:pStyle w:val="NoSpacing"/>
      </w:pPr>
      <w:r w:rsidRPr="00F709A4">
        <w:t>Interested families contacted the study team, after which an initial phone screen was conducted. The participating parent(s) and child had to self-identify as Latino. In addition, the parent(s) had to be Spanish speaking, although not necessarily Spanish speaking only. Participating children had to be 5 to 13 years old and display symptoms and functional problems consistent with ADHD. Children with existing diagnoses of intellectual disability, autism spectrum disorder, and/or a psychotic disorder were excluded from the study. Once eligibility was determined, a comprehensive, multi-modal, multi-informant ADHD assessment was conducted at a university-based clinic or local community center, depending on the family’s preference. The ADHD assessment took approximately four hours to complete.</w:t>
      </w:r>
      <w:r w:rsidR="00954DA6" w:rsidRPr="00954DA6">
        <w:t xml:space="preserve"> </w:t>
      </w:r>
      <w:r w:rsidR="00954DA6">
        <w:t>The parent component was completed in Spanish; the child component was completed in English or Spanish, depending on the child’s language preference; and the teacher component was completed in English.</w:t>
      </w:r>
    </w:p>
    <w:p w14:paraId="2131185D" w14:textId="77777777" w:rsidR="00954DA6" w:rsidRDefault="00954DA6" w:rsidP="00954DA6">
      <w:pPr>
        <w:pStyle w:val="NoSpacing"/>
      </w:pPr>
    </w:p>
    <w:p w14:paraId="0630D102" w14:textId="7DE7CF73" w:rsidR="00954DA6" w:rsidRDefault="00954DA6" w:rsidP="00954DA6">
      <w:pPr>
        <w:pStyle w:val="NoSpacing"/>
      </w:pPr>
      <w:r>
        <w:t xml:space="preserve">After obtaining informed consent and assent from the participating parent(s) and child, the graduate clinician completed an unstructured inter-view with the parent(s) in order to gather background information and identify home-based treatment goals. The graduate clinician conducted the Disruptive Behavior Disorders (DBD) Structured Interview with the parent(s). The parent(s) also completed a series of questionnaires assessing ADHD symptomatology and functional impairment, demographic information, and parental factors, and the child completed self-report measures of anxiety and depression. Measures relevant to the current study are described below. </w:t>
      </w:r>
      <w:proofErr w:type="gramStart"/>
      <w:r>
        <w:t>All of</w:t>
      </w:r>
      <w:proofErr w:type="gramEnd"/>
      <w:r>
        <w:t xml:space="preserve"> the parent questionnaires were completed in Spanish, and assistance from bilingual graduate research assistants was available upon request. As part of the assessment, the graduate clinician obtained the contact information for the child’s primary teacher in order to arrange a teacher meeting. After obtaining teacher consent, an unstructured interview was conducted in order to identify school-based treatment goals, and the teacher completed questionnaires assessing ADHD symptomatology and functional impairment.</w:t>
      </w:r>
    </w:p>
    <w:p w14:paraId="4B5E5B77" w14:textId="77777777" w:rsidR="00954DA6" w:rsidRDefault="00954DA6" w:rsidP="00954DA6">
      <w:pPr>
        <w:pStyle w:val="NoSpacing"/>
      </w:pPr>
    </w:p>
    <w:p w14:paraId="2BABB5DA" w14:textId="626421C7" w:rsidR="00F709A4" w:rsidRDefault="00954DA6" w:rsidP="00954DA6">
      <w:pPr>
        <w:pStyle w:val="NoSpacing"/>
      </w:pPr>
      <w:r>
        <w:t xml:space="preserve">If the child met criteria for ADHD based on the comprehensive assessment, the child’s family was eligible to participate in the second phase of the study, which included a psychosocial intervention designed for treating ADHD in school-aged children. Families were randomly assigned to participate in one of two treatment groups, including standard treatment (ST) and a culturally adapted treatment (see Gerdes et al., 2015 for more detail on the culturally adapted treatment). Both treatments included eight PMT classes and a school-based intervention in the form of a Daily Report Card (DRC). The adaptations that were made centered on addressing practical barriers to treatment (e.g., </w:t>
      </w:r>
      <w:proofErr w:type="gramStart"/>
      <w:r>
        <w:t>child care</w:t>
      </w:r>
      <w:proofErr w:type="gramEnd"/>
      <w:r>
        <w:t xml:space="preserve">, transportation, scheduling) and promoting the use of a more culturally congruent treatment for participating youth and their families. Ultimately, these adaptations aimed to improve family attendance, retention, engagement, and response. Various general adaptations were made to the assessment, feedback, and treatment phases, as well as specific treatment sessions. Also, two of the existing treatment sessions were replaced with content that was determined to be more consistent with cultural values and practical considerations (see Gerdes et al., 2015 for more detail). Classes were co-led by a graduate student </w:t>
      </w:r>
      <w:r>
        <w:lastRenderedPageBreak/>
        <w:t xml:space="preserve">clinician and a social worker from the local community center. The participating parent(s) attended weekly </w:t>
      </w:r>
      <w:proofErr w:type="gramStart"/>
      <w:r>
        <w:t>group-based</w:t>
      </w:r>
      <w:proofErr w:type="gramEnd"/>
      <w:r>
        <w:t xml:space="preserve"> PMT sessions, which took place for approximately two hours/week, as well as meetings at the school to discuss the DRC intervention with the child’s primary teacher. Families</w:t>
      </w:r>
      <w:r w:rsidR="009B737C" w:rsidRPr="009B737C">
        <w:t xml:space="preserve"> participating in the culturally adapted treatment also received two 30-minute home visits, one of the adaptations that was made. At the end of treatment, the participating parent(s) and teacher completed questionnaires assessing ADHD symptomatology and functional impairment. Families received a $100 gift card for completion of measures at pre- and posttreatment. Teachers received a $5 gift card for completion of measures at pre-and posttreatment.</w:t>
      </w:r>
    </w:p>
    <w:p w14:paraId="3670C54E" w14:textId="77777777" w:rsidR="009B737C" w:rsidRPr="00F709A4" w:rsidRDefault="009B737C" w:rsidP="00954DA6">
      <w:pPr>
        <w:pStyle w:val="NoSpacing"/>
      </w:pPr>
    </w:p>
    <w:p w14:paraId="78811D1E" w14:textId="1BFDB766" w:rsidR="00630DFF" w:rsidRDefault="00630DFF" w:rsidP="00630DFF">
      <w:pPr>
        <w:pStyle w:val="Heading2"/>
      </w:pPr>
      <w:r>
        <w:t>Measures</w:t>
      </w:r>
    </w:p>
    <w:p w14:paraId="6F71738F" w14:textId="1F4E1E66" w:rsidR="00630DFF" w:rsidRDefault="00630DFF" w:rsidP="00630DFF">
      <w:pPr>
        <w:pStyle w:val="Heading3"/>
      </w:pPr>
      <w:r>
        <w:t>DBD Rating Scale</w:t>
      </w:r>
    </w:p>
    <w:p w14:paraId="12F0F976" w14:textId="2F053636" w:rsidR="009B737C" w:rsidRDefault="009B737C" w:rsidP="009B737C">
      <w:pPr>
        <w:pStyle w:val="NoSpacing"/>
      </w:pPr>
      <w:r w:rsidRPr="009B737C">
        <w:t xml:space="preserve">The DBD Rating Scale (Spanish translation by Gerdes et al., 2013; Pelham, </w:t>
      </w:r>
      <w:proofErr w:type="spellStart"/>
      <w:r w:rsidRPr="009B737C">
        <w:t>Gnagy</w:t>
      </w:r>
      <w:proofErr w:type="spellEnd"/>
      <w:r w:rsidRPr="009B737C">
        <w:t xml:space="preserve">, Greenslade, &amp; </w:t>
      </w:r>
      <w:proofErr w:type="spellStart"/>
      <w:r w:rsidRPr="009B737C">
        <w:t>Milich</w:t>
      </w:r>
      <w:proofErr w:type="spellEnd"/>
      <w:r w:rsidRPr="009B737C">
        <w:t>, 1992) is a 45-item parent- and teacher-report measure that was used to assess ADHD symptomatology. Responses are based a four-point scale, ranging from 0 (not at all present)</w:t>
      </w:r>
      <w:r>
        <w:t xml:space="preserve"> </w:t>
      </w:r>
      <w:r w:rsidRPr="009B737C">
        <w:t>to</w:t>
      </w:r>
      <w:r>
        <w:t xml:space="preserve"> </w:t>
      </w:r>
      <w:r w:rsidRPr="009B737C">
        <w:t xml:space="preserve">3 (very much present), with higher scores indicate greater symptomatology. The English and Spanish versions of the DBD Rating Scale have demonstrated good reliability (Gerdes et al., 2013; Pelham, Fabiano, &amp; </w:t>
      </w:r>
      <w:proofErr w:type="spellStart"/>
      <w:r w:rsidRPr="009B737C">
        <w:t>Massetti</w:t>
      </w:r>
      <w:proofErr w:type="spellEnd"/>
      <w:r w:rsidRPr="009B737C">
        <w:t>, 2005). Pretreatment mean scores for total ADHD symptoms (i.e., inattention and hyperactive/impulsivity) were utilized from both parent and teacher versions of the DBD to assess symptom severity at baseline, and posttreatment parent- and teacher-reported mean scores for total ADHD symptoms were utilized to assess symptomatology posttreatment. Pretreatment responses include ratings of the child’s unmedicated behavior, and posttreatment responses reflect either medicated or unmedicated ratings, depending on child’s ADHD medication status. Good internal consistency was found in the current study for both parent and teacher reports, including Cronbach’s alphas of .94 and .86, respectively.</w:t>
      </w:r>
    </w:p>
    <w:p w14:paraId="75FD826A" w14:textId="77777777" w:rsidR="009B737C" w:rsidRPr="009B737C" w:rsidRDefault="009B737C" w:rsidP="009B737C">
      <w:pPr>
        <w:pStyle w:val="NoSpacing"/>
      </w:pPr>
    </w:p>
    <w:p w14:paraId="393F1F03" w14:textId="4F78369A" w:rsidR="00630DFF" w:rsidRDefault="00630DFF" w:rsidP="00630DFF">
      <w:pPr>
        <w:pStyle w:val="Heading3"/>
      </w:pPr>
      <w:r>
        <w:t>ADHD-FX Scale</w:t>
      </w:r>
    </w:p>
    <w:p w14:paraId="51D37FCC" w14:textId="64C96657" w:rsidR="00C418DB" w:rsidRDefault="00C418DB" w:rsidP="00C418DB">
      <w:pPr>
        <w:pStyle w:val="NoSpacing"/>
      </w:pPr>
      <w:r w:rsidRPr="00C418DB">
        <w:t xml:space="preserve">The ADHD-FX Scale (Haack, Gerdes, Lawton, &amp; Schneider, 2016) is a 32-item parent- and teacher-report measure that was used to assess ADHD functional impairment across settings. Using a four-point scale that ranges from 0 (no </w:t>
      </w:r>
      <w:proofErr w:type="gramStart"/>
      <w:r w:rsidRPr="00C418DB">
        <w:t>effect)to</w:t>
      </w:r>
      <w:proofErr w:type="gramEnd"/>
      <w:r w:rsidRPr="00C418DB">
        <w:t xml:space="preserve">3(a lot of effect), the ADHD-FX Scale assesses the extent to which functional problems affect the child in his/her daily life, with higher scores representing greater levels of functional impairment. Both English and Spanish versions of the scale have demonstrated good reliability and consistency (Haack, </w:t>
      </w:r>
      <w:proofErr w:type="spellStart"/>
      <w:r w:rsidRPr="00C418DB">
        <w:t>Gonring</w:t>
      </w:r>
      <w:proofErr w:type="spellEnd"/>
      <w:r w:rsidRPr="00C418DB">
        <w:t xml:space="preserve">, Harris, Gerdes, &amp; </w:t>
      </w:r>
      <w:proofErr w:type="spellStart"/>
      <w:r w:rsidRPr="00C418DB">
        <w:t>Pfiffner</w:t>
      </w:r>
      <w:proofErr w:type="spellEnd"/>
      <w:r w:rsidRPr="00C418DB">
        <w:t>, 2019). Mean scores for functional impairment at home, school, and with peers may be computed, as well as a total functional impairment score. Parent report of functional impairment at home and teacher report of functional impairment at school were used in the current study, as each</w:t>
      </w:r>
      <w:r>
        <w:t xml:space="preserve"> </w:t>
      </w:r>
      <w:r w:rsidRPr="00C418DB">
        <w:t>reflects what the parent and teacher are likely to observe in their respective settings. Pretreatment scores were utilized to assess severity in child’s functional impairment at baseline, and posttreatment scores were utilized to assess functional impairment posttreatment. Pretreatment responses include ratings of the child’s unmedicated behavior, and posttreatment responses reflect either medicated or unmedicated ratings, depending on the child’s ADHD medication status. Good internal consistency was found in the cur-rent study for both parent and teacher reports, including Cronbach’s alphas of .93 and .92, respectively.</w:t>
      </w:r>
    </w:p>
    <w:p w14:paraId="1D67F4F8" w14:textId="77777777" w:rsidR="00C418DB" w:rsidRPr="00C418DB" w:rsidRDefault="00C418DB" w:rsidP="00C418DB">
      <w:pPr>
        <w:pStyle w:val="NoSpacing"/>
      </w:pPr>
    </w:p>
    <w:p w14:paraId="2B638D59" w14:textId="44287C25" w:rsidR="00630DFF" w:rsidRDefault="006F60DA" w:rsidP="00630DFF">
      <w:pPr>
        <w:pStyle w:val="Heading3"/>
      </w:pPr>
      <w:r>
        <w:t>Acculturation Rating Scale for Mexican Americans (ARSMA-II)</w:t>
      </w:r>
    </w:p>
    <w:p w14:paraId="602F83A3" w14:textId="7105A584" w:rsidR="00CE431C" w:rsidRDefault="00CE431C" w:rsidP="00CE431C">
      <w:pPr>
        <w:pStyle w:val="NoSpacing"/>
      </w:pPr>
      <w:r w:rsidRPr="00CE431C">
        <w:t xml:space="preserve">The ARSMA-II (Cuellar, Arnold, &amp; Maldonado, 1995) is a 30-item self-report measure that was used to assess parents’ behavioral acculturation. Using a five-point scale that ranges from 1 (not at </w:t>
      </w:r>
      <w:proofErr w:type="gramStart"/>
      <w:r w:rsidRPr="00CE431C">
        <w:t>all)to</w:t>
      </w:r>
      <w:proofErr w:type="gramEnd"/>
      <w:r w:rsidRPr="00CE431C">
        <w:t xml:space="preserve"> 5 (extremely or almost always), the ARSMA-II largely assesses behavioral aspects of acculturation, including language preference and customs. The ARSMA-II can be used to compute mean scores for the Latino Orientation Scale (MOS) and the Anglo Orientation Scale (AOS), with higher scores indicating greater orientation to the respective culture. The current study modified the ARSMA-II by substituting “Latino” for “Mexican” or “Mexican American,” which has been done in other studies (</w:t>
      </w:r>
      <w:proofErr w:type="spellStart"/>
      <w:r w:rsidRPr="00CE431C">
        <w:t>Steidel</w:t>
      </w:r>
      <w:proofErr w:type="spellEnd"/>
      <w:r w:rsidRPr="00CE431C">
        <w:t xml:space="preserve"> &amp; Contreras, 2003). The ARSMA-II has demonstrated good internal and test–retest reliabilities (Cuellar et al., 1995). In the current study, good internal consistency was found for the MOS and AOS among mothers (Cronbach’s alphas </w:t>
      </w:r>
      <w:r w:rsidR="00086656">
        <w:t>=</w:t>
      </w:r>
      <w:r w:rsidRPr="00CE431C">
        <w:t xml:space="preserve"> .82 and .91, respectively) and fathers (Cronbach’s alphas </w:t>
      </w:r>
      <w:r w:rsidR="00086656">
        <w:t>=</w:t>
      </w:r>
      <w:r w:rsidRPr="00CE431C">
        <w:t xml:space="preserve"> .83 and .92, respectively).</w:t>
      </w:r>
    </w:p>
    <w:p w14:paraId="5E65AF2C" w14:textId="77777777" w:rsidR="00CE431C" w:rsidRPr="00CE431C" w:rsidRDefault="00CE431C" w:rsidP="00CE431C">
      <w:pPr>
        <w:pStyle w:val="NoSpacing"/>
      </w:pPr>
    </w:p>
    <w:p w14:paraId="764565DA" w14:textId="0B4D0CEC" w:rsidR="006F60DA" w:rsidRDefault="004375C9" w:rsidP="006F60DA">
      <w:pPr>
        <w:pStyle w:val="Heading3"/>
      </w:pPr>
      <w:r>
        <w:t>Mexican American Values Scale for Adolescents and Adult (MACVS)</w:t>
      </w:r>
    </w:p>
    <w:p w14:paraId="25F5803E" w14:textId="00ABBF87" w:rsidR="00C5736A" w:rsidRDefault="00C5736A" w:rsidP="00C5736A">
      <w:pPr>
        <w:pStyle w:val="NoSpacing"/>
      </w:pPr>
      <w:r w:rsidRPr="00C5736A">
        <w:t xml:space="preserve">The MACVS (Knight et al., 2010) is a 50-item self-report measure that was used to assess parents’ cognitive acculturation. Using a five-point scale that ranges from 1 (not at </w:t>
      </w:r>
      <w:proofErr w:type="gramStart"/>
      <w:r w:rsidRPr="00C5736A">
        <w:t>all)to</w:t>
      </w:r>
      <w:proofErr w:type="gramEnd"/>
      <w:r w:rsidRPr="00C5736A">
        <w:t xml:space="preserve">5 (completely), the MACVS assesses values that are frequently associated with Latino and U.S. mainstream culture, such as familism, respect, traditional gender roles, material success, and personal achievement. The MACVS can be used to compute mean scores for the Mexican American Values Scale (MAV) and the Mainstream Values Scale (AV), with higher scores indicate greater endorsement of cultural values. The MAV and AV have demonstrated good internal consistency (Knight et al., 2010). In the current study, good internal consistency was found for the MAV and AV for mothers (Cronbach’s alphas </w:t>
      </w:r>
      <w:r w:rsidR="00086656">
        <w:t>=</w:t>
      </w:r>
      <w:r w:rsidRPr="00C5736A">
        <w:t xml:space="preserve"> .88 and .70, respectively) and fathers (Cronbach’s alphas </w:t>
      </w:r>
      <w:r w:rsidR="00086656">
        <w:t>=</w:t>
      </w:r>
      <w:r w:rsidRPr="00C5736A">
        <w:t xml:space="preserve"> .89 and .73, respectively).</w:t>
      </w:r>
    </w:p>
    <w:p w14:paraId="0F7C0409" w14:textId="77777777" w:rsidR="00C5736A" w:rsidRPr="00C5736A" w:rsidRDefault="00C5736A" w:rsidP="00C5736A">
      <w:pPr>
        <w:pStyle w:val="NoSpacing"/>
      </w:pPr>
    </w:p>
    <w:p w14:paraId="0A40B054" w14:textId="23B398E0" w:rsidR="004375C9" w:rsidRDefault="004375C9" w:rsidP="004375C9">
      <w:pPr>
        <w:pStyle w:val="Heading3"/>
      </w:pPr>
      <w:r>
        <w:t>Multigroup</w:t>
      </w:r>
      <w:r w:rsidR="00E33B38">
        <w:t xml:space="preserve"> Ethnic Identity Measure-Revised (MEIM-R)</w:t>
      </w:r>
    </w:p>
    <w:p w14:paraId="3BFC876B" w14:textId="2E949DFD" w:rsidR="00C5736A" w:rsidRDefault="00C5736A" w:rsidP="00C5736A">
      <w:pPr>
        <w:pStyle w:val="NoSpacing"/>
      </w:pPr>
      <w:r w:rsidRPr="00C5736A">
        <w:t xml:space="preserve">The MEIM-R (Phinney &amp; Ong, 2007) is a six-item self-report measure that was used to measure parents’ ethnic identity. Using a four-point scale that ranges from 1 (strongly </w:t>
      </w:r>
      <w:proofErr w:type="gramStart"/>
      <w:r w:rsidRPr="00C5736A">
        <w:t>disagree)to</w:t>
      </w:r>
      <w:proofErr w:type="gramEnd"/>
      <w:r w:rsidRPr="00C5736A">
        <w:t xml:space="preserve"> 4 (strongly agree), the MEIM-R assesses aspects of one’s ethnic identity, including exploration and commitment. Mean scores for the exploration and commitment subscales can be computed, as well as a total score of ethnic identity, which was used in the cur-rent study. Higher scores indicate greater levels of agreement with the statements related to one’s ethnic identity. The MEIM-R has demonstrated good reliability in past research (Phinney &amp; Ong, 2007). Good internal consistency was found in the current study for both mother and father reports, including Cronbach’s alphas of .85 and .85, respectively.</w:t>
      </w:r>
    </w:p>
    <w:p w14:paraId="70C2A289" w14:textId="77777777" w:rsidR="00C5736A" w:rsidRPr="00C5736A" w:rsidRDefault="00C5736A" w:rsidP="00C5736A">
      <w:pPr>
        <w:pStyle w:val="NoSpacing"/>
      </w:pPr>
    </w:p>
    <w:p w14:paraId="5031018B" w14:textId="32B677D2" w:rsidR="00E33B38" w:rsidRDefault="00E33B38" w:rsidP="00E33B38">
      <w:pPr>
        <w:pStyle w:val="Heading3"/>
      </w:pPr>
      <w:r>
        <w:t>Therapy Attitude Questionnaire (TAQ)</w:t>
      </w:r>
    </w:p>
    <w:p w14:paraId="1D1F7AEC" w14:textId="7224DEEE" w:rsidR="00B9655B" w:rsidRDefault="00B9655B" w:rsidP="00B9655B">
      <w:pPr>
        <w:pStyle w:val="NoSpacing"/>
      </w:pPr>
      <w:r w:rsidRPr="00B9655B">
        <w:t xml:space="preserve">The TAQ (McCabe, 2002b) is a self-report measure that was used to assess parents’ attitudes regarding therapy. The TAQ can be used to compute mean scores for four constructs, including family/self-reliance, guilt feelings, reliance on discipline, and stigma. Using a five-point scale that ranges from 1 (strongly </w:t>
      </w:r>
      <w:proofErr w:type="gramStart"/>
      <w:r w:rsidRPr="00B9655B">
        <w:t>disagree)to</w:t>
      </w:r>
      <w:proofErr w:type="gramEnd"/>
      <w:r w:rsidRPr="00B9655B">
        <w:t xml:space="preserve">5(strongly agree), higher scores indicate greater levels of agreement. The current study utilized the four-item family/self-reliance and five-item stigma scales, which reflect the beliefs that child-ren’s problems do not require outside help and that seeking child mental health services is shameful. These scales have demonstrated good reliability in past research (McCabe, 2002a). In the current study, good internal consistency was found for the family/self-reliance and stigma scales among mothers (Cronbach’s alphas </w:t>
      </w:r>
      <w:r w:rsidR="00086656">
        <w:t>=</w:t>
      </w:r>
      <w:r w:rsidRPr="00B9655B">
        <w:t xml:space="preserve"> .75 and .71, respectively) and fathers (Cronbach’s alphas </w:t>
      </w:r>
      <w:r w:rsidR="00086656">
        <w:t>=</w:t>
      </w:r>
      <w:r w:rsidRPr="00B9655B">
        <w:t xml:space="preserve"> .72 and .75, respectively).</w:t>
      </w:r>
    </w:p>
    <w:p w14:paraId="4D413D61" w14:textId="77777777" w:rsidR="00B9655B" w:rsidRPr="00B9655B" w:rsidRDefault="00B9655B" w:rsidP="00B9655B">
      <w:pPr>
        <w:pStyle w:val="NoSpacing"/>
      </w:pPr>
    </w:p>
    <w:p w14:paraId="1D79817C" w14:textId="379EFC3A" w:rsidR="00E33B38" w:rsidRDefault="00E33B38" w:rsidP="00E33B38">
      <w:pPr>
        <w:pStyle w:val="Heading3"/>
      </w:pPr>
      <w:r>
        <w:t>Therapy Expectations Questionnaire (TEQ)</w:t>
      </w:r>
    </w:p>
    <w:p w14:paraId="693F18DB" w14:textId="2C7DA233" w:rsidR="00B9655B" w:rsidRDefault="00B9655B" w:rsidP="00B9655B">
      <w:pPr>
        <w:pStyle w:val="NoSpacing"/>
      </w:pPr>
      <w:r w:rsidRPr="00B9655B">
        <w:t>The TEQ (McCabe, 2002c) is a self-report measure that was used to assess parents’ expectation regarding therapy. The TEQ can be used to compute mean scores for three constructs, including directiveness, perceived barriers to therapy, and speed of recovery. Using a five-point scale that ranges from 1(strongly disagree)</w:t>
      </w:r>
      <w:r>
        <w:t xml:space="preserve"> </w:t>
      </w:r>
      <w:r w:rsidRPr="00B9655B">
        <w:t>to</w:t>
      </w:r>
      <w:r>
        <w:t xml:space="preserve"> </w:t>
      </w:r>
      <w:r w:rsidRPr="00B9655B">
        <w:t>5</w:t>
      </w:r>
      <w:r>
        <w:t xml:space="preserve"> </w:t>
      </w:r>
      <w:r w:rsidRPr="00B9655B">
        <w:t xml:space="preserve">(strongly agree), higher scores indicate greater levels of agreement. The current study utilized the nine-item perceived barriers and the two-item speed of recovery scales. These scales have demonstrated adequate reliability in past research (McCabe, 2002a). In the current study, good internal consistency was found for the barriers and speed of recovery scales among mothers (Cronbach’s alpha </w:t>
      </w:r>
      <w:r w:rsidR="00086656">
        <w:t>=</w:t>
      </w:r>
      <w:r w:rsidRPr="00B9655B">
        <w:t xml:space="preserve"> .84 and r </w:t>
      </w:r>
      <w:r w:rsidR="00086656">
        <w:t>=</w:t>
      </w:r>
      <w:r w:rsidRPr="00B9655B">
        <w:t xml:space="preserve"> .78, p </w:t>
      </w:r>
      <w:r w:rsidR="00086656">
        <w:rPr>
          <w:rFonts w:ascii="Calibri" w:eastAsia="Calibri" w:hAnsi="Calibri" w:cs="Calibri"/>
        </w:rPr>
        <w:t>≤</w:t>
      </w:r>
      <w:r w:rsidRPr="00B9655B">
        <w:t xml:space="preserve"> .001, respectively) and fathers (Cronbach’s alpha </w:t>
      </w:r>
      <w:r w:rsidR="00086656">
        <w:t>=</w:t>
      </w:r>
      <w:r w:rsidRPr="00B9655B">
        <w:t xml:space="preserve"> .80 and r </w:t>
      </w:r>
      <w:r w:rsidR="00086656">
        <w:t>=</w:t>
      </w:r>
      <w:r w:rsidRPr="00B9655B">
        <w:t xml:space="preserve"> .74, p </w:t>
      </w:r>
      <w:r w:rsidR="00086656">
        <w:rPr>
          <w:rFonts w:ascii="Calibri" w:eastAsia="Calibri" w:hAnsi="Calibri" w:cs="Calibri"/>
        </w:rPr>
        <w:t>≤</w:t>
      </w:r>
      <w:r w:rsidRPr="00B9655B">
        <w:t xml:space="preserve"> .001, respectively).</w:t>
      </w:r>
    </w:p>
    <w:p w14:paraId="5D2A7CC5" w14:textId="77777777" w:rsidR="00B9655B" w:rsidRPr="00B9655B" w:rsidRDefault="00B9655B" w:rsidP="00B9655B">
      <w:pPr>
        <w:pStyle w:val="NoSpacing"/>
      </w:pPr>
    </w:p>
    <w:p w14:paraId="360494B1" w14:textId="73E630D4" w:rsidR="00E33B38" w:rsidRDefault="00E33B38" w:rsidP="00E33B38">
      <w:pPr>
        <w:pStyle w:val="Heading3"/>
      </w:pPr>
      <w:r>
        <w:t>Demographic Questionnaire</w:t>
      </w:r>
    </w:p>
    <w:p w14:paraId="60EC2C73" w14:textId="4CAB7BA6" w:rsidR="00245E07" w:rsidRPr="00245E07" w:rsidRDefault="00245E07" w:rsidP="00245E07">
      <w:pPr>
        <w:pStyle w:val="NoSpacing"/>
      </w:pPr>
      <w:r w:rsidRPr="00245E07">
        <w:t>A demographic questionnaire was administered to parents to collect demo-graphic information about each participating parent and child, including age, sex, and socioeconomic status (SES). SES was assessed using the Hollingshead Four Factor Index of Social Status (Hollingshead, 1975), which considers one’s marital status, employment status, education, and occupation in determining SES.</w:t>
      </w:r>
    </w:p>
    <w:p w14:paraId="248A6E75" w14:textId="77777777" w:rsidR="00245E07" w:rsidRDefault="00245E07" w:rsidP="00245E07">
      <w:pPr>
        <w:pStyle w:val="NoSpacing"/>
      </w:pPr>
    </w:p>
    <w:p w14:paraId="37D6BF75" w14:textId="69B37488" w:rsidR="00E33B38" w:rsidRDefault="00E33B38" w:rsidP="00E33B38">
      <w:pPr>
        <w:pStyle w:val="Heading2"/>
      </w:pPr>
      <w:r>
        <w:lastRenderedPageBreak/>
        <w:t>Outcome Variables</w:t>
      </w:r>
    </w:p>
    <w:p w14:paraId="7A9F6579" w14:textId="6DBC4B4E" w:rsidR="00E33B38" w:rsidRDefault="00E33B38" w:rsidP="00E33B38">
      <w:pPr>
        <w:pStyle w:val="Heading3"/>
      </w:pPr>
      <w:r>
        <w:t>Treatment Attendance and Retention</w:t>
      </w:r>
    </w:p>
    <w:p w14:paraId="6BA1D024" w14:textId="622F4EA4" w:rsidR="00245E07" w:rsidRDefault="00245E07" w:rsidP="00245E07">
      <w:pPr>
        <w:pStyle w:val="NoSpacing"/>
      </w:pPr>
      <w:r w:rsidRPr="00245E07">
        <w:t>Attendance was measured according to number of PMT sessions attended by parents. Treatment retention was defined as family completion of the last scheduled session/class.</w:t>
      </w:r>
    </w:p>
    <w:p w14:paraId="4BE8DE3E" w14:textId="77777777" w:rsidR="00245E07" w:rsidRPr="00245E07" w:rsidRDefault="00245E07" w:rsidP="00245E07">
      <w:pPr>
        <w:pStyle w:val="NoSpacing"/>
      </w:pPr>
    </w:p>
    <w:p w14:paraId="7EBA2DB3" w14:textId="50170391" w:rsidR="00E33B38" w:rsidRDefault="00E33B38" w:rsidP="00E33B38">
      <w:pPr>
        <w:pStyle w:val="Heading3"/>
      </w:pPr>
      <w:r>
        <w:t>Treatment Engagement</w:t>
      </w:r>
    </w:p>
    <w:p w14:paraId="1DF0C4FE" w14:textId="4B6335B4" w:rsidR="004D2FC8" w:rsidRDefault="004D2FC8" w:rsidP="004D2FC8">
      <w:pPr>
        <w:pStyle w:val="NoSpacing"/>
      </w:pPr>
      <w:r w:rsidRPr="004D2FC8">
        <w:t xml:space="preserve">Engagement was assessed by (1) homework completion and (2) therapist ratings of parental engagement. A total mean percentage of completion on various homework items was calculated for each child. Both therapists also rated the participating parent(s)’s level of engagement at the end of treatment on a five-point scale of 1 (very </w:t>
      </w:r>
      <w:proofErr w:type="gramStart"/>
      <w:r w:rsidRPr="004D2FC8">
        <w:t>low)to</w:t>
      </w:r>
      <w:proofErr w:type="gramEnd"/>
      <w:r w:rsidRPr="004D2FC8">
        <w:t xml:space="preserve"> 5(very high), and a mean therapist rating engagement score for participating parent(s) was then computed for each family.</w:t>
      </w:r>
    </w:p>
    <w:p w14:paraId="66D23CA6" w14:textId="77777777" w:rsidR="004D2FC8" w:rsidRPr="004D2FC8" w:rsidRDefault="004D2FC8" w:rsidP="004D2FC8">
      <w:pPr>
        <w:pStyle w:val="NoSpacing"/>
      </w:pPr>
    </w:p>
    <w:p w14:paraId="49C66A43" w14:textId="381005C5" w:rsidR="00E33B38" w:rsidRDefault="00E33B38" w:rsidP="00E33B38">
      <w:pPr>
        <w:pStyle w:val="Heading3"/>
      </w:pPr>
      <w:r>
        <w:t>Treatment Response</w:t>
      </w:r>
    </w:p>
    <w:p w14:paraId="59BA2610" w14:textId="1C2D95CF" w:rsidR="004D2FC8" w:rsidRDefault="004D2FC8" w:rsidP="004D2FC8">
      <w:pPr>
        <w:pStyle w:val="NoSpacing"/>
      </w:pPr>
      <w:r w:rsidRPr="004D2FC8">
        <w:t xml:space="preserve">Treatment response was assessed by (1) posttreatment ratings of symptomatology and functional impairment, (2) therapist ratings of treatment response, and (3) progress toward treatment goals. Posttreatment scores on the DBD Rating Scale and the ADHD-FX Scale were used to assess symptomatology and functioning impairment following treatment after </w:t>
      </w:r>
      <w:proofErr w:type="gramStart"/>
      <w:r w:rsidRPr="004D2FC8">
        <w:t>control-ling</w:t>
      </w:r>
      <w:proofErr w:type="gramEnd"/>
      <w:r w:rsidRPr="004D2FC8">
        <w:t xml:space="preserve"> for pretreatment levels. Both therapists also rated the participating child’s improvement related to behavior and functioning and the participating parent(s)’s improvement related to parent/family functioning at the end of treatment on a five-point scale of 1 (none)to 5(substantial gains), and a mean treatment response score was computed for each participating child and parent(s). Finally, approximately five treatment goals were established for each participating child in the home and school settings, and the per-centage of treatment goals that were met at the end of treatment was calculated for each child.</w:t>
      </w:r>
    </w:p>
    <w:p w14:paraId="1BD8E8AA" w14:textId="6B6279A7" w:rsidR="00256E24" w:rsidRDefault="00256E24" w:rsidP="004D2FC8">
      <w:pPr>
        <w:pStyle w:val="NoSpacing"/>
      </w:pPr>
    </w:p>
    <w:p w14:paraId="56740CAE" w14:textId="7377E7CE" w:rsidR="007517F5" w:rsidRPr="00C95D04" w:rsidRDefault="00E33B38" w:rsidP="00086656">
      <w:pPr>
        <w:pStyle w:val="Heading1"/>
      </w:pPr>
      <w:r>
        <w:t>Results</w:t>
      </w:r>
    </w:p>
    <w:p w14:paraId="53155D0A" w14:textId="7BA9645E" w:rsidR="00E33B38" w:rsidRDefault="00E33B38" w:rsidP="00E33B38">
      <w:pPr>
        <w:pStyle w:val="Heading2"/>
      </w:pPr>
      <w:r>
        <w:t>Preliminary Results</w:t>
      </w:r>
    </w:p>
    <w:p w14:paraId="38B5F6B9" w14:textId="77777777" w:rsidR="00086656" w:rsidRDefault="00086656" w:rsidP="00086656">
      <w:pPr>
        <w:pStyle w:val="NoSpacing"/>
      </w:pPr>
      <w:r w:rsidRPr="00C95D04">
        <w:t>Based on current guidelines for managing multisource data (</w:t>
      </w:r>
      <w:proofErr w:type="spellStart"/>
      <w:r w:rsidRPr="00C95D04">
        <w:t>Holmbeck</w:t>
      </w:r>
      <w:proofErr w:type="spellEnd"/>
      <w:r w:rsidRPr="00C95D04">
        <w:t xml:space="preserve">, Li, </w:t>
      </w:r>
      <w:proofErr w:type="spellStart"/>
      <w:r w:rsidRPr="00C95D04">
        <w:t>Schurman</w:t>
      </w:r>
      <w:proofErr w:type="spellEnd"/>
      <w:r w:rsidRPr="00C95D04">
        <w:t xml:space="preserve">, Friedman, &amp; Coakley, 2002), correlations between parent- and teacher-reported ADHD symptoms (DBD Rating Scale) were conducted. Given that pre- and posttreatment reports were not highly correlated (r </w:t>
      </w:r>
      <w:r>
        <w:t>=</w:t>
      </w:r>
      <w:r w:rsidRPr="00C95D04">
        <w:t xml:space="preserve"> .12, ns; r </w:t>
      </w:r>
      <w:r>
        <w:t>=</w:t>
      </w:r>
      <w:r w:rsidRPr="00C95D04">
        <w:t xml:space="preserve"> .45, </w:t>
      </w:r>
      <w:r w:rsidRPr="007517F5">
        <w:rPr>
          <w:i/>
          <w:iCs/>
        </w:rPr>
        <w:t>ns</w:t>
      </w:r>
      <w:r w:rsidRPr="00C95D04">
        <w:t>, respectively), they were examined separately for all analyses.</w:t>
      </w:r>
    </w:p>
    <w:p w14:paraId="2C7C542C" w14:textId="77777777" w:rsidR="00086656" w:rsidRPr="00086656" w:rsidRDefault="00086656" w:rsidP="00086656">
      <w:pPr>
        <w:pStyle w:val="NoSpacing"/>
      </w:pPr>
    </w:p>
    <w:p w14:paraId="662D6DD4" w14:textId="35DC5682" w:rsidR="00E33B38" w:rsidRDefault="00E33B38" w:rsidP="00E33B38">
      <w:pPr>
        <w:pStyle w:val="Heading3"/>
      </w:pPr>
      <w:r>
        <w:t>Predictor Variables and Treatment Participation Outcomes</w:t>
      </w:r>
    </w:p>
    <w:p w14:paraId="5FFB5B17" w14:textId="77777777" w:rsidR="00086656" w:rsidRDefault="00086656" w:rsidP="00086656">
      <w:pPr>
        <w:pStyle w:val="NoSpacing"/>
      </w:pPr>
      <w:r w:rsidRPr="007517F5">
        <w:t>Independent-samples t tests were conducted to examine mean differences in attendance, engagement, and treatment response outcomes according to treatment type, child sex, and comorbidity. No significant differences emerged according to child sex. Results indicated that families participating in the culturally adapted treatment demonstrated significantly higher</w:t>
      </w:r>
      <w:r w:rsidRPr="00086656">
        <w:t xml:space="preserve"> </w:t>
      </w:r>
      <w:r>
        <w:t>homework completion and therapist-reported improvements in child and parent/family functioning, M= 88.83, SD = 13.63; M = 4.27, SD = 0.55; M= 4.31, SD = 0.60, respectively, compared to those in ST, M = 68.95, SD = 24.36; t (45.22) =</w:t>
      </w:r>
      <w:r>
        <w:rPr>
          <w:rFonts w:ascii="Calibri" w:eastAsia="Calibri" w:hAnsi="Calibri" w:cs="Calibri"/>
        </w:rPr>
        <w:t>-</w:t>
      </w:r>
      <w:r>
        <w:t xml:space="preserve">3.92, p </w:t>
      </w:r>
      <w:r>
        <w:rPr>
          <w:rFonts w:ascii="Calibri" w:eastAsia="Calibri" w:hAnsi="Calibri" w:cs="Calibri"/>
        </w:rPr>
        <w:t>≤</w:t>
      </w:r>
      <w:r>
        <w:t xml:space="preserve"> .001; M= 3.70, SD = 1.12; t (41.73) =</w:t>
      </w:r>
      <w:r>
        <w:rPr>
          <w:rFonts w:ascii="Calibri" w:eastAsia="Calibri" w:hAnsi="Calibri" w:cs="Calibri"/>
        </w:rPr>
        <w:t>-</w:t>
      </w:r>
      <w:r>
        <w:t xml:space="preserve">2.54, p </w:t>
      </w:r>
      <w:r>
        <w:rPr>
          <w:rFonts w:ascii="Calibri" w:eastAsia="Calibri" w:hAnsi="Calibri" w:cs="Calibri"/>
        </w:rPr>
        <w:t>≤</w:t>
      </w:r>
      <w:r>
        <w:t xml:space="preserve"> .05; M = 3.83, SD = 1.15; t (43.32) =</w:t>
      </w:r>
      <w:r>
        <w:rPr>
          <w:rFonts w:ascii="Calibri" w:eastAsia="Calibri" w:hAnsi="Calibri" w:cs="Calibri"/>
        </w:rPr>
        <w:t>-</w:t>
      </w:r>
      <w:r>
        <w:t xml:space="preserve">2.00, p </w:t>
      </w:r>
      <w:r>
        <w:rPr>
          <w:rFonts w:ascii="Calibri" w:eastAsia="Calibri" w:hAnsi="Calibri" w:cs="Calibri"/>
        </w:rPr>
        <w:t>≤</w:t>
      </w:r>
      <w:r>
        <w:t xml:space="preserve"> .05, respectively. The effect sizes of these differences were medium to large. In addition, youth with comorbid diagnoses demonstrated significantly higher parent-reported ADHD symptomatology and functional impairment in the home setting posttreatment, M= 1.53, SD = 0.70; M= 0.98, SD = 0.51, respectively, compared to those without comorbid diagnoses, M= 1.16, SD = 0.51; t (56) =</w:t>
      </w:r>
      <w:r>
        <w:rPr>
          <w:rFonts w:ascii="Calibri" w:eastAsia="Calibri" w:hAnsi="Calibri" w:cs="Calibri"/>
        </w:rPr>
        <w:t>-</w:t>
      </w:r>
      <w:r>
        <w:t xml:space="preserve">2.29, p </w:t>
      </w:r>
      <w:r>
        <w:rPr>
          <w:rFonts w:ascii="Calibri" w:eastAsia="Calibri" w:hAnsi="Calibri" w:cs="Calibri"/>
        </w:rPr>
        <w:t>≤</w:t>
      </w:r>
      <w:r>
        <w:t xml:space="preserve"> .05; M = 0.62, SD = 0.36; t (56) =</w:t>
      </w:r>
      <w:r>
        <w:rPr>
          <w:rFonts w:ascii="Calibri" w:eastAsia="Calibri" w:hAnsi="Calibri" w:cs="Calibri"/>
        </w:rPr>
        <w:t>-</w:t>
      </w:r>
      <w:r>
        <w:t xml:space="preserve">3.09, p </w:t>
      </w:r>
      <w:r>
        <w:rPr>
          <w:rFonts w:ascii="Calibri" w:eastAsia="Calibri" w:hAnsi="Calibri" w:cs="Calibri"/>
        </w:rPr>
        <w:t>≤</w:t>
      </w:r>
      <w:r>
        <w:t xml:space="preserve"> .01, respectively. Effect sizes of these differences were medium to large.</w:t>
      </w:r>
    </w:p>
    <w:p w14:paraId="48E26D07" w14:textId="77777777" w:rsidR="00086656" w:rsidRDefault="00086656" w:rsidP="00086656">
      <w:pPr>
        <w:pStyle w:val="NoSpacing"/>
      </w:pPr>
    </w:p>
    <w:p w14:paraId="089BCA0A" w14:textId="7CDB9497" w:rsidR="00086656" w:rsidRDefault="00086656" w:rsidP="00086656">
      <w:pPr>
        <w:pStyle w:val="NoSpacing"/>
      </w:pPr>
      <w:r>
        <w:t xml:space="preserve">Correlational analyses were then conducted to examine relations between the other child demographic/diagnostic variables (i.e., child age, SES, and baseline severity of ADHD symptoms and functional impairment) and parental cultural variables and perceptions regarding treatment with attendance, engagement, </w:t>
      </w:r>
      <w:r>
        <w:lastRenderedPageBreak/>
        <w:t>and treatment response outcomes. In summary, attendance and engagement outcomes (i.e., homework completion, therapist-rated parental engagement) were significantly related to father acculturation status. In addition, treatment response outcomes (i.e., posttreatment parent- and teacher-reported ratings of symptomatology and functional impairment) were significantly related to baseline severity of ADHD symptoms and functional impairment, parent acculturation status, and mothers’ attitudes toward treatment (see Table 2).</w:t>
      </w:r>
    </w:p>
    <w:p w14:paraId="09FC854B" w14:textId="0EE0552D" w:rsidR="00086656" w:rsidRDefault="00086656" w:rsidP="00086656">
      <w:pPr>
        <w:pStyle w:val="NoSpacing"/>
      </w:pPr>
    </w:p>
    <w:p w14:paraId="0D8427B4" w14:textId="77777777" w:rsidR="00086656" w:rsidRDefault="00086656" w:rsidP="00086656">
      <w:pPr>
        <w:pStyle w:val="NoSpacing"/>
      </w:pPr>
      <w:r w:rsidRPr="00256E24">
        <w:rPr>
          <w:b/>
          <w:bCs/>
        </w:rPr>
        <w:t>Table 1</w:t>
      </w:r>
      <w:r w:rsidRPr="00256E24">
        <w:t>. Parent, Family, and Child Demographics.</w:t>
      </w:r>
    </w:p>
    <w:tbl>
      <w:tblPr>
        <w:tblStyle w:val="TableGridLight"/>
        <w:tblW w:w="0" w:type="auto"/>
        <w:tblLook w:val="04A0" w:firstRow="1" w:lastRow="0" w:firstColumn="1" w:lastColumn="0" w:noHBand="0" w:noVBand="1"/>
      </w:tblPr>
      <w:tblGrid>
        <w:gridCol w:w="3026"/>
        <w:gridCol w:w="1403"/>
        <w:gridCol w:w="2825"/>
        <w:gridCol w:w="1180"/>
      </w:tblGrid>
      <w:tr w:rsidR="00086656" w:rsidRPr="00AF0831" w14:paraId="1221A53F" w14:textId="77777777" w:rsidTr="00086656">
        <w:tc>
          <w:tcPr>
            <w:tcW w:w="0" w:type="auto"/>
          </w:tcPr>
          <w:p w14:paraId="21F3EBCD" w14:textId="77777777" w:rsidR="00086656" w:rsidRPr="00086656" w:rsidRDefault="00086656" w:rsidP="00D7021D">
            <w:pPr>
              <w:pStyle w:val="NoSpacing"/>
              <w:rPr>
                <w:b/>
                <w:bCs/>
              </w:rPr>
            </w:pPr>
            <w:bookmarkStart w:id="3" w:name="Results"/>
            <w:bookmarkStart w:id="4" w:name="Preliminary_Results"/>
            <w:bookmarkStart w:id="5" w:name="Predictor_Variables_and_Treatment_Partic"/>
            <w:bookmarkStart w:id="6" w:name="_bookmark0"/>
            <w:bookmarkEnd w:id="3"/>
            <w:bookmarkEnd w:id="4"/>
            <w:bookmarkEnd w:id="5"/>
            <w:bookmarkEnd w:id="6"/>
            <w:r w:rsidRPr="00086656">
              <w:rPr>
                <w:b/>
                <w:bCs/>
              </w:rPr>
              <w:t>Parent and Family Factors</w:t>
            </w:r>
          </w:p>
        </w:tc>
        <w:tc>
          <w:tcPr>
            <w:tcW w:w="0" w:type="auto"/>
          </w:tcPr>
          <w:p w14:paraId="25A9CEEC" w14:textId="77777777" w:rsidR="00086656" w:rsidRPr="00086656" w:rsidRDefault="00086656" w:rsidP="00D7021D">
            <w:pPr>
              <w:pStyle w:val="NoSpacing"/>
              <w:rPr>
                <w:b/>
                <w:bCs/>
              </w:rPr>
            </w:pPr>
          </w:p>
        </w:tc>
        <w:tc>
          <w:tcPr>
            <w:tcW w:w="0" w:type="auto"/>
          </w:tcPr>
          <w:p w14:paraId="7E73F717" w14:textId="77777777" w:rsidR="00086656" w:rsidRPr="00086656" w:rsidRDefault="00086656" w:rsidP="00D7021D">
            <w:pPr>
              <w:pStyle w:val="NoSpacing"/>
              <w:rPr>
                <w:b/>
                <w:bCs/>
              </w:rPr>
            </w:pPr>
            <w:r w:rsidRPr="00086656">
              <w:rPr>
                <w:b/>
                <w:bCs/>
              </w:rPr>
              <w:t>Child Factors</w:t>
            </w:r>
          </w:p>
        </w:tc>
        <w:tc>
          <w:tcPr>
            <w:tcW w:w="0" w:type="auto"/>
          </w:tcPr>
          <w:p w14:paraId="41DB38DF" w14:textId="77777777" w:rsidR="00086656" w:rsidRPr="00AF0831" w:rsidRDefault="00086656" w:rsidP="00D7021D">
            <w:pPr>
              <w:pStyle w:val="NoSpacing"/>
            </w:pPr>
          </w:p>
        </w:tc>
      </w:tr>
      <w:tr w:rsidR="00086656" w:rsidRPr="00AF0831" w14:paraId="78938858" w14:textId="77777777" w:rsidTr="00086656">
        <w:tc>
          <w:tcPr>
            <w:tcW w:w="0" w:type="auto"/>
          </w:tcPr>
          <w:p w14:paraId="2FCD1A62" w14:textId="77777777" w:rsidR="00086656" w:rsidRPr="00AF0831" w:rsidRDefault="00086656" w:rsidP="00D7021D">
            <w:pPr>
              <w:pStyle w:val="NoSpacing"/>
            </w:pPr>
            <w:r w:rsidRPr="00AF0831">
              <w:t>Age, M (SD)</w:t>
            </w:r>
          </w:p>
        </w:tc>
        <w:tc>
          <w:tcPr>
            <w:tcW w:w="0" w:type="auto"/>
          </w:tcPr>
          <w:p w14:paraId="6A79F9CA" w14:textId="77777777" w:rsidR="00086656" w:rsidRPr="00AF0831" w:rsidRDefault="00086656" w:rsidP="00D7021D">
            <w:pPr>
              <w:pStyle w:val="NoSpacing"/>
            </w:pPr>
            <w:r w:rsidRPr="00AF0831">
              <w:t>37.26 (7.29)</w:t>
            </w:r>
          </w:p>
        </w:tc>
        <w:tc>
          <w:tcPr>
            <w:tcW w:w="0" w:type="auto"/>
          </w:tcPr>
          <w:p w14:paraId="6470B291" w14:textId="77777777" w:rsidR="00086656" w:rsidRPr="00AF0831" w:rsidRDefault="00086656" w:rsidP="00D7021D">
            <w:pPr>
              <w:pStyle w:val="NoSpacing"/>
            </w:pPr>
            <w:r w:rsidRPr="00DF4C07">
              <w:t xml:space="preserve">Age, M (SD) </w:t>
            </w:r>
          </w:p>
        </w:tc>
        <w:tc>
          <w:tcPr>
            <w:tcW w:w="0" w:type="auto"/>
          </w:tcPr>
          <w:p w14:paraId="527F4C00" w14:textId="77777777" w:rsidR="00086656" w:rsidRPr="00AF0831" w:rsidRDefault="00086656" w:rsidP="00D7021D">
            <w:pPr>
              <w:pStyle w:val="NoSpacing"/>
            </w:pPr>
            <w:r w:rsidRPr="00535C07">
              <w:t>7.98 (2.57)</w:t>
            </w:r>
          </w:p>
        </w:tc>
      </w:tr>
      <w:tr w:rsidR="00086656" w:rsidRPr="00AF0831" w14:paraId="5582CF24" w14:textId="77777777" w:rsidTr="00086656">
        <w:tc>
          <w:tcPr>
            <w:tcW w:w="0" w:type="auto"/>
          </w:tcPr>
          <w:p w14:paraId="4EE28AD5" w14:textId="77777777" w:rsidR="00086656" w:rsidRPr="00AF0831" w:rsidRDefault="00086656" w:rsidP="00D7021D">
            <w:pPr>
              <w:pStyle w:val="NoSpacing"/>
            </w:pPr>
            <w:r w:rsidRPr="00AF0831">
              <w:t>Sex, n (%)</w:t>
            </w:r>
          </w:p>
        </w:tc>
        <w:tc>
          <w:tcPr>
            <w:tcW w:w="0" w:type="auto"/>
          </w:tcPr>
          <w:p w14:paraId="63F4F8C0" w14:textId="77777777" w:rsidR="00086656" w:rsidRPr="00AF0831" w:rsidRDefault="00086656" w:rsidP="00D7021D">
            <w:pPr>
              <w:pStyle w:val="NoSpacing"/>
            </w:pPr>
          </w:p>
        </w:tc>
        <w:tc>
          <w:tcPr>
            <w:tcW w:w="0" w:type="auto"/>
          </w:tcPr>
          <w:p w14:paraId="47F7C2C1" w14:textId="77777777" w:rsidR="00086656" w:rsidRPr="00AF0831" w:rsidRDefault="00086656" w:rsidP="00D7021D">
            <w:pPr>
              <w:pStyle w:val="NoSpacing"/>
            </w:pPr>
            <w:r w:rsidRPr="00DF4C07">
              <w:t>Sex, n (%)</w:t>
            </w:r>
          </w:p>
        </w:tc>
        <w:tc>
          <w:tcPr>
            <w:tcW w:w="0" w:type="auto"/>
          </w:tcPr>
          <w:p w14:paraId="06F73A43" w14:textId="77777777" w:rsidR="00086656" w:rsidRPr="00AF0831" w:rsidRDefault="00086656" w:rsidP="00D7021D">
            <w:pPr>
              <w:pStyle w:val="NoSpacing"/>
            </w:pPr>
          </w:p>
        </w:tc>
      </w:tr>
      <w:tr w:rsidR="00086656" w:rsidRPr="00AF0831" w14:paraId="5D897B55" w14:textId="77777777" w:rsidTr="00086656">
        <w:tc>
          <w:tcPr>
            <w:tcW w:w="0" w:type="auto"/>
          </w:tcPr>
          <w:p w14:paraId="165177C4" w14:textId="77777777" w:rsidR="00086656" w:rsidRPr="00AF0831" w:rsidRDefault="00086656" w:rsidP="00D7021D">
            <w:pPr>
              <w:pStyle w:val="NoSpacing"/>
            </w:pPr>
            <w:r w:rsidRPr="00AF0831">
              <w:t>Female</w:t>
            </w:r>
          </w:p>
        </w:tc>
        <w:tc>
          <w:tcPr>
            <w:tcW w:w="0" w:type="auto"/>
          </w:tcPr>
          <w:p w14:paraId="4E6C4BF4" w14:textId="77777777" w:rsidR="00086656" w:rsidRPr="00AF0831" w:rsidRDefault="00086656" w:rsidP="00D7021D">
            <w:pPr>
              <w:pStyle w:val="NoSpacing"/>
            </w:pPr>
            <w:r w:rsidRPr="00AF0831">
              <w:t>60 (69.77)</w:t>
            </w:r>
          </w:p>
        </w:tc>
        <w:tc>
          <w:tcPr>
            <w:tcW w:w="0" w:type="auto"/>
          </w:tcPr>
          <w:p w14:paraId="2BAAC0DC" w14:textId="77777777" w:rsidR="00086656" w:rsidRPr="00AF0831" w:rsidRDefault="00086656" w:rsidP="00D7021D">
            <w:pPr>
              <w:pStyle w:val="NoSpacing"/>
            </w:pPr>
            <w:r>
              <w:t>Female</w:t>
            </w:r>
          </w:p>
        </w:tc>
        <w:tc>
          <w:tcPr>
            <w:tcW w:w="0" w:type="auto"/>
          </w:tcPr>
          <w:p w14:paraId="50B57D01" w14:textId="77777777" w:rsidR="00086656" w:rsidRPr="00AF0831" w:rsidRDefault="00086656" w:rsidP="00D7021D">
            <w:pPr>
              <w:pStyle w:val="NoSpacing"/>
            </w:pPr>
            <w:r w:rsidRPr="00C259EA">
              <w:t>17 (27.87)</w:t>
            </w:r>
          </w:p>
        </w:tc>
      </w:tr>
      <w:tr w:rsidR="00086656" w:rsidRPr="00AF0831" w14:paraId="73211343" w14:textId="77777777" w:rsidTr="00086656">
        <w:tc>
          <w:tcPr>
            <w:tcW w:w="0" w:type="auto"/>
          </w:tcPr>
          <w:p w14:paraId="7E4D6243" w14:textId="77777777" w:rsidR="00086656" w:rsidRPr="00AF0831" w:rsidRDefault="00086656" w:rsidP="00D7021D">
            <w:pPr>
              <w:pStyle w:val="NoSpacing"/>
            </w:pPr>
            <w:r w:rsidRPr="00AF0831">
              <w:t>Male</w:t>
            </w:r>
          </w:p>
        </w:tc>
        <w:tc>
          <w:tcPr>
            <w:tcW w:w="0" w:type="auto"/>
          </w:tcPr>
          <w:p w14:paraId="79BFA43D" w14:textId="77777777" w:rsidR="00086656" w:rsidRPr="00AF0831" w:rsidRDefault="00086656" w:rsidP="00D7021D">
            <w:pPr>
              <w:pStyle w:val="NoSpacing"/>
            </w:pPr>
            <w:r w:rsidRPr="00AF0831">
              <w:t>26 (30.23)</w:t>
            </w:r>
          </w:p>
        </w:tc>
        <w:tc>
          <w:tcPr>
            <w:tcW w:w="0" w:type="auto"/>
          </w:tcPr>
          <w:p w14:paraId="480CBAC3" w14:textId="77777777" w:rsidR="00086656" w:rsidRPr="00AF0831" w:rsidRDefault="00086656" w:rsidP="00D7021D">
            <w:pPr>
              <w:pStyle w:val="NoSpacing"/>
            </w:pPr>
            <w:r>
              <w:t>Male</w:t>
            </w:r>
          </w:p>
        </w:tc>
        <w:tc>
          <w:tcPr>
            <w:tcW w:w="0" w:type="auto"/>
          </w:tcPr>
          <w:p w14:paraId="2B659565" w14:textId="77777777" w:rsidR="00086656" w:rsidRPr="00AF0831" w:rsidRDefault="00086656" w:rsidP="00D7021D">
            <w:pPr>
              <w:pStyle w:val="NoSpacing"/>
            </w:pPr>
            <w:r w:rsidRPr="00C259EA">
              <w:t>44 (72.13)</w:t>
            </w:r>
          </w:p>
        </w:tc>
      </w:tr>
      <w:tr w:rsidR="00086656" w:rsidRPr="00AF0831" w14:paraId="23B6ADEF" w14:textId="77777777" w:rsidTr="00086656">
        <w:tc>
          <w:tcPr>
            <w:tcW w:w="0" w:type="auto"/>
          </w:tcPr>
          <w:p w14:paraId="56ECEDCB" w14:textId="77777777" w:rsidR="00086656" w:rsidRPr="00AF0831" w:rsidRDefault="00086656" w:rsidP="00D7021D">
            <w:pPr>
              <w:pStyle w:val="NoSpacing"/>
              <w:rPr>
                <w:vertAlign w:val="superscript"/>
              </w:rPr>
            </w:pPr>
            <w:r>
              <w:t xml:space="preserve">Education, </w:t>
            </w:r>
            <w:r>
              <w:rPr>
                <w:i/>
                <w:iCs/>
              </w:rPr>
              <w:t xml:space="preserve">n </w:t>
            </w:r>
            <w:r>
              <w:t>(</w:t>
            </w:r>
            <w:proofErr w:type="gramStart"/>
            <w:r>
              <w:t>%)</w:t>
            </w:r>
            <w:r>
              <w:rPr>
                <w:vertAlign w:val="superscript"/>
              </w:rPr>
              <w:t>+</w:t>
            </w:r>
            <w:proofErr w:type="gramEnd"/>
          </w:p>
        </w:tc>
        <w:tc>
          <w:tcPr>
            <w:tcW w:w="0" w:type="auto"/>
          </w:tcPr>
          <w:p w14:paraId="5A6B79B5" w14:textId="77777777" w:rsidR="00086656" w:rsidRPr="00AF0831" w:rsidRDefault="00086656" w:rsidP="00D7021D">
            <w:pPr>
              <w:pStyle w:val="NoSpacing"/>
            </w:pPr>
          </w:p>
        </w:tc>
        <w:tc>
          <w:tcPr>
            <w:tcW w:w="0" w:type="auto"/>
          </w:tcPr>
          <w:p w14:paraId="68290359" w14:textId="77777777" w:rsidR="00086656" w:rsidRPr="00AF0831" w:rsidRDefault="00086656" w:rsidP="00D7021D">
            <w:pPr>
              <w:pStyle w:val="NoSpacing"/>
            </w:pPr>
            <w:r>
              <w:t xml:space="preserve">Grade level, </w:t>
            </w:r>
            <w:proofErr w:type="gramStart"/>
            <w:r>
              <w:t>n(</w:t>
            </w:r>
            <w:proofErr w:type="gramEnd"/>
            <w:r>
              <w:t>%)</w:t>
            </w:r>
          </w:p>
        </w:tc>
        <w:tc>
          <w:tcPr>
            <w:tcW w:w="0" w:type="auto"/>
          </w:tcPr>
          <w:p w14:paraId="08724B12" w14:textId="77777777" w:rsidR="00086656" w:rsidRPr="00AF0831" w:rsidRDefault="00086656" w:rsidP="00D7021D">
            <w:pPr>
              <w:pStyle w:val="NoSpacing"/>
            </w:pPr>
          </w:p>
        </w:tc>
      </w:tr>
      <w:tr w:rsidR="00086656" w:rsidRPr="00AF0831" w14:paraId="62E2C3B9" w14:textId="77777777" w:rsidTr="00086656">
        <w:tc>
          <w:tcPr>
            <w:tcW w:w="0" w:type="auto"/>
          </w:tcPr>
          <w:p w14:paraId="323B6CBD" w14:textId="77777777" w:rsidR="00086656" w:rsidRPr="00AF0831" w:rsidRDefault="00086656" w:rsidP="00D7021D">
            <w:pPr>
              <w:pStyle w:val="NoSpacing"/>
            </w:pPr>
            <w:r>
              <w:t>Some high school or less</w:t>
            </w:r>
          </w:p>
        </w:tc>
        <w:tc>
          <w:tcPr>
            <w:tcW w:w="0" w:type="auto"/>
          </w:tcPr>
          <w:p w14:paraId="2CC74A01" w14:textId="77777777" w:rsidR="00086656" w:rsidRPr="00AF0831" w:rsidRDefault="00086656" w:rsidP="00D7021D">
            <w:pPr>
              <w:pStyle w:val="NoSpacing"/>
            </w:pPr>
            <w:r w:rsidRPr="008B01CB">
              <w:t>52 (60.47)</w:t>
            </w:r>
          </w:p>
        </w:tc>
        <w:tc>
          <w:tcPr>
            <w:tcW w:w="0" w:type="auto"/>
          </w:tcPr>
          <w:p w14:paraId="746EDCCE" w14:textId="77777777" w:rsidR="00086656" w:rsidRPr="00AF0831" w:rsidRDefault="00086656" w:rsidP="00D7021D">
            <w:pPr>
              <w:pStyle w:val="NoSpacing"/>
            </w:pPr>
            <w:r>
              <w:t>Kindergarten</w:t>
            </w:r>
          </w:p>
        </w:tc>
        <w:tc>
          <w:tcPr>
            <w:tcW w:w="0" w:type="auto"/>
          </w:tcPr>
          <w:p w14:paraId="5C19BFDF" w14:textId="77777777" w:rsidR="00086656" w:rsidRPr="00AF0831" w:rsidRDefault="00086656" w:rsidP="00D7021D">
            <w:pPr>
              <w:pStyle w:val="NoSpacing"/>
            </w:pPr>
            <w:r w:rsidRPr="00A91BB5">
              <w:t>13 (21.31)</w:t>
            </w:r>
          </w:p>
        </w:tc>
      </w:tr>
      <w:tr w:rsidR="00086656" w:rsidRPr="00AF0831" w14:paraId="013AAB06" w14:textId="77777777" w:rsidTr="00086656">
        <w:tc>
          <w:tcPr>
            <w:tcW w:w="0" w:type="auto"/>
          </w:tcPr>
          <w:p w14:paraId="307B77C2" w14:textId="77777777" w:rsidR="00086656" w:rsidRPr="00AF0831" w:rsidRDefault="00086656" w:rsidP="00D7021D">
            <w:pPr>
              <w:pStyle w:val="NoSpacing"/>
            </w:pPr>
            <w:r>
              <w:t>Graduated high school/GED</w:t>
            </w:r>
          </w:p>
        </w:tc>
        <w:tc>
          <w:tcPr>
            <w:tcW w:w="0" w:type="auto"/>
          </w:tcPr>
          <w:p w14:paraId="0BAE285E" w14:textId="77777777" w:rsidR="00086656" w:rsidRPr="00AF0831" w:rsidRDefault="00086656" w:rsidP="00D7021D">
            <w:pPr>
              <w:pStyle w:val="NoSpacing"/>
            </w:pPr>
            <w:r w:rsidRPr="00AA292C">
              <w:t>17 (19.77)</w:t>
            </w:r>
          </w:p>
        </w:tc>
        <w:tc>
          <w:tcPr>
            <w:tcW w:w="0" w:type="auto"/>
          </w:tcPr>
          <w:p w14:paraId="334F5E4A" w14:textId="77777777" w:rsidR="00086656" w:rsidRPr="00AF0831" w:rsidRDefault="00086656" w:rsidP="00D7021D">
            <w:pPr>
              <w:pStyle w:val="NoSpacing"/>
            </w:pPr>
            <w:r>
              <w:t>Elementary (1</w:t>
            </w:r>
            <w:r w:rsidRPr="00FA0FB1">
              <w:rPr>
                <w:vertAlign w:val="superscript"/>
              </w:rPr>
              <w:t>st</w:t>
            </w:r>
            <w:r>
              <w:t>-5</w:t>
            </w:r>
            <w:r w:rsidRPr="00FA0FB1">
              <w:rPr>
                <w:vertAlign w:val="superscript"/>
              </w:rPr>
              <w:t>th</w:t>
            </w:r>
            <w:r>
              <w:t xml:space="preserve"> grade)</w:t>
            </w:r>
          </w:p>
        </w:tc>
        <w:tc>
          <w:tcPr>
            <w:tcW w:w="0" w:type="auto"/>
          </w:tcPr>
          <w:p w14:paraId="06E102F2" w14:textId="77777777" w:rsidR="00086656" w:rsidRPr="00AF0831" w:rsidRDefault="00086656" w:rsidP="00D7021D">
            <w:pPr>
              <w:pStyle w:val="NoSpacing"/>
            </w:pPr>
            <w:r w:rsidRPr="00A91BB5">
              <w:t>36 (59.02)</w:t>
            </w:r>
          </w:p>
        </w:tc>
      </w:tr>
      <w:tr w:rsidR="00086656" w:rsidRPr="00AF0831" w14:paraId="6F10B0CE" w14:textId="77777777" w:rsidTr="00086656">
        <w:tc>
          <w:tcPr>
            <w:tcW w:w="0" w:type="auto"/>
          </w:tcPr>
          <w:p w14:paraId="42BFC5FE" w14:textId="77777777" w:rsidR="00086656" w:rsidRPr="00AF0831" w:rsidRDefault="00086656" w:rsidP="00D7021D">
            <w:pPr>
              <w:pStyle w:val="NoSpacing"/>
            </w:pPr>
            <w:r>
              <w:t>Some college</w:t>
            </w:r>
          </w:p>
        </w:tc>
        <w:tc>
          <w:tcPr>
            <w:tcW w:w="0" w:type="auto"/>
          </w:tcPr>
          <w:p w14:paraId="521B7FAF" w14:textId="77777777" w:rsidR="00086656" w:rsidRPr="00AF0831" w:rsidRDefault="00086656" w:rsidP="00D7021D">
            <w:pPr>
              <w:pStyle w:val="NoSpacing"/>
            </w:pPr>
            <w:r w:rsidRPr="00AA292C">
              <w:t>11 (12.79)</w:t>
            </w:r>
          </w:p>
        </w:tc>
        <w:tc>
          <w:tcPr>
            <w:tcW w:w="0" w:type="auto"/>
          </w:tcPr>
          <w:p w14:paraId="03FE3CC9" w14:textId="77777777" w:rsidR="00086656" w:rsidRPr="00AF0831" w:rsidRDefault="00086656" w:rsidP="00D7021D">
            <w:pPr>
              <w:pStyle w:val="NoSpacing"/>
            </w:pPr>
            <w:r>
              <w:t>Middle school (6</w:t>
            </w:r>
            <w:r w:rsidRPr="00FA0FB1">
              <w:rPr>
                <w:vertAlign w:val="superscript"/>
              </w:rPr>
              <w:t>th</w:t>
            </w:r>
            <w:r>
              <w:t>-8</w:t>
            </w:r>
            <w:r w:rsidRPr="00FA0FB1">
              <w:rPr>
                <w:vertAlign w:val="superscript"/>
              </w:rPr>
              <w:t>th</w:t>
            </w:r>
            <w:r>
              <w:t xml:space="preserve"> grade)</w:t>
            </w:r>
          </w:p>
        </w:tc>
        <w:tc>
          <w:tcPr>
            <w:tcW w:w="0" w:type="auto"/>
          </w:tcPr>
          <w:p w14:paraId="4B6EA730" w14:textId="77777777" w:rsidR="00086656" w:rsidRPr="00AF0831" w:rsidRDefault="00086656" w:rsidP="00D7021D">
            <w:pPr>
              <w:pStyle w:val="NoSpacing"/>
            </w:pPr>
            <w:r w:rsidRPr="00A91BB5">
              <w:t>12 (19.67)</w:t>
            </w:r>
          </w:p>
        </w:tc>
      </w:tr>
      <w:tr w:rsidR="00086656" w:rsidRPr="00AF0831" w14:paraId="2D5C7EA9" w14:textId="77777777" w:rsidTr="00086656">
        <w:tc>
          <w:tcPr>
            <w:tcW w:w="0" w:type="auto"/>
          </w:tcPr>
          <w:p w14:paraId="6E5BBCE7" w14:textId="77777777" w:rsidR="00086656" w:rsidRPr="00AF0831" w:rsidRDefault="00086656" w:rsidP="00D7021D">
            <w:pPr>
              <w:pStyle w:val="NoSpacing"/>
            </w:pPr>
            <w:r>
              <w:t>College or graduate degree</w:t>
            </w:r>
          </w:p>
        </w:tc>
        <w:tc>
          <w:tcPr>
            <w:tcW w:w="0" w:type="auto"/>
          </w:tcPr>
          <w:p w14:paraId="506AE3AD" w14:textId="77777777" w:rsidR="00086656" w:rsidRPr="00AF0831" w:rsidRDefault="00086656" w:rsidP="00D7021D">
            <w:pPr>
              <w:pStyle w:val="NoSpacing"/>
            </w:pPr>
            <w:r w:rsidRPr="00AA292C">
              <w:t>4 (4.65)</w:t>
            </w:r>
          </w:p>
        </w:tc>
        <w:tc>
          <w:tcPr>
            <w:tcW w:w="0" w:type="auto"/>
          </w:tcPr>
          <w:p w14:paraId="2FAD4422" w14:textId="77777777" w:rsidR="00086656" w:rsidRPr="00AF0831" w:rsidRDefault="00086656" w:rsidP="00D7021D">
            <w:pPr>
              <w:pStyle w:val="NoSpacing"/>
            </w:pPr>
            <w:r>
              <w:t xml:space="preserve">ADHD subtype, </w:t>
            </w:r>
            <w:proofErr w:type="gramStart"/>
            <w:r>
              <w:t>n(</w:t>
            </w:r>
            <w:proofErr w:type="gramEnd"/>
            <w:r>
              <w:t>%)</w:t>
            </w:r>
          </w:p>
        </w:tc>
        <w:tc>
          <w:tcPr>
            <w:tcW w:w="0" w:type="auto"/>
          </w:tcPr>
          <w:p w14:paraId="251B8F7D" w14:textId="77777777" w:rsidR="00086656" w:rsidRPr="00AF0831" w:rsidRDefault="00086656" w:rsidP="00D7021D">
            <w:pPr>
              <w:pStyle w:val="NoSpacing"/>
            </w:pPr>
          </w:p>
        </w:tc>
      </w:tr>
      <w:tr w:rsidR="00086656" w:rsidRPr="00AF0831" w14:paraId="7873A43A" w14:textId="77777777" w:rsidTr="00086656">
        <w:tc>
          <w:tcPr>
            <w:tcW w:w="0" w:type="auto"/>
          </w:tcPr>
          <w:p w14:paraId="5073E17A" w14:textId="77777777" w:rsidR="00086656" w:rsidRPr="00AF0831" w:rsidRDefault="00086656" w:rsidP="00D7021D">
            <w:pPr>
              <w:pStyle w:val="NoSpacing"/>
            </w:pPr>
            <w:r>
              <w:t xml:space="preserve">Ethnicity, </w:t>
            </w:r>
            <w:r>
              <w:rPr>
                <w:i/>
                <w:iCs/>
              </w:rPr>
              <w:t xml:space="preserve">n </w:t>
            </w:r>
            <w:r>
              <w:t>(%)</w:t>
            </w:r>
          </w:p>
        </w:tc>
        <w:tc>
          <w:tcPr>
            <w:tcW w:w="0" w:type="auto"/>
          </w:tcPr>
          <w:p w14:paraId="089DD51F" w14:textId="77777777" w:rsidR="00086656" w:rsidRPr="00AF0831" w:rsidRDefault="00086656" w:rsidP="00D7021D">
            <w:pPr>
              <w:pStyle w:val="NoSpacing"/>
            </w:pPr>
          </w:p>
        </w:tc>
        <w:tc>
          <w:tcPr>
            <w:tcW w:w="0" w:type="auto"/>
          </w:tcPr>
          <w:p w14:paraId="2A05CAE6" w14:textId="77777777" w:rsidR="00086656" w:rsidRPr="00AF0831" w:rsidRDefault="00086656" w:rsidP="00D7021D">
            <w:pPr>
              <w:pStyle w:val="NoSpacing"/>
            </w:pPr>
            <w:r>
              <w:t>Inattentive only</w:t>
            </w:r>
          </w:p>
        </w:tc>
        <w:tc>
          <w:tcPr>
            <w:tcW w:w="0" w:type="auto"/>
          </w:tcPr>
          <w:p w14:paraId="3B459BB8" w14:textId="77777777" w:rsidR="00086656" w:rsidRPr="00AF0831" w:rsidRDefault="00086656" w:rsidP="00D7021D">
            <w:pPr>
              <w:pStyle w:val="NoSpacing"/>
            </w:pPr>
            <w:r w:rsidRPr="00A91BB5">
              <w:t>26 (42.62)</w:t>
            </w:r>
          </w:p>
        </w:tc>
      </w:tr>
      <w:tr w:rsidR="00086656" w:rsidRPr="00AF0831" w14:paraId="5C8BBC94" w14:textId="77777777" w:rsidTr="00086656">
        <w:tc>
          <w:tcPr>
            <w:tcW w:w="0" w:type="auto"/>
          </w:tcPr>
          <w:p w14:paraId="077042BB" w14:textId="77777777" w:rsidR="00086656" w:rsidRDefault="00086656" w:rsidP="00D7021D">
            <w:pPr>
              <w:pStyle w:val="NoSpacing"/>
            </w:pPr>
            <w:r>
              <w:t>Latino, Mexican descent</w:t>
            </w:r>
          </w:p>
        </w:tc>
        <w:tc>
          <w:tcPr>
            <w:tcW w:w="0" w:type="auto"/>
          </w:tcPr>
          <w:p w14:paraId="78BCA492" w14:textId="77777777" w:rsidR="00086656" w:rsidRPr="00AF0831" w:rsidRDefault="00086656" w:rsidP="00D7021D">
            <w:pPr>
              <w:pStyle w:val="NoSpacing"/>
            </w:pPr>
            <w:r w:rsidRPr="00AA292C">
              <w:t>76 (88.37)</w:t>
            </w:r>
          </w:p>
        </w:tc>
        <w:tc>
          <w:tcPr>
            <w:tcW w:w="0" w:type="auto"/>
          </w:tcPr>
          <w:p w14:paraId="78026E6B" w14:textId="77777777" w:rsidR="00086656" w:rsidRPr="00AF0831" w:rsidRDefault="00086656" w:rsidP="00D7021D">
            <w:pPr>
              <w:pStyle w:val="NoSpacing"/>
            </w:pPr>
            <w:r>
              <w:t>Hyperactive/impulsive only</w:t>
            </w:r>
          </w:p>
        </w:tc>
        <w:tc>
          <w:tcPr>
            <w:tcW w:w="0" w:type="auto"/>
          </w:tcPr>
          <w:p w14:paraId="105308F8" w14:textId="77777777" w:rsidR="00086656" w:rsidRPr="00AF0831" w:rsidRDefault="00086656" w:rsidP="00D7021D">
            <w:pPr>
              <w:pStyle w:val="NoSpacing"/>
            </w:pPr>
            <w:r w:rsidRPr="00A91BB5">
              <w:t>7 (11.48)</w:t>
            </w:r>
          </w:p>
        </w:tc>
      </w:tr>
      <w:tr w:rsidR="00086656" w:rsidRPr="00AF0831" w14:paraId="096C224A" w14:textId="77777777" w:rsidTr="00086656">
        <w:tc>
          <w:tcPr>
            <w:tcW w:w="0" w:type="auto"/>
          </w:tcPr>
          <w:p w14:paraId="77CE533A" w14:textId="77777777" w:rsidR="00086656" w:rsidRDefault="00086656" w:rsidP="00D7021D">
            <w:pPr>
              <w:pStyle w:val="NoSpacing"/>
            </w:pPr>
            <w:r>
              <w:t>Latino, Puerto Rican descent</w:t>
            </w:r>
          </w:p>
        </w:tc>
        <w:tc>
          <w:tcPr>
            <w:tcW w:w="0" w:type="auto"/>
          </w:tcPr>
          <w:p w14:paraId="415BD3A1" w14:textId="77777777" w:rsidR="00086656" w:rsidRPr="00AF0831" w:rsidRDefault="00086656" w:rsidP="00D7021D">
            <w:pPr>
              <w:pStyle w:val="NoSpacing"/>
            </w:pPr>
            <w:r w:rsidRPr="00AA292C">
              <w:t>4 (4.65)</w:t>
            </w:r>
          </w:p>
        </w:tc>
        <w:tc>
          <w:tcPr>
            <w:tcW w:w="0" w:type="auto"/>
          </w:tcPr>
          <w:p w14:paraId="7AD28F31" w14:textId="77777777" w:rsidR="00086656" w:rsidRPr="00AF0831" w:rsidRDefault="00086656" w:rsidP="00D7021D">
            <w:pPr>
              <w:pStyle w:val="NoSpacing"/>
            </w:pPr>
            <w:r>
              <w:t>Combined.</w:t>
            </w:r>
          </w:p>
        </w:tc>
        <w:tc>
          <w:tcPr>
            <w:tcW w:w="0" w:type="auto"/>
          </w:tcPr>
          <w:p w14:paraId="7ACC447B" w14:textId="77777777" w:rsidR="00086656" w:rsidRPr="00AF0831" w:rsidRDefault="00086656" w:rsidP="00D7021D">
            <w:pPr>
              <w:pStyle w:val="NoSpacing"/>
            </w:pPr>
            <w:r w:rsidRPr="00A91BB5">
              <w:t>28 (45.90)</w:t>
            </w:r>
          </w:p>
        </w:tc>
      </w:tr>
      <w:tr w:rsidR="00086656" w:rsidRPr="00AF0831" w14:paraId="1CCFB547" w14:textId="77777777" w:rsidTr="00086656">
        <w:tc>
          <w:tcPr>
            <w:tcW w:w="0" w:type="auto"/>
          </w:tcPr>
          <w:p w14:paraId="146C3140" w14:textId="77777777" w:rsidR="00086656" w:rsidRDefault="00086656" w:rsidP="00D7021D">
            <w:pPr>
              <w:pStyle w:val="NoSpacing"/>
            </w:pPr>
            <w:r>
              <w:t>Latino, other descent</w:t>
            </w:r>
          </w:p>
        </w:tc>
        <w:tc>
          <w:tcPr>
            <w:tcW w:w="0" w:type="auto"/>
          </w:tcPr>
          <w:p w14:paraId="15AA18DA" w14:textId="77777777" w:rsidR="00086656" w:rsidRPr="00AF0831" w:rsidRDefault="00086656" w:rsidP="00D7021D">
            <w:pPr>
              <w:pStyle w:val="NoSpacing"/>
            </w:pPr>
            <w:r w:rsidRPr="00AA292C">
              <w:t>6 (6.98)</w:t>
            </w:r>
          </w:p>
        </w:tc>
        <w:tc>
          <w:tcPr>
            <w:tcW w:w="0" w:type="auto"/>
          </w:tcPr>
          <w:p w14:paraId="39882A4E" w14:textId="77777777" w:rsidR="00086656" w:rsidRPr="00AF0831" w:rsidRDefault="00086656" w:rsidP="00D7021D">
            <w:pPr>
              <w:pStyle w:val="NoSpacing"/>
            </w:pPr>
            <w:r>
              <w:t>Comorbid diagnoses</w:t>
            </w:r>
          </w:p>
        </w:tc>
        <w:tc>
          <w:tcPr>
            <w:tcW w:w="0" w:type="auto"/>
          </w:tcPr>
          <w:p w14:paraId="37CBB446" w14:textId="77777777" w:rsidR="00086656" w:rsidRPr="00AF0831" w:rsidRDefault="00086656" w:rsidP="00D7021D">
            <w:pPr>
              <w:pStyle w:val="NoSpacing"/>
            </w:pPr>
          </w:p>
        </w:tc>
      </w:tr>
      <w:tr w:rsidR="00086656" w:rsidRPr="00AF0831" w14:paraId="4524175E" w14:textId="77777777" w:rsidTr="00086656">
        <w:tc>
          <w:tcPr>
            <w:tcW w:w="0" w:type="auto"/>
          </w:tcPr>
          <w:p w14:paraId="676A2215" w14:textId="77777777" w:rsidR="00086656" w:rsidRPr="002D0157" w:rsidRDefault="00086656" w:rsidP="00D7021D">
            <w:pPr>
              <w:pStyle w:val="NoSpacing"/>
            </w:pPr>
            <w:r>
              <w:t xml:space="preserve">Language, </w:t>
            </w:r>
            <w:r>
              <w:rPr>
                <w:i/>
                <w:iCs/>
              </w:rPr>
              <w:t xml:space="preserve">n </w:t>
            </w:r>
            <w:r>
              <w:t>(%)</w:t>
            </w:r>
          </w:p>
        </w:tc>
        <w:tc>
          <w:tcPr>
            <w:tcW w:w="0" w:type="auto"/>
          </w:tcPr>
          <w:p w14:paraId="6DAA6FCB" w14:textId="77777777" w:rsidR="00086656" w:rsidRPr="00AF0831" w:rsidRDefault="00086656" w:rsidP="00D7021D">
            <w:pPr>
              <w:pStyle w:val="NoSpacing"/>
            </w:pPr>
          </w:p>
        </w:tc>
        <w:tc>
          <w:tcPr>
            <w:tcW w:w="0" w:type="auto"/>
          </w:tcPr>
          <w:p w14:paraId="3E8FBBBA" w14:textId="77777777" w:rsidR="00086656" w:rsidRPr="00AF0831" w:rsidRDefault="00086656" w:rsidP="00D7021D">
            <w:pPr>
              <w:pStyle w:val="NoSpacing"/>
            </w:pPr>
            <w:r>
              <w:t>None</w:t>
            </w:r>
          </w:p>
        </w:tc>
        <w:tc>
          <w:tcPr>
            <w:tcW w:w="0" w:type="auto"/>
          </w:tcPr>
          <w:p w14:paraId="2B21A783" w14:textId="77777777" w:rsidR="00086656" w:rsidRPr="00AF0831" w:rsidRDefault="00086656" w:rsidP="00D7021D">
            <w:pPr>
              <w:pStyle w:val="NoSpacing"/>
            </w:pPr>
            <w:r w:rsidRPr="00A91BB5">
              <w:t>43 (70.49)</w:t>
            </w:r>
          </w:p>
        </w:tc>
      </w:tr>
      <w:tr w:rsidR="00086656" w:rsidRPr="00AF0831" w14:paraId="2085C8A6" w14:textId="77777777" w:rsidTr="00086656">
        <w:tc>
          <w:tcPr>
            <w:tcW w:w="0" w:type="auto"/>
          </w:tcPr>
          <w:p w14:paraId="14A155A1" w14:textId="77777777" w:rsidR="00086656" w:rsidRDefault="00086656" w:rsidP="00D7021D">
            <w:pPr>
              <w:pStyle w:val="NoSpacing"/>
            </w:pPr>
            <w:r>
              <w:t>Only Spanish</w:t>
            </w:r>
          </w:p>
        </w:tc>
        <w:tc>
          <w:tcPr>
            <w:tcW w:w="0" w:type="auto"/>
          </w:tcPr>
          <w:p w14:paraId="0C5ECB39" w14:textId="77777777" w:rsidR="00086656" w:rsidRPr="00AF0831" w:rsidRDefault="00086656" w:rsidP="00D7021D">
            <w:pPr>
              <w:pStyle w:val="NoSpacing"/>
            </w:pPr>
            <w:r w:rsidRPr="003647D8">
              <w:t>38 (44.19)</w:t>
            </w:r>
          </w:p>
        </w:tc>
        <w:tc>
          <w:tcPr>
            <w:tcW w:w="0" w:type="auto"/>
          </w:tcPr>
          <w:p w14:paraId="2BA6F2FE" w14:textId="77777777" w:rsidR="00086656" w:rsidRPr="00AF0831" w:rsidRDefault="00086656" w:rsidP="00D7021D">
            <w:pPr>
              <w:pStyle w:val="NoSpacing"/>
            </w:pPr>
            <w:r>
              <w:t>ODD/CD</w:t>
            </w:r>
          </w:p>
        </w:tc>
        <w:tc>
          <w:tcPr>
            <w:tcW w:w="0" w:type="auto"/>
          </w:tcPr>
          <w:p w14:paraId="3EC4D756" w14:textId="77777777" w:rsidR="00086656" w:rsidRPr="00AF0831" w:rsidRDefault="00086656" w:rsidP="00D7021D">
            <w:pPr>
              <w:pStyle w:val="NoSpacing"/>
            </w:pPr>
            <w:r w:rsidRPr="00B86149">
              <w:t>14 (22.95)</w:t>
            </w:r>
          </w:p>
        </w:tc>
      </w:tr>
      <w:tr w:rsidR="00086656" w:rsidRPr="00AF0831" w14:paraId="34F095CC" w14:textId="77777777" w:rsidTr="00086656">
        <w:tc>
          <w:tcPr>
            <w:tcW w:w="0" w:type="auto"/>
          </w:tcPr>
          <w:p w14:paraId="476F49F1" w14:textId="77777777" w:rsidR="00086656" w:rsidRDefault="00086656" w:rsidP="00D7021D">
            <w:pPr>
              <w:pStyle w:val="NoSpacing"/>
            </w:pPr>
            <w:r>
              <w:t>Primarily Spanish, some English</w:t>
            </w:r>
          </w:p>
        </w:tc>
        <w:tc>
          <w:tcPr>
            <w:tcW w:w="0" w:type="auto"/>
          </w:tcPr>
          <w:p w14:paraId="137480E3" w14:textId="77777777" w:rsidR="00086656" w:rsidRPr="00AF0831" w:rsidRDefault="00086656" w:rsidP="00D7021D">
            <w:pPr>
              <w:pStyle w:val="NoSpacing"/>
            </w:pPr>
            <w:r w:rsidRPr="003647D8">
              <w:t>29 (33.72)</w:t>
            </w:r>
          </w:p>
        </w:tc>
        <w:tc>
          <w:tcPr>
            <w:tcW w:w="0" w:type="auto"/>
          </w:tcPr>
          <w:p w14:paraId="7781523D" w14:textId="77777777" w:rsidR="00086656" w:rsidRPr="00AF0831" w:rsidRDefault="00086656" w:rsidP="00D7021D">
            <w:pPr>
              <w:pStyle w:val="NoSpacing"/>
            </w:pPr>
            <w:r>
              <w:t>Mood/anxiety</w:t>
            </w:r>
          </w:p>
        </w:tc>
        <w:tc>
          <w:tcPr>
            <w:tcW w:w="0" w:type="auto"/>
          </w:tcPr>
          <w:p w14:paraId="373CDCD5" w14:textId="77777777" w:rsidR="00086656" w:rsidRPr="00AF0831" w:rsidRDefault="00086656" w:rsidP="00D7021D">
            <w:pPr>
              <w:pStyle w:val="NoSpacing"/>
            </w:pPr>
            <w:r w:rsidRPr="00B86149">
              <w:t>4 (6.56)</w:t>
            </w:r>
          </w:p>
        </w:tc>
      </w:tr>
      <w:tr w:rsidR="00086656" w:rsidRPr="00AF0831" w14:paraId="4C317E17" w14:textId="77777777" w:rsidTr="00086656">
        <w:tc>
          <w:tcPr>
            <w:tcW w:w="0" w:type="auto"/>
          </w:tcPr>
          <w:p w14:paraId="0CAF725A" w14:textId="77777777" w:rsidR="00086656" w:rsidRDefault="00086656" w:rsidP="00D7021D">
            <w:pPr>
              <w:pStyle w:val="NoSpacing"/>
            </w:pPr>
            <w:r>
              <w:t>Primarily, some Spanish</w:t>
            </w:r>
          </w:p>
        </w:tc>
        <w:tc>
          <w:tcPr>
            <w:tcW w:w="0" w:type="auto"/>
          </w:tcPr>
          <w:p w14:paraId="41C2A5DC" w14:textId="77777777" w:rsidR="00086656" w:rsidRPr="00AF0831" w:rsidRDefault="00086656" w:rsidP="00D7021D">
            <w:pPr>
              <w:pStyle w:val="NoSpacing"/>
            </w:pPr>
            <w:r w:rsidRPr="003647D8">
              <w:t>2 (2.33)</w:t>
            </w:r>
          </w:p>
        </w:tc>
        <w:tc>
          <w:tcPr>
            <w:tcW w:w="0" w:type="auto"/>
          </w:tcPr>
          <w:p w14:paraId="6361C77B" w14:textId="77777777" w:rsidR="00086656" w:rsidRPr="00AF0831" w:rsidRDefault="00086656" w:rsidP="00D7021D">
            <w:pPr>
              <w:pStyle w:val="NoSpacing"/>
            </w:pPr>
            <w:r>
              <w:t xml:space="preserve">Medication status, </w:t>
            </w:r>
            <w:proofErr w:type="gramStart"/>
            <w:r>
              <w:t>n(</w:t>
            </w:r>
            <w:proofErr w:type="gramEnd"/>
            <w:r>
              <w:t>%)</w:t>
            </w:r>
          </w:p>
        </w:tc>
        <w:tc>
          <w:tcPr>
            <w:tcW w:w="0" w:type="auto"/>
          </w:tcPr>
          <w:p w14:paraId="392E9C5D" w14:textId="77777777" w:rsidR="00086656" w:rsidRPr="00AF0831" w:rsidRDefault="00086656" w:rsidP="00D7021D">
            <w:pPr>
              <w:pStyle w:val="NoSpacing"/>
            </w:pPr>
          </w:p>
        </w:tc>
      </w:tr>
      <w:tr w:rsidR="00086656" w:rsidRPr="00AF0831" w14:paraId="416AE28F" w14:textId="77777777" w:rsidTr="00086656">
        <w:tc>
          <w:tcPr>
            <w:tcW w:w="0" w:type="auto"/>
          </w:tcPr>
          <w:p w14:paraId="21BF1E2F" w14:textId="77777777" w:rsidR="00086656" w:rsidRDefault="00086656" w:rsidP="00D7021D">
            <w:pPr>
              <w:pStyle w:val="NoSpacing"/>
            </w:pPr>
            <w:r>
              <w:t>Bilingual</w:t>
            </w:r>
          </w:p>
        </w:tc>
        <w:tc>
          <w:tcPr>
            <w:tcW w:w="0" w:type="auto"/>
          </w:tcPr>
          <w:p w14:paraId="3BF5C525" w14:textId="77777777" w:rsidR="00086656" w:rsidRPr="00AF0831" w:rsidRDefault="00086656" w:rsidP="00D7021D">
            <w:pPr>
              <w:pStyle w:val="NoSpacing"/>
            </w:pPr>
            <w:r w:rsidRPr="003647D8">
              <w:t>17 (19.77)</w:t>
            </w:r>
          </w:p>
        </w:tc>
        <w:tc>
          <w:tcPr>
            <w:tcW w:w="0" w:type="auto"/>
          </w:tcPr>
          <w:p w14:paraId="5E98EEA3" w14:textId="77777777" w:rsidR="00086656" w:rsidRPr="00AF0831" w:rsidRDefault="00086656" w:rsidP="00D7021D">
            <w:pPr>
              <w:pStyle w:val="NoSpacing"/>
            </w:pPr>
            <w:r>
              <w:t>Medicated</w:t>
            </w:r>
          </w:p>
        </w:tc>
        <w:tc>
          <w:tcPr>
            <w:tcW w:w="0" w:type="auto"/>
          </w:tcPr>
          <w:p w14:paraId="2C07C705" w14:textId="77777777" w:rsidR="00086656" w:rsidRPr="00AF0831" w:rsidRDefault="00086656" w:rsidP="00D7021D">
            <w:pPr>
              <w:pStyle w:val="NoSpacing"/>
            </w:pPr>
            <w:r w:rsidRPr="00B86149">
              <w:t>12 (19.67)</w:t>
            </w:r>
          </w:p>
        </w:tc>
      </w:tr>
      <w:tr w:rsidR="00086656" w:rsidRPr="00AF0831" w14:paraId="143DB329" w14:textId="77777777" w:rsidTr="00086656">
        <w:tc>
          <w:tcPr>
            <w:tcW w:w="0" w:type="auto"/>
          </w:tcPr>
          <w:p w14:paraId="3C825653" w14:textId="77777777" w:rsidR="00086656" w:rsidRDefault="00086656" w:rsidP="00D7021D">
            <w:pPr>
              <w:pStyle w:val="NoSpacing"/>
            </w:pPr>
            <w:r>
              <w:t>Time in U.S., n (%)</w:t>
            </w:r>
          </w:p>
        </w:tc>
        <w:tc>
          <w:tcPr>
            <w:tcW w:w="0" w:type="auto"/>
          </w:tcPr>
          <w:p w14:paraId="6F3687D7" w14:textId="77777777" w:rsidR="00086656" w:rsidRPr="00AF0831" w:rsidRDefault="00086656" w:rsidP="00D7021D">
            <w:pPr>
              <w:pStyle w:val="NoSpacing"/>
            </w:pPr>
          </w:p>
        </w:tc>
        <w:tc>
          <w:tcPr>
            <w:tcW w:w="0" w:type="auto"/>
          </w:tcPr>
          <w:p w14:paraId="1A062D35" w14:textId="77777777" w:rsidR="00086656" w:rsidRPr="00AF0831" w:rsidRDefault="00086656" w:rsidP="00D7021D">
            <w:pPr>
              <w:pStyle w:val="NoSpacing"/>
            </w:pPr>
            <w:r>
              <w:t>Unmedicated</w:t>
            </w:r>
          </w:p>
        </w:tc>
        <w:tc>
          <w:tcPr>
            <w:tcW w:w="0" w:type="auto"/>
          </w:tcPr>
          <w:p w14:paraId="7A010585" w14:textId="77777777" w:rsidR="00086656" w:rsidRPr="00AF0831" w:rsidRDefault="00086656" w:rsidP="00D7021D">
            <w:pPr>
              <w:pStyle w:val="NoSpacing"/>
            </w:pPr>
            <w:r w:rsidRPr="00EE4EE0">
              <w:t>49 (80.33)</w:t>
            </w:r>
          </w:p>
        </w:tc>
      </w:tr>
      <w:tr w:rsidR="00086656" w:rsidRPr="00AF0831" w14:paraId="47EA7E4F" w14:textId="77777777" w:rsidTr="00086656">
        <w:tc>
          <w:tcPr>
            <w:tcW w:w="0" w:type="auto"/>
          </w:tcPr>
          <w:p w14:paraId="1E0ED87B" w14:textId="77777777" w:rsidR="00086656" w:rsidRDefault="00086656" w:rsidP="00D7021D">
            <w:pPr>
              <w:pStyle w:val="NoSpacing"/>
            </w:pPr>
            <w:r>
              <w:t>1-5 years</w:t>
            </w:r>
          </w:p>
        </w:tc>
        <w:tc>
          <w:tcPr>
            <w:tcW w:w="0" w:type="auto"/>
          </w:tcPr>
          <w:p w14:paraId="3A939D15" w14:textId="77777777" w:rsidR="00086656" w:rsidRPr="00AF0831" w:rsidRDefault="00086656" w:rsidP="00D7021D">
            <w:pPr>
              <w:pStyle w:val="NoSpacing"/>
            </w:pPr>
            <w:r w:rsidRPr="00543A46">
              <w:t>1 (1.16)</w:t>
            </w:r>
          </w:p>
        </w:tc>
        <w:tc>
          <w:tcPr>
            <w:tcW w:w="0" w:type="auto"/>
          </w:tcPr>
          <w:p w14:paraId="4BFE0386" w14:textId="77777777" w:rsidR="00086656" w:rsidRPr="00AF0831" w:rsidRDefault="00086656" w:rsidP="00D7021D">
            <w:pPr>
              <w:pStyle w:val="NoSpacing"/>
            </w:pPr>
            <w:r>
              <w:t xml:space="preserve">Type of treatment, </w:t>
            </w:r>
            <w:proofErr w:type="gramStart"/>
            <w:r>
              <w:t>n(</w:t>
            </w:r>
            <w:proofErr w:type="gramEnd"/>
            <w:r>
              <w:t>%)</w:t>
            </w:r>
          </w:p>
        </w:tc>
        <w:tc>
          <w:tcPr>
            <w:tcW w:w="0" w:type="auto"/>
          </w:tcPr>
          <w:p w14:paraId="6AD9FDCC" w14:textId="77777777" w:rsidR="00086656" w:rsidRPr="00AF0831" w:rsidRDefault="00086656" w:rsidP="00D7021D">
            <w:pPr>
              <w:pStyle w:val="NoSpacing"/>
            </w:pPr>
          </w:p>
        </w:tc>
      </w:tr>
      <w:tr w:rsidR="00086656" w:rsidRPr="00AF0831" w14:paraId="1AFA29B2" w14:textId="77777777" w:rsidTr="00086656">
        <w:tc>
          <w:tcPr>
            <w:tcW w:w="0" w:type="auto"/>
          </w:tcPr>
          <w:p w14:paraId="09FC78A4" w14:textId="77777777" w:rsidR="00086656" w:rsidRDefault="00086656" w:rsidP="00D7021D">
            <w:pPr>
              <w:pStyle w:val="NoSpacing"/>
            </w:pPr>
            <w:r>
              <w:t>6-10 years</w:t>
            </w:r>
          </w:p>
        </w:tc>
        <w:tc>
          <w:tcPr>
            <w:tcW w:w="0" w:type="auto"/>
          </w:tcPr>
          <w:p w14:paraId="35ACDA2F" w14:textId="77777777" w:rsidR="00086656" w:rsidRPr="00AF0831" w:rsidRDefault="00086656" w:rsidP="00D7021D">
            <w:pPr>
              <w:pStyle w:val="NoSpacing"/>
            </w:pPr>
            <w:r w:rsidRPr="00543A46">
              <w:t>17 (19.77)</w:t>
            </w:r>
          </w:p>
        </w:tc>
        <w:tc>
          <w:tcPr>
            <w:tcW w:w="0" w:type="auto"/>
          </w:tcPr>
          <w:p w14:paraId="433B162A" w14:textId="77777777" w:rsidR="00086656" w:rsidRPr="00AF0831" w:rsidRDefault="00086656" w:rsidP="00D7021D">
            <w:pPr>
              <w:pStyle w:val="NoSpacing"/>
            </w:pPr>
            <w:r>
              <w:t>Standard treatment</w:t>
            </w:r>
          </w:p>
        </w:tc>
        <w:tc>
          <w:tcPr>
            <w:tcW w:w="0" w:type="auto"/>
          </w:tcPr>
          <w:p w14:paraId="4CCE21F9" w14:textId="77777777" w:rsidR="00086656" w:rsidRPr="00AF0831" w:rsidRDefault="00086656" w:rsidP="00D7021D">
            <w:pPr>
              <w:pStyle w:val="NoSpacing"/>
            </w:pPr>
            <w:r w:rsidRPr="00EE4EE0">
              <w:t>30 (49.18)</w:t>
            </w:r>
          </w:p>
        </w:tc>
      </w:tr>
      <w:tr w:rsidR="00086656" w:rsidRPr="00AF0831" w14:paraId="1A3E835F" w14:textId="77777777" w:rsidTr="00086656">
        <w:tc>
          <w:tcPr>
            <w:tcW w:w="0" w:type="auto"/>
          </w:tcPr>
          <w:p w14:paraId="0A1E5C25" w14:textId="77777777" w:rsidR="00086656" w:rsidRDefault="00086656" w:rsidP="00D7021D">
            <w:pPr>
              <w:pStyle w:val="NoSpacing"/>
            </w:pPr>
            <w:r>
              <w:t>More than 10 years</w:t>
            </w:r>
          </w:p>
        </w:tc>
        <w:tc>
          <w:tcPr>
            <w:tcW w:w="0" w:type="auto"/>
          </w:tcPr>
          <w:p w14:paraId="49C1C00C" w14:textId="77777777" w:rsidR="00086656" w:rsidRPr="00AF0831" w:rsidRDefault="00086656" w:rsidP="00D7021D">
            <w:pPr>
              <w:pStyle w:val="NoSpacing"/>
            </w:pPr>
            <w:r w:rsidRPr="00543A46">
              <w:t>63 (73.26)</w:t>
            </w:r>
          </w:p>
        </w:tc>
        <w:tc>
          <w:tcPr>
            <w:tcW w:w="0" w:type="auto"/>
          </w:tcPr>
          <w:p w14:paraId="28F16693" w14:textId="77777777" w:rsidR="00086656" w:rsidRPr="00AF0831" w:rsidRDefault="00086656" w:rsidP="00D7021D">
            <w:pPr>
              <w:pStyle w:val="NoSpacing"/>
            </w:pPr>
            <w:r>
              <w:t>Culturally adapted treatment</w:t>
            </w:r>
          </w:p>
        </w:tc>
        <w:tc>
          <w:tcPr>
            <w:tcW w:w="0" w:type="auto"/>
          </w:tcPr>
          <w:p w14:paraId="4FF8E38D" w14:textId="77777777" w:rsidR="00086656" w:rsidRPr="00AF0831" w:rsidRDefault="00086656" w:rsidP="00D7021D">
            <w:pPr>
              <w:pStyle w:val="NoSpacing"/>
            </w:pPr>
            <w:r w:rsidRPr="00EE4EE0">
              <w:t>31 (50.82)</w:t>
            </w:r>
          </w:p>
        </w:tc>
      </w:tr>
      <w:tr w:rsidR="00086656" w:rsidRPr="00AF0831" w14:paraId="70188D13" w14:textId="77777777" w:rsidTr="00086656">
        <w:tc>
          <w:tcPr>
            <w:tcW w:w="0" w:type="auto"/>
          </w:tcPr>
          <w:p w14:paraId="6B42A39C" w14:textId="77777777" w:rsidR="00086656" w:rsidRDefault="00086656" w:rsidP="00D7021D">
            <w:pPr>
              <w:pStyle w:val="NoSpacing"/>
            </w:pPr>
            <w:r>
              <w:t>Born in U.S.</w:t>
            </w:r>
          </w:p>
        </w:tc>
        <w:tc>
          <w:tcPr>
            <w:tcW w:w="0" w:type="auto"/>
          </w:tcPr>
          <w:p w14:paraId="768B782D" w14:textId="77777777" w:rsidR="00086656" w:rsidRPr="00AF0831" w:rsidRDefault="00086656" w:rsidP="00D7021D">
            <w:pPr>
              <w:pStyle w:val="NoSpacing"/>
            </w:pPr>
            <w:r w:rsidRPr="00543A46">
              <w:t>5 (5.81)</w:t>
            </w:r>
          </w:p>
        </w:tc>
        <w:tc>
          <w:tcPr>
            <w:tcW w:w="0" w:type="auto"/>
          </w:tcPr>
          <w:p w14:paraId="5F8E54C0" w14:textId="77777777" w:rsidR="00086656" w:rsidRPr="00AF0831" w:rsidRDefault="00086656" w:rsidP="00D7021D">
            <w:pPr>
              <w:pStyle w:val="NoSpacing"/>
            </w:pPr>
            <w:r>
              <w:t xml:space="preserve">Retention, </w:t>
            </w:r>
            <w:proofErr w:type="gramStart"/>
            <w:r>
              <w:t>n(</w:t>
            </w:r>
            <w:proofErr w:type="gramEnd"/>
            <w:r>
              <w:t>%)</w:t>
            </w:r>
          </w:p>
        </w:tc>
        <w:tc>
          <w:tcPr>
            <w:tcW w:w="0" w:type="auto"/>
          </w:tcPr>
          <w:p w14:paraId="72563412" w14:textId="77777777" w:rsidR="00086656" w:rsidRPr="00AF0831" w:rsidRDefault="00086656" w:rsidP="00D7021D">
            <w:pPr>
              <w:pStyle w:val="NoSpacing"/>
            </w:pPr>
          </w:p>
        </w:tc>
      </w:tr>
      <w:tr w:rsidR="00086656" w:rsidRPr="00AF0831" w14:paraId="6943BCCD" w14:textId="77777777" w:rsidTr="00086656">
        <w:tc>
          <w:tcPr>
            <w:tcW w:w="0" w:type="auto"/>
          </w:tcPr>
          <w:p w14:paraId="78E8F986" w14:textId="77777777" w:rsidR="00086656" w:rsidRDefault="00086656" w:rsidP="00D7021D">
            <w:pPr>
              <w:pStyle w:val="NoSpacing"/>
            </w:pPr>
            <w:r>
              <w:t>Family structure n (%)</w:t>
            </w:r>
          </w:p>
        </w:tc>
        <w:tc>
          <w:tcPr>
            <w:tcW w:w="0" w:type="auto"/>
          </w:tcPr>
          <w:p w14:paraId="1CB991FA" w14:textId="77777777" w:rsidR="00086656" w:rsidRPr="00AF0831" w:rsidRDefault="00086656" w:rsidP="00D7021D">
            <w:pPr>
              <w:pStyle w:val="NoSpacing"/>
            </w:pPr>
          </w:p>
        </w:tc>
        <w:tc>
          <w:tcPr>
            <w:tcW w:w="0" w:type="auto"/>
          </w:tcPr>
          <w:p w14:paraId="1621E6E2" w14:textId="77777777" w:rsidR="00086656" w:rsidRPr="00AF0831" w:rsidRDefault="00086656" w:rsidP="00D7021D">
            <w:pPr>
              <w:pStyle w:val="NoSpacing"/>
            </w:pPr>
            <w:r>
              <w:t>Yes</w:t>
            </w:r>
          </w:p>
        </w:tc>
        <w:tc>
          <w:tcPr>
            <w:tcW w:w="0" w:type="auto"/>
          </w:tcPr>
          <w:p w14:paraId="2DA33562" w14:textId="77777777" w:rsidR="00086656" w:rsidRPr="00AF0831" w:rsidRDefault="00086656" w:rsidP="00D7021D">
            <w:pPr>
              <w:pStyle w:val="NoSpacing"/>
            </w:pPr>
            <w:r w:rsidRPr="00AD0BB7">
              <w:t>58 (95.08)</w:t>
            </w:r>
          </w:p>
        </w:tc>
      </w:tr>
      <w:tr w:rsidR="00086656" w:rsidRPr="00AF0831" w14:paraId="6AE3CAA5" w14:textId="77777777" w:rsidTr="00086656">
        <w:tc>
          <w:tcPr>
            <w:tcW w:w="0" w:type="auto"/>
          </w:tcPr>
          <w:p w14:paraId="66AEFA42" w14:textId="77777777" w:rsidR="00086656" w:rsidRDefault="00086656" w:rsidP="00D7021D">
            <w:pPr>
              <w:pStyle w:val="NoSpacing"/>
            </w:pPr>
            <w:r>
              <w:t>Married/cohabitating parents</w:t>
            </w:r>
          </w:p>
        </w:tc>
        <w:tc>
          <w:tcPr>
            <w:tcW w:w="0" w:type="auto"/>
          </w:tcPr>
          <w:p w14:paraId="61C3A47E" w14:textId="77777777" w:rsidR="00086656" w:rsidRPr="00AF0831" w:rsidRDefault="00086656" w:rsidP="00D7021D">
            <w:pPr>
              <w:pStyle w:val="NoSpacing"/>
            </w:pPr>
            <w:r w:rsidRPr="00543A46">
              <w:t>42 (68.85)</w:t>
            </w:r>
          </w:p>
        </w:tc>
        <w:tc>
          <w:tcPr>
            <w:tcW w:w="0" w:type="auto"/>
          </w:tcPr>
          <w:p w14:paraId="298A72E8" w14:textId="77777777" w:rsidR="00086656" w:rsidRPr="00AF0831" w:rsidRDefault="00086656" w:rsidP="00D7021D">
            <w:pPr>
              <w:pStyle w:val="NoSpacing"/>
            </w:pPr>
            <w:r>
              <w:t>No</w:t>
            </w:r>
          </w:p>
        </w:tc>
        <w:tc>
          <w:tcPr>
            <w:tcW w:w="0" w:type="auto"/>
          </w:tcPr>
          <w:p w14:paraId="3F66EECB" w14:textId="77777777" w:rsidR="00086656" w:rsidRPr="00AF0831" w:rsidRDefault="00086656" w:rsidP="00D7021D">
            <w:pPr>
              <w:pStyle w:val="NoSpacing"/>
            </w:pPr>
            <w:r w:rsidRPr="00AD0BB7">
              <w:t>3 (4.92)</w:t>
            </w:r>
          </w:p>
        </w:tc>
      </w:tr>
      <w:tr w:rsidR="00086656" w:rsidRPr="00AF0831" w14:paraId="017D9F46" w14:textId="77777777" w:rsidTr="00086656">
        <w:tc>
          <w:tcPr>
            <w:tcW w:w="0" w:type="auto"/>
          </w:tcPr>
          <w:p w14:paraId="3FE2012B" w14:textId="77777777" w:rsidR="00086656" w:rsidRDefault="00086656" w:rsidP="00D7021D">
            <w:pPr>
              <w:pStyle w:val="NoSpacing"/>
            </w:pPr>
            <w:r>
              <w:t>Separated/divorced/widowed</w:t>
            </w:r>
          </w:p>
        </w:tc>
        <w:tc>
          <w:tcPr>
            <w:tcW w:w="0" w:type="auto"/>
          </w:tcPr>
          <w:p w14:paraId="5C53B7BE" w14:textId="77777777" w:rsidR="00086656" w:rsidRPr="00AF0831" w:rsidRDefault="00086656" w:rsidP="00D7021D">
            <w:pPr>
              <w:pStyle w:val="NoSpacing"/>
            </w:pPr>
            <w:r w:rsidRPr="00535C07">
              <w:t>16 (26.23)</w:t>
            </w:r>
          </w:p>
        </w:tc>
        <w:tc>
          <w:tcPr>
            <w:tcW w:w="0" w:type="auto"/>
          </w:tcPr>
          <w:p w14:paraId="12BCEE29" w14:textId="77777777" w:rsidR="00086656" w:rsidRPr="00AF0831" w:rsidRDefault="00086656" w:rsidP="00D7021D">
            <w:pPr>
              <w:pStyle w:val="NoSpacing"/>
            </w:pPr>
            <w:r>
              <w:t xml:space="preserve">Referral source, </w:t>
            </w:r>
            <w:proofErr w:type="gramStart"/>
            <w:r>
              <w:t>n(</w:t>
            </w:r>
            <w:proofErr w:type="gramEnd"/>
            <w:r>
              <w:t>%)</w:t>
            </w:r>
          </w:p>
        </w:tc>
        <w:tc>
          <w:tcPr>
            <w:tcW w:w="0" w:type="auto"/>
          </w:tcPr>
          <w:p w14:paraId="75095137" w14:textId="77777777" w:rsidR="00086656" w:rsidRPr="00AF0831" w:rsidRDefault="00086656" w:rsidP="00D7021D">
            <w:pPr>
              <w:pStyle w:val="NoSpacing"/>
            </w:pPr>
          </w:p>
        </w:tc>
      </w:tr>
      <w:tr w:rsidR="00086656" w:rsidRPr="00AF0831" w14:paraId="41F36E68" w14:textId="77777777" w:rsidTr="00086656">
        <w:tc>
          <w:tcPr>
            <w:tcW w:w="0" w:type="auto"/>
          </w:tcPr>
          <w:p w14:paraId="4B53F04F" w14:textId="77777777" w:rsidR="00086656" w:rsidRDefault="00086656" w:rsidP="00D7021D">
            <w:pPr>
              <w:pStyle w:val="NoSpacing"/>
            </w:pPr>
            <w:r>
              <w:t>Single/never married</w:t>
            </w:r>
          </w:p>
        </w:tc>
        <w:tc>
          <w:tcPr>
            <w:tcW w:w="0" w:type="auto"/>
          </w:tcPr>
          <w:p w14:paraId="6E36E329" w14:textId="77777777" w:rsidR="00086656" w:rsidRPr="00AF0831" w:rsidRDefault="00086656" w:rsidP="00D7021D">
            <w:pPr>
              <w:pStyle w:val="NoSpacing"/>
            </w:pPr>
            <w:r w:rsidRPr="00535C07">
              <w:t>3 (4.92)</w:t>
            </w:r>
          </w:p>
        </w:tc>
        <w:tc>
          <w:tcPr>
            <w:tcW w:w="0" w:type="auto"/>
          </w:tcPr>
          <w:p w14:paraId="4AB586BE" w14:textId="77777777" w:rsidR="00086656" w:rsidRPr="00AF0831" w:rsidRDefault="00086656" w:rsidP="00D7021D">
            <w:pPr>
              <w:pStyle w:val="NoSpacing"/>
            </w:pPr>
            <w:r>
              <w:t>Health care provider referral</w:t>
            </w:r>
          </w:p>
        </w:tc>
        <w:tc>
          <w:tcPr>
            <w:tcW w:w="0" w:type="auto"/>
          </w:tcPr>
          <w:p w14:paraId="30FF01C3" w14:textId="77777777" w:rsidR="00086656" w:rsidRPr="00AF0831" w:rsidRDefault="00086656" w:rsidP="00D7021D">
            <w:pPr>
              <w:pStyle w:val="NoSpacing"/>
            </w:pPr>
            <w:r w:rsidRPr="00AD0BB7">
              <w:t>13 (21.31)</w:t>
            </w:r>
          </w:p>
        </w:tc>
      </w:tr>
      <w:tr w:rsidR="00086656" w:rsidRPr="00AF0831" w14:paraId="7937AFAE" w14:textId="77777777" w:rsidTr="00086656">
        <w:tc>
          <w:tcPr>
            <w:tcW w:w="0" w:type="auto"/>
          </w:tcPr>
          <w:p w14:paraId="32DF5A15" w14:textId="77777777" w:rsidR="00086656" w:rsidRPr="009F2637" w:rsidRDefault="00086656" w:rsidP="00D7021D">
            <w:pPr>
              <w:pStyle w:val="NoSpacing"/>
              <w:rPr>
                <w:vertAlign w:val="superscript"/>
              </w:rPr>
            </w:pPr>
            <w:r>
              <w:t>Family SES, M (SD)</w:t>
            </w:r>
            <w:r>
              <w:rPr>
                <w:vertAlign w:val="superscript"/>
              </w:rPr>
              <w:t>a</w:t>
            </w:r>
          </w:p>
        </w:tc>
        <w:tc>
          <w:tcPr>
            <w:tcW w:w="0" w:type="auto"/>
          </w:tcPr>
          <w:p w14:paraId="3D8FAA5A" w14:textId="77777777" w:rsidR="00086656" w:rsidRPr="00AF0831" w:rsidRDefault="00086656" w:rsidP="00D7021D">
            <w:pPr>
              <w:pStyle w:val="NoSpacing"/>
            </w:pPr>
            <w:r w:rsidRPr="00535C07">
              <w:t>23.43 (11.13)</w:t>
            </w:r>
          </w:p>
        </w:tc>
        <w:tc>
          <w:tcPr>
            <w:tcW w:w="0" w:type="auto"/>
          </w:tcPr>
          <w:p w14:paraId="4B87068D" w14:textId="77777777" w:rsidR="00086656" w:rsidRPr="00AF0831" w:rsidRDefault="00086656" w:rsidP="00D7021D">
            <w:pPr>
              <w:pStyle w:val="NoSpacing"/>
            </w:pPr>
            <w:r>
              <w:t>School referral</w:t>
            </w:r>
          </w:p>
        </w:tc>
        <w:tc>
          <w:tcPr>
            <w:tcW w:w="0" w:type="auto"/>
          </w:tcPr>
          <w:p w14:paraId="1613307C" w14:textId="77777777" w:rsidR="00086656" w:rsidRPr="00AF0831" w:rsidRDefault="00086656" w:rsidP="00D7021D">
            <w:pPr>
              <w:pStyle w:val="NoSpacing"/>
            </w:pPr>
            <w:r w:rsidRPr="00AD0BB7">
              <w:t>26 (42.62)</w:t>
            </w:r>
          </w:p>
        </w:tc>
      </w:tr>
      <w:tr w:rsidR="00086656" w:rsidRPr="00AF0831" w14:paraId="13655A1A" w14:textId="77777777" w:rsidTr="00086656">
        <w:tc>
          <w:tcPr>
            <w:tcW w:w="0" w:type="auto"/>
          </w:tcPr>
          <w:p w14:paraId="685B8D9C" w14:textId="77777777" w:rsidR="00086656" w:rsidRDefault="00086656" w:rsidP="00D7021D">
            <w:pPr>
              <w:pStyle w:val="NoSpacing"/>
            </w:pPr>
          </w:p>
        </w:tc>
        <w:tc>
          <w:tcPr>
            <w:tcW w:w="0" w:type="auto"/>
          </w:tcPr>
          <w:p w14:paraId="1B548CFD" w14:textId="77777777" w:rsidR="00086656" w:rsidRPr="00AF0831" w:rsidRDefault="00086656" w:rsidP="00D7021D">
            <w:pPr>
              <w:pStyle w:val="NoSpacing"/>
            </w:pPr>
          </w:p>
        </w:tc>
        <w:tc>
          <w:tcPr>
            <w:tcW w:w="0" w:type="auto"/>
          </w:tcPr>
          <w:p w14:paraId="15B18E4B" w14:textId="77777777" w:rsidR="00086656" w:rsidRDefault="00086656" w:rsidP="00D7021D">
            <w:pPr>
              <w:pStyle w:val="NoSpacing"/>
            </w:pPr>
            <w:r>
              <w:t>Self-referral</w:t>
            </w:r>
          </w:p>
        </w:tc>
        <w:tc>
          <w:tcPr>
            <w:tcW w:w="0" w:type="auto"/>
          </w:tcPr>
          <w:p w14:paraId="57AC988E" w14:textId="77777777" w:rsidR="00086656" w:rsidRPr="00AF0831" w:rsidRDefault="00086656" w:rsidP="00D7021D">
            <w:pPr>
              <w:pStyle w:val="NoSpacing"/>
            </w:pPr>
            <w:r w:rsidRPr="00AD0BB7">
              <w:t>22 (36.07)</w:t>
            </w:r>
          </w:p>
        </w:tc>
      </w:tr>
    </w:tbl>
    <w:p w14:paraId="323E5B1B" w14:textId="77777777" w:rsidR="00086656" w:rsidRDefault="00086656" w:rsidP="00086656">
      <w:pPr>
        <w:pStyle w:val="NoSpacing"/>
      </w:pPr>
      <w:r w:rsidRPr="006D5BF3">
        <w:rPr>
          <w:b/>
          <w:bCs/>
        </w:rPr>
        <w:t>Note.</w:t>
      </w:r>
      <w:r>
        <w:t xml:space="preserve"> N = 61 families, including 61 youth, 60 mothers, and 26 fathers.</w:t>
      </w:r>
    </w:p>
    <w:p w14:paraId="1D39F579" w14:textId="77777777" w:rsidR="00086656" w:rsidRDefault="00086656" w:rsidP="00086656">
      <w:pPr>
        <w:pStyle w:val="NoSpacing"/>
      </w:pPr>
      <w:r>
        <w:t>TR = therapist ratings, TR child = therapist-rated child improvement, TR parent/family = therapist-rated parent/</w:t>
      </w:r>
    </w:p>
    <w:p w14:paraId="538AF48E" w14:textId="77777777" w:rsidR="00086656" w:rsidRDefault="00086656" w:rsidP="00086656">
      <w:pPr>
        <w:pStyle w:val="NoSpacing"/>
      </w:pPr>
      <w:r>
        <w:t>family improvement.</w:t>
      </w:r>
    </w:p>
    <w:p w14:paraId="14D4BE03" w14:textId="77777777" w:rsidR="00086656" w:rsidRDefault="00086656" w:rsidP="00086656">
      <w:pPr>
        <w:pStyle w:val="NoSpacing"/>
      </w:pPr>
      <w:r>
        <w:t>+ Indicates missing data for some participants.</w:t>
      </w:r>
    </w:p>
    <w:p w14:paraId="408A2513" w14:textId="35D4E977" w:rsidR="00086656" w:rsidRDefault="00086656" w:rsidP="00086656">
      <w:pPr>
        <w:pStyle w:val="NoSpacing"/>
      </w:pPr>
      <w:r w:rsidRPr="006D5BF3">
        <w:rPr>
          <w:vertAlign w:val="superscript"/>
        </w:rPr>
        <w:t>a</w:t>
      </w:r>
      <w:r>
        <w:t xml:space="preserve"> </w:t>
      </w:r>
      <w:proofErr w:type="gramStart"/>
      <w:r>
        <w:t>As</w:t>
      </w:r>
      <w:proofErr w:type="gramEnd"/>
      <w:r>
        <w:t xml:space="preserve"> measured by Hollingshead’s Four Factor Index of Social Status (Hollingshead, 1975), with a range of 8–66, </w:t>
      </w:r>
      <w:r w:rsidRPr="00C95D04">
        <w:t>higher values indicating higher SES.</w:t>
      </w:r>
    </w:p>
    <w:p w14:paraId="440D3A98" w14:textId="79AB25EE" w:rsidR="00086656" w:rsidRDefault="00086656">
      <w:r>
        <w:br w:type="page"/>
      </w:r>
    </w:p>
    <w:p w14:paraId="462DB6C5" w14:textId="0C0D448B" w:rsidR="00086656" w:rsidRDefault="00086656" w:rsidP="00086656">
      <w:pPr>
        <w:pStyle w:val="NoSpacing"/>
        <w:sectPr w:rsidR="00086656" w:rsidSect="00D64EFB">
          <w:pgSz w:w="12240" w:h="15840"/>
          <w:pgMar w:top="1080" w:right="1080" w:bottom="1080" w:left="1080" w:header="720" w:footer="720" w:gutter="0"/>
          <w:cols w:space="720"/>
          <w:docGrid w:linePitch="360"/>
        </w:sectPr>
      </w:pPr>
    </w:p>
    <w:p w14:paraId="35DB257B" w14:textId="6EA40DA4" w:rsidR="00086656" w:rsidRDefault="00086656" w:rsidP="00086656">
      <w:pPr>
        <w:pStyle w:val="NoSpacing"/>
      </w:pPr>
      <w:r w:rsidRPr="00086656">
        <w:rPr>
          <w:rStyle w:val="captionlabel"/>
          <w:b/>
          <w:bCs/>
        </w:rPr>
        <w:lastRenderedPageBreak/>
        <w:t>Table 2.</w:t>
      </w:r>
      <w:r>
        <w:rPr>
          <w:rStyle w:val="captionlabel"/>
        </w:rPr>
        <w:t xml:space="preserve"> </w:t>
      </w:r>
      <w:r>
        <w:t>Results of Correlation Analyses Examining Child Sociodemographic/Diagnostic Variables and Parental Cultural Factors and Perceptions with Attendance, Engagement, and Treatment Response Outcomes.</w:t>
      </w:r>
    </w:p>
    <w:p w14:paraId="26AC4B6F" w14:textId="3AD6A8BB" w:rsidR="00086656" w:rsidRDefault="00086656" w:rsidP="00086656">
      <w:pPr>
        <w:pStyle w:val="NoSpacing"/>
      </w:pPr>
    </w:p>
    <w:tbl>
      <w:tblPr>
        <w:tblStyle w:val="TableGridLight"/>
        <w:tblW w:w="0" w:type="auto"/>
        <w:tblLook w:val="04A0" w:firstRow="1" w:lastRow="0" w:firstColumn="1" w:lastColumn="0" w:noHBand="0" w:noVBand="1"/>
      </w:tblPr>
      <w:tblGrid>
        <w:gridCol w:w="1596"/>
        <w:gridCol w:w="2951"/>
        <w:gridCol w:w="659"/>
        <w:gridCol w:w="727"/>
        <w:gridCol w:w="848"/>
        <w:gridCol w:w="845"/>
        <w:gridCol w:w="983"/>
        <w:gridCol w:w="1001"/>
        <w:gridCol w:w="748"/>
        <w:gridCol w:w="1586"/>
        <w:gridCol w:w="834"/>
        <w:gridCol w:w="892"/>
      </w:tblGrid>
      <w:tr w:rsidR="00086656" w14:paraId="62E80F2C" w14:textId="77777777" w:rsidTr="00086656">
        <w:tc>
          <w:tcPr>
            <w:tcW w:w="0" w:type="auto"/>
            <w:hideMark/>
          </w:tcPr>
          <w:p w14:paraId="0FDE7A3C" w14:textId="77777777" w:rsidR="00086656" w:rsidRDefault="00086656">
            <w:pPr>
              <w:rPr>
                <w:b/>
                <w:bCs/>
              </w:rPr>
            </w:pPr>
            <w:r>
              <w:rPr>
                <w:b/>
                <w:bCs/>
              </w:rPr>
              <w:t>Child and Parent Variables</w:t>
            </w:r>
          </w:p>
          <w:p w14:paraId="0171B835" w14:textId="3E7B00E7" w:rsidR="00086656" w:rsidRDefault="00086656">
            <w:pPr>
              <w:rPr>
                <w:b/>
                <w:bCs/>
              </w:rPr>
            </w:pPr>
          </w:p>
        </w:tc>
        <w:tc>
          <w:tcPr>
            <w:tcW w:w="0" w:type="auto"/>
            <w:hideMark/>
          </w:tcPr>
          <w:p w14:paraId="2026F46F" w14:textId="77777777" w:rsidR="00086656" w:rsidRDefault="00086656">
            <w:pPr>
              <w:jc w:val="center"/>
              <w:rPr>
                <w:b/>
                <w:bCs/>
              </w:rPr>
            </w:pPr>
            <w:r>
              <w:rPr>
                <w:b/>
                <w:bCs/>
              </w:rPr>
              <w:t xml:space="preserve">Attendance, Engagement, and Treatment Response </w:t>
            </w:r>
            <w:proofErr w:type="spellStart"/>
            <w:r>
              <w:rPr>
                <w:b/>
                <w:bCs/>
              </w:rPr>
              <w:t>Outcomes</w:t>
            </w:r>
            <w:hyperlink r:id="rId10" w:anchor="TF5" w:history="1">
              <w:r>
                <w:rPr>
                  <w:rStyle w:val="Hyperlink"/>
                  <w:b/>
                  <w:bCs/>
                  <w:vertAlign w:val="superscript"/>
                </w:rPr>
                <w:t>a</w:t>
              </w:r>
              <w:proofErr w:type="spellEnd"/>
            </w:hyperlink>
          </w:p>
        </w:tc>
        <w:tc>
          <w:tcPr>
            <w:tcW w:w="0" w:type="auto"/>
          </w:tcPr>
          <w:p w14:paraId="117C19E0" w14:textId="77777777" w:rsidR="00086656" w:rsidRDefault="00086656">
            <w:pPr>
              <w:jc w:val="center"/>
              <w:rPr>
                <w:b/>
                <w:bCs/>
              </w:rPr>
            </w:pPr>
          </w:p>
        </w:tc>
        <w:tc>
          <w:tcPr>
            <w:tcW w:w="0" w:type="auto"/>
          </w:tcPr>
          <w:p w14:paraId="60F9534B" w14:textId="77777777" w:rsidR="00086656" w:rsidRDefault="00086656">
            <w:pPr>
              <w:jc w:val="center"/>
              <w:rPr>
                <w:b/>
                <w:bCs/>
              </w:rPr>
            </w:pPr>
          </w:p>
        </w:tc>
        <w:tc>
          <w:tcPr>
            <w:tcW w:w="0" w:type="auto"/>
          </w:tcPr>
          <w:p w14:paraId="57FD4D2F" w14:textId="77777777" w:rsidR="00086656" w:rsidRDefault="00086656">
            <w:pPr>
              <w:jc w:val="center"/>
              <w:rPr>
                <w:b/>
                <w:bCs/>
              </w:rPr>
            </w:pPr>
          </w:p>
        </w:tc>
        <w:tc>
          <w:tcPr>
            <w:tcW w:w="0" w:type="auto"/>
          </w:tcPr>
          <w:p w14:paraId="2B86D9A5" w14:textId="77777777" w:rsidR="00086656" w:rsidRDefault="00086656">
            <w:pPr>
              <w:jc w:val="center"/>
              <w:rPr>
                <w:b/>
                <w:bCs/>
              </w:rPr>
            </w:pPr>
          </w:p>
        </w:tc>
        <w:tc>
          <w:tcPr>
            <w:tcW w:w="0" w:type="auto"/>
          </w:tcPr>
          <w:p w14:paraId="6F58530C" w14:textId="77777777" w:rsidR="00086656" w:rsidRDefault="00086656">
            <w:pPr>
              <w:jc w:val="center"/>
              <w:rPr>
                <w:b/>
                <w:bCs/>
              </w:rPr>
            </w:pPr>
          </w:p>
        </w:tc>
        <w:tc>
          <w:tcPr>
            <w:tcW w:w="0" w:type="auto"/>
          </w:tcPr>
          <w:p w14:paraId="2A76F7D6" w14:textId="77777777" w:rsidR="00086656" w:rsidRDefault="00086656">
            <w:pPr>
              <w:jc w:val="center"/>
              <w:rPr>
                <w:b/>
                <w:bCs/>
              </w:rPr>
            </w:pPr>
          </w:p>
        </w:tc>
        <w:tc>
          <w:tcPr>
            <w:tcW w:w="0" w:type="auto"/>
          </w:tcPr>
          <w:p w14:paraId="310E859D" w14:textId="77777777" w:rsidR="00086656" w:rsidRDefault="00086656">
            <w:pPr>
              <w:jc w:val="center"/>
              <w:rPr>
                <w:b/>
                <w:bCs/>
              </w:rPr>
            </w:pPr>
          </w:p>
        </w:tc>
        <w:tc>
          <w:tcPr>
            <w:tcW w:w="0" w:type="auto"/>
          </w:tcPr>
          <w:p w14:paraId="1528ACB5" w14:textId="77777777" w:rsidR="00086656" w:rsidRDefault="00086656">
            <w:pPr>
              <w:jc w:val="center"/>
              <w:rPr>
                <w:b/>
                <w:bCs/>
              </w:rPr>
            </w:pPr>
          </w:p>
        </w:tc>
        <w:tc>
          <w:tcPr>
            <w:tcW w:w="0" w:type="auto"/>
          </w:tcPr>
          <w:p w14:paraId="547658F8" w14:textId="77777777" w:rsidR="00086656" w:rsidRDefault="00086656">
            <w:pPr>
              <w:jc w:val="center"/>
              <w:rPr>
                <w:b/>
                <w:bCs/>
              </w:rPr>
            </w:pPr>
          </w:p>
        </w:tc>
        <w:tc>
          <w:tcPr>
            <w:tcW w:w="0" w:type="auto"/>
          </w:tcPr>
          <w:p w14:paraId="02B48893" w14:textId="01A132D0" w:rsidR="00086656" w:rsidRDefault="00086656">
            <w:pPr>
              <w:jc w:val="center"/>
              <w:rPr>
                <w:b/>
                <w:bCs/>
              </w:rPr>
            </w:pPr>
          </w:p>
        </w:tc>
      </w:tr>
      <w:tr w:rsidR="00086656" w14:paraId="68914157" w14:textId="77777777" w:rsidTr="00086656">
        <w:tc>
          <w:tcPr>
            <w:tcW w:w="0" w:type="auto"/>
            <w:hideMark/>
          </w:tcPr>
          <w:p w14:paraId="7B9AF0EB" w14:textId="77777777" w:rsidR="00086656" w:rsidRDefault="00086656">
            <w:pPr>
              <w:rPr>
                <w:b/>
                <w:bCs/>
                <w:sz w:val="24"/>
                <w:szCs w:val="24"/>
              </w:rPr>
            </w:pPr>
          </w:p>
        </w:tc>
        <w:tc>
          <w:tcPr>
            <w:tcW w:w="0" w:type="auto"/>
            <w:hideMark/>
          </w:tcPr>
          <w:p w14:paraId="0219687A" w14:textId="77777777" w:rsidR="00086656" w:rsidRDefault="00086656" w:rsidP="00086656">
            <w:pPr>
              <w:jc w:val="right"/>
              <w:rPr>
                <w:b/>
                <w:bCs/>
              </w:rPr>
            </w:pPr>
            <w:r>
              <w:rPr>
                <w:b/>
                <w:bCs/>
              </w:rPr>
              <w:t>ATT</w:t>
            </w:r>
          </w:p>
        </w:tc>
        <w:tc>
          <w:tcPr>
            <w:tcW w:w="0" w:type="auto"/>
            <w:hideMark/>
          </w:tcPr>
          <w:p w14:paraId="23C9C299" w14:textId="77777777" w:rsidR="00086656" w:rsidRDefault="00086656" w:rsidP="00086656">
            <w:pPr>
              <w:rPr>
                <w:b/>
                <w:bCs/>
              </w:rPr>
            </w:pPr>
            <w:r>
              <w:rPr>
                <w:b/>
                <w:bCs/>
              </w:rPr>
              <w:t>% HW</w:t>
            </w:r>
          </w:p>
        </w:tc>
        <w:tc>
          <w:tcPr>
            <w:tcW w:w="0" w:type="auto"/>
            <w:hideMark/>
          </w:tcPr>
          <w:p w14:paraId="0E3B3CDB" w14:textId="77777777" w:rsidR="00086656" w:rsidRDefault="00086656" w:rsidP="00086656">
            <w:pPr>
              <w:rPr>
                <w:b/>
                <w:bCs/>
              </w:rPr>
            </w:pPr>
            <w:r>
              <w:rPr>
                <w:b/>
                <w:bCs/>
              </w:rPr>
              <w:t xml:space="preserve">TR </w:t>
            </w:r>
            <w:proofErr w:type="spellStart"/>
            <w:r>
              <w:rPr>
                <w:b/>
                <w:bCs/>
              </w:rPr>
              <w:t>eng</w:t>
            </w:r>
            <w:proofErr w:type="spellEnd"/>
          </w:p>
        </w:tc>
        <w:tc>
          <w:tcPr>
            <w:tcW w:w="0" w:type="auto"/>
            <w:hideMark/>
          </w:tcPr>
          <w:p w14:paraId="119A5CCD" w14:textId="77777777" w:rsidR="00086656" w:rsidRDefault="00086656" w:rsidP="00086656">
            <w:pPr>
              <w:rPr>
                <w:b/>
                <w:bCs/>
              </w:rPr>
            </w:pPr>
            <w:r>
              <w:rPr>
                <w:b/>
                <w:bCs/>
              </w:rPr>
              <w:t>P2 DBD</w:t>
            </w:r>
          </w:p>
        </w:tc>
        <w:tc>
          <w:tcPr>
            <w:tcW w:w="0" w:type="auto"/>
            <w:hideMark/>
          </w:tcPr>
          <w:p w14:paraId="69E6E3A3" w14:textId="77777777" w:rsidR="00086656" w:rsidRDefault="00086656" w:rsidP="00086656">
            <w:pPr>
              <w:rPr>
                <w:b/>
                <w:bCs/>
              </w:rPr>
            </w:pPr>
            <w:r>
              <w:rPr>
                <w:b/>
                <w:bCs/>
              </w:rPr>
              <w:t>T2 DBD</w:t>
            </w:r>
          </w:p>
        </w:tc>
        <w:tc>
          <w:tcPr>
            <w:tcW w:w="0" w:type="auto"/>
            <w:hideMark/>
          </w:tcPr>
          <w:p w14:paraId="59B7C2C6" w14:textId="77777777" w:rsidR="00086656" w:rsidRDefault="00086656" w:rsidP="00086656">
            <w:pPr>
              <w:rPr>
                <w:b/>
                <w:bCs/>
              </w:rPr>
            </w:pPr>
            <w:r>
              <w:rPr>
                <w:b/>
                <w:bCs/>
              </w:rPr>
              <w:t>P2 FX home</w:t>
            </w:r>
          </w:p>
        </w:tc>
        <w:tc>
          <w:tcPr>
            <w:tcW w:w="0" w:type="auto"/>
            <w:hideMark/>
          </w:tcPr>
          <w:p w14:paraId="79B8089B" w14:textId="77777777" w:rsidR="00086656" w:rsidRDefault="00086656" w:rsidP="00086656">
            <w:pPr>
              <w:rPr>
                <w:b/>
                <w:bCs/>
              </w:rPr>
            </w:pPr>
            <w:r>
              <w:rPr>
                <w:b/>
                <w:bCs/>
              </w:rPr>
              <w:t>T2 FX school</w:t>
            </w:r>
          </w:p>
        </w:tc>
        <w:tc>
          <w:tcPr>
            <w:tcW w:w="0" w:type="auto"/>
            <w:hideMark/>
          </w:tcPr>
          <w:p w14:paraId="242F2AFB" w14:textId="77777777" w:rsidR="00086656" w:rsidRDefault="00086656" w:rsidP="00086656">
            <w:pPr>
              <w:rPr>
                <w:b/>
                <w:bCs/>
              </w:rPr>
            </w:pPr>
            <w:r>
              <w:rPr>
                <w:b/>
                <w:bCs/>
              </w:rPr>
              <w:t>TR child</w:t>
            </w:r>
          </w:p>
        </w:tc>
        <w:tc>
          <w:tcPr>
            <w:tcW w:w="0" w:type="auto"/>
            <w:hideMark/>
          </w:tcPr>
          <w:p w14:paraId="40909EA6" w14:textId="77777777" w:rsidR="00086656" w:rsidRDefault="00086656" w:rsidP="00086656">
            <w:pPr>
              <w:rPr>
                <w:b/>
                <w:bCs/>
              </w:rPr>
            </w:pPr>
            <w:r>
              <w:rPr>
                <w:b/>
                <w:bCs/>
              </w:rPr>
              <w:t>TR parent/family</w:t>
            </w:r>
          </w:p>
        </w:tc>
        <w:tc>
          <w:tcPr>
            <w:tcW w:w="0" w:type="auto"/>
            <w:hideMark/>
          </w:tcPr>
          <w:p w14:paraId="07231A61" w14:textId="77777777" w:rsidR="00086656" w:rsidRDefault="00086656" w:rsidP="00086656">
            <w:pPr>
              <w:rPr>
                <w:b/>
                <w:bCs/>
              </w:rPr>
            </w:pPr>
            <w:r>
              <w:rPr>
                <w:b/>
                <w:bCs/>
              </w:rPr>
              <w:t>% Home</w:t>
            </w:r>
          </w:p>
        </w:tc>
        <w:tc>
          <w:tcPr>
            <w:tcW w:w="0" w:type="auto"/>
            <w:hideMark/>
          </w:tcPr>
          <w:p w14:paraId="68B7A712" w14:textId="77777777" w:rsidR="00086656" w:rsidRDefault="00086656" w:rsidP="00086656">
            <w:pPr>
              <w:rPr>
                <w:b/>
                <w:bCs/>
              </w:rPr>
            </w:pPr>
            <w:r>
              <w:rPr>
                <w:b/>
                <w:bCs/>
              </w:rPr>
              <w:t>% School</w:t>
            </w:r>
          </w:p>
        </w:tc>
      </w:tr>
      <w:tr w:rsidR="00086656" w14:paraId="63E9DB38" w14:textId="77777777" w:rsidTr="00086656">
        <w:tc>
          <w:tcPr>
            <w:tcW w:w="0" w:type="auto"/>
            <w:hideMark/>
          </w:tcPr>
          <w:p w14:paraId="2784A4B6" w14:textId="77777777" w:rsidR="00086656" w:rsidRDefault="00086656">
            <w:r>
              <w:t>Child age</w:t>
            </w:r>
          </w:p>
        </w:tc>
        <w:tc>
          <w:tcPr>
            <w:tcW w:w="0" w:type="auto"/>
            <w:hideMark/>
          </w:tcPr>
          <w:p w14:paraId="26AFA87E" w14:textId="77777777" w:rsidR="00086656" w:rsidRDefault="00086656" w:rsidP="00086656">
            <w:pPr>
              <w:jc w:val="right"/>
            </w:pPr>
            <w:r>
              <w:t>.04</w:t>
            </w:r>
          </w:p>
        </w:tc>
        <w:tc>
          <w:tcPr>
            <w:tcW w:w="0" w:type="auto"/>
            <w:hideMark/>
          </w:tcPr>
          <w:p w14:paraId="3BDFC377" w14:textId="77777777" w:rsidR="00086656" w:rsidRDefault="00086656">
            <w:r>
              <w:t>−.05</w:t>
            </w:r>
          </w:p>
        </w:tc>
        <w:tc>
          <w:tcPr>
            <w:tcW w:w="0" w:type="auto"/>
            <w:hideMark/>
          </w:tcPr>
          <w:p w14:paraId="125A6FF8" w14:textId="77777777" w:rsidR="00086656" w:rsidRDefault="00086656">
            <w:r>
              <w:t>−.06</w:t>
            </w:r>
          </w:p>
        </w:tc>
        <w:tc>
          <w:tcPr>
            <w:tcW w:w="0" w:type="auto"/>
            <w:hideMark/>
          </w:tcPr>
          <w:p w14:paraId="3286385D" w14:textId="77777777" w:rsidR="00086656" w:rsidRDefault="00086656">
            <w:r>
              <w:t>−.09</w:t>
            </w:r>
          </w:p>
        </w:tc>
        <w:tc>
          <w:tcPr>
            <w:tcW w:w="0" w:type="auto"/>
            <w:hideMark/>
          </w:tcPr>
          <w:p w14:paraId="622D1542" w14:textId="77777777" w:rsidR="00086656" w:rsidRDefault="00086656">
            <w:r>
              <w:t>−.03</w:t>
            </w:r>
          </w:p>
        </w:tc>
        <w:tc>
          <w:tcPr>
            <w:tcW w:w="0" w:type="auto"/>
            <w:hideMark/>
          </w:tcPr>
          <w:p w14:paraId="76957E22" w14:textId="77777777" w:rsidR="00086656" w:rsidRDefault="00086656">
            <w:r>
              <w:t>−.003</w:t>
            </w:r>
          </w:p>
        </w:tc>
        <w:tc>
          <w:tcPr>
            <w:tcW w:w="0" w:type="auto"/>
            <w:hideMark/>
          </w:tcPr>
          <w:p w14:paraId="6014D38A" w14:textId="77777777" w:rsidR="00086656" w:rsidRDefault="00086656">
            <w:r>
              <w:t>.01</w:t>
            </w:r>
          </w:p>
        </w:tc>
        <w:tc>
          <w:tcPr>
            <w:tcW w:w="0" w:type="auto"/>
            <w:hideMark/>
          </w:tcPr>
          <w:p w14:paraId="1A043245" w14:textId="77777777" w:rsidR="00086656" w:rsidRDefault="00086656">
            <w:r>
              <w:t>−.14</w:t>
            </w:r>
          </w:p>
        </w:tc>
        <w:tc>
          <w:tcPr>
            <w:tcW w:w="0" w:type="auto"/>
            <w:hideMark/>
          </w:tcPr>
          <w:p w14:paraId="2E095271" w14:textId="77777777" w:rsidR="00086656" w:rsidRDefault="00086656">
            <w:r>
              <w:t>−.08</w:t>
            </w:r>
          </w:p>
        </w:tc>
        <w:tc>
          <w:tcPr>
            <w:tcW w:w="0" w:type="auto"/>
            <w:hideMark/>
          </w:tcPr>
          <w:p w14:paraId="36AC7691" w14:textId="77777777" w:rsidR="00086656" w:rsidRDefault="00086656">
            <w:r>
              <w:t>.22</w:t>
            </w:r>
            <w:r>
              <w:rPr>
                <w:vertAlign w:val="superscript"/>
              </w:rPr>
              <w:t>+</w:t>
            </w:r>
          </w:p>
        </w:tc>
        <w:tc>
          <w:tcPr>
            <w:tcW w:w="0" w:type="auto"/>
            <w:hideMark/>
          </w:tcPr>
          <w:p w14:paraId="114D7763" w14:textId="77777777" w:rsidR="00086656" w:rsidRDefault="00086656">
            <w:r>
              <w:t>−.04</w:t>
            </w:r>
          </w:p>
        </w:tc>
      </w:tr>
      <w:tr w:rsidR="00086656" w14:paraId="3425291D" w14:textId="77777777" w:rsidTr="00086656">
        <w:tc>
          <w:tcPr>
            <w:tcW w:w="0" w:type="auto"/>
            <w:hideMark/>
          </w:tcPr>
          <w:p w14:paraId="1D8BCD69" w14:textId="77777777" w:rsidR="00086656" w:rsidRDefault="00086656">
            <w:r>
              <w:t>Family SES</w:t>
            </w:r>
          </w:p>
        </w:tc>
        <w:tc>
          <w:tcPr>
            <w:tcW w:w="0" w:type="auto"/>
            <w:hideMark/>
          </w:tcPr>
          <w:p w14:paraId="1753F55C" w14:textId="77777777" w:rsidR="00086656" w:rsidRDefault="00086656" w:rsidP="00086656">
            <w:pPr>
              <w:jc w:val="right"/>
            </w:pPr>
            <w:r>
              <w:t>−.09</w:t>
            </w:r>
          </w:p>
        </w:tc>
        <w:tc>
          <w:tcPr>
            <w:tcW w:w="0" w:type="auto"/>
            <w:hideMark/>
          </w:tcPr>
          <w:p w14:paraId="0AF89774" w14:textId="77777777" w:rsidR="00086656" w:rsidRDefault="00086656">
            <w:r>
              <w:t>−.15</w:t>
            </w:r>
          </w:p>
        </w:tc>
        <w:tc>
          <w:tcPr>
            <w:tcW w:w="0" w:type="auto"/>
            <w:hideMark/>
          </w:tcPr>
          <w:p w14:paraId="7DD6E61F" w14:textId="77777777" w:rsidR="00086656" w:rsidRDefault="00086656">
            <w:r>
              <w:t>−.11</w:t>
            </w:r>
          </w:p>
        </w:tc>
        <w:tc>
          <w:tcPr>
            <w:tcW w:w="0" w:type="auto"/>
            <w:hideMark/>
          </w:tcPr>
          <w:p w14:paraId="3847412D" w14:textId="77777777" w:rsidR="00086656" w:rsidRDefault="00086656">
            <w:r>
              <w:t>.03</w:t>
            </w:r>
          </w:p>
        </w:tc>
        <w:tc>
          <w:tcPr>
            <w:tcW w:w="0" w:type="auto"/>
            <w:hideMark/>
          </w:tcPr>
          <w:p w14:paraId="209C3663" w14:textId="77777777" w:rsidR="00086656" w:rsidRDefault="00086656">
            <w:r>
              <w:t>.06</w:t>
            </w:r>
          </w:p>
        </w:tc>
        <w:tc>
          <w:tcPr>
            <w:tcW w:w="0" w:type="auto"/>
            <w:hideMark/>
          </w:tcPr>
          <w:p w14:paraId="23DF420B" w14:textId="77777777" w:rsidR="00086656" w:rsidRDefault="00086656">
            <w:r>
              <w:t>−.18</w:t>
            </w:r>
          </w:p>
        </w:tc>
        <w:tc>
          <w:tcPr>
            <w:tcW w:w="0" w:type="auto"/>
            <w:hideMark/>
          </w:tcPr>
          <w:p w14:paraId="46F55DD0" w14:textId="77777777" w:rsidR="00086656" w:rsidRDefault="00086656">
            <w:r>
              <w:t>.04</w:t>
            </w:r>
          </w:p>
        </w:tc>
        <w:tc>
          <w:tcPr>
            <w:tcW w:w="0" w:type="auto"/>
            <w:hideMark/>
          </w:tcPr>
          <w:p w14:paraId="4E1CC8C8" w14:textId="77777777" w:rsidR="00086656" w:rsidRDefault="00086656">
            <w:r>
              <w:t>−.07</w:t>
            </w:r>
          </w:p>
        </w:tc>
        <w:tc>
          <w:tcPr>
            <w:tcW w:w="0" w:type="auto"/>
            <w:hideMark/>
          </w:tcPr>
          <w:p w14:paraId="414F80CA" w14:textId="77777777" w:rsidR="00086656" w:rsidRDefault="00086656">
            <w:r>
              <w:t>−.07</w:t>
            </w:r>
          </w:p>
        </w:tc>
        <w:tc>
          <w:tcPr>
            <w:tcW w:w="0" w:type="auto"/>
            <w:hideMark/>
          </w:tcPr>
          <w:p w14:paraId="220CA0F3" w14:textId="77777777" w:rsidR="00086656" w:rsidRDefault="00086656">
            <w:r>
              <w:t>−.16</w:t>
            </w:r>
          </w:p>
        </w:tc>
        <w:tc>
          <w:tcPr>
            <w:tcW w:w="0" w:type="auto"/>
            <w:hideMark/>
          </w:tcPr>
          <w:p w14:paraId="59873C67" w14:textId="77777777" w:rsidR="00086656" w:rsidRDefault="00086656">
            <w:r>
              <w:t>−.10</w:t>
            </w:r>
          </w:p>
        </w:tc>
      </w:tr>
      <w:tr w:rsidR="00086656" w14:paraId="1F59C65B" w14:textId="77777777" w:rsidTr="00086656">
        <w:tc>
          <w:tcPr>
            <w:tcW w:w="0" w:type="auto"/>
            <w:hideMark/>
          </w:tcPr>
          <w:p w14:paraId="10A71461" w14:textId="77777777" w:rsidR="00086656" w:rsidRDefault="00086656">
            <w:r>
              <w:t>P1 DBD</w:t>
            </w:r>
          </w:p>
        </w:tc>
        <w:tc>
          <w:tcPr>
            <w:tcW w:w="0" w:type="auto"/>
            <w:hideMark/>
          </w:tcPr>
          <w:p w14:paraId="74C594B8" w14:textId="77777777" w:rsidR="00086656" w:rsidRDefault="00086656" w:rsidP="00086656">
            <w:pPr>
              <w:jc w:val="right"/>
            </w:pPr>
            <w:r>
              <w:t>.05</w:t>
            </w:r>
          </w:p>
        </w:tc>
        <w:tc>
          <w:tcPr>
            <w:tcW w:w="0" w:type="auto"/>
            <w:hideMark/>
          </w:tcPr>
          <w:p w14:paraId="5AE73B9F" w14:textId="77777777" w:rsidR="00086656" w:rsidRDefault="00086656">
            <w:r>
              <w:t>.19</w:t>
            </w:r>
          </w:p>
        </w:tc>
        <w:tc>
          <w:tcPr>
            <w:tcW w:w="0" w:type="auto"/>
            <w:hideMark/>
          </w:tcPr>
          <w:p w14:paraId="73E72870" w14:textId="77777777" w:rsidR="00086656" w:rsidRDefault="00086656">
            <w:r>
              <w:t>.13</w:t>
            </w:r>
          </w:p>
        </w:tc>
        <w:tc>
          <w:tcPr>
            <w:tcW w:w="0" w:type="auto"/>
            <w:hideMark/>
          </w:tcPr>
          <w:p w14:paraId="06073D30" w14:textId="77777777" w:rsidR="00086656" w:rsidRDefault="00086656">
            <w:r>
              <w:t>.49</w:t>
            </w:r>
            <w:hyperlink r:id="rId11" w:anchor="TF6" w:history="1">
              <w:r>
                <w:rPr>
                  <w:rStyle w:val="Hyperlink"/>
                </w:rPr>
                <w:t>***</w:t>
              </w:r>
            </w:hyperlink>
          </w:p>
        </w:tc>
        <w:tc>
          <w:tcPr>
            <w:tcW w:w="0" w:type="auto"/>
            <w:hideMark/>
          </w:tcPr>
          <w:p w14:paraId="5EC30E83" w14:textId="77777777" w:rsidR="00086656" w:rsidRDefault="00086656">
            <w:r>
              <w:t>−.18</w:t>
            </w:r>
          </w:p>
        </w:tc>
        <w:tc>
          <w:tcPr>
            <w:tcW w:w="0" w:type="auto"/>
            <w:hideMark/>
          </w:tcPr>
          <w:p w14:paraId="7C109AA4" w14:textId="77777777" w:rsidR="00086656" w:rsidRDefault="00086656">
            <w:r>
              <w:t>.40</w:t>
            </w:r>
            <w:hyperlink r:id="rId12" w:anchor="TF6" w:history="1">
              <w:r>
                <w:rPr>
                  <w:rStyle w:val="Hyperlink"/>
                </w:rPr>
                <w:t>**</w:t>
              </w:r>
            </w:hyperlink>
          </w:p>
        </w:tc>
        <w:tc>
          <w:tcPr>
            <w:tcW w:w="0" w:type="auto"/>
            <w:hideMark/>
          </w:tcPr>
          <w:p w14:paraId="24098ABA" w14:textId="77777777" w:rsidR="00086656" w:rsidRDefault="00086656">
            <w:r>
              <w:t>−.09</w:t>
            </w:r>
          </w:p>
        </w:tc>
        <w:tc>
          <w:tcPr>
            <w:tcW w:w="0" w:type="auto"/>
            <w:hideMark/>
          </w:tcPr>
          <w:p w14:paraId="1D1BD2DF" w14:textId="77777777" w:rsidR="00086656" w:rsidRDefault="00086656">
            <w:r>
              <w:t>.05</w:t>
            </w:r>
          </w:p>
        </w:tc>
        <w:tc>
          <w:tcPr>
            <w:tcW w:w="0" w:type="auto"/>
            <w:hideMark/>
          </w:tcPr>
          <w:p w14:paraId="4F756B8F" w14:textId="77777777" w:rsidR="00086656" w:rsidRDefault="00086656">
            <w:r>
              <w:t>.14</w:t>
            </w:r>
          </w:p>
        </w:tc>
        <w:tc>
          <w:tcPr>
            <w:tcW w:w="0" w:type="auto"/>
            <w:hideMark/>
          </w:tcPr>
          <w:p w14:paraId="66AC2FC7" w14:textId="77777777" w:rsidR="00086656" w:rsidRDefault="00086656">
            <w:r>
              <w:t>.13</w:t>
            </w:r>
          </w:p>
        </w:tc>
        <w:tc>
          <w:tcPr>
            <w:tcW w:w="0" w:type="auto"/>
            <w:hideMark/>
          </w:tcPr>
          <w:p w14:paraId="76B1D588" w14:textId="77777777" w:rsidR="00086656" w:rsidRDefault="00086656">
            <w:r>
              <w:t>.14</w:t>
            </w:r>
          </w:p>
        </w:tc>
      </w:tr>
      <w:tr w:rsidR="00086656" w14:paraId="77396ED5" w14:textId="77777777" w:rsidTr="00086656">
        <w:tc>
          <w:tcPr>
            <w:tcW w:w="0" w:type="auto"/>
            <w:hideMark/>
          </w:tcPr>
          <w:p w14:paraId="521B65F4" w14:textId="77777777" w:rsidR="00086656" w:rsidRDefault="00086656">
            <w:r>
              <w:t>T1 DBD</w:t>
            </w:r>
          </w:p>
        </w:tc>
        <w:tc>
          <w:tcPr>
            <w:tcW w:w="0" w:type="auto"/>
            <w:hideMark/>
          </w:tcPr>
          <w:p w14:paraId="002313C4" w14:textId="77777777" w:rsidR="00086656" w:rsidRDefault="00086656" w:rsidP="00086656">
            <w:pPr>
              <w:jc w:val="right"/>
            </w:pPr>
            <w:r>
              <w:t>−.19</w:t>
            </w:r>
          </w:p>
        </w:tc>
        <w:tc>
          <w:tcPr>
            <w:tcW w:w="0" w:type="auto"/>
            <w:hideMark/>
          </w:tcPr>
          <w:p w14:paraId="5CB9FCAD" w14:textId="77777777" w:rsidR="00086656" w:rsidRDefault="00086656">
            <w:r>
              <w:t>−.14</w:t>
            </w:r>
          </w:p>
        </w:tc>
        <w:tc>
          <w:tcPr>
            <w:tcW w:w="0" w:type="auto"/>
            <w:hideMark/>
          </w:tcPr>
          <w:p w14:paraId="661F54B6" w14:textId="77777777" w:rsidR="00086656" w:rsidRDefault="00086656">
            <w:r>
              <w:t>.07</w:t>
            </w:r>
          </w:p>
        </w:tc>
        <w:tc>
          <w:tcPr>
            <w:tcW w:w="0" w:type="auto"/>
            <w:hideMark/>
          </w:tcPr>
          <w:p w14:paraId="5B01A681" w14:textId="77777777" w:rsidR="00086656" w:rsidRDefault="00086656">
            <w:r>
              <w:t>.14</w:t>
            </w:r>
          </w:p>
        </w:tc>
        <w:tc>
          <w:tcPr>
            <w:tcW w:w="0" w:type="auto"/>
            <w:hideMark/>
          </w:tcPr>
          <w:p w14:paraId="695D7B47" w14:textId="77777777" w:rsidR="00086656" w:rsidRDefault="00086656">
            <w:r>
              <w:t>.55</w:t>
            </w:r>
            <w:hyperlink r:id="rId13" w:anchor="TF6" w:history="1">
              <w:r>
                <w:rPr>
                  <w:rStyle w:val="Hyperlink"/>
                </w:rPr>
                <w:t>***</w:t>
              </w:r>
            </w:hyperlink>
          </w:p>
        </w:tc>
        <w:tc>
          <w:tcPr>
            <w:tcW w:w="0" w:type="auto"/>
            <w:hideMark/>
          </w:tcPr>
          <w:p w14:paraId="424F3985" w14:textId="77777777" w:rsidR="00086656" w:rsidRDefault="00086656">
            <w:r>
              <w:t>−.18</w:t>
            </w:r>
          </w:p>
        </w:tc>
        <w:tc>
          <w:tcPr>
            <w:tcW w:w="0" w:type="auto"/>
            <w:hideMark/>
          </w:tcPr>
          <w:p w14:paraId="745E7E47" w14:textId="77777777" w:rsidR="00086656" w:rsidRDefault="00086656">
            <w:r>
              <w:t>.32</w:t>
            </w:r>
            <w:hyperlink r:id="rId14" w:anchor="TF6" w:history="1">
              <w:r>
                <w:rPr>
                  <w:rStyle w:val="Hyperlink"/>
                </w:rPr>
                <w:t>*</w:t>
              </w:r>
            </w:hyperlink>
          </w:p>
        </w:tc>
        <w:tc>
          <w:tcPr>
            <w:tcW w:w="0" w:type="auto"/>
            <w:hideMark/>
          </w:tcPr>
          <w:p w14:paraId="681F5743" w14:textId="77777777" w:rsidR="00086656" w:rsidRDefault="00086656">
            <w:r>
              <w:t>.003</w:t>
            </w:r>
          </w:p>
        </w:tc>
        <w:tc>
          <w:tcPr>
            <w:tcW w:w="0" w:type="auto"/>
            <w:hideMark/>
          </w:tcPr>
          <w:p w14:paraId="15638DB8" w14:textId="77777777" w:rsidR="00086656" w:rsidRDefault="00086656">
            <w:r>
              <w:t>.07</w:t>
            </w:r>
          </w:p>
        </w:tc>
        <w:tc>
          <w:tcPr>
            <w:tcW w:w="0" w:type="auto"/>
            <w:hideMark/>
          </w:tcPr>
          <w:p w14:paraId="2740804C" w14:textId="77777777" w:rsidR="00086656" w:rsidRDefault="00086656">
            <w:r>
              <w:t>.004</w:t>
            </w:r>
          </w:p>
        </w:tc>
        <w:tc>
          <w:tcPr>
            <w:tcW w:w="0" w:type="auto"/>
            <w:hideMark/>
          </w:tcPr>
          <w:p w14:paraId="70869CC7" w14:textId="77777777" w:rsidR="00086656" w:rsidRDefault="00086656">
            <w:r>
              <w:t>−.01</w:t>
            </w:r>
          </w:p>
        </w:tc>
      </w:tr>
      <w:tr w:rsidR="00086656" w14:paraId="1560D8D9" w14:textId="77777777" w:rsidTr="00086656">
        <w:tc>
          <w:tcPr>
            <w:tcW w:w="0" w:type="auto"/>
            <w:hideMark/>
          </w:tcPr>
          <w:p w14:paraId="715DDAFC" w14:textId="77777777" w:rsidR="00086656" w:rsidRDefault="00086656">
            <w:r>
              <w:t>P1 FX home</w:t>
            </w:r>
          </w:p>
        </w:tc>
        <w:tc>
          <w:tcPr>
            <w:tcW w:w="0" w:type="auto"/>
            <w:hideMark/>
          </w:tcPr>
          <w:p w14:paraId="38A6EE42" w14:textId="77777777" w:rsidR="00086656" w:rsidRDefault="00086656" w:rsidP="00086656">
            <w:pPr>
              <w:jc w:val="right"/>
            </w:pPr>
            <w:r>
              <w:t>.16</w:t>
            </w:r>
          </w:p>
        </w:tc>
        <w:tc>
          <w:tcPr>
            <w:tcW w:w="0" w:type="auto"/>
            <w:hideMark/>
          </w:tcPr>
          <w:p w14:paraId="770F256D" w14:textId="77777777" w:rsidR="00086656" w:rsidRDefault="00086656">
            <w:r>
              <w:t>.25</w:t>
            </w:r>
            <w:r>
              <w:rPr>
                <w:vertAlign w:val="superscript"/>
              </w:rPr>
              <w:t>+</w:t>
            </w:r>
          </w:p>
        </w:tc>
        <w:tc>
          <w:tcPr>
            <w:tcW w:w="0" w:type="auto"/>
            <w:hideMark/>
          </w:tcPr>
          <w:p w14:paraId="1B1BC36E" w14:textId="77777777" w:rsidR="00086656" w:rsidRDefault="00086656">
            <w:r>
              <w:t>.19</w:t>
            </w:r>
          </w:p>
        </w:tc>
        <w:tc>
          <w:tcPr>
            <w:tcW w:w="0" w:type="auto"/>
            <w:hideMark/>
          </w:tcPr>
          <w:p w14:paraId="13251E1E" w14:textId="77777777" w:rsidR="00086656" w:rsidRDefault="00086656">
            <w:r>
              <w:t>.40</w:t>
            </w:r>
            <w:hyperlink r:id="rId15" w:anchor="TF6" w:history="1">
              <w:r>
                <w:rPr>
                  <w:rStyle w:val="Hyperlink"/>
                </w:rPr>
                <w:t>**</w:t>
              </w:r>
            </w:hyperlink>
          </w:p>
        </w:tc>
        <w:tc>
          <w:tcPr>
            <w:tcW w:w="0" w:type="auto"/>
            <w:hideMark/>
          </w:tcPr>
          <w:p w14:paraId="12011F7F" w14:textId="77777777" w:rsidR="00086656" w:rsidRDefault="00086656">
            <w:r>
              <w:t>−.29</w:t>
            </w:r>
            <w:hyperlink r:id="rId16" w:anchor="TF6" w:history="1">
              <w:r>
                <w:rPr>
                  <w:rStyle w:val="Hyperlink"/>
                </w:rPr>
                <w:t>*</w:t>
              </w:r>
            </w:hyperlink>
          </w:p>
        </w:tc>
        <w:tc>
          <w:tcPr>
            <w:tcW w:w="0" w:type="auto"/>
            <w:hideMark/>
          </w:tcPr>
          <w:p w14:paraId="50220043" w14:textId="77777777" w:rsidR="00086656" w:rsidRDefault="00086656">
            <w:r>
              <w:t>.55</w:t>
            </w:r>
            <w:hyperlink r:id="rId17" w:anchor="TF6" w:history="1">
              <w:r>
                <w:rPr>
                  <w:rStyle w:val="Hyperlink"/>
                </w:rPr>
                <w:t>***</w:t>
              </w:r>
            </w:hyperlink>
          </w:p>
        </w:tc>
        <w:tc>
          <w:tcPr>
            <w:tcW w:w="0" w:type="auto"/>
            <w:hideMark/>
          </w:tcPr>
          <w:p w14:paraId="4370DBDD" w14:textId="77777777" w:rsidR="00086656" w:rsidRDefault="00086656">
            <w:r>
              <w:t>−.12</w:t>
            </w:r>
          </w:p>
        </w:tc>
        <w:tc>
          <w:tcPr>
            <w:tcW w:w="0" w:type="auto"/>
            <w:hideMark/>
          </w:tcPr>
          <w:p w14:paraId="5BAF78BD" w14:textId="77777777" w:rsidR="00086656" w:rsidRDefault="00086656">
            <w:r>
              <w:t>.01</w:t>
            </w:r>
          </w:p>
        </w:tc>
        <w:tc>
          <w:tcPr>
            <w:tcW w:w="0" w:type="auto"/>
            <w:hideMark/>
          </w:tcPr>
          <w:p w14:paraId="75B7C120" w14:textId="77777777" w:rsidR="00086656" w:rsidRDefault="00086656">
            <w:r>
              <w:t>.11</w:t>
            </w:r>
          </w:p>
        </w:tc>
        <w:tc>
          <w:tcPr>
            <w:tcW w:w="0" w:type="auto"/>
            <w:hideMark/>
          </w:tcPr>
          <w:p w14:paraId="2578D9FE" w14:textId="77777777" w:rsidR="00086656" w:rsidRDefault="00086656">
            <w:r>
              <w:t>.15</w:t>
            </w:r>
          </w:p>
        </w:tc>
        <w:tc>
          <w:tcPr>
            <w:tcW w:w="0" w:type="auto"/>
            <w:hideMark/>
          </w:tcPr>
          <w:p w14:paraId="284FB85F" w14:textId="77777777" w:rsidR="00086656" w:rsidRDefault="00086656">
            <w:r>
              <w:t>.18</w:t>
            </w:r>
          </w:p>
        </w:tc>
      </w:tr>
      <w:tr w:rsidR="00086656" w14:paraId="7E7071A6" w14:textId="77777777" w:rsidTr="00086656">
        <w:tc>
          <w:tcPr>
            <w:tcW w:w="0" w:type="auto"/>
            <w:hideMark/>
          </w:tcPr>
          <w:p w14:paraId="3F6BC97C" w14:textId="77777777" w:rsidR="00086656" w:rsidRDefault="00086656">
            <w:r>
              <w:t>T1 FX school</w:t>
            </w:r>
          </w:p>
        </w:tc>
        <w:tc>
          <w:tcPr>
            <w:tcW w:w="0" w:type="auto"/>
            <w:hideMark/>
          </w:tcPr>
          <w:p w14:paraId="251D6CEB" w14:textId="77777777" w:rsidR="00086656" w:rsidRDefault="00086656" w:rsidP="00086656">
            <w:pPr>
              <w:jc w:val="right"/>
            </w:pPr>
            <w:r>
              <w:t>−.01</w:t>
            </w:r>
          </w:p>
        </w:tc>
        <w:tc>
          <w:tcPr>
            <w:tcW w:w="0" w:type="auto"/>
            <w:hideMark/>
          </w:tcPr>
          <w:p w14:paraId="74E84929" w14:textId="77777777" w:rsidR="00086656" w:rsidRDefault="00086656">
            <w:r>
              <w:t>.04</w:t>
            </w:r>
          </w:p>
        </w:tc>
        <w:tc>
          <w:tcPr>
            <w:tcW w:w="0" w:type="auto"/>
            <w:hideMark/>
          </w:tcPr>
          <w:p w14:paraId="0E4BA947" w14:textId="77777777" w:rsidR="00086656" w:rsidRDefault="00086656">
            <w:r>
              <w:t>.07</w:t>
            </w:r>
          </w:p>
        </w:tc>
        <w:tc>
          <w:tcPr>
            <w:tcW w:w="0" w:type="auto"/>
            <w:hideMark/>
          </w:tcPr>
          <w:p w14:paraId="07A9B42E" w14:textId="77777777" w:rsidR="00086656" w:rsidRDefault="00086656">
            <w:r>
              <w:t>.01</w:t>
            </w:r>
          </w:p>
        </w:tc>
        <w:tc>
          <w:tcPr>
            <w:tcW w:w="0" w:type="auto"/>
            <w:hideMark/>
          </w:tcPr>
          <w:p w14:paraId="147202B5" w14:textId="77777777" w:rsidR="00086656" w:rsidRDefault="00086656">
            <w:r>
              <w:t>.34</w:t>
            </w:r>
            <w:hyperlink r:id="rId18" w:anchor="TF6" w:history="1">
              <w:r>
                <w:rPr>
                  <w:rStyle w:val="Hyperlink"/>
                </w:rPr>
                <w:t>**</w:t>
              </w:r>
            </w:hyperlink>
          </w:p>
        </w:tc>
        <w:tc>
          <w:tcPr>
            <w:tcW w:w="0" w:type="auto"/>
            <w:hideMark/>
          </w:tcPr>
          <w:p w14:paraId="74DEA3DB" w14:textId="77777777" w:rsidR="00086656" w:rsidRDefault="00086656">
            <w:r>
              <w:t>−.04</w:t>
            </w:r>
          </w:p>
        </w:tc>
        <w:tc>
          <w:tcPr>
            <w:tcW w:w="0" w:type="auto"/>
            <w:hideMark/>
          </w:tcPr>
          <w:p w14:paraId="1C40FB0D" w14:textId="77777777" w:rsidR="00086656" w:rsidRDefault="00086656">
            <w:r>
              <w:t>.41</w:t>
            </w:r>
            <w:hyperlink r:id="rId19" w:anchor="TF6" w:history="1">
              <w:r>
                <w:rPr>
                  <w:rStyle w:val="Hyperlink"/>
                </w:rPr>
                <w:t>***</w:t>
              </w:r>
            </w:hyperlink>
          </w:p>
        </w:tc>
        <w:tc>
          <w:tcPr>
            <w:tcW w:w="0" w:type="auto"/>
            <w:hideMark/>
          </w:tcPr>
          <w:p w14:paraId="03EBEA2F" w14:textId="77777777" w:rsidR="00086656" w:rsidRDefault="00086656">
            <w:r>
              <w:t>.05</w:t>
            </w:r>
          </w:p>
        </w:tc>
        <w:tc>
          <w:tcPr>
            <w:tcW w:w="0" w:type="auto"/>
            <w:hideMark/>
          </w:tcPr>
          <w:p w14:paraId="0C83B2FE" w14:textId="77777777" w:rsidR="00086656" w:rsidRDefault="00086656">
            <w:r>
              <w:t>.13</w:t>
            </w:r>
          </w:p>
        </w:tc>
        <w:tc>
          <w:tcPr>
            <w:tcW w:w="0" w:type="auto"/>
            <w:hideMark/>
          </w:tcPr>
          <w:p w14:paraId="33766A4E" w14:textId="77777777" w:rsidR="00086656" w:rsidRDefault="00086656">
            <w:r>
              <w:t>.003</w:t>
            </w:r>
          </w:p>
        </w:tc>
        <w:tc>
          <w:tcPr>
            <w:tcW w:w="0" w:type="auto"/>
            <w:hideMark/>
          </w:tcPr>
          <w:p w14:paraId="60D8F65F" w14:textId="77777777" w:rsidR="00086656" w:rsidRDefault="00086656">
            <w:r>
              <w:t>−.13</w:t>
            </w:r>
          </w:p>
        </w:tc>
      </w:tr>
      <w:tr w:rsidR="00086656" w14:paraId="581FCB3B" w14:textId="77777777" w:rsidTr="00086656">
        <w:tc>
          <w:tcPr>
            <w:tcW w:w="0" w:type="auto"/>
            <w:hideMark/>
          </w:tcPr>
          <w:p w14:paraId="3AC4F706" w14:textId="77777777" w:rsidR="00086656" w:rsidRDefault="00086656">
            <w:r>
              <w:t>Mother ARSMA-II MOS</w:t>
            </w:r>
          </w:p>
        </w:tc>
        <w:tc>
          <w:tcPr>
            <w:tcW w:w="0" w:type="auto"/>
            <w:hideMark/>
          </w:tcPr>
          <w:p w14:paraId="314575A0" w14:textId="77777777" w:rsidR="00086656" w:rsidRDefault="00086656" w:rsidP="00086656">
            <w:pPr>
              <w:jc w:val="right"/>
            </w:pPr>
            <w:r>
              <w:t>.01</w:t>
            </w:r>
          </w:p>
        </w:tc>
        <w:tc>
          <w:tcPr>
            <w:tcW w:w="0" w:type="auto"/>
            <w:hideMark/>
          </w:tcPr>
          <w:p w14:paraId="50BE49CD" w14:textId="77777777" w:rsidR="00086656" w:rsidRDefault="00086656">
            <w:r>
              <w:t>−.04</w:t>
            </w:r>
          </w:p>
        </w:tc>
        <w:tc>
          <w:tcPr>
            <w:tcW w:w="0" w:type="auto"/>
            <w:hideMark/>
          </w:tcPr>
          <w:p w14:paraId="2F220CAC" w14:textId="77777777" w:rsidR="00086656" w:rsidRDefault="00086656">
            <w:r>
              <w:t>−.03</w:t>
            </w:r>
          </w:p>
        </w:tc>
        <w:tc>
          <w:tcPr>
            <w:tcW w:w="0" w:type="auto"/>
            <w:hideMark/>
          </w:tcPr>
          <w:p w14:paraId="484CFC19" w14:textId="77777777" w:rsidR="00086656" w:rsidRDefault="00086656">
            <w:r>
              <w:t>.23</w:t>
            </w:r>
            <w:r>
              <w:rPr>
                <w:vertAlign w:val="superscript"/>
              </w:rPr>
              <w:t>+</w:t>
            </w:r>
          </w:p>
        </w:tc>
        <w:tc>
          <w:tcPr>
            <w:tcW w:w="0" w:type="auto"/>
            <w:hideMark/>
          </w:tcPr>
          <w:p w14:paraId="4C702E36" w14:textId="77777777" w:rsidR="00086656" w:rsidRDefault="00086656">
            <w:r>
              <w:t>−.11</w:t>
            </w:r>
          </w:p>
        </w:tc>
        <w:tc>
          <w:tcPr>
            <w:tcW w:w="0" w:type="auto"/>
            <w:hideMark/>
          </w:tcPr>
          <w:p w14:paraId="06A9B360" w14:textId="77777777" w:rsidR="00086656" w:rsidRDefault="00086656">
            <w:r>
              <w:t>.09</w:t>
            </w:r>
          </w:p>
        </w:tc>
        <w:tc>
          <w:tcPr>
            <w:tcW w:w="0" w:type="auto"/>
            <w:hideMark/>
          </w:tcPr>
          <w:p w14:paraId="3753109D" w14:textId="77777777" w:rsidR="00086656" w:rsidRDefault="00086656">
            <w:r>
              <w:t>−.16</w:t>
            </w:r>
          </w:p>
        </w:tc>
        <w:tc>
          <w:tcPr>
            <w:tcW w:w="0" w:type="auto"/>
            <w:hideMark/>
          </w:tcPr>
          <w:p w14:paraId="08B12D5B" w14:textId="77777777" w:rsidR="00086656" w:rsidRDefault="00086656">
            <w:r>
              <w:t>−.09</w:t>
            </w:r>
          </w:p>
        </w:tc>
        <w:tc>
          <w:tcPr>
            <w:tcW w:w="0" w:type="auto"/>
            <w:hideMark/>
          </w:tcPr>
          <w:p w14:paraId="1025B921" w14:textId="77777777" w:rsidR="00086656" w:rsidRDefault="00086656">
            <w:r>
              <w:t>.03</w:t>
            </w:r>
          </w:p>
        </w:tc>
        <w:tc>
          <w:tcPr>
            <w:tcW w:w="0" w:type="auto"/>
            <w:hideMark/>
          </w:tcPr>
          <w:p w14:paraId="123BDBE4" w14:textId="77777777" w:rsidR="00086656" w:rsidRDefault="00086656">
            <w:r>
              <w:t>−.22</w:t>
            </w:r>
            <w:r>
              <w:rPr>
                <w:vertAlign w:val="superscript"/>
              </w:rPr>
              <w:t>+</w:t>
            </w:r>
          </w:p>
        </w:tc>
        <w:tc>
          <w:tcPr>
            <w:tcW w:w="0" w:type="auto"/>
            <w:hideMark/>
          </w:tcPr>
          <w:p w14:paraId="1D6F7673" w14:textId="77777777" w:rsidR="00086656" w:rsidRDefault="00086656">
            <w:r>
              <w:t>−.08</w:t>
            </w:r>
          </w:p>
        </w:tc>
      </w:tr>
      <w:tr w:rsidR="00086656" w14:paraId="4961FA2E" w14:textId="77777777" w:rsidTr="00086656">
        <w:tc>
          <w:tcPr>
            <w:tcW w:w="0" w:type="auto"/>
            <w:hideMark/>
          </w:tcPr>
          <w:p w14:paraId="56C46BC7" w14:textId="77777777" w:rsidR="00086656" w:rsidRDefault="00086656">
            <w:r>
              <w:t>Mother ARSMA-II AOS</w:t>
            </w:r>
          </w:p>
        </w:tc>
        <w:tc>
          <w:tcPr>
            <w:tcW w:w="0" w:type="auto"/>
            <w:hideMark/>
          </w:tcPr>
          <w:p w14:paraId="486786DC" w14:textId="77777777" w:rsidR="00086656" w:rsidRDefault="00086656" w:rsidP="00086656">
            <w:pPr>
              <w:jc w:val="right"/>
            </w:pPr>
            <w:r>
              <w:t>−.12</w:t>
            </w:r>
          </w:p>
        </w:tc>
        <w:tc>
          <w:tcPr>
            <w:tcW w:w="0" w:type="auto"/>
            <w:hideMark/>
          </w:tcPr>
          <w:p w14:paraId="46AD9065" w14:textId="77777777" w:rsidR="00086656" w:rsidRDefault="00086656">
            <w:r>
              <w:t>−.07</w:t>
            </w:r>
          </w:p>
        </w:tc>
        <w:tc>
          <w:tcPr>
            <w:tcW w:w="0" w:type="auto"/>
            <w:hideMark/>
          </w:tcPr>
          <w:p w14:paraId="0B8950CE" w14:textId="77777777" w:rsidR="00086656" w:rsidRDefault="00086656">
            <w:r>
              <w:t>−.25</w:t>
            </w:r>
            <w:r>
              <w:rPr>
                <w:vertAlign w:val="superscript"/>
              </w:rPr>
              <w:t>+</w:t>
            </w:r>
          </w:p>
        </w:tc>
        <w:tc>
          <w:tcPr>
            <w:tcW w:w="0" w:type="auto"/>
            <w:hideMark/>
          </w:tcPr>
          <w:p w14:paraId="2DEDA7B5" w14:textId="77777777" w:rsidR="00086656" w:rsidRDefault="00086656">
            <w:r>
              <w:t>−.27</w:t>
            </w:r>
            <w:hyperlink r:id="rId20" w:anchor="TF6" w:history="1">
              <w:r>
                <w:rPr>
                  <w:rStyle w:val="Hyperlink"/>
                </w:rPr>
                <w:t>*</w:t>
              </w:r>
            </w:hyperlink>
          </w:p>
        </w:tc>
        <w:tc>
          <w:tcPr>
            <w:tcW w:w="0" w:type="auto"/>
            <w:hideMark/>
          </w:tcPr>
          <w:p w14:paraId="11479F6D" w14:textId="77777777" w:rsidR="00086656" w:rsidRDefault="00086656">
            <w:r>
              <w:t>.19</w:t>
            </w:r>
          </w:p>
        </w:tc>
        <w:tc>
          <w:tcPr>
            <w:tcW w:w="0" w:type="auto"/>
            <w:hideMark/>
          </w:tcPr>
          <w:p w14:paraId="03BBD5D1" w14:textId="77777777" w:rsidR="00086656" w:rsidRDefault="00086656">
            <w:r>
              <w:t>−.10</w:t>
            </w:r>
          </w:p>
        </w:tc>
        <w:tc>
          <w:tcPr>
            <w:tcW w:w="0" w:type="auto"/>
            <w:hideMark/>
          </w:tcPr>
          <w:p w14:paraId="580675C3" w14:textId="77777777" w:rsidR="00086656" w:rsidRDefault="00086656">
            <w:r>
              <w:t>.16</w:t>
            </w:r>
          </w:p>
        </w:tc>
        <w:tc>
          <w:tcPr>
            <w:tcW w:w="0" w:type="auto"/>
            <w:hideMark/>
          </w:tcPr>
          <w:p w14:paraId="0AE09495" w14:textId="77777777" w:rsidR="00086656" w:rsidRDefault="00086656">
            <w:r>
              <w:t>−.09</w:t>
            </w:r>
          </w:p>
        </w:tc>
        <w:tc>
          <w:tcPr>
            <w:tcW w:w="0" w:type="auto"/>
            <w:hideMark/>
          </w:tcPr>
          <w:p w14:paraId="64B0CA54" w14:textId="77777777" w:rsidR="00086656" w:rsidRDefault="00086656">
            <w:r>
              <w:t>−.13</w:t>
            </w:r>
          </w:p>
        </w:tc>
        <w:tc>
          <w:tcPr>
            <w:tcW w:w="0" w:type="auto"/>
            <w:hideMark/>
          </w:tcPr>
          <w:p w14:paraId="6D4EED2D" w14:textId="77777777" w:rsidR="00086656" w:rsidRDefault="00086656">
            <w:r>
              <w:t>−.17</w:t>
            </w:r>
          </w:p>
        </w:tc>
        <w:tc>
          <w:tcPr>
            <w:tcW w:w="0" w:type="auto"/>
            <w:hideMark/>
          </w:tcPr>
          <w:p w14:paraId="07EDD06F" w14:textId="77777777" w:rsidR="00086656" w:rsidRDefault="00086656">
            <w:r>
              <w:t>−.11</w:t>
            </w:r>
          </w:p>
        </w:tc>
      </w:tr>
      <w:tr w:rsidR="00086656" w14:paraId="4D75DD75" w14:textId="77777777" w:rsidTr="00086656">
        <w:tc>
          <w:tcPr>
            <w:tcW w:w="0" w:type="auto"/>
            <w:hideMark/>
          </w:tcPr>
          <w:p w14:paraId="4EC797F8" w14:textId="77777777" w:rsidR="00086656" w:rsidRDefault="00086656">
            <w:r>
              <w:t>Mother MACVS MAV</w:t>
            </w:r>
          </w:p>
        </w:tc>
        <w:tc>
          <w:tcPr>
            <w:tcW w:w="0" w:type="auto"/>
            <w:hideMark/>
          </w:tcPr>
          <w:p w14:paraId="5A1DD617" w14:textId="77777777" w:rsidR="00086656" w:rsidRDefault="00086656" w:rsidP="00086656">
            <w:pPr>
              <w:jc w:val="right"/>
            </w:pPr>
            <w:r>
              <w:t>−.07</w:t>
            </w:r>
          </w:p>
        </w:tc>
        <w:tc>
          <w:tcPr>
            <w:tcW w:w="0" w:type="auto"/>
            <w:hideMark/>
          </w:tcPr>
          <w:p w14:paraId="45AB17C2" w14:textId="77777777" w:rsidR="00086656" w:rsidRDefault="00086656">
            <w:r>
              <w:t>.02</w:t>
            </w:r>
          </w:p>
        </w:tc>
        <w:tc>
          <w:tcPr>
            <w:tcW w:w="0" w:type="auto"/>
            <w:hideMark/>
          </w:tcPr>
          <w:p w14:paraId="4FBB3A6D" w14:textId="77777777" w:rsidR="00086656" w:rsidRDefault="00086656">
            <w:r>
              <w:t>.14</w:t>
            </w:r>
          </w:p>
        </w:tc>
        <w:tc>
          <w:tcPr>
            <w:tcW w:w="0" w:type="auto"/>
            <w:hideMark/>
          </w:tcPr>
          <w:p w14:paraId="5CBD5657" w14:textId="77777777" w:rsidR="00086656" w:rsidRDefault="00086656">
            <w:r>
              <w:t>−.03</w:t>
            </w:r>
          </w:p>
        </w:tc>
        <w:tc>
          <w:tcPr>
            <w:tcW w:w="0" w:type="auto"/>
            <w:hideMark/>
          </w:tcPr>
          <w:p w14:paraId="66A63346" w14:textId="77777777" w:rsidR="00086656" w:rsidRDefault="00086656">
            <w:r>
              <w:t>.28</w:t>
            </w:r>
            <w:hyperlink r:id="rId21" w:anchor="TF6" w:history="1">
              <w:r>
                <w:rPr>
                  <w:rStyle w:val="Hyperlink"/>
                </w:rPr>
                <w:t>*</w:t>
              </w:r>
            </w:hyperlink>
          </w:p>
        </w:tc>
        <w:tc>
          <w:tcPr>
            <w:tcW w:w="0" w:type="auto"/>
            <w:hideMark/>
          </w:tcPr>
          <w:p w14:paraId="110A054F" w14:textId="77777777" w:rsidR="00086656" w:rsidRDefault="00086656">
            <w:r>
              <w:t>.15</w:t>
            </w:r>
          </w:p>
        </w:tc>
        <w:tc>
          <w:tcPr>
            <w:tcW w:w="0" w:type="auto"/>
            <w:hideMark/>
          </w:tcPr>
          <w:p w14:paraId="487A6B5C" w14:textId="77777777" w:rsidR="00086656" w:rsidRDefault="00086656">
            <w:r>
              <w:t>.18</w:t>
            </w:r>
          </w:p>
        </w:tc>
        <w:tc>
          <w:tcPr>
            <w:tcW w:w="0" w:type="auto"/>
            <w:hideMark/>
          </w:tcPr>
          <w:p w14:paraId="1B758316" w14:textId="77777777" w:rsidR="00086656" w:rsidRDefault="00086656">
            <w:r>
              <w:t>.21</w:t>
            </w:r>
            <w:r>
              <w:rPr>
                <w:vertAlign w:val="superscript"/>
              </w:rPr>
              <w:t>+</w:t>
            </w:r>
          </w:p>
        </w:tc>
        <w:tc>
          <w:tcPr>
            <w:tcW w:w="0" w:type="auto"/>
            <w:hideMark/>
          </w:tcPr>
          <w:p w14:paraId="0632B498" w14:textId="77777777" w:rsidR="00086656" w:rsidRDefault="00086656">
            <w:r>
              <w:t>.11</w:t>
            </w:r>
          </w:p>
        </w:tc>
        <w:tc>
          <w:tcPr>
            <w:tcW w:w="0" w:type="auto"/>
            <w:hideMark/>
          </w:tcPr>
          <w:p w14:paraId="6246D746" w14:textId="77777777" w:rsidR="00086656" w:rsidRDefault="00086656">
            <w:r>
              <w:t>.11</w:t>
            </w:r>
          </w:p>
        </w:tc>
        <w:tc>
          <w:tcPr>
            <w:tcW w:w="0" w:type="auto"/>
            <w:hideMark/>
          </w:tcPr>
          <w:p w14:paraId="52BD9123" w14:textId="77777777" w:rsidR="00086656" w:rsidRDefault="00086656">
            <w:r>
              <w:t>−.12</w:t>
            </w:r>
          </w:p>
        </w:tc>
      </w:tr>
      <w:tr w:rsidR="00086656" w14:paraId="3B9CFAE0" w14:textId="77777777" w:rsidTr="00086656">
        <w:tc>
          <w:tcPr>
            <w:tcW w:w="0" w:type="auto"/>
            <w:hideMark/>
          </w:tcPr>
          <w:p w14:paraId="3DBDA101" w14:textId="77777777" w:rsidR="00086656" w:rsidRDefault="00086656">
            <w:r>
              <w:t>Mother MACVS AV</w:t>
            </w:r>
          </w:p>
        </w:tc>
        <w:tc>
          <w:tcPr>
            <w:tcW w:w="0" w:type="auto"/>
            <w:hideMark/>
          </w:tcPr>
          <w:p w14:paraId="2ED6727D" w14:textId="77777777" w:rsidR="00086656" w:rsidRDefault="00086656" w:rsidP="00086656">
            <w:pPr>
              <w:jc w:val="right"/>
            </w:pPr>
            <w:r>
              <w:t>.09</w:t>
            </w:r>
          </w:p>
        </w:tc>
        <w:tc>
          <w:tcPr>
            <w:tcW w:w="0" w:type="auto"/>
            <w:hideMark/>
          </w:tcPr>
          <w:p w14:paraId="73F2F80E" w14:textId="77777777" w:rsidR="00086656" w:rsidRDefault="00086656">
            <w:r>
              <w:t>.11</w:t>
            </w:r>
          </w:p>
        </w:tc>
        <w:tc>
          <w:tcPr>
            <w:tcW w:w="0" w:type="auto"/>
            <w:hideMark/>
          </w:tcPr>
          <w:p w14:paraId="4B231856" w14:textId="77777777" w:rsidR="00086656" w:rsidRDefault="00086656">
            <w:r>
              <w:t>.03</w:t>
            </w:r>
          </w:p>
        </w:tc>
        <w:tc>
          <w:tcPr>
            <w:tcW w:w="0" w:type="auto"/>
            <w:hideMark/>
          </w:tcPr>
          <w:p w14:paraId="1C6980C6" w14:textId="77777777" w:rsidR="00086656" w:rsidRDefault="00086656">
            <w:r>
              <w:t>.06</w:t>
            </w:r>
          </w:p>
        </w:tc>
        <w:tc>
          <w:tcPr>
            <w:tcW w:w="0" w:type="auto"/>
            <w:hideMark/>
          </w:tcPr>
          <w:p w14:paraId="167DE421" w14:textId="77777777" w:rsidR="00086656" w:rsidRDefault="00086656">
            <w:r>
              <w:t>−.03</w:t>
            </w:r>
          </w:p>
        </w:tc>
        <w:tc>
          <w:tcPr>
            <w:tcW w:w="0" w:type="auto"/>
            <w:hideMark/>
          </w:tcPr>
          <w:p w14:paraId="76A5824D" w14:textId="77777777" w:rsidR="00086656" w:rsidRDefault="00086656">
            <w:r>
              <w:t>.10</w:t>
            </w:r>
          </w:p>
        </w:tc>
        <w:tc>
          <w:tcPr>
            <w:tcW w:w="0" w:type="auto"/>
            <w:hideMark/>
          </w:tcPr>
          <w:p w14:paraId="4684CCA4" w14:textId="77777777" w:rsidR="00086656" w:rsidRDefault="00086656">
            <w:r>
              <w:t>.02</w:t>
            </w:r>
          </w:p>
        </w:tc>
        <w:tc>
          <w:tcPr>
            <w:tcW w:w="0" w:type="auto"/>
            <w:hideMark/>
          </w:tcPr>
          <w:p w14:paraId="6FAB9567" w14:textId="77777777" w:rsidR="00086656" w:rsidRDefault="00086656">
            <w:r>
              <w:t>.04</w:t>
            </w:r>
          </w:p>
        </w:tc>
        <w:tc>
          <w:tcPr>
            <w:tcW w:w="0" w:type="auto"/>
            <w:hideMark/>
          </w:tcPr>
          <w:p w14:paraId="248F8ADA" w14:textId="77777777" w:rsidR="00086656" w:rsidRDefault="00086656">
            <w:r>
              <w:t>−.01</w:t>
            </w:r>
          </w:p>
        </w:tc>
        <w:tc>
          <w:tcPr>
            <w:tcW w:w="0" w:type="auto"/>
            <w:hideMark/>
          </w:tcPr>
          <w:p w14:paraId="31CE9F8B" w14:textId="77777777" w:rsidR="00086656" w:rsidRDefault="00086656">
            <w:r>
              <w:t>−.04</w:t>
            </w:r>
          </w:p>
        </w:tc>
        <w:tc>
          <w:tcPr>
            <w:tcW w:w="0" w:type="auto"/>
            <w:hideMark/>
          </w:tcPr>
          <w:p w14:paraId="5ECB62DF" w14:textId="77777777" w:rsidR="00086656" w:rsidRDefault="00086656">
            <w:r>
              <w:t>−.10</w:t>
            </w:r>
          </w:p>
        </w:tc>
      </w:tr>
      <w:tr w:rsidR="00086656" w14:paraId="2817A08B" w14:textId="77777777" w:rsidTr="00086656">
        <w:tc>
          <w:tcPr>
            <w:tcW w:w="0" w:type="auto"/>
            <w:hideMark/>
          </w:tcPr>
          <w:p w14:paraId="10513281" w14:textId="77777777" w:rsidR="00086656" w:rsidRDefault="00086656">
            <w:r>
              <w:t>Mother MEIM-R total</w:t>
            </w:r>
          </w:p>
        </w:tc>
        <w:tc>
          <w:tcPr>
            <w:tcW w:w="0" w:type="auto"/>
            <w:hideMark/>
          </w:tcPr>
          <w:p w14:paraId="160B2B26" w14:textId="77777777" w:rsidR="00086656" w:rsidRDefault="00086656" w:rsidP="00086656">
            <w:pPr>
              <w:jc w:val="right"/>
            </w:pPr>
            <w:r>
              <w:t>−.06</w:t>
            </w:r>
          </w:p>
        </w:tc>
        <w:tc>
          <w:tcPr>
            <w:tcW w:w="0" w:type="auto"/>
            <w:hideMark/>
          </w:tcPr>
          <w:p w14:paraId="458311B1" w14:textId="77777777" w:rsidR="00086656" w:rsidRDefault="00086656">
            <w:r>
              <w:t>−.03</w:t>
            </w:r>
          </w:p>
        </w:tc>
        <w:tc>
          <w:tcPr>
            <w:tcW w:w="0" w:type="auto"/>
            <w:hideMark/>
          </w:tcPr>
          <w:p w14:paraId="504A98AE" w14:textId="77777777" w:rsidR="00086656" w:rsidRDefault="00086656">
            <w:r>
              <w:t>−.07</w:t>
            </w:r>
          </w:p>
        </w:tc>
        <w:tc>
          <w:tcPr>
            <w:tcW w:w="0" w:type="auto"/>
            <w:hideMark/>
          </w:tcPr>
          <w:p w14:paraId="58D01BD5" w14:textId="77777777" w:rsidR="00086656" w:rsidRDefault="00086656">
            <w:r>
              <w:t>.19</w:t>
            </w:r>
          </w:p>
        </w:tc>
        <w:tc>
          <w:tcPr>
            <w:tcW w:w="0" w:type="auto"/>
            <w:hideMark/>
          </w:tcPr>
          <w:p w14:paraId="42C8A54D" w14:textId="77777777" w:rsidR="00086656" w:rsidRDefault="00086656">
            <w:r>
              <w:t>−.001</w:t>
            </w:r>
          </w:p>
        </w:tc>
        <w:tc>
          <w:tcPr>
            <w:tcW w:w="0" w:type="auto"/>
            <w:hideMark/>
          </w:tcPr>
          <w:p w14:paraId="267A5C88" w14:textId="77777777" w:rsidR="00086656" w:rsidRDefault="00086656">
            <w:r>
              <w:t>.18</w:t>
            </w:r>
          </w:p>
        </w:tc>
        <w:tc>
          <w:tcPr>
            <w:tcW w:w="0" w:type="auto"/>
            <w:hideMark/>
          </w:tcPr>
          <w:p w14:paraId="3F3C93EA" w14:textId="77777777" w:rsidR="00086656" w:rsidRDefault="00086656">
            <w:r>
              <w:t>.01</w:t>
            </w:r>
          </w:p>
        </w:tc>
        <w:tc>
          <w:tcPr>
            <w:tcW w:w="0" w:type="auto"/>
            <w:hideMark/>
          </w:tcPr>
          <w:p w14:paraId="12034EEE" w14:textId="77777777" w:rsidR="00086656" w:rsidRDefault="00086656">
            <w:r>
              <w:t>−.05</w:t>
            </w:r>
          </w:p>
        </w:tc>
        <w:tc>
          <w:tcPr>
            <w:tcW w:w="0" w:type="auto"/>
            <w:hideMark/>
          </w:tcPr>
          <w:p w14:paraId="23F7A88D" w14:textId="77777777" w:rsidR="00086656" w:rsidRDefault="00086656">
            <w:r>
              <w:t>−.02</w:t>
            </w:r>
          </w:p>
        </w:tc>
        <w:tc>
          <w:tcPr>
            <w:tcW w:w="0" w:type="auto"/>
            <w:hideMark/>
          </w:tcPr>
          <w:p w14:paraId="6F09E384" w14:textId="77777777" w:rsidR="00086656" w:rsidRDefault="00086656">
            <w:r>
              <w:t>−.18</w:t>
            </w:r>
          </w:p>
        </w:tc>
        <w:tc>
          <w:tcPr>
            <w:tcW w:w="0" w:type="auto"/>
            <w:hideMark/>
          </w:tcPr>
          <w:p w14:paraId="696A24EE" w14:textId="77777777" w:rsidR="00086656" w:rsidRDefault="00086656">
            <w:r>
              <w:t>.07</w:t>
            </w:r>
          </w:p>
        </w:tc>
      </w:tr>
      <w:tr w:rsidR="00086656" w14:paraId="333162BB" w14:textId="77777777" w:rsidTr="00086656">
        <w:tc>
          <w:tcPr>
            <w:tcW w:w="0" w:type="auto"/>
            <w:hideMark/>
          </w:tcPr>
          <w:p w14:paraId="2D76C56C" w14:textId="77777777" w:rsidR="00086656" w:rsidRDefault="00086656">
            <w:r>
              <w:t xml:space="preserve">Mother TAQ </w:t>
            </w:r>
            <w:proofErr w:type="spellStart"/>
            <w:r>
              <w:t>fsr</w:t>
            </w:r>
            <w:proofErr w:type="spellEnd"/>
          </w:p>
        </w:tc>
        <w:tc>
          <w:tcPr>
            <w:tcW w:w="0" w:type="auto"/>
            <w:hideMark/>
          </w:tcPr>
          <w:p w14:paraId="40807A4E" w14:textId="77777777" w:rsidR="00086656" w:rsidRDefault="00086656" w:rsidP="00086656">
            <w:pPr>
              <w:jc w:val="right"/>
            </w:pPr>
            <w:r>
              <w:t>−.04</w:t>
            </w:r>
          </w:p>
        </w:tc>
        <w:tc>
          <w:tcPr>
            <w:tcW w:w="0" w:type="auto"/>
            <w:hideMark/>
          </w:tcPr>
          <w:p w14:paraId="1BE0D369" w14:textId="77777777" w:rsidR="00086656" w:rsidRDefault="00086656">
            <w:r>
              <w:t>−.11</w:t>
            </w:r>
          </w:p>
        </w:tc>
        <w:tc>
          <w:tcPr>
            <w:tcW w:w="0" w:type="auto"/>
            <w:hideMark/>
          </w:tcPr>
          <w:p w14:paraId="1B1B2B27" w14:textId="77777777" w:rsidR="00086656" w:rsidRDefault="00086656">
            <w:r>
              <w:t>.03</w:t>
            </w:r>
          </w:p>
        </w:tc>
        <w:tc>
          <w:tcPr>
            <w:tcW w:w="0" w:type="auto"/>
            <w:hideMark/>
          </w:tcPr>
          <w:p w14:paraId="7C533FFF" w14:textId="77777777" w:rsidR="00086656" w:rsidRDefault="00086656">
            <w:r>
              <w:t>−.02</w:t>
            </w:r>
          </w:p>
        </w:tc>
        <w:tc>
          <w:tcPr>
            <w:tcW w:w="0" w:type="auto"/>
            <w:hideMark/>
          </w:tcPr>
          <w:p w14:paraId="20CB08C2" w14:textId="77777777" w:rsidR="00086656" w:rsidRDefault="00086656">
            <w:r>
              <w:t>.18</w:t>
            </w:r>
          </w:p>
        </w:tc>
        <w:tc>
          <w:tcPr>
            <w:tcW w:w="0" w:type="auto"/>
            <w:hideMark/>
          </w:tcPr>
          <w:p w14:paraId="281BBC57" w14:textId="77777777" w:rsidR="00086656" w:rsidRDefault="00086656">
            <w:r>
              <w:t>.01</w:t>
            </w:r>
          </w:p>
        </w:tc>
        <w:tc>
          <w:tcPr>
            <w:tcW w:w="0" w:type="auto"/>
            <w:hideMark/>
          </w:tcPr>
          <w:p w14:paraId="4B15227B" w14:textId="77777777" w:rsidR="00086656" w:rsidRDefault="00086656">
            <w:r>
              <w:t>.28</w:t>
            </w:r>
            <w:hyperlink r:id="rId22" w:anchor="TF6" w:history="1">
              <w:r>
                <w:rPr>
                  <w:rStyle w:val="Hyperlink"/>
                </w:rPr>
                <w:t>*</w:t>
              </w:r>
            </w:hyperlink>
          </w:p>
        </w:tc>
        <w:tc>
          <w:tcPr>
            <w:tcW w:w="0" w:type="auto"/>
            <w:hideMark/>
          </w:tcPr>
          <w:p w14:paraId="04D8B077" w14:textId="77777777" w:rsidR="00086656" w:rsidRDefault="00086656">
            <w:r>
              <w:t>−.02</w:t>
            </w:r>
          </w:p>
        </w:tc>
        <w:tc>
          <w:tcPr>
            <w:tcW w:w="0" w:type="auto"/>
            <w:hideMark/>
          </w:tcPr>
          <w:p w14:paraId="07F6684D" w14:textId="77777777" w:rsidR="00086656" w:rsidRDefault="00086656">
            <w:r>
              <w:t>−.18</w:t>
            </w:r>
          </w:p>
        </w:tc>
        <w:tc>
          <w:tcPr>
            <w:tcW w:w="0" w:type="auto"/>
            <w:hideMark/>
          </w:tcPr>
          <w:p w14:paraId="130C05C0" w14:textId="77777777" w:rsidR="00086656" w:rsidRDefault="00086656">
            <w:r>
              <w:t>−.01</w:t>
            </w:r>
          </w:p>
        </w:tc>
        <w:tc>
          <w:tcPr>
            <w:tcW w:w="0" w:type="auto"/>
            <w:hideMark/>
          </w:tcPr>
          <w:p w14:paraId="4F455DEE" w14:textId="77777777" w:rsidR="00086656" w:rsidRDefault="00086656">
            <w:r>
              <w:t>−.21</w:t>
            </w:r>
            <w:r>
              <w:rPr>
                <w:vertAlign w:val="superscript"/>
              </w:rPr>
              <w:t>+</w:t>
            </w:r>
          </w:p>
        </w:tc>
      </w:tr>
      <w:tr w:rsidR="00086656" w14:paraId="0F2A60E3" w14:textId="77777777" w:rsidTr="00086656">
        <w:tc>
          <w:tcPr>
            <w:tcW w:w="0" w:type="auto"/>
            <w:hideMark/>
          </w:tcPr>
          <w:p w14:paraId="08A56FA9" w14:textId="77777777" w:rsidR="00086656" w:rsidRDefault="00086656">
            <w:r>
              <w:t>Mother TAQ stigma</w:t>
            </w:r>
          </w:p>
        </w:tc>
        <w:tc>
          <w:tcPr>
            <w:tcW w:w="0" w:type="auto"/>
            <w:hideMark/>
          </w:tcPr>
          <w:p w14:paraId="4DB9640F" w14:textId="77777777" w:rsidR="00086656" w:rsidRDefault="00086656" w:rsidP="00086656">
            <w:pPr>
              <w:jc w:val="right"/>
            </w:pPr>
            <w:r>
              <w:t>.22</w:t>
            </w:r>
            <w:r>
              <w:rPr>
                <w:vertAlign w:val="superscript"/>
              </w:rPr>
              <w:t>+</w:t>
            </w:r>
          </w:p>
        </w:tc>
        <w:tc>
          <w:tcPr>
            <w:tcW w:w="0" w:type="auto"/>
            <w:hideMark/>
          </w:tcPr>
          <w:p w14:paraId="5C408018" w14:textId="77777777" w:rsidR="00086656" w:rsidRDefault="00086656">
            <w:r>
              <w:t>.22</w:t>
            </w:r>
            <w:r>
              <w:rPr>
                <w:vertAlign w:val="superscript"/>
              </w:rPr>
              <w:t>+</w:t>
            </w:r>
          </w:p>
        </w:tc>
        <w:tc>
          <w:tcPr>
            <w:tcW w:w="0" w:type="auto"/>
            <w:hideMark/>
          </w:tcPr>
          <w:p w14:paraId="317F0118" w14:textId="77777777" w:rsidR="00086656" w:rsidRDefault="00086656">
            <w:r>
              <w:t>.07</w:t>
            </w:r>
          </w:p>
        </w:tc>
        <w:tc>
          <w:tcPr>
            <w:tcW w:w="0" w:type="auto"/>
            <w:hideMark/>
          </w:tcPr>
          <w:p w14:paraId="7059D087" w14:textId="77777777" w:rsidR="00086656" w:rsidRDefault="00086656">
            <w:r>
              <w:t>−.10</w:t>
            </w:r>
          </w:p>
        </w:tc>
        <w:tc>
          <w:tcPr>
            <w:tcW w:w="0" w:type="auto"/>
            <w:hideMark/>
          </w:tcPr>
          <w:p w14:paraId="40A1D0F1" w14:textId="77777777" w:rsidR="00086656" w:rsidRDefault="00086656">
            <w:r>
              <w:t>−.01</w:t>
            </w:r>
          </w:p>
        </w:tc>
        <w:tc>
          <w:tcPr>
            <w:tcW w:w="0" w:type="auto"/>
            <w:hideMark/>
          </w:tcPr>
          <w:p w14:paraId="1AD977CF" w14:textId="77777777" w:rsidR="00086656" w:rsidRDefault="00086656">
            <w:r>
              <w:t>−.04</w:t>
            </w:r>
          </w:p>
        </w:tc>
        <w:tc>
          <w:tcPr>
            <w:tcW w:w="0" w:type="auto"/>
            <w:hideMark/>
          </w:tcPr>
          <w:p w14:paraId="23D5F3E7" w14:textId="77777777" w:rsidR="00086656" w:rsidRDefault="00086656">
            <w:r>
              <w:t>.26</w:t>
            </w:r>
            <w:hyperlink r:id="rId23" w:anchor="TF6" w:history="1">
              <w:r>
                <w:rPr>
                  <w:rStyle w:val="Hyperlink"/>
                </w:rPr>
                <w:t>*</w:t>
              </w:r>
            </w:hyperlink>
          </w:p>
        </w:tc>
        <w:tc>
          <w:tcPr>
            <w:tcW w:w="0" w:type="auto"/>
            <w:hideMark/>
          </w:tcPr>
          <w:p w14:paraId="61FAA521" w14:textId="77777777" w:rsidR="00086656" w:rsidRDefault="00086656">
            <w:r>
              <w:t>.09</w:t>
            </w:r>
          </w:p>
        </w:tc>
        <w:tc>
          <w:tcPr>
            <w:tcW w:w="0" w:type="auto"/>
            <w:hideMark/>
          </w:tcPr>
          <w:p w14:paraId="679DD660" w14:textId="77777777" w:rsidR="00086656" w:rsidRDefault="00086656">
            <w:r>
              <w:t>.08</w:t>
            </w:r>
          </w:p>
        </w:tc>
        <w:tc>
          <w:tcPr>
            <w:tcW w:w="0" w:type="auto"/>
            <w:hideMark/>
          </w:tcPr>
          <w:p w14:paraId="2D361697" w14:textId="77777777" w:rsidR="00086656" w:rsidRDefault="00086656">
            <w:r>
              <w:t>.03</w:t>
            </w:r>
          </w:p>
        </w:tc>
        <w:tc>
          <w:tcPr>
            <w:tcW w:w="0" w:type="auto"/>
            <w:hideMark/>
          </w:tcPr>
          <w:p w14:paraId="0F0D600C" w14:textId="77777777" w:rsidR="00086656" w:rsidRDefault="00086656">
            <w:r>
              <w:t>.09</w:t>
            </w:r>
          </w:p>
        </w:tc>
      </w:tr>
      <w:tr w:rsidR="00086656" w14:paraId="5C6C9CE1" w14:textId="77777777" w:rsidTr="00086656">
        <w:tc>
          <w:tcPr>
            <w:tcW w:w="0" w:type="auto"/>
            <w:hideMark/>
          </w:tcPr>
          <w:p w14:paraId="67D3A49A" w14:textId="77777777" w:rsidR="00086656" w:rsidRDefault="00086656">
            <w:r>
              <w:t xml:space="preserve">Mother TEQ </w:t>
            </w:r>
            <w:proofErr w:type="spellStart"/>
            <w:r>
              <w:t>barr</w:t>
            </w:r>
            <w:proofErr w:type="spellEnd"/>
          </w:p>
        </w:tc>
        <w:tc>
          <w:tcPr>
            <w:tcW w:w="0" w:type="auto"/>
            <w:hideMark/>
          </w:tcPr>
          <w:p w14:paraId="3D5E945E" w14:textId="77777777" w:rsidR="00086656" w:rsidRDefault="00086656" w:rsidP="00086656">
            <w:pPr>
              <w:jc w:val="right"/>
            </w:pPr>
            <w:r>
              <w:t>.14</w:t>
            </w:r>
          </w:p>
        </w:tc>
        <w:tc>
          <w:tcPr>
            <w:tcW w:w="0" w:type="auto"/>
            <w:hideMark/>
          </w:tcPr>
          <w:p w14:paraId="706EAD9E" w14:textId="77777777" w:rsidR="00086656" w:rsidRDefault="00086656">
            <w:r>
              <w:t>.13</w:t>
            </w:r>
          </w:p>
        </w:tc>
        <w:tc>
          <w:tcPr>
            <w:tcW w:w="0" w:type="auto"/>
            <w:hideMark/>
          </w:tcPr>
          <w:p w14:paraId="61076D93" w14:textId="77777777" w:rsidR="00086656" w:rsidRDefault="00086656">
            <w:r>
              <w:t>.02</w:t>
            </w:r>
          </w:p>
        </w:tc>
        <w:tc>
          <w:tcPr>
            <w:tcW w:w="0" w:type="auto"/>
            <w:hideMark/>
          </w:tcPr>
          <w:p w14:paraId="75037EE2" w14:textId="77777777" w:rsidR="00086656" w:rsidRDefault="00086656">
            <w:r>
              <w:t>−.21</w:t>
            </w:r>
          </w:p>
        </w:tc>
        <w:tc>
          <w:tcPr>
            <w:tcW w:w="0" w:type="auto"/>
            <w:hideMark/>
          </w:tcPr>
          <w:p w14:paraId="2227A62E" w14:textId="77777777" w:rsidR="00086656" w:rsidRDefault="00086656">
            <w:r>
              <w:t>−.14</w:t>
            </w:r>
          </w:p>
        </w:tc>
        <w:tc>
          <w:tcPr>
            <w:tcW w:w="0" w:type="auto"/>
            <w:hideMark/>
          </w:tcPr>
          <w:p w14:paraId="661EF2C6" w14:textId="77777777" w:rsidR="00086656" w:rsidRDefault="00086656">
            <w:r>
              <w:t>−.13</w:t>
            </w:r>
          </w:p>
        </w:tc>
        <w:tc>
          <w:tcPr>
            <w:tcW w:w="0" w:type="auto"/>
            <w:hideMark/>
          </w:tcPr>
          <w:p w14:paraId="4C547B62" w14:textId="77777777" w:rsidR="00086656" w:rsidRDefault="00086656">
            <w:r>
              <w:t>−.04</w:t>
            </w:r>
          </w:p>
        </w:tc>
        <w:tc>
          <w:tcPr>
            <w:tcW w:w="0" w:type="auto"/>
            <w:hideMark/>
          </w:tcPr>
          <w:p w14:paraId="600E3631" w14:textId="77777777" w:rsidR="00086656" w:rsidRDefault="00086656">
            <w:r>
              <w:t>.04</w:t>
            </w:r>
          </w:p>
        </w:tc>
        <w:tc>
          <w:tcPr>
            <w:tcW w:w="0" w:type="auto"/>
            <w:hideMark/>
          </w:tcPr>
          <w:p w14:paraId="1C41DC9B" w14:textId="77777777" w:rsidR="00086656" w:rsidRDefault="00086656">
            <w:r>
              <w:t>.01</w:t>
            </w:r>
          </w:p>
        </w:tc>
        <w:tc>
          <w:tcPr>
            <w:tcW w:w="0" w:type="auto"/>
            <w:hideMark/>
          </w:tcPr>
          <w:p w14:paraId="25B8E1E1" w14:textId="77777777" w:rsidR="00086656" w:rsidRDefault="00086656">
            <w:r>
              <w:t>−.12</w:t>
            </w:r>
          </w:p>
        </w:tc>
        <w:tc>
          <w:tcPr>
            <w:tcW w:w="0" w:type="auto"/>
            <w:hideMark/>
          </w:tcPr>
          <w:p w14:paraId="40BE37B9" w14:textId="77777777" w:rsidR="00086656" w:rsidRDefault="00086656">
            <w:r>
              <w:t>.03</w:t>
            </w:r>
          </w:p>
        </w:tc>
      </w:tr>
      <w:tr w:rsidR="00086656" w14:paraId="32A35809" w14:textId="77777777" w:rsidTr="00086656">
        <w:tc>
          <w:tcPr>
            <w:tcW w:w="0" w:type="auto"/>
            <w:hideMark/>
          </w:tcPr>
          <w:p w14:paraId="4DCB5A6D" w14:textId="77777777" w:rsidR="00086656" w:rsidRDefault="00086656">
            <w:r>
              <w:t xml:space="preserve">Mother TEQ </w:t>
            </w:r>
            <w:proofErr w:type="spellStart"/>
            <w:r>
              <w:t>sr</w:t>
            </w:r>
            <w:proofErr w:type="spellEnd"/>
          </w:p>
        </w:tc>
        <w:tc>
          <w:tcPr>
            <w:tcW w:w="0" w:type="auto"/>
            <w:hideMark/>
          </w:tcPr>
          <w:p w14:paraId="0D58D6A7" w14:textId="77777777" w:rsidR="00086656" w:rsidRDefault="00086656" w:rsidP="00086656">
            <w:pPr>
              <w:jc w:val="right"/>
            </w:pPr>
            <w:r>
              <w:t>−.02</w:t>
            </w:r>
          </w:p>
        </w:tc>
        <w:tc>
          <w:tcPr>
            <w:tcW w:w="0" w:type="auto"/>
            <w:hideMark/>
          </w:tcPr>
          <w:p w14:paraId="242F69FC" w14:textId="77777777" w:rsidR="00086656" w:rsidRDefault="00086656">
            <w:r>
              <w:t>.09</w:t>
            </w:r>
          </w:p>
        </w:tc>
        <w:tc>
          <w:tcPr>
            <w:tcW w:w="0" w:type="auto"/>
            <w:hideMark/>
          </w:tcPr>
          <w:p w14:paraId="4A01AD8E" w14:textId="77777777" w:rsidR="00086656" w:rsidRDefault="00086656">
            <w:r>
              <w:t>−.03</w:t>
            </w:r>
          </w:p>
        </w:tc>
        <w:tc>
          <w:tcPr>
            <w:tcW w:w="0" w:type="auto"/>
            <w:hideMark/>
          </w:tcPr>
          <w:p w14:paraId="3D6C0597" w14:textId="77777777" w:rsidR="00086656" w:rsidRDefault="00086656">
            <w:r>
              <w:t>−.07</w:t>
            </w:r>
          </w:p>
        </w:tc>
        <w:tc>
          <w:tcPr>
            <w:tcW w:w="0" w:type="auto"/>
            <w:hideMark/>
          </w:tcPr>
          <w:p w14:paraId="741F45FF" w14:textId="77777777" w:rsidR="00086656" w:rsidRDefault="00086656">
            <w:r>
              <w:t>.03</w:t>
            </w:r>
          </w:p>
        </w:tc>
        <w:tc>
          <w:tcPr>
            <w:tcW w:w="0" w:type="auto"/>
            <w:hideMark/>
          </w:tcPr>
          <w:p w14:paraId="6ECD472A" w14:textId="77777777" w:rsidR="00086656" w:rsidRDefault="00086656">
            <w:r>
              <w:t>−.01</w:t>
            </w:r>
          </w:p>
        </w:tc>
        <w:tc>
          <w:tcPr>
            <w:tcW w:w="0" w:type="auto"/>
            <w:hideMark/>
          </w:tcPr>
          <w:p w14:paraId="542FF617" w14:textId="77777777" w:rsidR="00086656" w:rsidRDefault="00086656">
            <w:r>
              <w:t>−.05</w:t>
            </w:r>
          </w:p>
        </w:tc>
        <w:tc>
          <w:tcPr>
            <w:tcW w:w="0" w:type="auto"/>
            <w:hideMark/>
          </w:tcPr>
          <w:p w14:paraId="4F00B67B" w14:textId="77777777" w:rsidR="00086656" w:rsidRDefault="00086656">
            <w:r>
              <w:t>−.01</w:t>
            </w:r>
          </w:p>
        </w:tc>
        <w:tc>
          <w:tcPr>
            <w:tcW w:w="0" w:type="auto"/>
            <w:hideMark/>
          </w:tcPr>
          <w:p w14:paraId="69657CA0" w14:textId="77777777" w:rsidR="00086656" w:rsidRDefault="00086656">
            <w:r>
              <w:t>−.02</w:t>
            </w:r>
          </w:p>
        </w:tc>
        <w:tc>
          <w:tcPr>
            <w:tcW w:w="0" w:type="auto"/>
            <w:hideMark/>
          </w:tcPr>
          <w:p w14:paraId="756AEE33" w14:textId="77777777" w:rsidR="00086656" w:rsidRDefault="00086656">
            <w:r>
              <w:t>.03</w:t>
            </w:r>
          </w:p>
        </w:tc>
        <w:tc>
          <w:tcPr>
            <w:tcW w:w="0" w:type="auto"/>
            <w:hideMark/>
          </w:tcPr>
          <w:p w14:paraId="2240FFD5" w14:textId="77777777" w:rsidR="00086656" w:rsidRDefault="00086656">
            <w:r>
              <w:t>−.12</w:t>
            </w:r>
          </w:p>
        </w:tc>
      </w:tr>
      <w:tr w:rsidR="00086656" w14:paraId="67781F32" w14:textId="77777777" w:rsidTr="00086656">
        <w:tc>
          <w:tcPr>
            <w:tcW w:w="0" w:type="auto"/>
            <w:hideMark/>
          </w:tcPr>
          <w:p w14:paraId="3F7519F3" w14:textId="77777777" w:rsidR="00086656" w:rsidRDefault="00086656">
            <w:r>
              <w:t>Father ARSMA-II MOS</w:t>
            </w:r>
          </w:p>
        </w:tc>
        <w:tc>
          <w:tcPr>
            <w:tcW w:w="0" w:type="auto"/>
            <w:hideMark/>
          </w:tcPr>
          <w:p w14:paraId="0A716077" w14:textId="77777777" w:rsidR="00086656" w:rsidRDefault="00086656" w:rsidP="00086656">
            <w:pPr>
              <w:jc w:val="right"/>
            </w:pPr>
            <w:r>
              <w:t>.01</w:t>
            </w:r>
          </w:p>
        </w:tc>
        <w:tc>
          <w:tcPr>
            <w:tcW w:w="0" w:type="auto"/>
            <w:hideMark/>
          </w:tcPr>
          <w:p w14:paraId="3A8E58E6" w14:textId="77777777" w:rsidR="00086656" w:rsidRDefault="00086656">
            <w:r>
              <w:t>.03</w:t>
            </w:r>
          </w:p>
        </w:tc>
        <w:tc>
          <w:tcPr>
            <w:tcW w:w="0" w:type="auto"/>
            <w:hideMark/>
          </w:tcPr>
          <w:p w14:paraId="01F534B8" w14:textId="77777777" w:rsidR="00086656" w:rsidRDefault="00086656">
            <w:r>
              <w:t>.12</w:t>
            </w:r>
          </w:p>
        </w:tc>
        <w:tc>
          <w:tcPr>
            <w:tcW w:w="0" w:type="auto"/>
            <w:hideMark/>
          </w:tcPr>
          <w:p w14:paraId="36F41D0F" w14:textId="77777777" w:rsidR="00086656" w:rsidRDefault="00086656">
            <w:r>
              <w:t>.29</w:t>
            </w:r>
          </w:p>
        </w:tc>
        <w:tc>
          <w:tcPr>
            <w:tcW w:w="0" w:type="auto"/>
            <w:hideMark/>
          </w:tcPr>
          <w:p w14:paraId="4E0B945A" w14:textId="77777777" w:rsidR="00086656" w:rsidRDefault="00086656">
            <w:r>
              <w:t>.01</w:t>
            </w:r>
          </w:p>
        </w:tc>
        <w:tc>
          <w:tcPr>
            <w:tcW w:w="0" w:type="auto"/>
            <w:hideMark/>
          </w:tcPr>
          <w:p w14:paraId="2D47319D" w14:textId="77777777" w:rsidR="00086656" w:rsidRDefault="00086656">
            <w:r>
              <w:t>.14</w:t>
            </w:r>
          </w:p>
        </w:tc>
        <w:tc>
          <w:tcPr>
            <w:tcW w:w="0" w:type="auto"/>
            <w:hideMark/>
          </w:tcPr>
          <w:p w14:paraId="1F47239C" w14:textId="77777777" w:rsidR="00086656" w:rsidRDefault="00086656">
            <w:r>
              <w:t>−.04</w:t>
            </w:r>
          </w:p>
        </w:tc>
        <w:tc>
          <w:tcPr>
            <w:tcW w:w="0" w:type="auto"/>
            <w:hideMark/>
          </w:tcPr>
          <w:p w14:paraId="072DEDC5" w14:textId="77777777" w:rsidR="00086656" w:rsidRDefault="00086656">
            <w:r>
              <w:t>.04</w:t>
            </w:r>
          </w:p>
        </w:tc>
        <w:tc>
          <w:tcPr>
            <w:tcW w:w="0" w:type="auto"/>
            <w:hideMark/>
          </w:tcPr>
          <w:p w14:paraId="080746BB" w14:textId="77777777" w:rsidR="00086656" w:rsidRDefault="00086656">
            <w:r>
              <w:t>.28</w:t>
            </w:r>
          </w:p>
        </w:tc>
        <w:tc>
          <w:tcPr>
            <w:tcW w:w="0" w:type="auto"/>
            <w:hideMark/>
          </w:tcPr>
          <w:p w14:paraId="1A313533" w14:textId="77777777" w:rsidR="00086656" w:rsidRDefault="00086656">
            <w:r>
              <w:t>−.13</w:t>
            </w:r>
          </w:p>
        </w:tc>
        <w:tc>
          <w:tcPr>
            <w:tcW w:w="0" w:type="auto"/>
            <w:hideMark/>
          </w:tcPr>
          <w:p w14:paraId="6CD2A105" w14:textId="77777777" w:rsidR="00086656" w:rsidRDefault="00086656">
            <w:r>
              <w:t>.06</w:t>
            </w:r>
          </w:p>
        </w:tc>
      </w:tr>
      <w:tr w:rsidR="00086656" w14:paraId="350514E5" w14:textId="77777777" w:rsidTr="00086656">
        <w:tc>
          <w:tcPr>
            <w:tcW w:w="0" w:type="auto"/>
            <w:hideMark/>
          </w:tcPr>
          <w:p w14:paraId="0651AE0A" w14:textId="77777777" w:rsidR="00086656" w:rsidRDefault="00086656">
            <w:r>
              <w:t>Father ARSMA-II AOS</w:t>
            </w:r>
          </w:p>
        </w:tc>
        <w:tc>
          <w:tcPr>
            <w:tcW w:w="0" w:type="auto"/>
            <w:hideMark/>
          </w:tcPr>
          <w:p w14:paraId="068E6631" w14:textId="77777777" w:rsidR="00086656" w:rsidRDefault="00086656" w:rsidP="00086656">
            <w:pPr>
              <w:jc w:val="right"/>
            </w:pPr>
            <w:r>
              <w:t>.25</w:t>
            </w:r>
          </w:p>
        </w:tc>
        <w:tc>
          <w:tcPr>
            <w:tcW w:w="0" w:type="auto"/>
            <w:hideMark/>
          </w:tcPr>
          <w:p w14:paraId="1FF30DE4" w14:textId="77777777" w:rsidR="00086656" w:rsidRDefault="00086656">
            <w:r>
              <w:t>.25</w:t>
            </w:r>
          </w:p>
        </w:tc>
        <w:tc>
          <w:tcPr>
            <w:tcW w:w="0" w:type="auto"/>
            <w:hideMark/>
          </w:tcPr>
          <w:p w14:paraId="4A689E1F" w14:textId="77777777" w:rsidR="00086656" w:rsidRDefault="00086656">
            <w:r>
              <w:t>.16</w:t>
            </w:r>
          </w:p>
        </w:tc>
        <w:tc>
          <w:tcPr>
            <w:tcW w:w="0" w:type="auto"/>
            <w:hideMark/>
          </w:tcPr>
          <w:p w14:paraId="2A86F13E" w14:textId="77777777" w:rsidR="00086656" w:rsidRDefault="00086656">
            <w:r>
              <w:t>−.39</w:t>
            </w:r>
            <w:hyperlink r:id="rId24" w:anchor="TF6" w:history="1">
              <w:r>
                <w:rPr>
                  <w:rStyle w:val="Hyperlink"/>
                </w:rPr>
                <w:t>*</w:t>
              </w:r>
            </w:hyperlink>
          </w:p>
        </w:tc>
        <w:tc>
          <w:tcPr>
            <w:tcW w:w="0" w:type="auto"/>
            <w:hideMark/>
          </w:tcPr>
          <w:p w14:paraId="15E1932B" w14:textId="77777777" w:rsidR="00086656" w:rsidRDefault="00086656">
            <w:r>
              <w:t>−.09</w:t>
            </w:r>
          </w:p>
        </w:tc>
        <w:tc>
          <w:tcPr>
            <w:tcW w:w="0" w:type="auto"/>
            <w:hideMark/>
          </w:tcPr>
          <w:p w14:paraId="09D7A294" w14:textId="77777777" w:rsidR="00086656" w:rsidRDefault="00086656">
            <w:r>
              <w:t>−.32</w:t>
            </w:r>
          </w:p>
        </w:tc>
        <w:tc>
          <w:tcPr>
            <w:tcW w:w="0" w:type="auto"/>
            <w:hideMark/>
          </w:tcPr>
          <w:p w14:paraId="3084C5F5" w14:textId="77777777" w:rsidR="00086656" w:rsidRDefault="00086656">
            <w:r>
              <w:t>−.09</w:t>
            </w:r>
          </w:p>
        </w:tc>
        <w:tc>
          <w:tcPr>
            <w:tcW w:w="0" w:type="auto"/>
            <w:hideMark/>
          </w:tcPr>
          <w:p w14:paraId="70AB18B3" w14:textId="77777777" w:rsidR="00086656" w:rsidRDefault="00086656">
            <w:r>
              <w:t>.26</w:t>
            </w:r>
          </w:p>
        </w:tc>
        <w:tc>
          <w:tcPr>
            <w:tcW w:w="0" w:type="auto"/>
            <w:hideMark/>
          </w:tcPr>
          <w:p w14:paraId="6EDF7CEA" w14:textId="77777777" w:rsidR="00086656" w:rsidRDefault="00086656">
            <w:r>
              <w:t>.06</w:t>
            </w:r>
          </w:p>
        </w:tc>
        <w:tc>
          <w:tcPr>
            <w:tcW w:w="0" w:type="auto"/>
            <w:hideMark/>
          </w:tcPr>
          <w:p w14:paraId="0EC820CF" w14:textId="77777777" w:rsidR="00086656" w:rsidRDefault="00086656">
            <w:r>
              <w:t>−.03</w:t>
            </w:r>
          </w:p>
        </w:tc>
        <w:tc>
          <w:tcPr>
            <w:tcW w:w="0" w:type="auto"/>
            <w:hideMark/>
          </w:tcPr>
          <w:p w14:paraId="2E9F6C28" w14:textId="77777777" w:rsidR="00086656" w:rsidRDefault="00086656">
            <w:r>
              <w:t>−.20</w:t>
            </w:r>
          </w:p>
        </w:tc>
      </w:tr>
      <w:tr w:rsidR="00086656" w14:paraId="51F98928" w14:textId="77777777" w:rsidTr="00086656">
        <w:tc>
          <w:tcPr>
            <w:tcW w:w="0" w:type="auto"/>
            <w:hideMark/>
          </w:tcPr>
          <w:p w14:paraId="1EFF7148" w14:textId="77777777" w:rsidR="00086656" w:rsidRDefault="00086656">
            <w:r>
              <w:lastRenderedPageBreak/>
              <w:t>Father MACVS MAV</w:t>
            </w:r>
          </w:p>
        </w:tc>
        <w:tc>
          <w:tcPr>
            <w:tcW w:w="0" w:type="auto"/>
            <w:hideMark/>
          </w:tcPr>
          <w:p w14:paraId="48A993B3" w14:textId="77777777" w:rsidR="00086656" w:rsidRDefault="00086656" w:rsidP="00086656">
            <w:pPr>
              <w:jc w:val="right"/>
            </w:pPr>
            <w:r>
              <w:t>.19</w:t>
            </w:r>
          </w:p>
        </w:tc>
        <w:tc>
          <w:tcPr>
            <w:tcW w:w="0" w:type="auto"/>
            <w:hideMark/>
          </w:tcPr>
          <w:p w14:paraId="2C940AE0" w14:textId="77777777" w:rsidR="00086656" w:rsidRDefault="00086656">
            <w:r>
              <w:t>.14</w:t>
            </w:r>
          </w:p>
        </w:tc>
        <w:tc>
          <w:tcPr>
            <w:tcW w:w="0" w:type="auto"/>
            <w:hideMark/>
          </w:tcPr>
          <w:p w14:paraId="46720CD7" w14:textId="77777777" w:rsidR="00086656" w:rsidRDefault="00086656">
            <w:r>
              <w:t>.13</w:t>
            </w:r>
          </w:p>
        </w:tc>
        <w:tc>
          <w:tcPr>
            <w:tcW w:w="0" w:type="auto"/>
            <w:hideMark/>
          </w:tcPr>
          <w:p w14:paraId="2063694D" w14:textId="77777777" w:rsidR="00086656" w:rsidRDefault="00086656">
            <w:r>
              <w:t>−.15</w:t>
            </w:r>
          </w:p>
        </w:tc>
        <w:tc>
          <w:tcPr>
            <w:tcW w:w="0" w:type="auto"/>
            <w:hideMark/>
          </w:tcPr>
          <w:p w14:paraId="20CB769B" w14:textId="77777777" w:rsidR="00086656" w:rsidRDefault="00086656">
            <w:r>
              <w:t>−.20</w:t>
            </w:r>
          </w:p>
        </w:tc>
        <w:tc>
          <w:tcPr>
            <w:tcW w:w="0" w:type="auto"/>
            <w:hideMark/>
          </w:tcPr>
          <w:p w14:paraId="3891E4A9" w14:textId="77777777" w:rsidR="00086656" w:rsidRDefault="00086656">
            <w:r>
              <w:t>.26</w:t>
            </w:r>
          </w:p>
        </w:tc>
        <w:tc>
          <w:tcPr>
            <w:tcW w:w="0" w:type="auto"/>
            <w:hideMark/>
          </w:tcPr>
          <w:p w14:paraId="4FFE04C1" w14:textId="77777777" w:rsidR="00086656" w:rsidRDefault="00086656">
            <w:r>
              <w:t>.20</w:t>
            </w:r>
          </w:p>
        </w:tc>
        <w:tc>
          <w:tcPr>
            <w:tcW w:w="0" w:type="auto"/>
            <w:hideMark/>
          </w:tcPr>
          <w:p w14:paraId="5F094664" w14:textId="77777777" w:rsidR="00086656" w:rsidRDefault="00086656">
            <w:r>
              <w:t>.07</w:t>
            </w:r>
          </w:p>
        </w:tc>
        <w:tc>
          <w:tcPr>
            <w:tcW w:w="0" w:type="auto"/>
            <w:hideMark/>
          </w:tcPr>
          <w:p w14:paraId="01DE41D9" w14:textId="77777777" w:rsidR="00086656" w:rsidRDefault="00086656">
            <w:r>
              <w:t>.14</w:t>
            </w:r>
          </w:p>
        </w:tc>
        <w:tc>
          <w:tcPr>
            <w:tcW w:w="0" w:type="auto"/>
            <w:hideMark/>
          </w:tcPr>
          <w:p w14:paraId="4690DB4D" w14:textId="77777777" w:rsidR="00086656" w:rsidRDefault="00086656">
            <w:r>
              <w:t>.05</w:t>
            </w:r>
          </w:p>
        </w:tc>
        <w:tc>
          <w:tcPr>
            <w:tcW w:w="0" w:type="auto"/>
            <w:hideMark/>
          </w:tcPr>
          <w:p w14:paraId="3E39FF07" w14:textId="77777777" w:rsidR="00086656" w:rsidRDefault="00086656">
            <w:r>
              <w:t>.06</w:t>
            </w:r>
          </w:p>
        </w:tc>
      </w:tr>
      <w:tr w:rsidR="00086656" w14:paraId="1846F768" w14:textId="77777777" w:rsidTr="00086656">
        <w:tc>
          <w:tcPr>
            <w:tcW w:w="0" w:type="auto"/>
            <w:hideMark/>
          </w:tcPr>
          <w:p w14:paraId="6D0FA6A9" w14:textId="77777777" w:rsidR="00086656" w:rsidRDefault="00086656">
            <w:r>
              <w:t>Father MACVS AV</w:t>
            </w:r>
          </w:p>
        </w:tc>
        <w:tc>
          <w:tcPr>
            <w:tcW w:w="0" w:type="auto"/>
            <w:hideMark/>
          </w:tcPr>
          <w:p w14:paraId="0C798727" w14:textId="77777777" w:rsidR="00086656" w:rsidRDefault="00086656" w:rsidP="00086656">
            <w:pPr>
              <w:jc w:val="right"/>
            </w:pPr>
            <w:r>
              <w:t>.48</w:t>
            </w:r>
            <w:hyperlink r:id="rId25" w:anchor="TF6" w:history="1">
              <w:r>
                <w:rPr>
                  <w:rStyle w:val="Hyperlink"/>
                </w:rPr>
                <w:t>**</w:t>
              </w:r>
            </w:hyperlink>
          </w:p>
        </w:tc>
        <w:tc>
          <w:tcPr>
            <w:tcW w:w="0" w:type="auto"/>
            <w:hideMark/>
          </w:tcPr>
          <w:p w14:paraId="2D428A0F" w14:textId="77777777" w:rsidR="00086656" w:rsidRDefault="00086656">
            <w:r>
              <w:t>.39</w:t>
            </w:r>
            <w:hyperlink r:id="rId26" w:anchor="TF6" w:history="1">
              <w:r>
                <w:rPr>
                  <w:rStyle w:val="Hyperlink"/>
                </w:rPr>
                <w:t>*</w:t>
              </w:r>
            </w:hyperlink>
          </w:p>
        </w:tc>
        <w:tc>
          <w:tcPr>
            <w:tcW w:w="0" w:type="auto"/>
            <w:hideMark/>
          </w:tcPr>
          <w:p w14:paraId="6CB71F56" w14:textId="77777777" w:rsidR="00086656" w:rsidRDefault="00086656">
            <w:r>
              <w:t>.40</w:t>
            </w:r>
            <w:hyperlink r:id="rId27" w:anchor="TF6" w:history="1">
              <w:r>
                <w:rPr>
                  <w:rStyle w:val="Hyperlink"/>
                </w:rPr>
                <w:t>*</w:t>
              </w:r>
            </w:hyperlink>
          </w:p>
        </w:tc>
        <w:tc>
          <w:tcPr>
            <w:tcW w:w="0" w:type="auto"/>
            <w:hideMark/>
          </w:tcPr>
          <w:p w14:paraId="483A27CB" w14:textId="77777777" w:rsidR="00086656" w:rsidRDefault="00086656">
            <w:r>
              <w:t>.16</w:t>
            </w:r>
          </w:p>
        </w:tc>
        <w:tc>
          <w:tcPr>
            <w:tcW w:w="0" w:type="auto"/>
            <w:hideMark/>
          </w:tcPr>
          <w:p w14:paraId="7A1572D4" w14:textId="77777777" w:rsidR="00086656" w:rsidRDefault="00086656">
            <w:r>
              <w:t>−.27</w:t>
            </w:r>
          </w:p>
        </w:tc>
        <w:tc>
          <w:tcPr>
            <w:tcW w:w="0" w:type="auto"/>
            <w:hideMark/>
          </w:tcPr>
          <w:p w14:paraId="23E33849" w14:textId="77777777" w:rsidR="00086656" w:rsidRDefault="00086656">
            <w:r>
              <w:t>.19</w:t>
            </w:r>
          </w:p>
        </w:tc>
        <w:tc>
          <w:tcPr>
            <w:tcW w:w="0" w:type="auto"/>
            <w:hideMark/>
          </w:tcPr>
          <w:p w14:paraId="5EF3195E" w14:textId="77777777" w:rsidR="00086656" w:rsidRDefault="00086656">
            <w:r>
              <w:t>−.19</w:t>
            </w:r>
          </w:p>
        </w:tc>
        <w:tc>
          <w:tcPr>
            <w:tcW w:w="0" w:type="auto"/>
            <w:hideMark/>
          </w:tcPr>
          <w:p w14:paraId="2F21049D" w14:textId="77777777" w:rsidR="00086656" w:rsidRDefault="00086656">
            <w:r>
              <w:t>.24</w:t>
            </w:r>
          </w:p>
        </w:tc>
        <w:tc>
          <w:tcPr>
            <w:tcW w:w="0" w:type="auto"/>
            <w:hideMark/>
          </w:tcPr>
          <w:p w14:paraId="20BAD03B" w14:textId="77777777" w:rsidR="00086656" w:rsidRDefault="00086656">
            <w:r>
              <w:t>.37</w:t>
            </w:r>
            <w:r>
              <w:rPr>
                <w:vertAlign w:val="superscript"/>
              </w:rPr>
              <w:t>+</w:t>
            </w:r>
          </w:p>
        </w:tc>
        <w:tc>
          <w:tcPr>
            <w:tcW w:w="0" w:type="auto"/>
            <w:hideMark/>
          </w:tcPr>
          <w:p w14:paraId="39D32F11" w14:textId="77777777" w:rsidR="00086656" w:rsidRDefault="00086656">
            <w:r>
              <w:t>.14</w:t>
            </w:r>
          </w:p>
        </w:tc>
        <w:tc>
          <w:tcPr>
            <w:tcW w:w="0" w:type="auto"/>
            <w:hideMark/>
          </w:tcPr>
          <w:p w14:paraId="75C16B86" w14:textId="77777777" w:rsidR="00086656" w:rsidRDefault="00086656">
            <w:r>
              <w:t>.05</w:t>
            </w:r>
          </w:p>
        </w:tc>
      </w:tr>
      <w:tr w:rsidR="00086656" w14:paraId="07FDA1F6" w14:textId="77777777" w:rsidTr="00086656">
        <w:tc>
          <w:tcPr>
            <w:tcW w:w="0" w:type="auto"/>
            <w:hideMark/>
          </w:tcPr>
          <w:p w14:paraId="758E10D8" w14:textId="77777777" w:rsidR="00086656" w:rsidRDefault="00086656">
            <w:r>
              <w:t>Father MEIM-R total</w:t>
            </w:r>
          </w:p>
        </w:tc>
        <w:tc>
          <w:tcPr>
            <w:tcW w:w="0" w:type="auto"/>
            <w:hideMark/>
          </w:tcPr>
          <w:p w14:paraId="662913EB" w14:textId="77777777" w:rsidR="00086656" w:rsidRDefault="00086656" w:rsidP="00086656">
            <w:pPr>
              <w:jc w:val="right"/>
            </w:pPr>
            <w:r>
              <w:t>.001</w:t>
            </w:r>
          </w:p>
        </w:tc>
        <w:tc>
          <w:tcPr>
            <w:tcW w:w="0" w:type="auto"/>
            <w:hideMark/>
          </w:tcPr>
          <w:p w14:paraId="50EE1C7A" w14:textId="77777777" w:rsidR="00086656" w:rsidRDefault="00086656">
            <w:r>
              <w:t>−.13</w:t>
            </w:r>
          </w:p>
        </w:tc>
        <w:tc>
          <w:tcPr>
            <w:tcW w:w="0" w:type="auto"/>
            <w:hideMark/>
          </w:tcPr>
          <w:p w14:paraId="59C742B2" w14:textId="77777777" w:rsidR="00086656" w:rsidRDefault="00086656">
            <w:r>
              <w:t>−.16</w:t>
            </w:r>
          </w:p>
        </w:tc>
        <w:tc>
          <w:tcPr>
            <w:tcW w:w="0" w:type="auto"/>
            <w:hideMark/>
          </w:tcPr>
          <w:p w14:paraId="4C56805A" w14:textId="77777777" w:rsidR="00086656" w:rsidRDefault="00086656">
            <w:r>
              <w:t>−.22</w:t>
            </w:r>
          </w:p>
        </w:tc>
        <w:tc>
          <w:tcPr>
            <w:tcW w:w="0" w:type="auto"/>
            <w:hideMark/>
          </w:tcPr>
          <w:p w14:paraId="2D86E6CC" w14:textId="77777777" w:rsidR="00086656" w:rsidRDefault="00086656">
            <w:r>
              <w:t>.12</w:t>
            </w:r>
          </w:p>
        </w:tc>
        <w:tc>
          <w:tcPr>
            <w:tcW w:w="0" w:type="auto"/>
            <w:hideMark/>
          </w:tcPr>
          <w:p w14:paraId="2B50DB61" w14:textId="77777777" w:rsidR="00086656" w:rsidRDefault="00086656">
            <w:r>
              <w:t>−.20</w:t>
            </w:r>
          </w:p>
        </w:tc>
        <w:tc>
          <w:tcPr>
            <w:tcW w:w="0" w:type="auto"/>
            <w:hideMark/>
          </w:tcPr>
          <w:p w14:paraId="57FCE5B7" w14:textId="77777777" w:rsidR="00086656" w:rsidRDefault="00086656">
            <w:r>
              <w:t>.03</w:t>
            </w:r>
          </w:p>
        </w:tc>
        <w:tc>
          <w:tcPr>
            <w:tcW w:w="0" w:type="auto"/>
            <w:hideMark/>
          </w:tcPr>
          <w:p w14:paraId="1C057047" w14:textId="77777777" w:rsidR="00086656" w:rsidRDefault="00086656">
            <w:r>
              <w:t>−.12</w:t>
            </w:r>
          </w:p>
        </w:tc>
        <w:tc>
          <w:tcPr>
            <w:tcW w:w="0" w:type="auto"/>
            <w:hideMark/>
          </w:tcPr>
          <w:p w14:paraId="17B1229F" w14:textId="77777777" w:rsidR="00086656" w:rsidRDefault="00086656">
            <w:r>
              <w:t>−.16</w:t>
            </w:r>
          </w:p>
        </w:tc>
        <w:tc>
          <w:tcPr>
            <w:tcW w:w="0" w:type="auto"/>
            <w:hideMark/>
          </w:tcPr>
          <w:p w14:paraId="0189E48A" w14:textId="77777777" w:rsidR="00086656" w:rsidRDefault="00086656">
            <w:r>
              <w:t>−.16</w:t>
            </w:r>
          </w:p>
        </w:tc>
        <w:tc>
          <w:tcPr>
            <w:tcW w:w="0" w:type="auto"/>
            <w:hideMark/>
          </w:tcPr>
          <w:p w14:paraId="22112D25" w14:textId="77777777" w:rsidR="00086656" w:rsidRDefault="00086656">
            <w:r>
              <w:t>.001</w:t>
            </w:r>
          </w:p>
        </w:tc>
      </w:tr>
      <w:tr w:rsidR="00086656" w14:paraId="0349B05E" w14:textId="77777777" w:rsidTr="00086656">
        <w:tc>
          <w:tcPr>
            <w:tcW w:w="0" w:type="auto"/>
            <w:hideMark/>
          </w:tcPr>
          <w:p w14:paraId="283B1E37" w14:textId="77777777" w:rsidR="00086656" w:rsidRDefault="00086656">
            <w:r>
              <w:t xml:space="preserve">Father TAQ </w:t>
            </w:r>
            <w:proofErr w:type="spellStart"/>
            <w:r>
              <w:t>fsr</w:t>
            </w:r>
            <w:proofErr w:type="spellEnd"/>
          </w:p>
        </w:tc>
        <w:tc>
          <w:tcPr>
            <w:tcW w:w="0" w:type="auto"/>
            <w:hideMark/>
          </w:tcPr>
          <w:p w14:paraId="7F02FCE1" w14:textId="77777777" w:rsidR="00086656" w:rsidRDefault="00086656" w:rsidP="00086656">
            <w:pPr>
              <w:jc w:val="right"/>
            </w:pPr>
            <w:r>
              <w:t>.26</w:t>
            </w:r>
          </w:p>
        </w:tc>
        <w:tc>
          <w:tcPr>
            <w:tcW w:w="0" w:type="auto"/>
            <w:hideMark/>
          </w:tcPr>
          <w:p w14:paraId="30AC4494" w14:textId="77777777" w:rsidR="00086656" w:rsidRDefault="00086656">
            <w:r>
              <w:t>.20</w:t>
            </w:r>
          </w:p>
        </w:tc>
        <w:tc>
          <w:tcPr>
            <w:tcW w:w="0" w:type="auto"/>
            <w:hideMark/>
          </w:tcPr>
          <w:p w14:paraId="5BCFB529" w14:textId="77777777" w:rsidR="00086656" w:rsidRDefault="00086656">
            <w:r>
              <w:t>.07</w:t>
            </w:r>
          </w:p>
        </w:tc>
        <w:tc>
          <w:tcPr>
            <w:tcW w:w="0" w:type="auto"/>
            <w:hideMark/>
          </w:tcPr>
          <w:p w14:paraId="4A65C61A" w14:textId="77777777" w:rsidR="00086656" w:rsidRDefault="00086656">
            <w:r>
              <w:t>−.30</w:t>
            </w:r>
          </w:p>
        </w:tc>
        <w:tc>
          <w:tcPr>
            <w:tcW w:w="0" w:type="auto"/>
            <w:hideMark/>
          </w:tcPr>
          <w:p w14:paraId="3D6DB5FA" w14:textId="77777777" w:rsidR="00086656" w:rsidRDefault="00086656">
            <w:r>
              <w:t>−.19</w:t>
            </w:r>
          </w:p>
        </w:tc>
        <w:tc>
          <w:tcPr>
            <w:tcW w:w="0" w:type="auto"/>
            <w:hideMark/>
          </w:tcPr>
          <w:p w14:paraId="34EB0C31" w14:textId="77777777" w:rsidR="00086656" w:rsidRDefault="00086656">
            <w:r>
              <w:t>−.20</w:t>
            </w:r>
          </w:p>
        </w:tc>
        <w:tc>
          <w:tcPr>
            <w:tcW w:w="0" w:type="auto"/>
            <w:hideMark/>
          </w:tcPr>
          <w:p w14:paraId="383F7B82" w14:textId="77777777" w:rsidR="00086656" w:rsidRDefault="00086656">
            <w:r>
              <w:t>−.14</w:t>
            </w:r>
          </w:p>
        </w:tc>
        <w:tc>
          <w:tcPr>
            <w:tcW w:w="0" w:type="auto"/>
            <w:hideMark/>
          </w:tcPr>
          <w:p w14:paraId="7671FD8B" w14:textId="77777777" w:rsidR="00086656" w:rsidRDefault="00086656">
            <w:r>
              <w:t>.20</w:t>
            </w:r>
          </w:p>
        </w:tc>
        <w:tc>
          <w:tcPr>
            <w:tcW w:w="0" w:type="auto"/>
            <w:hideMark/>
          </w:tcPr>
          <w:p w14:paraId="0E18BD1A" w14:textId="77777777" w:rsidR="00086656" w:rsidRDefault="00086656">
            <w:r>
              <w:t>.21</w:t>
            </w:r>
          </w:p>
        </w:tc>
        <w:tc>
          <w:tcPr>
            <w:tcW w:w="0" w:type="auto"/>
            <w:hideMark/>
          </w:tcPr>
          <w:p w14:paraId="661B4ECF" w14:textId="77777777" w:rsidR="00086656" w:rsidRDefault="00086656">
            <w:r>
              <w:t>.22</w:t>
            </w:r>
          </w:p>
        </w:tc>
        <w:tc>
          <w:tcPr>
            <w:tcW w:w="0" w:type="auto"/>
            <w:hideMark/>
          </w:tcPr>
          <w:p w14:paraId="40AB362A" w14:textId="77777777" w:rsidR="00086656" w:rsidRDefault="00086656">
            <w:r>
              <w:t>−.23</w:t>
            </w:r>
          </w:p>
        </w:tc>
      </w:tr>
      <w:tr w:rsidR="00086656" w14:paraId="52D61296" w14:textId="77777777" w:rsidTr="00086656">
        <w:tc>
          <w:tcPr>
            <w:tcW w:w="0" w:type="auto"/>
            <w:hideMark/>
          </w:tcPr>
          <w:p w14:paraId="3CFFC816" w14:textId="77777777" w:rsidR="00086656" w:rsidRDefault="00086656">
            <w:r>
              <w:t>Father TAQ stigma</w:t>
            </w:r>
          </w:p>
        </w:tc>
        <w:tc>
          <w:tcPr>
            <w:tcW w:w="0" w:type="auto"/>
            <w:hideMark/>
          </w:tcPr>
          <w:p w14:paraId="3BABC7D7" w14:textId="77777777" w:rsidR="00086656" w:rsidRDefault="00086656" w:rsidP="00086656">
            <w:pPr>
              <w:jc w:val="right"/>
            </w:pPr>
            <w:r>
              <w:t>.06</w:t>
            </w:r>
          </w:p>
        </w:tc>
        <w:tc>
          <w:tcPr>
            <w:tcW w:w="0" w:type="auto"/>
            <w:hideMark/>
          </w:tcPr>
          <w:p w14:paraId="481E5766" w14:textId="77777777" w:rsidR="00086656" w:rsidRDefault="00086656">
            <w:r>
              <w:t>−.12</w:t>
            </w:r>
          </w:p>
        </w:tc>
        <w:tc>
          <w:tcPr>
            <w:tcW w:w="0" w:type="auto"/>
            <w:hideMark/>
          </w:tcPr>
          <w:p w14:paraId="4F0BCB28" w14:textId="77777777" w:rsidR="00086656" w:rsidRDefault="00086656">
            <w:r>
              <w:t>−.14</w:t>
            </w:r>
          </w:p>
        </w:tc>
        <w:tc>
          <w:tcPr>
            <w:tcW w:w="0" w:type="auto"/>
            <w:hideMark/>
          </w:tcPr>
          <w:p w14:paraId="127D94FA" w14:textId="77777777" w:rsidR="00086656" w:rsidRDefault="00086656">
            <w:r>
              <w:t>−.26</w:t>
            </w:r>
          </w:p>
        </w:tc>
        <w:tc>
          <w:tcPr>
            <w:tcW w:w="0" w:type="auto"/>
            <w:hideMark/>
          </w:tcPr>
          <w:p w14:paraId="76C8ED52" w14:textId="77777777" w:rsidR="00086656" w:rsidRDefault="00086656">
            <w:r>
              <w:t>−.24</w:t>
            </w:r>
          </w:p>
        </w:tc>
        <w:tc>
          <w:tcPr>
            <w:tcW w:w="0" w:type="auto"/>
            <w:hideMark/>
          </w:tcPr>
          <w:p w14:paraId="15454CF7" w14:textId="77777777" w:rsidR="00086656" w:rsidRDefault="00086656">
            <w:r>
              <w:t>−.27</w:t>
            </w:r>
          </w:p>
        </w:tc>
        <w:tc>
          <w:tcPr>
            <w:tcW w:w="0" w:type="auto"/>
            <w:hideMark/>
          </w:tcPr>
          <w:p w14:paraId="1EA6620B" w14:textId="77777777" w:rsidR="00086656" w:rsidRDefault="00086656">
            <w:r>
              <w:t>−.19</w:t>
            </w:r>
          </w:p>
        </w:tc>
        <w:tc>
          <w:tcPr>
            <w:tcW w:w="0" w:type="auto"/>
            <w:hideMark/>
          </w:tcPr>
          <w:p w14:paraId="700C1051" w14:textId="77777777" w:rsidR="00086656" w:rsidRDefault="00086656">
            <w:r>
              <w:t>−.04</w:t>
            </w:r>
          </w:p>
        </w:tc>
        <w:tc>
          <w:tcPr>
            <w:tcW w:w="0" w:type="auto"/>
            <w:hideMark/>
          </w:tcPr>
          <w:p w14:paraId="19DAE8D7" w14:textId="77777777" w:rsidR="00086656" w:rsidRDefault="00086656">
            <w:r>
              <w:t>−.13</w:t>
            </w:r>
          </w:p>
        </w:tc>
        <w:tc>
          <w:tcPr>
            <w:tcW w:w="0" w:type="auto"/>
            <w:hideMark/>
          </w:tcPr>
          <w:p w14:paraId="7E234BDB" w14:textId="77777777" w:rsidR="00086656" w:rsidRDefault="00086656">
            <w:r>
              <w:t>.27</w:t>
            </w:r>
          </w:p>
        </w:tc>
        <w:tc>
          <w:tcPr>
            <w:tcW w:w="0" w:type="auto"/>
            <w:hideMark/>
          </w:tcPr>
          <w:p w14:paraId="2B2202E7" w14:textId="77777777" w:rsidR="00086656" w:rsidRDefault="00086656">
            <w:r>
              <w:t>.08</w:t>
            </w:r>
          </w:p>
        </w:tc>
      </w:tr>
      <w:tr w:rsidR="00086656" w14:paraId="5AB316B0" w14:textId="77777777" w:rsidTr="00086656">
        <w:tc>
          <w:tcPr>
            <w:tcW w:w="0" w:type="auto"/>
            <w:hideMark/>
          </w:tcPr>
          <w:p w14:paraId="7993E6F2" w14:textId="77777777" w:rsidR="00086656" w:rsidRDefault="00086656">
            <w:r>
              <w:t xml:space="preserve">Father TEQ </w:t>
            </w:r>
            <w:proofErr w:type="spellStart"/>
            <w:r>
              <w:t>barr</w:t>
            </w:r>
            <w:proofErr w:type="spellEnd"/>
          </w:p>
        </w:tc>
        <w:tc>
          <w:tcPr>
            <w:tcW w:w="0" w:type="auto"/>
            <w:hideMark/>
          </w:tcPr>
          <w:p w14:paraId="3A0FC5AE" w14:textId="77777777" w:rsidR="00086656" w:rsidRDefault="00086656" w:rsidP="00086656">
            <w:pPr>
              <w:jc w:val="right"/>
            </w:pPr>
            <w:r>
              <w:t>.25</w:t>
            </w:r>
          </w:p>
        </w:tc>
        <w:tc>
          <w:tcPr>
            <w:tcW w:w="0" w:type="auto"/>
            <w:hideMark/>
          </w:tcPr>
          <w:p w14:paraId="0A1F701E" w14:textId="77777777" w:rsidR="00086656" w:rsidRDefault="00086656">
            <w:r>
              <w:t>.18</w:t>
            </w:r>
          </w:p>
        </w:tc>
        <w:tc>
          <w:tcPr>
            <w:tcW w:w="0" w:type="auto"/>
            <w:hideMark/>
          </w:tcPr>
          <w:p w14:paraId="731CE272" w14:textId="77777777" w:rsidR="00086656" w:rsidRDefault="00086656">
            <w:r>
              <w:t>.07</w:t>
            </w:r>
          </w:p>
        </w:tc>
        <w:tc>
          <w:tcPr>
            <w:tcW w:w="0" w:type="auto"/>
            <w:hideMark/>
          </w:tcPr>
          <w:p w14:paraId="36282E6B" w14:textId="77777777" w:rsidR="00086656" w:rsidRDefault="00086656">
            <w:r>
              <w:t>−.17</w:t>
            </w:r>
          </w:p>
        </w:tc>
        <w:tc>
          <w:tcPr>
            <w:tcW w:w="0" w:type="auto"/>
            <w:hideMark/>
          </w:tcPr>
          <w:p w14:paraId="3E899437" w14:textId="77777777" w:rsidR="00086656" w:rsidRDefault="00086656">
            <w:r>
              <w:t>−.25</w:t>
            </w:r>
          </w:p>
        </w:tc>
        <w:tc>
          <w:tcPr>
            <w:tcW w:w="0" w:type="auto"/>
            <w:hideMark/>
          </w:tcPr>
          <w:p w14:paraId="3F07D78D" w14:textId="77777777" w:rsidR="00086656" w:rsidRDefault="00086656">
            <w:r>
              <w:t>−.18</w:t>
            </w:r>
          </w:p>
        </w:tc>
        <w:tc>
          <w:tcPr>
            <w:tcW w:w="0" w:type="auto"/>
            <w:hideMark/>
          </w:tcPr>
          <w:p w14:paraId="2AE50056" w14:textId="77777777" w:rsidR="00086656" w:rsidRDefault="00086656">
            <w:r>
              <w:t>−.18</w:t>
            </w:r>
          </w:p>
        </w:tc>
        <w:tc>
          <w:tcPr>
            <w:tcW w:w="0" w:type="auto"/>
            <w:hideMark/>
          </w:tcPr>
          <w:p w14:paraId="2E4A9AFE" w14:textId="77777777" w:rsidR="00086656" w:rsidRDefault="00086656">
            <w:r>
              <w:t>−.02</w:t>
            </w:r>
          </w:p>
        </w:tc>
        <w:tc>
          <w:tcPr>
            <w:tcW w:w="0" w:type="auto"/>
            <w:hideMark/>
          </w:tcPr>
          <w:p w14:paraId="7F28BB24" w14:textId="77777777" w:rsidR="00086656" w:rsidRDefault="00086656">
            <w:r>
              <w:t>.06</w:t>
            </w:r>
          </w:p>
        </w:tc>
        <w:tc>
          <w:tcPr>
            <w:tcW w:w="0" w:type="auto"/>
            <w:hideMark/>
          </w:tcPr>
          <w:p w14:paraId="58A04F1C" w14:textId="77777777" w:rsidR="00086656" w:rsidRDefault="00086656">
            <w:r>
              <w:t>.20</w:t>
            </w:r>
          </w:p>
        </w:tc>
        <w:tc>
          <w:tcPr>
            <w:tcW w:w="0" w:type="auto"/>
            <w:hideMark/>
          </w:tcPr>
          <w:p w14:paraId="1907C8E7" w14:textId="77777777" w:rsidR="00086656" w:rsidRDefault="00086656">
            <w:r>
              <w:t>.06</w:t>
            </w:r>
          </w:p>
        </w:tc>
      </w:tr>
      <w:tr w:rsidR="00086656" w14:paraId="0677D6E0" w14:textId="77777777" w:rsidTr="00086656">
        <w:tc>
          <w:tcPr>
            <w:tcW w:w="0" w:type="auto"/>
            <w:hideMark/>
          </w:tcPr>
          <w:p w14:paraId="237A56CD" w14:textId="77777777" w:rsidR="00086656" w:rsidRDefault="00086656">
            <w:r>
              <w:t xml:space="preserve">Father TEQ </w:t>
            </w:r>
            <w:proofErr w:type="spellStart"/>
            <w:r>
              <w:t>sr</w:t>
            </w:r>
            <w:proofErr w:type="spellEnd"/>
          </w:p>
        </w:tc>
        <w:tc>
          <w:tcPr>
            <w:tcW w:w="0" w:type="auto"/>
            <w:hideMark/>
          </w:tcPr>
          <w:p w14:paraId="2760A96D" w14:textId="77777777" w:rsidR="00086656" w:rsidRDefault="00086656" w:rsidP="00086656">
            <w:pPr>
              <w:jc w:val="right"/>
            </w:pPr>
            <w:r>
              <w:t>.16</w:t>
            </w:r>
          </w:p>
        </w:tc>
        <w:tc>
          <w:tcPr>
            <w:tcW w:w="0" w:type="auto"/>
            <w:hideMark/>
          </w:tcPr>
          <w:p w14:paraId="425081DB" w14:textId="77777777" w:rsidR="00086656" w:rsidRDefault="00086656">
            <w:r>
              <w:t>.12</w:t>
            </w:r>
          </w:p>
        </w:tc>
        <w:tc>
          <w:tcPr>
            <w:tcW w:w="0" w:type="auto"/>
            <w:hideMark/>
          </w:tcPr>
          <w:p w14:paraId="25927E6F" w14:textId="77777777" w:rsidR="00086656" w:rsidRDefault="00086656">
            <w:r>
              <w:t>−.12</w:t>
            </w:r>
          </w:p>
        </w:tc>
        <w:tc>
          <w:tcPr>
            <w:tcW w:w="0" w:type="auto"/>
            <w:hideMark/>
          </w:tcPr>
          <w:p w14:paraId="000933EE" w14:textId="77777777" w:rsidR="00086656" w:rsidRDefault="00086656">
            <w:r>
              <w:t>−.12</w:t>
            </w:r>
          </w:p>
        </w:tc>
        <w:tc>
          <w:tcPr>
            <w:tcW w:w="0" w:type="auto"/>
            <w:hideMark/>
          </w:tcPr>
          <w:p w14:paraId="7C19EF80" w14:textId="77777777" w:rsidR="00086656" w:rsidRDefault="00086656">
            <w:r>
              <w:t>−.28</w:t>
            </w:r>
          </w:p>
        </w:tc>
        <w:tc>
          <w:tcPr>
            <w:tcW w:w="0" w:type="auto"/>
            <w:hideMark/>
          </w:tcPr>
          <w:p w14:paraId="0A05EAA1" w14:textId="77777777" w:rsidR="00086656" w:rsidRDefault="00086656">
            <w:r>
              <w:t>−.25</w:t>
            </w:r>
          </w:p>
        </w:tc>
        <w:tc>
          <w:tcPr>
            <w:tcW w:w="0" w:type="auto"/>
            <w:hideMark/>
          </w:tcPr>
          <w:p w14:paraId="2006DD9C" w14:textId="77777777" w:rsidR="00086656" w:rsidRDefault="00086656">
            <w:r>
              <w:t>−.22</w:t>
            </w:r>
          </w:p>
        </w:tc>
        <w:tc>
          <w:tcPr>
            <w:tcW w:w="0" w:type="auto"/>
            <w:hideMark/>
          </w:tcPr>
          <w:p w14:paraId="42706936" w14:textId="77777777" w:rsidR="00086656" w:rsidRDefault="00086656">
            <w:r>
              <w:t>.08</w:t>
            </w:r>
          </w:p>
        </w:tc>
        <w:tc>
          <w:tcPr>
            <w:tcW w:w="0" w:type="auto"/>
            <w:hideMark/>
          </w:tcPr>
          <w:p w14:paraId="6D8117A7" w14:textId="77777777" w:rsidR="00086656" w:rsidRDefault="00086656">
            <w:r>
              <w:t>.05</w:t>
            </w:r>
          </w:p>
        </w:tc>
        <w:tc>
          <w:tcPr>
            <w:tcW w:w="0" w:type="auto"/>
            <w:hideMark/>
          </w:tcPr>
          <w:p w14:paraId="0C75561C" w14:textId="77777777" w:rsidR="00086656" w:rsidRDefault="00086656">
            <w:r>
              <w:t>.08</w:t>
            </w:r>
          </w:p>
        </w:tc>
        <w:tc>
          <w:tcPr>
            <w:tcW w:w="0" w:type="auto"/>
            <w:hideMark/>
          </w:tcPr>
          <w:p w14:paraId="0C752E24" w14:textId="77777777" w:rsidR="00086656" w:rsidRDefault="00086656">
            <w:r>
              <w:t>−.11</w:t>
            </w:r>
          </w:p>
        </w:tc>
      </w:tr>
    </w:tbl>
    <w:p w14:paraId="714BBC1B" w14:textId="77777777" w:rsidR="00086656" w:rsidRPr="00086656" w:rsidRDefault="00086656" w:rsidP="00086656">
      <w:pPr>
        <w:pStyle w:val="NoSpacing"/>
      </w:pPr>
      <w:r w:rsidRPr="00086656">
        <w:rPr>
          <w:b/>
          <w:bCs/>
        </w:rPr>
        <w:t>Note.</w:t>
      </w:r>
      <w:r w:rsidRPr="00086656">
        <w:t xml:space="preserve"> ATT = attendance; % HW = % homework completed; TR </w:t>
      </w:r>
      <w:proofErr w:type="spellStart"/>
      <w:r w:rsidRPr="00086656">
        <w:t>eng</w:t>
      </w:r>
      <w:proofErr w:type="spellEnd"/>
      <w:r w:rsidRPr="00086656">
        <w:t xml:space="preserve"> = therapist-reported parental engagement; P1/P2 DBD/FX home = pre-/posttreatment parent DBD ADHD mean/ADHD FX Scale home impairment; T1/T2 DBD/FX school = pre-/posttreatment teacher DBD ADHD mean/ADHD FX Scale school impairment; TR child = therapist-reported child improvement; TR parent/family = therapist-reported parent/family improvement; % home/school = % of home-/school-based goals achieved; MOS = ARSMA-II Latino Orientation Scale; AOS = ARSMA-II Anglo Orientation Scale; MAV = MACVS Mexican American Values Scale; AV = MACVS Mainstream Values Scale; MEIM-R total = MEIM-R total ethnic identity; TAQ </w:t>
      </w:r>
      <w:proofErr w:type="spellStart"/>
      <w:r w:rsidRPr="00086656">
        <w:t>fsr</w:t>
      </w:r>
      <w:proofErr w:type="spellEnd"/>
      <w:r w:rsidRPr="00086656">
        <w:t xml:space="preserve"> = TAQ family/self-reliance scale; TAQ stigma = TAQ stigma scale; TEQ </w:t>
      </w:r>
      <w:proofErr w:type="spellStart"/>
      <w:r w:rsidRPr="00086656">
        <w:t>barr</w:t>
      </w:r>
      <w:proofErr w:type="spellEnd"/>
      <w:r w:rsidRPr="00086656">
        <w:t xml:space="preserve"> = TEQ barriers scale; TEQ </w:t>
      </w:r>
      <w:proofErr w:type="spellStart"/>
      <w:r w:rsidRPr="00086656">
        <w:t>sr</w:t>
      </w:r>
      <w:proofErr w:type="spellEnd"/>
      <w:r w:rsidRPr="00086656">
        <w:t> = TEQ speed of recovery scale.</w:t>
      </w:r>
    </w:p>
    <w:p w14:paraId="017C55D8" w14:textId="77777777" w:rsidR="00086656" w:rsidRPr="00086656" w:rsidRDefault="00086656" w:rsidP="00086656">
      <w:pPr>
        <w:pStyle w:val="NoSpacing"/>
      </w:pPr>
      <w:r w:rsidRPr="00086656">
        <w:rPr>
          <w:vertAlign w:val="superscript"/>
        </w:rPr>
        <w:t>a</w:t>
      </w:r>
      <w:r w:rsidRPr="00086656">
        <w:t xml:space="preserve"> n = 26–61.</w:t>
      </w:r>
    </w:p>
    <w:p w14:paraId="19F5E0AA" w14:textId="77777777" w:rsidR="00086656" w:rsidRPr="00086656" w:rsidRDefault="00086656" w:rsidP="00086656">
      <w:pPr>
        <w:pStyle w:val="NoSpacing"/>
      </w:pPr>
      <w:r w:rsidRPr="00086656">
        <w:t>*p ≤ .05; **p ≤ .01; ***p ≤ .001; +p ≤ .10.</w:t>
      </w:r>
    </w:p>
    <w:p w14:paraId="06E63AA9" w14:textId="77777777" w:rsidR="00086656" w:rsidRDefault="00086656" w:rsidP="00086656">
      <w:pPr>
        <w:pStyle w:val="NoSpacing"/>
      </w:pPr>
    </w:p>
    <w:p w14:paraId="58121F1E" w14:textId="7167CA9D" w:rsidR="00086656" w:rsidRPr="007517F5" w:rsidRDefault="00086656" w:rsidP="00086656">
      <w:pPr>
        <w:pStyle w:val="NoSpacing"/>
      </w:pPr>
      <w:r>
        <w:t xml:space="preserve">Independent-samples t tests were then conducted to examine differences in child demographic/diagnostic variables and parental cultural variables and perceptions regarding treatment according to retention status. Given the small sample size of fathers of families who were not retained in treatment (n = 1), only mothers’ data were examined. Results indicated that mothers of families who dropped out prematurely demonstrated significantly higher orientation to U.S. mainstream culture on the behavioral measure of acculturation, M = 3.46, SD = 1.3, compared to those who were retained in treatment, M = 2.38, SD = 0.82; t (58) = 2.16, p </w:t>
      </w:r>
      <w:r>
        <w:rPr>
          <w:rFonts w:ascii="Calibri" w:eastAsia="Calibri" w:hAnsi="Calibri" w:cs="Calibri"/>
        </w:rPr>
        <w:t>≤</w:t>
      </w:r>
      <w:r>
        <w:t xml:space="preserve"> .05. The effect size of this difference was large. Finally, chi-square tests for independence also were conducted to examine differences in treatment type, child sex, and comorbidity according to retention status. No significant differences were found.</w:t>
      </w:r>
    </w:p>
    <w:p w14:paraId="479A2BB3" w14:textId="77777777" w:rsidR="00086656" w:rsidRPr="00086656" w:rsidRDefault="00086656" w:rsidP="00086656">
      <w:pPr>
        <w:pStyle w:val="NoSpacing"/>
      </w:pPr>
    </w:p>
    <w:p w14:paraId="281CBABE" w14:textId="1845CD6A" w:rsidR="00AB0801" w:rsidRDefault="00AB0801" w:rsidP="00AB0801">
      <w:pPr>
        <w:pStyle w:val="Heading3"/>
      </w:pPr>
      <w:r>
        <w:t>Primary Results</w:t>
      </w:r>
    </w:p>
    <w:p w14:paraId="711479E8" w14:textId="337AA294" w:rsidR="00A750BF" w:rsidRDefault="00086656" w:rsidP="00A750BF">
      <w:pPr>
        <w:sectPr w:rsidR="00A750BF" w:rsidSect="00086656">
          <w:pgSz w:w="15840" w:h="12240" w:orient="landscape"/>
          <w:pgMar w:top="1080" w:right="1080" w:bottom="1080" w:left="1080" w:header="720" w:footer="720" w:gutter="0"/>
          <w:cols w:space="720"/>
          <w:docGrid w:linePitch="360"/>
        </w:sectPr>
      </w:pPr>
      <w:r>
        <w:t xml:space="preserve">Based on the significant independent variables that emerged from the preliminary analyses, follow-up hierarchical multiple regression analyses were conducted, all of which were interpreted at the last step that produced a significant change in </w:t>
      </w:r>
      <w:r>
        <w:rPr>
          <w:i/>
          <w:iCs/>
        </w:rPr>
        <w:t>R</w:t>
      </w:r>
      <w:r>
        <w:rPr>
          <w:vertAlign w:val="superscript"/>
        </w:rPr>
        <w:t>2</w:t>
      </w:r>
      <w:r>
        <w:t>.</w:t>
      </w:r>
      <w:r>
        <w:rPr>
          <w:rStyle w:val="ref-lnk"/>
          <w:vertAlign w:val="superscript"/>
        </w:rPr>
        <w:t>1</w:t>
      </w:r>
      <w:r>
        <w:t xml:space="preserve"> Hierarchical multiple regressions were only conducted for outcome variables that were significantly correlated with more than one predictor variable. In order to examine posttreatment parent- and teacher-reported ADHD symptomatology and functional impairment as treatment response outcomes, medicated or unmedicated pretreatment ratings were controlled for in step 1, depending on the child’s medication status posttreatment</w:t>
      </w:r>
    </w:p>
    <w:p w14:paraId="3E72597D" w14:textId="39D86973" w:rsidR="00086656" w:rsidRDefault="00086656" w:rsidP="00A750BF">
      <w:pPr>
        <w:pStyle w:val="ListParagraph"/>
        <w:spacing w:after="0"/>
      </w:pPr>
      <w:r>
        <w:lastRenderedPageBreak/>
        <w:t>Hypothesis 1: Parental Cultural Factors and Treatment Participation Outcomes</w:t>
      </w:r>
    </w:p>
    <w:p w14:paraId="3E523E83" w14:textId="77777777" w:rsidR="00A750BF" w:rsidRDefault="00A750BF" w:rsidP="00A750BF">
      <w:pPr>
        <w:pStyle w:val="ListParagraph"/>
        <w:spacing w:after="0"/>
      </w:pPr>
    </w:p>
    <w:p w14:paraId="329301D0" w14:textId="679A813C" w:rsidR="00086656" w:rsidRDefault="00086656" w:rsidP="00086656">
      <w:pPr>
        <w:pStyle w:val="NoSpacing"/>
      </w:pPr>
      <w:r>
        <w:t xml:space="preserve">In order to test the first set of hypotheses related to parental cultural factors and attendance, retention, engagement, and treatment response outcomes, hierarchical multiple regression analysis was conducted for posttreatment parent-reported ADHD symptomatology (see Table 3). Pretreatment parent-reported ADHD symptomatology was entered at step 1, and mother or father ARSMA-II AOS results were </w:t>
      </w:r>
      <w:proofErr w:type="gramStart"/>
      <w:r>
        <w:t>entered into</w:t>
      </w:r>
      <w:proofErr w:type="gramEnd"/>
      <w:r>
        <w:t xml:space="preserve"> step 2. Results indicated that the mother and father acculturation factors entered at step 2 explained an additional 6.9% and 17.8% of the respective variances in ADHD symptomatology posttreatment, which were significant changes, </w:t>
      </w:r>
      <w:r>
        <w:rPr>
          <w:i/>
          <w:iCs/>
        </w:rPr>
        <w:t>F</w:t>
      </w:r>
      <w:r>
        <w:t xml:space="preserve"> (1, 54) = 5.49, </w:t>
      </w:r>
      <w:r>
        <w:rPr>
          <w:i/>
          <w:iCs/>
        </w:rPr>
        <w:t>p</w:t>
      </w:r>
      <w:r>
        <w:t xml:space="preserve"> ≤ .05; </w:t>
      </w:r>
      <w:r>
        <w:rPr>
          <w:i/>
          <w:iCs/>
        </w:rPr>
        <w:t>F</w:t>
      </w:r>
      <w:r>
        <w:t xml:space="preserve"> (1, 22) = 6.89, </w:t>
      </w:r>
      <w:r>
        <w:rPr>
          <w:i/>
          <w:iCs/>
        </w:rPr>
        <w:t>p</w:t>
      </w:r>
      <w:r>
        <w:t xml:space="preserve"> ≤ .05, respectively. The overall models were significant, </w:t>
      </w:r>
      <w:r>
        <w:rPr>
          <w:i/>
          <w:iCs/>
        </w:rPr>
        <w:t>F</w:t>
      </w:r>
      <w:r>
        <w:t xml:space="preserve"> (2, 54) = 12.84, </w:t>
      </w:r>
      <w:r>
        <w:rPr>
          <w:i/>
          <w:iCs/>
        </w:rPr>
        <w:t>p</w:t>
      </w:r>
      <w:r>
        <w:t xml:space="preserve"> ≤ .001; </w:t>
      </w:r>
      <w:r>
        <w:rPr>
          <w:i/>
          <w:iCs/>
        </w:rPr>
        <w:t>F</w:t>
      </w:r>
      <w:r>
        <w:t xml:space="preserve"> (2, 22) = 8.35, </w:t>
      </w:r>
      <w:r>
        <w:rPr>
          <w:i/>
          <w:iCs/>
        </w:rPr>
        <w:t>p</w:t>
      </w:r>
      <w:r>
        <w:t xml:space="preserve"> ≤ .01, and explained 32.2% and 43.1% of the respective total variances in ADHD symptomatology. The effect sizes of the respective final models were small to medium. In the model examining mother acculturation, examination of individual factors indicated that both pretreatment parent-reported ADHD symptomatology and mother ARSMA-II AOS were significant predictors, β = .50, </w:t>
      </w:r>
      <w:r>
        <w:rPr>
          <w:i/>
          <w:iCs/>
        </w:rPr>
        <w:t>p</w:t>
      </w:r>
      <w:r>
        <w:t xml:space="preserve"> ≤ .001; β = −.26, </w:t>
      </w:r>
      <w:r>
        <w:rPr>
          <w:i/>
          <w:iCs/>
        </w:rPr>
        <w:t>p</w:t>
      </w:r>
      <w:r>
        <w:t xml:space="preserve"> ≤ .05; respectively. In the model examining father acculturation, examination of individual factors indicated that both pretreatment parent-reported ADHD symptomatology and father ARSMA-II AOS were significant predictors, β = .53, </w:t>
      </w:r>
      <w:r>
        <w:rPr>
          <w:i/>
          <w:iCs/>
        </w:rPr>
        <w:t>p</w:t>
      </w:r>
      <w:r>
        <w:t xml:space="preserve"> ≤ .01; β = −.42, </w:t>
      </w:r>
      <w:r>
        <w:rPr>
          <w:i/>
          <w:iCs/>
        </w:rPr>
        <w:t>p</w:t>
      </w:r>
      <w:r>
        <w:t> ≤ .05; respectively. This suggests that increased parent-reported ADHD symptomatology at baseline was related to increased parent-reported ADHD symptomatology posttreatment, and greater orientation to U.S. mainstream culture on parents’ behavioral measures of acculturation was related to decreased parent-reported ADHD symptomatology posttreatment.</w:t>
      </w:r>
    </w:p>
    <w:p w14:paraId="2D5CCAE4" w14:textId="5BE05C7A" w:rsidR="00086656" w:rsidRDefault="00086656" w:rsidP="00086656">
      <w:pPr>
        <w:pStyle w:val="NoSpacing"/>
      </w:pPr>
    </w:p>
    <w:p w14:paraId="49489162" w14:textId="029D10D2" w:rsidR="00086656" w:rsidRDefault="00086656" w:rsidP="00086656">
      <w:pPr>
        <w:pStyle w:val="NoSpacing"/>
      </w:pPr>
      <w:r w:rsidRPr="00086656">
        <w:rPr>
          <w:rStyle w:val="captionlabel"/>
          <w:b/>
          <w:bCs/>
        </w:rPr>
        <w:t>Table 3.</w:t>
      </w:r>
      <w:r>
        <w:rPr>
          <w:rStyle w:val="captionlabel"/>
        </w:rPr>
        <w:t xml:space="preserve"> </w:t>
      </w:r>
      <w:r>
        <w:t>Summary of Hierarchical Multiple Regression Analyses for Parental Cultural Factors and Perceptions Regarding Treatment Predicting Treatment Response Outcomes.</w:t>
      </w:r>
    </w:p>
    <w:p w14:paraId="5E9B0415" w14:textId="77777777" w:rsidR="00086656" w:rsidRDefault="00086656" w:rsidP="00086656">
      <w:pPr>
        <w:pStyle w:val="NoSpacing"/>
      </w:pPr>
    </w:p>
    <w:tbl>
      <w:tblPr>
        <w:tblStyle w:val="TableGridLight"/>
        <w:tblW w:w="0" w:type="auto"/>
        <w:tblLook w:val="04A0" w:firstRow="1" w:lastRow="0" w:firstColumn="1" w:lastColumn="0" w:noHBand="0" w:noVBand="1"/>
      </w:tblPr>
      <w:tblGrid>
        <w:gridCol w:w="2495"/>
        <w:gridCol w:w="965"/>
        <w:gridCol w:w="824"/>
        <w:gridCol w:w="971"/>
        <w:gridCol w:w="787"/>
        <w:gridCol w:w="1406"/>
        <w:gridCol w:w="824"/>
      </w:tblGrid>
      <w:tr w:rsidR="00086656" w14:paraId="4F8352B9" w14:textId="77777777" w:rsidTr="002D55AC">
        <w:tc>
          <w:tcPr>
            <w:tcW w:w="0" w:type="auto"/>
            <w:hideMark/>
          </w:tcPr>
          <w:p w14:paraId="0F0E003D" w14:textId="77777777" w:rsidR="00086656" w:rsidRDefault="00086656" w:rsidP="00086656">
            <w:pPr>
              <w:pStyle w:val="NoSpacing"/>
            </w:pPr>
            <w:r>
              <w:t> </w:t>
            </w:r>
          </w:p>
        </w:tc>
        <w:tc>
          <w:tcPr>
            <w:tcW w:w="0" w:type="auto"/>
            <w:hideMark/>
          </w:tcPr>
          <w:p w14:paraId="2297672C" w14:textId="77777777" w:rsidR="00086656" w:rsidRPr="00086656" w:rsidRDefault="00086656" w:rsidP="00086656">
            <w:pPr>
              <w:pStyle w:val="NoSpacing"/>
              <w:rPr>
                <w:b/>
                <w:bCs/>
              </w:rPr>
            </w:pPr>
            <w:r w:rsidRPr="00086656">
              <w:rPr>
                <w:b/>
                <w:bCs/>
              </w:rPr>
              <w:t xml:space="preserve">P2 </w:t>
            </w:r>
            <w:proofErr w:type="spellStart"/>
            <w:r w:rsidRPr="00086656">
              <w:rPr>
                <w:b/>
                <w:bCs/>
              </w:rPr>
              <w:t>DBD</w:t>
            </w:r>
            <w:hyperlink r:id="rId28" w:anchor="TF9" w:history="1">
              <w:r w:rsidRPr="00086656">
                <w:rPr>
                  <w:rStyle w:val="Hyperlink"/>
                  <w:b/>
                  <w:bCs/>
                  <w:vertAlign w:val="superscript"/>
                </w:rPr>
                <w:t>a</w:t>
              </w:r>
              <w:proofErr w:type="spellEnd"/>
            </w:hyperlink>
          </w:p>
        </w:tc>
        <w:tc>
          <w:tcPr>
            <w:tcW w:w="0" w:type="auto"/>
          </w:tcPr>
          <w:p w14:paraId="272BE0DB" w14:textId="4E7967FE" w:rsidR="00086656" w:rsidRPr="00086656" w:rsidRDefault="00086656" w:rsidP="00086656">
            <w:pPr>
              <w:pStyle w:val="NoSpacing"/>
              <w:rPr>
                <w:b/>
                <w:bCs/>
              </w:rPr>
            </w:pPr>
          </w:p>
        </w:tc>
        <w:tc>
          <w:tcPr>
            <w:tcW w:w="0" w:type="auto"/>
            <w:hideMark/>
          </w:tcPr>
          <w:p w14:paraId="689118F0" w14:textId="77777777" w:rsidR="00086656" w:rsidRPr="00086656" w:rsidRDefault="00086656" w:rsidP="00086656">
            <w:pPr>
              <w:pStyle w:val="NoSpacing"/>
              <w:rPr>
                <w:b/>
                <w:bCs/>
              </w:rPr>
            </w:pPr>
            <w:r w:rsidRPr="00086656">
              <w:rPr>
                <w:b/>
                <w:bCs/>
              </w:rPr>
              <w:t xml:space="preserve">P2 </w:t>
            </w:r>
            <w:proofErr w:type="spellStart"/>
            <w:r w:rsidRPr="00086656">
              <w:rPr>
                <w:b/>
                <w:bCs/>
              </w:rPr>
              <w:t>DBD</w:t>
            </w:r>
            <w:hyperlink r:id="rId29" w:anchor="TF10" w:history="1">
              <w:r w:rsidRPr="00086656">
                <w:rPr>
                  <w:rStyle w:val="Hyperlink"/>
                  <w:b/>
                  <w:bCs/>
                  <w:vertAlign w:val="superscript"/>
                </w:rPr>
                <w:t>b</w:t>
              </w:r>
              <w:proofErr w:type="spellEnd"/>
            </w:hyperlink>
          </w:p>
        </w:tc>
        <w:tc>
          <w:tcPr>
            <w:tcW w:w="0" w:type="auto"/>
          </w:tcPr>
          <w:p w14:paraId="595DE9FA" w14:textId="40DFE641" w:rsidR="00086656" w:rsidRPr="00086656" w:rsidRDefault="00086656" w:rsidP="00086656">
            <w:pPr>
              <w:pStyle w:val="NoSpacing"/>
              <w:rPr>
                <w:b/>
                <w:bCs/>
              </w:rPr>
            </w:pPr>
          </w:p>
        </w:tc>
        <w:tc>
          <w:tcPr>
            <w:tcW w:w="0" w:type="auto"/>
            <w:hideMark/>
          </w:tcPr>
          <w:p w14:paraId="11F8BDB0" w14:textId="77777777" w:rsidR="00086656" w:rsidRPr="00086656" w:rsidRDefault="00086656" w:rsidP="00086656">
            <w:pPr>
              <w:pStyle w:val="NoSpacing"/>
              <w:rPr>
                <w:b/>
                <w:bCs/>
              </w:rPr>
            </w:pPr>
            <w:r w:rsidRPr="00086656">
              <w:rPr>
                <w:b/>
                <w:bCs/>
              </w:rPr>
              <w:t xml:space="preserve">T2 FX </w:t>
            </w:r>
            <w:proofErr w:type="spellStart"/>
            <w:r w:rsidRPr="00086656">
              <w:rPr>
                <w:b/>
                <w:bCs/>
              </w:rPr>
              <w:t>school</w:t>
            </w:r>
            <w:hyperlink r:id="rId30" w:anchor="TF11" w:history="1">
              <w:r w:rsidRPr="00086656">
                <w:rPr>
                  <w:rStyle w:val="Hyperlink"/>
                  <w:b/>
                  <w:bCs/>
                  <w:vertAlign w:val="superscript"/>
                </w:rPr>
                <w:t>c</w:t>
              </w:r>
              <w:proofErr w:type="spellEnd"/>
            </w:hyperlink>
          </w:p>
        </w:tc>
        <w:tc>
          <w:tcPr>
            <w:tcW w:w="0" w:type="auto"/>
          </w:tcPr>
          <w:p w14:paraId="02E61369" w14:textId="6A63CE93" w:rsidR="00086656" w:rsidRPr="00086656" w:rsidRDefault="00086656" w:rsidP="00086656">
            <w:pPr>
              <w:pStyle w:val="NoSpacing"/>
              <w:rPr>
                <w:b/>
                <w:bCs/>
              </w:rPr>
            </w:pPr>
          </w:p>
        </w:tc>
      </w:tr>
      <w:tr w:rsidR="00086656" w14:paraId="4605285A" w14:textId="77777777" w:rsidTr="00086656">
        <w:tc>
          <w:tcPr>
            <w:tcW w:w="0" w:type="auto"/>
            <w:hideMark/>
          </w:tcPr>
          <w:p w14:paraId="7C096A28" w14:textId="77777777" w:rsidR="00086656" w:rsidRDefault="00086656" w:rsidP="00086656">
            <w:pPr>
              <w:pStyle w:val="NoSpacing"/>
            </w:pPr>
            <w:r>
              <w:t> </w:t>
            </w:r>
          </w:p>
        </w:tc>
        <w:tc>
          <w:tcPr>
            <w:tcW w:w="0" w:type="auto"/>
            <w:hideMark/>
          </w:tcPr>
          <w:p w14:paraId="103A8768" w14:textId="77777777" w:rsidR="00086656" w:rsidRPr="00086656" w:rsidRDefault="00086656" w:rsidP="00086656">
            <w:pPr>
              <w:pStyle w:val="NoSpacing"/>
              <w:rPr>
                <w:b/>
                <w:bCs/>
              </w:rPr>
            </w:pPr>
            <w:r w:rsidRPr="00086656">
              <w:rPr>
                <w:b/>
                <w:bCs/>
              </w:rPr>
              <w:t>Step 1</w:t>
            </w:r>
          </w:p>
        </w:tc>
        <w:tc>
          <w:tcPr>
            <w:tcW w:w="0" w:type="auto"/>
            <w:hideMark/>
          </w:tcPr>
          <w:p w14:paraId="30695276" w14:textId="77777777" w:rsidR="00086656" w:rsidRPr="00086656" w:rsidRDefault="00086656" w:rsidP="00086656">
            <w:pPr>
              <w:pStyle w:val="NoSpacing"/>
              <w:rPr>
                <w:b/>
                <w:bCs/>
              </w:rPr>
            </w:pPr>
            <w:r w:rsidRPr="00086656">
              <w:rPr>
                <w:b/>
                <w:bCs/>
              </w:rPr>
              <w:t>Step 2</w:t>
            </w:r>
          </w:p>
        </w:tc>
        <w:tc>
          <w:tcPr>
            <w:tcW w:w="0" w:type="auto"/>
            <w:hideMark/>
          </w:tcPr>
          <w:p w14:paraId="538D3CC0" w14:textId="77777777" w:rsidR="00086656" w:rsidRPr="00086656" w:rsidRDefault="00086656" w:rsidP="00086656">
            <w:pPr>
              <w:pStyle w:val="NoSpacing"/>
              <w:rPr>
                <w:b/>
                <w:bCs/>
              </w:rPr>
            </w:pPr>
            <w:r w:rsidRPr="00086656">
              <w:rPr>
                <w:b/>
                <w:bCs/>
              </w:rPr>
              <w:t>Step 1</w:t>
            </w:r>
          </w:p>
        </w:tc>
        <w:tc>
          <w:tcPr>
            <w:tcW w:w="0" w:type="auto"/>
            <w:hideMark/>
          </w:tcPr>
          <w:p w14:paraId="6C608151" w14:textId="77777777" w:rsidR="00086656" w:rsidRPr="00086656" w:rsidRDefault="00086656" w:rsidP="00086656">
            <w:pPr>
              <w:pStyle w:val="NoSpacing"/>
              <w:rPr>
                <w:b/>
                <w:bCs/>
              </w:rPr>
            </w:pPr>
            <w:r w:rsidRPr="00086656">
              <w:rPr>
                <w:b/>
                <w:bCs/>
              </w:rPr>
              <w:t>Step 2</w:t>
            </w:r>
          </w:p>
        </w:tc>
        <w:tc>
          <w:tcPr>
            <w:tcW w:w="0" w:type="auto"/>
            <w:hideMark/>
          </w:tcPr>
          <w:p w14:paraId="4D4DEC06" w14:textId="77777777" w:rsidR="00086656" w:rsidRPr="00086656" w:rsidRDefault="00086656" w:rsidP="00086656">
            <w:pPr>
              <w:pStyle w:val="NoSpacing"/>
              <w:rPr>
                <w:b/>
                <w:bCs/>
              </w:rPr>
            </w:pPr>
            <w:r w:rsidRPr="00086656">
              <w:rPr>
                <w:b/>
                <w:bCs/>
              </w:rPr>
              <w:t>Step 1</w:t>
            </w:r>
          </w:p>
        </w:tc>
        <w:tc>
          <w:tcPr>
            <w:tcW w:w="0" w:type="auto"/>
            <w:hideMark/>
          </w:tcPr>
          <w:p w14:paraId="416475BA" w14:textId="77777777" w:rsidR="00086656" w:rsidRPr="00086656" w:rsidRDefault="00086656" w:rsidP="00086656">
            <w:pPr>
              <w:pStyle w:val="NoSpacing"/>
              <w:rPr>
                <w:b/>
                <w:bCs/>
              </w:rPr>
            </w:pPr>
            <w:r w:rsidRPr="00086656">
              <w:rPr>
                <w:b/>
                <w:bCs/>
              </w:rPr>
              <w:t>Step 2</w:t>
            </w:r>
          </w:p>
        </w:tc>
      </w:tr>
      <w:tr w:rsidR="00086656" w14:paraId="3B3407A1" w14:textId="77777777" w:rsidTr="003C16B1">
        <w:tc>
          <w:tcPr>
            <w:tcW w:w="0" w:type="auto"/>
            <w:hideMark/>
          </w:tcPr>
          <w:p w14:paraId="4EE9DEFC" w14:textId="77777777" w:rsidR="00086656" w:rsidRDefault="00086656" w:rsidP="00086656">
            <w:pPr>
              <w:pStyle w:val="NoSpacing"/>
            </w:pPr>
            <w:r>
              <w:t>Variables</w:t>
            </w:r>
          </w:p>
        </w:tc>
        <w:tc>
          <w:tcPr>
            <w:tcW w:w="0" w:type="auto"/>
            <w:hideMark/>
          </w:tcPr>
          <w:p w14:paraId="2F76FEFD" w14:textId="77777777" w:rsidR="00086656" w:rsidRPr="00086656" w:rsidRDefault="00086656" w:rsidP="00086656">
            <w:pPr>
              <w:pStyle w:val="NoSpacing"/>
              <w:rPr>
                <w:b/>
                <w:bCs/>
              </w:rPr>
            </w:pPr>
            <w:r w:rsidRPr="00086656">
              <w:rPr>
                <w:b/>
                <w:bCs/>
              </w:rPr>
              <w:t>β</w:t>
            </w:r>
          </w:p>
        </w:tc>
        <w:tc>
          <w:tcPr>
            <w:tcW w:w="0" w:type="auto"/>
          </w:tcPr>
          <w:p w14:paraId="7D1C3EA9" w14:textId="1621F314" w:rsidR="00086656" w:rsidRPr="00086656" w:rsidRDefault="00086656" w:rsidP="00086656">
            <w:pPr>
              <w:pStyle w:val="NoSpacing"/>
              <w:rPr>
                <w:b/>
                <w:bCs/>
              </w:rPr>
            </w:pPr>
          </w:p>
        </w:tc>
        <w:tc>
          <w:tcPr>
            <w:tcW w:w="0" w:type="auto"/>
            <w:hideMark/>
          </w:tcPr>
          <w:p w14:paraId="0A368AD0" w14:textId="77777777" w:rsidR="00086656" w:rsidRPr="00086656" w:rsidRDefault="00086656" w:rsidP="00086656">
            <w:pPr>
              <w:pStyle w:val="NoSpacing"/>
              <w:rPr>
                <w:b/>
                <w:bCs/>
              </w:rPr>
            </w:pPr>
            <w:r w:rsidRPr="00086656">
              <w:rPr>
                <w:b/>
                <w:bCs/>
              </w:rPr>
              <w:t>β</w:t>
            </w:r>
          </w:p>
        </w:tc>
        <w:tc>
          <w:tcPr>
            <w:tcW w:w="0" w:type="auto"/>
          </w:tcPr>
          <w:p w14:paraId="3F9CE6C9" w14:textId="3D94A2CE" w:rsidR="00086656" w:rsidRPr="00086656" w:rsidRDefault="00086656" w:rsidP="00086656">
            <w:pPr>
              <w:pStyle w:val="NoSpacing"/>
              <w:rPr>
                <w:b/>
                <w:bCs/>
              </w:rPr>
            </w:pPr>
          </w:p>
        </w:tc>
        <w:tc>
          <w:tcPr>
            <w:tcW w:w="0" w:type="auto"/>
            <w:hideMark/>
          </w:tcPr>
          <w:p w14:paraId="5929BA74" w14:textId="77777777" w:rsidR="00086656" w:rsidRPr="00086656" w:rsidRDefault="00086656" w:rsidP="00086656">
            <w:pPr>
              <w:pStyle w:val="NoSpacing"/>
              <w:rPr>
                <w:b/>
                <w:bCs/>
              </w:rPr>
            </w:pPr>
            <w:r w:rsidRPr="00086656">
              <w:rPr>
                <w:b/>
                <w:bCs/>
              </w:rPr>
              <w:t>β</w:t>
            </w:r>
          </w:p>
        </w:tc>
        <w:tc>
          <w:tcPr>
            <w:tcW w:w="0" w:type="auto"/>
          </w:tcPr>
          <w:p w14:paraId="014E7D92" w14:textId="49BFABAC" w:rsidR="00086656" w:rsidRPr="00086656" w:rsidRDefault="00086656" w:rsidP="00086656">
            <w:pPr>
              <w:pStyle w:val="NoSpacing"/>
              <w:rPr>
                <w:b/>
                <w:bCs/>
              </w:rPr>
            </w:pPr>
          </w:p>
        </w:tc>
      </w:tr>
      <w:tr w:rsidR="00086656" w14:paraId="1238EB0F" w14:textId="77777777" w:rsidTr="00086656">
        <w:tc>
          <w:tcPr>
            <w:tcW w:w="0" w:type="auto"/>
            <w:hideMark/>
          </w:tcPr>
          <w:p w14:paraId="5615912B" w14:textId="77777777" w:rsidR="00086656" w:rsidRDefault="00086656" w:rsidP="00086656">
            <w:pPr>
              <w:pStyle w:val="NoSpacing"/>
            </w:pPr>
            <w:r>
              <w:t>P1 DBD med/</w:t>
            </w:r>
            <w:proofErr w:type="spellStart"/>
            <w:r>
              <w:t>unmed</w:t>
            </w:r>
            <w:proofErr w:type="spellEnd"/>
          </w:p>
        </w:tc>
        <w:tc>
          <w:tcPr>
            <w:tcW w:w="0" w:type="auto"/>
            <w:hideMark/>
          </w:tcPr>
          <w:p w14:paraId="146EF039" w14:textId="77777777" w:rsidR="00086656" w:rsidRDefault="00086656" w:rsidP="00086656">
            <w:pPr>
              <w:pStyle w:val="NoSpacing"/>
            </w:pPr>
            <w:r>
              <w:t>.50</w:t>
            </w:r>
            <w:hyperlink r:id="rId31" w:anchor="TF12" w:history="1">
              <w:r>
                <w:rPr>
                  <w:rStyle w:val="Hyperlink"/>
                </w:rPr>
                <w:t>**</w:t>
              </w:r>
            </w:hyperlink>
          </w:p>
        </w:tc>
        <w:tc>
          <w:tcPr>
            <w:tcW w:w="0" w:type="auto"/>
            <w:hideMark/>
          </w:tcPr>
          <w:p w14:paraId="7F0266C3" w14:textId="77777777" w:rsidR="00086656" w:rsidRDefault="00086656" w:rsidP="00086656">
            <w:pPr>
              <w:pStyle w:val="NoSpacing"/>
            </w:pPr>
            <w:r>
              <w:t>.50</w:t>
            </w:r>
            <w:hyperlink r:id="rId32" w:anchor="TF12" w:history="1">
              <w:r>
                <w:rPr>
                  <w:rStyle w:val="Hyperlink"/>
                </w:rPr>
                <w:t>**</w:t>
              </w:r>
            </w:hyperlink>
          </w:p>
        </w:tc>
        <w:tc>
          <w:tcPr>
            <w:tcW w:w="0" w:type="auto"/>
            <w:hideMark/>
          </w:tcPr>
          <w:p w14:paraId="1A2D3F8D" w14:textId="77777777" w:rsidR="00086656" w:rsidRDefault="00086656" w:rsidP="00086656">
            <w:pPr>
              <w:pStyle w:val="NoSpacing"/>
            </w:pPr>
            <w:r>
              <w:t>.50</w:t>
            </w:r>
            <w:hyperlink r:id="rId33" w:anchor="TF12" w:history="1">
              <w:r>
                <w:rPr>
                  <w:rStyle w:val="Hyperlink"/>
                </w:rPr>
                <w:t>**</w:t>
              </w:r>
            </w:hyperlink>
          </w:p>
        </w:tc>
        <w:tc>
          <w:tcPr>
            <w:tcW w:w="0" w:type="auto"/>
            <w:hideMark/>
          </w:tcPr>
          <w:p w14:paraId="54EBCFAD" w14:textId="77777777" w:rsidR="00086656" w:rsidRDefault="00086656" w:rsidP="00086656">
            <w:pPr>
              <w:pStyle w:val="NoSpacing"/>
            </w:pPr>
            <w:r>
              <w:t>.53</w:t>
            </w:r>
            <w:hyperlink r:id="rId34" w:anchor="TF12" w:history="1">
              <w:r>
                <w:rPr>
                  <w:rStyle w:val="Hyperlink"/>
                </w:rPr>
                <w:t>**</w:t>
              </w:r>
            </w:hyperlink>
          </w:p>
        </w:tc>
        <w:tc>
          <w:tcPr>
            <w:tcW w:w="0" w:type="auto"/>
            <w:hideMark/>
          </w:tcPr>
          <w:p w14:paraId="758AF650" w14:textId="77777777" w:rsidR="00086656" w:rsidRDefault="00086656" w:rsidP="00086656">
            <w:pPr>
              <w:pStyle w:val="NoSpacing"/>
            </w:pPr>
            <w:r>
              <w:t> </w:t>
            </w:r>
          </w:p>
        </w:tc>
        <w:tc>
          <w:tcPr>
            <w:tcW w:w="0" w:type="auto"/>
            <w:hideMark/>
          </w:tcPr>
          <w:p w14:paraId="6F184C6D" w14:textId="77777777" w:rsidR="00086656" w:rsidRDefault="00086656" w:rsidP="00086656">
            <w:pPr>
              <w:pStyle w:val="NoSpacing"/>
            </w:pPr>
            <w:r>
              <w:t> </w:t>
            </w:r>
          </w:p>
        </w:tc>
      </w:tr>
      <w:tr w:rsidR="00086656" w14:paraId="7BD21B5B" w14:textId="77777777" w:rsidTr="00086656">
        <w:tc>
          <w:tcPr>
            <w:tcW w:w="0" w:type="auto"/>
            <w:hideMark/>
          </w:tcPr>
          <w:p w14:paraId="2C9E62DC" w14:textId="77777777" w:rsidR="00086656" w:rsidRDefault="00086656" w:rsidP="00086656">
            <w:pPr>
              <w:pStyle w:val="NoSpacing"/>
            </w:pPr>
            <w:r>
              <w:t>T1 FX school med/</w:t>
            </w:r>
            <w:proofErr w:type="spellStart"/>
            <w:r>
              <w:t>unmed</w:t>
            </w:r>
            <w:proofErr w:type="spellEnd"/>
          </w:p>
        </w:tc>
        <w:tc>
          <w:tcPr>
            <w:tcW w:w="0" w:type="auto"/>
            <w:hideMark/>
          </w:tcPr>
          <w:p w14:paraId="5343658A" w14:textId="77777777" w:rsidR="00086656" w:rsidRDefault="00086656" w:rsidP="00086656">
            <w:pPr>
              <w:pStyle w:val="NoSpacing"/>
            </w:pPr>
            <w:r>
              <w:t> </w:t>
            </w:r>
          </w:p>
        </w:tc>
        <w:tc>
          <w:tcPr>
            <w:tcW w:w="0" w:type="auto"/>
            <w:hideMark/>
          </w:tcPr>
          <w:p w14:paraId="5B9B543F" w14:textId="77777777" w:rsidR="00086656" w:rsidRDefault="00086656" w:rsidP="00086656">
            <w:pPr>
              <w:pStyle w:val="NoSpacing"/>
            </w:pPr>
            <w:r>
              <w:t> </w:t>
            </w:r>
          </w:p>
        </w:tc>
        <w:tc>
          <w:tcPr>
            <w:tcW w:w="0" w:type="auto"/>
            <w:hideMark/>
          </w:tcPr>
          <w:p w14:paraId="70FBCB0D" w14:textId="77777777" w:rsidR="00086656" w:rsidRDefault="00086656" w:rsidP="00086656">
            <w:pPr>
              <w:pStyle w:val="NoSpacing"/>
            </w:pPr>
            <w:r>
              <w:t> </w:t>
            </w:r>
          </w:p>
        </w:tc>
        <w:tc>
          <w:tcPr>
            <w:tcW w:w="0" w:type="auto"/>
            <w:hideMark/>
          </w:tcPr>
          <w:p w14:paraId="06A9AD95" w14:textId="77777777" w:rsidR="00086656" w:rsidRDefault="00086656" w:rsidP="00086656">
            <w:pPr>
              <w:pStyle w:val="NoSpacing"/>
            </w:pPr>
            <w:r>
              <w:t> </w:t>
            </w:r>
          </w:p>
        </w:tc>
        <w:tc>
          <w:tcPr>
            <w:tcW w:w="0" w:type="auto"/>
            <w:hideMark/>
          </w:tcPr>
          <w:p w14:paraId="3674EA59" w14:textId="77777777" w:rsidR="00086656" w:rsidRDefault="00086656" w:rsidP="00086656">
            <w:pPr>
              <w:pStyle w:val="NoSpacing"/>
            </w:pPr>
            <w:r>
              <w:t>.61</w:t>
            </w:r>
            <w:hyperlink r:id="rId35" w:anchor="TF12" w:history="1">
              <w:r>
                <w:rPr>
                  <w:rStyle w:val="Hyperlink"/>
                </w:rPr>
                <w:t>***</w:t>
              </w:r>
            </w:hyperlink>
          </w:p>
        </w:tc>
        <w:tc>
          <w:tcPr>
            <w:tcW w:w="0" w:type="auto"/>
            <w:hideMark/>
          </w:tcPr>
          <w:p w14:paraId="3E4F1B2B" w14:textId="77777777" w:rsidR="00086656" w:rsidRDefault="00086656" w:rsidP="00086656">
            <w:pPr>
              <w:pStyle w:val="NoSpacing"/>
            </w:pPr>
            <w:r>
              <w:t>.56</w:t>
            </w:r>
            <w:hyperlink r:id="rId36" w:anchor="TF12" w:history="1">
              <w:r>
                <w:rPr>
                  <w:rStyle w:val="Hyperlink"/>
                </w:rPr>
                <w:t>***</w:t>
              </w:r>
            </w:hyperlink>
          </w:p>
        </w:tc>
      </w:tr>
      <w:tr w:rsidR="00086656" w14:paraId="2B0B3E85" w14:textId="77777777" w:rsidTr="00086656">
        <w:tc>
          <w:tcPr>
            <w:tcW w:w="0" w:type="auto"/>
            <w:hideMark/>
          </w:tcPr>
          <w:p w14:paraId="467070FD" w14:textId="77777777" w:rsidR="00086656" w:rsidRDefault="00086656" w:rsidP="00086656">
            <w:pPr>
              <w:pStyle w:val="NoSpacing"/>
            </w:pPr>
            <w:r>
              <w:t>Mother ARSMA-II AOS</w:t>
            </w:r>
          </w:p>
        </w:tc>
        <w:tc>
          <w:tcPr>
            <w:tcW w:w="0" w:type="auto"/>
            <w:hideMark/>
          </w:tcPr>
          <w:p w14:paraId="62AB685C" w14:textId="77777777" w:rsidR="00086656" w:rsidRDefault="00086656" w:rsidP="00086656">
            <w:pPr>
              <w:pStyle w:val="NoSpacing"/>
            </w:pPr>
            <w:r>
              <w:t> </w:t>
            </w:r>
          </w:p>
        </w:tc>
        <w:tc>
          <w:tcPr>
            <w:tcW w:w="0" w:type="auto"/>
            <w:hideMark/>
          </w:tcPr>
          <w:p w14:paraId="64CF7214" w14:textId="77777777" w:rsidR="00086656" w:rsidRDefault="00086656" w:rsidP="00086656">
            <w:pPr>
              <w:pStyle w:val="NoSpacing"/>
            </w:pPr>
            <w:r>
              <w:t>-.26</w:t>
            </w:r>
            <w:hyperlink r:id="rId37" w:anchor="TF12" w:history="1">
              <w:r>
                <w:rPr>
                  <w:rStyle w:val="Hyperlink"/>
                </w:rPr>
                <w:t>*</w:t>
              </w:r>
            </w:hyperlink>
          </w:p>
        </w:tc>
        <w:tc>
          <w:tcPr>
            <w:tcW w:w="0" w:type="auto"/>
            <w:hideMark/>
          </w:tcPr>
          <w:p w14:paraId="05584F3F" w14:textId="77777777" w:rsidR="00086656" w:rsidRDefault="00086656" w:rsidP="00086656">
            <w:pPr>
              <w:pStyle w:val="NoSpacing"/>
            </w:pPr>
            <w:r>
              <w:t> </w:t>
            </w:r>
          </w:p>
        </w:tc>
        <w:tc>
          <w:tcPr>
            <w:tcW w:w="0" w:type="auto"/>
            <w:hideMark/>
          </w:tcPr>
          <w:p w14:paraId="27E4DF88" w14:textId="77777777" w:rsidR="00086656" w:rsidRDefault="00086656" w:rsidP="00086656">
            <w:pPr>
              <w:pStyle w:val="NoSpacing"/>
            </w:pPr>
            <w:r>
              <w:t> </w:t>
            </w:r>
          </w:p>
        </w:tc>
        <w:tc>
          <w:tcPr>
            <w:tcW w:w="0" w:type="auto"/>
            <w:hideMark/>
          </w:tcPr>
          <w:p w14:paraId="12602E5D" w14:textId="77777777" w:rsidR="00086656" w:rsidRDefault="00086656" w:rsidP="00086656">
            <w:pPr>
              <w:pStyle w:val="NoSpacing"/>
            </w:pPr>
            <w:r>
              <w:t> </w:t>
            </w:r>
          </w:p>
        </w:tc>
        <w:tc>
          <w:tcPr>
            <w:tcW w:w="0" w:type="auto"/>
            <w:hideMark/>
          </w:tcPr>
          <w:p w14:paraId="0EDF63FB" w14:textId="77777777" w:rsidR="00086656" w:rsidRDefault="00086656" w:rsidP="00086656">
            <w:pPr>
              <w:pStyle w:val="NoSpacing"/>
            </w:pPr>
            <w:r>
              <w:t> </w:t>
            </w:r>
          </w:p>
        </w:tc>
      </w:tr>
      <w:tr w:rsidR="00086656" w14:paraId="4914EA60" w14:textId="77777777" w:rsidTr="00086656">
        <w:tc>
          <w:tcPr>
            <w:tcW w:w="0" w:type="auto"/>
            <w:hideMark/>
          </w:tcPr>
          <w:p w14:paraId="696A3FD8" w14:textId="77777777" w:rsidR="00086656" w:rsidRDefault="00086656" w:rsidP="00086656">
            <w:pPr>
              <w:pStyle w:val="NoSpacing"/>
            </w:pPr>
            <w:r>
              <w:t>Father ARSMA-II AOS</w:t>
            </w:r>
          </w:p>
        </w:tc>
        <w:tc>
          <w:tcPr>
            <w:tcW w:w="0" w:type="auto"/>
            <w:hideMark/>
          </w:tcPr>
          <w:p w14:paraId="2C201EE8" w14:textId="77777777" w:rsidR="00086656" w:rsidRDefault="00086656" w:rsidP="00086656">
            <w:pPr>
              <w:pStyle w:val="NoSpacing"/>
            </w:pPr>
            <w:r>
              <w:t> </w:t>
            </w:r>
          </w:p>
        </w:tc>
        <w:tc>
          <w:tcPr>
            <w:tcW w:w="0" w:type="auto"/>
            <w:hideMark/>
          </w:tcPr>
          <w:p w14:paraId="674E7129" w14:textId="77777777" w:rsidR="00086656" w:rsidRDefault="00086656" w:rsidP="00086656">
            <w:pPr>
              <w:pStyle w:val="NoSpacing"/>
            </w:pPr>
            <w:r>
              <w:t> </w:t>
            </w:r>
          </w:p>
        </w:tc>
        <w:tc>
          <w:tcPr>
            <w:tcW w:w="0" w:type="auto"/>
            <w:hideMark/>
          </w:tcPr>
          <w:p w14:paraId="47582BA7" w14:textId="77777777" w:rsidR="00086656" w:rsidRDefault="00086656" w:rsidP="00086656">
            <w:pPr>
              <w:pStyle w:val="NoSpacing"/>
            </w:pPr>
            <w:r>
              <w:t> </w:t>
            </w:r>
          </w:p>
        </w:tc>
        <w:tc>
          <w:tcPr>
            <w:tcW w:w="0" w:type="auto"/>
            <w:hideMark/>
          </w:tcPr>
          <w:p w14:paraId="1C8F85E1" w14:textId="77777777" w:rsidR="00086656" w:rsidRDefault="00086656" w:rsidP="00086656">
            <w:pPr>
              <w:pStyle w:val="NoSpacing"/>
            </w:pPr>
            <w:r>
              <w:t>-.42</w:t>
            </w:r>
            <w:hyperlink r:id="rId38" w:anchor="TF12" w:history="1">
              <w:r>
                <w:rPr>
                  <w:rStyle w:val="Hyperlink"/>
                </w:rPr>
                <w:t>*</w:t>
              </w:r>
            </w:hyperlink>
          </w:p>
        </w:tc>
        <w:tc>
          <w:tcPr>
            <w:tcW w:w="0" w:type="auto"/>
            <w:hideMark/>
          </w:tcPr>
          <w:p w14:paraId="490FC4E8" w14:textId="77777777" w:rsidR="00086656" w:rsidRDefault="00086656" w:rsidP="00086656">
            <w:pPr>
              <w:pStyle w:val="NoSpacing"/>
            </w:pPr>
            <w:r>
              <w:t> </w:t>
            </w:r>
          </w:p>
        </w:tc>
        <w:tc>
          <w:tcPr>
            <w:tcW w:w="0" w:type="auto"/>
            <w:hideMark/>
          </w:tcPr>
          <w:p w14:paraId="7D01CCA6" w14:textId="77777777" w:rsidR="00086656" w:rsidRDefault="00086656" w:rsidP="00086656">
            <w:pPr>
              <w:pStyle w:val="NoSpacing"/>
            </w:pPr>
            <w:r>
              <w:t> </w:t>
            </w:r>
          </w:p>
        </w:tc>
      </w:tr>
      <w:tr w:rsidR="00086656" w14:paraId="52021DEC" w14:textId="77777777" w:rsidTr="00086656">
        <w:tc>
          <w:tcPr>
            <w:tcW w:w="0" w:type="auto"/>
            <w:hideMark/>
          </w:tcPr>
          <w:p w14:paraId="42703845" w14:textId="77777777" w:rsidR="00086656" w:rsidRDefault="00086656" w:rsidP="00086656">
            <w:pPr>
              <w:pStyle w:val="NoSpacing"/>
            </w:pPr>
            <w:r>
              <w:t xml:space="preserve">Mother TAQ </w:t>
            </w:r>
            <w:proofErr w:type="spellStart"/>
            <w:r>
              <w:t>fsr</w:t>
            </w:r>
            <w:proofErr w:type="spellEnd"/>
          </w:p>
        </w:tc>
        <w:tc>
          <w:tcPr>
            <w:tcW w:w="0" w:type="auto"/>
            <w:hideMark/>
          </w:tcPr>
          <w:p w14:paraId="662B8F46" w14:textId="77777777" w:rsidR="00086656" w:rsidRDefault="00086656" w:rsidP="00086656">
            <w:pPr>
              <w:pStyle w:val="NoSpacing"/>
            </w:pPr>
            <w:r>
              <w:t> </w:t>
            </w:r>
          </w:p>
        </w:tc>
        <w:tc>
          <w:tcPr>
            <w:tcW w:w="0" w:type="auto"/>
            <w:hideMark/>
          </w:tcPr>
          <w:p w14:paraId="302452F6" w14:textId="77777777" w:rsidR="00086656" w:rsidRDefault="00086656" w:rsidP="00086656">
            <w:pPr>
              <w:pStyle w:val="NoSpacing"/>
            </w:pPr>
            <w:r>
              <w:t> </w:t>
            </w:r>
          </w:p>
        </w:tc>
        <w:tc>
          <w:tcPr>
            <w:tcW w:w="0" w:type="auto"/>
            <w:hideMark/>
          </w:tcPr>
          <w:p w14:paraId="7C8F7BBC" w14:textId="77777777" w:rsidR="00086656" w:rsidRDefault="00086656" w:rsidP="00086656">
            <w:pPr>
              <w:pStyle w:val="NoSpacing"/>
            </w:pPr>
            <w:r>
              <w:t> </w:t>
            </w:r>
          </w:p>
        </w:tc>
        <w:tc>
          <w:tcPr>
            <w:tcW w:w="0" w:type="auto"/>
            <w:hideMark/>
          </w:tcPr>
          <w:p w14:paraId="278AC95E" w14:textId="77777777" w:rsidR="00086656" w:rsidRDefault="00086656" w:rsidP="00086656">
            <w:pPr>
              <w:pStyle w:val="NoSpacing"/>
            </w:pPr>
            <w:r>
              <w:t> </w:t>
            </w:r>
          </w:p>
        </w:tc>
        <w:tc>
          <w:tcPr>
            <w:tcW w:w="0" w:type="auto"/>
            <w:hideMark/>
          </w:tcPr>
          <w:p w14:paraId="125BEE8C" w14:textId="77777777" w:rsidR="00086656" w:rsidRDefault="00086656" w:rsidP="00086656">
            <w:pPr>
              <w:pStyle w:val="NoSpacing"/>
            </w:pPr>
            <w:r>
              <w:t> </w:t>
            </w:r>
          </w:p>
        </w:tc>
        <w:tc>
          <w:tcPr>
            <w:tcW w:w="0" w:type="auto"/>
            <w:hideMark/>
          </w:tcPr>
          <w:p w14:paraId="6BDB2AB4" w14:textId="77777777" w:rsidR="00086656" w:rsidRDefault="00086656" w:rsidP="00086656">
            <w:pPr>
              <w:pStyle w:val="NoSpacing"/>
            </w:pPr>
            <w:r>
              <w:t>.22</w:t>
            </w:r>
            <w:hyperlink r:id="rId39" w:anchor="TF12" w:history="1">
              <w:r>
                <w:rPr>
                  <w:rStyle w:val="Hyperlink"/>
                </w:rPr>
                <w:t>*</w:t>
              </w:r>
            </w:hyperlink>
          </w:p>
        </w:tc>
      </w:tr>
      <w:tr w:rsidR="00086656" w14:paraId="1EEEB414" w14:textId="77777777" w:rsidTr="00086656">
        <w:tc>
          <w:tcPr>
            <w:tcW w:w="0" w:type="auto"/>
            <w:hideMark/>
          </w:tcPr>
          <w:p w14:paraId="3642BB2E" w14:textId="77777777" w:rsidR="00086656" w:rsidRDefault="00086656" w:rsidP="00086656">
            <w:pPr>
              <w:pStyle w:val="NoSpacing"/>
            </w:pPr>
            <w:r>
              <w:t>Mother TAQ stigma</w:t>
            </w:r>
          </w:p>
        </w:tc>
        <w:tc>
          <w:tcPr>
            <w:tcW w:w="0" w:type="auto"/>
            <w:hideMark/>
          </w:tcPr>
          <w:p w14:paraId="3913A263" w14:textId="77777777" w:rsidR="00086656" w:rsidRDefault="00086656" w:rsidP="00086656">
            <w:pPr>
              <w:pStyle w:val="NoSpacing"/>
            </w:pPr>
            <w:r>
              <w:t> </w:t>
            </w:r>
          </w:p>
        </w:tc>
        <w:tc>
          <w:tcPr>
            <w:tcW w:w="0" w:type="auto"/>
            <w:hideMark/>
          </w:tcPr>
          <w:p w14:paraId="41497F2A" w14:textId="77777777" w:rsidR="00086656" w:rsidRDefault="00086656" w:rsidP="00086656">
            <w:pPr>
              <w:pStyle w:val="NoSpacing"/>
            </w:pPr>
            <w:r>
              <w:t> </w:t>
            </w:r>
          </w:p>
        </w:tc>
        <w:tc>
          <w:tcPr>
            <w:tcW w:w="0" w:type="auto"/>
            <w:hideMark/>
          </w:tcPr>
          <w:p w14:paraId="3BA047DF" w14:textId="77777777" w:rsidR="00086656" w:rsidRDefault="00086656" w:rsidP="00086656">
            <w:pPr>
              <w:pStyle w:val="NoSpacing"/>
            </w:pPr>
            <w:r>
              <w:t> </w:t>
            </w:r>
          </w:p>
        </w:tc>
        <w:tc>
          <w:tcPr>
            <w:tcW w:w="0" w:type="auto"/>
            <w:hideMark/>
          </w:tcPr>
          <w:p w14:paraId="0EF21925" w14:textId="77777777" w:rsidR="00086656" w:rsidRDefault="00086656" w:rsidP="00086656">
            <w:pPr>
              <w:pStyle w:val="NoSpacing"/>
            </w:pPr>
            <w:r>
              <w:t> </w:t>
            </w:r>
          </w:p>
        </w:tc>
        <w:tc>
          <w:tcPr>
            <w:tcW w:w="0" w:type="auto"/>
            <w:hideMark/>
          </w:tcPr>
          <w:p w14:paraId="78BB5FD4" w14:textId="77777777" w:rsidR="00086656" w:rsidRDefault="00086656" w:rsidP="00086656">
            <w:pPr>
              <w:pStyle w:val="NoSpacing"/>
            </w:pPr>
            <w:r>
              <w:t> </w:t>
            </w:r>
          </w:p>
        </w:tc>
        <w:tc>
          <w:tcPr>
            <w:tcW w:w="0" w:type="auto"/>
            <w:hideMark/>
          </w:tcPr>
          <w:p w14:paraId="47583B7B" w14:textId="77777777" w:rsidR="00086656" w:rsidRDefault="00086656" w:rsidP="00086656">
            <w:pPr>
              <w:pStyle w:val="NoSpacing"/>
            </w:pPr>
            <w:r>
              <w:t>.11</w:t>
            </w:r>
          </w:p>
        </w:tc>
      </w:tr>
      <w:tr w:rsidR="00086656" w14:paraId="73E9F4FF" w14:textId="77777777" w:rsidTr="00086656">
        <w:tc>
          <w:tcPr>
            <w:tcW w:w="0" w:type="auto"/>
            <w:hideMark/>
          </w:tcPr>
          <w:p w14:paraId="467F274D" w14:textId="77777777" w:rsidR="00086656" w:rsidRDefault="00086656" w:rsidP="00086656">
            <w:pPr>
              <w:pStyle w:val="NoSpacing"/>
            </w:pPr>
            <w:r>
              <w:t>R</w:t>
            </w:r>
            <w:r>
              <w:rPr>
                <w:vertAlign w:val="superscript"/>
              </w:rPr>
              <w:t>2</w:t>
            </w:r>
          </w:p>
        </w:tc>
        <w:tc>
          <w:tcPr>
            <w:tcW w:w="0" w:type="auto"/>
            <w:hideMark/>
          </w:tcPr>
          <w:p w14:paraId="17138C1E" w14:textId="77777777" w:rsidR="00086656" w:rsidRDefault="00086656" w:rsidP="00086656">
            <w:pPr>
              <w:pStyle w:val="NoSpacing"/>
            </w:pPr>
            <w:r>
              <w:t>.25</w:t>
            </w:r>
            <w:hyperlink r:id="rId40" w:anchor="TF12" w:history="1">
              <w:r>
                <w:rPr>
                  <w:rStyle w:val="Hyperlink"/>
                </w:rPr>
                <w:t>***</w:t>
              </w:r>
            </w:hyperlink>
          </w:p>
        </w:tc>
        <w:tc>
          <w:tcPr>
            <w:tcW w:w="0" w:type="auto"/>
            <w:hideMark/>
          </w:tcPr>
          <w:p w14:paraId="63F317E3" w14:textId="77777777" w:rsidR="00086656" w:rsidRDefault="00086656" w:rsidP="00086656">
            <w:pPr>
              <w:pStyle w:val="NoSpacing"/>
            </w:pPr>
            <w:r>
              <w:t>.32</w:t>
            </w:r>
            <w:hyperlink r:id="rId41" w:anchor="TF12" w:history="1">
              <w:r>
                <w:rPr>
                  <w:rStyle w:val="Hyperlink"/>
                </w:rPr>
                <w:t>***</w:t>
              </w:r>
            </w:hyperlink>
          </w:p>
        </w:tc>
        <w:tc>
          <w:tcPr>
            <w:tcW w:w="0" w:type="auto"/>
            <w:hideMark/>
          </w:tcPr>
          <w:p w14:paraId="7FE85A1E" w14:textId="77777777" w:rsidR="00086656" w:rsidRDefault="00086656" w:rsidP="00086656">
            <w:pPr>
              <w:pStyle w:val="NoSpacing"/>
            </w:pPr>
            <w:r>
              <w:t>.25</w:t>
            </w:r>
            <w:hyperlink r:id="rId42" w:anchor="TF12" w:history="1">
              <w:r>
                <w:rPr>
                  <w:rStyle w:val="Hyperlink"/>
                </w:rPr>
                <w:t>**</w:t>
              </w:r>
            </w:hyperlink>
          </w:p>
        </w:tc>
        <w:tc>
          <w:tcPr>
            <w:tcW w:w="0" w:type="auto"/>
            <w:hideMark/>
          </w:tcPr>
          <w:p w14:paraId="0FD63E5E" w14:textId="77777777" w:rsidR="00086656" w:rsidRDefault="00086656" w:rsidP="00086656">
            <w:pPr>
              <w:pStyle w:val="NoSpacing"/>
            </w:pPr>
            <w:r>
              <w:t>.43</w:t>
            </w:r>
            <w:hyperlink r:id="rId43" w:anchor="TF12" w:history="1">
              <w:r>
                <w:rPr>
                  <w:rStyle w:val="Hyperlink"/>
                </w:rPr>
                <w:t>**</w:t>
              </w:r>
            </w:hyperlink>
          </w:p>
        </w:tc>
        <w:tc>
          <w:tcPr>
            <w:tcW w:w="0" w:type="auto"/>
            <w:hideMark/>
          </w:tcPr>
          <w:p w14:paraId="29234D3A" w14:textId="77777777" w:rsidR="00086656" w:rsidRDefault="00086656" w:rsidP="00086656">
            <w:pPr>
              <w:pStyle w:val="NoSpacing"/>
            </w:pPr>
            <w:r>
              <w:t>.37</w:t>
            </w:r>
            <w:hyperlink r:id="rId44" w:anchor="TF12" w:history="1">
              <w:r>
                <w:rPr>
                  <w:rStyle w:val="Hyperlink"/>
                </w:rPr>
                <w:t>***</w:t>
              </w:r>
            </w:hyperlink>
          </w:p>
        </w:tc>
        <w:tc>
          <w:tcPr>
            <w:tcW w:w="0" w:type="auto"/>
            <w:hideMark/>
          </w:tcPr>
          <w:p w14:paraId="4A5682EF" w14:textId="77777777" w:rsidR="00086656" w:rsidRDefault="00086656" w:rsidP="00086656">
            <w:pPr>
              <w:pStyle w:val="NoSpacing"/>
            </w:pPr>
            <w:r>
              <w:t>.43</w:t>
            </w:r>
            <w:hyperlink r:id="rId45" w:anchor="TF12" w:history="1">
              <w:r>
                <w:rPr>
                  <w:rStyle w:val="Hyperlink"/>
                </w:rPr>
                <w:t>***</w:t>
              </w:r>
            </w:hyperlink>
          </w:p>
        </w:tc>
      </w:tr>
      <w:tr w:rsidR="00086656" w14:paraId="49AEF62C" w14:textId="77777777" w:rsidTr="00086656">
        <w:tc>
          <w:tcPr>
            <w:tcW w:w="0" w:type="auto"/>
            <w:hideMark/>
          </w:tcPr>
          <w:p w14:paraId="7168C33C" w14:textId="77777777" w:rsidR="00086656" w:rsidRDefault="00086656" w:rsidP="00086656">
            <w:pPr>
              <w:pStyle w:val="NoSpacing"/>
            </w:pPr>
            <w:r>
              <w:t>ΔR</w:t>
            </w:r>
            <w:r>
              <w:rPr>
                <w:vertAlign w:val="superscript"/>
              </w:rPr>
              <w:t>2</w:t>
            </w:r>
          </w:p>
        </w:tc>
        <w:tc>
          <w:tcPr>
            <w:tcW w:w="0" w:type="auto"/>
            <w:hideMark/>
          </w:tcPr>
          <w:p w14:paraId="5B16C483" w14:textId="77777777" w:rsidR="00086656" w:rsidRDefault="00086656" w:rsidP="00086656">
            <w:pPr>
              <w:pStyle w:val="NoSpacing"/>
            </w:pPr>
            <w:r>
              <w:t>.25</w:t>
            </w:r>
            <w:hyperlink r:id="rId46" w:anchor="TF12" w:history="1">
              <w:r>
                <w:rPr>
                  <w:rStyle w:val="Hyperlink"/>
                </w:rPr>
                <w:t>***</w:t>
              </w:r>
            </w:hyperlink>
          </w:p>
        </w:tc>
        <w:tc>
          <w:tcPr>
            <w:tcW w:w="0" w:type="auto"/>
            <w:hideMark/>
          </w:tcPr>
          <w:p w14:paraId="137DCF34" w14:textId="77777777" w:rsidR="00086656" w:rsidRDefault="00086656" w:rsidP="00086656">
            <w:pPr>
              <w:pStyle w:val="NoSpacing"/>
            </w:pPr>
            <w:r>
              <w:t>.07</w:t>
            </w:r>
            <w:hyperlink r:id="rId47" w:anchor="TF12" w:history="1">
              <w:r>
                <w:rPr>
                  <w:rStyle w:val="Hyperlink"/>
                </w:rPr>
                <w:t>*</w:t>
              </w:r>
            </w:hyperlink>
          </w:p>
        </w:tc>
        <w:tc>
          <w:tcPr>
            <w:tcW w:w="0" w:type="auto"/>
            <w:hideMark/>
          </w:tcPr>
          <w:p w14:paraId="5C82A9CC" w14:textId="77777777" w:rsidR="00086656" w:rsidRDefault="00086656" w:rsidP="00086656">
            <w:pPr>
              <w:pStyle w:val="NoSpacing"/>
            </w:pPr>
            <w:r>
              <w:t>.25</w:t>
            </w:r>
            <w:hyperlink r:id="rId48" w:anchor="TF12" w:history="1">
              <w:r>
                <w:rPr>
                  <w:rStyle w:val="Hyperlink"/>
                </w:rPr>
                <w:t>**</w:t>
              </w:r>
            </w:hyperlink>
          </w:p>
        </w:tc>
        <w:tc>
          <w:tcPr>
            <w:tcW w:w="0" w:type="auto"/>
            <w:hideMark/>
          </w:tcPr>
          <w:p w14:paraId="1BB8E1E2" w14:textId="77777777" w:rsidR="00086656" w:rsidRDefault="00086656" w:rsidP="00086656">
            <w:pPr>
              <w:pStyle w:val="NoSpacing"/>
            </w:pPr>
            <w:r>
              <w:t>.18</w:t>
            </w:r>
            <w:hyperlink r:id="rId49" w:anchor="TF12" w:history="1">
              <w:r>
                <w:rPr>
                  <w:rStyle w:val="Hyperlink"/>
                </w:rPr>
                <w:t>*</w:t>
              </w:r>
            </w:hyperlink>
          </w:p>
        </w:tc>
        <w:tc>
          <w:tcPr>
            <w:tcW w:w="0" w:type="auto"/>
            <w:hideMark/>
          </w:tcPr>
          <w:p w14:paraId="1EBE6EB9" w14:textId="77777777" w:rsidR="00086656" w:rsidRDefault="00086656" w:rsidP="00086656">
            <w:pPr>
              <w:pStyle w:val="NoSpacing"/>
            </w:pPr>
            <w:r>
              <w:t>.37</w:t>
            </w:r>
            <w:hyperlink r:id="rId50" w:anchor="TF12" w:history="1">
              <w:r>
                <w:rPr>
                  <w:rStyle w:val="Hyperlink"/>
                </w:rPr>
                <w:t>***</w:t>
              </w:r>
            </w:hyperlink>
          </w:p>
        </w:tc>
        <w:tc>
          <w:tcPr>
            <w:tcW w:w="0" w:type="auto"/>
            <w:hideMark/>
          </w:tcPr>
          <w:p w14:paraId="0AAA7DF6" w14:textId="77777777" w:rsidR="00086656" w:rsidRDefault="00086656" w:rsidP="00086656">
            <w:pPr>
              <w:pStyle w:val="NoSpacing"/>
            </w:pPr>
            <w:r>
              <w:t>.06</w:t>
            </w:r>
            <w:hyperlink r:id="rId51" w:anchor="TF12" w:history="1">
              <w:r>
                <w:rPr>
                  <w:rStyle w:val="Hyperlink"/>
                </w:rPr>
                <w:t>*</w:t>
              </w:r>
            </w:hyperlink>
          </w:p>
        </w:tc>
      </w:tr>
      <w:tr w:rsidR="00086656" w14:paraId="4234292D" w14:textId="77777777" w:rsidTr="00086656">
        <w:tc>
          <w:tcPr>
            <w:tcW w:w="0" w:type="auto"/>
            <w:hideMark/>
          </w:tcPr>
          <w:p w14:paraId="5826CB7A" w14:textId="77777777" w:rsidR="00086656" w:rsidRDefault="00086656" w:rsidP="00086656">
            <w:pPr>
              <w:pStyle w:val="NoSpacing"/>
            </w:pPr>
            <w:r>
              <w:rPr>
                <w:i/>
                <w:iCs/>
              </w:rPr>
              <w:t>f</w:t>
            </w:r>
            <w:r>
              <w:rPr>
                <w:vertAlign w:val="superscript"/>
              </w:rPr>
              <w:t>2</w:t>
            </w:r>
          </w:p>
        </w:tc>
        <w:tc>
          <w:tcPr>
            <w:tcW w:w="0" w:type="auto"/>
            <w:hideMark/>
          </w:tcPr>
          <w:p w14:paraId="6358EAD3" w14:textId="77777777" w:rsidR="00086656" w:rsidRDefault="00086656" w:rsidP="00086656">
            <w:pPr>
              <w:pStyle w:val="NoSpacing"/>
            </w:pPr>
            <w:r>
              <w:t> </w:t>
            </w:r>
          </w:p>
        </w:tc>
        <w:tc>
          <w:tcPr>
            <w:tcW w:w="0" w:type="auto"/>
            <w:hideMark/>
          </w:tcPr>
          <w:p w14:paraId="653582E2" w14:textId="77777777" w:rsidR="00086656" w:rsidRDefault="00086656" w:rsidP="00086656">
            <w:pPr>
              <w:pStyle w:val="NoSpacing"/>
            </w:pPr>
            <w:r>
              <w:t>.10</w:t>
            </w:r>
          </w:p>
        </w:tc>
        <w:tc>
          <w:tcPr>
            <w:tcW w:w="0" w:type="auto"/>
            <w:hideMark/>
          </w:tcPr>
          <w:p w14:paraId="50EAF6F6" w14:textId="77777777" w:rsidR="00086656" w:rsidRDefault="00086656" w:rsidP="00086656">
            <w:pPr>
              <w:pStyle w:val="NoSpacing"/>
            </w:pPr>
            <w:r>
              <w:t> </w:t>
            </w:r>
          </w:p>
        </w:tc>
        <w:tc>
          <w:tcPr>
            <w:tcW w:w="0" w:type="auto"/>
            <w:hideMark/>
          </w:tcPr>
          <w:p w14:paraId="6111138E" w14:textId="77777777" w:rsidR="00086656" w:rsidRDefault="00086656" w:rsidP="00086656">
            <w:pPr>
              <w:pStyle w:val="NoSpacing"/>
            </w:pPr>
            <w:r>
              <w:t>.31</w:t>
            </w:r>
          </w:p>
        </w:tc>
        <w:tc>
          <w:tcPr>
            <w:tcW w:w="0" w:type="auto"/>
            <w:hideMark/>
          </w:tcPr>
          <w:p w14:paraId="672826C5" w14:textId="77777777" w:rsidR="00086656" w:rsidRDefault="00086656" w:rsidP="00086656">
            <w:pPr>
              <w:pStyle w:val="NoSpacing"/>
            </w:pPr>
            <w:r>
              <w:t> </w:t>
            </w:r>
          </w:p>
        </w:tc>
        <w:tc>
          <w:tcPr>
            <w:tcW w:w="0" w:type="auto"/>
            <w:hideMark/>
          </w:tcPr>
          <w:p w14:paraId="0A643AE5" w14:textId="77777777" w:rsidR="00086656" w:rsidRDefault="00086656" w:rsidP="00086656">
            <w:pPr>
              <w:pStyle w:val="NoSpacing"/>
            </w:pPr>
            <w:r>
              <w:t>.11</w:t>
            </w:r>
          </w:p>
        </w:tc>
      </w:tr>
    </w:tbl>
    <w:p w14:paraId="5E67C38A" w14:textId="77777777" w:rsidR="00086656" w:rsidRPr="00086656" w:rsidRDefault="00086656" w:rsidP="00086656">
      <w:pPr>
        <w:pStyle w:val="NoSpacing"/>
      </w:pPr>
      <w:r w:rsidRPr="00086656">
        <w:rPr>
          <w:b/>
          <w:bCs/>
        </w:rPr>
        <w:t>Note.</w:t>
      </w:r>
      <w:r w:rsidRPr="00086656">
        <w:t xml:space="preserve"> P1 DBD med/</w:t>
      </w:r>
      <w:proofErr w:type="spellStart"/>
      <w:r w:rsidRPr="00086656">
        <w:t>unmed</w:t>
      </w:r>
      <w:proofErr w:type="spellEnd"/>
      <w:r w:rsidRPr="00086656">
        <w:t> = pretreatment parent DBD medicated/unmedicated ADHD mean; T1 FX school med/</w:t>
      </w:r>
      <w:proofErr w:type="spellStart"/>
      <w:r w:rsidRPr="00086656">
        <w:t>unmed</w:t>
      </w:r>
      <w:proofErr w:type="spellEnd"/>
      <w:r w:rsidRPr="00086656">
        <w:t xml:space="preserve"> = pretreatment teacher ADHD FX Scale medicated/unmedicated school impairment; AOS = ARSMA-II Anglo Orientation Scale; TAQ </w:t>
      </w:r>
      <w:proofErr w:type="spellStart"/>
      <w:r w:rsidRPr="00086656">
        <w:t>fsr</w:t>
      </w:r>
      <w:proofErr w:type="spellEnd"/>
      <w:r w:rsidRPr="00086656">
        <w:t> = TAQ family/self-reliance scale; TAQ stigma = TAQ stigma scale; P2 DBD = posttreatment parent ADHD mean; T2 FX school = posttreatment teacher ADHD FX Scale school impairment.</w:t>
      </w:r>
    </w:p>
    <w:p w14:paraId="4DC55D2C" w14:textId="77777777" w:rsidR="00086656" w:rsidRPr="00086656" w:rsidRDefault="00086656" w:rsidP="00086656">
      <w:pPr>
        <w:pStyle w:val="NoSpacing"/>
      </w:pPr>
      <w:r w:rsidRPr="00086656">
        <w:t xml:space="preserve">Based on Cohen’s (1988) guidelines, </w:t>
      </w:r>
      <w:r w:rsidRPr="00086656">
        <w:rPr>
          <w:i/>
          <w:iCs/>
        </w:rPr>
        <w:t>f</w:t>
      </w:r>
      <w:r w:rsidRPr="00086656">
        <w:rPr>
          <w:vertAlign w:val="superscript"/>
        </w:rPr>
        <w:t>2</w:t>
      </w:r>
      <w:r w:rsidRPr="00086656">
        <w:t xml:space="preserve"> ≥ .02 = small, </w:t>
      </w:r>
      <w:r w:rsidRPr="00086656">
        <w:rPr>
          <w:i/>
          <w:iCs/>
        </w:rPr>
        <w:t>f</w:t>
      </w:r>
      <w:r w:rsidRPr="00086656">
        <w:rPr>
          <w:vertAlign w:val="superscript"/>
        </w:rPr>
        <w:t>2</w:t>
      </w:r>
      <w:r w:rsidRPr="00086656">
        <w:t xml:space="preserve"> ≥ .15 = medium, and </w:t>
      </w:r>
      <w:r w:rsidRPr="00086656">
        <w:rPr>
          <w:i/>
          <w:iCs/>
        </w:rPr>
        <w:t>f</w:t>
      </w:r>
      <w:r w:rsidRPr="00086656">
        <w:rPr>
          <w:vertAlign w:val="superscript"/>
        </w:rPr>
        <w:t>2</w:t>
      </w:r>
      <w:r w:rsidRPr="00086656">
        <w:t xml:space="preserve"> ≥ .35 = large.</w:t>
      </w:r>
    </w:p>
    <w:p w14:paraId="27944B3C" w14:textId="77777777" w:rsidR="00086656" w:rsidRPr="00086656" w:rsidRDefault="00086656" w:rsidP="00086656">
      <w:pPr>
        <w:pStyle w:val="NoSpacing"/>
      </w:pPr>
      <w:r w:rsidRPr="00086656">
        <w:rPr>
          <w:vertAlign w:val="superscript"/>
        </w:rPr>
        <w:t>a</w:t>
      </w:r>
      <w:r w:rsidRPr="00086656">
        <w:t xml:space="preserve"> </w:t>
      </w:r>
      <w:r w:rsidRPr="00086656">
        <w:rPr>
          <w:i/>
          <w:iCs/>
        </w:rPr>
        <w:t>n</w:t>
      </w:r>
      <w:r w:rsidRPr="00086656">
        <w:t> = 58.</w:t>
      </w:r>
    </w:p>
    <w:p w14:paraId="7F170600" w14:textId="77777777" w:rsidR="00086656" w:rsidRPr="00086656" w:rsidRDefault="00086656" w:rsidP="00086656">
      <w:pPr>
        <w:pStyle w:val="NoSpacing"/>
      </w:pPr>
      <w:r w:rsidRPr="00086656">
        <w:rPr>
          <w:vertAlign w:val="superscript"/>
        </w:rPr>
        <w:t>b</w:t>
      </w:r>
      <w:r w:rsidRPr="00086656">
        <w:t xml:space="preserve"> </w:t>
      </w:r>
      <w:r w:rsidRPr="00086656">
        <w:rPr>
          <w:i/>
          <w:iCs/>
        </w:rPr>
        <w:t>n</w:t>
      </w:r>
      <w:r w:rsidRPr="00086656">
        <w:t> = 26.</w:t>
      </w:r>
    </w:p>
    <w:p w14:paraId="314E1999" w14:textId="77777777" w:rsidR="00086656" w:rsidRPr="00086656" w:rsidRDefault="00086656" w:rsidP="00086656">
      <w:pPr>
        <w:pStyle w:val="NoSpacing"/>
      </w:pPr>
      <w:r w:rsidRPr="00086656">
        <w:rPr>
          <w:vertAlign w:val="superscript"/>
        </w:rPr>
        <w:t>c</w:t>
      </w:r>
      <w:r w:rsidRPr="00086656">
        <w:t xml:space="preserve"> </w:t>
      </w:r>
      <w:r w:rsidRPr="00086656">
        <w:rPr>
          <w:i/>
          <w:iCs/>
        </w:rPr>
        <w:t>n</w:t>
      </w:r>
      <w:r w:rsidRPr="00086656">
        <w:t> = 60.</w:t>
      </w:r>
    </w:p>
    <w:p w14:paraId="1C38D621" w14:textId="3864AA16" w:rsidR="00086656" w:rsidRDefault="00086656" w:rsidP="00086656">
      <w:pPr>
        <w:pStyle w:val="NoSpacing"/>
      </w:pPr>
      <w:r w:rsidRPr="00086656">
        <w:t>*</w:t>
      </w:r>
      <w:r w:rsidRPr="00086656">
        <w:rPr>
          <w:i/>
          <w:iCs/>
        </w:rPr>
        <w:t>p</w:t>
      </w:r>
      <w:r w:rsidRPr="00086656">
        <w:t xml:space="preserve"> ≤ .05; **</w:t>
      </w:r>
      <w:r w:rsidRPr="00086656">
        <w:rPr>
          <w:i/>
          <w:iCs/>
        </w:rPr>
        <w:t>p</w:t>
      </w:r>
      <w:r w:rsidRPr="00086656">
        <w:t xml:space="preserve"> ≤ .01; ***</w:t>
      </w:r>
      <w:r w:rsidRPr="00086656">
        <w:rPr>
          <w:i/>
          <w:iCs/>
        </w:rPr>
        <w:t>p</w:t>
      </w:r>
      <w:r w:rsidRPr="00086656">
        <w:t xml:space="preserve"> ≤ .001; </w:t>
      </w:r>
      <w:r w:rsidRPr="00086656">
        <w:rPr>
          <w:vertAlign w:val="superscript"/>
        </w:rPr>
        <w:t>+</w:t>
      </w:r>
      <w:r w:rsidRPr="00086656">
        <w:rPr>
          <w:i/>
          <w:iCs/>
        </w:rPr>
        <w:t>p</w:t>
      </w:r>
      <w:r w:rsidRPr="00086656">
        <w:t xml:space="preserve"> ≤ .10.</w:t>
      </w:r>
    </w:p>
    <w:p w14:paraId="08DDCE96" w14:textId="77777777" w:rsidR="00086656" w:rsidRPr="00086656" w:rsidRDefault="00086656" w:rsidP="00086656">
      <w:pPr>
        <w:pStyle w:val="ListParagraph"/>
        <w:spacing w:after="0"/>
      </w:pPr>
    </w:p>
    <w:p w14:paraId="50E7D4D8" w14:textId="0BC10478" w:rsidR="00086656" w:rsidRPr="00086656" w:rsidRDefault="00086656" w:rsidP="00086656">
      <w:pPr>
        <w:pStyle w:val="ListParagraph"/>
        <w:spacing w:after="0"/>
      </w:pPr>
      <w:r w:rsidRPr="00086656">
        <w:t>Hypothesis 2: Parental Perceptions and Treatment Participation Outcomes</w:t>
      </w:r>
    </w:p>
    <w:p w14:paraId="06D51A75" w14:textId="77777777" w:rsidR="00086656" w:rsidRPr="00086656" w:rsidRDefault="00086656" w:rsidP="00086656">
      <w:pPr>
        <w:pStyle w:val="ListParagraph"/>
        <w:spacing w:after="0"/>
      </w:pPr>
    </w:p>
    <w:p w14:paraId="6FAEBF57" w14:textId="4685B25C" w:rsidR="00086656" w:rsidRPr="00086656" w:rsidRDefault="00086656" w:rsidP="00086656">
      <w:pPr>
        <w:pStyle w:val="NoSpacing"/>
      </w:pPr>
      <w:r w:rsidRPr="00086656">
        <w:t xml:space="preserve">In order to test the second set of hypotheses related to parental attitudes and expectations regarding treatment and attendance, retention, engagement, and treatment response, hierarchical multiple regression analysis was </w:t>
      </w:r>
      <w:r w:rsidRPr="00086656">
        <w:lastRenderedPageBreak/>
        <w:t>conducted for posttreatment functional impairment in the school setting (see Table 3). Pretreatment functional impairment in the school setting was entered at step 1, and mother TAQ family/self-reliance (</w:t>
      </w:r>
      <w:proofErr w:type="spellStart"/>
      <w:r w:rsidRPr="00086656">
        <w:t>fsr</w:t>
      </w:r>
      <w:proofErr w:type="spellEnd"/>
      <w:r w:rsidRPr="00086656">
        <w:t xml:space="preserve">) and stigma scales were entered at step 2. The parental perceptions regarding treatment that were entered at step 2 explained an additional 6.4% of the variance in functional impairment in the school setting, which was a significant change, </w:t>
      </w:r>
      <w:r w:rsidRPr="00086656">
        <w:rPr>
          <w:i/>
          <w:iCs/>
        </w:rPr>
        <w:t>F</w:t>
      </w:r>
      <w:r w:rsidRPr="00086656">
        <w:t xml:space="preserve"> (2, 56) = 3.16, </w:t>
      </w:r>
      <w:r w:rsidRPr="00086656">
        <w:rPr>
          <w:i/>
          <w:iCs/>
        </w:rPr>
        <w:t>p</w:t>
      </w:r>
      <w:r w:rsidRPr="00086656">
        <w:t xml:space="preserve"> ≤ .05. The overall model was significant, </w:t>
      </w:r>
      <w:r w:rsidRPr="00086656">
        <w:rPr>
          <w:i/>
          <w:iCs/>
        </w:rPr>
        <w:t>F</w:t>
      </w:r>
      <w:r w:rsidRPr="00086656">
        <w:t xml:space="preserve"> (3, 56) = 14.27, </w:t>
      </w:r>
      <w:r w:rsidRPr="00086656">
        <w:rPr>
          <w:i/>
          <w:iCs/>
        </w:rPr>
        <w:t>p</w:t>
      </w:r>
      <w:r w:rsidRPr="00086656">
        <w:t xml:space="preserve"> ≤ .001, and explained 43.3% of the variance in functional impairment in the school setting. The effect size of the final model was small. Examination of individual factors indicated that both pretreatment teacher-reported functional impairment and mother TAQ </w:t>
      </w:r>
      <w:proofErr w:type="spellStart"/>
      <w:r w:rsidRPr="00086656">
        <w:t>fsr</w:t>
      </w:r>
      <w:proofErr w:type="spellEnd"/>
      <w:r w:rsidRPr="00086656">
        <w:t xml:space="preserve"> were significant predictors, β = .56, </w:t>
      </w:r>
      <w:r w:rsidRPr="00086656">
        <w:rPr>
          <w:i/>
          <w:iCs/>
        </w:rPr>
        <w:t>p</w:t>
      </w:r>
      <w:r w:rsidRPr="00086656">
        <w:t xml:space="preserve"> ≤ .001; β = .22, </w:t>
      </w:r>
      <w:r w:rsidRPr="00086656">
        <w:rPr>
          <w:i/>
          <w:iCs/>
        </w:rPr>
        <w:t>p</w:t>
      </w:r>
      <w:r w:rsidRPr="00086656">
        <w:t> ≤ .05, respectively, suggesting that increased teacher-reported functional impairment in the school setting at baseline and greater endorsement of the belief that children’s problems do not require outside help among mothers were related to higher levels of functional impairment in the school setting posttreatment.</w:t>
      </w:r>
    </w:p>
    <w:p w14:paraId="17BB6E9D" w14:textId="77777777" w:rsidR="00086656" w:rsidRDefault="00AB0801" w:rsidP="00AB0801">
      <w:pPr>
        <w:pStyle w:val="Heading1"/>
      </w:pPr>
      <w:r>
        <w:t>Discussion</w:t>
      </w:r>
    </w:p>
    <w:p w14:paraId="16BAA427" w14:textId="6EA0CBDB" w:rsidR="00AB0801" w:rsidRDefault="00086656" w:rsidP="00086656">
      <w:pPr>
        <w:pStyle w:val="NoSpacing"/>
      </w:pPr>
      <w:r w:rsidRPr="00086656">
        <w:t>In order to improve current understanding of factors that impact Latino family participation in a psychosocial intervention for childhood ADHD, the goal of the current study was to examine the impact of parental cultural fac-tors and attitudes and expectations regarding treatment on Latino family</w:t>
      </w:r>
      <w:r>
        <w:t xml:space="preserve"> </w:t>
      </w:r>
      <w:r w:rsidRPr="00086656">
        <w:t>participation in treatment, including attendance, retention, engagement, and treatment response outcomes, after controlling for the effects of significant treatment condition and child demographic/diagnostic variables. Research suggests that Latino youth and their families are especially unlikely to receive diagnoses and ADHD treatment (</w:t>
      </w:r>
      <w:proofErr w:type="spellStart"/>
      <w:r w:rsidRPr="00086656">
        <w:t>Eiraldi</w:t>
      </w:r>
      <w:proofErr w:type="spellEnd"/>
      <w:r w:rsidRPr="00086656">
        <w:t xml:space="preserve"> &amp; Diaz, 2010; Morgan et al., 2014). In addition, Latino youth and their families are at increased risk for premature termination when they seek treatment (McCabe, 2002a; Miranda, </w:t>
      </w:r>
      <w:proofErr w:type="spellStart"/>
      <w:r w:rsidRPr="00086656">
        <w:t>Azocar</w:t>
      </w:r>
      <w:proofErr w:type="spellEnd"/>
      <w:r w:rsidRPr="00086656">
        <w:t xml:space="preserve">, </w:t>
      </w:r>
      <w:proofErr w:type="spellStart"/>
      <w:r w:rsidRPr="00086656">
        <w:t>Organista</w:t>
      </w:r>
      <w:proofErr w:type="spellEnd"/>
      <w:r w:rsidRPr="00086656">
        <w:t xml:space="preserve">, </w:t>
      </w:r>
      <w:proofErr w:type="spellStart"/>
      <w:r w:rsidRPr="00086656">
        <w:t>Mu~noz</w:t>
      </w:r>
      <w:proofErr w:type="spellEnd"/>
      <w:r w:rsidRPr="00086656">
        <w:t>, &amp; Lieberman, 1996), leading to decreased treatment effectiveness (Barrett et al., 2008). Better understanding of the way in which parental cultural factors and perceptions influence Latino family participation in treatment will aid researchers and clinicians in working to mitigate these existing disparities and promote the use of more culturally responsive assessment and psychosocial treatment for childhood ADHD in Latino families (</w:t>
      </w:r>
      <w:proofErr w:type="spellStart"/>
      <w:r w:rsidRPr="00086656">
        <w:t>Eiraldi</w:t>
      </w:r>
      <w:proofErr w:type="spellEnd"/>
      <w:r w:rsidRPr="00086656">
        <w:t xml:space="preserve"> &amp; Diaz, 2010; Morgan et al., 2014).</w:t>
      </w:r>
    </w:p>
    <w:p w14:paraId="181349EC" w14:textId="77777777" w:rsidR="00086656" w:rsidRDefault="00086656" w:rsidP="00086656">
      <w:pPr>
        <w:pStyle w:val="NoSpacing"/>
      </w:pPr>
    </w:p>
    <w:p w14:paraId="3B3CF7D4" w14:textId="29B9830D" w:rsidR="00AB0801" w:rsidRDefault="00777148" w:rsidP="00777148">
      <w:pPr>
        <w:pStyle w:val="Heading2"/>
      </w:pPr>
      <w:r>
        <w:t>Parental Cultural Factors and Treatment Participation Outcomes</w:t>
      </w:r>
    </w:p>
    <w:p w14:paraId="107E0DFF" w14:textId="01EEE603" w:rsidR="00086656" w:rsidRDefault="00086656" w:rsidP="00086656">
      <w:pPr>
        <w:pStyle w:val="NoSpacing"/>
      </w:pPr>
      <w:r w:rsidRPr="00086656">
        <w:t>The first prediction that greater orientation to Latino culture on behavioral and cognitive measures of acculturation and higher levels of ethnic identity among parents would predict poorer attendance, retention, engagement, and treatment response outcomes, whereas greater orientation to U.S. mainstream culture and lower levels of ethnic identity would predict improved treatment outcomes, was partially supported. Regarding treatment attendance and engagement, fathers’ endorsement of U.S. mainstream values was related to higher levels of family attendance, homework completion, and therapist-reported parental engagement. These findings are sup-ported by previous literature documenting the relation between orientation to U.S. mainstream culture and other proxy measures of acculturation (e.g., greater length of time in the United States and English language preference) and increased service use (Keyes et al., 2012; Lara et al., 2005; Nandi et al., 2008). It is noteworthy that fathers’ acculturation status</w:t>
      </w:r>
      <w:proofErr w:type="gramStart"/>
      <w:r w:rsidRPr="00086656">
        <w:t>, in particular, was</w:t>
      </w:r>
      <w:proofErr w:type="gramEnd"/>
      <w:r w:rsidRPr="00086656">
        <w:t xml:space="preserve"> related to family attendance and engagement in treatment, especially given the smaller percentage of participating fathers. Research suggests that acculturation is one of the many factors that impacts Latino fathers’ involvement with their children, as more traditionally oriented fathers may be less likely to be involved in caregiving responsibilities (see Cabrera &amp; Bradley, 2012 for a review) or participate in child mental health services (McCabe, Yeh, Garland, Lau, &amp; Chavez, 2005). Given that Latino families have emphasized the need to involve fathers and extended family members in behavioral treatment (McCabe et al., 2005) and that father involvement in parent training has been linked to improved child outcomes (</w:t>
      </w:r>
      <w:proofErr w:type="spellStart"/>
      <w:r w:rsidRPr="00086656">
        <w:t>Lundahl</w:t>
      </w:r>
      <w:proofErr w:type="spellEnd"/>
      <w:r w:rsidRPr="00086656">
        <w:t xml:space="preserve">, </w:t>
      </w:r>
      <w:r>
        <w:t>Tollefson, Risser, &amp; Lovejoy, 2008), better understanding of the factors that impact Latino father engagement is needed.</w:t>
      </w:r>
    </w:p>
    <w:p w14:paraId="44FAA295" w14:textId="77777777" w:rsidR="00086656" w:rsidRDefault="00086656" w:rsidP="00086656">
      <w:pPr>
        <w:pStyle w:val="NoSpacing"/>
      </w:pPr>
    </w:p>
    <w:p w14:paraId="4CE5522E" w14:textId="543E65E3" w:rsidR="00086656" w:rsidRDefault="00086656" w:rsidP="00086656">
      <w:pPr>
        <w:pStyle w:val="NoSpacing"/>
      </w:pPr>
      <w:r>
        <w:t xml:space="preserve">In contrast to these findings, results also indicated that mothers of families who dropped out of treatment prematurely demonstrated significantly higher levels of orientation to U.S. mainstream culture on the behavioral </w:t>
      </w:r>
      <w:r>
        <w:lastRenderedPageBreak/>
        <w:t xml:space="preserve">measure of acculturation than those retained in treatment. That said, it is impossible to draw conclusions from such a small number of families who failed to complete treatment (n ¼ 3), and the significance difference in sample size between the two groups that were examined must be considered when interpreting these results. However, this finding may point to the het-erogeneity that exists within the Latino population in the United States (Ennis, </w:t>
      </w:r>
      <w:proofErr w:type="spellStart"/>
      <w:r>
        <w:t>R</w:t>
      </w:r>
      <w:r>
        <w:rPr>
          <w:rFonts w:hint="eastAsia"/>
        </w:rPr>
        <w:t>ı</w:t>
      </w:r>
      <w:r>
        <w:t>os</w:t>
      </w:r>
      <w:proofErr w:type="spellEnd"/>
      <w:r>
        <w:t xml:space="preserve">-Vargas, &amp; Albert, 2011; Martinez &amp; </w:t>
      </w:r>
      <w:proofErr w:type="spellStart"/>
      <w:r>
        <w:t>Villarruel</w:t>
      </w:r>
      <w:proofErr w:type="spellEnd"/>
      <w:r>
        <w:t>, 2009). From a service utilization perspective, we may have expected these families to complete treatment successfully, yet the cultural characteristics of the current sample may have impacted these families’ ability or desire to remain in treatment, including parents’ strong behavioral orientation to traditional Latino culture. Thus, the families who dropped out of treatment prematurely may have fared better in a less traditionally oriented group of parents, particularly related to cultural practices and customs. These findings highlight the need to assess and consider parental acculturation status when identifying the optimal treatment for families participating in psycho-social treatment for childhood ADHD.</w:t>
      </w:r>
    </w:p>
    <w:p w14:paraId="78D797FE" w14:textId="77777777" w:rsidR="00086656" w:rsidRDefault="00086656" w:rsidP="00086656">
      <w:pPr>
        <w:pStyle w:val="NoSpacing"/>
      </w:pPr>
    </w:p>
    <w:p w14:paraId="733AAFDF" w14:textId="04C71696" w:rsidR="00086656" w:rsidRDefault="00086656" w:rsidP="00086656">
      <w:pPr>
        <w:pStyle w:val="NoSpacing"/>
      </w:pPr>
      <w:r w:rsidRPr="00086656">
        <w:t>Regarding parental cultural factors and treatment response outcomes, greater orientation to U.S. mainstream culture on parents’ behavioral measure of acculturation was related to decreased parent-reported ADHD symptomatology posttreatment. Similarly, results indicated that mothers’ endorsement of traditional Latino values was related to increased teacher-reported symptomatology posttreatment. However, results indicated that both mother and father behavioral acculturation orientations and parent-reported ADHD symptomatology pretreatment proved to be the most salient predictors of parent-reported ADHD symptomatology posttreatment. These findings are consistent with existing literature documenting the relation between more severe child behavioral problems pretreatment and poorer treatment outcomes among children receiving mental health services (</w:t>
      </w:r>
      <w:proofErr w:type="spellStart"/>
      <w:r w:rsidRPr="00086656">
        <w:t>Corkum</w:t>
      </w:r>
      <w:proofErr w:type="spellEnd"/>
      <w:r w:rsidRPr="00086656">
        <w:t xml:space="preserve"> et al., 2015; </w:t>
      </w:r>
      <w:proofErr w:type="spellStart"/>
      <w:r w:rsidRPr="00086656">
        <w:t>Reyno</w:t>
      </w:r>
      <w:proofErr w:type="spellEnd"/>
      <w:r w:rsidRPr="00086656">
        <w:t xml:space="preserve"> &amp; McGrath, 2006), as well as research indicating that Latino individuals more closely oriented to U.S. mainstream society demonstrate better service utilization outcomes (Keyes et al., 2012; Nandi et al., 2008). Although the research on caregiver acculturation status has presented mixed findings (e.g., Ho et al., 2007; Kim et al., 2016; McCabe, 2002a), researchers emphasize the crucial need to examine parental cultural factors in the context of PMT in order to better understand parenting behaviors and service utilization outcomes for Latino families</w:t>
      </w:r>
      <w:r>
        <w:t xml:space="preserve"> participating in child mental health services (Barker, Cook, &amp; Borrego, 2010; McCabe et al., 2005). It is noteworthy that the effect size for father behavioral acculturation status was larger than that for mothers, which may highlight the impact of father cultural factors in the context of Latino families participating in PMT for childhood ADHD.</w:t>
      </w:r>
    </w:p>
    <w:p w14:paraId="64BA2586" w14:textId="77777777" w:rsidR="00086656" w:rsidRDefault="00086656" w:rsidP="00086656">
      <w:pPr>
        <w:pStyle w:val="NoSpacing"/>
      </w:pPr>
    </w:p>
    <w:p w14:paraId="461F4FE7" w14:textId="09CD136C" w:rsidR="00086656" w:rsidRDefault="00086656" w:rsidP="00086656">
      <w:pPr>
        <w:pStyle w:val="NoSpacing"/>
      </w:pPr>
      <w:r>
        <w:t xml:space="preserve">The effects of acculturation and related cultural constructs are complex. Although adherence to one’s ethnic culture of origin has been associated with various positive psychosocial outcomes for Latino individuals (Gonzales, </w:t>
      </w:r>
      <w:proofErr w:type="spellStart"/>
      <w:r>
        <w:t>Fabrett</w:t>
      </w:r>
      <w:proofErr w:type="spellEnd"/>
      <w:r>
        <w:t>, &amp; Knight, 2009), it also presents challenges for service utilization. Similarly, adherence to U.S. mainstream culture has been linked to negative health and educational outcomes in research examining the “immigrant paradox,” a pattern of findings in which increased length of time in the United States is associated with more psychosocial problems for Latino individuals (</w:t>
      </w:r>
      <w:proofErr w:type="spellStart"/>
      <w:r>
        <w:t>Garc</w:t>
      </w:r>
      <w:r>
        <w:rPr>
          <w:rFonts w:hint="eastAsia"/>
        </w:rPr>
        <w:t>ı</w:t>
      </w:r>
      <w:r>
        <w:t>a</w:t>
      </w:r>
      <w:proofErr w:type="spellEnd"/>
      <w:r>
        <w:t xml:space="preserve"> Coll &amp; Marks, 2012; Vega, </w:t>
      </w:r>
      <w:proofErr w:type="spellStart"/>
      <w:r>
        <w:t>Sribney</w:t>
      </w:r>
      <w:proofErr w:type="spellEnd"/>
      <w:r>
        <w:t>, Aguilar-</w:t>
      </w:r>
      <w:proofErr w:type="spellStart"/>
      <w:r>
        <w:t>Gaxiola</w:t>
      </w:r>
      <w:proofErr w:type="spellEnd"/>
      <w:r>
        <w:t xml:space="preserve">, &amp; </w:t>
      </w:r>
      <w:proofErr w:type="spellStart"/>
      <w:r>
        <w:t>Kolody</w:t>
      </w:r>
      <w:proofErr w:type="spellEnd"/>
      <w:r>
        <w:t xml:space="preserve">, 2004), but it also seems to help to aid health care ser-vice utilization (Keyes et al., 2012; Lara et al., 2005; Nandi et al., 2008). Given that more traditionally oriented families appear to be at increased risk of experiencing negative treatment outcomes, these findings support recent efforts to improve the way in which existing evidence-based treatments engage families from diverse sociocultural backgrounds, such as the use of linguistically and culturally adapted treatments and strategies to reduce the effects of environmental stressors and barriers to treatment (Barker et al., 2010; </w:t>
      </w:r>
      <w:proofErr w:type="spellStart"/>
      <w:r>
        <w:t>Calzada</w:t>
      </w:r>
      <w:proofErr w:type="spellEnd"/>
      <w:r>
        <w:t>, 2010).</w:t>
      </w:r>
    </w:p>
    <w:p w14:paraId="1B6ECD4F" w14:textId="77777777" w:rsidR="00086656" w:rsidRPr="00086656" w:rsidRDefault="00086656" w:rsidP="00086656">
      <w:pPr>
        <w:pStyle w:val="NoSpacing"/>
      </w:pPr>
    </w:p>
    <w:p w14:paraId="7723392F" w14:textId="5E3C0F63" w:rsidR="00777148" w:rsidRDefault="00777148" w:rsidP="00777148">
      <w:pPr>
        <w:pStyle w:val="Heading2"/>
      </w:pPr>
      <w:r>
        <w:t>Parental Perceptions and Treatment Participation Outcomes</w:t>
      </w:r>
    </w:p>
    <w:p w14:paraId="412730F7" w14:textId="0BFE1B01" w:rsidR="00086656" w:rsidRDefault="00086656" w:rsidP="00086656">
      <w:pPr>
        <w:pStyle w:val="NoSpacing"/>
      </w:pPr>
      <w:r w:rsidRPr="00086656">
        <w:t xml:space="preserve">The second prediction that greater endorsement of specific parental attitudes and expectations regarding treatment (i.e., belief that problems should be handled within the family unit, stigmatized attitudes related to mental health treatment, perceived barriers to treatment, and expectations for a speedy recovery in treatment) would predict poorer levels of attendance, retention, engagement, and treatment response outcomes was partially supported. Results indicated that mothers’ belief that children’s problems should be handled within the </w:t>
      </w:r>
      <w:r w:rsidRPr="00086656">
        <w:lastRenderedPageBreak/>
        <w:t>family and higher levels of stigmatized attitudes were related to higher levels of teacher-reported functional impairment in the school setting posttreatment, indicating lesser improvement in functioning. However, both baseline functional impairment in the school setting and the belief that children’s problems should be handled with the family unit proved to be the most salient predictors of teacher-reported functional impairment in the school setting posttreatment. These results are supported by previous work documenting the detrimental effects of severe child behavioral problems pretreatment (</w:t>
      </w:r>
      <w:proofErr w:type="spellStart"/>
      <w:r w:rsidRPr="00086656">
        <w:t>Corkum</w:t>
      </w:r>
      <w:proofErr w:type="spellEnd"/>
      <w:r w:rsidRPr="00086656">
        <w:t xml:space="preserve"> et al., 2015;</w:t>
      </w:r>
      <w:r>
        <w:t xml:space="preserve"> </w:t>
      </w:r>
      <w:proofErr w:type="spellStart"/>
      <w:r w:rsidRPr="00086656">
        <w:t>Reyno</w:t>
      </w:r>
      <w:proofErr w:type="spellEnd"/>
      <w:r w:rsidRPr="00086656">
        <w:t xml:space="preserve"> &amp; McGrath, 2006) and mental health stigma on treatment outcomes among families participating in child mental health services (see </w:t>
      </w:r>
      <w:proofErr w:type="spellStart"/>
      <w:r w:rsidRPr="00086656">
        <w:t>Villatoro</w:t>
      </w:r>
      <w:proofErr w:type="spellEnd"/>
      <w:r w:rsidRPr="00086656">
        <w:t xml:space="preserve"> et al., 2014 for a review). These results seem to point to familism, a multi-dimensional cultural construct that centers on prioritizing family needs over individual desires, strong family relationships and interconnectedness, dependence on one’s family, and strong family loyalty (</w:t>
      </w:r>
      <w:proofErr w:type="spellStart"/>
      <w:r w:rsidRPr="00086656">
        <w:t>Steidel</w:t>
      </w:r>
      <w:proofErr w:type="spellEnd"/>
      <w:r w:rsidRPr="00086656">
        <w:t xml:space="preserve"> &amp; Contreras, 2003), which may make Latino families less amenable to seeking or receiving formal mental health services. Thus, results suggest that it may be especially important for mental health care providers to take this cultural value into account and assess for stigmatized attitudes when conducting parent training with Latino families (Barker et al., 2010; </w:t>
      </w:r>
      <w:proofErr w:type="spellStart"/>
      <w:r w:rsidRPr="00086656">
        <w:t>Calzada</w:t>
      </w:r>
      <w:proofErr w:type="spellEnd"/>
      <w:r w:rsidRPr="00086656">
        <w:t>, 2010).</w:t>
      </w:r>
    </w:p>
    <w:p w14:paraId="38CE712E" w14:textId="77777777" w:rsidR="00086656" w:rsidRPr="00086656" w:rsidRDefault="00086656" w:rsidP="00086656">
      <w:pPr>
        <w:pStyle w:val="NoSpacing"/>
      </w:pPr>
    </w:p>
    <w:p w14:paraId="756FF97D" w14:textId="62D8B2F9" w:rsidR="00777148" w:rsidRDefault="00503141" w:rsidP="00503141">
      <w:pPr>
        <w:pStyle w:val="Heading1"/>
      </w:pPr>
      <w:r>
        <w:t>Limitations</w:t>
      </w:r>
    </w:p>
    <w:p w14:paraId="2E56DC51" w14:textId="50FEFD9C" w:rsidR="00086656" w:rsidRDefault="00086656" w:rsidP="00086656">
      <w:pPr>
        <w:pStyle w:val="NoSpacing"/>
      </w:pPr>
      <w:r w:rsidRPr="00086656">
        <w:t xml:space="preserve">Several limitations should be noted. First, the current study included a fairly homogenous sample of Latino youth and their families, largely representing a more traditionally oriented, lower-SES community of </w:t>
      </w:r>
      <w:proofErr w:type="gramStart"/>
      <w:r w:rsidRPr="00086656">
        <w:t>Mexican-American</w:t>
      </w:r>
      <w:proofErr w:type="gramEnd"/>
      <w:r w:rsidRPr="00086656">
        <w:t xml:space="preserve"> families living in an urban setting. This likely contributed to the relatively limited variability found within measures examining parental cultural factors and perceptions regarding treatment, and caution is warranted in generalizing these findings to other Latino subgroups in other geographical areas. Future studies should aim to replicate these findings in a larger, more representative sample of Latino youth and their families, including a greater number of participating fathers and extended family members, as well as examine follow-up data. Finally, limitations in the measurement of parental engagement and improvements in child and parent/family functioning should be noted. Although the current study attempted to limit individual bias by combining treatment facilitators’ ratings, the facilitators rated these constructs at the end of the intervention, and this may have contributed to retrospective bias in reporting. Thus, future studies should aim to rate engagement and improvement variables at multiple points throughout the course of treatment.</w:t>
      </w:r>
    </w:p>
    <w:p w14:paraId="24C81E63" w14:textId="77777777" w:rsidR="00086656" w:rsidRPr="00086656" w:rsidRDefault="00086656" w:rsidP="00086656">
      <w:pPr>
        <w:pStyle w:val="NoSpacing"/>
      </w:pPr>
    </w:p>
    <w:p w14:paraId="0CEAF10D" w14:textId="615431AC" w:rsidR="00503141" w:rsidRDefault="00503141" w:rsidP="00503141">
      <w:pPr>
        <w:pStyle w:val="Heading1"/>
      </w:pPr>
      <w:r>
        <w:t>Implications and Future Directions</w:t>
      </w:r>
    </w:p>
    <w:p w14:paraId="01B499D2" w14:textId="2E5EA52B" w:rsidR="00086656" w:rsidRPr="00086656" w:rsidRDefault="00086656" w:rsidP="00086656">
      <w:pPr>
        <w:pStyle w:val="NoSpacing"/>
      </w:pPr>
      <w:r w:rsidRPr="00086656">
        <w:t xml:space="preserve">Despite these limitations, the current study has several important implications and presents some exciting areas for future research. First, these findings bring attention to the importance of assessing parental cultural factors and perceptions among Latino families participating in psychosocial treatment for childhood ADHD, including acculturation, stigmatized mental health attitudes, and the belief that children’s problems should be managed within the family unit. In order to develop a better understanding of the various factors that likely contribute to Latino family participation and identify families who may be in need of additional support, future studies should aim to assess related constructs, such as endorsement of specific values related to both traditional Latino and U.S. mainstream cultures, acculturation stressors, perceived social support, parental stress, treatment acceptability, and therapeutic alliance. Also, given the significant linguistic and cultural variability that exists within the Latino population in the United States, results suggest that a one-size-fits-all treatment approach is not appropriate or possible. Thus, careful consideration should be made in determining the best treatment approach for families in order to optimize treatment outcomes, and future studies should aim to improve understanding of different Latino subgroups in the United States. Furthermore, findings from the current study demonstrate the importance of assessing acculturation from a multidimensional, bidirectional perspective, as cognitive and behavioral acculturation related to both cultures appear to demonstrate unique effects on Latino family participation in child mental health services. Thus, more research is needed to better understand the most effective ways of promoting attendance, retention, engagement, and treatment response outcomes, for which culturally adapted interventions may be appropriate and necessary. In particular, future studies should </w:t>
      </w:r>
      <w:r w:rsidRPr="00086656">
        <w:lastRenderedPageBreak/>
        <w:t>aim to examine the unique contributions of the adaptations that likely contributed to improved engagement (i.e., homework completion) and treatment response outcomes (i.e., therapist-reported improvements in child and parent/family functioning) among participants in the current study, such as more in vivo practice and discussion of barriers to use of skills in treatment sessions, increased access to materials and opportunities to practice the use of skills outside of treatment sessions, efforts to involve extended family members and other social supports as needed, and use of more culturally sensitive assessment and intervention strategies.</w:t>
      </w:r>
    </w:p>
    <w:p w14:paraId="611E02D0" w14:textId="463C8A55" w:rsidR="00503141" w:rsidRDefault="00503141" w:rsidP="00503141">
      <w:pPr>
        <w:pStyle w:val="Heading1"/>
      </w:pPr>
      <w:r>
        <w:t>Acknowledgments</w:t>
      </w:r>
    </w:p>
    <w:p w14:paraId="1B93AEAE" w14:textId="404E11F6" w:rsidR="00086656" w:rsidRPr="00086656" w:rsidRDefault="00086656" w:rsidP="00086656">
      <w:pPr>
        <w:pStyle w:val="NoSpacing"/>
      </w:pPr>
      <w:r w:rsidRPr="00086656">
        <w:t xml:space="preserve">This research was supported by the Eunice Kennedy Shriver National Institute of Child Health and Human Development of the National Institutes </w:t>
      </w:r>
      <w:proofErr w:type="spellStart"/>
      <w:r w:rsidRPr="00086656">
        <w:t>if</w:t>
      </w:r>
      <w:proofErr w:type="spellEnd"/>
      <w:r w:rsidRPr="00086656">
        <w:t xml:space="preserve"> Health under Award Number R21HD078553. The content is solely the responsibility of the authors and does not necessarily represent the official views of the National Institutes of Health</w:t>
      </w:r>
    </w:p>
    <w:p w14:paraId="24478A18" w14:textId="0E13DD64" w:rsidR="00503141" w:rsidRDefault="00CD29A0" w:rsidP="0035488F">
      <w:pPr>
        <w:pStyle w:val="Heading1"/>
      </w:pPr>
      <w:r w:rsidRPr="0035488F">
        <w:t>References</w:t>
      </w:r>
    </w:p>
    <w:p w14:paraId="7C7AA2FE" w14:textId="340C9F15" w:rsidR="00086656" w:rsidRDefault="00086656" w:rsidP="00086656">
      <w:pPr>
        <w:pStyle w:val="NoSpacing"/>
        <w:ind w:left="720" w:hanging="720"/>
      </w:pPr>
      <w:r>
        <w:t>American Psychiatric Association [APA]. (</w:t>
      </w:r>
      <w:r>
        <w:rPr>
          <w:rStyle w:val="nlmyear"/>
        </w:rPr>
        <w:t>2013</w:t>
      </w:r>
      <w:r>
        <w:t xml:space="preserve">). </w:t>
      </w:r>
      <w:r>
        <w:rPr>
          <w:i/>
          <w:iCs/>
        </w:rPr>
        <w:t>Diagnostic and statistical manual of mental disorders</w:t>
      </w:r>
      <w:r>
        <w:t xml:space="preserve"> (</w:t>
      </w:r>
      <w:r>
        <w:rPr>
          <w:rStyle w:val="nlmedition"/>
        </w:rPr>
        <w:t>5th ed</w:t>
      </w:r>
      <w:r>
        <w:t xml:space="preserve">.). </w:t>
      </w:r>
      <w:r>
        <w:rPr>
          <w:rStyle w:val="nlmpublisher-loc"/>
        </w:rPr>
        <w:t>Washington, DC</w:t>
      </w:r>
      <w:r>
        <w:t xml:space="preserve">: </w:t>
      </w:r>
      <w:r>
        <w:rPr>
          <w:rStyle w:val="nlmpublisher-name"/>
        </w:rPr>
        <w:t>American Psychiatric Publishing</w:t>
      </w:r>
      <w:r>
        <w:t>.</w:t>
      </w:r>
    </w:p>
    <w:p w14:paraId="1C60E965" w14:textId="29657358" w:rsidR="00086656" w:rsidRDefault="00086656" w:rsidP="00086656">
      <w:pPr>
        <w:pStyle w:val="NoSpacing"/>
        <w:ind w:left="720" w:hanging="720"/>
      </w:pPr>
      <w:proofErr w:type="spellStart"/>
      <w:r>
        <w:rPr>
          <w:rStyle w:val="hlfld-contribauthor"/>
        </w:rPr>
        <w:t>Arcia</w:t>
      </w:r>
      <w:proofErr w:type="spellEnd"/>
      <w:r>
        <w:rPr>
          <w:rStyle w:val="hlfld-contribauthor"/>
        </w:rPr>
        <w:t xml:space="preserve">, </w:t>
      </w:r>
      <w:r>
        <w:rPr>
          <w:rStyle w:val="nlmgiven-names"/>
        </w:rPr>
        <w:t>E.</w:t>
      </w:r>
      <w:r>
        <w:t xml:space="preserve">, </w:t>
      </w:r>
      <w:r>
        <w:rPr>
          <w:rStyle w:val="hlfld-contribauthor"/>
        </w:rPr>
        <w:t xml:space="preserve">Fernández, </w:t>
      </w:r>
      <w:r>
        <w:rPr>
          <w:rStyle w:val="nlmgiven-names"/>
        </w:rPr>
        <w:t>M. C.</w:t>
      </w:r>
      <w:r>
        <w:t xml:space="preserve">, &amp; </w:t>
      </w:r>
      <w:proofErr w:type="spellStart"/>
      <w:r>
        <w:rPr>
          <w:rStyle w:val="hlfld-contribauthor"/>
        </w:rPr>
        <w:t>Jáquez</w:t>
      </w:r>
      <w:proofErr w:type="spellEnd"/>
      <w:r>
        <w:rPr>
          <w:rStyle w:val="hlfld-contribauthor"/>
        </w:rPr>
        <w:t xml:space="preserve">, </w:t>
      </w:r>
      <w:r>
        <w:rPr>
          <w:rStyle w:val="nlmgiven-names"/>
        </w:rPr>
        <w:t>M</w:t>
      </w:r>
      <w:r>
        <w:t>. (</w:t>
      </w:r>
      <w:r>
        <w:rPr>
          <w:rStyle w:val="nlmyear"/>
        </w:rPr>
        <w:t>2004</w:t>
      </w:r>
      <w:r>
        <w:t xml:space="preserve">). </w:t>
      </w:r>
      <w:r>
        <w:rPr>
          <w:rStyle w:val="nlmarticle-title"/>
        </w:rPr>
        <w:t>Latina mothers' stances on stimulant medication: Complexity, conflict, and compromise</w:t>
      </w:r>
      <w:r>
        <w:t xml:space="preserve">. </w:t>
      </w:r>
      <w:r>
        <w:rPr>
          <w:i/>
          <w:iCs/>
        </w:rPr>
        <w:t>Journal of Developmental and Behavioral Pediatrics</w:t>
      </w:r>
      <w:r>
        <w:t xml:space="preserve">, </w:t>
      </w:r>
      <w:r>
        <w:rPr>
          <w:i/>
          <w:iCs/>
        </w:rPr>
        <w:t>25</w:t>
      </w:r>
      <w:r>
        <w:t xml:space="preserve">(5), </w:t>
      </w:r>
      <w:r>
        <w:rPr>
          <w:rStyle w:val="nlmfpage"/>
        </w:rPr>
        <w:t>311</w:t>
      </w:r>
      <w:r>
        <w:t>–</w:t>
      </w:r>
      <w:r>
        <w:rPr>
          <w:rStyle w:val="nlmlpage"/>
        </w:rPr>
        <w:t>317</w:t>
      </w:r>
      <w:r>
        <w:t>.</w:t>
      </w:r>
    </w:p>
    <w:p w14:paraId="6FA20205" w14:textId="3E274C9A" w:rsidR="00086656" w:rsidRDefault="00086656" w:rsidP="00086656">
      <w:pPr>
        <w:pStyle w:val="NoSpacing"/>
        <w:ind w:left="720" w:hanging="720"/>
      </w:pPr>
      <w:r>
        <w:rPr>
          <w:rStyle w:val="hlfld-contribauthor"/>
        </w:rPr>
        <w:t xml:space="preserve">Barker, </w:t>
      </w:r>
      <w:r>
        <w:rPr>
          <w:rStyle w:val="nlmgiven-names"/>
        </w:rPr>
        <w:t>C. H.</w:t>
      </w:r>
      <w:r>
        <w:t xml:space="preserve">, </w:t>
      </w:r>
      <w:r>
        <w:rPr>
          <w:rStyle w:val="hlfld-contribauthor"/>
        </w:rPr>
        <w:t xml:space="preserve">Cook, </w:t>
      </w:r>
      <w:r>
        <w:rPr>
          <w:rStyle w:val="nlmgiven-names"/>
        </w:rPr>
        <w:t>K. L.</w:t>
      </w:r>
      <w:r>
        <w:t xml:space="preserve">, &amp; </w:t>
      </w:r>
      <w:r>
        <w:rPr>
          <w:rStyle w:val="hlfld-contribauthor"/>
        </w:rPr>
        <w:t xml:space="preserve">Borrego, </w:t>
      </w:r>
      <w:r>
        <w:rPr>
          <w:rStyle w:val="nlmgiven-names"/>
        </w:rPr>
        <w:t>J.</w:t>
      </w:r>
      <w:r>
        <w:rPr>
          <w:rStyle w:val="hlfld-contribauthor"/>
        </w:rPr>
        <w:t xml:space="preserve"> Jr.</w:t>
      </w:r>
      <w:r>
        <w:t xml:space="preserve"> (</w:t>
      </w:r>
      <w:r>
        <w:rPr>
          <w:rStyle w:val="nlmyear"/>
        </w:rPr>
        <w:t>2010</w:t>
      </w:r>
      <w:r>
        <w:t xml:space="preserve">). </w:t>
      </w:r>
      <w:r>
        <w:rPr>
          <w:rStyle w:val="nlmarticle-title"/>
        </w:rPr>
        <w:t>Addressing cultural variables in parent training programs with Latino families</w:t>
      </w:r>
      <w:r>
        <w:t xml:space="preserve">. </w:t>
      </w:r>
      <w:r>
        <w:rPr>
          <w:i/>
          <w:iCs/>
        </w:rPr>
        <w:t>Cognitive and Behavioral Practice</w:t>
      </w:r>
      <w:r>
        <w:t xml:space="preserve">, </w:t>
      </w:r>
      <w:r>
        <w:rPr>
          <w:i/>
          <w:iCs/>
        </w:rPr>
        <w:t>17</w:t>
      </w:r>
      <w:r>
        <w:t xml:space="preserve">(2), </w:t>
      </w:r>
      <w:r>
        <w:rPr>
          <w:rStyle w:val="nlmfpage"/>
        </w:rPr>
        <w:t>157</w:t>
      </w:r>
      <w:r>
        <w:t>–</w:t>
      </w:r>
      <w:r>
        <w:rPr>
          <w:rStyle w:val="nlmlpage"/>
        </w:rPr>
        <w:t>166</w:t>
      </w:r>
      <w:r>
        <w:t xml:space="preserve">. </w:t>
      </w:r>
      <w:proofErr w:type="gramStart"/>
      <w:r>
        <w:t>doi:</w:t>
      </w:r>
      <w:r>
        <w:rPr>
          <w:rStyle w:val="nlmpub-id"/>
        </w:rPr>
        <w:t>10.1016/j.cbpra</w:t>
      </w:r>
      <w:proofErr w:type="gramEnd"/>
      <w:r>
        <w:rPr>
          <w:rStyle w:val="nlmpub-id"/>
        </w:rPr>
        <w:t>.2010.01.002</w:t>
      </w:r>
    </w:p>
    <w:p w14:paraId="510CCEE1" w14:textId="4EBFAEA8" w:rsidR="00086656" w:rsidRDefault="00086656" w:rsidP="00086656">
      <w:pPr>
        <w:pStyle w:val="NoSpacing"/>
        <w:ind w:left="720" w:hanging="720"/>
      </w:pPr>
      <w:r>
        <w:rPr>
          <w:rStyle w:val="hlfld-contribauthor"/>
        </w:rPr>
        <w:t xml:space="preserve">Barrett, </w:t>
      </w:r>
      <w:r>
        <w:rPr>
          <w:rStyle w:val="nlmgiven-names"/>
        </w:rPr>
        <w:t>M. S.</w:t>
      </w:r>
      <w:r>
        <w:t xml:space="preserve">, </w:t>
      </w:r>
      <w:r>
        <w:rPr>
          <w:rStyle w:val="hlfld-contribauthor"/>
        </w:rPr>
        <w:t xml:space="preserve">Chua, </w:t>
      </w:r>
      <w:r>
        <w:rPr>
          <w:rStyle w:val="nlmgiven-names"/>
        </w:rPr>
        <w:t>W.</w:t>
      </w:r>
      <w:r>
        <w:t xml:space="preserve">, </w:t>
      </w:r>
      <w:proofErr w:type="spellStart"/>
      <w:r>
        <w:rPr>
          <w:rStyle w:val="hlfld-contribauthor"/>
        </w:rPr>
        <w:t>Crits</w:t>
      </w:r>
      <w:proofErr w:type="spellEnd"/>
      <w:r>
        <w:rPr>
          <w:rStyle w:val="hlfld-contribauthor"/>
        </w:rPr>
        <w:t xml:space="preserve">-Christoph, </w:t>
      </w:r>
      <w:r>
        <w:rPr>
          <w:rStyle w:val="nlmgiven-names"/>
        </w:rPr>
        <w:t>P.</w:t>
      </w:r>
      <w:r>
        <w:t xml:space="preserve">, </w:t>
      </w:r>
      <w:r>
        <w:rPr>
          <w:rStyle w:val="hlfld-contribauthor"/>
        </w:rPr>
        <w:t xml:space="preserve">Gibbons, </w:t>
      </w:r>
      <w:r>
        <w:rPr>
          <w:rStyle w:val="nlmgiven-names"/>
        </w:rPr>
        <w:t>M. B.</w:t>
      </w:r>
      <w:r>
        <w:t xml:space="preserve">, </w:t>
      </w:r>
      <w:proofErr w:type="spellStart"/>
      <w:r>
        <w:rPr>
          <w:rStyle w:val="hlfld-contribauthor"/>
        </w:rPr>
        <w:t>Casiano</w:t>
      </w:r>
      <w:proofErr w:type="spellEnd"/>
      <w:r>
        <w:rPr>
          <w:rStyle w:val="hlfld-contribauthor"/>
        </w:rPr>
        <w:t xml:space="preserve">, </w:t>
      </w:r>
      <w:r>
        <w:rPr>
          <w:rStyle w:val="nlmgiven-names"/>
        </w:rPr>
        <w:t>D.</w:t>
      </w:r>
      <w:r>
        <w:t xml:space="preserve">, &amp; </w:t>
      </w:r>
      <w:r>
        <w:rPr>
          <w:rStyle w:val="hlfld-contribauthor"/>
        </w:rPr>
        <w:t xml:space="preserve">Thompson, </w:t>
      </w:r>
      <w:r>
        <w:rPr>
          <w:rStyle w:val="nlmgiven-names"/>
        </w:rPr>
        <w:t>D</w:t>
      </w:r>
      <w:r>
        <w:t>. (</w:t>
      </w:r>
      <w:r>
        <w:rPr>
          <w:rStyle w:val="nlmyear"/>
        </w:rPr>
        <w:t>2008</w:t>
      </w:r>
      <w:r>
        <w:t xml:space="preserve">). </w:t>
      </w:r>
      <w:r>
        <w:rPr>
          <w:rStyle w:val="nlmarticle-title"/>
        </w:rPr>
        <w:t>Early withdrawal from mental health treatment: Implications for psychotherapy practice</w:t>
      </w:r>
      <w:r>
        <w:t xml:space="preserve">. </w:t>
      </w:r>
      <w:r>
        <w:rPr>
          <w:i/>
          <w:iCs/>
        </w:rPr>
        <w:t>Psychotherapy</w:t>
      </w:r>
      <w:r>
        <w:t xml:space="preserve">, </w:t>
      </w:r>
      <w:r>
        <w:rPr>
          <w:i/>
          <w:iCs/>
        </w:rPr>
        <w:t>45</w:t>
      </w:r>
      <w:r>
        <w:t xml:space="preserve">(2), </w:t>
      </w:r>
      <w:r>
        <w:rPr>
          <w:rStyle w:val="nlmfpage"/>
        </w:rPr>
        <w:t>247</w:t>
      </w:r>
      <w:r>
        <w:t>–</w:t>
      </w:r>
      <w:r>
        <w:rPr>
          <w:rStyle w:val="nlmlpage"/>
        </w:rPr>
        <w:t>267</w:t>
      </w:r>
      <w:r>
        <w:t>.</w:t>
      </w:r>
    </w:p>
    <w:p w14:paraId="7529548C" w14:textId="6C426BC5" w:rsidR="00086656" w:rsidRDefault="00086656" w:rsidP="00086656">
      <w:pPr>
        <w:pStyle w:val="NoSpacing"/>
        <w:ind w:left="720" w:hanging="720"/>
      </w:pPr>
      <w:proofErr w:type="spellStart"/>
      <w:r>
        <w:rPr>
          <w:rStyle w:val="hlfld-contribauthor"/>
        </w:rPr>
        <w:t>Bauermeister</w:t>
      </w:r>
      <w:proofErr w:type="spellEnd"/>
      <w:r>
        <w:rPr>
          <w:rStyle w:val="hlfld-contribauthor"/>
        </w:rPr>
        <w:t xml:space="preserve">, </w:t>
      </w:r>
      <w:r>
        <w:rPr>
          <w:rStyle w:val="nlmgiven-names"/>
        </w:rPr>
        <w:t>J. J.</w:t>
      </w:r>
      <w:r>
        <w:t xml:space="preserve">, </w:t>
      </w:r>
      <w:proofErr w:type="spellStart"/>
      <w:r>
        <w:rPr>
          <w:rStyle w:val="hlfld-contribauthor"/>
        </w:rPr>
        <w:t>Canino</w:t>
      </w:r>
      <w:proofErr w:type="spellEnd"/>
      <w:r>
        <w:rPr>
          <w:rStyle w:val="hlfld-contribauthor"/>
        </w:rPr>
        <w:t xml:space="preserve">, </w:t>
      </w:r>
      <w:r>
        <w:rPr>
          <w:rStyle w:val="nlmgiven-names"/>
        </w:rPr>
        <w:t>G.</w:t>
      </w:r>
      <w:r>
        <w:t xml:space="preserve">, </w:t>
      </w:r>
      <w:r>
        <w:rPr>
          <w:rStyle w:val="hlfld-contribauthor"/>
        </w:rPr>
        <w:t xml:space="preserve">Bravo, </w:t>
      </w:r>
      <w:r>
        <w:rPr>
          <w:rStyle w:val="nlmgiven-names"/>
        </w:rPr>
        <w:t>M.</w:t>
      </w:r>
      <w:r>
        <w:t xml:space="preserve">, </w:t>
      </w:r>
      <w:r>
        <w:rPr>
          <w:rStyle w:val="hlfld-contribauthor"/>
        </w:rPr>
        <w:t xml:space="preserve">Ramírez, </w:t>
      </w:r>
      <w:r>
        <w:rPr>
          <w:rStyle w:val="nlmgiven-names"/>
        </w:rPr>
        <w:t>R.</w:t>
      </w:r>
      <w:r>
        <w:t xml:space="preserve">, </w:t>
      </w:r>
      <w:r>
        <w:rPr>
          <w:rStyle w:val="hlfld-contribauthor"/>
        </w:rPr>
        <w:t xml:space="preserve">Jensen, </w:t>
      </w:r>
      <w:r>
        <w:rPr>
          <w:rStyle w:val="nlmgiven-names"/>
        </w:rPr>
        <w:t>P. S.</w:t>
      </w:r>
      <w:r>
        <w:t xml:space="preserve">, </w:t>
      </w:r>
      <w:r>
        <w:rPr>
          <w:rStyle w:val="hlfld-contribauthor"/>
        </w:rPr>
        <w:t xml:space="preserve">Chavez, </w:t>
      </w:r>
      <w:r>
        <w:rPr>
          <w:rStyle w:val="nlmgiven-names"/>
        </w:rPr>
        <w:t>L.</w:t>
      </w:r>
      <w:r>
        <w:t xml:space="preserve">, … </w:t>
      </w:r>
      <w:r>
        <w:rPr>
          <w:rStyle w:val="hlfld-contribauthor"/>
        </w:rPr>
        <w:t xml:space="preserve">García, </w:t>
      </w:r>
      <w:r>
        <w:rPr>
          <w:rStyle w:val="nlmgiven-names"/>
        </w:rPr>
        <w:t>P</w:t>
      </w:r>
      <w:r>
        <w:t>. (</w:t>
      </w:r>
      <w:r>
        <w:rPr>
          <w:rStyle w:val="nlmyear"/>
        </w:rPr>
        <w:t>2003</w:t>
      </w:r>
      <w:r>
        <w:t xml:space="preserve">). </w:t>
      </w:r>
      <w:r>
        <w:rPr>
          <w:rStyle w:val="nlmarticle-title"/>
        </w:rPr>
        <w:t>Stimulant and psychosocial treatment of ADHD in Latino/Hispanic children</w:t>
      </w:r>
      <w:r>
        <w:t xml:space="preserve">. </w:t>
      </w:r>
      <w:r>
        <w:rPr>
          <w:i/>
          <w:iCs/>
        </w:rPr>
        <w:t>Journal of the American Academy of Child and Adolescent Psychiatry</w:t>
      </w:r>
      <w:r>
        <w:t xml:space="preserve">, </w:t>
      </w:r>
      <w:r>
        <w:rPr>
          <w:i/>
          <w:iCs/>
        </w:rPr>
        <w:t>42</w:t>
      </w:r>
      <w:r>
        <w:t xml:space="preserve">(7), </w:t>
      </w:r>
      <w:r>
        <w:rPr>
          <w:rStyle w:val="nlmfpage"/>
        </w:rPr>
        <w:t>851</w:t>
      </w:r>
      <w:r>
        <w:t>–</w:t>
      </w:r>
      <w:r>
        <w:rPr>
          <w:rStyle w:val="nlmlpage"/>
        </w:rPr>
        <w:t>855</w:t>
      </w:r>
      <w:r>
        <w:t xml:space="preserve">. </w:t>
      </w:r>
      <w:proofErr w:type="gramStart"/>
      <w:r>
        <w:t>doi:</w:t>
      </w:r>
      <w:r>
        <w:rPr>
          <w:rStyle w:val="nlmpub-id"/>
        </w:rPr>
        <w:t>10.1097/01.CHI</w:t>
      </w:r>
      <w:proofErr w:type="gramEnd"/>
      <w:r>
        <w:rPr>
          <w:rStyle w:val="nlmpub-id"/>
        </w:rPr>
        <w:t>.0000046864.56865.30</w:t>
      </w:r>
    </w:p>
    <w:p w14:paraId="5B2CE19D" w14:textId="0DF0BB59" w:rsidR="00086656" w:rsidRDefault="00086656" w:rsidP="00086656">
      <w:pPr>
        <w:pStyle w:val="NoSpacing"/>
        <w:ind w:left="720" w:hanging="720"/>
      </w:pPr>
      <w:r>
        <w:rPr>
          <w:rStyle w:val="hlfld-contribauthor"/>
        </w:rPr>
        <w:t xml:space="preserve">Bird, </w:t>
      </w:r>
      <w:r>
        <w:rPr>
          <w:rStyle w:val="nlmgiven-names"/>
        </w:rPr>
        <w:t>H. R</w:t>
      </w:r>
      <w:r>
        <w:t xml:space="preserve">., </w:t>
      </w:r>
      <w:proofErr w:type="spellStart"/>
      <w:r>
        <w:rPr>
          <w:rStyle w:val="hlfld-contribauthor"/>
        </w:rPr>
        <w:t>Shrout</w:t>
      </w:r>
      <w:proofErr w:type="spellEnd"/>
      <w:r>
        <w:rPr>
          <w:rStyle w:val="hlfld-contribauthor"/>
        </w:rPr>
        <w:t xml:space="preserve">, </w:t>
      </w:r>
      <w:r>
        <w:rPr>
          <w:rStyle w:val="nlmgiven-names"/>
        </w:rPr>
        <w:t>P. E</w:t>
      </w:r>
      <w:r>
        <w:t xml:space="preserve">., </w:t>
      </w:r>
      <w:r>
        <w:rPr>
          <w:rStyle w:val="hlfld-contribauthor"/>
        </w:rPr>
        <w:t xml:space="preserve">Duarte, </w:t>
      </w:r>
      <w:r>
        <w:rPr>
          <w:rStyle w:val="nlmgiven-names"/>
        </w:rPr>
        <w:t>C. S</w:t>
      </w:r>
      <w:r>
        <w:t xml:space="preserve">., </w:t>
      </w:r>
      <w:r>
        <w:rPr>
          <w:rStyle w:val="hlfld-contribauthor"/>
        </w:rPr>
        <w:t xml:space="preserve">Shen, </w:t>
      </w:r>
      <w:r>
        <w:rPr>
          <w:rStyle w:val="nlmgiven-names"/>
        </w:rPr>
        <w:t>S</w:t>
      </w:r>
      <w:r>
        <w:t xml:space="preserve">., </w:t>
      </w:r>
      <w:proofErr w:type="spellStart"/>
      <w:r>
        <w:rPr>
          <w:rStyle w:val="hlfld-contribauthor"/>
        </w:rPr>
        <w:t>Bauermeister</w:t>
      </w:r>
      <w:proofErr w:type="spellEnd"/>
      <w:r>
        <w:rPr>
          <w:rStyle w:val="hlfld-contribauthor"/>
        </w:rPr>
        <w:t xml:space="preserve">, </w:t>
      </w:r>
      <w:r>
        <w:rPr>
          <w:rStyle w:val="nlmgiven-names"/>
        </w:rPr>
        <w:t>J. J</w:t>
      </w:r>
      <w:r>
        <w:t xml:space="preserve">., &amp; </w:t>
      </w:r>
      <w:proofErr w:type="spellStart"/>
      <w:r>
        <w:rPr>
          <w:rStyle w:val="hlfld-contribauthor"/>
        </w:rPr>
        <w:t>Canino</w:t>
      </w:r>
      <w:proofErr w:type="spellEnd"/>
      <w:r>
        <w:rPr>
          <w:rStyle w:val="hlfld-contribauthor"/>
        </w:rPr>
        <w:t xml:space="preserve">, </w:t>
      </w:r>
      <w:r>
        <w:rPr>
          <w:rStyle w:val="nlmgiven-names"/>
        </w:rPr>
        <w:t>G</w:t>
      </w:r>
      <w:r>
        <w:rPr>
          <w:rStyle w:val="hlfld-contribauthor"/>
        </w:rPr>
        <w:t xml:space="preserve">. </w:t>
      </w:r>
      <w:r>
        <w:t>(</w:t>
      </w:r>
      <w:r>
        <w:rPr>
          <w:rStyle w:val="nlmyear"/>
        </w:rPr>
        <w:t>2008</w:t>
      </w:r>
      <w:r>
        <w:t xml:space="preserve">). </w:t>
      </w:r>
      <w:r>
        <w:rPr>
          <w:rStyle w:val="nlmarticle-title"/>
        </w:rPr>
        <w:t>Longitudinal mental health service and medication use for ADHD among Puerto Rican youth in two contexts</w:t>
      </w:r>
      <w:r>
        <w:t xml:space="preserve">. </w:t>
      </w:r>
      <w:r>
        <w:rPr>
          <w:i/>
          <w:iCs/>
        </w:rPr>
        <w:t>Journal of the American Academy of Child and Adolescent Psychiatry</w:t>
      </w:r>
      <w:r>
        <w:t xml:space="preserve">, </w:t>
      </w:r>
      <w:r>
        <w:rPr>
          <w:i/>
          <w:iCs/>
        </w:rPr>
        <w:t>47</w:t>
      </w:r>
      <w:r>
        <w:t xml:space="preserve">(8), </w:t>
      </w:r>
      <w:r>
        <w:rPr>
          <w:rStyle w:val="nlmfpage"/>
        </w:rPr>
        <w:t>879</w:t>
      </w:r>
      <w:r>
        <w:t>–</w:t>
      </w:r>
      <w:r>
        <w:rPr>
          <w:rStyle w:val="nlmlpage"/>
        </w:rPr>
        <w:t>889</w:t>
      </w:r>
      <w:r>
        <w:t>.</w:t>
      </w:r>
    </w:p>
    <w:p w14:paraId="1164FDB8" w14:textId="27B4B810" w:rsidR="00086656" w:rsidRDefault="00086656" w:rsidP="00086656">
      <w:pPr>
        <w:pStyle w:val="NoSpacing"/>
        <w:ind w:left="720" w:hanging="720"/>
      </w:pPr>
      <w:r>
        <w:rPr>
          <w:rStyle w:val="hlfld-contribauthor"/>
        </w:rPr>
        <w:t xml:space="preserve">Cabrera, </w:t>
      </w:r>
      <w:r>
        <w:rPr>
          <w:rStyle w:val="nlmgiven-names"/>
        </w:rPr>
        <w:t>N. J.</w:t>
      </w:r>
      <w:r>
        <w:t xml:space="preserve">, &amp; </w:t>
      </w:r>
      <w:r>
        <w:rPr>
          <w:rStyle w:val="hlfld-contribauthor"/>
        </w:rPr>
        <w:t xml:space="preserve">Bradley, </w:t>
      </w:r>
      <w:r>
        <w:rPr>
          <w:rStyle w:val="nlmgiven-names"/>
        </w:rPr>
        <w:t>R. H</w:t>
      </w:r>
      <w:r>
        <w:t>. (</w:t>
      </w:r>
      <w:r>
        <w:rPr>
          <w:rStyle w:val="nlmyear"/>
        </w:rPr>
        <w:t>2012</w:t>
      </w:r>
      <w:r>
        <w:t xml:space="preserve">). </w:t>
      </w:r>
      <w:r>
        <w:rPr>
          <w:rStyle w:val="nlmarticle-title"/>
        </w:rPr>
        <w:t>Latino fathers and their children</w:t>
      </w:r>
      <w:r>
        <w:t xml:space="preserve">. </w:t>
      </w:r>
      <w:r>
        <w:rPr>
          <w:i/>
          <w:iCs/>
        </w:rPr>
        <w:t>Child Development Perspectives</w:t>
      </w:r>
      <w:r>
        <w:t xml:space="preserve">, </w:t>
      </w:r>
      <w:r>
        <w:rPr>
          <w:i/>
          <w:iCs/>
        </w:rPr>
        <w:t>6</w:t>
      </w:r>
      <w:r>
        <w:t xml:space="preserve">(3), </w:t>
      </w:r>
      <w:r>
        <w:rPr>
          <w:rStyle w:val="nlmfpage"/>
        </w:rPr>
        <w:t>232</w:t>
      </w:r>
      <w:r>
        <w:t>–</w:t>
      </w:r>
      <w:r>
        <w:rPr>
          <w:rStyle w:val="nlmlpage"/>
        </w:rPr>
        <w:t>238</w:t>
      </w:r>
      <w:r>
        <w:t>. doi:</w:t>
      </w:r>
      <w:r>
        <w:rPr>
          <w:rStyle w:val="nlmpub-id"/>
        </w:rPr>
        <w:t>10.1111/j.1750-8606.</w:t>
      </w:r>
      <w:proofErr w:type="gramStart"/>
      <w:r>
        <w:rPr>
          <w:rStyle w:val="nlmpub-id"/>
        </w:rPr>
        <w:t>2012.00249.x</w:t>
      </w:r>
      <w:proofErr w:type="gramEnd"/>
    </w:p>
    <w:p w14:paraId="70C6ADAC" w14:textId="536CF183" w:rsidR="00086656" w:rsidRDefault="00086656" w:rsidP="00086656">
      <w:pPr>
        <w:pStyle w:val="NoSpacing"/>
        <w:ind w:left="720" w:hanging="720"/>
      </w:pPr>
      <w:proofErr w:type="spellStart"/>
      <w:r>
        <w:rPr>
          <w:rStyle w:val="hlfld-contribauthor"/>
        </w:rPr>
        <w:t>Calzada</w:t>
      </w:r>
      <w:proofErr w:type="spellEnd"/>
      <w:r>
        <w:rPr>
          <w:rStyle w:val="hlfld-contribauthor"/>
        </w:rPr>
        <w:t xml:space="preserve">, </w:t>
      </w:r>
      <w:r>
        <w:rPr>
          <w:rStyle w:val="nlmgiven-names"/>
        </w:rPr>
        <w:t>E. J</w:t>
      </w:r>
      <w:r>
        <w:t>. (</w:t>
      </w:r>
      <w:r>
        <w:rPr>
          <w:rStyle w:val="nlmyear"/>
        </w:rPr>
        <w:t>2010</w:t>
      </w:r>
      <w:r>
        <w:t xml:space="preserve">). </w:t>
      </w:r>
      <w:r>
        <w:rPr>
          <w:rStyle w:val="nlmarticle-title"/>
        </w:rPr>
        <w:t>Bringing culture into parent training with Latinos</w:t>
      </w:r>
      <w:r>
        <w:t xml:space="preserve">. </w:t>
      </w:r>
      <w:r>
        <w:rPr>
          <w:i/>
          <w:iCs/>
        </w:rPr>
        <w:t>Cognitive and Behavioral Practice</w:t>
      </w:r>
      <w:r>
        <w:t xml:space="preserve">, </w:t>
      </w:r>
      <w:r>
        <w:rPr>
          <w:i/>
          <w:iCs/>
        </w:rPr>
        <w:t>17</w:t>
      </w:r>
      <w:r>
        <w:t xml:space="preserve">(2), </w:t>
      </w:r>
      <w:r>
        <w:rPr>
          <w:rStyle w:val="nlmfpage"/>
        </w:rPr>
        <w:t>167</w:t>
      </w:r>
      <w:r>
        <w:t>–</w:t>
      </w:r>
      <w:r>
        <w:rPr>
          <w:rStyle w:val="nlmlpage"/>
        </w:rPr>
        <w:t>175</w:t>
      </w:r>
      <w:r>
        <w:t xml:space="preserve">. </w:t>
      </w:r>
      <w:proofErr w:type="gramStart"/>
      <w:r>
        <w:t>doi:</w:t>
      </w:r>
      <w:r>
        <w:rPr>
          <w:rStyle w:val="nlmpub-id"/>
        </w:rPr>
        <w:t>10.1016/j.cbpra</w:t>
      </w:r>
      <w:proofErr w:type="gramEnd"/>
      <w:r>
        <w:rPr>
          <w:rStyle w:val="nlmpub-id"/>
        </w:rPr>
        <w:t>.2010.01.003</w:t>
      </w:r>
    </w:p>
    <w:p w14:paraId="2F206DD7" w14:textId="6A2A3D29" w:rsidR="00086656" w:rsidRDefault="00086656" w:rsidP="00086656">
      <w:pPr>
        <w:pStyle w:val="NoSpacing"/>
        <w:ind w:left="720" w:hanging="720"/>
      </w:pPr>
      <w:proofErr w:type="spellStart"/>
      <w:r>
        <w:rPr>
          <w:rStyle w:val="hlfld-contribauthor"/>
        </w:rPr>
        <w:t>Cauce</w:t>
      </w:r>
      <w:proofErr w:type="spellEnd"/>
      <w:r>
        <w:rPr>
          <w:rStyle w:val="hlfld-contribauthor"/>
        </w:rPr>
        <w:t xml:space="preserve">, </w:t>
      </w:r>
      <w:r>
        <w:rPr>
          <w:rStyle w:val="nlmgiven-names"/>
        </w:rPr>
        <w:t>A. M.</w:t>
      </w:r>
      <w:r>
        <w:t xml:space="preserve">, </w:t>
      </w:r>
      <w:r>
        <w:rPr>
          <w:rStyle w:val="hlfld-contribauthor"/>
        </w:rPr>
        <w:t xml:space="preserve">Domenech-Rodríguez, </w:t>
      </w:r>
      <w:r>
        <w:rPr>
          <w:rStyle w:val="nlmgiven-names"/>
        </w:rPr>
        <w:t>M.</w:t>
      </w:r>
      <w:r>
        <w:t xml:space="preserve">, </w:t>
      </w:r>
      <w:r>
        <w:rPr>
          <w:rStyle w:val="hlfld-contribauthor"/>
        </w:rPr>
        <w:t xml:space="preserve">Paradise, </w:t>
      </w:r>
      <w:r>
        <w:rPr>
          <w:rStyle w:val="nlmgiven-names"/>
        </w:rPr>
        <w:t>M.</w:t>
      </w:r>
      <w:r>
        <w:t xml:space="preserve">, </w:t>
      </w:r>
      <w:r>
        <w:rPr>
          <w:rStyle w:val="hlfld-contribauthor"/>
        </w:rPr>
        <w:t xml:space="preserve">Cochran, </w:t>
      </w:r>
      <w:r>
        <w:rPr>
          <w:rStyle w:val="nlmgiven-names"/>
        </w:rPr>
        <w:t>B. N.</w:t>
      </w:r>
      <w:r>
        <w:t xml:space="preserve">, </w:t>
      </w:r>
      <w:r>
        <w:rPr>
          <w:rStyle w:val="hlfld-contribauthor"/>
        </w:rPr>
        <w:t xml:space="preserve">Shea, </w:t>
      </w:r>
      <w:r>
        <w:rPr>
          <w:rStyle w:val="nlmgiven-names"/>
        </w:rPr>
        <w:t>J. M.</w:t>
      </w:r>
      <w:r>
        <w:t xml:space="preserve">, </w:t>
      </w:r>
      <w:proofErr w:type="spellStart"/>
      <w:r>
        <w:rPr>
          <w:rStyle w:val="hlfld-contribauthor"/>
        </w:rPr>
        <w:t>Srebnik</w:t>
      </w:r>
      <w:proofErr w:type="spellEnd"/>
      <w:r>
        <w:rPr>
          <w:rStyle w:val="hlfld-contribauthor"/>
        </w:rPr>
        <w:t xml:space="preserve">, </w:t>
      </w:r>
      <w:r>
        <w:rPr>
          <w:rStyle w:val="nlmgiven-names"/>
        </w:rPr>
        <w:t>D.</w:t>
      </w:r>
      <w:r>
        <w:t xml:space="preserve">, &amp; </w:t>
      </w:r>
      <w:proofErr w:type="spellStart"/>
      <w:r>
        <w:rPr>
          <w:rStyle w:val="hlfld-contribauthor"/>
        </w:rPr>
        <w:t>Baydar</w:t>
      </w:r>
      <w:proofErr w:type="spellEnd"/>
      <w:r>
        <w:rPr>
          <w:rStyle w:val="hlfld-contribauthor"/>
        </w:rPr>
        <w:t xml:space="preserve">, </w:t>
      </w:r>
      <w:r>
        <w:rPr>
          <w:rStyle w:val="nlmgiven-names"/>
        </w:rPr>
        <w:t>N</w:t>
      </w:r>
      <w:r>
        <w:t>. (</w:t>
      </w:r>
      <w:r>
        <w:rPr>
          <w:rStyle w:val="nlmyear"/>
        </w:rPr>
        <w:t>2002</w:t>
      </w:r>
      <w:r>
        <w:t xml:space="preserve">). </w:t>
      </w:r>
      <w:r>
        <w:rPr>
          <w:rStyle w:val="nlmarticle-title"/>
        </w:rPr>
        <w:t>Cultural and contextual influences in mental health help seeking: A focus on ethnic minority youth</w:t>
      </w:r>
      <w:r>
        <w:t xml:space="preserve">. </w:t>
      </w:r>
      <w:r>
        <w:rPr>
          <w:i/>
          <w:iCs/>
        </w:rPr>
        <w:t>Journal of Consulting and Clinical Psychology</w:t>
      </w:r>
      <w:r>
        <w:t xml:space="preserve">, </w:t>
      </w:r>
      <w:r>
        <w:rPr>
          <w:i/>
          <w:iCs/>
        </w:rPr>
        <w:t>70</w:t>
      </w:r>
      <w:r>
        <w:t xml:space="preserve">(1), </w:t>
      </w:r>
      <w:r>
        <w:rPr>
          <w:rStyle w:val="nlmfpage"/>
        </w:rPr>
        <w:t>44</w:t>
      </w:r>
      <w:r>
        <w:t>–</w:t>
      </w:r>
      <w:r>
        <w:rPr>
          <w:rStyle w:val="nlmlpage"/>
        </w:rPr>
        <w:t>55</w:t>
      </w:r>
      <w:r>
        <w:t>. doi:</w:t>
      </w:r>
      <w:r>
        <w:rPr>
          <w:rStyle w:val="nlmpub-id"/>
        </w:rPr>
        <w:t>10.1037//0022-006X.70.1.44</w:t>
      </w:r>
    </w:p>
    <w:p w14:paraId="6AA5C45A" w14:textId="65E18236" w:rsidR="00086656" w:rsidRDefault="00086656" w:rsidP="00086656">
      <w:pPr>
        <w:pStyle w:val="NoSpacing"/>
        <w:ind w:left="720" w:hanging="720"/>
      </w:pPr>
      <w:proofErr w:type="spellStart"/>
      <w:r>
        <w:rPr>
          <w:rStyle w:val="hlfld-contribauthor"/>
        </w:rPr>
        <w:t>Corkum</w:t>
      </w:r>
      <w:proofErr w:type="spellEnd"/>
      <w:r>
        <w:rPr>
          <w:rStyle w:val="hlfld-contribauthor"/>
        </w:rPr>
        <w:t xml:space="preserve">, </w:t>
      </w:r>
      <w:r>
        <w:rPr>
          <w:rStyle w:val="nlmgiven-names"/>
        </w:rPr>
        <w:t>P.</w:t>
      </w:r>
      <w:r>
        <w:t xml:space="preserve">, </w:t>
      </w:r>
      <w:proofErr w:type="spellStart"/>
      <w:r>
        <w:rPr>
          <w:rStyle w:val="hlfld-contribauthor"/>
        </w:rPr>
        <w:t>Bessey</w:t>
      </w:r>
      <w:proofErr w:type="spellEnd"/>
      <w:r>
        <w:rPr>
          <w:rStyle w:val="hlfld-contribauthor"/>
        </w:rPr>
        <w:t xml:space="preserve">, </w:t>
      </w:r>
      <w:r>
        <w:rPr>
          <w:rStyle w:val="nlmgiven-names"/>
        </w:rPr>
        <w:t>M.</w:t>
      </w:r>
      <w:r>
        <w:t xml:space="preserve">, </w:t>
      </w:r>
      <w:r>
        <w:rPr>
          <w:rStyle w:val="hlfld-contribauthor"/>
        </w:rPr>
        <w:t xml:space="preserve">McGonnell, </w:t>
      </w:r>
      <w:r>
        <w:rPr>
          <w:rStyle w:val="nlmgiven-names"/>
        </w:rPr>
        <w:t>M.</w:t>
      </w:r>
      <w:r>
        <w:t xml:space="preserve">, &amp; </w:t>
      </w:r>
      <w:proofErr w:type="spellStart"/>
      <w:r>
        <w:rPr>
          <w:rStyle w:val="hlfld-contribauthor"/>
        </w:rPr>
        <w:t>Dorbeck</w:t>
      </w:r>
      <w:proofErr w:type="spellEnd"/>
      <w:r>
        <w:rPr>
          <w:rStyle w:val="hlfld-contribauthor"/>
        </w:rPr>
        <w:t xml:space="preserve">, </w:t>
      </w:r>
      <w:r>
        <w:rPr>
          <w:rStyle w:val="nlmgiven-names"/>
        </w:rPr>
        <w:t>A</w:t>
      </w:r>
      <w:r>
        <w:t>. (</w:t>
      </w:r>
      <w:r>
        <w:rPr>
          <w:rStyle w:val="nlmyear"/>
        </w:rPr>
        <w:t>2015</w:t>
      </w:r>
      <w:r>
        <w:t xml:space="preserve">). </w:t>
      </w:r>
      <w:r>
        <w:rPr>
          <w:rStyle w:val="nlmarticle-title"/>
        </w:rPr>
        <w:t>Barriers to evidence-based treatment for children with attention-deficit/hyperactivity disorder</w:t>
      </w:r>
      <w:r>
        <w:t xml:space="preserve">. </w:t>
      </w:r>
      <w:r>
        <w:rPr>
          <w:i/>
          <w:iCs/>
        </w:rPr>
        <w:t>ADHD Attention Deficit and Hyperactivity Disorders</w:t>
      </w:r>
      <w:r>
        <w:t xml:space="preserve">, </w:t>
      </w:r>
      <w:r>
        <w:rPr>
          <w:i/>
          <w:iCs/>
        </w:rPr>
        <w:t>7</w:t>
      </w:r>
      <w:r>
        <w:t xml:space="preserve">(1), </w:t>
      </w:r>
      <w:r>
        <w:rPr>
          <w:rStyle w:val="nlmfpage"/>
        </w:rPr>
        <w:t>49</w:t>
      </w:r>
      <w:r>
        <w:t>–</w:t>
      </w:r>
      <w:r>
        <w:rPr>
          <w:rStyle w:val="nlmlpage"/>
        </w:rPr>
        <w:t>74</w:t>
      </w:r>
      <w:r>
        <w:t>. doi:</w:t>
      </w:r>
      <w:r>
        <w:rPr>
          <w:rStyle w:val="nlmpub-id"/>
        </w:rPr>
        <w:t>10.1007/s12402-014-0152-z</w:t>
      </w:r>
    </w:p>
    <w:p w14:paraId="6A6FE606" w14:textId="7CA2902A" w:rsidR="00086656" w:rsidRDefault="00086656" w:rsidP="00086656">
      <w:pPr>
        <w:pStyle w:val="NoSpacing"/>
        <w:ind w:left="720" w:hanging="720"/>
      </w:pPr>
      <w:r>
        <w:rPr>
          <w:rStyle w:val="hlfld-contribauthor"/>
        </w:rPr>
        <w:t xml:space="preserve">Cuellar, </w:t>
      </w:r>
      <w:r>
        <w:rPr>
          <w:rStyle w:val="nlmgiven-names"/>
        </w:rPr>
        <w:t>I.</w:t>
      </w:r>
      <w:r>
        <w:t xml:space="preserve">, </w:t>
      </w:r>
      <w:r>
        <w:rPr>
          <w:rStyle w:val="hlfld-contribauthor"/>
        </w:rPr>
        <w:t xml:space="preserve">Arnold, </w:t>
      </w:r>
      <w:r>
        <w:rPr>
          <w:rStyle w:val="nlmgiven-names"/>
        </w:rPr>
        <w:t>B.</w:t>
      </w:r>
      <w:r>
        <w:t xml:space="preserve">, &amp; </w:t>
      </w:r>
      <w:r>
        <w:rPr>
          <w:rStyle w:val="hlfld-contribauthor"/>
        </w:rPr>
        <w:t xml:space="preserve">Maldonado, </w:t>
      </w:r>
      <w:r>
        <w:rPr>
          <w:rStyle w:val="nlmgiven-names"/>
        </w:rPr>
        <w:t>R</w:t>
      </w:r>
      <w:r>
        <w:t>. (</w:t>
      </w:r>
      <w:r>
        <w:rPr>
          <w:rStyle w:val="nlmyear"/>
        </w:rPr>
        <w:t>1995</w:t>
      </w:r>
      <w:r>
        <w:t xml:space="preserve">). </w:t>
      </w:r>
      <w:r>
        <w:rPr>
          <w:rStyle w:val="nlmarticle-title"/>
        </w:rPr>
        <w:t>Acculturation Rating Scale for Mexican Americans-II: A revision of the original ARSMA scale</w:t>
      </w:r>
      <w:r>
        <w:t xml:space="preserve">. </w:t>
      </w:r>
      <w:r>
        <w:rPr>
          <w:i/>
          <w:iCs/>
        </w:rPr>
        <w:t>Hispanic Journal of Behavioral Sciences</w:t>
      </w:r>
      <w:r>
        <w:t xml:space="preserve">, </w:t>
      </w:r>
      <w:r>
        <w:rPr>
          <w:i/>
          <w:iCs/>
        </w:rPr>
        <w:t>17</w:t>
      </w:r>
      <w:r>
        <w:t xml:space="preserve">(3), </w:t>
      </w:r>
      <w:r>
        <w:rPr>
          <w:rStyle w:val="nlmfpage"/>
        </w:rPr>
        <w:t>275</w:t>
      </w:r>
      <w:r>
        <w:t>–</w:t>
      </w:r>
      <w:r>
        <w:rPr>
          <w:rStyle w:val="nlmlpage"/>
        </w:rPr>
        <w:t>304</w:t>
      </w:r>
      <w:r>
        <w:t>. doi:</w:t>
      </w:r>
      <w:r>
        <w:rPr>
          <w:rStyle w:val="nlmpub-id"/>
        </w:rPr>
        <w:t>10.1177/07399863950173001</w:t>
      </w:r>
    </w:p>
    <w:p w14:paraId="06ADD3F4" w14:textId="13517E76" w:rsidR="00086656" w:rsidRDefault="00086656" w:rsidP="00086656">
      <w:pPr>
        <w:pStyle w:val="NoSpacing"/>
        <w:ind w:left="720" w:hanging="720"/>
      </w:pPr>
      <w:r>
        <w:rPr>
          <w:rStyle w:val="hlfld-contribauthor"/>
        </w:rPr>
        <w:t xml:space="preserve">de </w:t>
      </w:r>
      <w:proofErr w:type="spellStart"/>
      <w:r>
        <w:rPr>
          <w:rStyle w:val="hlfld-contribauthor"/>
        </w:rPr>
        <w:t>Haan</w:t>
      </w:r>
      <w:proofErr w:type="spellEnd"/>
      <w:r>
        <w:rPr>
          <w:rStyle w:val="hlfld-contribauthor"/>
        </w:rPr>
        <w:t xml:space="preserve">, </w:t>
      </w:r>
      <w:r>
        <w:rPr>
          <w:rStyle w:val="nlmgiven-names"/>
        </w:rPr>
        <w:t>A. M.</w:t>
      </w:r>
      <w:r>
        <w:t xml:space="preserve">, </w:t>
      </w:r>
      <w:r>
        <w:rPr>
          <w:rStyle w:val="hlfld-contribauthor"/>
        </w:rPr>
        <w:t xml:space="preserve">Boon, </w:t>
      </w:r>
      <w:r>
        <w:rPr>
          <w:rStyle w:val="nlmgiven-names"/>
        </w:rPr>
        <w:t>A. E.</w:t>
      </w:r>
      <w:r>
        <w:t xml:space="preserve">, </w:t>
      </w:r>
      <w:r>
        <w:rPr>
          <w:rStyle w:val="hlfld-contribauthor"/>
        </w:rPr>
        <w:t xml:space="preserve">de Jong, </w:t>
      </w:r>
      <w:r>
        <w:rPr>
          <w:rStyle w:val="nlmgiven-names"/>
        </w:rPr>
        <w:t>J. T.</w:t>
      </w:r>
      <w:r>
        <w:t xml:space="preserve">, </w:t>
      </w:r>
      <w:proofErr w:type="spellStart"/>
      <w:r>
        <w:rPr>
          <w:rStyle w:val="hlfld-contribauthor"/>
        </w:rPr>
        <w:t>Hoeve</w:t>
      </w:r>
      <w:proofErr w:type="spellEnd"/>
      <w:r>
        <w:rPr>
          <w:rStyle w:val="hlfld-contribauthor"/>
        </w:rPr>
        <w:t xml:space="preserve">, </w:t>
      </w:r>
      <w:r>
        <w:rPr>
          <w:rStyle w:val="nlmgiven-names"/>
        </w:rPr>
        <w:t>M.</w:t>
      </w:r>
      <w:r>
        <w:t xml:space="preserve">, &amp; </w:t>
      </w:r>
      <w:proofErr w:type="spellStart"/>
      <w:r>
        <w:rPr>
          <w:rStyle w:val="hlfld-contribauthor"/>
        </w:rPr>
        <w:t>Vermeiren</w:t>
      </w:r>
      <w:proofErr w:type="spellEnd"/>
      <w:r>
        <w:rPr>
          <w:rStyle w:val="hlfld-contribauthor"/>
        </w:rPr>
        <w:t xml:space="preserve">, </w:t>
      </w:r>
      <w:r>
        <w:rPr>
          <w:rStyle w:val="nlmgiven-names"/>
        </w:rPr>
        <w:t>R. R</w:t>
      </w:r>
      <w:r>
        <w:t>. (</w:t>
      </w:r>
      <w:r>
        <w:rPr>
          <w:rStyle w:val="nlmyear"/>
        </w:rPr>
        <w:t>2013</w:t>
      </w:r>
      <w:r>
        <w:t xml:space="preserve">). </w:t>
      </w:r>
      <w:r>
        <w:rPr>
          <w:rStyle w:val="nlmarticle-title"/>
        </w:rPr>
        <w:t>A meta-analytic review on treatment dropout in child and adolescent outpatient mental health care</w:t>
      </w:r>
      <w:r>
        <w:t xml:space="preserve">. </w:t>
      </w:r>
      <w:r>
        <w:rPr>
          <w:i/>
          <w:iCs/>
        </w:rPr>
        <w:t>Clinical Psychology Review</w:t>
      </w:r>
      <w:r>
        <w:t xml:space="preserve">, </w:t>
      </w:r>
      <w:r>
        <w:rPr>
          <w:i/>
          <w:iCs/>
        </w:rPr>
        <w:t>33</w:t>
      </w:r>
      <w:r>
        <w:t xml:space="preserve">(5), </w:t>
      </w:r>
      <w:r>
        <w:rPr>
          <w:rStyle w:val="nlmfpage"/>
        </w:rPr>
        <w:t>698</w:t>
      </w:r>
      <w:r>
        <w:t>–</w:t>
      </w:r>
      <w:r>
        <w:rPr>
          <w:rStyle w:val="nlmlpage"/>
        </w:rPr>
        <w:t>711</w:t>
      </w:r>
      <w:r>
        <w:t xml:space="preserve">. </w:t>
      </w:r>
      <w:proofErr w:type="gramStart"/>
      <w:r>
        <w:t>doi:</w:t>
      </w:r>
      <w:r>
        <w:rPr>
          <w:rStyle w:val="nlmpub-id"/>
        </w:rPr>
        <w:t>10.1016/j.cpr</w:t>
      </w:r>
      <w:proofErr w:type="gramEnd"/>
      <w:r>
        <w:rPr>
          <w:rStyle w:val="nlmpub-id"/>
        </w:rPr>
        <w:t>.2013.04.005</w:t>
      </w:r>
    </w:p>
    <w:p w14:paraId="14581286" w14:textId="1FB9C940" w:rsidR="00086656" w:rsidRDefault="00086656" w:rsidP="00086656">
      <w:pPr>
        <w:pStyle w:val="NoSpacing"/>
        <w:ind w:left="720" w:hanging="720"/>
      </w:pPr>
      <w:proofErr w:type="spellStart"/>
      <w:r>
        <w:rPr>
          <w:rStyle w:val="hlfld-contribauthor"/>
        </w:rPr>
        <w:t>Eiraldi</w:t>
      </w:r>
      <w:proofErr w:type="spellEnd"/>
      <w:r>
        <w:rPr>
          <w:rStyle w:val="hlfld-contribauthor"/>
        </w:rPr>
        <w:t xml:space="preserve">, </w:t>
      </w:r>
      <w:r>
        <w:rPr>
          <w:rStyle w:val="nlmgiven-names"/>
        </w:rPr>
        <w:t>R.</w:t>
      </w:r>
      <w:r>
        <w:t xml:space="preserve">, &amp; </w:t>
      </w:r>
      <w:r>
        <w:rPr>
          <w:rStyle w:val="hlfld-contribauthor"/>
        </w:rPr>
        <w:t xml:space="preserve">Diaz, </w:t>
      </w:r>
      <w:r>
        <w:rPr>
          <w:rStyle w:val="nlmgiven-names"/>
        </w:rPr>
        <w:t>Y</w:t>
      </w:r>
      <w:r>
        <w:t>. (</w:t>
      </w:r>
      <w:r>
        <w:rPr>
          <w:rStyle w:val="nlmyear"/>
        </w:rPr>
        <w:t>2010</w:t>
      </w:r>
      <w:r>
        <w:t xml:space="preserve">). </w:t>
      </w:r>
      <w:r>
        <w:rPr>
          <w:rStyle w:val="nlmarticle-title"/>
        </w:rPr>
        <w:t>Use of treatment services for attention-deficit/hyperactivity disorder in Latino children</w:t>
      </w:r>
      <w:r>
        <w:t xml:space="preserve">. </w:t>
      </w:r>
      <w:r>
        <w:rPr>
          <w:i/>
          <w:iCs/>
        </w:rPr>
        <w:t>Current Psychiatry Reports</w:t>
      </w:r>
      <w:r>
        <w:t xml:space="preserve">, </w:t>
      </w:r>
      <w:r>
        <w:rPr>
          <w:i/>
          <w:iCs/>
        </w:rPr>
        <w:t>12</w:t>
      </w:r>
      <w:r>
        <w:t xml:space="preserve">(5), </w:t>
      </w:r>
      <w:r>
        <w:rPr>
          <w:rStyle w:val="nlmfpage"/>
        </w:rPr>
        <w:t>403</w:t>
      </w:r>
      <w:r>
        <w:t>–</w:t>
      </w:r>
      <w:r>
        <w:rPr>
          <w:rStyle w:val="nlmlpage"/>
        </w:rPr>
        <w:t>408</w:t>
      </w:r>
      <w:r>
        <w:t>. doi:</w:t>
      </w:r>
      <w:r>
        <w:rPr>
          <w:rStyle w:val="nlmpub-id"/>
        </w:rPr>
        <w:t>10.1007/s11920-010-0139-1</w:t>
      </w:r>
    </w:p>
    <w:p w14:paraId="7FA79B52" w14:textId="0BDF1749" w:rsidR="00086656" w:rsidRDefault="00086656" w:rsidP="00086656">
      <w:pPr>
        <w:pStyle w:val="NoSpacing"/>
        <w:ind w:left="720" w:hanging="720"/>
      </w:pPr>
      <w:r>
        <w:rPr>
          <w:rStyle w:val="hlfld-contribauthor"/>
        </w:rPr>
        <w:t xml:space="preserve">Ennis, </w:t>
      </w:r>
      <w:r>
        <w:rPr>
          <w:rStyle w:val="nlmgiven-names"/>
        </w:rPr>
        <w:t>S. R.</w:t>
      </w:r>
      <w:r>
        <w:t xml:space="preserve">, </w:t>
      </w:r>
      <w:r>
        <w:rPr>
          <w:rStyle w:val="hlfld-contribauthor"/>
        </w:rPr>
        <w:t xml:space="preserve">Ríos-Vargas, </w:t>
      </w:r>
      <w:r>
        <w:rPr>
          <w:rStyle w:val="nlmgiven-names"/>
        </w:rPr>
        <w:t>M.</w:t>
      </w:r>
      <w:r>
        <w:t xml:space="preserve">, &amp; </w:t>
      </w:r>
      <w:r>
        <w:rPr>
          <w:rStyle w:val="hlfld-contribauthor"/>
        </w:rPr>
        <w:t xml:space="preserve">Albert, </w:t>
      </w:r>
      <w:r>
        <w:rPr>
          <w:rStyle w:val="nlmgiven-names"/>
        </w:rPr>
        <w:t>N. G</w:t>
      </w:r>
      <w:r>
        <w:t>. (</w:t>
      </w:r>
      <w:r>
        <w:rPr>
          <w:rStyle w:val="nlmyear"/>
        </w:rPr>
        <w:t>2011</w:t>
      </w:r>
      <w:r>
        <w:t xml:space="preserve">). </w:t>
      </w:r>
      <w:r>
        <w:rPr>
          <w:i/>
          <w:iCs/>
        </w:rPr>
        <w:t>The Hispanic population: 2010</w:t>
      </w:r>
      <w:r>
        <w:t xml:space="preserve">. Retrieved from </w:t>
      </w:r>
      <w:hyperlink r:id="rId52" w:tgtFrame="_blank" w:history="1">
        <w:r>
          <w:rPr>
            <w:rStyle w:val="Hyperlink"/>
          </w:rPr>
          <w:t>https://www.census.gov/prod/cen2010/briefs/c2010br-04.pdf</w:t>
        </w:r>
      </w:hyperlink>
      <w:r>
        <w:t>.</w:t>
      </w:r>
    </w:p>
    <w:p w14:paraId="21C8A28A" w14:textId="587075D5" w:rsidR="00086656" w:rsidRDefault="00086656" w:rsidP="00086656">
      <w:pPr>
        <w:pStyle w:val="NoSpacing"/>
        <w:ind w:left="720" w:hanging="720"/>
      </w:pPr>
      <w:r>
        <w:rPr>
          <w:rStyle w:val="hlfld-contribauthor"/>
        </w:rPr>
        <w:lastRenderedPageBreak/>
        <w:t xml:space="preserve">Fernández, </w:t>
      </w:r>
      <w:r>
        <w:rPr>
          <w:rStyle w:val="nlmgiven-names"/>
        </w:rPr>
        <w:t>M. C.</w:t>
      </w:r>
      <w:r>
        <w:t xml:space="preserve">, &amp; </w:t>
      </w:r>
      <w:proofErr w:type="spellStart"/>
      <w:r>
        <w:rPr>
          <w:rStyle w:val="hlfld-contribauthor"/>
        </w:rPr>
        <w:t>Arcia</w:t>
      </w:r>
      <w:proofErr w:type="spellEnd"/>
      <w:r>
        <w:rPr>
          <w:rStyle w:val="hlfld-contribauthor"/>
        </w:rPr>
        <w:t xml:space="preserve">, </w:t>
      </w:r>
      <w:r>
        <w:rPr>
          <w:rStyle w:val="nlmgiven-names"/>
        </w:rPr>
        <w:t>E</w:t>
      </w:r>
      <w:r>
        <w:t>. (</w:t>
      </w:r>
      <w:r>
        <w:rPr>
          <w:rStyle w:val="nlmyear"/>
        </w:rPr>
        <w:t>2004</w:t>
      </w:r>
      <w:r>
        <w:t xml:space="preserve">). </w:t>
      </w:r>
      <w:r>
        <w:rPr>
          <w:rStyle w:val="nlmarticle-title"/>
        </w:rPr>
        <w:t>Disruptive behaviors and maternal responsibility: A complex portrait of stigma, self-blame, and other reactions</w:t>
      </w:r>
      <w:r>
        <w:t xml:space="preserve">. </w:t>
      </w:r>
      <w:r>
        <w:rPr>
          <w:i/>
          <w:iCs/>
        </w:rPr>
        <w:t>Hispanic Journal of Behavioral Sciences</w:t>
      </w:r>
      <w:r>
        <w:t xml:space="preserve">, </w:t>
      </w:r>
      <w:r>
        <w:rPr>
          <w:i/>
          <w:iCs/>
        </w:rPr>
        <w:t>26</w:t>
      </w:r>
      <w:r>
        <w:t xml:space="preserve">(3), </w:t>
      </w:r>
      <w:r>
        <w:rPr>
          <w:rStyle w:val="nlmfpage"/>
        </w:rPr>
        <w:t>356</w:t>
      </w:r>
      <w:r>
        <w:t>–</w:t>
      </w:r>
      <w:r>
        <w:rPr>
          <w:rStyle w:val="nlmlpage"/>
        </w:rPr>
        <w:t>372</w:t>
      </w:r>
      <w:r>
        <w:t>. doi:</w:t>
      </w:r>
      <w:r>
        <w:rPr>
          <w:rStyle w:val="nlmpub-id"/>
        </w:rPr>
        <w:t>10.1177/0739986304267208</w:t>
      </w:r>
    </w:p>
    <w:p w14:paraId="605C6E50" w14:textId="29F3A8A1" w:rsidR="00086656" w:rsidRDefault="00086656" w:rsidP="00086656">
      <w:pPr>
        <w:pStyle w:val="NoSpacing"/>
        <w:ind w:left="720" w:hanging="720"/>
      </w:pPr>
      <w:r>
        <w:rPr>
          <w:rStyle w:val="hlfld-contribauthor"/>
        </w:rPr>
        <w:t xml:space="preserve">Forehand, </w:t>
      </w:r>
      <w:r>
        <w:rPr>
          <w:rStyle w:val="nlmgiven-names"/>
        </w:rPr>
        <w:t>R.</w:t>
      </w:r>
      <w:r>
        <w:t xml:space="preserve">, &amp; </w:t>
      </w:r>
      <w:proofErr w:type="spellStart"/>
      <w:r>
        <w:rPr>
          <w:rStyle w:val="hlfld-contribauthor"/>
        </w:rPr>
        <w:t>Kotchick</w:t>
      </w:r>
      <w:proofErr w:type="spellEnd"/>
      <w:r>
        <w:rPr>
          <w:rStyle w:val="hlfld-contribauthor"/>
        </w:rPr>
        <w:t xml:space="preserve">, </w:t>
      </w:r>
      <w:r>
        <w:rPr>
          <w:rStyle w:val="nlmgiven-names"/>
        </w:rPr>
        <w:t>B. A</w:t>
      </w:r>
      <w:r>
        <w:t>. (</w:t>
      </w:r>
      <w:r>
        <w:rPr>
          <w:rStyle w:val="nlmyear"/>
        </w:rPr>
        <w:t>1996</w:t>
      </w:r>
      <w:r>
        <w:t xml:space="preserve">). </w:t>
      </w:r>
      <w:r>
        <w:rPr>
          <w:rStyle w:val="nlmarticle-title"/>
        </w:rPr>
        <w:t>Cultural diversity: A wake-up call for parent training</w:t>
      </w:r>
      <w:r>
        <w:t xml:space="preserve">. </w:t>
      </w:r>
      <w:r>
        <w:rPr>
          <w:i/>
          <w:iCs/>
        </w:rPr>
        <w:t>Behavior Therapy</w:t>
      </w:r>
      <w:r>
        <w:t xml:space="preserve">, </w:t>
      </w:r>
      <w:r>
        <w:rPr>
          <w:i/>
          <w:iCs/>
        </w:rPr>
        <w:t>27</w:t>
      </w:r>
      <w:r>
        <w:t xml:space="preserve">(2), </w:t>
      </w:r>
      <w:r>
        <w:rPr>
          <w:rStyle w:val="nlmfpage"/>
        </w:rPr>
        <w:t>187</w:t>
      </w:r>
      <w:r>
        <w:t>–</w:t>
      </w:r>
      <w:r>
        <w:rPr>
          <w:rStyle w:val="nlmlpage"/>
        </w:rPr>
        <w:t>206</w:t>
      </w:r>
      <w:r>
        <w:t>. doi:</w:t>
      </w:r>
      <w:r>
        <w:rPr>
          <w:rStyle w:val="nlmpub-id"/>
        </w:rPr>
        <w:t>10.1016/S0005-7894(96)80014-1</w:t>
      </w:r>
    </w:p>
    <w:p w14:paraId="0336DF0C" w14:textId="1C90581D" w:rsidR="00086656" w:rsidRDefault="00086656" w:rsidP="00086656">
      <w:pPr>
        <w:pStyle w:val="NoSpacing"/>
        <w:ind w:left="720" w:hanging="720"/>
      </w:pPr>
      <w:r>
        <w:rPr>
          <w:rStyle w:val="hlfld-contribauthor"/>
        </w:rPr>
        <w:t xml:space="preserve">Forehand, </w:t>
      </w:r>
      <w:r>
        <w:rPr>
          <w:rStyle w:val="nlmgiven-names"/>
        </w:rPr>
        <w:t>R.</w:t>
      </w:r>
      <w:r>
        <w:t xml:space="preserve">, &amp; </w:t>
      </w:r>
      <w:proofErr w:type="spellStart"/>
      <w:r>
        <w:rPr>
          <w:rStyle w:val="hlfld-contribauthor"/>
        </w:rPr>
        <w:t>Kotchick</w:t>
      </w:r>
      <w:proofErr w:type="spellEnd"/>
      <w:r>
        <w:rPr>
          <w:rStyle w:val="hlfld-contribauthor"/>
        </w:rPr>
        <w:t xml:space="preserve">, </w:t>
      </w:r>
      <w:r>
        <w:rPr>
          <w:rStyle w:val="nlmgiven-names"/>
        </w:rPr>
        <w:t>B. A</w:t>
      </w:r>
      <w:r>
        <w:t>. (</w:t>
      </w:r>
      <w:r>
        <w:rPr>
          <w:rStyle w:val="nlmyear"/>
        </w:rPr>
        <w:t>2002</w:t>
      </w:r>
      <w:r>
        <w:t xml:space="preserve">). </w:t>
      </w:r>
      <w:r>
        <w:rPr>
          <w:rStyle w:val="nlmarticle-title"/>
        </w:rPr>
        <w:t>Behavioral parent training: Current challenges and potential solutions</w:t>
      </w:r>
      <w:r>
        <w:t xml:space="preserve">. </w:t>
      </w:r>
      <w:r>
        <w:rPr>
          <w:i/>
          <w:iCs/>
        </w:rPr>
        <w:t>Journal of Child and Family Studies</w:t>
      </w:r>
      <w:r>
        <w:t xml:space="preserve">, </w:t>
      </w:r>
      <w:r>
        <w:rPr>
          <w:i/>
          <w:iCs/>
        </w:rPr>
        <w:t>11</w:t>
      </w:r>
      <w:r>
        <w:t xml:space="preserve">(4), </w:t>
      </w:r>
      <w:r>
        <w:rPr>
          <w:rStyle w:val="nlmfpage"/>
        </w:rPr>
        <w:t>377</w:t>
      </w:r>
      <w:r>
        <w:t>–</w:t>
      </w:r>
      <w:r>
        <w:rPr>
          <w:rStyle w:val="nlmlpage"/>
        </w:rPr>
        <w:t>384</w:t>
      </w:r>
      <w:r>
        <w:t>. doi:</w:t>
      </w:r>
      <w:r>
        <w:rPr>
          <w:rStyle w:val="nlmpub-id"/>
        </w:rPr>
        <w:t>10.1023/A:1020913422609</w:t>
      </w:r>
    </w:p>
    <w:p w14:paraId="33A6DAA7" w14:textId="0899ADAD" w:rsidR="00086656" w:rsidRDefault="00086656" w:rsidP="00086656">
      <w:pPr>
        <w:pStyle w:val="NoSpacing"/>
        <w:ind w:left="720" w:hanging="720"/>
      </w:pPr>
      <w:r>
        <w:rPr>
          <w:rStyle w:val="hlfld-contribauthor"/>
        </w:rPr>
        <w:t xml:space="preserve">García Coll, </w:t>
      </w:r>
      <w:r>
        <w:rPr>
          <w:rStyle w:val="nlmgiven-names"/>
        </w:rPr>
        <w:t>C. T.</w:t>
      </w:r>
      <w:r>
        <w:t xml:space="preserve">, &amp; </w:t>
      </w:r>
      <w:r>
        <w:rPr>
          <w:rStyle w:val="hlfld-contribauthor"/>
        </w:rPr>
        <w:t xml:space="preserve">Marks, </w:t>
      </w:r>
      <w:r>
        <w:rPr>
          <w:rStyle w:val="nlmgiven-names"/>
        </w:rPr>
        <w:t>A. K</w:t>
      </w:r>
      <w:r>
        <w:t>. (</w:t>
      </w:r>
      <w:r>
        <w:rPr>
          <w:rStyle w:val="nlmyear"/>
        </w:rPr>
        <w:t>2012</w:t>
      </w:r>
      <w:r>
        <w:t xml:space="preserve">). </w:t>
      </w:r>
      <w:r>
        <w:rPr>
          <w:i/>
          <w:iCs/>
        </w:rPr>
        <w:t>The immigrant paradox in children and adolescents: Is becoming American a developmental risk?</w:t>
      </w:r>
      <w:r>
        <w:t xml:space="preserve"> </w:t>
      </w:r>
      <w:r>
        <w:rPr>
          <w:rStyle w:val="nlmpublisher-loc"/>
        </w:rPr>
        <w:t>Washington, DC</w:t>
      </w:r>
      <w:r>
        <w:t xml:space="preserve">: </w:t>
      </w:r>
      <w:r>
        <w:rPr>
          <w:rStyle w:val="nlmpublisher-name"/>
        </w:rPr>
        <w:t>American Psychological Association</w:t>
      </w:r>
      <w:r>
        <w:t>.</w:t>
      </w:r>
    </w:p>
    <w:p w14:paraId="153D0874" w14:textId="52B20231" w:rsidR="00086656" w:rsidRDefault="00086656" w:rsidP="00086656">
      <w:pPr>
        <w:pStyle w:val="NoSpacing"/>
        <w:ind w:left="720" w:hanging="720"/>
      </w:pPr>
      <w:r>
        <w:rPr>
          <w:rStyle w:val="hlfld-contribauthor"/>
        </w:rPr>
        <w:t xml:space="preserve">Garland, </w:t>
      </w:r>
      <w:r>
        <w:rPr>
          <w:rStyle w:val="nlmgiven-names"/>
        </w:rPr>
        <w:t>A. F.</w:t>
      </w:r>
      <w:r>
        <w:t xml:space="preserve">, </w:t>
      </w:r>
      <w:r>
        <w:rPr>
          <w:rStyle w:val="hlfld-contribauthor"/>
        </w:rPr>
        <w:t xml:space="preserve">Lau, </w:t>
      </w:r>
      <w:r>
        <w:rPr>
          <w:rStyle w:val="nlmgiven-names"/>
        </w:rPr>
        <w:t>A. S.</w:t>
      </w:r>
      <w:r>
        <w:t xml:space="preserve">, </w:t>
      </w:r>
      <w:r>
        <w:rPr>
          <w:rStyle w:val="hlfld-contribauthor"/>
        </w:rPr>
        <w:t xml:space="preserve">Yeh, </w:t>
      </w:r>
      <w:r>
        <w:rPr>
          <w:rStyle w:val="nlmgiven-names"/>
        </w:rPr>
        <w:t>M.</w:t>
      </w:r>
      <w:r>
        <w:t xml:space="preserve">, </w:t>
      </w:r>
      <w:r>
        <w:rPr>
          <w:rStyle w:val="hlfld-contribauthor"/>
        </w:rPr>
        <w:t xml:space="preserve">McCabe, </w:t>
      </w:r>
      <w:r>
        <w:rPr>
          <w:rStyle w:val="nlmgiven-names"/>
        </w:rPr>
        <w:t>K. M.</w:t>
      </w:r>
      <w:r>
        <w:t xml:space="preserve">, </w:t>
      </w:r>
      <w:r>
        <w:rPr>
          <w:rStyle w:val="hlfld-contribauthor"/>
        </w:rPr>
        <w:t xml:space="preserve">Hough, </w:t>
      </w:r>
      <w:r>
        <w:rPr>
          <w:rStyle w:val="nlmgiven-names"/>
        </w:rPr>
        <w:t>R. L.</w:t>
      </w:r>
      <w:r>
        <w:t xml:space="preserve">, &amp; </w:t>
      </w:r>
      <w:r>
        <w:rPr>
          <w:rStyle w:val="hlfld-contribauthor"/>
        </w:rPr>
        <w:t xml:space="preserve">Landsverk, </w:t>
      </w:r>
      <w:r>
        <w:rPr>
          <w:rStyle w:val="nlmgiven-names"/>
        </w:rPr>
        <w:t>J. A</w:t>
      </w:r>
      <w:r>
        <w:t>. (</w:t>
      </w:r>
      <w:r>
        <w:rPr>
          <w:rStyle w:val="nlmyear"/>
        </w:rPr>
        <w:t>2005</w:t>
      </w:r>
      <w:r>
        <w:t xml:space="preserve">). </w:t>
      </w:r>
      <w:r>
        <w:rPr>
          <w:rStyle w:val="nlmarticle-title"/>
        </w:rPr>
        <w:t>Racial and ethnic differences in utilization of mental health services among high-risk youths</w:t>
      </w:r>
      <w:r>
        <w:t xml:space="preserve">. </w:t>
      </w:r>
      <w:r>
        <w:rPr>
          <w:i/>
          <w:iCs/>
        </w:rPr>
        <w:t>American Journal of Psychiatry</w:t>
      </w:r>
      <w:r>
        <w:t xml:space="preserve">, </w:t>
      </w:r>
      <w:r>
        <w:rPr>
          <w:i/>
          <w:iCs/>
        </w:rPr>
        <w:t>162</w:t>
      </w:r>
      <w:r>
        <w:t xml:space="preserve">(7), </w:t>
      </w:r>
      <w:r>
        <w:rPr>
          <w:rStyle w:val="nlmfpage"/>
        </w:rPr>
        <w:t>1336</w:t>
      </w:r>
      <w:r>
        <w:t>–</w:t>
      </w:r>
      <w:r>
        <w:rPr>
          <w:rStyle w:val="nlmlpage"/>
        </w:rPr>
        <w:t>1343</w:t>
      </w:r>
      <w:r>
        <w:t xml:space="preserve">. </w:t>
      </w:r>
      <w:proofErr w:type="gramStart"/>
      <w:r>
        <w:t>doi:</w:t>
      </w:r>
      <w:r>
        <w:rPr>
          <w:rStyle w:val="nlmpub-id"/>
        </w:rPr>
        <w:t>10.1176/appi.ajp</w:t>
      </w:r>
      <w:proofErr w:type="gramEnd"/>
      <w:r>
        <w:rPr>
          <w:rStyle w:val="nlmpub-id"/>
        </w:rPr>
        <w:t>.162.7.1336</w:t>
      </w:r>
    </w:p>
    <w:p w14:paraId="2A22594B" w14:textId="0F716816" w:rsidR="00086656" w:rsidRDefault="00086656" w:rsidP="00086656">
      <w:pPr>
        <w:pStyle w:val="NoSpacing"/>
        <w:ind w:left="720" w:hanging="720"/>
      </w:pPr>
      <w:proofErr w:type="spellStart"/>
      <w:r>
        <w:rPr>
          <w:rStyle w:val="hlfld-contribauthor"/>
        </w:rPr>
        <w:t>Gazmararian</w:t>
      </w:r>
      <w:proofErr w:type="spellEnd"/>
      <w:r>
        <w:rPr>
          <w:rStyle w:val="hlfld-contribauthor"/>
        </w:rPr>
        <w:t xml:space="preserve">, </w:t>
      </w:r>
      <w:r>
        <w:rPr>
          <w:rStyle w:val="nlmgiven-names"/>
        </w:rPr>
        <w:t>J. A.</w:t>
      </w:r>
      <w:r>
        <w:t xml:space="preserve">, </w:t>
      </w:r>
      <w:r>
        <w:rPr>
          <w:rStyle w:val="hlfld-contribauthor"/>
        </w:rPr>
        <w:t xml:space="preserve">Curran, </w:t>
      </w:r>
      <w:r>
        <w:rPr>
          <w:rStyle w:val="nlmgiven-names"/>
        </w:rPr>
        <w:t>J. W.</w:t>
      </w:r>
      <w:r>
        <w:t xml:space="preserve">, </w:t>
      </w:r>
      <w:r>
        <w:rPr>
          <w:rStyle w:val="hlfld-contribauthor"/>
        </w:rPr>
        <w:t xml:space="preserve">Parker, </w:t>
      </w:r>
      <w:r>
        <w:rPr>
          <w:rStyle w:val="nlmgiven-names"/>
        </w:rPr>
        <w:t>R. M.</w:t>
      </w:r>
      <w:r>
        <w:t xml:space="preserve">, </w:t>
      </w:r>
      <w:r>
        <w:rPr>
          <w:rStyle w:val="hlfld-contribauthor"/>
        </w:rPr>
        <w:t xml:space="preserve">Bernhardt, </w:t>
      </w:r>
      <w:r>
        <w:rPr>
          <w:rStyle w:val="nlmgiven-names"/>
        </w:rPr>
        <w:t>J. M.</w:t>
      </w:r>
      <w:r>
        <w:t xml:space="preserve">, &amp; </w:t>
      </w:r>
      <w:proofErr w:type="spellStart"/>
      <w:r>
        <w:rPr>
          <w:rStyle w:val="hlfld-contribauthor"/>
        </w:rPr>
        <w:t>DeBuono</w:t>
      </w:r>
      <w:proofErr w:type="spellEnd"/>
      <w:r>
        <w:rPr>
          <w:rStyle w:val="hlfld-contribauthor"/>
        </w:rPr>
        <w:t xml:space="preserve">, </w:t>
      </w:r>
      <w:r>
        <w:rPr>
          <w:rStyle w:val="nlmgiven-names"/>
        </w:rPr>
        <w:t>B. A</w:t>
      </w:r>
      <w:r>
        <w:t>. (</w:t>
      </w:r>
      <w:r>
        <w:rPr>
          <w:rStyle w:val="nlmyear"/>
        </w:rPr>
        <w:t>2005</w:t>
      </w:r>
      <w:r>
        <w:t xml:space="preserve">). </w:t>
      </w:r>
      <w:r>
        <w:rPr>
          <w:rStyle w:val="nlmarticle-title"/>
        </w:rPr>
        <w:t>Public health literacy in America: An ethical imperative</w:t>
      </w:r>
      <w:r>
        <w:t xml:space="preserve">. </w:t>
      </w:r>
      <w:r>
        <w:rPr>
          <w:i/>
          <w:iCs/>
        </w:rPr>
        <w:t>American Journal of Preventive Medicine</w:t>
      </w:r>
      <w:r>
        <w:t xml:space="preserve">, </w:t>
      </w:r>
      <w:r>
        <w:rPr>
          <w:i/>
          <w:iCs/>
        </w:rPr>
        <w:t>28</w:t>
      </w:r>
      <w:r>
        <w:t xml:space="preserve">(3), </w:t>
      </w:r>
      <w:r>
        <w:rPr>
          <w:rStyle w:val="nlmfpage"/>
        </w:rPr>
        <w:t>317</w:t>
      </w:r>
      <w:r>
        <w:t>–</w:t>
      </w:r>
      <w:r>
        <w:rPr>
          <w:rStyle w:val="nlmlpage"/>
        </w:rPr>
        <w:t>322</w:t>
      </w:r>
      <w:r>
        <w:t xml:space="preserve">. </w:t>
      </w:r>
      <w:proofErr w:type="gramStart"/>
      <w:r>
        <w:t>doi:</w:t>
      </w:r>
      <w:r>
        <w:rPr>
          <w:rStyle w:val="nlmpub-id"/>
        </w:rPr>
        <w:t>10.1016/j.amepre</w:t>
      </w:r>
      <w:proofErr w:type="gramEnd"/>
      <w:r>
        <w:rPr>
          <w:rStyle w:val="nlmpub-id"/>
        </w:rPr>
        <w:t>.2004.11.004</w:t>
      </w:r>
    </w:p>
    <w:p w14:paraId="0A700776" w14:textId="0F15AE3F" w:rsidR="00086656" w:rsidRDefault="00086656" w:rsidP="00086656">
      <w:pPr>
        <w:pStyle w:val="NoSpacing"/>
        <w:ind w:left="720" w:hanging="720"/>
      </w:pPr>
      <w:r>
        <w:rPr>
          <w:rStyle w:val="hlfld-contribauthor"/>
        </w:rPr>
        <w:t xml:space="preserve">Gerdes, </w:t>
      </w:r>
      <w:r>
        <w:rPr>
          <w:rStyle w:val="nlmgiven-names"/>
        </w:rPr>
        <w:t>A. C.</w:t>
      </w:r>
      <w:r>
        <w:t xml:space="preserve">, </w:t>
      </w:r>
      <w:proofErr w:type="spellStart"/>
      <w:r>
        <w:rPr>
          <w:rStyle w:val="hlfld-contribauthor"/>
        </w:rPr>
        <w:t>Kapke</w:t>
      </w:r>
      <w:proofErr w:type="spellEnd"/>
      <w:r>
        <w:rPr>
          <w:rStyle w:val="hlfld-contribauthor"/>
        </w:rPr>
        <w:t xml:space="preserve">, </w:t>
      </w:r>
      <w:r>
        <w:rPr>
          <w:rStyle w:val="nlmgiven-names"/>
        </w:rPr>
        <w:t>T. L.</w:t>
      </w:r>
      <w:r>
        <w:t xml:space="preserve">, </w:t>
      </w:r>
      <w:r>
        <w:rPr>
          <w:rStyle w:val="hlfld-contribauthor"/>
        </w:rPr>
        <w:t xml:space="preserve">Grace, </w:t>
      </w:r>
      <w:r>
        <w:rPr>
          <w:rStyle w:val="nlmgiven-names"/>
        </w:rPr>
        <w:t>M. G.</w:t>
      </w:r>
      <w:r>
        <w:t xml:space="preserve">, &amp; </w:t>
      </w:r>
      <w:r>
        <w:rPr>
          <w:rStyle w:val="hlfld-contribauthor"/>
        </w:rPr>
        <w:t xml:space="preserve">Castro, </w:t>
      </w:r>
      <w:r>
        <w:rPr>
          <w:rStyle w:val="nlmgiven-names"/>
        </w:rPr>
        <w:t>A</w:t>
      </w:r>
      <w:r>
        <w:t>. (</w:t>
      </w:r>
      <w:r>
        <w:rPr>
          <w:rStyle w:val="nlmyear"/>
        </w:rPr>
        <w:t>2017</w:t>
      </w:r>
      <w:r>
        <w:t xml:space="preserve">). </w:t>
      </w:r>
      <w:proofErr w:type="spellStart"/>
      <w:r>
        <w:t>Familias</w:t>
      </w:r>
      <w:proofErr w:type="spellEnd"/>
      <w:r>
        <w:t xml:space="preserve"> </w:t>
      </w:r>
      <w:proofErr w:type="spellStart"/>
      <w:r>
        <w:t>Sanas</w:t>
      </w:r>
      <w:proofErr w:type="spellEnd"/>
      <w:r>
        <w:t xml:space="preserve">: A </w:t>
      </w:r>
      <w:proofErr w:type="gramStart"/>
      <w:r>
        <w:t>culturally-adapted</w:t>
      </w:r>
      <w:proofErr w:type="gramEnd"/>
      <w:r>
        <w:t xml:space="preserve"> treatment for Latino youth with ADHD. Manuscript submitted for publication.</w:t>
      </w:r>
    </w:p>
    <w:p w14:paraId="37B4394E" w14:textId="29F8188F" w:rsidR="00086656" w:rsidRDefault="00086656" w:rsidP="00086656">
      <w:pPr>
        <w:pStyle w:val="NoSpacing"/>
        <w:ind w:left="720" w:hanging="720"/>
      </w:pPr>
      <w:r>
        <w:rPr>
          <w:rStyle w:val="hlfld-contribauthor"/>
        </w:rPr>
        <w:t xml:space="preserve">Gerdes, </w:t>
      </w:r>
      <w:r>
        <w:rPr>
          <w:rStyle w:val="nlmgiven-names"/>
        </w:rPr>
        <w:t>A. C.</w:t>
      </w:r>
      <w:r>
        <w:t xml:space="preserve">, </w:t>
      </w:r>
      <w:proofErr w:type="spellStart"/>
      <w:r>
        <w:rPr>
          <w:rStyle w:val="hlfld-contribauthor"/>
        </w:rPr>
        <w:t>Kapke</w:t>
      </w:r>
      <w:proofErr w:type="spellEnd"/>
      <w:r>
        <w:rPr>
          <w:rStyle w:val="hlfld-contribauthor"/>
        </w:rPr>
        <w:t xml:space="preserve">, </w:t>
      </w:r>
      <w:r>
        <w:rPr>
          <w:rStyle w:val="nlmgiven-names"/>
        </w:rPr>
        <w:t>T. L.</w:t>
      </w:r>
      <w:r>
        <w:t xml:space="preserve">, </w:t>
      </w:r>
      <w:r>
        <w:rPr>
          <w:rStyle w:val="hlfld-contribauthor"/>
        </w:rPr>
        <w:t xml:space="preserve">Lawton, </w:t>
      </w:r>
      <w:r>
        <w:rPr>
          <w:rStyle w:val="nlmgiven-names"/>
        </w:rPr>
        <w:t>K. E.</w:t>
      </w:r>
      <w:r>
        <w:t xml:space="preserve">, </w:t>
      </w:r>
      <w:r>
        <w:rPr>
          <w:rStyle w:val="hlfld-contribauthor"/>
        </w:rPr>
        <w:t xml:space="preserve">Grace, </w:t>
      </w:r>
      <w:r>
        <w:rPr>
          <w:rStyle w:val="nlmgiven-names"/>
        </w:rPr>
        <w:t>M.</w:t>
      </w:r>
      <w:r>
        <w:t xml:space="preserve">, &amp; </w:t>
      </w:r>
      <w:r>
        <w:rPr>
          <w:rStyle w:val="hlfld-contribauthor"/>
        </w:rPr>
        <w:t xml:space="preserve">Hurtado, </w:t>
      </w:r>
      <w:r>
        <w:rPr>
          <w:rStyle w:val="nlmgiven-names"/>
        </w:rPr>
        <w:t>G. D</w:t>
      </w:r>
      <w:r>
        <w:t>. (</w:t>
      </w:r>
      <w:r>
        <w:rPr>
          <w:rStyle w:val="nlmyear"/>
        </w:rPr>
        <w:t>2015</w:t>
      </w:r>
      <w:r>
        <w:t xml:space="preserve">). </w:t>
      </w:r>
      <w:r>
        <w:rPr>
          <w:rStyle w:val="nlmarticle-title"/>
        </w:rPr>
        <w:t>Culturally adapting parent training for Latino youth with ADHD: Development and pilot</w:t>
      </w:r>
      <w:r>
        <w:t xml:space="preserve">. </w:t>
      </w:r>
      <w:r>
        <w:rPr>
          <w:i/>
          <w:iCs/>
        </w:rPr>
        <w:t>Journal of Latina/o Psychology</w:t>
      </w:r>
      <w:r>
        <w:t xml:space="preserve">, </w:t>
      </w:r>
      <w:r>
        <w:rPr>
          <w:i/>
          <w:iCs/>
        </w:rPr>
        <w:t>3</w:t>
      </w:r>
      <w:r>
        <w:t xml:space="preserve">(2), </w:t>
      </w:r>
      <w:r>
        <w:rPr>
          <w:rStyle w:val="nlmfpage"/>
        </w:rPr>
        <w:t>71</w:t>
      </w:r>
      <w:r>
        <w:t>–</w:t>
      </w:r>
      <w:r>
        <w:rPr>
          <w:rStyle w:val="nlmlpage"/>
        </w:rPr>
        <w:t>87</w:t>
      </w:r>
      <w:r>
        <w:t>. doi:</w:t>
      </w:r>
      <w:r>
        <w:rPr>
          <w:rStyle w:val="nlmpub-id"/>
        </w:rPr>
        <w:t>10.1037/lat0000037</w:t>
      </w:r>
    </w:p>
    <w:p w14:paraId="108E15C9" w14:textId="600BF1C7" w:rsidR="00086656" w:rsidRDefault="00086656" w:rsidP="00086656">
      <w:pPr>
        <w:pStyle w:val="NoSpacing"/>
        <w:ind w:left="720" w:hanging="720"/>
      </w:pPr>
      <w:r>
        <w:rPr>
          <w:rStyle w:val="hlfld-contribauthor"/>
        </w:rPr>
        <w:t xml:space="preserve">Gerdes, </w:t>
      </w:r>
      <w:r>
        <w:rPr>
          <w:rStyle w:val="nlmgiven-names"/>
        </w:rPr>
        <w:t>A. C.</w:t>
      </w:r>
      <w:r>
        <w:t xml:space="preserve">, </w:t>
      </w:r>
      <w:r>
        <w:rPr>
          <w:rStyle w:val="hlfld-contribauthor"/>
        </w:rPr>
        <w:t xml:space="preserve">Lawton, </w:t>
      </w:r>
      <w:r>
        <w:rPr>
          <w:rStyle w:val="nlmgiven-names"/>
        </w:rPr>
        <w:t>K. E.</w:t>
      </w:r>
      <w:r>
        <w:t xml:space="preserve">, </w:t>
      </w:r>
      <w:r>
        <w:rPr>
          <w:rStyle w:val="hlfld-contribauthor"/>
        </w:rPr>
        <w:t xml:space="preserve">Haack, </w:t>
      </w:r>
      <w:r>
        <w:rPr>
          <w:rStyle w:val="nlmgiven-names"/>
        </w:rPr>
        <w:t>L. M.</w:t>
      </w:r>
      <w:r>
        <w:t xml:space="preserve">, &amp; </w:t>
      </w:r>
      <w:r>
        <w:rPr>
          <w:rStyle w:val="hlfld-contribauthor"/>
        </w:rPr>
        <w:t xml:space="preserve">Hurtado, </w:t>
      </w:r>
      <w:r>
        <w:rPr>
          <w:rStyle w:val="nlmgiven-names"/>
        </w:rPr>
        <w:t>G. D</w:t>
      </w:r>
      <w:r>
        <w:t>. (</w:t>
      </w:r>
      <w:r>
        <w:rPr>
          <w:rStyle w:val="nlmyear"/>
        </w:rPr>
        <w:t>2013</w:t>
      </w:r>
      <w:r>
        <w:t xml:space="preserve">). </w:t>
      </w:r>
      <w:r>
        <w:rPr>
          <w:rStyle w:val="nlmarticle-title"/>
        </w:rPr>
        <w:t>Assessing ADHD in Latino families: Evidence for moving beyond symptomatology</w:t>
      </w:r>
      <w:r>
        <w:t xml:space="preserve">. </w:t>
      </w:r>
      <w:r>
        <w:rPr>
          <w:i/>
          <w:iCs/>
        </w:rPr>
        <w:t>Journal of Attention Disorders</w:t>
      </w:r>
      <w:r>
        <w:t xml:space="preserve">, </w:t>
      </w:r>
      <w:r>
        <w:rPr>
          <w:i/>
          <w:iCs/>
        </w:rPr>
        <w:t>17</w:t>
      </w:r>
      <w:r>
        <w:t xml:space="preserve">(2), </w:t>
      </w:r>
      <w:r>
        <w:rPr>
          <w:rStyle w:val="nlmfpage"/>
        </w:rPr>
        <w:t>128</w:t>
      </w:r>
      <w:r>
        <w:t>–</w:t>
      </w:r>
      <w:r>
        <w:rPr>
          <w:rStyle w:val="nlmlpage"/>
        </w:rPr>
        <w:t>140</w:t>
      </w:r>
      <w:r>
        <w:t>. doi:</w:t>
      </w:r>
      <w:r>
        <w:rPr>
          <w:rStyle w:val="nlmpub-id"/>
        </w:rPr>
        <w:t>10.1177/1087054711427396</w:t>
      </w:r>
    </w:p>
    <w:p w14:paraId="21DC2D0C" w14:textId="26289A4C" w:rsidR="00086656" w:rsidRDefault="00086656" w:rsidP="00086656">
      <w:pPr>
        <w:pStyle w:val="NoSpacing"/>
        <w:ind w:left="720" w:hanging="720"/>
      </w:pPr>
      <w:r>
        <w:rPr>
          <w:rStyle w:val="hlfld-contribauthor"/>
        </w:rPr>
        <w:t xml:space="preserve">Gonzales, </w:t>
      </w:r>
      <w:r>
        <w:rPr>
          <w:rStyle w:val="nlmgiven-names"/>
        </w:rPr>
        <w:t>N. A.</w:t>
      </w:r>
      <w:r>
        <w:t xml:space="preserve">, </w:t>
      </w:r>
      <w:proofErr w:type="spellStart"/>
      <w:r>
        <w:rPr>
          <w:rStyle w:val="hlfld-contribauthor"/>
        </w:rPr>
        <w:t>Fabrett</w:t>
      </w:r>
      <w:proofErr w:type="spellEnd"/>
      <w:r>
        <w:rPr>
          <w:rStyle w:val="hlfld-contribauthor"/>
        </w:rPr>
        <w:t xml:space="preserve">, </w:t>
      </w:r>
      <w:r>
        <w:rPr>
          <w:rStyle w:val="nlmgiven-names"/>
        </w:rPr>
        <w:t>F. C.</w:t>
      </w:r>
      <w:r>
        <w:t xml:space="preserve">, &amp; </w:t>
      </w:r>
      <w:r>
        <w:rPr>
          <w:rStyle w:val="hlfld-contribauthor"/>
        </w:rPr>
        <w:t xml:space="preserve">Knight, </w:t>
      </w:r>
      <w:r>
        <w:rPr>
          <w:rStyle w:val="nlmgiven-names"/>
        </w:rPr>
        <w:t>G. P</w:t>
      </w:r>
      <w:r>
        <w:t>. (</w:t>
      </w:r>
      <w:r>
        <w:rPr>
          <w:rStyle w:val="nlmyear"/>
        </w:rPr>
        <w:t>2009</w:t>
      </w:r>
      <w:r>
        <w:t xml:space="preserve">). </w:t>
      </w:r>
      <w:r>
        <w:rPr>
          <w:rStyle w:val="nlmchapter-title"/>
        </w:rPr>
        <w:t>Acculturation, enculturation, and the psychosocial adaptation of Latino youth</w:t>
      </w:r>
      <w:r>
        <w:t xml:space="preserve">. In </w:t>
      </w:r>
      <w:r>
        <w:rPr>
          <w:rStyle w:val="nlmgiven-names"/>
        </w:rPr>
        <w:t>F. A.</w:t>
      </w:r>
      <w:r>
        <w:rPr>
          <w:rStyle w:val="hlfld-contribauthor"/>
        </w:rPr>
        <w:t xml:space="preserve"> </w:t>
      </w:r>
      <w:proofErr w:type="spellStart"/>
      <w:r>
        <w:rPr>
          <w:rStyle w:val="hlfld-contribauthor"/>
        </w:rPr>
        <w:t>Villarruel</w:t>
      </w:r>
      <w:proofErr w:type="spellEnd"/>
      <w:r>
        <w:t xml:space="preserve">, </w:t>
      </w:r>
      <w:r>
        <w:rPr>
          <w:rStyle w:val="nlmgiven-names"/>
        </w:rPr>
        <w:t>G.</w:t>
      </w:r>
      <w:r>
        <w:rPr>
          <w:rStyle w:val="hlfld-contribauthor"/>
        </w:rPr>
        <w:t xml:space="preserve"> Carlo</w:t>
      </w:r>
      <w:r>
        <w:t xml:space="preserve">, </w:t>
      </w:r>
      <w:r>
        <w:rPr>
          <w:rStyle w:val="nlmgiven-names"/>
        </w:rPr>
        <w:t>J. M.</w:t>
      </w:r>
      <w:r>
        <w:rPr>
          <w:rStyle w:val="hlfld-contribauthor"/>
        </w:rPr>
        <w:t xml:space="preserve"> Grau</w:t>
      </w:r>
      <w:r>
        <w:t xml:space="preserve">, </w:t>
      </w:r>
      <w:r>
        <w:rPr>
          <w:rStyle w:val="nlmgiven-names"/>
        </w:rPr>
        <w:t>M.</w:t>
      </w:r>
      <w:r>
        <w:rPr>
          <w:rStyle w:val="hlfld-contribauthor"/>
        </w:rPr>
        <w:t xml:space="preserve"> </w:t>
      </w:r>
      <w:proofErr w:type="spellStart"/>
      <w:r>
        <w:rPr>
          <w:rStyle w:val="hlfld-contribauthor"/>
        </w:rPr>
        <w:t>Azmitia</w:t>
      </w:r>
      <w:proofErr w:type="spellEnd"/>
      <w:r>
        <w:t xml:space="preserve">, </w:t>
      </w:r>
      <w:r>
        <w:rPr>
          <w:rStyle w:val="nlmgiven-names"/>
        </w:rPr>
        <w:t>N. J.</w:t>
      </w:r>
      <w:r>
        <w:rPr>
          <w:rStyle w:val="hlfld-contribauthor"/>
        </w:rPr>
        <w:t xml:space="preserve"> Cabrera</w:t>
      </w:r>
      <w:r>
        <w:t xml:space="preserve">, &amp; </w:t>
      </w:r>
      <w:r>
        <w:rPr>
          <w:rStyle w:val="nlmgiven-names"/>
        </w:rPr>
        <w:t>T. J.</w:t>
      </w:r>
      <w:r>
        <w:rPr>
          <w:rStyle w:val="hlfld-contribauthor"/>
        </w:rPr>
        <w:t xml:space="preserve"> </w:t>
      </w:r>
      <w:proofErr w:type="spellStart"/>
      <w:r>
        <w:rPr>
          <w:rStyle w:val="hlfld-contribauthor"/>
        </w:rPr>
        <w:t>Chahin</w:t>
      </w:r>
      <w:proofErr w:type="spellEnd"/>
      <w:r>
        <w:t xml:space="preserve"> (Eds.), </w:t>
      </w:r>
      <w:r>
        <w:rPr>
          <w:i/>
          <w:iCs/>
        </w:rPr>
        <w:t>Handbook of U.S. Latino psychology: Developmental and community-based perspectives</w:t>
      </w:r>
      <w:r>
        <w:t xml:space="preserve"> (pp. </w:t>
      </w:r>
      <w:r>
        <w:rPr>
          <w:rStyle w:val="nlmfpage"/>
        </w:rPr>
        <w:t>115</w:t>
      </w:r>
      <w:r>
        <w:t>–</w:t>
      </w:r>
      <w:r>
        <w:rPr>
          <w:rStyle w:val="nlmlpage"/>
        </w:rPr>
        <w:t>134</w:t>
      </w:r>
      <w:r>
        <w:t xml:space="preserve">). </w:t>
      </w:r>
      <w:r>
        <w:rPr>
          <w:rStyle w:val="nlmpublisher-loc"/>
        </w:rPr>
        <w:t>Thousand Oaks, CA</w:t>
      </w:r>
      <w:r>
        <w:t xml:space="preserve">: </w:t>
      </w:r>
      <w:r>
        <w:rPr>
          <w:rStyle w:val="nlmpublisher-name"/>
        </w:rPr>
        <w:t>SAGE Publications, Inc</w:t>
      </w:r>
      <w:r>
        <w:t>.</w:t>
      </w:r>
    </w:p>
    <w:p w14:paraId="1485AA48" w14:textId="7EB42568" w:rsidR="00086656" w:rsidRDefault="00086656" w:rsidP="00086656">
      <w:pPr>
        <w:pStyle w:val="NoSpacing"/>
        <w:ind w:left="720" w:hanging="720"/>
      </w:pPr>
      <w:r>
        <w:rPr>
          <w:rStyle w:val="hlfld-contribauthor"/>
        </w:rPr>
        <w:t xml:space="preserve">Gopalan, </w:t>
      </w:r>
      <w:r>
        <w:rPr>
          <w:rStyle w:val="nlmgiven-names"/>
        </w:rPr>
        <w:t>G.</w:t>
      </w:r>
      <w:r>
        <w:t xml:space="preserve">, </w:t>
      </w:r>
      <w:r>
        <w:rPr>
          <w:rStyle w:val="hlfld-contribauthor"/>
        </w:rPr>
        <w:t xml:space="preserve">Goldstein, </w:t>
      </w:r>
      <w:r>
        <w:rPr>
          <w:rStyle w:val="nlmgiven-names"/>
        </w:rPr>
        <w:t>L.</w:t>
      </w:r>
      <w:r>
        <w:t xml:space="preserve">, </w:t>
      </w:r>
      <w:r>
        <w:rPr>
          <w:rStyle w:val="hlfld-contribauthor"/>
        </w:rPr>
        <w:t xml:space="preserve">Klingenstein, </w:t>
      </w:r>
      <w:r>
        <w:rPr>
          <w:rStyle w:val="nlmgiven-names"/>
        </w:rPr>
        <w:t>K.</w:t>
      </w:r>
      <w:r>
        <w:t xml:space="preserve">, </w:t>
      </w:r>
      <w:proofErr w:type="spellStart"/>
      <w:r>
        <w:rPr>
          <w:rStyle w:val="hlfld-contribauthor"/>
        </w:rPr>
        <w:t>Sicher</w:t>
      </w:r>
      <w:proofErr w:type="spellEnd"/>
      <w:r>
        <w:rPr>
          <w:rStyle w:val="hlfld-contribauthor"/>
        </w:rPr>
        <w:t xml:space="preserve">, </w:t>
      </w:r>
      <w:r>
        <w:rPr>
          <w:rStyle w:val="nlmgiven-names"/>
        </w:rPr>
        <w:t>C.</w:t>
      </w:r>
      <w:r>
        <w:t xml:space="preserve">, </w:t>
      </w:r>
      <w:r>
        <w:rPr>
          <w:rStyle w:val="hlfld-contribauthor"/>
        </w:rPr>
        <w:t xml:space="preserve">Blake, </w:t>
      </w:r>
      <w:r>
        <w:rPr>
          <w:rStyle w:val="nlmgiven-names"/>
        </w:rPr>
        <w:t>C.</w:t>
      </w:r>
      <w:r>
        <w:t xml:space="preserve">, &amp; </w:t>
      </w:r>
      <w:r>
        <w:rPr>
          <w:rStyle w:val="hlfld-contribauthor"/>
        </w:rPr>
        <w:t xml:space="preserve">McKay, </w:t>
      </w:r>
      <w:r>
        <w:rPr>
          <w:rStyle w:val="nlmgiven-names"/>
        </w:rPr>
        <w:t>M. M</w:t>
      </w:r>
      <w:r>
        <w:t>. (</w:t>
      </w:r>
      <w:r>
        <w:rPr>
          <w:rStyle w:val="nlmyear"/>
        </w:rPr>
        <w:t>2010</w:t>
      </w:r>
      <w:r>
        <w:t xml:space="preserve">). </w:t>
      </w:r>
      <w:r>
        <w:rPr>
          <w:rStyle w:val="nlmarticle-title"/>
        </w:rPr>
        <w:t>Engaging families into child mental health treatment: Updates and special considerations</w:t>
      </w:r>
      <w:r>
        <w:t xml:space="preserve">. </w:t>
      </w:r>
      <w:r>
        <w:rPr>
          <w:i/>
          <w:iCs/>
        </w:rPr>
        <w:t>Journal of the Canadian Academy of Child and Adolescent Psychiatry</w:t>
      </w:r>
      <w:r>
        <w:t xml:space="preserve">, </w:t>
      </w:r>
      <w:r>
        <w:rPr>
          <w:i/>
          <w:iCs/>
        </w:rPr>
        <w:t>19</w:t>
      </w:r>
      <w:r>
        <w:t xml:space="preserve">(3), </w:t>
      </w:r>
      <w:r>
        <w:rPr>
          <w:rStyle w:val="nlmfpage"/>
        </w:rPr>
        <w:t>182</w:t>
      </w:r>
      <w:r>
        <w:t>–</w:t>
      </w:r>
      <w:r>
        <w:rPr>
          <w:rStyle w:val="nlmlpage"/>
        </w:rPr>
        <w:t>196</w:t>
      </w:r>
      <w:r>
        <w:t>.</w:t>
      </w:r>
    </w:p>
    <w:p w14:paraId="578E2C9F" w14:textId="3B37DF06" w:rsidR="00086656" w:rsidRDefault="00086656" w:rsidP="00086656">
      <w:pPr>
        <w:pStyle w:val="NoSpacing"/>
        <w:ind w:left="720" w:hanging="720"/>
      </w:pPr>
      <w:proofErr w:type="spellStart"/>
      <w:r>
        <w:rPr>
          <w:rStyle w:val="hlfld-contribauthor"/>
        </w:rPr>
        <w:t>Graetz</w:t>
      </w:r>
      <w:proofErr w:type="spellEnd"/>
      <w:r>
        <w:rPr>
          <w:rStyle w:val="hlfld-contribauthor"/>
        </w:rPr>
        <w:t xml:space="preserve">, </w:t>
      </w:r>
      <w:r>
        <w:rPr>
          <w:rStyle w:val="nlmgiven-names"/>
        </w:rPr>
        <w:t>B. W.</w:t>
      </w:r>
      <w:r>
        <w:t xml:space="preserve">, </w:t>
      </w:r>
      <w:r>
        <w:rPr>
          <w:rStyle w:val="hlfld-contribauthor"/>
        </w:rPr>
        <w:t xml:space="preserve">Sawyer, </w:t>
      </w:r>
      <w:r>
        <w:rPr>
          <w:rStyle w:val="nlmgiven-names"/>
        </w:rPr>
        <w:t>M. G.</w:t>
      </w:r>
      <w:r>
        <w:t xml:space="preserve">, </w:t>
      </w:r>
      <w:proofErr w:type="spellStart"/>
      <w:r>
        <w:rPr>
          <w:rStyle w:val="hlfld-contribauthor"/>
        </w:rPr>
        <w:t>Baghurst</w:t>
      </w:r>
      <w:proofErr w:type="spellEnd"/>
      <w:r>
        <w:rPr>
          <w:rStyle w:val="hlfld-contribauthor"/>
        </w:rPr>
        <w:t xml:space="preserve">, </w:t>
      </w:r>
      <w:r>
        <w:rPr>
          <w:rStyle w:val="nlmgiven-names"/>
        </w:rPr>
        <w:t>P.</w:t>
      </w:r>
      <w:r>
        <w:t xml:space="preserve">, &amp; </w:t>
      </w:r>
      <w:proofErr w:type="spellStart"/>
      <w:r>
        <w:rPr>
          <w:rStyle w:val="hlfld-contribauthor"/>
        </w:rPr>
        <w:t>Hirte</w:t>
      </w:r>
      <w:proofErr w:type="spellEnd"/>
      <w:r>
        <w:rPr>
          <w:rStyle w:val="hlfld-contribauthor"/>
        </w:rPr>
        <w:t xml:space="preserve">, </w:t>
      </w:r>
      <w:r>
        <w:rPr>
          <w:rStyle w:val="nlmgiven-names"/>
        </w:rPr>
        <w:t>C</w:t>
      </w:r>
      <w:r>
        <w:t>. (</w:t>
      </w:r>
      <w:r>
        <w:rPr>
          <w:rStyle w:val="nlmyear"/>
        </w:rPr>
        <w:t>2006</w:t>
      </w:r>
      <w:r>
        <w:t xml:space="preserve">). </w:t>
      </w:r>
      <w:r>
        <w:rPr>
          <w:rStyle w:val="nlmarticle-title"/>
        </w:rPr>
        <w:t>Gender comparisons of service use among youth with attention-deficit/hyperactivity disorder</w:t>
      </w:r>
      <w:r>
        <w:t xml:space="preserve">. </w:t>
      </w:r>
      <w:r>
        <w:rPr>
          <w:i/>
          <w:iCs/>
        </w:rPr>
        <w:t>Journal of Emotional and Behavioral Disorders</w:t>
      </w:r>
      <w:r>
        <w:t xml:space="preserve">, </w:t>
      </w:r>
      <w:r>
        <w:rPr>
          <w:i/>
          <w:iCs/>
        </w:rPr>
        <w:t>14</w:t>
      </w:r>
      <w:r>
        <w:t xml:space="preserve">(1), </w:t>
      </w:r>
      <w:r>
        <w:rPr>
          <w:rStyle w:val="nlmfpage"/>
        </w:rPr>
        <w:t>2</w:t>
      </w:r>
      <w:r>
        <w:t>–</w:t>
      </w:r>
      <w:r>
        <w:rPr>
          <w:rStyle w:val="nlmlpage"/>
        </w:rPr>
        <w:t>11</w:t>
      </w:r>
      <w:r>
        <w:t>. doi:</w:t>
      </w:r>
      <w:r>
        <w:rPr>
          <w:rStyle w:val="nlmpub-id"/>
        </w:rPr>
        <w:t>10.1177/10634266060140010101</w:t>
      </w:r>
    </w:p>
    <w:p w14:paraId="23D435B2" w14:textId="6973C125" w:rsidR="00086656" w:rsidRDefault="00086656" w:rsidP="00086656">
      <w:pPr>
        <w:pStyle w:val="NoSpacing"/>
        <w:ind w:left="720" w:hanging="720"/>
      </w:pPr>
      <w:r>
        <w:rPr>
          <w:rStyle w:val="hlfld-contribauthor"/>
        </w:rPr>
        <w:t xml:space="preserve">Haack, </w:t>
      </w:r>
      <w:r>
        <w:rPr>
          <w:rStyle w:val="nlmgiven-names"/>
        </w:rPr>
        <w:t>L. M.</w:t>
      </w:r>
      <w:r>
        <w:t xml:space="preserve">, </w:t>
      </w:r>
      <w:r>
        <w:rPr>
          <w:rStyle w:val="hlfld-contribauthor"/>
        </w:rPr>
        <w:t xml:space="preserve">Gerdes, </w:t>
      </w:r>
      <w:r>
        <w:rPr>
          <w:rStyle w:val="nlmgiven-names"/>
        </w:rPr>
        <w:t>A. C.</w:t>
      </w:r>
      <w:r>
        <w:t xml:space="preserve">, </w:t>
      </w:r>
      <w:r>
        <w:rPr>
          <w:rStyle w:val="hlfld-contribauthor"/>
        </w:rPr>
        <w:t xml:space="preserve">Lawton, </w:t>
      </w:r>
      <w:r>
        <w:rPr>
          <w:rStyle w:val="nlmgiven-names"/>
        </w:rPr>
        <w:t>K. E.</w:t>
      </w:r>
      <w:r>
        <w:t xml:space="preserve">, &amp; </w:t>
      </w:r>
      <w:r>
        <w:rPr>
          <w:rStyle w:val="hlfld-contribauthor"/>
        </w:rPr>
        <w:t xml:space="preserve">Schneider, </w:t>
      </w:r>
      <w:r>
        <w:rPr>
          <w:rStyle w:val="nlmgiven-names"/>
        </w:rPr>
        <w:t>B. W</w:t>
      </w:r>
      <w:r>
        <w:t>. (</w:t>
      </w:r>
      <w:r>
        <w:rPr>
          <w:rStyle w:val="nlmyear"/>
        </w:rPr>
        <w:t>2016</w:t>
      </w:r>
      <w:r>
        <w:t xml:space="preserve">). </w:t>
      </w:r>
      <w:r>
        <w:rPr>
          <w:rStyle w:val="nlmarticle-title"/>
        </w:rPr>
        <w:t>Understanding and measuring functional impairment in diverse children with ADHD: Development of the ADHD-FX Scale with an at-risk, community sample</w:t>
      </w:r>
      <w:r>
        <w:t xml:space="preserve">. </w:t>
      </w:r>
      <w:r>
        <w:rPr>
          <w:i/>
          <w:iCs/>
        </w:rPr>
        <w:t>Journal of Attention Disorders</w:t>
      </w:r>
      <w:r>
        <w:t xml:space="preserve">, </w:t>
      </w:r>
      <w:r>
        <w:rPr>
          <w:i/>
          <w:iCs/>
        </w:rPr>
        <w:t>20</w:t>
      </w:r>
      <w:r>
        <w:t xml:space="preserve">(6), </w:t>
      </w:r>
      <w:r>
        <w:rPr>
          <w:rStyle w:val="nlmfpage"/>
        </w:rPr>
        <w:t>487</w:t>
      </w:r>
      <w:r>
        <w:t>–</w:t>
      </w:r>
      <w:r>
        <w:rPr>
          <w:rStyle w:val="nlmlpage"/>
        </w:rPr>
        <w:t>500</w:t>
      </w:r>
      <w:r>
        <w:t>. doi:</w:t>
      </w:r>
      <w:r>
        <w:rPr>
          <w:rStyle w:val="nlmpub-id"/>
        </w:rPr>
        <w:t>10.1177/1087054714527791</w:t>
      </w:r>
    </w:p>
    <w:p w14:paraId="19506503" w14:textId="18C58BB9" w:rsidR="00086656" w:rsidRDefault="00086656" w:rsidP="00086656">
      <w:pPr>
        <w:pStyle w:val="NoSpacing"/>
        <w:ind w:left="720" w:hanging="720"/>
      </w:pPr>
      <w:r>
        <w:rPr>
          <w:rStyle w:val="hlfld-contribauthor"/>
        </w:rPr>
        <w:t xml:space="preserve">Haack, </w:t>
      </w:r>
      <w:r>
        <w:rPr>
          <w:rStyle w:val="nlmgiven-names"/>
        </w:rPr>
        <w:t>L. M.</w:t>
      </w:r>
      <w:r>
        <w:t xml:space="preserve">, </w:t>
      </w:r>
      <w:proofErr w:type="spellStart"/>
      <w:r>
        <w:rPr>
          <w:rStyle w:val="hlfld-contribauthor"/>
        </w:rPr>
        <w:t>Gonring</w:t>
      </w:r>
      <w:proofErr w:type="spellEnd"/>
      <w:r>
        <w:rPr>
          <w:rStyle w:val="hlfld-contribauthor"/>
        </w:rPr>
        <w:t xml:space="preserve">, </w:t>
      </w:r>
      <w:r>
        <w:rPr>
          <w:rStyle w:val="nlmgiven-names"/>
        </w:rPr>
        <w:t>K.</w:t>
      </w:r>
      <w:r>
        <w:t xml:space="preserve">, </w:t>
      </w:r>
      <w:r>
        <w:rPr>
          <w:rStyle w:val="hlfld-contribauthor"/>
        </w:rPr>
        <w:t xml:space="preserve">Harris, </w:t>
      </w:r>
      <w:r>
        <w:rPr>
          <w:rStyle w:val="nlmgiven-names"/>
        </w:rPr>
        <w:t>M.</w:t>
      </w:r>
      <w:r>
        <w:t xml:space="preserve">, </w:t>
      </w:r>
      <w:r>
        <w:rPr>
          <w:rStyle w:val="hlfld-contribauthor"/>
        </w:rPr>
        <w:t xml:space="preserve">Gerdes, </w:t>
      </w:r>
      <w:r>
        <w:rPr>
          <w:rStyle w:val="nlmgiven-names"/>
        </w:rPr>
        <w:t>A. C.</w:t>
      </w:r>
      <w:r>
        <w:t xml:space="preserve">, &amp; </w:t>
      </w:r>
      <w:proofErr w:type="spellStart"/>
      <w:r>
        <w:rPr>
          <w:rStyle w:val="hlfld-contribauthor"/>
        </w:rPr>
        <w:t>Pfiffner</w:t>
      </w:r>
      <w:proofErr w:type="spellEnd"/>
      <w:r>
        <w:rPr>
          <w:rStyle w:val="hlfld-contribauthor"/>
        </w:rPr>
        <w:t xml:space="preserve">, </w:t>
      </w:r>
      <w:r>
        <w:rPr>
          <w:rStyle w:val="nlmgiven-names"/>
        </w:rPr>
        <w:t>L. J</w:t>
      </w:r>
      <w:r>
        <w:t>. (</w:t>
      </w:r>
      <w:r>
        <w:rPr>
          <w:rStyle w:val="nlmyear"/>
        </w:rPr>
        <w:t>2019</w:t>
      </w:r>
      <w:r>
        <w:t xml:space="preserve">). </w:t>
      </w:r>
      <w:r>
        <w:rPr>
          <w:rStyle w:val="nlmarticle-title"/>
        </w:rPr>
        <w:t>Assessing impairment in childhood ADHD: Validation of the parent and teacher ADHD-FX rating scale in a dual-site clinical sample</w:t>
      </w:r>
      <w:r>
        <w:t xml:space="preserve">. </w:t>
      </w:r>
      <w:r>
        <w:rPr>
          <w:i/>
          <w:iCs/>
        </w:rPr>
        <w:t>Journal of Attention Disorders</w:t>
      </w:r>
      <w:r>
        <w:t xml:space="preserve">, </w:t>
      </w:r>
      <w:r>
        <w:rPr>
          <w:i/>
          <w:iCs/>
        </w:rPr>
        <w:t>23</w:t>
      </w:r>
      <w:r>
        <w:t xml:space="preserve">(6), </w:t>
      </w:r>
      <w:r>
        <w:rPr>
          <w:rStyle w:val="nlmfpage"/>
        </w:rPr>
        <w:t>541</w:t>
      </w:r>
      <w:r>
        <w:t>–</w:t>
      </w:r>
      <w:r>
        <w:rPr>
          <w:rStyle w:val="nlmlpage"/>
        </w:rPr>
        <w:t>552</w:t>
      </w:r>
      <w:r>
        <w:t>.</w:t>
      </w:r>
    </w:p>
    <w:p w14:paraId="57A0C0C0" w14:textId="6D8E0588" w:rsidR="00086656" w:rsidRDefault="00086656" w:rsidP="00086656">
      <w:pPr>
        <w:pStyle w:val="NoSpacing"/>
        <w:ind w:left="720" w:hanging="720"/>
      </w:pPr>
      <w:r>
        <w:rPr>
          <w:rStyle w:val="hlfld-contribauthor"/>
        </w:rPr>
        <w:t xml:space="preserve">Ho, </w:t>
      </w:r>
      <w:r>
        <w:rPr>
          <w:rStyle w:val="nlmgiven-names"/>
        </w:rPr>
        <w:t>J.</w:t>
      </w:r>
      <w:r>
        <w:t xml:space="preserve">, </w:t>
      </w:r>
      <w:r>
        <w:rPr>
          <w:rStyle w:val="hlfld-contribauthor"/>
        </w:rPr>
        <w:t xml:space="preserve">Yeh, </w:t>
      </w:r>
      <w:r>
        <w:rPr>
          <w:rStyle w:val="nlmgiven-names"/>
        </w:rPr>
        <w:t>M.</w:t>
      </w:r>
      <w:r>
        <w:t xml:space="preserve">, </w:t>
      </w:r>
      <w:r>
        <w:rPr>
          <w:rStyle w:val="hlfld-contribauthor"/>
        </w:rPr>
        <w:t xml:space="preserve">McCabe, </w:t>
      </w:r>
      <w:r>
        <w:rPr>
          <w:rStyle w:val="nlmgiven-names"/>
        </w:rPr>
        <w:t>K.</w:t>
      </w:r>
      <w:r>
        <w:t xml:space="preserve">, &amp; </w:t>
      </w:r>
      <w:r>
        <w:rPr>
          <w:rStyle w:val="hlfld-contribauthor"/>
        </w:rPr>
        <w:t xml:space="preserve">Hough, </w:t>
      </w:r>
      <w:r>
        <w:rPr>
          <w:rStyle w:val="nlmgiven-names"/>
        </w:rPr>
        <w:t>R. L</w:t>
      </w:r>
      <w:r>
        <w:t>. (</w:t>
      </w:r>
      <w:r>
        <w:rPr>
          <w:rStyle w:val="nlmyear"/>
        </w:rPr>
        <w:t>2007</w:t>
      </w:r>
      <w:r>
        <w:t xml:space="preserve">). </w:t>
      </w:r>
      <w:r>
        <w:rPr>
          <w:rStyle w:val="nlmarticle-title"/>
        </w:rPr>
        <w:t>Parental cultural affiliation and youth mental health service use</w:t>
      </w:r>
      <w:r>
        <w:t xml:space="preserve">. </w:t>
      </w:r>
      <w:r>
        <w:rPr>
          <w:i/>
          <w:iCs/>
        </w:rPr>
        <w:t>Journal of Youth and Adolescence</w:t>
      </w:r>
      <w:r>
        <w:t xml:space="preserve">, </w:t>
      </w:r>
      <w:r>
        <w:rPr>
          <w:i/>
          <w:iCs/>
        </w:rPr>
        <w:t>36</w:t>
      </w:r>
      <w:r>
        <w:t xml:space="preserve">(4), </w:t>
      </w:r>
      <w:r>
        <w:rPr>
          <w:rStyle w:val="nlmfpage"/>
        </w:rPr>
        <w:t>529</w:t>
      </w:r>
      <w:r>
        <w:t>–</w:t>
      </w:r>
      <w:r>
        <w:rPr>
          <w:rStyle w:val="nlmlpage"/>
        </w:rPr>
        <w:t>542</w:t>
      </w:r>
      <w:r>
        <w:t>. doi:</w:t>
      </w:r>
      <w:r>
        <w:rPr>
          <w:rStyle w:val="nlmpub-id"/>
        </w:rPr>
        <w:t>10.1007/s10964-006-9114-x</w:t>
      </w:r>
    </w:p>
    <w:p w14:paraId="3B8999A9" w14:textId="7C771DA0" w:rsidR="00086656" w:rsidRDefault="00086656" w:rsidP="00086656">
      <w:pPr>
        <w:pStyle w:val="NoSpacing"/>
        <w:ind w:left="720" w:hanging="720"/>
      </w:pPr>
      <w:r>
        <w:rPr>
          <w:rStyle w:val="hlfld-contribauthor"/>
        </w:rPr>
        <w:t xml:space="preserve">Hollingshead, </w:t>
      </w:r>
      <w:r>
        <w:rPr>
          <w:rStyle w:val="nlmgiven-names"/>
        </w:rPr>
        <w:t>A. A</w:t>
      </w:r>
      <w:r>
        <w:t>. (</w:t>
      </w:r>
      <w:r>
        <w:rPr>
          <w:rStyle w:val="nlmyear"/>
        </w:rPr>
        <w:t>1975</w:t>
      </w:r>
      <w:r>
        <w:t xml:space="preserve">). </w:t>
      </w:r>
      <w:r>
        <w:rPr>
          <w:i/>
          <w:iCs/>
        </w:rPr>
        <w:t>Four-factor index of social status</w:t>
      </w:r>
      <w:r>
        <w:t xml:space="preserve">. </w:t>
      </w:r>
      <w:r>
        <w:rPr>
          <w:rStyle w:val="nlmpublisher-loc"/>
        </w:rPr>
        <w:t>New Haven, CT</w:t>
      </w:r>
      <w:r>
        <w:t xml:space="preserve">: </w:t>
      </w:r>
      <w:r>
        <w:rPr>
          <w:rStyle w:val="nlmpublisher-name"/>
        </w:rPr>
        <w:t>Yale University</w:t>
      </w:r>
      <w:r>
        <w:t>.</w:t>
      </w:r>
    </w:p>
    <w:p w14:paraId="68AF142B" w14:textId="00B880A2" w:rsidR="00086656" w:rsidRDefault="00086656" w:rsidP="00086656">
      <w:pPr>
        <w:pStyle w:val="NoSpacing"/>
        <w:ind w:left="720" w:hanging="720"/>
      </w:pPr>
      <w:proofErr w:type="spellStart"/>
      <w:r>
        <w:rPr>
          <w:rStyle w:val="hlfld-contribauthor"/>
        </w:rPr>
        <w:t>Holmbeck</w:t>
      </w:r>
      <w:proofErr w:type="spellEnd"/>
      <w:r>
        <w:rPr>
          <w:rStyle w:val="hlfld-contribauthor"/>
        </w:rPr>
        <w:t xml:space="preserve">, </w:t>
      </w:r>
      <w:r>
        <w:rPr>
          <w:rStyle w:val="nlmgiven-names"/>
        </w:rPr>
        <w:t>G. N.</w:t>
      </w:r>
      <w:r>
        <w:t xml:space="preserve">, </w:t>
      </w:r>
      <w:r>
        <w:rPr>
          <w:rStyle w:val="hlfld-contribauthor"/>
        </w:rPr>
        <w:t xml:space="preserve">Li, </w:t>
      </w:r>
      <w:r>
        <w:rPr>
          <w:rStyle w:val="nlmgiven-names"/>
        </w:rPr>
        <w:t>S. T.</w:t>
      </w:r>
      <w:r>
        <w:t xml:space="preserve">, </w:t>
      </w:r>
      <w:proofErr w:type="spellStart"/>
      <w:r>
        <w:rPr>
          <w:rStyle w:val="hlfld-contribauthor"/>
        </w:rPr>
        <w:t>Schurman</w:t>
      </w:r>
      <w:proofErr w:type="spellEnd"/>
      <w:r>
        <w:rPr>
          <w:rStyle w:val="hlfld-contribauthor"/>
        </w:rPr>
        <w:t xml:space="preserve">, </w:t>
      </w:r>
      <w:r>
        <w:rPr>
          <w:rStyle w:val="nlmgiven-names"/>
        </w:rPr>
        <w:t>J. V.</w:t>
      </w:r>
      <w:r>
        <w:t xml:space="preserve">, </w:t>
      </w:r>
      <w:r>
        <w:rPr>
          <w:rStyle w:val="hlfld-contribauthor"/>
        </w:rPr>
        <w:t xml:space="preserve">Friedman, </w:t>
      </w:r>
      <w:r>
        <w:rPr>
          <w:rStyle w:val="nlmgiven-names"/>
        </w:rPr>
        <w:t>D.</w:t>
      </w:r>
      <w:r>
        <w:t xml:space="preserve">, &amp; </w:t>
      </w:r>
      <w:r>
        <w:rPr>
          <w:rStyle w:val="hlfld-contribauthor"/>
        </w:rPr>
        <w:t xml:space="preserve">Coakley, </w:t>
      </w:r>
      <w:r>
        <w:rPr>
          <w:rStyle w:val="nlmgiven-names"/>
        </w:rPr>
        <w:t>R. M</w:t>
      </w:r>
      <w:r>
        <w:t>. (</w:t>
      </w:r>
      <w:r>
        <w:rPr>
          <w:rStyle w:val="nlmyear"/>
        </w:rPr>
        <w:t>2002</w:t>
      </w:r>
      <w:r>
        <w:t xml:space="preserve">). </w:t>
      </w:r>
      <w:r>
        <w:rPr>
          <w:rStyle w:val="nlmarticle-title"/>
        </w:rPr>
        <w:t>Collecting and managing multisource and multimethod data in studies of pediatric populations</w:t>
      </w:r>
      <w:r>
        <w:t xml:space="preserve">. </w:t>
      </w:r>
      <w:r>
        <w:rPr>
          <w:i/>
          <w:iCs/>
        </w:rPr>
        <w:t>Journal of Pediatric Psychology</w:t>
      </w:r>
      <w:r>
        <w:t xml:space="preserve">, </w:t>
      </w:r>
      <w:r>
        <w:rPr>
          <w:i/>
          <w:iCs/>
        </w:rPr>
        <w:t>27</w:t>
      </w:r>
      <w:r>
        <w:t xml:space="preserve">(1), </w:t>
      </w:r>
      <w:r>
        <w:rPr>
          <w:rStyle w:val="nlmfpage"/>
        </w:rPr>
        <w:t>5</w:t>
      </w:r>
      <w:r>
        <w:t>–</w:t>
      </w:r>
      <w:r>
        <w:rPr>
          <w:rStyle w:val="nlmlpage"/>
        </w:rPr>
        <w:t>18</w:t>
      </w:r>
      <w:r>
        <w:t>. doi:</w:t>
      </w:r>
      <w:r>
        <w:rPr>
          <w:rStyle w:val="nlmpub-id"/>
        </w:rPr>
        <w:t>10.1093/</w:t>
      </w:r>
      <w:proofErr w:type="spellStart"/>
      <w:r>
        <w:rPr>
          <w:rStyle w:val="nlmpub-id"/>
        </w:rPr>
        <w:t>jpepsy</w:t>
      </w:r>
      <w:proofErr w:type="spellEnd"/>
      <w:r>
        <w:rPr>
          <w:rStyle w:val="nlmpub-id"/>
        </w:rPr>
        <w:t>/27.1.5</w:t>
      </w:r>
    </w:p>
    <w:p w14:paraId="625BBD04" w14:textId="412B83EB" w:rsidR="00086656" w:rsidRDefault="00086656" w:rsidP="00086656">
      <w:pPr>
        <w:pStyle w:val="NoSpacing"/>
        <w:ind w:left="720" w:hanging="720"/>
      </w:pPr>
      <w:proofErr w:type="spellStart"/>
      <w:r>
        <w:rPr>
          <w:rStyle w:val="hlfld-contribauthor"/>
        </w:rPr>
        <w:t>Hoza</w:t>
      </w:r>
      <w:proofErr w:type="spellEnd"/>
      <w:r>
        <w:rPr>
          <w:rStyle w:val="hlfld-contribauthor"/>
        </w:rPr>
        <w:t xml:space="preserve">, </w:t>
      </w:r>
      <w:r>
        <w:rPr>
          <w:rStyle w:val="nlmgiven-names"/>
        </w:rPr>
        <w:t>B.</w:t>
      </w:r>
      <w:r>
        <w:t xml:space="preserve">, </w:t>
      </w:r>
      <w:r>
        <w:rPr>
          <w:rStyle w:val="hlfld-contribauthor"/>
        </w:rPr>
        <w:t xml:space="preserve">Johnston, </w:t>
      </w:r>
      <w:r>
        <w:rPr>
          <w:rStyle w:val="nlmgiven-names"/>
        </w:rPr>
        <w:t>C.</w:t>
      </w:r>
      <w:r>
        <w:t xml:space="preserve">, </w:t>
      </w:r>
      <w:r>
        <w:rPr>
          <w:rStyle w:val="hlfld-contribauthor"/>
        </w:rPr>
        <w:t xml:space="preserve">Pillow, </w:t>
      </w:r>
      <w:r>
        <w:rPr>
          <w:rStyle w:val="nlmgiven-names"/>
        </w:rPr>
        <w:t>D. R.</w:t>
      </w:r>
      <w:r>
        <w:t xml:space="preserve">, &amp; </w:t>
      </w:r>
      <w:proofErr w:type="spellStart"/>
      <w:r>
        <w:rPr>
          <w:rStyle w:val="hlfld-contribauthor"/>
        </w:rPr>
        <w:t>Ascough</w:t>
      </w:r>
      <w:proofErr w:type="spellEnd"/>
      <w:r>
        <w:rPr>
          <w:rStyle w:val="hlfld-contribauthor"/>
        </w:rPr>
        <w:t xml:space="preserve">, </w:t>
      </w:r>
      <w:r>
        <w:rPr>
          <w:rStyle w:val="nlmgiven-names"/>
        </w:rPr>
        <w:t>J. C</w:t>
      </w:r>
      <w:r>
        <w:t>. (</w:t>
      </w:r>
      <w:r>
        <w:rPr>
          <w:rStyle w:val="nlmyear"/>
        </w:rPr>
        <w:t>2006</w:t>
      </w:r>
      <w:r>
        <w:t xml:space="preserve">). </w:t>
      </w:r>
      <w:r>
        <w:rPr>
          <w:rStyle w:val="nlmarticle-title"/>
        </w:rPr>
        <w:t>Predicting treatment response for childhood attention-deficit/hyperactivity disorder: Introduction of a heuristic model to guide research</w:t>
      </w:r>
      <w:r>
        <w:t xml:space="preserve">. </w:t>
      </w:r>
      <w:r>
        <w:rPr>
          <w:i/>
          <w:iCs/>
        </w:rPr>
        <w:t>Applied and Preventive Psychology</w:t>
      </w:r>
      <w:r>
        <w:t xml:space="preserve">, </w:t>
      </w:r>
      <w:r>
        <w:rPr>
          <w:i/>
          <w:iCs/>
        </w:rPr>
        <w:t>11</w:t>
      </w:r>
      <w:r>
        <w:t xml:space="preserve">(4), </w:t>
      </w:r>
      <w:r>
        <w:rPr>
          <w:rStyle w:val="nlmfpage"/>
        </w:rPr>
        <w:t>215</w:t>
      </w:r>
      <w:r>
        <w:t>–</w:t>
      </w:r>
      <w:r>
        <w:rPr>
          <w:rStyle w:val="nlmlpage"/>
        </w:rPr>
        <w:t>229</w:t>
      </w:r>
      <w:r>
        <w:t xml:space="preserve">. </w:t>
      </w:r>
      <w:proofErr w:type="gramStart"/>
      <w:r>
        <w:t>doi:</w:t>
      </w:r>
      <w:r>
        <w:rPr>
          <w:rStyle w:val="nlmpub-id"/>
        </w:rPr>
        <w:t>10.1016/j.appsy</w:t>
      </w:r>
      <w:proofErr w:type="gramEnd"/>
      <w:r>
        <w:rPr>
          <w:rStyle w:val="nlmpub-id"/>
        </w:rPr>
        <w:t>.2005.11.001</w:t>
      </w:r>
    </w:p>
    <w:p w14:paraId="08D34588" w14:textId="7EA6AA7C" w:rsidR="00086656" w:rsidRDefault="00086656" w:rsidP="00086656">
      <w:pPr>
        <w:pStyle w:val="NoSpacing"/>
        <w:ind w:left="720" w:hanging="720"/>
      </w:pPr>
      <w:proofErr w:type="spellStart"/>
      <w:r>
        <w:rPr>
          <w:rStyle w:val="hlfld-contribauthor"/>
        </w:rPr>
        <w:lastRenderedPageBreak/>
        <w:t>Ingoldsby</w:t>
      </w:r>
      <w:proofErr w:type="spellEnd"/>
      <w:r>
        <w:rPr>
          <w:rStyle w:val="hlfld-contribauthor"/>
        </w:rPr>
        <w:t xml:space="preserve">, </w:t>
      </w:r>
      <w:r>
        <w:rPr>
          <w:rStyle w:val="nlmgiven-names"/>
        </w:rPr>
        <w:t>E. M</w:t>
      </w:r>
      <w:r>
        <w:t>. (</w:t>
      </w:r>
      <w:r>
        <w:rPr>
          <w:rStyle w:val="nlmyear"/>
        </w:rPr>
        <w:t>2010</w:t>
      </w:r>
      <w:r>
        <w:t xml:space="preserve">). </w:t>
      </w:r>
      <w:r>
        <w:rPr>
          <w:rStyle w:val="nlmarticle-title"/>
        </w:rPr>
        <w:t>Review of interventions to improve family engagement and retention in parent and child mental health programs</w:t>
      </w:r>
      <w:r>
        <w:t xml:space="preserve">. </w:t>
      </w:r>
      <w:r>
        <w:rPr>
          <w:i/>
          <w:iCs/>
        </w:rPr>
        <w:t>Journal of Child and Family Studies</w:t>
      </w:r>
      <w:r>
        <w:t xml:space="preserve">, </w:t>
      </w:r>
      <w:r>
        <w:rPr>
          <w:i/>
          <w:iCs/>
        </w:rPr>
        <w:t>19</w:t>
      </w:r>
      <w:r>
        <w:t xml:space="preserve">(5), </w:t>
      </w:r>
      <w:r>
        <w:rPr>
          <w:rStyle w:val="nlmfpage"/>
        </w:rPr>
        <w:t>629</w:t>
      </w:r>
      <w:r>
        <w:t>–</w:t>
      </w:r>
      <w:r>
        <w:rPr>
          <w:rStyle w:val="nlmlpage"/>
        </w:rPr>
        <w:t>645</w:t>
      </w:r>
      <w:r>
        <w:t>. doi:</w:t>
      </w:r>
      <w:r>
        <w:rPr>
          <w:rStyle w:val="nlmpub-id"/>
        </w:rPr>
        <w:t>10.1007/s10826-009-9350-2</w:t>
      </w:r>
    </w:p>
    <w:p w14:paraId="4CA180DE" w14:textId="5AE762B6" w:rsidR="00086656" w:rsidRDefault="00086656" w:rsidP="00086656">
      <w:pPr>
        <w:pStyle w:val="NoSpacing"/>
        <w:ind w:left="720" w:hanging="720"/>
      </w:pPr>
      <w:proofErr w:type="spellStart"/>
      <w:r>
        <w:rPr>
          <w:rStyle w:val="hlfld-contribauthor"/>
        </w:rPr>
        <w:t>Kapke</w:t>
      </w:r>
      <w:proofErr w:type="spellEnd"/>
      <w:r>
        <w:rPr>
          <w:rStyle w:val="hlfld-contribauthor"/>
        </w:rPr>
        <w:t xml:space="preserve">, </w:t>
      </w:r>
      <w:r>
        <w:rPr>
          <w:rStyle w:val="nlmgiven-names"/>
        </w:rPr>
        <w:t>T. L.</w:t>
      </w:r>
      <w:r>
        <w:t xml:space="preserve">, &amp; </w:t>
      </w:r>
      <w:r>
        <w:rPr>
          <w:rStyle w:val="hlfld-contribauthor"/>
        </w:rPr>
        <w:t xml:space="preserve">Gerdes, </w:t>
      </w:r>
      <w:r>
        <w:rPr>
          <w:rStyle w:val="nlmgiven-names"/>
        </w:rPr>
        <w:t>A. C</w:t>
      </w:r>
      <w:r>
        <w:t>. (</w:t>
      </w:r>
      <w:r>
        <w:rPr>
          <w:rStyle w:val="nlmyear"/>
        </w:rPr>
        <w:t>2015</w:t>
      </w:r>
      <w:r>
        <w:t xml:space="preserve">). </w:t>
      </w:r>
      <w:r>
        <w:rPr>
          <w:rStyle w:val="nlmarticle-title"/>
        </w:rPr>
        <w:t>Latino family participation in youth mental health services: Treatment retention, engagement, &amp; response</w:t>
      </w:r>
      <w:r>
        <w:t xml:space="preserve">. </w:t>
      </w:r>
      <w:r>
        <w:rPr>
          <w:i/>
          <w:iCs/>
        </w:rPr>
        <w:t>Clinical Child and Family Psychology Review</w:t>
      </w:r>
      <w:r>
        <w:t xml:space="preserve">, </w:t>
      </w:r>
      <w:r>
        <w:rPr>
          <w:i/>
          <w:iCs/>
        </w:rPr>
        <w:t>10</w:t>
      </w:r>
      <w:r>
        <w:t xml:space="preserve">(4), </w:t>
      </w:r>
      <w:r>
        <w:rPr>
          <w:rStyle w:val="nlmfpage"/>
        </w:rPr>
        <w:t>329</w:t>
      </w:r>
      <w:r>
        <w:t>–</w:t>
      </w:r>
      <w:r>
        <w:rPr>
          <w:rStyle w:val="nlmlpage"/>
        </w:rPr>
        <w:t>351</w:t>
      </w:r>
      <w:r>
        <w:t>. doi:</w:t>
      </w:r>
      <w:r>
        <w:rPr>
          <w:rStyle w:val="nlmpub-id"/>
        </w:rPr>
        <w:t>10.1007/s10567-016-0213-2</w:t>
      </w:r>
    </w:p>
    <w:p w14:paraId="2A0F482C" w14:textId="79C2D022" w:rsidR="00086656" w:rsidRDefault="00086656" w:rsidP="00086656">
      <w:pPr>
        <w:pStyle w:val="NoSpacing"/>
        <w:ind w:left="720" w:hanging="720"/>
      </w:pPr>
      <w:r>
        <w:rPr>
          <w:rStyle w:val="hlfld-contribauthor"/>
        </w:rPr>
        <w:t xml:space="preserve">Kataoka, </w:t>
      </w:r>
      <w:r>
        <w:rPr>
          <w:rStyle w:val="nlmgiven-names"/>
        </w:rPr>
        <w:t>S. H.</w:t>
      </w:r>
      <w:r>
        <w:t xml:space="preserve">, </w:t>
      </w:r>
      <w:r>
        <w:rPr>
          <w:rStyle w:val="hlfld-contribauthor"/>
        </w:rPr>
        <w:t xml:space="preserve">Zhang, </w:t>
      </w:r>
      <w:r>
        <w:rPr>
          <w:rStyle w:val="nlmgiven-names"/>
        </w:rPr>
        <w:t>L.</w:t>
      </w:r>
      <w:r>
        <w:t xml:space="preserve">, &amp; </w:t>
      </w:r>
      <w:r>
        <w:rPr>
          <w:rStyle w:val="hlfld-contribauthor"/>
        </w:rPr>
        <w:t xml:space="preserve">Wells, </w:t>
      </w:r>
      <w:r>
        <w:rPr>
          <w:rStyle w:val="nlmgiven-names"/>
        </w:rPr>
        <w:t>K. B</w:t>
      </w:r>
      <w:r>
        <w:t>. (</w:t>
      </w:r>
      <w:r>
        <w:rPr>
          <w:rStyle w:val="nlmyear"/>
        </w:rPr>
        <w:t>2002</w:t>
      </w:r>
      <w:r>
        <w:t xml:space="preserve">). </w:t>
      </w:r>
      <w:r>
        <w:rPr>
          <w:rStyle w:val="nlmarticle-title"/>
        </w:rPr>
        <w:t>Unmet need for mental health care among U.S. children: Variation by ethnicity and insurance status</w:t>
      </w:r>
      <w:r>
        <w:t xml:space="preserve">. </w:t>
      </w:r>
      <w:r>
        <w:rPr>
          <w:i/>
          <w:iCs/>
        </w:rPr>
        <w:t>American Journal of Psychiatry</w:t>
      </w:r>
      <w:r>
        <w:t xml:space="preserve">, </w:t>
      </w:r>
      <w:r>
        <w:rPr>
          <w:i/>
          <w:iCs/>
        </w:rPr>
        <w:t>159</w:t>
      </w:r>
      <w:r>
        <w:t xml:space="preserve">(9), </w:t>
      </w:r>
      <w:r>
        <w:rPr>
          <w:rStyle w:val="nlmfpage"/>
        </w:rPr>
        <w:t>1548</w:t>
      </w:r>
      <w:r>
        <w:t>–</w:t>
      </w:r>
      <w:r>
        <w:rPr>
          <w:rStyle w:val="nlmlpage"/>
        </w:rPr>
        <w:t>1555</w:t>
      </w:r>
      <w:r>
        <w:t xml:space="preserve">. </w:t>
      </w:r>
      <w:proofErr w:type="gramStart"/>
      <w:r>
        <w:t>doi:</w:t>
      </w:r>
      <w:r>
        <w:rPr>
          <w:rStyle w:val="nlmpub-id"/>
        </w:rPr>
        <w:t>10.1176/appi.ajp</w:t>
      </w:r>
      <w:proofErr w:type="gramEnd"/>
      <w:r>
        <w:rPr>
          <w:rStyle w:val="nlmpub-id"/>
        </w:rPr>
        <w:t>.159.9.1548</w:t>
      </w:r>
    </w:p>
    <w:p w14:paraId="4D328E32" w14:textId="41B79765" w:rsidR="00086656" w:rsidRDefault="00086656" w:rsidP="00086656">
      <w:pPr>
        <w:pStyle w:val="NoSpacing"/>
        <w:ind w:left="720" w:hanging="720"/>
      </w:pPr>
      <w:r>
        <w:rPr>
          <w:rStyle w:val="hlfld-contribauthor"/>
        </w:rPr>
        <w:t xml:space="preserve">Keyes, </w:t>
      </w:r>
      <w:r>
        <w:rPr>
          <w:rStyle w:val="nlmgiven-names"/>
        </w:rPr>
        <w:t>K. M.</w:t>
      </w:r>
      <w:r>
        <w:t xml:space="preserve">, </w:t>
      </w:r>
      <w:r>
        <w:rPr>
          <w:rStyle w:val="hlfld-contribauthor"/>
        </w:rPr>
        <w:t xml:space="preserve">Martins, </w:t>
      </w:r>
      <w:r>
        <w:rPr>
          <w:rStyle w:val="nlmgiven-names"/>
        </w:rPr>
        <w:t>S. S.</w:t>
      </w:r>
      <w:r>
        <w:t xml:space="preserve">, </w:t>
      </w:r>
      <w:proofErr w:type="spellStart"/>
      <w:r>
        <w:rPr>
          <w:rStyle w:val="hlfld-contribauthor"/>
        </w:rPr>
        <w:t>Hatzenbuehler</w:t>
      </w:r>
      <w:proofErr w:type="spellEnd"/>
      <w:r>
        <w:rPr>
          <w:rStyle w:val="hlfld-contribauthor"/>
        </w:rPr>
        <w:t xml:space="preserve">, </w:t>
      </w:r>
      <w:r>
        <w:rPr>
          <w:rStyle w:val="nlmgiven-names"/>
        </w:rPr>
        <w:t>M. L.</w:t>
      </w:r>
      <w:r>
        <w:t xml:space="preserve">, </w:t>
      </w:r>
      <w:r>
        <w:rPr>
          <w:rStyle w:val="hlfld-contribauthor"/>
        </w:rPr>
        <w:t xml:space="preserve">Blanco, </w:t>
      </w:r>
      <w:r>
        <w:rPr>
          <w:rStyle w:val="nlmgiven-names"/>
        </w:rPr>
        <w:t>C.</w:t>
      </w:r>
      <w:r>
        <w:t xml:space="preserve">, </w:t>
      </w:r>
      <w:r>
        <w:rPr>
          <w:rStyle w:val="hlfld-contribauthor"/>
        </w:rPr>
        <w:t xml:space="preserve">Bates, </w:t>
      </w:r>
      <w:r>
        <w:rPr>
          <w:rStyle w:val="nlmgiven-names"/>
        </w:rPr>
        <w:t>L. M.</w:t>
      </w:r>
      <w:r>
        <w:t xml:space="preserve">, &amp; </w:t>
      </w:r>
      <w:proofErr w:type="spellStart"/>
      <w:r>
        <w:rPr>
          <w:rStyle w:val="hlfld-contribauthor"/>
        </w:rPr>
        <w:t>Hasin</w:t>
      </w:r>
      <w:proofErr w:type="spellEnd"/>
      <w:r>
        <w:rPr>
          <w:rStyle w:val="hlfld-contribauthor"/>
        </w:rPr>
        <w:t xml:space="preserve">, </w:t>
      </w:r>
      <w:r>
        <w:rPr>
          <w:rStyle w:val="nlmgiven-names"/>
        </w:rPr>
        <w:t>D. S</w:t>
      </w:r>
      <w:r>
        <w:t>. (</w:t>
      </w:r>
      <w:r>
        <w:rPr>
          <w:rStyle w:val="nlmyear"/>
        </w:rPr>
        <w:t>2012</w:t>
      </w:r>
      <w:r>
        <w:t xml:space="preserve">). </w:t>
      </w:r>
      <w:r>
        <w:rPr>
          <w:rStyle w:val="nlmarticle-title"/>
        </w:rPr>
        <w:t>Mental health service utilization for psychiatric disorders among Latinos living in the United States: The role of ethnic subgroup, ethnic identity, and language/social preferences</w:t>
      </w:r>
      <w:r>
        <w:t xml:space="preserve">. </w:t>
      </w:r>
      <w:r>
        <w:rPr>
          <w:i/>
          <w:iCs/>
        </w:rPr>
        <w:t>Social Psychiatry and Psychiatric Epidemiology</w:t>
      </w:r>
      <w:r>
        <w:t xml:space="preserve">, </w:t>
      </w:r>
      <w:r>
        <w:rPr>
          <w:i/>
          <w:iCs/>
        </w:rPr>
        <w:t>47</w:t>
      </w:r>
      <w:r>
        <w:t xml:space="preserve">(3), </w:t>
      </w:r>
      <w:r>
        <w:rPr>
          <w:rStyle w:val="nlmfpage"/>
        </w:rPr>
        <w:t>383</w:t>
      </w:r>
      <w:r>
        <w:t>–</w:t>
      </w:r>
      <w:r>
        <w:rPr>
          <w:rStyle w:val="nlmlpage"/>
        </w:rPr>
        <w:t>394</w:t>
      </w:r>
      <w:r>
        <w:t>. doi:</w:t>
      </w:r>
      <w:r>
        <w:rPr>
          <w:rStyle w:val="nlmpub-id"/>
        </w:rPr>
        <w:t>10.1007/s00127-010-0323-y</w:t>
      </w:r>
    </w:p>
    <w:p w14:paraId="71E29152" w14:textId="4C269172" w:rsidR="00086656" w:rsidRDefault="00086656" w:rsidP="00086656">
      <w:pPr>
        <w:pStyle w:val="NoSpacing"/>
        <w:ind w:left="720" w:hanging="720"/>
      </w:pPr>
      <w:r>
        <w:rPr>
          <w:rStyle w:val="hlfld-contribauthor"/>
        </w:rPr>
        <w:t xml:space="preserve">Kim, </w:t>
      </w:r>
      <w:r>
        <w:rPr>
          <w:rStyle w:val="nlmgiven-names"/>
        </w:rPr>
        <w:t>R. E.</w:t>
      </w:r>
      <w:r>
        <w:t xml:space="preserve">, </w:t>
      </w:r>
      <w:r>
        <w:rPr>
          <w:rStyle w:val="hlfld-contribauthor"/>
        </w:rPr>
        <w:t xml:space="preserve">Lau, </w:t>
      </w:r>
      <w:r>
        <w:rPr>
          <w:rStyle w:val="nlmgiven-names"/>
        </w:rPr>
        <w:t>A. S.</w:t>
      </w:r>
      <w:r>
        <w:t xml:space="preserve">, &amp; </w:t>
      </w:r>
      <w:proofErr w:type="spellStart"/>
      <w:r>
        <w:rPr>
          <w:rStyle w:val="hlfld-contribauthor"/>
        </w:rPr>
        <w:t>Chorpita</w:t>
      </w:r>
      <w:proofErr w:type="spellEnd"/>
      <w:r>
        <w:rPr>
          <w:rStyle w:val="hlfld-contribauthor"/>
        </w:rPr>
        <w:t xml:space="preserve">, </w:t>
      </w:r>
      <w:r>
        <w:rPr>
          <w:rStyle w:val="nlmgiven-names"/>
        </w:rPr>
        <w:t>B. F</w:t>
      </w:r>
      <w:r>
        <w:t>. (</w:t>
      </w:r>
      <w:r>
        <w:rPr>
          <w:rStyle w:val="nlmyear"/>
        </w:rPr>
        <w:t>2016</w:t>
      </w:r>
      <w:r>
        <w:t xml:space="preserve">). </w:t>
      </w:r>
      <w:r>
        <w:rPr>
          <w:rStyle w:val="nlmarticle-title"/>
        </w:rPr>
        <w:t>The Impact of Latino caregiver acculturation on treatment engagement in children’s community mental health services</w:t>
      </w:r>
      <w:r>
        <w:t xml:space="preserve">. </w:t>
      </w:r>
      <w:r>
        <w:rPr>
          <w:i/>
          <w:iCs/>
        </w:rPr>
        <w:t>Journal of Child and Family Studies</w:t>
      </w:r>
      <w:r>
        <w:t xml:space="preserve">, </w:t>
      </w:r>
      <w:r>
        <w:rPr>
          <w:i/>
          <w:iCs/>
        </w:rPr>
        <w:t>25</w:t>
      </w:r>
      <w:r>
        <w:t xml:space="preserve">(3), </w:t>
      </w:r>
      <w:r>
        <w:rPr>
          <w:rStyle w:val="nlmfpage"/>
        </w:rPr>
        <w:t>891</w:t>
      </w:r>
      <w:r>
        <w:t>–</w:t>
      </w:r>
      <w:r>
        <w:rPr>
          <w:rStyle w:val="nlmlpage"/>
        </w:rPr>
        <w:t>901</w:t>
      </w:r>
      <w:r>
        <w:t>. doi:</w:t>
      </w:r>
      <w:r>
        <w:rPr>
          <w:rStyle w:val="nlmpub-id"/>
        </w:rPr>
        <w:t>10.1007/s10826-015-0259-7</w:t>
      </w:r>
    </w:p>
    <w:p w14:paraId="28791775" w14:textId="45268D07" w:rsidR="00086656" w:rsidRDefault="00086656" w:rsidP="00086656">
      <w:pPr>
        <w:pStyle w:val="NoSpacing"/>
        <w:ind w:left="720" w:hanging="720"/>
      </w:pPr>
      <w:r>
        <w:rPr>
          <w:rStyle w:val="hlfld-contribauthor"/>
        </w:rPr>
        <w:t xml:space="preserve">Knight, </w:t>
      </w:r>
      <w:r>
        <w:rPr>
          <w:rStyle w:val="nlmgiven-names"/>
        </w:rPr>
        <w:t>G. P.</w:t>
      </w:r>
      <w:r>
        <w:t xml:space="preserve">, </w:t>
      </w:r>
      <w:r>
        <w:rPr>
          <w:rStyle w:val="hlfld-contribauthor"/>
        </w:rPr>
        <w:t xml:space="preserve">Gonzales, </w:t>
      </w:r>
      <w:r>
        <w:rPr>
          <w:rStyle w:val="nlmgiven-names"/>
        </w:rPr>
        <w:t>N. A.</w:t>
      </w:r>
      <w:r>
        <w:t xml:space="preserve">, </w:t>
      </w:r>
      <w:r>
        <w:rPr>
          <w:rStyle w:val="hlfld-contribauthor"/>
        </w:rPr>
        <w:t xml:space="preserve">Saenz, </w:t>
      </w:r>
      <w:r>
        <w:rPr>
          <w:rStyle w:val="nlmgiven-names"/>
        </w:rPr>
        <w:t>D. S.</w:t>
      </w:r>
      <w:r>
        <w:t xml:space="preserve">, </w:t>
      </w:r>
      <w:r>
        <w:rPr>
          <w:rStyle w:val="hlfld-contribauthor"/>
        </w:rPr>
        <w:t xml:space="preserve">Bonds, </w:t>
      </w:r>
      <w:r>
        <w:rPr>
          <w:rStyle w:val="nlmgiven-names"/>
        </w:rPr>
        <w:t>D. D.</w:t>
      </w:r>
      <w:r>
        <w:t xml:space="preserve">, </w:t>
      </w:r>
      <w:r>
        <w:rPr>
          <w:rStyle w:val="hlfld-contribauthor"/>
        </w:rPr>
        <w:t xml:space="preserve">Germán, </w:t>
      </w:r>
      <w:r>
        <w:rPr>
          <w:rStyle w:val="nlmgiven-names"/>
        </w:rPr>
        <w:t>M.</w:t>
      </w:r>
      <w:r>
        <w:t xml:space="preserve">, </w:t>
      </w:r>
      <w:r>
        <w:rPr>
          <w:rStyle w:val="hlfld-contribauthor"/>
        </w:rPr>
        <w:t xml:space="preserve">Deardorff, </w:t>
      </w:r>
      <w:r>
        <w:rPr>
          <w:rStyle w:val="nlmgiven-names"/>
        </w:rPr>
        <w:t>J.</w:t>
      </w:r>
      <w:r>
        <w:t xml:space="preserve">, … </w:t>
      </w:r>
      <w:proofErr w:type="spellStart"/>
      <w:r>
        <w:rPr>
          <w:rStyle w:val="hlfld-contribauthor"/>
        </w:rPr>
        <w:t>Updegraff</w:t>
      </w:r>
      <w:proofErr w:type="spellEnd"/>
      <w:r>
        <w:rPr>
          <w:rStyle w:val="hlfld-contribauthor"/>
        </w:rPr>
        <w:t xml:space="preserve">, </w:t>
      </w:r>
      <w:r>
        <w:rPr>
          <w:rStyle w:val="nlmgiven-names"/>
        </w:rPr>
        <w:t>K. A</w:t>
      </w:r>
      <w:r>
        <w:t>. (</w:t>
      </w:r>
      <w:r>
        <w:rPr>
          <w:rStyle w:val="nlmyear"/>
        </w:rPr>
        <w:t>2010</w:t>
      </w:r>
      <w:r>
        <w:t xml:space="preserve">). </w:t>
      </w:r>
      <w:r>
        <w:rPr>
          <w:rStyle w:val="nlmarticle-title"/>
        </w:rPr>
        <w:t>The Mexican American Cultural Values Scales for adolescents and adults</w:t>
      </w:r>
      <w:r>
        <w:t xml:space="preserve">. </w:t>
      </w:r>
      <w:r>
        <w:rPr>
          <w:i/>
          <w:iCs/>
        </w:rPr>
        <w:t>Journal of Early Adolescence</w:t>
      </w:r>
      <w:r>
        <w:t xml:space="preserve">, </w:t>
      </w:r>
      <w:r>
        <w:rPr>
          <w:i/>
          <w:iCs/>
        </w:rPr>
        <w:t>30</w:t>
      </w:r>
      <w:r>
        <w:t xml:space="preserve">(3), </w:t>
      </w:r>
      <w:r>
        <w:rPr>
          <w:rStyle w:val="nlmfpage"/>
        </w:rPr>
        <w:t>444</w:t>
      </w:r>
      <w:r>
        <w:t>–</w:t>
      </w:r>
      <w:r>
        <w:rPr>
          <w:rStyle w:val="nlmlpage"/>
        </w:rPr>
        <w:t>481</w:t>
      </w:r>
      <w:r>
        <w:t>. doi:</w:t>
      </w:r>
      <w:r>
        <w:rPr>
          <w:rStyle w:val="nlmpub-id"/>
        </w:rPr>
        <w:t>10.1177/0272431609338178</w:t>
      </w:r>
    </w:p>
    <w:p w14:paraId="6E4A8EB4" w14:textId="72FD2BF8" w:rsidR="00086656" w:rsidRDefault="00086656" w:rsidP="00086656">
      <w:pPr>
        <w:pStyle w:val="NoSpacing"/>
        <w:ind w:left="720" w:hanging="720"/>
      </w:pPr>
      <w:r>
        <w:rPr>
          <w:rStyle w:val="hlfld-contribauthor"/>
        </w:rPr>
        <w:t xml:space="preserve">Lara, </w:t>
      </w:r>
      <w:r>
        <w:rPr>
          <w:rStyle w:val="nlmgiven-names"/>
        </w:rPr>
        <w:t>M.</w:t>
      </w:r>
      <w:r>
        <w:t xml:space="preserve">, </w:t>
      </w:r>
      <w:proofErr w:type="spellStart"/>
      <w:r>
        <w:rPr>
          <w:rStyle w:val="hlfld-contribauthor"/>
        </w:rPr>
        <w:t>Gamboa</w:t>
      </w:r>
      <w:proofErr w:type="spellEnd"/>
      <w:r>
        <w:rPr>
          <w:rStyle w:val="hlfld-contribauthor"/>
        </w:rPr>
        <w:t xml:space="preserve">, </w:t>
      </w:r>
      <w:r>
        <w:rPr>
          <w:rStyle w:val="nlmgiven-names"/>
        </w:rPr>
        <w:t>C.</w:t>
      </w:r>
      <w:r>
        <w:t xml:space="preserve">, </w:t>
      </w:r>
      <w:proofErr w:type="spellStart"/>
      <w:r>
        <w:rPr>
          <w:rStyle w:val="hlfld-contribauthor"/>
        </w:rPr>
        <w:t>Kahramanian</w:t>
      </w:r>
      <w:proofErr w:type="spellEnd"/>
      <w:r>
        <w:rPr>
          <w:rStyle w:val="hlfld-contribauthor"/>
        </w:rPr>
        <w:t xml:space="preserve">, </w:t>
      </w:r>
      <w:r>
        <w:rPr>
          <w:rStyle w:val="nlmgiven-names"/>
        </w:rPr>
        <w:t>M. I.</w:t>
      </w:r>
      <w:r>
        <w:t xml:space="preserve">, </w:t>
      </w:r>
      <w:r>
        <w:rPr>
          <w:rStyle w:val="hlfld-contribauthor"/>
        </w:rPr>
        <w:t xml:space="preserve">Morales, </w:t>
      </w:r>
      <w:r>
        <w:rPr>
          <w:rStyle w:val="nlmgiven-names"/>
        </w:rPr>
        <w:t>L. S.</w:t>
      </w:r>
      <w:r>
        <w:t xml:space="preserve">, &amp; </w:t>
      </w:r>
      <w:r>
        <w:rPr>
          <w:rStyle w:val="hlfld-contribauthor"/>
        </w:rPr>
        <w:t xml:space="preserve">Bautista, </w:t>
      </w:r>
      <w:r>
        <w:rPr>
          <w:rStyle w:val="nlmgiven-names"/>
        </w:rPr>
        <w:t>D. E</w:t>
      </w:r>
      <w:r>
        <w:t>. (</w:t>
      </w:r>
      <w:r>
        <w:rPr>
          <w:rStyle w:val="nlmyear"/>
        </w:rPr>
        <w:t>2005</w:t>
      </w:r>
      <w:r>
        <w:t xml:space="preserve">). </w:t>
      </w:r>
      <w:r>
        <w:rPr>
          <w:rStyle w:val="nlmarticle-title"/>
        </w:rPr>
        <w:t>Acculturation and Latino health in the United States: A review of the literature and its sociopolitical context</w:t>
      </w:r>
      <w:r>
        <w:t xml:space="preserve">. </w:t>
      </w:r>
      <w:r>
        <w:rPr>
          <w:i/>
          <w:iCs/>
        </w:rPr>
        <w:t>Annual Review of Public Health</w:t>
      </w:r>
      <w:r>
        <w:t xml:space="preserve">, </w:t>
      </w:r>
      <w:r>
        <w:rPr>
          <w:i/>
          <w:iCs/>
        </w:rPr>
        <w:t>26</w:t>
      </w:r>
      <w:r>
        <w:t xml:space="preserve">(1), </w:t>
      </w:r>
      <w:r>
        <w:rPr>
          <w:rStyle w:val="nlmfpage"/>
        </w:rPr>
        <w:t>367</w:t>
      </w:r>
      <w:r>
        <w:t>–</w:t>
      </w:r>
      <w:r>
        <w:rPr>
          <w:rStyle w:val="nlmlpage"/>
        </w:rPr>
        <w:t>397</w:t>
      </w:r>
      <w:r>
        <w:t xml:space="preserve">. </w:t>
      </w:r>
      <w:proofErr w:type="gramStart"/>
      <w:r>
        <w:t>doi:</w:t>
      </w:r>
      <w:r>
        <w:rPr>
          <w:rStyle w:val="nlmpub-id"/>
        </w:rPr>
        <w:t>10.1146/annurev.publhealth</w:t>
      </w:r>
      <w:proofErr w:type="gramEnd"/>
      <w:r>
        <w:rPr>
          <w:rStyle w:val="nlmpub-id"/>
        </w:rPr>
        <w:t>.26.021304.144615</w:t>
      </w:r>
    </w:p>
    <w:p w14:paraId="1F2CAE7B" w14:textId="758CAE8B" w:rsidR="00086656" w:rsidRDefault="00086656" w:rsidP="00086656">
      <w:pPr>
        <w:pStyle w:val="NoSpacing"/>
        <w:ind w:left="720" w:hanging="720"/>
      </w:pPr>
      <w:proofErr w:type="spellStart"/>
      <w:r>
        <w:rPr>
          <w:rStyle w:val="hlfld-contribauthor"/>
        </w:rPr>
        <w:t>Lundahl</w:t>
      </w:r>
      <w:proofErr w:type="spellEnd"/>
      <w:r>
        <w:rPr>
          <w:rStyle w:val="hlfld-contribauthor"/>
        </w:rPr>
        <w:t xml:space="preserve">, </w:t>
      </w:r>
      <w:r>
        <w:rPr>
          <w:rStyle w:val="nlmgiven-names"/>
        </w:rPr>
        <w:t>B. W.</w:t>
      </w:r>
      <w:r>
        <w:t xml:space="preserve">, </w:t>
      </w:r>
      <w:r>
        <w:rPr>
          <w:rStyle w:val="hlfld-contribauthor"/>
        </w:rPr>
        <w:t xml:space="preserve">Tollefson, </w:t>
      </w:r>
      <w:r>
        <w:rPr>
          <w:rStyle w:val="nlmgiven-names"/>
        </w:rPr>
        <w:t>D.</w:t>
      </w:r>
      <w:r>
        <w:t xml:space="preserve">, </w:t>
      </w:r>
      <w:r>
        <w:rPr>
          <w:rStyle w:val="hlfld-contribauthor"/>
        </w:rPr>
        <w:t xml:space="preserve">Risser, </w:t>
      </w:r>
      <w:r>
        <w:rPr>
          <w:rStyle w:val="nlmgiven-names"/>
        </w:rPr>
        <w:t>H.</w:t>
      </w:r>
      <w:r>
        <w:t xml:space="preserve">, &amp; </w:t>
      </w:r>
      <w:r>
        <w:rPr>
          <w:rStyle w:val="hlfld-contribauthor"/>
        </w:rPr>
        <w:t xml:space="preserve">Lovejoy, </w:t>
      </w:r>
      <w:r>
        <w:rPr>
          <w:rStyle w:val="nlmgiven-names"/>
        </w:rPr>
        <w:t>M. C</w:t>
      </w:r>
      <w:r>
        <w:t>. (</w:t>
      </w:r>
      <w:r>
        <w:rPr>
          <w:rStyle w:val="nlmyear"/>
        </w:rPr>
        <w:t>2008</w:t>
      </w:r>
      <w:r>
        <w:t xml:space="preserve">). </w:t>
      </w:r>
      <w:r>
        <w:rPr>
          <w:rStyle w:val="nlmarticle-title"/>
        </w:rPr>
        <w:t>A meta-analysis of father involvement in parent training</w:t>
      </w:r>
      <w:r>
        <w:t xml:space="preserve">. </w:t>
      </w:r>
      <w:r>
        <w:rPr>
          <w:i/>
          <w:iCs/>
        </w:rPr>
        <w:t>Research on Social Work Practice</w:t>
      </w:r>
      <w:r>
        <w:t xml:space="preserve">, </w:t>
      </w:r>
      <w:r>
        <w:rPr>
          <w:i/>
          <w:iCs/>
        </w:rPr>
        <w:t>18</w:t>
      </w:r>
      <w:r>
        <w:t xml:space="preserve">(2), </w:t>
      </w:r>
      <w:r>
        <w:rPr>
          <w:rStyle w:val="nlmfpage"/>
        </w:rPr>
        <w:t>97</w:t>
      </w:r>
      <w:r>
        <w:t>–</w:t>
      </w:r>
      <w:r>
        <w:rPr>
          <w:rStyle w:val="nlmlpage"/>
        </w:rPr>
        <w:t>106</w:t>
      </w:r>
      <w:r>
        <w:t>. doi:</w:t>
      </w:r>
      <w:r>
        <w:rPr>
          <w:rStyle w:val="nlmpub-id"/>
        </w:rPr>
        <w:t>10.1177/1049731507309828</w:t>
      </w:r>
    </w:p>
    <w:p w14:paraId="57FDB2AF" w14:textId="3111089A" w:rsidR="00086656" w:rsidRDefault="00086656" w:rsidP="00086656">
      <w:pPr>
        <w:pStyle w:val="NoSpacing"/>
        <w:ind w:left="720" w:hanging="720"/>
      </w:pPr>
      <w:r>
        <w:rPr>
          <w:rStyle w:val="hlfld-contribauthor"/>
        </w:rPr>
        <w:t xml:space="preserve">Marín, </w:t>
      </w:r>
      <w:r>
        <w:rPr>
          <w:rStyle w:val="nlmgiven-names"/>
        </w:rPr>
        <w:t>G</w:t>
      </w:r>
      <w:r>
        <w:t>. (</w:t>
      </w:r>
      <w:r>
        <w:rPr>
          <w:rStyle w:val="nlmyear"/>
        </w:rPr>
        <w:t>1992</w:t>
      </w:r>
      <w:r>
        <w:t xml:space="preserve">). </w:t>
      </w:r>
      <w:r>
        <w:rPr>
          <w:rStyle w:val="nlmchapter-title"/>
        </w:rPr>
        <w:t>Issues in the measurement of acculturation among Hispanics</w:t>
      </w:r>
      <w:r>
        <w:t xml:space="preserve">. In </w:t>
      </w:r>
      <w:r>
        <w:rPr>
          <w:rStyle w:val="nlmgiven-names"/>
        </w:rPr>
        <w:t>K.</w:t>
      </w:r>
      <w:r>
        <w:rPr>
          <w:rStyle w:val="hlfld-contribauthor"/>
        </w:rPr>
        <w:t xml:space="preserve"> Geisinger</w:t>
      </w:r>
      <w:r>
        <w:t xml:space="preserve"> (Ed.), </w:t>
      </w:r>
      <w:r>
        <w:rPr>
          <w:i/>
          <w:iCs/>
        </w:rPr>
        <w:t>Psychological testing of Hispanics</w:t>
      </w:r>
      <w:r>
        <w:t xml:space="preserve"> (pp. </w:t>
      </w:r>
      <w:r>
        <w:rPr>
          <w:rStyle w:val="nlmfpage"/>
        </w:rPr>
        <w:t>235</w:t>
      </w:r>
      <w:r>
        <w:t>–</w:t>
      </w:r>
      <w:r>
        <w:rPr>
          <w:rStyle w:val="nlmlpage"/>
        </w:rPr>
        <w:t>251</w:t>
      </w:r>
      <w:r>
        <w:t xml:space="preserve">). </w:t>
      </w:r>
      <w:r>
        <w:rPr>
          <w:rStyle w:val="nlmpublisher-loc"/>
        </w:rPr>
        <w:t>Washington, DC</w:t>
      </w:r>
      <w:r>
        <w:t xml:space="preserve">: </w:t>
      </w:r>
      <w:r>
        <w:rPr>
          <w:rStyle w:val="nlmpublisher-name"/>
        </w:rPr>
        <w:t>American Psychological Association</w:t>
      </w:r>
      <w:r>
        <w:t>.</w:t>
      </w:r>
    </w:p>
    <w:p w14:paraId="37580063" w14:textId="7583CA64" w:rsidR="00086656" w:rsidRDefault="00086656" w:rsidP="00086656">
      <w:pPr>
        <w:pStyle w:val="NoSpacing"/>
        <w:ind w:left="720" w:hanging="720"/>
      </w:pPr>
      <w:r>
        <w:rPr>
          <w:rStyle w:val="hlfld-contribauthor"/>
        </w:rPr>
        <w:t xml:space="preserve">Martinez, </w:t>
      </w:r>
      <w:r>
        <w:rPr>
          <w:rStyle w:val="nlmgiven-names"/>
        </w:rPr>
        <w:t>R. O.</w:t>
      </w:r>
      <w:r>
        <w:t xml:space="preserve">, &amp; </w:t>
      </w:r>
      <w:proofErr w:type="spellStart"/>
      <w:r>
        <w:rPr>
          <w:rStyle w:val="hlfld-contribauthor"/>
        </w:rPr>
        <w:t>Villarruel</w:t>
      </w:r>
      <w:proofErr w:type="spellEnd"/>
      <w:r>
        <w:rPr>
          <w:rStyle w:val="hlfld-contribauthor"/>
        </w:rPr>
        <w:t xml:space="preserve">, </w:t>
      </w:r>
      <w:r>
        <w:rPr>
          <w:rStyle w:val="nlmgiven-names"/>
        </w:rPr>
        <w:t>F. A</w:t>
      </w:r>
      <w:r>
        <w:t>. (</w:t>
      </w:r>
      <w:r>
        <w:rPr>
          <w:rStyle w:val="nlmyear"/>
        </w:rPr>
        <w:t>2009</w:t>
      </w:r>
      <w:r>
        <w:t xml:space="preserve">). </w:t>
      </w:r>
      <w:r>
        <w:rPr>
          <w:rStyle w:val="nlmchapter-title"/>
        </w:rPr>
        <w:t>Preface</w:t>
      </w:r>
      <w:r>
        <w:t xml:space="preserve">. In </w:t>
      </w:r>
      <w:r>
        <w:rPr>
          <w:rStyle w:val="nlmgiven-names"/>
        </w:rPr>
        <w:t>F. A.</w:t>
      </w:r>
      <w:r>
        <w:rPr>
          <w:rStyle w:val="hlfld-contribauthor"/>
        </w:rPr>
        <w:t xml:space="preserve"> </w:t>
      </w:r>
      <w:proofErr w:type="spellStart"/>
      <w:r>
        <w:rPr>
          <w:rStyle w:val="hlfld-contribauthor"/>
        </w:rPr>
        <w:t>Villarruel</w:t>
      </w:r>
      <w:proofErr w:type="spellEnd"/>
      <w:r>
        <w:t xml:space="preserve">, </w:t>
      </w:r>
      <w:r>
        <w:rPr>
          <w:rStyle w:val="nlmgiven-names"/>
        </w:rPr>
        <w:t>G.</w:t>
      </w:r>
      <w:r>
        <w:rPr>
          <w:rStyle w:val="hlfld-contribauthor"/>
        </w:rPr>
        <w:t xml:space="preserve"> Carlo</w:t>
      </w:r>
      <w:r>
        <w:t xml:space="preserve">, </w:t>
      </w:r>
      <w:r>
        <w:rPr>
          <w:rStyle w:val="nlmgiven-names"/>
        </w:rPr>
        <w:t>J. M.</w:t>
      </w:r>
      <w:r>
        <w:rPr>
          <w:rStyle w:val="hlfld-contribauthor"/>
        </w:rPr>
        <w:t xml:space="preserve"> Grau</w:t>
      </w:r>
      <w:r>
        <w:t xml:space="preserve">, </w:t>
      </w:r>
      <w:r>
        <w:rPr>
          <w:rStyle w:val="nlmgiven-names"/>
        </w:rPr>
        <w:t>M.</w:t>
      </w:r>
      <w:r>
        <w:rPr>
          <w:rStyle w:val="hlfld-contribauthor"/>
        </w:rPr>
        <w:t xml:space="preserve"> </w:t>
      </w:r>
      <w:proofErr w:type="spellStart"/>
      <w:r>
        <w:rPr>
          <w:rStyle w:val="hlfld-contribauthor"/>
        </w:rPr>
        <w:t>Azmitia</w:t>
      </w:r>
      <w:proofErr w:type="spellEnd"/>
      <w:r>
        <w:t xml:space="preserve">, </w:t>
      </w:r>
      <w:r>
        <w:rPr>
          <w:rStyle w:val="nlmgiven-names"/>
        </w:rPr>
        <w:t>N. J.</w:t>
      </w:r>
      <w:r>
        <w:rPr>
          <w:rStyle w:val="hlfld-contribauthor"/>
        </w:rPr>
        <w:t xml:space="preserve"> Cabrera</w:t>
      </w:r>
      <w:r>
        <w:t xml:space="preserve">, &amp; </w:t>
      </w:r>
      <w:r>
        <w:rPr>
          <w:rStyle w:val="nlmgiven-names"/>
        </w:rPr>
        <w:t>T. J.</w:t>
      </w:r>
      <w:r>
        <w:rPr>
          <w:rStyle w:val="hlfld-contribauthor"/>
        </w:rPr>
        <w:t xml:space="preserve"> </w:t>
      </w:r>
      <w:proofErr w:type="spellStart"/>
      <w:r>
        <w:rPr>
          <w:rStyle w:val="hlfld-contribauthor"/>
        </w:rPr>
        <w:t>Chahin</w:t>
      </w:r>
      <w:proofErr w:type="spellEnd"/>
      <w:r>
        <w:t xml:space="preserve"> (Eds.), </w:t>
      </w:r>
      <w:r>
        <w:rPr>
          <w:i/>
          <w:iCs/>
        </w:rPr>
        <w:t>Handbook of U.S. Latino psychology: Developmental and community-based perspectives</w:t>
      </w:r>
      <w:r>
        <w:t xml:space="preserve"> (pp. </w:t>
      </w:r>
      <w:r>
        <w:rPr>
          <w:rStyle w:val="nlmfpage"/>
        </w:rPr>
        <w:t>vii</w:t>
      </w:r>
      <w:r>
        <w:t>–</w:t>
      </w:r>
      <w:r>
        <w:rPr>
          <w:rStyle w:val="nlmlpage"/>
        </w:rPr>
        <w:t>xi</w:t>
      </w:r>
      <w:r>
        <w:t xml:space="preserve">). </w:t>
      </w:r>
      <w:r>
        <w:rPr>
          <w:rStyle w:val="nlmpublisher-loc"/>
        </w:rPr>
        <w:t>Thousand Oaks, CA</w:t>
      </w:r>
      <w:r>
        <w:t xml:space="preserve">: </w:t>
      </w:r>
      <w:r>
        <w:rPr>
          <w:rStyle w:val="nlmpublisher-name"/>
        </w:rPr>
        <w:t>SAGE Publications, Inc</w:t>
      </w:r>
      <w:r>
        <w:t>.</w:t>
      </w:r>
    </w:p>
    <w:p w14:paraId="28A7149D" w14:textId="5BF86559" w:rsidR="00086656" w:rsidRDefault="00086656" w:rsidP="00086656">
      <w:pPr>
        <w:pStyle w:val="NoSpacing"/>
        <w:ind w:left="720" w:hanging="720"/>
      </w:pPr>
      <w:r>
        <w:rPr>
          <w:rStyle w:val="hlfld-contribauthor"/>
        </w:rPr>
        <w:t xml:space="preserve">McCabe, </w:t>
      </w:r>
      <w:r>
        <w:rPr>
          <w:rStyle w:val="nlmgiven-names"/>
        </w:rPr>
        <w:t>K. M</w:t>
      </w:r>
      <w:r>
        <w:t>. (</w:t>
      </w:r>
      <w:r>
        <w:rPr>
          <w:rStyle w:val="nlmyear"/>
        </w:rPr>
        <w:t>2002a</w:t>
      </w:r>
      <w:r>
        <w:t xml:space="preserve">). </w:t>
      </w:r>
      <w:r>
        <w:rPr>
          <w:rStyle w:val="nlmarticle-title"/>
        </w:rPr>
        <w:t xml:space="preserve">Factors that predict premature termination among </w:t>
      </w:r>
      <w:proofErr w:type="gramStart"/>
      <w:r>
        <w:rPr>
          <w:rStyle w:val="nlmarticle-title"/>
        </w:rPr>
        <w:t>Mexican-American</w:t>
      </w:r>
      <w:proofErr w:type="gramEnd"/>
      <w:r>
        <w:rPr>
          <w:rStyle w:val="nlmarticle-title"/>
        </w:rPr>
        <w:t xml:space="preserve"> children in outpatient psychotherapy</w:t>
      </w:r>
      <w:r>
        <w:t xml:space="preserve">. </w:t>
      </w:r>
      <w:r>
        <w:rPr>
          <w:i/>
          <w:iCs/>
        </w:rPr>
        <w:t>Journal of Child and Family Studies</w:t>
      </w:r>
      <w:r>
        <w:t xml:space="preserve">, </w:t>
      </w:r>
      <w:r>
        <w:rPr>
          <w:i/>
          <w:iCs/>
        </w:rPr>
        <w:t>11</w:t>
      </w:r>
      <w:r>
        <w:t xml:space="preserve">(3), </w:t>
      </w:r>
      <w:r>
        <w:rPr>
          <w:rStyle w:val="nlmfpage"/>
        </w:rPr>
        <w:t>347</w:t>
      </w:r>
      <w:r>
        <w:t>–</w:t>
      </w:r>
      <w:r>
        <w:rPr>
          <w:rStyle w:val="nlmlpage"/>
        </w:rPr>
        <w:t>359</w:t>
      </w:r>
      <w:r>
        <w:t>.</w:t>
      </w:r>
    </w:p>
    <w:p w14:paraId="537A3487" w14:textId="6354ED75" w:rsidR="00086656" w:rsidRDefault="00086656" w:rsidP="00086656">
      <w:pPr>
        <w:pStyle w:val="NoSpacing"/>
        <w:ind w:left="720" w:hanging="720"/>
      </w:pPr>
      <w:r>
        <w:rPr>
          <w:rStyle w:val="hlfld-contribauthor"/>
        </w:rPr>
        <w:t xml:space="preserve">McCabe, </w:t>
      </w:r>
      <w:r>
        <w:rPr>
          <w:rStyle w:val="nlmgiven-names"/>
        </w:rPr>
        <w:t>K. M</w:t>
      </w:r>
      <w:r>
        <w:t>. (</w:t>
      </w:r>
      <w:r>
        <w:rPr>
          <w:rStyle w:val="nlmyear"/>
        </w:rPr>
        <w:t>2002b</w:t>
      </w:r>
      <w:r>
        <w:t>). Therapy Attitudes Questionnaire. Unpublished measure available from the author.</w:t>
      </w:r>
    </w:p>
    <w:p w14:paraId="1ACB9E32" w14:textId="5077829D" w:rsidR="00086656" w:rsidRDefault="00086656" w:rsidP="00086656">
      <w:pPr>
        <w:pStyle w:val="NoSpacing"/>
        <w:ind w:left="720" w:hanging="720"/>
      </w:pPr>
      <w:r>
        <w:rPr>
          <w:rStyle w:val="hlfld-contribauthor"/>
        </w:rPr>
        <w:t xml:space="preserve">McCabe, </w:t>
      </w:r>
      <w:r>
        <w:rPr>
          <w:rStyle w:val="nlmgiven-names"/>
        </w:rPr>
        <w:t>K. M</w:t>
      </w:r>
      <w:r>
        <w:t>. (</w:t>
      </w:r>
      <w:r>
        <w:rPr>
          <w:rStyle w:val="nlmyear"/>
        </w:rPr>
        <w:t>2002c</w:t>
      </w:r>
      <w:r>
        <w:t xml:space="preserve">). Therapy Expectations </w:t>
      </w:r>
      <w:proofErr w:type="spellStart"/>
      <w:r>
        <w:t>Questionnare</w:t>
      </w:r>
      <w:proofErr w:type="spellEnd"/>
      <w:r>
        <w:t>. Unpublished measure available from the author.</w:t>
      </w:r>
    </w:p>
    <w:p w14:paraId="19B740E6" w14:textId="1B2C5C7E" w:rsidR="00086656" w:rsidRDefault="00086656" w:rsidP="00086656">
      <w:pPr>
        <w:pStyle w:val="NoSpacing"/>
        <w:ind w:left="720" w:hanging="720"/>
      </w:pPr>
      <w:r>
        <w:rPr>
          <w:rStyle w:val="hlfld-contribauthor"/>
        </w:rPr>
        <w:t xml:space="preserve">McCabe, </w:t>
      </w:r>
      <w:r>
        <w:rPr>
          <w:rStyle w:val="nlmgiven-names"/>
        </w:rPr>
        <w:t>K. M.</w:t>
      </w:r>
      <w:r>
        <w:t xml:space="preserve">, </w:t>
      </w:r>
      <w:r>
        <w:rPr>
          <w:rStyle w:val="hlfld-contribauthor"/>
        </w:rPr>
        <w:t xml:space="preserve">Yeh, </w:t>
      </w:r>
      <w:r>
        <w:rPr>
          <w:rStyle w:val="nlmgiven-names"/>
        </w:rPr>
        <w:t>M.</w:t>
      </w:r>
      <w:r>
        <w:t xml:space="preserve">, </w:t>
      </w:r>
      <w:r>
        <w:rPr>
          <w:rStyle w:val="hlfld-contribauthor"/>
        </w:rPr>
        <w:t xml:space="preserve">Garland, </w:t>
      </w:r>
      <w:r>
        <w:rPr>
          <w:rStyle w:val="nlmgiven-names"/>
        </w:rPr>
        <w:t>A. F.</w:t>
      </w:r>
      <w:r>
        <w:t xml:space="preserve">, </w:t>
      </w:r>
      <w:r>
        <w:rPr>
          <w:rStyle w:val="hlfld-contribauthor"/>
        </w:rPr>
        <w:t xml:space="preserve">Lau, </w:t>
      </w:r>
      <w:r>
        <w:rPr>
          <w:rStyle w:val="nlmgiven-names"/>
        </w:rPr>
        <w:t>A. S.</w:t>
      </w:r>
      <w:r>
        <w:t xml:space="preserve">, &amp; </w:t>
      </w:r>
      <w:r>
        <w:rPr>
          <w:rStyle w:val="hlfld-contribauthor"/>
        </w:rPr>
        <w:t xml:space="preserve">Chavez, </w:t>
      </w:r>
      <w:r>
        <w:rPr>
          <w:rStyle w:val="nlmgiven-names"/>
        </w:rPr>
        <w:t>G</w:t>
      </w:r>
      <w:r>
        <w:t>. (</w:t>
      </w:r>
      <w:r>
        <w:rPr>
          <w:rStyle w:val="nlmyear"/>
        </w:rPr>
        <w:t>2005</w:t>
      </w:r>
      <w:r>
        <w:t xml:space="preserve">). </w:t>
      </w:r>
      <w:r>
        <w:rPr>
          <w:rStyle w:val="nlmarticle-title"/>
        </w:rPr>
        <w:t>The GANA program: A tailoring approach to adapting Parent Child Interaction Therapy for Mexican Americans</w:t>
      </w:r>
      <w:r>
        <w:t xml:space="preserve">. </w:t>
      </w:r>
      <w:r>
        <w:rPr>
          <w:i/>
          <w:iCs/>
        </w:rPr>
        <w:t>Education and Treatment of Children</w:t>
      </w:r>
      <w:r>
        <w:t xml:space="preserve">, </w:t>
      </w:r>
      <w:r>
        <w:rPr>
          <w:i/>
          <w:iCs/>
        </w:rPr>
        <w:t>28</w:t>
      </w:r>
      <w:r>
        <w:t xml:space="preserve">(2), </w:t>
      </w:r>
      <w:r>
        <w:rPr>
          <w:rStyle w:val="nlmfpage"/>
        </w:rPr>
        <w:t>111</w:t>
      </w:r>
      <w:r>
        <w:t>–</w:t>
      </w:r>
      <w:r>
        <w:rPr>
          <w:rStyle w:val="nlmlpage"/>
        </w:rPr>
        <w:t>129</w:t>
      </w:r>
      <w:r>
        <w:t>.</w:t>
      </w:r>
    </w:p>
    <w:p w14:paraId="02C26A5D" w14:textId="0FE51376" w:rsidR="00086656" w:rsidRDefault="00086656" w:rsidP="00086656">
      <w:pPr>
        <w:pStyle w:val="NoSpacing"/>
        <w:ind w:left="720" w:hanging="720"/>
      </w:pPr>
      <w:r>
        <w:rPr>
          <w:rStyle w:val="hlfld-contribauthor"/>
        </w:rPr>
        <w:t xml:space="preserve">Miranda, </w:t>
      </w:r>
      <w:r>
        <w:rPr>
          <w:rStyle w:val="nlmgiven-names"/>
        </w:rPr>
        <w:t>J</w:t>
      </w:r>
      <w:r>
        <w:t xml:space="preserve">., </w:t>
      </w:r>
      <w:r>
        <w:rPr>
          <w:rStyle w:val="hlfld-contribauthor"/>
        </w:rPr>
        <w:t xml:space="preserve">Lawson, </w:t>
      </w:r>
      <w:r>
        <w:rPr>
          <w:rStyle w:val="nlmgiven-names"/>
        </w:rPr>
        <w:t>W</w:t>
      </w:r>
      <w:r>
        <w:t xml:space="preserve">., &amp; </w:t>
      </w:r>
      <w:r>
        <w:rPr>
          <w:rStyle w:val="hlfld-contribauthor"/>
        </w:rPr>
        <w:t xml:space="preserve">Escobar, </w:t>
      </w:r>
      <w:r>
        <w:rPr>
          <w:rStyle w:val="nlmgiven-names"/>
        </w:rPr>
        <w:t>J</w:t>
      </w:r>
      <w:r>
        <w:rPr>
          <w:rStyle w:val="hlfld-contribauthor"/>
        </w:rPr>
        <w:t xml:space="preserve">. </w:t>
      </w:r>
      <w:r>
        <w:t>(</w:t>
      </w:r>
      <w:r>
        <w:rPr>
          <w:rStyle w:val="nlmyear"/>
        </w:rPr>
        <w:t>2002</w:t>
      </w:r>
      <w:r>
        <w:t xml:space="preserve">). </w:t>
      </w:r>
      <w:r>
        <w:rPr>
          <w:rStyle w:val="nlmarticle-title"/>
        </w:rPr>
        <w:t>Ethnic minorities</w:t>
      </w:r>
      <w:r>
        <w:t xml:space="preserve">. </w:t>
      </w:r>
      <w:r>
        <w:rPr>
          <w:i/>
          <w:iCs/>
        </w:rPr>
        <w:t>Mental Health Services Research</w:t>
      </w:r>
      <w:r>
        <w:t xml:space="preserve">, </w:t>
      </w:r>
      <w:r>
        <w:rPr>
          <w:i/>
          <w:iCs/>
        </w:rPr>
        <w:t>4</w:t>
      </w:r>
      <w:r>
        <w:t xml:space="preserve">(4), </w:t>
      </w:r>
      <w:r>
        <w:rPr>
          <w:rStyle w:val="nlmfpage"/>
        </w:rPr>
        <w:t>231</w:t>
      </w:r>
      <w:r>
        <w:t>–</w:t>
      </w:r>
      <w:r>
        <w:rPr>
          <w:rStyle w:val="nlmlpage"/>
        </w:rPr>
        <w:t>237</w:t>
      </w:r>
      <w:r>
        <w:t>.</w:t>
      </w:r>
    </w:p>
    <w:p w14:paraId="09161C62" w14:textId="6228467E" w:rsidR="00086656" w:rsidRDefault="00086656" w:rsidP="00086656">
      <w:pPr>
        <w:pStyle w:val="NoSpacing"/>
        <w:ind w:left="720" w:hanging="720"/>
      </w:pPr>
      <w:r>
        <w:rPr>
          <w:rStyle w:val="hlfld-contribauthor"/>
        </w:rPr>
        <w:t xml:space="preserve">Miranda, </w:t>
      </w:r>
      <w:r>
        <w:rPr>
          <w:rStyle w:val="nlmgiven-names"/>
        </w:rPr>
        <w:t>J.</w:t>
      </w:r>
      <w:r>
        <w:t xml:space="preserve">, </w:t>
      </w:r>
      <w:proofErr w:type="spellStart"/>
      <w:r>
        <w:rPr>
          <w:rStyle w:val="hlfld-contribauthor"/>
        </w:rPr>
        <w:t>Azocar</w:t>
      </w:r>
      <w:proofErr w:type="spellEnd"/>
      <w:r>
        <w:rPr>
          <w:rStyle w:val="hlfld-contribauthor"/>
        </w:rPr>
        <w:t xml:space="preserve">, </w:t>
      </w:r>
      <w:r>
        <w:rPr>
          <w:rStyle w:val="nlmgiven-names"/>
        </w:rPr>
        <w:t>F.</w:t>
      </w:r>
      <w:r>
        <w:t xml:space="preserve">, </w:t>
      </w:r>
      <w:proofErr w:type="spellStart"/>
      <w:r>
        <w:rPr>
          <w:rStyle w:val="hlfld-contribauthor"/>
        </w:rPr>
        <w:t>Organista</w:t>
      </w:r>
      <w:proofErr w:type="spellEnd"/>
      <w:r>
        <w:rPr>
          <w:rStyle w:val="hlfld-contribauthor"/>
        </w:rPr>
        <w:t xml:space="preserve">, </w:t>
      </w:r>
      <w:r>
        <w:rPr>
          <w:rStyle w:val="nlmgiven-names"/>
        </w:rPr>
        <w:t>K. C.</w:t>
      </w:r>
      <w:r>
        <w:t xml:space="preserve">, </w:t>
      </w:r>
      <w:r>
        <w:rPr>
          <w:rStyle w:val="hlfld-contribauthor"/>
        </w:rPr>
        <w:t xml:space="preserve">Muñoz, </w:t>
      </w:r>
      <w:r>
        <w:rPr>
          <w:rStyle w:val="nlmgiven-names"/>
        </w:rPr>
        <w:t>R. F.</w:t>
      </w:r>
      <w:r>
        <w:t xml:space="preserve">, &amp; </w:t>
      </w:r>
      <w:r>
        <w:rPr>
          <w:rStyle w:val="hlfld-contribauthor"/>
        </w:rPr>
        <w:t xml:space="preserve">Lieberman, </w:t>
      </w:r>
      <w:r>
        <w:rPr>
          <w:rStyle w:val="nlmgiven-names"/>
        </w:rPr>
        <w:t>A</w:t>
      </w:r>
      <w:r>
        <w:t>. (</w:t>
      </w:r>
      <w:r>
        <w:rPr>
          <w:rStyle w:val="nlmyear"/>
        </w:rPr>
        <w:t>1996</w:t>
      </w:r>
      <w:r>
        <w:t xml:space="preserve">). </w:t>
      </w:r>
      <w:r>
        <w:rPr>
          <w:rStyle w:val="nlmarticle-title"/>
        </w:rPr>
        <w:t>Recruiting and retaining low-income Latinos in psychotherapy research</w:t>
      </w:r>
      <w:r>
        <w:t xml:space="preserve">. </w:t>
      </w:r>
      <w:r>
        <w:rPr>
          <w:i/>
          <w:iCs/>
        </w:rPr>
        <w:t>Journal of Consulting and Clinical Psychology Review</w:t>
      </w:r>
      <w:r>
        <w:t xml:space="preserve">, </w:t>
      </w:r>
      <w:r>
        <w:rPr>
          <w:i/>
          <w:iCs/>
        </w:rPr>
        <w:t>64</w:t>
      </w:r>
      <w:r>
        <w:t xml:space="preserve">(5), </w:t>
      </w:r>
      <w:r>
        <w:rPr>
          <w:rStyle w:val="nlmfpage"/>
        </w:rPr>
        <w:t>868</w:t>
      </w:r>
      <w:r>
        <w:t>–</w:t>
      </w:r>
      <w:r>
        <w:rPr>
          <w:rStyle w:val="nlmlpage"/>
        </w:rPr>
        <w:t>874</w:t>
      </w:r>
      <w:r>
        <w:t>. doi:</w:t>
      </w:r>
      <w:r>
        <w:rPr>
          <w:rStyle w:val="nlmpub-id"/>
        </w:rPr>
        <w:t>10.1037/0022-006X.64.5.868</w:t>
      </w:r>
    </w:p>
    <w:p w14:paraId="237AB5A1" w14:textId="3E254B8E" w:rsidR="00086656" w:rsidRDefault="00086656" w:rsidP="00086656">
      <w:pPr>
        <w:pStyle w:val="NoSpacing"/>
        <w:ind w:left="720" w:hanging="720"/>
      </w:pPr>
      <w:r>
        <w:rPr>
          <w:rStyle w:val="hlfld-contribauthor"/>
        </w:rPr>
        <w:t xml:space="preserve">Morgan, </w:t>
      </w:r>
      <w:r>
        <w:rPr>
          <w:rStyle w:val="nlmgiven-names"/>
        </w:rPr>
        <w:t>P. L.</w:t>
      </w:r>
      <w:r>
        <w:t xml:space="preserve">, </w:t>
      </w:r>
      <w:proofErr w:type="spellStart"/>
      <w:r>
        <w:rPr>
          <w:rStyle w:val="hlfld-contribauthor"/>
        </w:rPr>
        <w:t>Hillemeier</w:t>
      </w:r>
      <w:proofErr w:type="spellEnd"/>
      <w:r>
        <w:rPr>
          <w:rStyle w:val="hlfld-contribauthor"/>
        </w:rPr>
        <w:t xml:space="preserve">, </w:t>
      </w:r>
      <w:r>
        <w:rPr>
          <w:rStyle w:val="nlmgiven-names"/>
        </w:rPr>
        <w:t>M. M.</w:t>
      </w:r>
      <w:r>
        <w:t xml:space="preserve">, </w:t>
      </w:r>
      <w:r>
        <w:rPr>
          <w:rStyle w:val="hlfld-contribauthor"/>
        </w:rPr>
        <w:t xml:space="preserve">Farkas, </w:t>
      </w:r>
      <w:r>
        <w:rPr>
          <w:rStyle w:val="nlmgiven-names"/>
        </w:rPr>
        <w:t>G.</w:t>
      </w:r>
      <w:r>
        <w:t xml:space="preserve">, &amp; </w:t>
      </w:r>
      <w:proofErr w:type="spellStart"/>
      <w:r>
        <w:rPr>
          <w:rStyle w:val="hlfld-contribauthor"/>
        </w:rPr>
        <w:t>Maczuga</w:t>
      </w:r>
      <w:proofErr w:type="spellEnd"/>
      <w:r>
        <w:rPr>
          <w:rStyle w:val="hlfld-contribauthor"/>
        </w:rPr>
        <w:t xml:space="preserve">, </w:t>
      </w:r>
      <w:r>
        <w:rPr>
          <w:rStyle w:val="nlmgiven-names"/>
        </w:rPr>
        <w:t>S</w:t>
      </w:r>
      <w:r>
        <w:t>. (</w:t>
      </w:r>
      <w:r>
        <w:rPr>
          <w:rStyle w:val="nlmyear"/>
        </w:rPr>
        <w:t>2014</w:t>
      </w:r>
      <w:r>
        <w:t xml:space="preserve">). </w:t>
      </w:r>
      <w:r>
        <w:rPr>
          <w:rStyle w:val="nlmarticle-title"/>
        </w:rPr>
        <w:t>Racial/ethnic disparities in ADHD diagnosis by kindergarten entry</w:t>
      </w:r>
      <w:r>
        <w:t xml:space="preserve">. </w:t>
      </w:r>
      <w:r>
        <w:rPr>
          <w:i/>
          <w:iCs/>
        </w:rPr>
        <w:t>Journal of Child Psychology and Psychiatry</w:t>
      </w:r>
      <w:r>
        <w:t xml:space="preserve">, </w:t>
      </w:r>
      <w:r>
        <w:rPr>
          <w:i/>
          <w:iCs/>
        </w:rPr>
        <w:t>55</w:t>
      </w:r>
      <w:r>
        <w:t xml:space="preserve">(8), </w:t>
      </w:r>
      <w:r>
        <w:rPr>
          <w:rStyle w:val="nlmfpage"/>
        </w:rPr>
        <w:t>905</w:t>
      </w:r>
      <w:r>
        <w:t>–</w:t>
      </w:r>
      <w:r>
        <w:rPr>
          <w:rStyle w:val="nlmlpage"/>
        </w:rPr>
        <w:t>913</w:t>
      </w:r>
      <w:r>
        <w:t>. doi:</w:t>
      </w:r>
      <w:r>
        <w:rPr>
          <w:rStyle w:val="nlmpub-id"/>
        </w:rPr>
        <w:t>10.1111/jcpp.12204</w:t>
      </w:r>
    </w:p>
    <w:p w14:paraId="4F5F726F" w14:textId="37D06320" w:rsidR="00086656" w:rsidRDefault="00086656" w:rsidP="00086656">
      <w:pPr>
        <w:pStyle w:val="NoSpacing"/>
        <w:ind w:left="720" w:hanging="720"/>
      </w:pPr>
      <w:r>
        <w:rPr>
          <w:rStyle w:val="hlfld-contribauthor"/>
        </w:rPr>
        <w:t xml:space="preserve">Nandi, </w:t>
      </w:r>
      <w:r>
        <w:rPr>
          <w:rStyle w:val="nlmgiven-names"/>
        </w:rPr>
        <w:t>A.</w:t>
      </w:r>
      <w:r>
        <w:t xml:space="preserve">, </w:t>
      </w:r>
      <w:r>
        <w:rPr>
          <w:rStyle w:val="hlfld-contribauthor"/>
        </w:rPr>
        <w:t xml:space="preserve">Galea, </w:t>
      </w:r>
      <w:r>
        <w:rPr>
          <w:rStyle w:val="nlmgiven-names"/>
        </w:rPr>
        <w:t>S.</w:t>
      </w:r>
      <w:r>
        <w:t xml:space="preserve">, </w:t>
      </w:r>
      <w:r>
        <w:rPr>
          <w:rStyle w:val="hlfld-contribauthor"/>
        </w:rPr>
        <w:t xml:space="preserve">Lopez, </w:t>
      </w:r>
      <w:r>
        <w:rPr>
          <w:rStyle w:val="nlmgiven-names"/>
        </w:rPr>
        <w:t>G.</w:t>
      </w:r>
      <w:r>
        <w:t xml:space="preserve">, </w:t>
      </w:r>
      <w:r>
        <w:rPr>
          <w:rStyle w:val="hlfld-contribauthor"/>
        </w:rPr>
        <w:t xml:space="preserve">Nandi, </w:t>
      </w:r>
      <w:r>
        <w:rPr>
          <w:rStyle w:val="nlmgiven-names"/>
        </w:rPr>
        <w:t>V.</w:t>
      </w:r>
      <w:r>
        <w:t xml:space="preserve">, </w:t>
      </w:r>
      <w:proofErr w:type="spellStart"/>
      <w:r>
        <w:rPr>
          <w:rStyle w:val="hlfld-contribauthor"/>
        </w:rPr>
        <w:t>Strongarone</w:t>
      </w:r>
      <w:proofErr w:type="spellEnd"/>
      <w:r>
        <w:rPr>
          <w:rStyle w:val="hlfld-contribauthor"/>
        </w:rPr>
        <w:t xml:space="preserve">, </w:t>
      </w:r>
      <w:r>
        <w:rPr>
          <w:rStyle w:val="nlmgiven-names"/>
        </w:rPr>
        <w:t>S.</w:t>
      </w:r>
      <w:r>
        <w:t xml:space="preserve">, &amp; </w:t>
      </w:r>
      <w:proofErr w:type="spellStart"/>
      <w:r>
        <w:rPr>
          <w:rStyle w:val="hlfld-contribauthor"/>
        </w:rPr>
        <w:t>Ompad</w:t>
      </w:r>
      <w:proofErr w:type="spellEnd"/>
      <w:r>
        <w:rPr>
          <w:rStyle w:val="hlfld-contribauthor"/>
        </w:rPr>
        <w:t xml:space="preserve">, </w:t>
      </w:r>
      <w:r>
        <w:rPr>
          <w:rStyle w:val="nlmgiven-names"/>
        </w:rPr>
        <w:t>D. C</w:t>
      </w:r>
      <w:r>
        <w:t>. (</w:t>
      </w:r>
      <w:r>
        <w:rPr>
          <w:rStyle w:val="nlmyear"/>
        </w:rPr>
        <w:t>2008</w:t>
      </w:r>
      <w:r>
        <w:t xml:space="preserve">). </w:t>
      </w:r>
      <w:r>
        <w:rPr>
          <w:rStyle w:val="nlmarticle-title"/>
        </w:rPr>
        <w:t>Access to and use of health services among undocumented Mexican immigrants in a US urban area</w:t>
      </w:r>
      <w:r>
        <w:t xml:space="preserve">. </w:t>
      </w:r>
      <w:r>
        <w:rPr>
          <w:i/>
          <w:iCs/>
        </w:rPr>
        <w:t>American Journal of Public Health</w:t>
      </w:r>
      <w:r>
        <w:t xml:space="preserve">, </w:t>
      </w:r>
      <w:r>
        <w:rPr>
          <w:i/>
          <w:iCs/>
        </w:rPr>
        <w:t>98</w:t>
      </w:r>
      <w:r>
        <w:t xml:space="preserve">(11), </w:t>
      </w:r>
      <w:r>
        <w:rPr>
          <w:rStyle w:val="nlmfpage"/>
        </w:rPr>
        <w:t>2011</w:t>
      </w:r>
      <w:r>
        <w:t>–</w:t>
      </w:r>
      <w:r>
        <w:rPr>
          <w:rStyle w:val="nlmlpage"/>
        </w:rPr>
        <w:t>2020</w:t>
      </w:r>
      <w:r>
        <w:t>. doi:</w:t>
      </w:r>
      <w:r>
        <w:rPr>
          <w:rStyle w:val="nlmpub-id"/>
        </w:rPr>
        <w:t>10.2105/AJPH.2006.096222</w:t>
      </w:r>
    </w:p>
    <w:p w14:paraId="46AD2395" w14:textId="7F49E928" w:rsidR="00086656" w:rsidRDefault="00086656" w:rsidP="00086656">
      <w:pPr>
        <w:pStyle w:val="NoSpacing"/>
        <w:ind w:left="720" w:hanging="720"/>
      </w:pPr>
      <w:r>
        <w:t>National Institutes of Health. (</w:t>
      </w:r>
      <w:r>
        <w:rPr>
          <w:rStyle w:val="nlmyear"/>
        </w:rPr>
        <w:t>2002</w:t>
      </w:r>
      <w:r>
        <w:t xml:space="preserve">). </w:t>
      </w:r>
      <w:r>
        <w:rPr>
          <w:i/>
          <w:iCs/>
        </w:rPr>
        <w:t>Outreach notebook for the inclusion, recruitment and retention of women and minority subjects in clinical research</w:t>
      </w:r>
      <w:r>
        <w:t xml:space="preserve">. Retrieved from </w:t>
      </w:r>
      <w:hyperlink r:id="rId53" w:tgtFrame="_blank" w:history="1">
        <w:r>
          <w:rPr>
            <w:rStyle w:val="Hyperlink"/>
          </w:rPr>
          <w:t>www4.od.nih.gov/orwh/outreach</w:t>
        </w:r>
      </w:hyperlink>
    </w:p>
    <w:p w14:paraId="50DF01C7" w14:textId="6884BAE1" w:rsidR="00086656" w:rsidRDefault="00086656" w:rsidP="00086656">
      <w:pPr>
        <w:pStyle w:val="NoSpacing"/>
        <w:ind w:left="720" w:hanging="720"/>
      </w:pPr>
      <w:r>
        <w:rPr>
          <w:rStyle w:val="hlfld-contribauthor"/>
        </w:rPr>
        <w:t xml:space="preserve">Nix, </w:t>
      </w:r>
      <w:r>
        <w:rPr>
          <w:rStyle w:val="nlmgiven-names"/>
        </w:rPr>
        <w:t>R. L.</w:t>
      </w:r>
      <w:r>
        <w:t xml:space="preserve">, </w:t>
      </w:r>
      <w:r>
        <w:rPr>
          <w:rStyle w:val="hlfld-contribauthor"/>
        </w:rPr>
        <w:t xml:space="preserve">Bierman, </w:t>
      </w:r>
      <w:r>
        <w:rPr>
          <w:rStyle w:val="nlmgiven-names"/>
        </w:rPr>
        <w:t>K. L.</w:t>
      </w:r>
      <w:r>
        <w:t xml:space="preserve">, &amp; </w:t>
      </w:r>
      <w:r>
        <w:rPr>
          <w:rStyle w:val="hlfld-contribauthor"/>
        </w:rPr>
        <w:t xml:space="preserve">McMahon, </w:t>
      </w:r>
      <w:r>
        <w:rPr>
          <w:rStyle w:val="nlmgiven-names"/>
        </w:rPr>
        <w:t>R. J</w:t>
      </w:r>
      <w:r>
        <w:t>. (</w:t>
      </w:r>
      <w:r>
        <w:rPr>
          <w:rStyle w:val="nlmyear"/>
        </w:rPr>
        <w:t>2009</w:t>
      </w:r>
      <w:r>
        <w:t xml:space="preserve">). </w:t>
      </w:r>
      <w:r>
        <w:rPr>
          <w:rStyle w:val="nlmarticle-title"/>
        </w:rPr>
        <w:t>How attendance and quality of participation affect treatment response to parent management training</w:t>
      </w:r>
      <w:r>
        <w:t xml:space="preserve">. </w:t>
      </w:r>
      <w:r>
        <w:rPr>
          <w:i/>
          <w:iCs/>
        </w:rPr>
        <w:t>Journal of Consulting and Clinical Psychology</w:t>
      </w:r>
      <w:r>
        <w:t xml:space="preserve">, </w:t>
      </w:r>
      <w:r>
        <w:rPr>
          <w:i/>
          <w:iCs/>
        </w:rPr>
        <w:t>77</w:t>
      </w:r>
      <w:r>
        <w:t xml:space="preserve">(3), </w:t>
      </w:r>
      <w:r>
        <w:rPr>
          <w:rStyle w:val="nlmfpage"/>
        </w:rPr>
        <w:t>429</w:t>
      </w:r>
      <w:r>
        <w:t>–</w:t>
      </w:r>
      <w:r>
        <w:rPr>
          <w:rStyle w:val="nlmlpage"/>
        </w:rPr>
        <w:t>438</w:t>
      </w:r>
      <w:r>
        <w:t>. doi:</w:t>
      </w:r>
      <w:r>
        <w:rPr>
          <w:rStyle w:val="nlmpub-id"/>
        </w:rPr>
        <w:t>10.1037/a0015028</w:t>
      </w:r>
    </w:p>
    <w:p w14:paraId="2F00FBAE" w14:textId="47024B5D" w:rsidR="00086656" w:rsidRDefault="00086656" w:rsidP="00086656">
      <w:pPr>
        <w:pStyle w:val="NoSpacing"/>
        <w:ind w:left="720" w:hanging="720"/>
      </w:pPr>
      <w:proofErr w:type="spellStart"/>
      <w:r>
        <w:rPr>
          <w:rStyle w:val="hlfld-contribauthor"/>
        </w:rPr>
        <w:lastRenderedPageBreak/>
        <w:t>Paidpati</w:t>
      </w:r>
      <w:proofErr w:type="spellEnd"/>
      <w:r>
        <w:rPr>
          <w:rStyle w:val="hlfld-contribauthor"/>
        </w:rPr>
        <w:t xml:space="preserve">, </w:t>
      </w:r>
      <w:r>
        <w:rPr>
          <w:rStyle w:val="nlmgiven-names"/>
        </w:rPr>
        <w:t>C. P.</w:t>
      </w:r>
      <w:r>
        <w:t xml:space="preserve">, </w:t>
      </w:r>
      <w:r>
        <w:rPr>
          <w:rStyle w:val="hlfld-contribauthor"/>
        </w:rPr>
        <w:t xml:space="preserve">Brawner, </w:t>
      </w:r>
      <w:r>
        <w:rPr>
          <w:rStyle w:val="nlmgiven-names"/>
        </w:rPr>
        <w:t>B.</w:t>
      </w:r>
      <w:r>
        <w:t xml:space="preserve">, </w:t>
      </w:r>
      <w:proofErr w:type="spellStart"/>
      <w:r>
        <w:rPr>
          <w:rStyle w:val="hlfld-contribauthor"/>
        </w:rPr>
        <w:t>Eiraldi</w:t>
      </w:r>
      <w:proofErr w:type="spellEnd"/>
      <w:r>
        <w:rPr>
          <w:rStyle w:val="hlfld-contribauthor"/>
        </w:rPr>
        <w:t xml:space="preserve">, </w:t>
      </w:r>
      <w:r>
        <w:rPr>
          <w:rStyle w:val="nlmgiven-names"/>
        </w:rPr>
        <w:t>R.</w:t>
      </w:r>
      <w:r>
        <w:t xml:space="preserve">, &amp; </w:t>
      </w:r>
      <w:proofErr w:type="spellStart"/>
      <w:r>
        <w:rPr>
          <w:rStyle w:val="hlfld-contribauthor"/>
        </w:rPr>
        <w:t>Deatrick</w:t>
      </w:r>
      <w:proofErr w:type="spellEnd"/>
      <w:r>
        <w:rPr>
          <w:rStyle w:val="hlfld-contribauthor"/>
        </w:rPr>
        <w:t xml:space="preserve">, </w:t>
      </w:r>
      <w:r>
        <w:rPr>
          <w:rStyle w:val="nlmgiven-names"/>
        </w:rPr>
        <w:t>J. A</w:t>
      </w:r>
      <w:r>
        <w:t>. (</w:t>
      </w:r>
      <w:r>
        <w:rPr>
          <w:rStyle w:val="nlmyear"/>
        </w:rPr>
        <w:t>2017</w:t>
      </w:r>
      <w:r>
        <w:t xml:space="preserve">). </w:t>
      </w:r>
      <w:r>
        <w:rPr>
          <w:rStyle w:val="nlmarticle-title"/>
        </w:rPr>
        <w:t>Parent and family processes related to ADHD management in ethnically diverse youth</w:t>
      </w:r>
      <w:r>
        <w:t xml:space="preserve">. </w:t>
      </w:r>
      <w:r>
        <w:rPr>
          <w:i/>
          <w:iCs/>
        </w:rPr>
        <w:t>Journal of the American Psychiatric Nurses Association</w:t>
      </w:r>
      <w:r>
        <w:t xml:space="preserve">, </w:t>
      </w:r>
      <w:r>
        <w:rPr>
          <w:i/>
          <w:iCs/>
        </w:rPr>
        <w:t>23</w:t>
      </w:r>
      <w:r>
        <w:t xml:space="preserve">(2), </w:t>
      </w:r>
      <w:r>
        <w:rPr>
          <w:rStyle w:val="nlmfpage"/>
        </w:rPr>
        <w:t>90</w:t>
      </w:r>
      <w:r>
        <w:t>–</w:t>
      </w:r>
      <w:r>
        <w:rPr>
          <w:rStyle w:val="nlmlpage"/>
        </w:rPr>
        <w:t>112</w:t>
      </w:r>
      <w:r>
        <w:t>. doi:</w:t>
      </w:r>
      <w:r>
        <w:rPr>
          <w:rStyle w:val="nlmpub-id"/>
        </w:rPr>
        <w:t>10.1177/1078390316687023</w:t>
      </w:r>
    </w:p>
    <w:p w14:paraId="7B8C2958" w14:textId="3E1211C4" w:rsidR="00086656" w:rsidRDefault="00086656" w:rsidP="00086656">
      <w:pPr>
        <w:pStyle w:val="NoSpacing"/>
        <w:ind w:left="720" w:hanging="720"/>
      </w:pPr>
      <w:r>
        <w:rPr>
          <w:rStyle w:val="hlfld-contribauthor"/>
        </w:rPr>
        <w:t xml:space="preserve">Pelham, </w:t>
      </w:r>
      <w:r>
        <w:rPr>
          <w:rStyle w:val="nlmgiven-names"/>
        </w:rPr>
        <w:t>W. E. J.</w:t>
      </w:r>
      <w:r>
        <w:t xml:space="preserve">, </w:t>
      </w:r>
      <w:proofErr w:type="spellStart"/>
      <w:r>
        <w:rPr>
          <w:rStyle w:val="hlfld-contribauthor"/>
        </w:rPr>
        <w:t>Gnagy</w:t>
      </w:r>
      <w:proofErr w:type="spellEnd"/>
      <w:r>
        <w:rPr>
          <w:rStyle w:val="hlfld-contribauthor"/>
        </w:rPr>
        <w:t xml:space="preserve">, </w:t>
      </w:r>
      <w:r>
        <w:rPr>
          <w:rStyle w:val="nlmgiven-names"/>
        </w:rPr>
        <w:t>E. M.</w:t>
      </w:r>
      <w:r>
        <w:t xml:space="preserve">, </w:t>
      </w:r>
      <w:r>
        <w:rPr>
          <w:rStyle w:val="hlfld-contribauthor"/>
        </w:rPr>
        <w:t xml:space="preserve">Greenslade, </w:t>
      </w:r>
      <w:r>
        <w:rPr>
          <w:rStyle w:val="nlmgiven-names"/>
        </w:rPr>
        <w:t>K. E.</w:t>
      </w:r>
      <w:r>
        <w:t xml:space="preserve">, &amp; </w:t>
      </w:r>
      <w:proofErr w:type="spellStart"/>
      <w:r>
        <w:rPr>
          <w:rStyle w:val="hlfld-contribauthor"/>
        </w:rPr>
        <w:t>Milich</w:t>
      </w:r>
      <w:proofErr w:type="spellEnd"/>
      <w:r>
        <w:rPr>
          <w:rStyle w:val="hlfld-contribauthor"/>
        </w:rPr>
        <w:t xml:space="preserve">, </w:t>
      </w:r>
      <w:r>
        <w:rPr>
          <w:rStyle w:val="nlmgiven-names"/>
        </w:rPr>
        <w:t>R</w:t>
      </w:r>
      <w:r>
        <w:t>. (</w:t>
      </w:r>
      <w:r>
        <w:rPr>
          <w:rStyle w:val="nlmyear"/>
        </w:rPr>
        <w:t>1992</w:t>
      </w:r>
      <w:r>
        <w:t xml:space="preserve">). </w:t>
      </w:r>
      <w:r>
        <w:rPr>
          <w:rStyle w:val="nlmarticle-title"/>
        </w:rPr>
        <w:t>Teacher ratings of DSM-III-R symptoms for the disruptive behavior disorders</w:t>
      </w:r>
      <w:r>
        <w:t xml:space="preserve">. </w:t>
      </w:r>
      <w:r>
        <w:rPr>
          <w:i/>
          <w:iCs/>
        </w:rPr>
        <w:t>Journal of the American Academy of Child and Adolescent Psychiatry</w:t>
      </w:r>
      <w:r>
        <w:t xml:space="preserve">, </w:t>
      </w:r>
      <w:r>
        <w:rPr>
          <w:i/>
          <w:iCs/>
        </w:rPr>
        <w:t>31</w:t>
      </w:r>
      <w:r>
        <w:t xml:space="preserve">(2), </w:t>
      </w:r>
      <w:r>
        <w:rPr>
          <w:rStyle w:val="nlmfpage"/>
        </w:rPr>
        <w:t>210</w:t>
      </w:r>
      <w:r>
        <w:t>–</w:t>
      </w:r>
      <w:r>
        <w:rPr>
          <w:rStyle w:val="nlmlpage"/>
        </w:rPr>
        <w:t>218</w:t>
      </w:r>
      <w:r>
        <w:t>. doi:</w:t>
      </w:r>
      <w:r>
        <w:rPr>
          <w:rStyle w:val="nlmpub-id"/>
        </w:rPr>
        <w:t>10.1097/00004583-199203000-00006</w:t>
      </w:r>
    </w:p>
    <w:p w14:paraId="4D628302" w14:textId="56406405" w:rsidR="00086656" w:rsidRDefault="00086656" w:rsidP="00086656">
      <w:pPr>
        <w:pStyle w:val="NoSpacing"/>
        <w:ind w:left="720" w:hanging="720"/>
      </w:pPr>
      <w:r>
        <w:rPr>
          <w:rStyle w:val="hlfld-contribauthor"/>
        </w:rPr>
        <w:t xml:space="preserve">Pelham, </w:t>
      </w:r>
      <w:r>
        <w:rPr>
          <w:rStyle w:val="nlmgiven-names"/>
        </w:rPr>
        <w:t>W. E.</w:t>
      </w:r>
      <w:r>
        <w:t xml:space="preserve">, </w:t>
      </w:r>
      <w:r>
        <w:rPr>
          <w:rStyle w:val="hlfld-contribauthor"/>
        </w:rPr>
        <w:t xml:space="preserve">Fabiano, </w:t>
      </w:r>
      <w:r>
        <w:rPr>
          <w:rStyle w:val="nlmgiven-names"/>
        </w:rPr>
        <w:t>G. A.</w:t>
      </w:r>
      <w:r>
        <w:t xml:space="preserve">, &amp; </w:t>
      </w:r>
      <w:proofErr w:type="spellStart"/>
      <w:r>
        <w:rPr>
          <w:rStyle w:val="hlfld-contribauthor"/>
        </w:rPr>
        <w:t>Massetti</w:t>
      </w:r>
      <w:proofErr w:type="spellEnd"/>
      <w:r>
        <w:rPr>
          <w:rStyle w:val="hlfld-contribauthor"/>
        </w:rPr>
        <w:t xml:space="preserve">, </w:t>
      </w:r>
      <w:r>
        <w:rPr>
          <w:rStyle w:val="nlmgiven-names"/>
        </w:rPr>
        <w:t>G. M</w:t>
      </w:r>
      <w:r>
        <w:t>. (</w:t>
      </w:r>
      <w:r>
        <w:rPr>
          <w:rStyle w:val="nlmyear"/>
        </w:rPr>
        <w:t>2005</w:t>
      </w:r>
      <w:r>
        <w:t xml:space="preserve">). </w:t>
      </w:r>
      <w:r>
        <w:rPr>
          <w:rStyle w:val="nlmarticle-title"/>
        </w:rPr>
        <w:t>Evidence-based assessment of attention-deficit hyperactivity disorder in children and adolescents</w:t>
      </w:r>
      <w:r>
        <w:t xml:space="preserve">. </w:t>
      </w:r>
      <w:r>
        <w:rPr>
          <w:i/>
          <w:iCs/>
        </w:rPr>
        <w:t>Journal of Clinical Child and Adolescent Psychology</w:t>
      </w:r>
      <w:r>
        <w:t xml:space="preserve">, </w:t>
      </w:r>
      <w:r>
        <w:rPr>
          <w:i/>
          <w:iCs/>
        </w:rPr>
        <w:t>34</w:t>
      </w:r>
      <w:r>
        <w:t xml:space="preserve">(3), </w:t>
      </w:r>
      <w:r>
        <w:rPr>
          <w:rStyle w:val="nlmfpage"/>
        </w:rPr>
        <w:t>449</w:t>
      </w:r>
      <w:r>
        <w:t>–</w:t>
      </w:r>
      <w:r>
        <w:rPr>
          <w:rStyle w:val="nlmlpage"/>
        </w:rPr>
        <w:t>476</w:t>
      </w:r>
      <w:r>
        <w:t>. doi:</w:t>
      </w:r>
      <w:r>
        <w:rPr>
          <w:rStyle w:val="nlmpub-id"/>
        </w:rPr>
        <w:t>10.1207/s15374424jccp3403_5</w:t>
      </w:r>
    </w:p>
    <w:p w14:paraId="521F0603" w14:textId="0D8DBD50" w:rsidR="00086656" w:rsidRDefault="00086656" w:rsidP="00086656">
      <w:pPr>
        <w:pStyle w:val="NoSpacing"/>
        <w:ind w:left="720" w:hanging="720"/>
      </w:pPr>
      <w:r>
        <w:rPr>
          <w:rStyle w:val="hlfld-contribauthor"/>
        </w:rPr>
        <w:t xml:space="preserve">Pelham, </w:t>
      </w:r>
      <w:r>
        <w:rPr>
          <w:rStyle w:val="nlmgiven-names"/>
        </w:rPr>
        <w:t>W. E.</w:t>
      </w:r>
      <w:r>
        <w:rPr>
          <w:rStyle w:val="hlfld-contribauthor"/>
        </w:rPr>
        <w:t>, Jr.</w:t>
      </w:r>
      <w:r>
        <w:t xml:space="preserve">, &amp; </w:t>
      </w:r>
      <w:r>
        <w:rPr>
          <w:rStyle w:val="hlfld-contribauthor"/>
        </w:rPr>
        <w:t xml:space="preserve">Fabiano, </w:t>
      </w:r>
      <w:r>
        <w:rPr>
          <w:rStyle w:val="nlmgiven-names"/>
        </w:rPr>
        <w:t>G. A</w:t>
      </w:r>
      <w:r>
        <w:t>. (</w:t>
      </w:r>
      <w:r>
        <w:rPr>
          <w:rStyle w:val="nlmyear"/>
        </w:rPr>
        <w:t>2008</w:t>
      </w:r>
      <w:r>
        <w:t xml:space="preserve">). </w:t>
      </w:r>
      <w:r>
        <w:rPr>
          <w:rStyle w:val="nlmarticle-title"/>
        </w:rPr>
        <w:t>Evidence-based psychosocial treatments for attention-deficit/hyperactivity disorder</w:t>
      </w:r>
      <w:r>
        <w:t xml:space="preserve">. </w:t>
      </w:r>
      <w:r>
        <w:rPr>
          <w:i/>
          <w:iCs/>
        </w:rPr>
        <w:t>Journal of Clinical Child and Adolescent Psychology</w:t>
      </w:r>
      <w:r>
        <w:t xml:space="preserve">, </w:t>
      </w:r>
      <w:r>
        <w:rPr>
          <w:i/>
          <w:iCs/>
        </w:rPr>
        <w:t>37</w:t>
      </w:r>
      <w:r>
        <w:t xml:space="preserve">(1), </w:t>
      </w:r>
      <w:r>
        <w:rPr>
          <w:rStyle w:val="nlmfpage"/>
        </w:rPr>
        <w:t>184</w:t>
      </w:r>
      <w:r>
        <w:t>–</w:t>
      </w:r>
      <w:r>
        <w:rPr>
          <w:rStyle w:val="nlmlpage"/>
        </w:rPr>
        <w:t>214</w:t>
      </w:r>
      <w:r>
        <w:t>. doi:</w:t>
      </w:r>
      <w:r>
        <w:rPr>
          <w:rStyle w:val="nlmpub-id"/>
        </w:rPr>
        <w:t>10.1080/15374410701818681</w:t>
      </w:r>
    </w:p>
    <w:p w14:paraId="6979BED6" w14:textId="777A8532" w:rsidR="00086656" w:rsidRDefault="00086656" w:rsidP="00086656">
      <w:pPr>
        <w:pStyle w:val="NoSpacing"/>
        <w:ind w:left="720" w:hanging="720"/>
      </w:pPr>
      <w:r>
        <w:t>Pew Hispanic Center. (</w:t>
      </w:r>
      <w:r>
        <w:rPr>
          <w:rStyle w:val="nlmyear"/>
        </w:rPr>
        <w:t>2009</w:t>
      </w:r>
      <w:r>
        <w:t xml:space="preserve">). </w:t>
      </w:r>
      <w:r>
        <w:rPr>
          <w:i/>
          <w:iCs/>
        </w:rPr>
        <w:t>Latino children: A majority are U.S.-born offspring of immigrants</w:t>
      </w:r>
      <w:r>
        <w:t xml:space="preserve">. </w:t>
      </w:r>
      <w:r>
        <w:rPr>
          <w:rStyle w:val="nlmpublisher-loc"/>
        </w:rPr>
        <w:t>Washington, DC</w:t>
      </w:r>
      <w:r>
        <w:t xml:space="preserve">: </w:t>
      </w:r>
      <w:r>
        <w:rPr>
          <w:rStyle w:val="nlmpublisher-name"/>
        </w:rPr>
        <w:t>Pew Research Center</w:t>
      </w:r>
      <w:r>
        <w:t>.</w:t>
      </w:r>
    </w:p>
    <w:p w14:paraId="4660A928" w14:textId="3254C507" w:rsidR="00086656" w:rsidRDefault="00086656" w:rsidP="00086656">
      <w:pPr>
        <w:pStyle w:val="NoSpacing"/>
        <w:ind w:left="720" w:hanging="720"/>
      </w:pPr>
      <w:r>
        <w:t>Pew Hispanic Center. (</w:t>
      </w:r>
      <w:r>
        <w:rPr>
          <w:rStyle w:val="nlmyear"/>
        </w:rPr>
        <w:t>2011</w:t>
      </w:r>
      <w:r>
        <w:t xml:space="preserve">). </w:t>
      </w:r>
      <w:r>
        <w:rPr>
          <w:i/>
          <w:iCs/>
        </w:rPr>
        <w:t>Census 2010: 50 million Latinos - Hispanics account for more than half of nation’s growth in past decade</w:t>
      </w:r>
      <w:r>
        <w:t xml:space="preserve">. </w:t>
      </w:r>
      <w:r>
        <w:rPr>
          <w:rStyle w:val="nlmpublisher-loc"/>
        </w:rPr>
        <w:t>Washington, DC</w:t>
      </w:r>
      <w:r>
        <w:t xml:space="preserve">: </w:t>
      </w:r>
      <w:r>
        <w:rPr>
          <w:rStyle w:val="nlmpublisher-name"/>
        </w:rPr>
        <w:t>Pew Research Center</w:t>
      </w:r>
      <w:r>
        <w:t>.</w:t>
      </w:r>
    </w:p>
    <w:p w14:paraId="01E58CD5" w14:textId="79176CBD" w:rsidR="00086656" w:rsidRDefault="00086656" w:rsidP="00086656">
      <w:pPr>
        <w:pStyle w:val="NoSpacing"/>
        <w:ind w:left="720" w:hanging="720"/>
      </w:pPr>
      <w:r>
        <w:rPr>
          <w:rStyle w:val="hlfld-contribauthor"/>
        </w:rPr>
        <w:t xml:space="preserve">Phinney, </w:t>
      </w:r>
      <w:r>
        <w:rPr>
          <w:rStyle w:val="nlmgiven-names"/>
        </w:rPr>
        <w:t>J. S.</w:t>
      </w:r>
      <w:r>
        <w:t xml:space="preserve">, &amp; </w:t>
      </w:r>
      <w:r>
        <w:rPr>
          <w:rStyle w:val="hlfld-contribauthor"/>
        </w:rPr>
        <w:t xml:space="preserve">Ong, </w:t>
      </w:r>
      <w:r>
        <w:rPr>
          <w:rStyle w:val="nlmgiven-names"/>
        </w:rPr>
        <w:t>A. D</w:t>
      </w:r>
      <w:r>
        <w:t>. (</w:t>
      </w:r>
      <w:r>
        <w:rPr>
          <w:rStyle w:val="nlmyear"/>
        </w:rPr>
        <w:t>2007</w:t>
      </w:r>
      <w:r>
        <w:t xml:space="preserve">). </w:t>
      </w:r>
      <w:r>
        <w:rPr>
          <w:rStyle w:val="nlmarticle-title"/>
        </w:rPr>
        <w:t>Conceptualization and measurement of ethnic identity: Current status and future directions</w:t>
      </w:r>
      <w:r>
        <w:t xml:space="preserve">. </w:t>
      </w:r>
      <w:r>
        <w:rPr>
          <w:i/>
          <w:iCs/>
        </w:rPr>
        <w:t>Journal of Counseling Psychology</w:t>
      </w:r>
      <w:r>
        <w:t xml:space="preserve">, </w:t>
      </w:r>
      <w:r>
        <w:rPr>
          <w:i/>
          <w:iCs/>
        </w:rPr>
        <w:t>54</w:t>
      </w:r>
      <w:r>
        <w:t xml:space="preserve">(3), </w:t>
      </w:r>
      <w:r>
        <w:rPr>
          <w:rStyle w:val="nlmfpage"/>
        </w:rPr>
        <w:t>271</w:t>
      </w:r>
      <w:r>
        <w:t>–</w:t>
      </w:r>
      <w:r>
        <w:rPr>
          <w:rStyle w:val="nlmlpage"/>
        </w:rPr>
        <w:t>281</w:t>
      </w:r>
      <w:r>
        <w:t>. doi:</w:t>
      </w:r>
      <w:r>
        <w:rPr>
          <w:rStyle w:val="nlmpub-id"/>
        </w:rPr>
        <w:t>10.1037/0022-0167.54.3.271</w:t>
      </w:r>
    </w:p>
    <w:p w14:paraId="56C0FB06" w14:textId="12B38EA4" w:rsidR="00086656" w:rsidRDefault="00086656" w:rsidP="00086656">
      <w:pPr>
        <w:pStyle w:val="NoSpacing"/>
        <w:ind w:left="720" w:hanging="720"/>
      </w:pPr>
      <w:r>
        <w:rPr>
          <w:rStyle w:val="hlfld-contribauthor"/>
        </w:rPr>
        <w:t xml:space="preserve">Quintana, </w:t>
      </w:r>
      <w:r>
        <w:rPr>
          <w:rStyle w:val="nlmgiven-names"/>
        </w:rPr>
        <w:t>S. M.</w:t>
      </w:r>
      <w:r>
        <w:t xml:space="preserve">, &amp; </w:t>
      </w:r>
      <w:r>
        <w:rPr>
          <w:rStyle w:val="hlfld-contribauthor"/>
        </w:rPr>
        <w:t xml:space="preserve">Scull, </w:t>
      </w:r>
      <w:r>
        <w:rPr>
          <w:rStyle w:val="nlmgiven-names"/>
        </w:rPr>
        <w:t>N. C</w:t>
      </w:r>
      <w:r>
        <w:t>. (</w:t>
      </w:r>
      <w:r>
        <w:rPr>
          <w:rStyle w:val="nlmyear"/>
        </w:rPr>
        <w:t>2009</w:t>
      </w:r>
      <w:r>
        <w:t xml:space="preserve">). </w:t>
      </w:r>
      <w:r>
        <w:rPr>
          <w:rStyle w:val="nlmchapter-title"/>
        </w:rPr>
        <w:t>Latino ethnic identity</w:t>
      </w:r>
      <w:r>
        <w:t xml:space="preserve">. In </w:t>
      </w:r>
      <w:r>
        <w:rPr>
          <w:rStyle w:val="nlmgiven-names"/>
        </w:rPr>
        <w:t>F. A.</w:t>
      </w:r>
      <w:r>
        <w:rPr>
          <w:rStyle w:val="hlfld-contribauthor"/>
        </w:rPr>
        <w:t xml:space="preserve"> </w:t>
      </w:r>
      <w:proofErr w:type="spellStart"/>
      <w:r>
        <w:rPr>
          <w:rStyle w:val="hlfld-contribauthor"/>
        </w:rPr>
        <w:t>Villarruel</w:t>
      </w:r>
      <w:proofErr w:type="spellEnd"/>
      <w:r>
        <w:t xml:space="preserve">, </w:t>
      </w:r>
      <w:r>
        <w:rPr>
          <w:rStyle w:val="nlmgiven-names"/>
        </w:rPr>
        <w:t>G.</w:t>
      </w:r>
      <w:r>
        <w:rPr>
          <w:rStyle w:val="hlfld-contribauthor"/>
        </w:rPr>
        <w:t xml:space="preserve"> Carlo</w:t>
      </w:r>
      <w:r>
        <w:t xml:space="preserve">, </w:t>
      </w:r>
      <w:r>
        <w:rPr>
          <w:rStyle w:val="nlmgiven-names"/>
        </w:rPr>
        <w:t>J. M.</w:t>
      </w:r>
      <w:r>
        <w:rPr>
          <w:rStyle w:val="hlfld-contribauthor"/>
        </w:rPr>
        <w:t xml:space="preserve"> Grau</w:t>
      </w:r>
      <w:r>
        <w:t xml:space="preserve">, </w:t>
      </w:r>
      <w:r>
        <w:rPr>
          <w:rStyle w:val="nlmgiven-names"/>
        </w:rPr>
        <w:t>M.</w:t>
      </w:r>
      <w:r>
        <w:rPr>
          <w:rStyle w:val="hlfld-contribauthor"/>
        </w:rPr>
        <w:t xml:space="preserve"> </w:t>
      </w:r>
      <w:proofErr w:type="spellStart"/>
      <w:r>
        <w:rPr>
          <w:rStyle w:val="hlfld-contribauthor"/>
        </w:rPr>
        <w:t>Azmitia</w:t>
      </w:r>
      <w:proofErr w:type="spellEnd"/>
      <w:r>
        <w:t xml:space="preserve">, </w:t>
      </w:r>
      <w:r>
        <w:rPr>
          <w:rStyle w:val="nlmgiven-names"/>
        </w:rPr>
        <w:t>N. J.</w:t>
      </w:r>
      <w:r>
        <w:rPr>
          <w:rStyle w:val="hlfld-contribauthor"/>
        </w:rPr>
        <w:t xml:space="preserve"> Cabrera</w:t>
      </w:r>
      <w:r>
        <w:t xml:space="preserve">, &amp; </w:t>
      </w:r>
      <w:r>
        <w:rPr>
          <w:rStyle w:val="nlmgiven-names"/>
        </w:rPr>
        <w:t>T. J.</w:t>
      </w:r>
      <w:r>
        <w:rPr>
          <w:rStyle w:val="hlfld-contribauthor"/>
        </w:rPr>
        <w:t xml:space="preserve"> </w:t>
      </w:r>
      <w:proofErr w:type="spellStart"/>
      <w:r>
        <w:rPr>
          <w:rStyle w:val="hlfld-contribauthor"/>
        </w:rPr>
        <w:t>Chahin</w:t>
      </w:r>
      <w:proofErr w:type="spellEnd"/>
      <w:r>
        <w:t xml:space="preserve"> (Eds.), </w:t>
      </w:r>
      <w:r>
        <w:rPr>
          <w:i/>
          <w:iCs/>
        </w:rPr>
        <w:t>Handbook of U.S. Latino psychology</w:t>
      </w:r>
      <w:r>
        <w:t xml:space="preserve"> (pp. </w:t>
      </w:r>
      <w:r>
        <w:rPr>
          <w:rStyle w:val="nlmfpage"/>
        </w:rPr>
        <w:t>81</w:t>
      </w:r>
      <w:r>
        <w:t>–</w:t>
      </w:r>
      <w:r>
        <w:rPr>
          <w:rStyle w:val="nlmlpage"/>
        </w:rPr>
        <w:t>98</w:t>
      </w:r>
      <w:r>
        <w:t xml:space="preserve">). </w:t>
      </w:r>
      <w:r>
        <w:rPr>
          <w:rStyle w:val="nlmpublisher-loc"/>
        </w:rPr>
        <w:t>Thousand Oaks, CA</w:t>
      </w:r>
      <w:r>
        <w:t xml:space="preserve">: </w:t>
      </w:r>
      <w:r>
        <w:rPr>
          <w:rStyle w:val="nlmpublisher-name"/>
        </w:rPr>
        <w:t>SAGE Publications, Inc</w:t>
      </w:r>
      <w:r>
        <w:t>.</w:t>
      </w:r>
    </w:p>
    <w:p w14:paraId="6CC15935" w14:textId="0D73E659" w:rsidR="00086656" w:rsidRDefault="00086656" w:rsidP="00086656">
      <w:pPr>
        <w:pStyle w:val="NoSpacing"/>
        <w:ind w:left="720" w:hanging="720"/>
      </w:pPr>
      <w:proofErr w:type="spellStart"/>
      <w:r>
        <w:rPr>
          <w:rStyle w:val="hlfld-contribauthor"/>
        </w:rPr>
        <w:t>Reyno</w:t>
      </w:r>
      <w:proofErr w:type="spellEnd"/>
      <w:r>
        <w:rPr>
          <w:rStyle w:val="hlfld-contribauthor"/>
        </w:rPr>
        <w:t xml:space="preserve">, </w:t>
      </w:r>
      <w:r>
        <w:rPr>
          <w:rStyle w:val="nlmgiven-names"/>
        </w:rPr>
        <w:t>S. M.</w:t>
      </w:r>
      <w:r>
        <w:t xml:space="preserve">, &amp; </w:t>
      </w:r>
      <w:r>
        <w:rPr>
          <w:rStyle w:val="hlfld-contribauthor"/>
        </w:rPr>
        <w:t xml:space="preserve">McGrath, </w:t>
      </w:r>
      <w:r>
        <w:rPr>
          <w:rStyle w:val="nlmgiven-names"/>
        </w:rPr>
        <w:t>P. J</w:t>
      </w:r>
      <w:r>
        <w:t>. (</w:t>
      </w:r>
      <w:r>
        <w:rPr>
          <w:rStyle w:val="nlmyear"/>
        </w:rPr>
        <w:t>2006</w:t>
      </w:r>
      <w:r>
        <w:t xml:space="preserve">). </w:t>
      </w:r>
      <w:r>
        <w:rPr>
          <w:rStyle w:val="nlmarticle-title"/>
        </w:rPr>
        <w:t>Predictors of parent training efficacy for child externalizing behavior problems - A meta-analytic review</w:t>
      </w:r>
      <w:r>
        <w:t xml:space="preserve">. </w:t>
      </w:r>
      <w:r>
        <w:rPr>
          <w:i/>
          <w:iCs/>
        </w:rPr>
        <w:t>Journal of Child Psychology and Psychiatry</w:t>
      </w:r>
      <w:r>
        <w:t xml:space="preserve">, </w:t>
      </w:r>
      <w:r>
        <w:rPr>
          <w:i/>
          <w:iCs/>
        </w:rPr>
        <w:t>47</w:t>
      </w:r>
      <w:r>
        <w:t xml:space="preserve">(1), </w:t>
      </w:r>
      <w:r>
        <w:rPr>
          <w:rStyle w:val="nlmfpage"/>
        </w:rPr>
        <w:t>99</w:t>
      </w:r>
      <w:r>
        <w:t>–</w:t>
      </w:r>
      <w:r>
        <w:rPr>
          <w:rStyle w:val="nlmlpage"/>
        </w:rPr>
        <w:t>111</w:t>
      </w:r>
      <w:r>
        <w:t>. doi:</w:t>
      </w:r>
      <w:r>
        <w:rPr>
          <w:rStyle w:val="nlmpub-id"/>
        </w:rPr>
        <w:t>10.1111/j.1469-7610.</w:t>
      </w:r>
      <w:proofErr w:type="gramStart"/>
      <w:r>
        <w:rPr>
          <w:rStyle w:val="nlmpub-id"/>
        </w:rPr>
        <w:t>2005.01544.x</w:t>
      </w:r>
      <w:proofErr w:type="gramEnd"/>
    </w:p>
    <w:p w14:paraId="76F9EF65" w14:textId="3258A3B9" w:rsidR="00086656" w:rsidRDefault="00086656" w:rsidP="00086656">
      <w:pPr>
        <w:pStyle w:val="NoSpacing"/>
        <w:ind w:left="720" w:hanging="720"/>
      </w:pPr>
      <w:r>
        <w:rPr>
          <w:rStyle w:val="hlfld-contribauthor"/>
        </w:rPr>
        <w:t xml:space="preserve">Schwartz, </w:t>
      </w:r>
      <w:r>
        <w:rPr>
          <w:rStyle w:val="nlmgiven-names"/>
        </w:rPr>
        <w:t>S. J.</w:t>
      </w:r>
      <w:r>
        <w:t xml:space="preserve">, </w:t>
      </w:r>
      <w:r>
        <w:rPr>
          <w:rStyle w:val="hlfld-contribauthor"/>
        </w:rPr>
        <w:t xml:space="preserve">Unger, </w:t>
      </w:r>
      <w:r>
        <w:rPr>
          <w:rStyle w:val="nlmgiven-names"/>
        </w:rPr>
        <w:t>J. B.</w:t>
      </w:r>
      <w:r>
        <w:t xml:space="preserve">, </w:t>
      </w:r>
      <w:r>
        <w:rPr>
          <w:rStyle w:val="hlfld-contribauthor"/>
        </w:rPr>
        <w:t xml:space="preserve">Zamboanga, </w:t>
      </w:r>
      <w:r>
        <w:rPr>
          <w:rStyle w:val="nlmgiven-names"/>
        </w:rPr>
        <w:t>B. L.</w:t>
      </w:r>
      <w:r>
        <w:t xml:space="preserve">, &amp; </w:t>
      </w:r>
      <w:proofErr w:type="spellStart"/>
      <w:r>
        <w:rPr>
          <w:rStyle w:val="hlfld-contribauthor"/>
        </w:rPr>
        <w:t>Szapocznik</w:t>
      </w:r>
      <w:proofErr w:type="spellEnd"/>
      <w:r>
        <w:rPr>
          <w:rStyle w:val="hlfld-contribauthor"/>
        </w:rPr>
        <w:t xml:space="preserve">, </w:t>
      </w:r>
      <w:r>
        <w:rPr>
          <w:rStyle w:val="nlmgiven-names"/>
        </w:rPr>
        <w:t>J</w:t>
      </w:r>
      <w:r>
        <w:t>. (</w:t>
      </w:r>
      <w:r>
        <w:rPr>
          <w:rStyle w:val="nlmyear"/>
        </w:rPr>
        <w:t>2010</w:t>
      </w:r>
      <w:r>
        <w:t xml:space="preserve">). </w:t>
      </w:r>
      <w:r>
        <w:rPr>
          <w:rStyle w:val="nlmarticle-title"/>
        </w:rPr>
        <w:t>Rethinking the concept of acculturation: Implications for theory and research</w:t>
      </w:r>
      <w:r>
        <w:t xml:space="preserve">. </w:t>
      </w:r>
      <w:r>
        <w:rPr>
          <w:i/>
          <w:iCs/>
        </w:rPr>
        <w:t>American Psychologist</w:t>
      </w:r>
      <w:r>
        <w:t xml:space="preserve">, </w:t>
      </w:r>
      <w:r>
        <w:rPr>
          <w:i/>
          <w:iCs/>
        </w:rPr>
        <w:t>65</w:t>
      </w:r>
      <w:r>
        <w:t xml:space="preserve">(4), </w:t>
      </w:r>
      <w:r>
        <w:rPr>
          <w:rStyle w:val="nlmfpage"/>
        </w:rPr>
        <w:t>237</w:t>
      </w:r>
      <w:r>
        <w:t>–</w:t>
      </w:r>
      <w:r>
        <w:rPr>
          <w:rStyle w:val="nlmlpage"/>
        </w:rPr>
        <w:t>251</w:t>
      </w:r>
      <w:r>
        <w:t>. doi:</w:t>
      </w:r>
      <w:r>
        <w:rPr>
          <w:rStyle w:val="nlmpub-id"/>
        </w:rPr>
        <w:t>10.1037/a0019330</w:t>
      </w:r>
    </w:p>
    <w:p w14:paraId="3F83D182" w14:textId="4A4FEDBB" w:rsidR="00086656" w:rsidRDefault="00086656" w:rsidP="00086656">
      <w:pPr>
        <w:pStyle w:val="NoSpacing"/>
        <w:ind w:left="720" w:hanging="720"/>
      </w:pPr>
      <w:proofErr w:type="spellStart"/>
      <w:r>
        <w:rPr>
          <w:rStyle w:val="hlfld-contribauthor"/>
        </w:rPr>
        <w:t>Steidel</w:t>
      </w:r>
      <w:proofErr w:type="spellEnd"/>
      <w:r>
        <w:rPr>
          <w:rStyle w:val="hlfld-contribauthor"/>
        </w:rPr>
        <w:t xml:space="preserve">, </w:t>
      </w:r>
      <w:r>
        <w:rPr>
          <w:rStyle w:val="nlmgiven-names"/>
        </w:rPr>
        <w:t>A. G. L.</w:t>
      </w:r>
      <w:r>
        <w:t xml:space="preserve">, &amp; </w:t>
      </w:r>
      <w:r>
        <w:rPr>
          <w:rStyle w:val="hlfld-contribauthor"/>
        </w:rPr>
        <w:t xml:space="preserve">Contreras, </w:t>
      </w:r>
      <w:r>
        <w:rPr>
          <w:rStyle w:val="nlmgiven-names"/>
        </w:rPr>
        <w:t>J. M</w:t>
      </w:r>
      <w:r>
        <w:t>. (</w:t>
      </w:r>
      <w:r>
        <w:rPr>
          <w:rStyle w:val="nlmyear"/>
        </w:rPr>
        <w:t>2003</w:t>
      </w:r>
      <w:r>
        <w:t xml:space="preserve">). </w:t>
      </w:r>
      <w:r>
        <w:rPr>
          <w:rStyle w:val="nlmarticle-title"/>
        </w:rPr>
        <w:t>A new familism scale for use with Latino populations</w:t>
      </w:r>
      <w:r>
        <w:t xml:space="preserve">. </w:t>
      </w:r>
      <w:r>
        <w:rPr>
          <w:i/>
          <w:iCs/>
        </w:rPr>
        <w:t>Hispanic Journal of Behavioral Sciences</w:t>
      </w:r>
      <w:r>
        <w:t xml:space="preserve">, </w:t>
      </w:r>
      <w:r>
        <w:rPr>
          <w:i/>
          <w:iCs/>
        </w:rPr>
        <w:t>25</w:t>
      </w:r>
      <w:r>
        <w:t xml:space="preserve">(3), </w:t>
      </w:r>
      <w:r>
        <w:rPr>
          <w:rStyle w:val="nlmfpage"/>
        </w:rPr>
        <w:t>312</w:t>
      </w:r>
      <w:r>
        <w:t>–</w:t>
      </w:r>
      <w:r>
        <w:rPr>
          <w:rStyle w:val="nlmlpage"/>
        </w:rPr>
        <w:t>330</w:t>
      </w:r>
      <w:r>
        <w:t>. doi:</w:t>
      </w:r>
      <w:r>
        <w:rPr>
          <w:rStyle w:val="nlmpub-id"/>
        </w:rPr>
        <w:t>10.1177/0739986303256912</w:t>
      </w:r>
    </w:p>
    <w:p w14:paraId="7404F4C9" w14:textId="7760074E" w:rsidR="00086656" w:rsidRDefault="00086656" w:rsidP="00086656">
      <w:pPr>
        <w:pStyle w:val="NoSpacing"/>
        <w:ind w:left="720" w:hanging="720"/>
      </w:pPr>
      <w:proofErr w:type="spellStart"/>
      <w:r>
        <w:rPr>
          <w:rStyle w:val="hlfld-contribauthor"/>
        </w:rPr>
        <w:t>Thiruchelvam</w:t>
      </w:r>
      <w:proofErr w:type="spellEnd"/>
      <w:r>
        <w:rPr>
          <w:rStyle w:val="hlfld-contribauthor"/>
        </w:rPr>
        <w:t xml:space="preserve">, </w:t>
      </w:r>
      <w:r>
        <w:rPr>
          <w:rStyle w:val="nlmgiven-names"/>
        </w:rPr>
        <w:t>D.</w:t>
      </w:r>
      <w:r>
        <w:t xml:space="preserve">, </w:t>
      </w:r>
      <w:proofErr w:type="spellStart"/>
      <w:r>
        <w:rPr>
          <w:rStyle w:val="hlfld-contribauthor"/>
        </w:rPr>
        <w:t>Charach</w:t>
      </w:r>
      <w:proofErr w:type="spellEnd"/>
      <w:r>
        <w:rPr>
          <w:rStyle w:val="hlfld-contribauthor"/>
        </w:rPr>
        <w:t xml:space="preserve">, </w:t>
      </w:r>
      <w:r>
        <w:rPr>
          <w:rStyle w:val="nlmgiven-names"/>
        </w:rPr>
        <w:t>A.</w:t>
      </w:r>
      <w:r>
        <w:t xml:space="preserve">, &amp; </w:t>
      </w:r>
      <w:proofErr w:type="spellStart"/>
      <w:r>
        <w:rPr>
          <w:rStyle w:val="hlfld-contribauthor"/>
        </w:rPr>
        <w:t>Schachar</w:t>
      </w:r>
      <w:proofErr w:type="spellEnd"/>
      <w:r>
        <w:rPr>
          <w:rStyle w:val="hlfld-contribauthor"/>
        </w:rPr>
        <w:t xml:space="preserve">, </w:t>
      </w:r>
      <w:r>
        <w:rPr>
          <w:rStyle w:val="nlmgiven-names"/>
        </w:rPr>
        <w:t>R. J</w:t>
      </w:r>
      <w:r>
        <w:t>. (</w:t>
      </w:r>
      <w:r>
        <w:rPr>
          <w:rStyle w:val="nlmyear"/>
        </w:rPr>
        <w:t>2001</w:t>
      </w:r>
      <w:r>
        <w:t xml:space="preserve">). </w:t>
      </w:r>
      <w:r>
        <w:rPr>
          <w:rStyle w:val="nlmarticle-title"/>
        </w:rPr>
        <w:t>Moderators and mediators of long-term adherence to stimulant treatment in children with ADHD</w:t>
      </w:r>
      <w:r>
        <w:t xml:space="preserve">. </w:t>
      </w:r>
      <w:r>
        <w:rPr>
          <w:i/>
          <w:iCs/>
        </w:rPr>
        <w:t>Journal of the American Academy of Child and Adolescent Psychiatry</w:t>
      </w:r>
      <w:r>
        <w:t xml:space="preserve">, </w:t>
      </w:r>
      <w:r>
        <w:rPr>
          <w:i/>
          <w:iCs/>
        </w:rPr>
        <w:t>40</w:t>
      </w:r>
      <w:r>
        <w:t xml:space="preserve">(8), </w:t>
      </w:r>
      <w:r>
        <w:rPr>
          <w:rStyle w:val="nlmfpage"/>
        </w:rPr>
        <w:t>922</w:t>
      </w:r>
      <w:r>
        <w:t>–</w:t>
      </w:r>
      <w:r>
        <w:rPr>
          <w:rStyle w:val="nlmlpage"/>
        </w:rPr>
        <w:t>928</w:t>
      </w:r>
      <w:r>
        <w:t>. doi:</w:t>
      </w:r>
      <w:r>
        <w:rPr>
          <w:rStyle w:val="nlmpub-id"/>
        </w:rPr>
        <w:t>10.1097/00004583-200108000-00014</w:t>
      </w:r>
    </w:p>
    <w:p w14:paraId="35475F19" w14:textId="3A053C83" w:rsidR="00086656" w:rsidRDefault="00086656" w:rsidP="00086656">
      <w:pPr>
        <w:pStyle w:val="NoSpacing"/>
        <w:ind w:left="720" w:hanging="720"/>
      </w:pPr>
      <w:r>
        <w:t>U.S. Census Bureau. (</w:t>
      </w:r>
      <w:r>
        <w:rPr>
          <w:rStyle w:val="nlmyear"/>
        </w:rPr>
        <w:t>2014</w:t>
      </w:r>
      <w:r>
        <w:t xml:space="preserve">). </w:t>
      </w:r>
      <w:r>
        <w:rPr>
          <w:i/>
          <w:iCs/>
        </w:rPr>
        <w:t>Annual estimates of the resident population by sex, age, race, and Hispanic origin for the United States and states: April 1, 2010 to July 1, 2013</w:t>
      </w:r>
      <w:r>
        <w:t xml:space="preserve">. Retrieved from </w:t>
      </w:r>
      <w:hyperlink r:id="rId54" w:tgtFrame="_blank" w:history="1">
        <w:r>
          <w:rPr>
            <w:rStyle w:val="Hyperlink"/>
          </w:rPr>
          <w:t>http://factfinder.census.gov/faces/tableservices/jsf/pages/productview.xhtml?pid=PEP_2013_PEPASR6H&amp;prodType=table</w:t>
        </w:r>
      </w:hyperlink>
    </w:p>
    <w:p w14:paraId="34658453" w14:textId="75EF4D1F" w:rsidR="00086656" w:rsidRDefault="00086656" w:rsidP="00086656">
      <w:pPr>
        <w:pStyle w:val="NoSpacing"/>
        <w:ind w:left="720" w:hanging="720"/>
      </w:pPr>
      <w:r>
        <w:rPr>
          <w:rStyle w:val="hlfld-contribauthor"/>
        </w:rPr>
        <w:t xml:space="preserve">Vega, </w:t>
      </w:r>
      <w:r>
        <w:rPr>
          <w:rStyle w:val="nlmgiven-names"/>
        </w:rPr>
        <w:t>W. A.</w:t>
      </w:r>
      <w:r>
        <w:t xml:space="preserve">, </w:t>
      </w:r>
      <w:proofErr w:type="spellStart"/>
      <w:r>
        <w:rPr>
          <w:rStyle w:val="hlfld-contribauthor"/>
        </w:rPr>
        <w:t>Sribney</w:t>
      </w:r>
      <w:proofErr w:type="spellEnd"/>
      <w:r>
        <w:rPr>
          <w:rStyle w:val="hlfld-contribauthor"/>
        </w:rPr>
        <w:t xml:space="preserve">, </w:t>
      </w:r>
      <w:r>
        <w:rPr>
          <w:rStyle w:val="nlmgiven-names"/>
        </w:rPr>
        <w:t>W. M.</w:t>
      </w:r>
      <w:r>
        <w:t xml:space="preserve">, </w:t>
      </w:r>
      <w:r>
        <w:rPr>
          <w:rStyle w:val="hlfld-contribauthor"/>
        </w:rPr>
        <w:t>Aguilar-</w:t>
      </w:r>
      <w:proofErr w:type="spellStart"/>
      <w:r>
        <w:rPr>
          <w:rStyle w:val="hlfld-contribauthor"/>
        </w:rPr>
        <w:t>Gaxiola</w:t>
      </w:r>
      <w:proofErr w:type="spellEnd"/>
      <w:r>
        <w:rPr>
          <w:rStyle w:val="hlfld-contribauthor"/>
        </w:rPr>
        <w:t xml:space="preserve">, </w:t>
      </w:r>
      <w:r>
        <w:rPr>
          <w:rStyle w:val="nlmgiven-names"/>
        </w:rPr>
        <w:t>S.</w:t>
      </w:r>
      <w:r>
        <w:t xml:space="preserve">, &amp; </w:t>
      </w:r>
      <w:proofErr w:type="spellStart"/>
      <w:r>
        <w:rPr>
          <w:rStyle w:val="hlfld-contribauthor"/>
        </w:rPr>
        <w:t>Kolody</w:t>
      </w:r>
      <w:proofErr w:type="spellEnd"/>
      <w:r>
        <w:rPr>
          <w:rStyle w:val="hlfld-contribauthor"/>
        </w:rPr>
        <w:t xml:space="preserve">, </w:t>
      </w:r>
      <w:r>
        <w:rPr>
          <w:rStyle w:val="nlmgiven-names"/>
        </w:rPr>
        <w:t>B</w:t>
      </w:r>
      <w:r>
        <w:t>. (</w:t>
      </w:r>
      <w:r>
        <w:rPr>
          <w:rStyle w:val="nlmyear"/>
        </w:rPr>
        <w:t>2004</w:t>
      </w:r>
      <w:r>
        <w:t xml:space="preserve">). </w:t>
      </w:r>
      <w:r>
        <w:rPr>
          <w:rStyle w:val="nlmarticle-title"/>
        </w:rPr>
        <w:t>12- month prevalence of DSM–III–R psychiatric disorders among Mexican Americans: Nativity, social assimilation, and age determinants</w:t>
      </w:r>
      <w:r>
        <w:t xml:space="preserve">. </w:t>
      </w:r>
      <w:r>
        <w:rPr>
          <w:i/>
          <w:iCs/>
        </w:rPr>
        <w:t>Journal of Nervous and Mental Disease</w:t>
      </w:r>
      <w:r>
        <w:t xml:space="preserve">, </w:t>
      </w:r>
      <w:r>
        <w:rPr>
          <w:i/>
          <w:iCs/>
        </w:rPr>
        <w:t>192</w:t>
      </w:r>
      <w:r>
        <w:t xml:space="preserve">(8), </w:t>
      </w:r>
      <w:r>
        <w:rPr>
          <w:rStyle w:val="nlmfpage"/>
        </w:rPr>
        <w:t>532</w:t>
      </w:r>
      <w:r>
        <w:t>–</w:t>
      </w:r>
      <w:r>
        <w:rPr>
          <w:rStyle w:val="nlmlpage"/>
        </w:rPr>
        <w:t>541</w:t>
      </w:r>
      <w:r>
        <w:t xml:space="preserve">. </w:t>
      </w:r>
      <w:proofErr w:type="gramStart"/>
      <w:r>
        <w:t>doi:</w:t>
      </w:r>
      <w:r>
        <w:rPr>
          <w:rStyle w:val="nlmpub-id"/>
        </w:rPr>
        <w:t>10.1097/01.nmd</w:t>
      </w:r>
      <w:proofErr w:type="gramEnd"/>
      <w:r>
        <w:rPr>
          <w:rStyle w:val="nlmpub-id"/>
        </w:rPr>
        <w:t>.0000135477.57357.b2</w:t>
      </w:r>
    </w:p>
    <w:p w14:paraId="2A34F28A" w14:textId="786E8ECD" w:rsidR="00086656" w:rsidRDefault="00086656" w:rsidP="00086656">
      <w:pPr>
        <w:pStyle w:val="NoSpacing"/>
        <w:ind w:left="720" w:hanging="720"/>
      </w:pPr>
      <w:proofErr w:type="spellStart"/>
      <w:r>
        <w:rPr>
          <w:rStyle w:val="hlfld-contribauthor"/>
        </w:rPr>
        <w:t>Villatoro</w:t>
      </w:r>
      <w:proofErr w:type="spellEnd"/>
      <w:r>
        <w:rPr>
          <w:rStyle w:val="hlfld-contribauthor"/>
        </w:rPr>
        <w:t xml:space="preserve">, </w:t>
      </w:r>
      <w:r>
        <w:rPr>
          <w:rStyle w:val="nlmgiven-names"/>
        </w:rPr>
        <w:t>A. P.</w:t>
      </w:r>
      <w:r>
        <w:t xml:space="preserve">, </w:t>
      </w:r>
      <w:r>
        <w:rPr>
          <w:rStyle w:val="hlfld-contribauthor"/>
        </w:rPr>
        <w:t xml:space="preserve">Morales, </w:t>
      </w:r>
      <w:r>
        <w:rPr>
          <w:rStyle w:val="nlmgiven-names"/>
        </w:rPr>
        <w:t>E. S.</w:t>
      </w:r>
      <w:r>
        <w:t xml:space="preserve">, &amp; </w:t>
      </w:r>
      <w:r>
        <w:rPr>
          <w:rStyle w:val="hlfld-contribauthor"/>
        </w:rPr>
        <w:t xml:space="preserve">Mays, </w:t>
      </w:r>
      <w:r>
        <w:rPr>
          <w:rStyle w:val="nlmgiven-names"/>
        </w:rPr>
        <w:t>V. M</w:t>
      </w:r>
      <w:r>
        <w:t>. (</w:t>
      </w:r>
      <w:r>
        <w:rPr>
          <w:rStyle w:val="nlmyear"/>
        </w:rPr>
        <w:t>2014</w:t>
      </w:r>
      <w:r>
        <w:t xml:space="preserve">). </w:t>
      </w:r>
      <w:r>
        <w:rPr>
          <w:rStyle w:val="nlmarticle-title"/>
        </w:rPr>
        <w:t>Family culture in mental health help-seeking and utilization in a nationally representative sample of Latinos in the United States: The NLAAS</w:t>
      </w:r>
      <w:r>
        <w:t xml:space="preserve">. </w:t>
      </w:r>
      <w:r>
        <w:rPr>
          <w:i/>
          <w:iCs/>
        </w:rPr>
        <w:t>American Journal of Orthopsychiatry</w:t>
      </w:r>
      <w:r>
        <w:t xml:space="preserve">, </w:t>
      </w:r>
      <w:r>
        <w:rPr>
          <w:i/>
          <w:iCs/>
        </w:rPr>
        <w:t>84</w:t>
      </w:r>
      <w:r>
        <w:t xml:space="preserve">(4), </w:t>
      </w:r>
      <w:r>
        <w:rPr>
          <w:rStyle w:val="nlmfpage"/>
        </w:rPr>
        <w:t>353</w:t>
      </w:r>
      <w:r>
        <w:t>–</w:t>
      </w:r>
      <w:r>
        <w:rPr>
          <w:rStyle w:val="nlmlpage"/>
        </w:rPr>
        <w:t>363</w:t>
      </w:r>
      <w:r>
        <w:t>. doi:</w:t>
      </w:r>
      <w:r>
        <w:rPr>
          <w:rStyle w:val="nlmpub-id"/>
        </w:rPr>
        <w:t>10.1037/h0099844</w:t>
      </w:r>
    </w:p>
    <w:p w14:paraId="2B2102B2" w14:textId="44694815" w:rsidR="00086656" w:rsidRPr="00086656" w:rsidRDefault="00086656" w:rsidP="00086656">
      <w:pPr>
        <w:pStyle w:val="NoSpacing"/>
        <w:ind w:left="720" w:hanging="720"/>
      </w:pPr>
      <w:r>
        <w:rPr>
          <w:rStyle w:val="hlfld-contribauthor"/>
        </w:rPr>
        <w:t xml:space="preserve">Yancey, </w:t>
      </w:r>
      <w:r>
        <w:rPr>
          <w:rStyle w:val="nlmgiven-names"/>
        </w:rPr>
        <w:t>A. K.</w:t>
      </w:r>
      <w:r>
        <w:t xml:space="preserve">, </w:t>
      </w:r>
      <w:r>
        <w:rPr>
          <w:rStyle w:val="hlfld-contribauthor"/>
        </w:rPr>
        <w:t xml:space="preserve">Ortega, </w:t>
      </w:r>
      <w:r>
        <w:rPr>
          <w:rStyle w:val="nlmgiven-names"/>
        </w:rPr>
        <w:t>A. N.</w:t>
      </w:r>
      <w:r>
        <w:t xml:space="preserve">, &amp; </w:t>
      </w:r>
      <w:r>
        <w:rPr>
          <w:rStyle w:val="hlfld-contribauthor"/>
        </w:rPr>
        <w:t xml:space="preserve">Kumanyika, </w:t>
      </w:r>
      <w:r>
        <w:rPr>
          <w:rStyle w:val="nlmgiven-names"/>
        </w:rPr>
        <w:t>S. K</w:t>
      </w:r>
      <w:r>
        <w:t>. (</w:t>
      </w:r>
      <w:r>
        <w:rPr>
          <w:rStyle w:val="nlmyear"/>
        </w:rPr>
        <w:t>2006</w:t>
      </w:r>
      <w:r>
        <w:t xml:space="preserve">). </w:t>
      </w:r>
      <w:r>
        <w:rPr>
          <w:rStyle w:val="nlmarticle-title"/>
        </w:rPr>
        <w:t>Effective recruitment and retention of minority research participants</w:t>
      </w:r>
      <w:r>
        <w:t xml:space="preserve">. </w:t>
      </w:r>
      <w:r>
        <w:rPr>
          <w:i/>
          <w:iCs/>
        </w:rPr>
        <w:t>Annual Review of Public Health</w:t>
      </w:r>
      <w:r>
        <w:t xml:space="preserve">, </w:t>
      </w:r>
      <w:r>
        <w:rPr>
          <w:i/>
          <w:iCs/>
        </w:rPr>
        <w:t>27</w:t>
      </w:r>
      <w:r>
        <w:t xml:space="preserve">(1), </w:t>
      </w:r>
      <w:r>
        <w:rPr>
          <w:rStyle w:val="nlmfpage"/>
        </w:rPr>
        <w:t>1</w:t>
      </w:r>
      <w:r>
        <w:t>–</w:t>
      </w:r>
      <w:r>
        <w:rPr>
          <w:rStyle w:val="nlmlpage"/>
        </w:rPr>
        <w:t>28</w:t>
      </w:r>
      <w:r>
        <w:t xml:space="preserve">. </w:t>
      </w:r>
      <w:proofErr w:type="gramStart"/>
      <w:r>
        <w:t>doi:</w:t>
      </w:r>
      <w:r>
        <w:rPr>
          <w:rStyle w:val="nlmpub-id"/>
        </w:rPr>
        <w:t>10.1146/annurev.publhealth</w:t>
      </w:r>
      <w:proofErr w:type="gramEnd"/>
      <w:r>
        <w:rPr>
          <w:rStyle w:val="nlmpub-id"/>
        </w:rPr>
        <w:t>.27.021405.102113</w:t>
      </w:r>
    </w:p>
    <w:sectPr w:rsidR="00086656" w:rsidRPr="00086656" w:rsidSect="00A750B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60263C"/>
    <w:multiLevelType w:val="multilevel"/>
    <w:tmpl w:val="1F9E6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sSh0dIiDPZMkP/H8ImTXKjVGVfPWxcikpfQ1JJmqjkZ49WQlCPWcC7qe04w0VNNf93PxYXBrFHp4ynJYSvltQ==" w:salt="AS2awVzoK0fW0teEZtHPk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068"/>
    <w:rsid w:val="00003562"/>
    <w:rsid w:val="00005301"/>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6656"/>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6F52"/>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445"/>
    <w:rsid w:val="00154D34"/>
    <w:rsid w:val="00160E1F"/>
    <w:rsid w:val="00161372"/>
    <w:rsid w:val="001622DB"/>
    <w:rsid w:val="00163F71"/>
    <w:rsid w:val="00173556"/>
    <w:rsid w:val="0018114F"/>
    <w:rsid w:val="00181ADF"/>
    <w:rsid w:val="00183A38"/>
    <w:rsid w:val="001854EA"/>
    <w:rsid w:val="00185C26"/>
    <w:rsid w:val="00196C7C"/>
    <w:rsid w:val="001A05A3"/>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5E07"/>
    <w:rsid w:val="00251132"/>
    <w:rsid w:val="002535DF"/>
    <w:rsid w:val="002558EB"/>
    <w:rsid w:val="00255B43"/>
    <w:rsid w:val="00255BDC"/>
    <w:rsid w:val="00255BEA"/>
    <w:rsid w:val="00256E24"/>
    <w:rsid w:val="00261403"/>
    <w:rsid w:val="00261F59"/>
    <w:rsid w:val="00272AF4"/>
    <w:rsid w:val="00276C06"/>
    <w:rsid w:val="00280198"/>
    <w:rsid w:val="00282094"/>
    <w:rsid w:val="002843BC"/>
    <w:rsid w:val="00284A84"/>
    <w:rsid w:val="0029129F"/>
    <w:rsid w:val="00296B90"/>
    <w:rsid w:val="00297296"/>
    <w:rsid w:val="002A0668"/>
    <w:rsid w:val="002A07FF"/>
    <w:rsid w:val="002A381F"/>
    <w:rsid w:val="002A6B8B"/>
    <w:rsid w:val="002A7FBB"/>
    <w:rsid w:val="002B1ED8"/>
    <w:rsid w:val="002B45EC"/>
    <w:rsid w:val="002B62C6"/>
    <w:rsid w:val="002C17A7"/>
    <w:rsid w:val="002C2DA5"/>
    <w:rsid w:val="002C4714"/>
    <w:rsid w:val="002C6160"/>
    <w:rsid w:val="002D0157"/>
    <w:rsid w:val="002D02F2"/>
    <w:rsid w:val="002D28EA"/>
    <w:rsid w:val="002D51BB"/>
    <w:rsid w:val="002D5BAE"/>
    <w:rsid w:val="002D5DDC"/>
    <w:rsid w:val="002D6AA3"/>
    <w:rsid w:val="002E5C33"/>
    <w:rsid w:val="002E5D29"/>
    <w:rsid w:val="00300EE4"/>
    <w:rsid w:val="0030197F"/>
    <w:rsid w:val="0030223E"/>
    <w:rsid w:val="0030353C"/>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488F"/>
    <w:rsid w:val="00360206"/>
    <w:rsid w:val="003624EE"/>
    <w:rsid w:val="003632E1"/>
    <w:rsid w:val="00363CD3"/>
    <w:rsid w:val="003647D8"/>
    <w:rsid w:val="003656A9"/>
    <w:rsid w:val="00366852"/>
    <w:rsid w:val="003706EF"/>
    <w:rsid w:val="00370BE4"/>
    <w:rsid w:val="00371D56"/>
    <w:rsid w:val="0037755D"/>
    <w:rsid w:val="00380044"/>
    <w:rsid w:val="00381F0E"/>
    <w:rsid w:val="0038549B"/>
    <w:rsid w:val="0038628A"/>
    <w:rsid w:val="0038634F"/>
    <w:rsid w:val="0038728F"/>
    <w:rsid w:val="00391C48"/>
    <w:rsid w:val="00394337"/>
    <w:rsid w:val="003A242B"/>
    <w:rsid w:val="003A437A"/>
    <w:rsid w:val="003A503E"/>
    <w:rsid w:val="003A6039"/>
    <w:rsid w:val="003A7418"/>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7D2C"/>
    <w:rsid w:val="00421CBC"/>
    <w:rsid w:val="0043008C"/>
    <w:rsid w:val="00430B91"/>
    <w:rsid w:val="004374EF"/>
    <w:rsid w:val="004375C9"/>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41E"/>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1A2E"/>
    <w:rsid w:val="004B2226"/>
    <w:rsid w:val="004B6BED"/>
    <w:rsid w:val="004B77C2"/>
    <w:rsid w:val="004C0B3D"/>
    <w:rsid w:val="004C2D7B"/>
    <w:rsid w:val="004C45D2"/>
    <w:rsid w:val="004C5EEF"/>
    <w:rsid w:val="004D118A"/>
    <w:rsid w:val="004D1CB9"/>
    <w:rsid w:val="004D21C9"/>
    <w:rsid w:val="004D2FC8"/>
    <w:rsid w:val="004E34F8"/>
    <w:rsid w:val="004E3C84"/>
    <w:rsid w:val="004E528B"/>
    <w:rsid w:val="004F146C"/>
    <w:rsid w:val="004F1F3C"/>
    <w:rsid w:val="00503141"/>
    <w:rsid w:val="0050408D"/>
    <w:rsid w:val="00504C6A"/>
    <w:rsid w:val="00505A4E"/>
    <w:rsid w:val="00510364"/>
    <w:rsid w:val="005116C9"/>
    <w:rsid w:val="00511BEE"/>
    <w:rsid w:val="005175E9"/>
    <w:rsid w:val="00520368"/>
    <w:rsid w:val="0052658A"/>
    <w:rsid w:val="005301A7"/>
    <w:rsid w:val="00533270"/>
    <w:rsid w:val="00535C07"/>
    <w:rsid w:val="00540146"/>
    <w:rsid w:val="00543A46"/>
    <w:rsid w:val="00543C22"/>
    <w:rsid w:val="0054405B"/>
    <w:rsid w:val="0054567F"/>
    <w:rsid w:val="00546B44"/>
    <w:rsid w:val="00551265"/>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34F1"/>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0DFF"/>
    <w:rsid w:val="00631A06"/>
    <w:rsid w:val="00633D28"/>
    <w:rsid w:val="00633F1B"/>
    <w:rsid w:val="00634D07"/>
    <w:rsid w:val="00635799"/>
    <w:rsid w:val="00636A77"/>
    <w:rsid w:val="0064051B"/>
    <w:rsid w:val="00641103"/>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5400"/>
    <w:rsid w:val="006871E0"/>
    <w:rsid w:val="00693B53"/>
    <w:rsid w:val="00697377"/>
    <w:rsid w:val="006A1F61"/>
    <w:rsid w:val="006A533C"/>
    <w:rsid w:val="006A5E52"/>
    <w:rsid w:val="006A712D"/>
    <w:rsid w:val="006A7B71"/>
    <w:rsid w:val="006B20FD"/>
    <w:rsid w:val="006B3B2B"/>
    <w:rsid w:val="006C024E"/>
    <w:rsid w:val="006C7ED1"/>
    <w:rsid w:val="006D5BF3"/>
    <w:rsid w:val="006D75E1"/>
    <w:rsid w:val="006D7670"/>
    <w:rsid w:val="006E10F4"/>
    <w:rsid w:val="006E10FD"/>
    <w:rsid w:val="006E2996"/>
    <w:rsid w:val="006E2EEC"/>
    <w:rsid w:val="006E471E"/>
    <w:rsid w:val="006E4859"/>
    <w:rsid w:val="006F24E3"/>
    <w:rsid w:val="006F60DA"/>
    <w:rsid w:val="007065D3"/>
    <w:rsid w:val="007071B1"/>
    <w:rsid w:val="00707EC1"/>
    <w:rsid w:val="00710582"/>
    <w:rsid w:val="00714EE9"/>
    <w:rsid w:val="007246B0"/>
    <w:rsid w:val="007258CB"/>
    <w:rsid w:val="00730E29"/>
    <w:rsid w:val="00732FF6"/>
    <w:rsid w:val="00735393"/>
    <w:rsid w:val="00745E32"/>
    <w:rsid w:val="007466F7"/>
    <w:rsid w:val="007517F5"/>
    <w:rsid w:val="00757D89"/>
    <w:rsid w:val="0076194B"/>
    <w:rsid w:val="00763676"/>
    <w:rsid w:val="00767903"/>
    <w:rsid w:val="00772776"/>
    <w:rsid w:val="00776E56"/>
    <w:rsid w:val="00777148"/>
    <w:rsid w:val="00781619"/>
    <w:rsid w:val="0079146B"/>
    <w:rsid w:val="00791DD5"/>
    <w:rsid w:val="00796875"/>
    <w:rsid w:val="0079756E"/>
    <w:rsid w:val="007A1233"/>
    <w:rsid w:val="007A258F"/>
    <w:rsid w:val="007A3B3A"/>
    <w:rsid w:val="007B0BBA"/>
    <w:rsid w:val="007C0F00"/>
    <w:rsid w:val="007C16F7"/>
    <w:rsid w:val="007D25DB"/>
    <w:rsid w:val="007D51E8"/>
    <w:rsid w:val="007D655B"/>
    <w:rsid w:val="007D762B"/>
    <w:rsid w:val="007D7C64"/>
    <w:rsid w:val="007E0B5E"/>
    <w:rsid w:val="007E2E07"/>
    <w:rsid w:val="007E491C"/>
    <w:rsid w:val="007E5121"/>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39A1"/>
    <w:rsid w:val="00834DF7"/>
    <w:rsid w:val="00836F01"/>
    <w:rsid w:val="008406F5"/>
    <w:rsid w:val="00841F1E"/>
    <w:rsid w:val="00842203"/>
    <w:rsid w:val="00844D96"/>
    <w:rsid w:val="00850E3E"/>
    <w:rsid w:val="008525C3"/>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A45"/>
    <w:rsid w:val="008B01CB"/>
    <w:rsid w:val="008B15CF"/>
    <w:rsid w:val="008B2242"/>
    <w:rsid w:val="008B4AD1"/>
    <w:rsid w:val="008B6D93"/>
    <w:rsid w:val="008B7AF1"/>
    <w:rsid w:val="008C3543"/>
    <w:rsid w:val="008D0F0D"/>
    <w:rsid w:val="008D0FF2"/>
    <w:rsid w:val="008D14D6"/>
    <w:rsid w:val="008D1D7F"/>
    <w:rsid w:val="008D3526"/>
    <w:rsid w:val="008E6F8B"/>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4DA6"/>
    <w:rsid w:val="009554A6"/>
    <w:rsid w:val="00956FEB"/>
    <w:rsid w:val="009650D5"/>
    <w:rsid w:val="0096535F"/>
    <w:rsid w:val="00965F35"/>
    <w:rsid w:val="00966500"/>
    <w:rsid w:val="009729A3"/>
    <w:rsid w:val="009732A9"/>
    <w:rsid w:val="00973EC9"/>
    <w:rsid w:val="00977F1D"/>
    <w:rsid w:val="00982217"/>
    <w:rsid w:val="00984B39"/>
    <w:rsid w:val="00986A83"/>
    <w:rsid w:val="00990645"/>
    <w:rsid w:val="009A130B"/>
    <w:rsid w:val="009A2639"/>
    <w:rsid w:val="009A397F"/>
    <w:rsid w:val="009B4F83"/>
    <w:rsid w:val="009B6983"/>
    <w:rsid w:val="009B737C"/>
    <w:rsid w:val="009C5450"/>
    <w:rsid w:val="009C5716"/>
    <w:rsid w:val="009D316A"/>
    <w:rsid w:val="009D3527"/>
    <w:rsid w:val="009D5368"/>
    <w:rsid w:val="009D54DF"/>
    <w:rsid w:val="009E56AC"/>
    <w:rsid w:val="009E56AF"/>
    <w:rsid w:val="009E597C"/>
    <w:rsid w:val="009E678D"/>
    <w:rsid w:val="009F2637"/>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6"/>
    <w:rsid w:val="00A52369"/>
    <w:rsid w:val="00A52A88"/>
    <w:rsid w:val="00A55701"/>
    <w:rsid w:val="00A56ED1"/>
    <w:rsid w:val="00A648A4"/>
    <w:rsid w:val="00A650B2"/>
    <w:rsid w:val="00A7290A"/>
    <w:rsid w:val="00A74FDA"/>
    <w:rsid w:val="00A75006"/>
    <w:rsid w:val="00A750BF"/>
    <w:rsid w:val="00A81E28"/>
    <w:rsid w:val="00A82932"/>
    <w:rsid w:val="00A82D07"/>
    <w:rsid w:val="00A868FB"/>
    <w:rsid w:val="00A915ED"/>
    <w:rsid w:val="00A91BB5"/>
    <w:rsid w:val="00A91CF2"/>
    <w:rsid w:val="00A93BA4"/>
    <w:rsid w:val="00A9416E"/>
    <w:rsid w:val="00AA292C"/>
    <w:rsid w:val="00AA37E9"/>
    <w:rsid w:val="00AA493D"/>
    <w:rsid w:val="00AB0801"/>
    <w:rsid w:val="00AB4807"/>
    <w:rsid w:val="00AB4813"/>
    <w:rsid w:val="00AC0052"/>
    <w:rsid w:val="00AC04D6"/>
    <w:rsid w:val="00AD0685"/>
    <w:rsid w:val="00AD0BB7"/>
    <w:rsid w:val="00AD38C1"/>
    <w:rsid w:val="00AD5A78"/>
    <w:rsid w:val="00AE1517"/>
    <w:rsid w:val="00AE4078"/>
    <w:rsid w:val="00AE4230"/>
    <w:rsid w:val="00AE69D7"/>
    <w:rsid w:val="00AE71AA"/>
    <w:rsid w:val="00AF0831"/>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B64"/>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149"/>
    <w:rsid w:val="00B86814"/>
    <w:rsid w:val="00B910CB"/>
    <w:rsid w:val="00B91743"/>
    <w:rsid w:val="00B91D38"/>
    <w:rsid w:val="00B927D2"/>
    <w:rsid w:val="00B935A4"/>
    <w:rsid w:val="00B945E5"/>
    <w:rsid w:val="00B9636B"/>
    <w:rsid w:val="00B9655B"/>
    <w:rsid w:val="00B974AD"/>
    <w:rsid w:val="00BA22C6"/>
    <w:rsid w:val="00BA316D"/>
    <w:rsid w:val="00BA5FEF"/>
    <w:rsid w:val="00BA7628"/>
    <w:rsid w:val="00BB2130"/>
    <w:rsid w:val="00BB30B6"/>
    <w:rsid w:val="00BB40CB"/>
    <w:rsid w:val="00BB554C"/>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4B05"/>
    <w:rsid w:val="00C170FF"/>
    <w:rsid w:val="00C173E1"/>
    <w:rsid w:val="00C2019E"/>
    <w:rsid w:val="00C259EA"/>
    <w:rsid w:val="00C27AEF"/>
    <w:rsid w:val="00C3110E"/>
    <w:rsid w:val="00C3466C"/>
    <w:rsid w:val="00C355FF"/>
    <w:rsid w:val="00C418DB"/>
    <w:rsid w:val="00C41A64"/>
    <w:rsid w:val="00C47122"/>
    <w:rsid w:val="00C47959"/>
    <w:rsid w:val="00C47CEA"/>
    <w:rsid w:val="00C515E0"/>
    <w:rsid w:val="00C531A3"/>
    <w:rsid w:val="00C5736A"/>
    <w:rsid w:val="00C57F24"/>
    <w:rsid w:val="00C613D2"/>
    <w:rsid w:val="00C62F5D"/>
    <w:rsid w:val="00C63EA6"/>
    <w:rsid w:val="00C6619F"/>
    <w:rsid w:val="00C6624A"/>
    <w:rsid w:val="00C742C3"/>
    <w:rsid w:val="00C75559"/>
    <w:rsid w:val="00C76D88"/>
    <w:rsid w:val="00C7785D"/>
    <w:rsid w:val="00C77A26"/>
    <w:rsid w:val="00C85BDD"/>
    <w:rsid w:val="00C86B81"/>
    <w:rsid w:val="00C91557"/>
    <w:rsid w:val="00C92F74"/>
    <w:rsid w:val="00C95D04"/>
    <w:rsid w:val="00CA1C19"/>
    <w:rsid w:val="00CA204D"/>
    <w:rsid w:val="00CA2E14"/>
    <w:rsid w:val="00CA60CD"/>
    <w:rsid w:val="00CB10E9"/>
    <w:rsid w:val="00CB11D6"/>
    <w:rsid w:val="00CB5475"/>
    <w:rsid w:val="00CB665E"/>
    <w:rsid w:val="00CB6E09"/>
    <w:rsid w:val="00CC09A7"/>
    <w:rsid w:val="00CC0FD9"/>
    <w:rsid w:val="00CC1F8F"/>
    <w:rsid w:val="00CD139B"/>
    <w:rsid w:val="00CD29A0"/>
    <w:rsid w:val="00CD5E59"/>
    <w:rsid w:val="00CD7831"/>
    <w:rsid w:val="00CE05D4"/>
    <w:rsid w:val="00CE431C"/>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4ABB"/>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971C5"/>
    <w:rsid w:val="00DA5459"/>
    <w:rsid w:val="00DA5479"/>
    <w:rsid w:val="00DB357A"/>
    <w:rsid w:val="00DB4233"/>
    <w:rsid w:val="00DB5097"/>
    <w:rsid w:val="00DC4F7C"/>
    <w:rsid w:val="00DC7134"/>
    <w:rsid w:val="00DC7C2C"/>
    <w:rsid w:val="00DD2256"/>
    <w:rsid w:val="00DD4B55"/>
    <w:rsid w:val="00DD5871"/>
    <w:rsid w:val="00DE2F66"/>
    <w:rsid w:val="00DE4173"/>
    <w:rsid w:val="00DE4592"/>
    <w:rsid w:val="00DF4C07"/>
    <w:rsid w:val="00DF6125"/>
    <w:rsid w:val="00E13E05"/>
    <w:rsid w:val="00E15784"/>
    <w:rsid w:val="00E16734"/>
    <w:rsid w:val="00E179BE"/>
    <w:rsid w:val="00E20401"/>
    <w:rsid w:val="00E264D8"/>
    <w:rsid w:val="00E319F9"/>
    <w:rsid w:val="00E331C7"/>
    <w:rsid w:val="00E33B38"/>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4EE0"/>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561B"/>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09A4"/>
    <w:rsid w:val="00F74422"/>
    <w:rsid w:val="00F76222"/>
    <w:rsid w:val="00F83712"/>
    <w:rsid w:val="00F86BEC"/>
    <w:rsid w:val="00F93940"/>
    <w:rsid w:val="00F9447B"/>
    <w:rsid w:val="00F944E0"/>
    <w:rsid w:val="00F95C39"/>
    <w:rsid w:val="00FA0FB1"/>
    <w:rsid w:val="00FA132A"/>
    <w:rsid w:val="00FA1FC3"/>
    <w:rsid w:val="00FA2DEE"/>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EC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62F5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62F5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62F5D"/>
    <w:rPr>
      <w:color w:val="0000FF"/>
      <w:u w:val="single"/>
    </w:rPr>
  </w:style>
  <w:style w:type="character" w:styleId="FollowedHyperlink">
    <w:name w:val="FollowedHyperlink"/>
    <w:basedOn w:val="DefaultParagraphFont"/>
    <w:uiPriority w:val="99"/>
    <w:semiHidden/>
    <w:unhideWhenUsed/>
    <w:rsid w:val="00C62F5D"/>
    <w:rPr>
      <w:color w:val="800080"/>
      <w:u w:val="single"/>
    </w:rPr>
  </w:style>
  <w:style w:type="character" w:customStyle="1" w:styleId="comma">
    <w:name w:val="comma"/>
    <w:basedOn w:val="DefaultParagraphFont"/>
    <w:rsid w:val="00C62F5D"/>
  </w:style>
  <w:style w:type="character" w:customStyle="1" w:styleId="ref-lnk">
    <w:name w:val="ref-lnk"/>
    <w:basedOn w:val="DefaultParagraphFont"/>
    <w:rsid w:val="00C62F5D"/>
  </w:style>
  <w:style w:type="character" w:customStyle="1" w:styleId="ref-overlay">
    <w:name w:val="ref-overlay"/>
    <w:basedOn w:val="DefaultParagraphFont"/>
    <w:rsid w:val="00C62F5D"/>
  </w:style>
  <w:style w:type="character" w:customStyle="1" w:styleId="ref-close">
    <w:name w:val="ref-close"/>
    <w:basedOn w:val="DefaultParagraphFont"/>
    <w:rsid w:val="00C62F5D"/>
  </w:style>
  <w:style w:type="character" w:customStyle="1" w:styleId="ref-icon">
    <w:name w:val="ref-icon"/>
    <w:basedOn w:val="DefaultParagraphFont"/>
    <w:rsid w:val="00C62F5D"/>
  </w:style>
  <w:style w:type="character" w:customStyle="1" w:styleId="nlmyear">
    <w:name w:val="nlm_year"/>
    <w:basedOn w:val="DefaultParagraphFont"/>
    <w:rsid w:val="00C62F5D"/>
  </w:style>
  <w:style w:type="character" w:customStyle="1" w:styleId="nlmedition">
    <w:name w:val="nlm_edition"/>
    <w:basedOn w:val="DefaultParagraphFont"/>
    <w:rsid w:val="00C62F5D"/>
  </w:style>
  <w:style w:type="character" w:customStyle="1" w:styleId="nlmpublisher-loc">
    <w:name w:val="nlm_publisher-loc"/>
    <w:basedOn w:val="DefaultParagraphFont"/>
    <w:rsid w:val="00C62F5D"/>
  </w:style>
  <w:style w:type="character" w:customStyle="1" w:styleId="nlmpublisher-name">
    <w:name w:val="nlm_publisher-name"/>
    <w:basedOn w:val="DefaultParagraphFont"/>
    <w:rsid w:val="00C62F5D"/>
  </w:style>
  <w:style w:type="character" w:customStyle="1" w:styleId="ref-links">
    <w:name w:val="ref-links"/>
    <w:basedOn w:val="DefaultParagraphFont"/>
    <w:rsid w:val="00C62F5D"/>
  </w:style>
  <w:style w:type="character" w:customStyle="1" w:styleId="xlinks-container">
    <w:name w:val="xlinks-container"/>
    <w:basedOn w:val="DefaultParagraphFont"/>
    <w:rsid w:val="00C62F5D"/>
  </w:style>
  <w:style w:type="character" w:customStyle="1" w:styleId="googlescholar-container">
    <w:name w:val="googlescholar-container"/>
    <w:basedOn w:val="DefaultParagraphFont"/>
    <w:rsid w:val="00C62F5D"/>
  </w:style>
  <w:style w:type="character" w:customStyle="1" w:styleId="hlfld-contribauthor">
    <w:name w:val="hlfld-contribauthor"/>
    <w:basedOn w:val="DefaultParagraphFont"/>
    <w:rsid w:val="00C62F5D"/>
  </w:style>
  <w:style w:type="character" w:customStyle="1" w:styleId="nlmgiven-names">
    <w:name w:val="nlm_given-names"/>
    <w:basedOn w:val="DefaultParagraphFont"/>
    <w:rsid w:val="00C62F5D"/>
  </w:style>
  <w:style w:type="character" w:customStyle="1" w:styleId="nlmarticle-title">
    <w:name w:val="nlm_article-title"/>
    <w:basedOn w:val="DefaultParagraphFont"/>
    <w:rsid w:val="00C62F5D"/>
  </w:style>
  <w:style w:type="character" w:customStyle="1" w:styleId="nlmfpage">
    <w:name w:val="nlm_fpage"/>
    <w:basedOn w:val="DefaultParagraphFont"/>
    <w:rsid w:val="00C62F5D"/>
  </w:style>
  <w:style w:type="character" w:customStyle="1" w:styleId="nlmlpage">
    <w:name w:val="nlm_lpage"/>
    <w:basedOn w:val="DefaultParagraphFont"/>
    <w:rsid w:val="00C62F5D"/>
  </w:style>
  <w:style w:type="character" w:customStyle="1" w:styleId="nlmpub-id">
    <w:name w:val="nlm_pub-id"/>
    <w:basedOn w:val="DefaultParagraphFont"/>
    <w:rsid w:val="00C62F5D"/>
  </w:style>
  <w:style w:type="character" w:customStyle="1" w:styleId="nlmchapter-title">
    <w:name w:val="nlm_chapter-title"/>
    <w:basedOn w:val="DefaultParagraphFont"/>
    <w:rsid w:val="00C62F5D"/>
  </w:style>
  <w:style w:type="character" w:customStyle="1" w:styleId="captionlabel">
    <w:name w:val="captionlabel"/>
    <w:basedOn w:val="DefaultParagraphFont"/>
    <w:rsid w:val="00C62F5D"/>
  </w:style>
  <w:style w:type="character" w:customStyle="1" w:styleId="ref-fn-p">
    <w:name w:val="ref-fn-p"/>
    <w:basedOn w:val="DefaultParagraphFont"/>
    <w:rsid w:val="00C62F5D"/>
  </w:style>
  <w:style w:type="table" w:styleId="TableGridLight">
    <w:name w:val="Grid Table Light"/>
    <w:basedOn w:val="TableNormal"/>
    <w:uiPriority w:val="40"/>
    <w:rsid w:val="003A74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31941">
      <w:bodyDiv w:val="1"/>
      <w:marLeft w:val="0"/>
      <w:marRight w:val="0"/>
      <w:marTop w:val="0"/>
      <w:marBottom w:val="0"/>
      <w:divBdr>
        <w:top w:val="none" w:sz="0" w:space="0" w:color="auto"/>
        <w:left w:val="none" w:sz="0" w:space="0" w:color="auto"/>
        <w:bottom w:val="none" w:sz="0" w:space="0" w:color="auto"/>
        <w:right w:val="none" w:sz="0" w:space="0" w:color="auto"/>
      </w:divBdr>
      <w:divsChild>
        <w:div w:id="410737208">
          <w:marLeft w:val="0"/>
          <w:marRight w:val="0"/>
          <w:marTop w:val="0"/>
          <w:marBottom w:val="0"/>
          <w:divBdr>
            <w:top w:val="none" w:sz="0" w:space="0" w:color="auto"/>
            <w:left w:val="none" w:sz="0" w:space="0" w:color="auto"/>
            <w:bottom w:val="none" w:sz="0" w:space="0" w:color="auto"/>
            <w:right w:val="none" w:sz="0" w:space="0" w:color="auto"/>
          </w:divBdr>
        </w:div>
        <w:div w:id="658852201">
          <w:marLeft w:val="0"/>
          <w:marRight w:val="0"/>
          <w:marTop w:val="0"/>
          <w:marBottom w:val="0"/>
          <w:divBdr>
            <w:top w:val="none" w:sz="0" w:space="0" w:color="auto"/>
            <w:left w:val="none" w:sz="0" w:space="0" w:color="auto"/>
            <w:bottom w:val="none" w:sz="0" w:space="0" w:color="auto"/>
            <w:right w:val="none" w:sz="0" w:space="0" w:color="auto"/>
          </w:divBdr>
        </w:div>
        <w:div w:id="1643197849">
          <w:marLeft w:val="0"/>
          <w:marRight w:val="0"/>
          <w:marTop w:val="0"/>
          <w:marBottom w:val="0"/>
          <w:divBdr>
            <w:top w:val="none" w:sz="0" w:space="0" w:color="auto"/>
            <w:left w:val="none" w:sz="0" w:space="0" w:color="auto"/>
            <w:bottom w:val="none" w:sz="0" w:space="0" w:color="auto"/>
            <w:right w:val="none" w:sz="0" w:space="0" w:color="auto"/>
          </w:divBdr>
        </w:div>
        <w:div w:id="1424839434">
          <w:marLeft w:val="0"/>
          <w:marRight w:val="0"/>
          <w:marTop w:val="0"/>
          <w:marBottom w:val="0"/>
          <w:divBdr>
            <w:top w:val="none" w:sz="0" w:space="0" w:color="auto"/>
            <w:left w:val="none" w:sz="0" w:space="0" w:color="auto"/>
            <w:bottom w:val="none" w:sz="0" w:space="0" w:color="auto"/>
            <w:right w:val="none" w:sz="0" w:space="0" w:color="auto"/>
          </w:divBdr>
        </w:div>
        <w:div w:id="1009139848">
          <w:marLeft w:val="0"/>
          <w:marRight w:val="0"/>
          <w:marTop w:val="0"/>
          <w:marBottom w:val="0"/>
          <w:divBdr>
            <w:top w:val="none" w:sz="0" w:space="0" w:color="auto"/>
            <w:left w:val="none" w:sz="0" w:space="0" w:color="auto"/>
            <w:bottom w:val="none" w:sz="0" w:space="0" w:color="auto"/>
            <w:right w:val="none" w:sz="0" w:space="0" w:color="auto"/>
          </w:divBdr>
        </w:div>
        <w:div w:id="733164963">
          <w:marLeft w:val="0"/>
          <w:marRight w:val="0"/>
          <w:marTop w:val="0"/>
          <w:marBottom w:val="0"/>
          <w:divBdr>
            <w:top w:val="none" w:sz="0" w:space="0" w:color="auto"/>
            <w:left w:val="none" w:sz="0" w:space="0" w:color="auto"/>
            <w:bottom w:val="none" w:sz="0" w:space="0" w:color="auto"/>
            <w:right w:val="none" w:sz="0" w:space="0" w:color="auto"/>
          </w:divBdr>
        </w:div>
        <w:div w:id="1266497321">
          <w:marLeft w:val="0"/>
          <w:marRight w:val="0"/>
          <w:marTop w:val="0"/>
          <w:marBottom w:val="0"/>
          <w:divBdr>
            <w:top w:val="none" w:sz="0" w:space="0" w:color="auto"/>
            <w:left w:val="none" w:sz="0" w:space="0" w:color="auto"/>
            <w:bottom w:val="none" w:sz="0" w:space="0" w:color="auto"/>
            <w:right w:val="none" w:sz="0" w:space="0" w:color="auto"/>
          </w:divBdr>
        </w:div>
        <w:div w:id="670639871">
          <w:marLeft w:val="0"/>
          <w:marRight w:val="0"/>
          <w:marTop w:val="0"/>
          <w:marBottom w:val="0"/>
          <w:divBdr>
            <w:top w:val="none" w:sz="0" w:space="0" w:color="auto"/>
            <w:left w:val="none" w:sz="0" w:space="0" w:color="auto"/>
            <w:bottom w:val="none" w:sz="0" w:space="0" w:color="auto"/>
            <w:right w:val="none" w:sz="0" w:space="0" w:color="auto"/>
          </w:divBdr>
        </w:div>
        <w:div w:id="711998441">
          <w:marLeft w:val="0"/>
          <w:marRight w:val="0"/>
          <w:marTop w:val="0"/>
          <w:marBottom w:val="0"/>
          <w:divBdr>
            <w:top w:val="none" w:sz="0" w:space="0" w:color="auto"/>
            <w:left w:val="none" w:sz="0" w:space="0" w:color="auto"/>
            <w:bottom w:val="none" w:sz="0" w:space="0" w:color="auto"/>
            <w:right w:val="none" w:sz="0" w:space="0" w:color="auto"/>
          </w:divBdr>
        </w:div>
        <w:div w:id="1386371122">
          <w:marLeft w:val="0"/>
          <w:marRight w:val="0"/>
          <w:marTop w:val="0"/>
          <w:marBottom w:val="0"/>
          <w:divBdr>
            <w:top w:val="none" w:sz="0" w:space="0" w:color="auto"/>
            <w:left w:val="none" w:sz="0" w:space="0" w:color="auto"/>
            <w:bottom w:val="none" w:sz="0" w:space="0" w:color="auto"/>
            <w:right w:val="none" w:sz="0" w:space="0" w:color="auto"/>
          </w:divBdr>
          <w:divsChild>
            <w:div w:id="1749420200">
              <w:marLeft w:val="0"/>
              <w:marRight w:val="0"/>
              <w:marTop w:val="0"/>
              <w:marBottom w:val="0"/>
              <w:divBdr>
                <w:top w:val="none" w:sz="0" w:space="0" w:color="auto"/>
                <w:left w:val="none" w:sz="0" w:space="0" w:color="auto"/>
                <w:bottom w:val="none" w:sz="0" w:space="0" w:color="auto"/>
                <w:right w:val="none" w:sz="0" w:space="0" w:color="auto"/>
              </w:divBdr>
            </w:div>
            <w:div w:id="305011672">
              <w:marLeft w:val="0"/>
              <w:marRight w:val="0"/>
              <w:marTop w:val="0"/>
              <w:marBottom w:val="0"/>
              <w:divBdr>
                <w:top w:val="none" w:sz="0" w:space="0" w:color="auto"/>
                <w:left w:val="none" w:sz="0" w:space="0" w:color="auto"/>
                <w:bottom w:val="none" w:sz="0" w:space="0" w:color="auto"/>
                <w:right w:val="none" w:sz="0" w:space="0" w:color="auto"/>
              </w:divBdr>
            </w:div>
            <w:div w:id="1184781268">
              <w:marLeft w:val="0"/>
              <w:marRight w:val="0"/>
              <w:marTop w:val="0"/>
              <w:marBottom w:val="0"/>
              <w:divBdr>
                <w:top w:val="none" w:sz="0" w:space="0" w:color="auto"/>
                <w:left w:val="none" w:sz="0" w:space="0" w:color="auto"/>
                <w:bottom w:val="none" w:sz="0" w:space="0" w:color="auto"/>
                <w:right w:val="none" w:sz="0" w:space="0" w:color="auto"/>
              </w:divBdr>
              <w:divsChild>
                <w:div w:id="1083726426">
                  <w:marLeft w:val="0"/>
                  <w:marRight w:val="0"/>
                  <w:marTop w:val="0"/>
                  <w:marBottom w:val="0"/>
                  <w:divBdr>
                    <w:top w:val="none" w:sz="0" w:space="0" w:color="auto"/>
                    <w:left w:val="none" w:sz="0" w:space="0" w:color="auto"/>
                    <w:bottom w:val="none" w:sz="0" w:space="0" w:color="auto"/>
                    <w:right w:val="none" w:sz="0" w:space="0" w:color="auto"/>
                  </w:divBdr>
                </w:div>
                <w:div w:id="1484463354">
                  <w:marLeft w:val="0"/>
                  <w:marRight w:val="0"/>
                  <w:marTop w:val="0"/>
                  <w:marBottom w:val="0"/>
                  <w:divBdr>
                    <w:top w:val="none" w:sz="0" w:space="0" w:color="auto"/>
                    <w:left w:val="none" w:sz="0" w:space="0" w:color="auto"/>
                    <w:bottom w:val="none" w:sz="0" w:space="0" w:color="auto"/>
                    <w:right w:val="none" w:sz="0" w:space="0" w:color="auto"/>
                  </w:divBdr>
                </w:div>
                <w:div w:id="994801593">
                  <w:marLeft w:val="0"/>
                  <w:marRight w:val="0"/>
                  <w:marTop w:val="0"/>
                  <w:marBottom w:val="0"/>
                  <w:divBdr>
                    <w:top w:val="none" w:sz="0" w:space="0" w:color="auto"/>
                    <w:left w:val="none" w:sz="0" w:space="0" w:color="auto"/>
                    <w:bottom w:val="none" w:sz="0" w:space="0" w:color="auto"/>
                    <w:right w:val="none" w:sz="0" w:space="0" w:color="auto"/>
                  </w:divBdr>
                </w:div>
                <w:div w:id="475486639">
                  <w:marLeft w:val="0"/>
                  <w:marRight w:val="0"/>
                  <w:marTop w:val="0"/>
                  <w:marBottom w:val="0"/>
                  <w:divBdr>
                    <w:top w:val="none" w:sz="0" w:space="0" w:color="auto"/>
                    <w:left w:val="none" w:sz="0" w:space="0" w:color="auto"/>
                    <w:bottom w:val="none" w:sz="0" w:space="0" w:color="auto"/>
                    <w:right w:val="none" w:sz="0" w:space="0" w:color="auto"/>
                  </w:divBdr>
                </w:div>
                <w:div w:id="922689306">
                  <w:marLeft w:val="0"/>
                  <w:marRight w:val="0"/>
                  <w:marTop w:val="0"/>
                  <w:marBottom w:val="0"/>
                  <w:divBdr>
                    <w:top w:val="none" w:sz="0" w:space="0" w:color="auto"/>
                    <w:left w:val="none" w:sz="0" w:space="0" w:color="auto"/>
                    <w:bottom w:val="none" w:sz="0" w:space="0" w:color="auto"/>
                    <w:right w:val="none" w:sz="0" w:space="0" w:color="auto"/>
                  </w:divBdr>
                </w:div>
                <w:div w:id="1146973333">
                  <w:marLeft w:val="0"/>
                  <w:marRight w:val="0"/>
                  <w:marTop w:val="0"/>
                  <w:marBottom w:val="0"/>
                  <w:divBdr>
                    <w:top w:val="none" w:sz="0" w:space="0" w:color="auto"/>
                    <w:left w:val="none" w:sz="0" w:space="0" w:color="auto"/>
                    <w:bottom w:val="none" w:sz="0" w:space="0" w:color="auto"/>
                    <w:right w:val="none" w:sz="0" w:space="0" w:color="auto"/>
                  </w:divBdr>
                </w:div>
                <w:div w:id="1212688128">
                  <w:marLeft w:val="0"/>
                  <w:marRight w:val="0"/>
                  <w:marTop w:val="0"/>
                  <w:marBottom w:val="0"/>
                  <w:divBdr>
                    <w:top w:val="none" w:sz="0" w:space="0" w:color="auto"/>
                    <w:left w:val="none" w:sz="0" w:space="0" w:color="auto"/>
                    <w:bottom w:val="none" w:sz="0" w:space="0" w:color="auto"/>
                    <w:right w:val="none" w:sz="0" w:space="0" w:color="auto"/>
                  </w:divBdr>
                </w:div>
                <w:div w:id="1119181769">
                  <w:marLeft w:val="0"/>
                  <w:marRight w:val="0"/>
                  <w:marTop w:val="0"/>
                  <w:marBottom w:val="0"/>
                  <w:divBdr>
                    <w:top w:val="none" w:sz="0" w:space="0" w:color="auto"/>
                    <w:left w:val="none" w:sz="0" w:space="0" w:color="auto"/>
                    <w:bottom w:val="none" w:sz="0" w:space="0" w:color="auto"/>
                    <w:right w:val="none" w:sz="0" w:space="0" w:color="auto"/>
                  </w:divBdr>
                </w:div>
              </w:divsChild>
            </w:div>
            <w:div w:id="1840390919">
              <w:marLeft w:val="0"/>
              <w:marRight w:val="0"/>
              <w:marTop w:val="0"/>
              <w:marBottom w:val="0"/>
              <w:divBdr>
                <w:top w:val="none" w:sz="0" w:space="0" w:color="auto"/>
                <w:left w:val="none" w:sz="0" w:space="0" w:color="auto"/>
                <w:bottom w:val="none" w:sz="0" w:space="0" w:color="auto"/>
                <w:right w:val="none" w:sz="0" w:space="0" w:color="auto"/>
              </w:divBdr>
              <w:divsChild>
                <w:div w:id="498931852">
                  <w:marLeft w:val="0"/>
                  <w:marRight w:val="0"/>
                  <w:marTop w:val="0"/>
                  <w:marBottom w:val="0"/>
                  <w:divBdr>
                    <w:top w:val="none" w:sz="0" w:space="0" w:color="auto"/>
                    <w:left w:val="none" w:sz="0" w:space="0" w:color="auto"/>
                    <w:bottom w:val="none" w:sz="0" w:space="0" w:color="auto"/>
                    <w:right w:val="none" w:sz="0" w:space="0" w:color="auto"/>
                  </w:divBdr>
                </w:div>
                <w:div w:id="1010257599">
                  <w:marLeft w:val="0"/>
                  <w:marRight w:val="0"/>
                  <w:marTop w:val="0"/>
                  <w:marBottom w:val="0"/>
                  <w:divBdr>
                    <w:top w:val="none" w:sz="0" w:space="0" w:color="auto"/>
                    <w:left w:val="none" w:sz="0" w:space="0" w:color="auto"/>
                    <w:bottom w:val="none" w:sz="0" w:space="0" w:color="auto"/>
                    <w:right w:val="none" w:sz="0" w:space="0" w:color="auto"/>
                  </w:divBdr>
                </w:div>
                <w:div w:id="51376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7975">
          <w:marLeft w:val="0"/>
          <w:marRight w:val="0"/>
          <w:marTop w:val="0"/>
          <w:marBottom w:val="0"/>
          <w:divBdr>
            <w:top w:val="none" w:sz="0" w:space="0" w:color="auto"/>
            <w:left w:val="none" w:sz="0" w:space="0" w:color="auto"/>
            <w:bottom w:val="none" w:sz="0" w:space="0" w:color="auto"/>
            <w:right w:val="none" w:sz="0" w:space="0" w:color="auto"/>
          </w:divBdr>
          <w:divsChild>
            <w:div w:id="1984774264">
              <w:marLeft w:val="0"/>
              <w:marRight w:val="0"/>
              <w:marTop w:val="0"/>
              <w:marBottom w:val="0"/>
              <w:divBdr>
                <w:top w:val="none" w:sz="0" w:space="0" w:color="auto"/>
                <w:left w:val="none" w:sz="0" w:space="0" w:color="auto"/>
                <w:bottom w:val="none" w:sz="0" w:space="0" w:color="auto"/>
                <w:right w:val="none" w:sz="0" w:space="0" w:color="auto"/>
              </w:divBdr>
              <w:divsChild>
                <w:div w:id="1534806268">
                  <w:marLeft w:val="0"/>
                  <w:marRight w:val="0"/>
                  <w:marTop w:val="0"/>
                  <w:marBottom w:val="0"/>
                  <w:divBdr>
                    <w:top w:val="none" w:sz="0" w:space="0" w:color="auto"/>
                    <w:left w:val="none" w:sz="0" w:space="0" w:color="auto"/>
                    <w:bottom w:val="none" w:sz="0" w:space="0" w:color="auto"/>
                    <w:right w:val="none" w:sz="0" w:space="0" w:color="auto"/>
                  </w:divBdr>
                  <w:divsChild>
                    <w:div w:id="1963535855">
                      <w:marLeft w:val="0"/>
                      <w:marRight w:val="0"/>
                      <w:marTop w:val="0"/>
                      <w:marBottom w:val="0"/>
                      <w:divBdr>
                        <w:top w:val="single" w:sz="6" w:space="0" w:color="CCCCCC"/>
                        <w:left w:val="single" w:sz="6" w:space="0" w:color="CCCCCC"/>
                        <w:bottom w:val="single" w:sz="6" w:space="0" w:color="CCCCCC"/>
                        <w:right w:val="single" w:sz="6" w:space="0" w:color="CCCCCC"/>
                      </w:divBdr>
                      <w:divsChild>
                        <w:div w:id="1027023907">
                          <w:marLeft w:val="0"/>
                          <w:marRight w:val="0"/>
                          <w:marTop w:val="0"/>
                          <w:marBottom w:val="0"/>
                          <w:divBdr>
                            <w:top w:val="none" w:sz="0" w:space="0" w:color="auto"/>
                            <w:left w:val="none" w:sz="0" w:space="0" w:color="auto"/>
                            <w:bottom w:val="none" w:sz="0" w:space="0" w:color="auto"/>
                            <w:right w:val="none" w:sz="0" w:space="0" w:color="auto"/>
                          </w:divBdr>
                          <w:divsChild>
                            <w:div w:id="686297588">
                              <w:marLeft w:val="0"/>
                              <w:marRight w:val="0"/>
                              <w:marTop w:val="0"/>
                              <w:marBottom w:val="0"/>
                              <w:divBdr>
                                <w:top w:val="none" w:sz="0" w:space="0" w:color="auto"/>
                                <w:left w:val="none" w:sz="0" w:space="0" w:color="auto"/>
                                <w:bottom w:val="none" w:sz="0" w:space="0" w:color="auto"/>
                                <w:right w:val="none" w:sz="0" w:space="0" w:color="auto"/>
                              </w:divBdr>
                            </w:div>
                          </w:divsChild>
                        </w:div>
                        <w:div w:id="1989168560">
                          <w:marLeft w:val="0"/>
                          <w:marRight w:val="0"/>
                          <w:marTop w:val="0"/>
                          <w:marBottom w:val="0"/>
                          <w:divBdr>
                            <w:top w:val="none" w:sz="0" w:space="0" w:color="auto"/>
                            <w:left w:val="none" w:sz="0" w:space="0" w:color="auto"/>
                            <w:bottom w:val="none" w:sz="0" w:space="0" w:color="auto"/>
                            <w:right w:val="none" w:sz="0" w:space="0" w:color="auto"/>
                          </w:divBdr>
                        </w:div>
                      </w:divsChild>
                    </w:div>
                    <w:div w:id="1093011599">
                      <w:marLeft w:val="0"/>
                      <w:marRight w:val="0"/>
                      <w:marTop w:val="0"/>
                      <w:marBottom w:val="0"/>
                      <w:divBdr>
                        <w:top w:val="single" w:sz="6" w:space="0" w:color="CCCCCC"/>
                        <w:left w:val="single" w:sz="6" w:space="0" w:color="CCCCCC"/>
                        <w:bottom w:val="single" w:sz="6" w:space="0" w:color="CCCCCC"/>
                        <w:right w:val="single" w:sz="6" w:space="0" w:color="CCCCCC"/>
                      </w:divBdr>
                      <w:divsChild>
                        <w:div w:id="832768317">
                          <w:marLeft w:val="0"/>
                          <w:marRight w:val="0"/>
                          <w:marTop w:val="0"/>
                          <w:marBottom w:val="0"/>
                          <w:divBdr>
                            <w:top w:val="none" w:sz="0" w:space="0" w:color="auto"/>
                            <w:left w:val="none" w:sz="0" w:space="0" w:color="auto"/>
                            <w:bottom w:val="none" w:sz="0" w:space="0" w:color="auto"/>
                            <w:right w:val="none" w:sz="0" w:space="0" w:color="auto"/>
                          </w:divBdr>
                          <w:divsChild>
                            <w:div w:id="833111333">
                              <w:marLeft w:val="0"/>
                              <w:marRight w:val="0"/>
                              <w:marTop w:val="0"/>
                              <w:marBottom w:val="0"/>
                              <w:divBdr>
                                <w:top w:val="none" w:sz="0" w:space="0" w:color="auto"/>
                                <w:left w:val="none" w:sz="0" w:space="0" w:color="auto"/>
                                <w:bottom w:val="none" w:sz="0" w:space="0" w:color="auto"/>
                                <w:right w:val="none" w:sz="0" w:space="0" w:color="auto"/>
                              </w:divBdr>
                            </w:div>
                          </w:divsChild>
                        </w:div>
                        <w:div w:id="20839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751845">
              <w:marLeft w:val="0"/>
              <w:marRight w:val="0"/>
              <w:marTop w:val="0"/>
              <w:marBottom w:val="0"/>
              <w:divBdr>
                <w:top w:val="none" w:sz="0" w:space="0" w:color="auto"/>
                <w:left w:val="none" w:sz="0" w:space="0" w:color="auto"/>
                <w:bottom w:val="none" w:sz="0" w:space="0" w:color="auto"/>
                <w:right w:val="none" w:sz="0" w:space="0" w:color="auto"/>
              </w:divBdr>
              <w:divsChild>
                <w:div w:id="1502427789">
                  <w:marLeft w:val="1200"/>
                  <w:marRight w:val="0"/>
                  <w:marTop w:val="240"/>
                  <w:marBottom w:val="240"/>
                  <w:divBdr>
                    <w:top w:val="none" w:sz="0" w:space="0" w:color="auto"/>
                    <w:left w:val="none" w:sz="0" w:space="0" w:color="auto"/>
                    <w:bottom w:val="none" w:sz="0" w:space="0" w:color="auto"/>
                    <w:right w:val="none" w:sz="0" w:space="0" w:color="auto"/>
                  </w:divBdr>
                </w:div>
                <w:div w:id="834884752">
                  <w:marLeft w:val="0"/>
                  <w:marRight w:val="0"/>
                  <w:marTop w:val="0"/>
                  <w:marBottom w:val="0"/>
                  <w:divBdr>
                    <w:top w:val="single" w:sz="6" w:space="0" w:color="CCCCCC"/>
                    <w:left w:val="single" w:sz="6" w:space="0" w:color="CCCCCC"/>
                    <w:bottom w:val="single" w:sz="6" w:space="0" w:color="CCCCCC"/>
                    <w:right w:val="single" w:sz="6" w:space="0" w:color="CCCCCC"/>
                  </w:divBdr>
                  <w:divsChild>
                    <w:div w:id="1698266758">
                      <w:marLeft w:val="0"/>
                      <w:marRight w:val="0"/>
                      <w:marTop w:val="0"/>
                      <w:marBottom w:val="0"/>
                      <w:divBdr>
                        <w:top w:val="none" w:sz="0" w:space="0" w:color="auto"/>
                        <w:left w:val="none" w:sz="0" w:space="0" w:color="auto"/>
                        <w:bottom w:val="none" w:sz="0" w:space="0" w:color="auto"/>
                        <w:right w:val="none" w:sz="0" w:space="0" w:color="auto"/>
                      </w:divBdr>
                      <w:divsChild>
                        <w:div w:id="1065570782">
                          <w:marLeft w:val="0"/>
                          <w:marRight w:val="0"/>
                          <w:marTop w:val="0"/>
                          <w:marBottom w:val="0"/>
                          <w:divBdr>
                            <w:top w:val="none" w:sz="0" w:space="0" w:color="auto"/>
                            <w:left w:val="none" w:sz="0" w:space="0" w:color="auto"/>
                            <w:bottom w:val="none" w:sz="0" w:space="0" w:color="auto"/>
                            <w:right w:val="none" w:sz="0" w:space="0" w:color="auto"/>
                          </w:divBdr>
                        </w:div>
                      </w:divsChild>
                    </w:div>
                    <w:div w:id="165706001">
                      <w:marLeft w:val="0"/>
                      <w:marRight w:val="0"/>
                      <w:marTop w:val="0"/>
                      <w:marBottom w:val="0"/>
                      <w:divBdr>
                        <w:top w:val="none" w:sz="0" w:space="0" w:color="auto"/>
                        <w:left w:val="none" w:sz="0" w:space="0" w:color="auto"/>
                        <w:bottom w:val="none" w:sz="0" w:space="0" w:color="auto"/>
                        <w:right w:val="none" w:sz="0" w:space="0" w:color="auto"/>
                      </w:divBdr>
                    </w:div>
                  </w:divsChild>
                </w:div>
                <w:div w:id="1023170857">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985423455">
          <w:marLeft w:val="0"/>
          <w:marRight w:val="0"/>
          <w:marTop w:val="0"/>
          <w:marBottom w:val="0"/>
          <w:divBdr>
            <w:top w:val="none" w:sz="0" w:space="0" w:color="auto"/>
            <w:left w:val="none" w:sz="0" w:space="0" w:color="auto"/>
            <w:bottom w:val="none" w:sz="0" w:space="0" w:color="auto"/>
            <w:right w:val="none" w:sz="0" w:space="0" w:color="auto"/>
          </w:divBdr>
          <w:divsChild>
            <w:div w:id="1980764136">
              <w:marLeft w:val="0"/>
              <w:marRight w:val="0"/>
              <w:marTop w:val="0"/>
              <w:marBottom w:val="0"/>
              <w:divBdr>
                <w:top w:val="none" w:sz="0" w:space="0" w:color="auto"/>
                <w:left w:val="none" w:sz="0" w:space="0" w:color="auto"/>
                <w:bottom w:val="none" w:sz="0" w:space="0" w:color="auto"/>
                <w:right w:val="none" w:sz="0" w:space="0" w:color="auto"/>
              </w:divBdr>
            </w:div>
            <w:div w:id="1214998975">
              <w:marLeft w:val="0"/>
              <w:marRight w:val="0"/>
              <w:marTop w:val="0"/>
              <w:marBottom w:val="0"/>
              <w:divBdr>
                <w:top w:val="none" w:sz="0" w:space="0" w:color="auto"/>
                <w:left w:val="none" w:sz="0" w:space="0" w:color="auto"/>
                <w:bottom w:val="none" w:sz="0" w:space="0" w:color="auto"/>
                <w:right w:val="none" w:sz="0" w:space="0" w:color="auto"/>
              </w:divBdr>
            </w:div>
          </w:divsChild>
        </w:div>
        <w:div w:id="1542402362">
          <w:marLeft w:val="0"/>
          <w:marRight w:val="0"/>
          <w:marTop w:val="0"/>
          <w:marBottom w:val="0"/>
          <w:divBdr>
            <w:top w:val="none" w:sz="0" w:space="0" w:color="auto"/>
            <w:left w:val="none" w:sz="0" w:space="0" w:color="auto"/>
            <w:bottom w:val="none" w:sz="0" w:space="0" w:color="auto"/>
            <w:right w:val="none" w:sz="0" w:space="0" w:color="auto"/>
          </w:divBdr>
        </w:div>
        <w:div w:id="175117586">
          <w:marLeft w:val="0"/>
          <w:marRight w:val="0"/>
          <w:marTop w:val="0"/>
          <w:marBottom w:val="0"/>
          <w:divBdr>
            <w:top w:val="none" w:sz="0" w:space="0" w:color="auto"/>
            <w:left w:val="none" w:sz="0" w:space="0" w:color="auto"/>
            <w:bottom w:val="none" w:sz="0" w:space="0" w:color="auto"/>
            <w:right w:val="none" w:sz="0" w:space="0" w:color="auto"/>
          </w:divBdr>
        </w:div>
        <w:div w:id="1655523318">
          <w:marLeft w:val="0"/>
          <w:marRight w:val="0"/>
          <w:marTop w:val="0"/>
          <w:marBottom w:val="0"/>
          <w:divBdr>
            <w:top w:val="none" w:sz="0" w:space="0" w:color="auto"/>
            <w:left w:val="none" w:sz="0" w:space="0" w:color="auto"/>
            <w:bottom w:val="none" w:sz="0" w:space="0" w:color="auto"/>
            <w:right w:val="none" w:sz="0" w:space="0" w:color="auto"/>
          </w:divBdr>
        </w:div>
        <w:div w:id="415059734">
          <w:marLeft w:val="0"/>
          <w:marRight w:val="0"/>
          <w:marTop w:val="0"/>
          <w:marBottom w:val="0"/>
          <w:divBdr>
            <w:top w:val="none" w:sz="0" w:space="0" w:color="auto"/>
            <w:left w:val="none" w:sz="0" w:space="0" w:color="auto"/>
            <w:bottom w:val="none" w:sz="0" w:space="0" w:color="auto"/>
            <w:right w:val="none" w:sz="0" w:space="0" w:color="auto"/>
          </w:divBdr>
        </w:div>
        <w:div w:id="550075957">
          <w:marLeft w:val="0"/>
          <w:marRight w:val="0"/>
          <w:marTop w:val="0"/>
          <w:marBottom w:val="0"/>
          <w:divBdr>
            <w:top w:val="none" w:sz="0" w:space="0" w:color="auto"/>
            <w:left w:val="none" w:sz="0" w:space="0" w:color="auto"/>
            <w:bottom w:val="none" w:sz="0" w:space="0" w:color="auto"/>
            <w:right w:val="none" w:sz="0" w:space="0" w:color="auto"/>
          </w:divBdr>
        </w:div>
        <w:div w:id="1650548276">
          <w:marLeft w:val="0"/>
          <w:marRight w:val="0"/>
          <w:marTop w:val="0"/>
          <w:marBottom w:val="0"/>
          <w:divBdr>
            <w:top w:val="none" w:sz="0" w:space="0" w:color="auto"/>
            <w:left w:val="none" w:sz="0" w:space="0" w:color="auto"/>
            <w:bottom w:val="none" w:sz="0" w:space="0" w:color="auto"/>
            <w:right w:val="none" w:sz="0" w:space="0" w:color="auto"/>
          </w:divBdr>
        </w:div>
        <w:div w:id="172385022">
          <w:marLeft w:val="0"/>
          <w:marRight w:val="0"/>
          <w:marTop w:val="0"/>
          <w:marBottom w:val="0"/>
          <w:divBdr>
            <w:top w:val="none" w:sz="0" w:space="0" w:color="auto"/>
            <w:left w:val="none" w:sz="0" w:space="0" w:color="auto"/>
            <w:bottom w:val="none" w:sz="0" w:space="0" w:color="auto"/>
            <w:right w:val="none" w:sz="0" w:space="0" w:color="auto"/>
          </w:divBdr>
        </w:div>
        <w:div w:id="1269318090">
          <w:marLeft w:val="0"/>
          <w:marRight w:val="0"/>
          <w:marTop w:val="0"/>
          <w:marBottom w:val="0"/>
          <w:divBdr>
            <w:top w:val="none" w:sz="0" w:space="0" w:color="auto"/>
            <w:left w:val="none" w:sz="0" w:space="0" w:color="auto"/>
            <w:bottom w:val="none" w:sz="0" w:space="0" w:color="auto"/>
            <w:right w:val="none" w:sz="0" w:space="0" w:color="auto"/>
          </w:divBdr>
        </w:div>
        <w:div w:id="123083247">
          <w:marLeft w:val="0"/>
          <w:marRight w:val="0"/>
          <w:marTop w:val="0"/>
          <w:marBottom w:val="0"/>
          <w:divBdr>
            <w:top w:val="none" w:sz="0" w:space="0" w:color="auto"/>
            <w:left w:val="none" w:sz="0" w:space="0" w:color="auto"/>
            <w:bottom w:val="none" w:sz="0" w:space="0" w:color="auto"/>
            <w:right w:val="none" w:sz="0" w:space="0" w:color="auto"/>
          </w:divBdr>
        </w:div>
        <w:div w:id="1738087009">
          <w:marLeft w:val="0"/>
          <w:marRight w:val="0"/>
          <w:marTop w:val="0"/>
          <w:marBottom w:val="0"/>
          <w:divBdr>
            <w:top w:val="none" w:sz="0" w:space="0" w:color="auto"/>
            <w:left w:val="none" w:sz="0" w:space="0" w:color="auto"/>
            <w:bottom w:val="none" w:sz="0" w:space="0" w:color="auto"/>
            <w:right w:val="none" w:sz="0" w:space="0" w:color="auto"/>
          </w:divBdr>
        </w:div>
        <w:div w:id="2141916536">
          <w:marLeft w:val="0"/>
          <w:marRight w:val="0"/>
          <w:marTop w:val="0"/>
          <w:marBottom w:val="0"/>
          <w:divBdr>
            <w:top w:val="none" w:sz="0" w:space="0" w:color="auto"/>
            <w:left w:val="none" w:sz="0" w:space="0" w:color="auto"/>
            <w:bottom w:val="none" w:sz="0" w:space="0" w:color="auto"/>
            <w:right w:val="none" w:sz="0" w:space="0" w:color="auto"/>
          </w:divBdr>
        </w:div>
        <w:div w:id="1399749391">
          <w:marLeft w:val="0"/>
          <w:marRight w:val="0"/>
          <w:marTop w:val="0"/>
          <w:marBottom w:val="0"/>
          <w:divBdr>
            <w:top w:val="none" w:sz="0" w:space="0" w:color="auto"/>
            <w:left w:val="none" w:sz="0" w:space="0" w:color="auto"/>
            <w:bottom w:val="none" w:sz="0" w:space="0" w:color="auto"/>
            <w:right w:val="none" w:sz="0" w:space="0" w:color="auto"/>
          </w:divBdr>
        </w:div>
        <w:div w:id="401875661">
          <w:marLeft w:val="0"/>
          <w:marRight w:val="0"/>
          <w:marTop w:val="0"/>
          <w:marBottom w:val="0"/>
          <w:divBdr>
            <w:top w:val="none" w:sz="0" w:space="0" w:color="auto"/>
            <w:left w:val="none" w:sz="0" w:space="0" w:color="auto"/>
            <w:bottom w:val="none" w:sz="0" w:space="0" w:color="auto"/>
            <w:right w:val="none" w:sz="0" w:space="0" w:color="auto"/>
          </w:divBdr>
        </w:div>
        <w:div w:id="709572329">
          <w:marLeft w:val="0"/>
          <w:marRight w:val="0"/>
          <w:marTop w:val="0"/>
          <w:marBottom w:val="0"/>
          <w:divBdr>
            <w:top w:val="none" w:sz="0" w:space="0" w:color="auto"/>
            <w:left w:val="none" w:sz="0" w:space="0" w:color="auto"/>
            <w:bottom w:val="none" w:sz="0" w:space="0" w:color="auto"/>
            <w:right w:val="none" w:sz="0" w:space="0" w:color="auto"/>
          </w:divBdr>
        </w:div>
        <w:div w:id="340621305">
          <w:marLeft w:val="0"/>
          <w:marRight w:val="0"/>
          <w:marTop w:val="0"/>
          <w:marBottom w:val="0"/>
          <w:divBdr>
            <w:top w:val="none" w:sz="0" w:space="0" w:color="auto"/>
            <w:left w:val="none" w:sz="0" w:space="0" w:color="auto"/>
            <w:bottom w:val="none" w:sz="0" w:space="0" w:color="auto"/>
            <w:right w:val="none" w:sz="0" w:space="0" w:color="auto"/>
          </w:divBdr>
        </w:div>
        <w:div w:id="1104763290">
          <w:marLeft w:val="0"/>
          <w:marRight w:val="0"/>
          <w:marTop w:val="0"/>
          <w:marBottom w:val="0"/>
          <w:divBdr>
            <w:top w:val="none" w:sz="0" w:space="0" w:color="auto"/>
            <w:left w:val="none" w:sz="0" w:space="0" w:color="auto"/>
            <w:bottom w:val="none" w:sz="0" w:space="0" w:color="auto"/>
            <w:right w:val="none" w:sz="0" w:space="0" w:color="auto"/>
          </w:divBdr>
        </w:div>
        <w:div w:id="359552798">
          <w:marLeft w:val="0"/>
          <w:marRight w:val="0"/>
          <w:marTop w:val="0"/>
          <w:marBottom w:val="0"/>
          <w:divBdr>
            <w:top w:val="none" w:sz="0" w:space="0" w:color="auto"/>
            <w:left w:val="none" w:sz="0" w:space="0" w:color="auto"/>
            <w:bottom w:val="none" w:sz="0" w:space="0" w:color="auto"/>
            <w:right w:val="none" w:sz="0" w:space="0" w:color="auto"/>
          </w:divBdr>
        </w:div>
        <w:div w:id="1030691668">
          <w:marLeft w:val="0"/>
          <w:marRight w:val="0"/>
          <w:marTop w:val="0"/>
          <w:marBottom w:val="0"/>
          <w:divBdr>
            <w:top w:val="none" w:sz="0" w:space="0" w:color="auto"/>
            <w:left w:val="none" w:sz="0" w:space="0" w:color="auto"/>
            <w:bottom w:val="none" w:sz="0" w:space="0" w:color="auto"/>
            <w:right w:val="none" w:sz="0" w:space="0" w:color="auto"/>
          </w:divBdr>
        </w:div>
        <w:div w:id="1670211104">
          <w:marLeft w:val="0"/>
          <w:marRight w:val="0"/>
          <w:marTop w:val="0"/>
          <w:marBottom w:val="0"/>
          <w:divBdr>
            <w:top w:val="none" w:sz="0" w:space="0" w:color="auto"/>
            <w:left w:val="none" w:sz="0" w:space="0" w:color="auto"/>
            <w:bottom w:val="none" w:sz="0" w:space="0" w:color="auto"/>
            <w:right w:val="none" w:sz="0" w:space="0" w:color="auto"/>
          </w:divBdr>
        </w:div>
        <w:div w:id="223949776">
          <w:marLeft w:val="0"/>
          <w:marRight w:val="0"/>
          <w:marTop w:val="0"/>
          <w:marBottom w:val="0"/>
          <w:divBdr>
            <w:top w:val="none" w:sz="0" w:space="0" w:color="auto"/>
            <w:left w:val="none" w:sz="0" w:space="0" w:color="auto"/>
            <w:bottom w:val="none" w:sz="0" w:space="0" w:color="auto"/>
            <w:right w:val="none" w:sz="0" w:space="0" w:color="auto"/>
          </w:divBdr>
        </w:div>
        <w:div w:id="1416127732">
          <w:marLeft w:val="0"/>
          <w:marRight w:val="0"/>
          <w:marTop w:val="0"/>
          <w:marBottom w:val="0"/>
          <w:divBdr>
            <w:top w:val="none" w:sz="0" w:space="0" w:color="auto"/>
            <w:left w:val="none" w:sz="0" w:space="0" w:color="auto"/>
            <w:bottom w:val="none" w:sz="0" w:space="0" w:color="auto"/>
            <w:right w:val="none" w:sz="0" w:space="0" w:color="auto"/>
          </w:divBdr>
        </w:div>
        <w:div w:id="37971835">
          <w:marLeft w:val="0"/>
          <w:marRight w:val="0"/>
          <w:marTop w:val="0"/>
          <w:marBottom w:val="0"/>
          <w:divBdr>
            <w:top w:val="none" w:sz="0" w:space="0" w:color="auto"/>
            <w:left w:val="none" w:sz="0" w:space="0" w:color="auto"/>
            <w:bottom w:val="none" w:sz="0" w:space="0" w:color="auto"/>
            <w:right w:val="none" w:sz="0" w:space="0" w:color="auto"/>
          </w:divBdr>
        </w:div>
        <w:div w:id="80640883">
          <w:marLeft w:val="0"/>
          <w:marRight w:val="0"/>
          <w:marTop w:val="0"/>
          <w:marBottom w:val="0"/>
          <w:divBdr>
            <w:top w:val="none" w:sz="0" w:space="0" w:color="auto"/>
            <w:left w:val="none" w:sz="0" w:space="0" w:color="auto"/>
            <w:bottom w:val="none" w:sz="0" w:space="0" w:color="auto"/>
            <w:right w:val="none" w:sz="0" w:space="0" w:color="auto"/>
          </w:divBdr>
        </w:div>
        <w:div w:id="80297116">
          <w:marLeft w:val="0"/>
          <w:marRight w:val="0"/>
          <w:marTop w:val="0"/>
          <w:marBottom w:val="0"/>
          <w:divBdr>
            <w:top w:val="none" w:sz="0" w:space="0" w:color="auto"/>
            <w:left w:val="none" w:sz="0" w:space="0" w:color="auto"/>
            <w:bottom w:val="none" w:sz="0" w:space="0" w:color="auto"/>
            <w:right w:val="none" w:sz="0" w:space="0" w:color="auto"/>
          </w:divBdr>
        </w:div>
        <w:div w:id="1396198014">
          <w:marLeft w:val="0"/>
          <w:marRight w:val="0"/>
          <w:marTop w:val="0"/>
          <w:marBottom w:val="0"/>
          <w:divBdr>
            <w:top w:val="none" w:sz="0" w:space="0" w:color="auto"/>
            <w:left w:val="none" w:sz="0" w:space="0" w:color="auto"/>
            <w:bottom w:val="none" w:sz="0" w:space="0" w:color="auto"/>
            <w:right w:val="none" w:sz="0" w:space="0" w:color="auto"/>
          </w:divBdr>
        </w:div>
        <w:div w:id="1596982810">
          <w:marLeft w:val="0"/>
          <w:marRight w:val="0"/>
          <w:marTop w:val="0"/>
          <w:marBottom w:val="0"/>
          <w:divBdr>
            <w:top w:val="none" w:sz="0" w:space="0" w:color="auto"/>
            <w:left w:val="none" w:sz="0" w:space="0" w:color="auto"/>
            <w:bottom w:val="none" w:sz="0" w:space="0" w:color="auto"/>
            <w:right w:val="none" w:sz="0" w:space="0" w:color="auto"/>
          </w:divBdr>
        </w:div>
        <w:div w:id="788550266">
          <w:marLeft w:val="0"/>
          <w:marRight w:val="0"/>
          <w:marTop w:val="0"/>
          <w:marBottom w:val="0"/>
          <w:divBdr>
            <w:top w:val="none" w:sz="0" w:space="0" w:color="auto"/>
            <w:left w:val="none" w:sz="0" w:space="0" w:color="auto"/>
            <w:bottom w:val="none" w:sz="0" w:space="0" w:color="auto"/>
            <w:right w:val="none" w:sz="0" w:space="0" w:color="auto"/>
          </w:divBdr>
        </w:div>
        <w:div w:id="1047952761">
          <w:marLeft w:val="0"/>
          <w:marRight w:val="0"/>
          <w:marTop w:val="0"/>
          <w:marBottom w:val="0"/>
          <w:divBdr>
            <w:top w:val="none" w:sz="0" w:space="0" w:color="auto"/>
            <w:left w:val="none" w:sz="0" w:space="0" w:color="auto"/>
            <w:bottom w:val="none" w:sz="0" w:space="0" w:color="auto"/>
            <w:right w:val="none" w:sz="0" w:space="0" w:color="auto"/>
          </w:divBdr>
        </w:div>
        <w:div w:id="772015404">
          <w:marLeft w:val="0"/>
          <w:marRight w:val="0"/>
          <w:marTop w:val="0"/>
          <w:marBottom w:val="0"/>
          <w:divBdr>
            <w:top w:val="none" w:sz="0" w:space="0" w:color="auto"/>
            <w:left w:val="none" w:sz="0" w:space="0" w:color="auto"/>
            <w:bottom w:val="none" w:sz="0" w:space="0" w:color="auto"/>
            <w:right w:val="none" w:sz="0" w:space="0" w:color="auto"/>
          </w:divBdr>
        </w:div>
        <w:div w:id="2053143831">
          <w:marLeft w:val="0"/>
          <w:marRight w:val="0"/>
          <w:marTop w:val="0"/>
          <w:marBottom w:val="0"/>
          <w:divBdr>
            <w:top w:val="none" w:sz="0" w:space="0" w:color="auto"/>
            <w:left w:val="none" w:sz="0" w:space="0" w:color="auto"/>
            <w:bottom w:val="none" w:sz="0" w:space="0" w:color="auto"/>
            <w:right w:val="none" w:sz="0" w:space="0" w:color="auto"/>
          </w:divBdr>
        </w:div>
        <w:div w:id="2045866133">
          <w:marLeft w:val="0"/>
          <w:marRight w:val="0"/>
          <w:marTop w:val="0"/>
          <w:marBottom w:val="0"/>
          <w:divBdr>
            <w:top w:val="none" w:sz="0" w:space="0" w:color="auto"/>
            <w:left w:val="none" w:sz="0" w:space="0" w:color="auto"/>
            <w:bottom w:val="none" w:sz="0" w:space="0" w:color="auto"/>
            <w:right w:val="none" w:sz="0" w:space="0" w:color="auto"/>
          </w:divBdr>
        </w:div>
        <w:div w:id="731539305">
          <w:marLeft w:val="0"/>
          <w:marRight w:val="0"/>
          <w:marTop w:val="0"/>
          <w:marBottom w:val="0"/>
          <w:divBdr>
            <w:top w:val="none" w:sz="0" w:space="0" w:color="auto"/>
            <w:left w:val="none" w:sz="0" w:space="0" w:color="auto"/>
            <w:bottom w:val="none" w:sz="0" w:space="0" w:color="auto"/>
            <w:right w:val="none" w:sz="0" w:space="0" w:color="auto"/>
          </w:divBdr>
        </w:div>
        <w:div w:id="1467434983">
          <w:marLeft w:val="0"/>
          <w:marRight w:val="0"/>
          <w:marTop w:val="0"/>
          <w:marBottom w:val="0"/>
          <w:divBdr>
            <w:top w:val="none" w:sz="0" w:space="0" w:color="auto"/>
            <w:left w:val="none" w:sz="0" w:space="0" w:color="auto"/>
            <w:bottom w:val="none" w:sz="0" w:space="0" w:color="auto"/>
            <w:right w:val="none" w:sz="0" w:space="0" w:color="auto"/>
          </w:divBdr>
        </w:div>
        <w:div w:id="2031253400">
          <w:marLeft w:val="0"/>
          <w:marRight w:val="0"/>
          <w:marTop w:val="0"/>
          <w:marBottom w:val="0"/>
          <w:divBdr>
            <w:top w:val="none" w:sz="0" w:space="0" w:color="auto"/>
            <w:left w:val="none" w:sz="0" w:space="0" w:color="auto"/>
            <w:bottom w:val="none" w:sz="0" w:space="0" w:color="auto"/>
            <w:right w:val="none" w:sz="0" w:space="0" w:color="auto"/>
          </w:divBdr>
        </w:div>
        <w:div w:id="735664344">
          <w:marLeft w:val="0"/>
          <w:marRight w:val="0"/>
          <w:marTop w:val="0"/>
          <w:marBottom w:val="0"/>
          <w:divBdr>
            <w:top w:val="none" w:sz="0" w:space="0" w:color="auto"/>
            <w:left w:val="none" w:sz="0" w:space="0" w:color="auto"/>
            <w:bottom w:val="none" w:sz="0" w:space="0" w:color="auto"/>
            <w:right w:val="none" w:sz="0" w:space="0" w:color="auto"/>
          </w:divBdr>
        </w:div>
        <w:div w:id="2085033027">
          <w:marLeft w:val="0"/>
          <w:marRight w:val="0"/>
          <w:marTop w:val="0"/>
          <w:marBottom w:val="0"/>
          <w:divBdr>
            <w:top w:val="none" w:sz="0" w:space="0" w:color="auto"/>
            <w:left w:val="none" w:sz="0" w:space="0" w:color="auto"/>
            <w:bottom w:val="none" w:sz="0" w:space="0" w:color="auto"/>
            <w:right w:val="none" w:sz="0" w:space="0" w:color="auto"/>
          </w:divBdr>
        </w:div>
        <w:div w:id="1313562177">
          <w:marLeft w:val="0"/>
          <w:marRight w:val="0"/>
          <w:marTop w:val="0"/>
          <w:marBottom w:val="0"/>
          <w:divBdr>
            <w:top w:val="none" w:sz="0" w:space="0" w:color="auto"/>
            <w:left w:val="none" w:sz="0" w:space="0" w:color="auto"/>
            <w:bottom w:val="none" w:sz="0" w:space="0" w:color="auto"/>
            <w:right w:val="none" w:sz="0" w:space="0" w:color="auto"/>
          </w:divBdr>
        </w:div>
        <w:div w:id="418217461">
          <w:marLeft w:val="0"/>
          <w:marRight w:val="0"/>
          <w:marTop w:val="0"/>
          <w:marBottom w:val="0"/>
          <w:divBdr>
            <w:top w:val="none" w:sz="0" w:space="0" w:color="auto"/>
            <w:left w:val="none" w:sz="0" w:space="0" w:color="auto"/>
            <w:bottom w:val="none" w:sz="0" w:space="0" w:color="auto"/>
            <w:right w:val="none" w:sz="0" w:space="0" w:color="auto"/>
          </w:divBdr>
        </w:div>
        <w:div w:id="1473594647">
          <w:marLeft w:val="0"/>
          <w:marRight w:val="0"/>
          <w:marTop w:val="0"/>
          <w:marBottom w:val="0"/>
          <w:divBdr>
            <w:top w:val="none" w:sz="0" w:space="0" w:color="auto"/>
            <w:left w:val="none" w:sz="0" w:space="0" w:color="auto"/>
            <w:bottom w:val="none" w:sz="0" w:space="0" w:color="auto"/>
            <w:right w:val="none" w:sz="0" w:space="0" w:color="auto"/>
          </w:divBdr>
        </w:div>
        <w:div w:id="575286183">
          <w:marLeft w:val="0"/>
          <w:marRight w:val="0"/>
          <w:marTop w:val="0"/>
          <w:marBottom w:val="0"/>
          <w:divBdr>
            <w:top w:val="none" w:sz="0" w:space="0" w:color="auto"/>
            <w:left w:val="none" w:sz="0" w:space="0" w:color="auto"/>
            <w:bottom w:val="none" w:sz="0" w:space="0" w:color="auto"/>
            <w:right w:val="none" w:sz="0" w:space="0" w:color="auto"/>
          </w:divBdr>
        </w:div>
        <w:div w:id="1196116245">
          <w:marLeft w:val="0"/>
          <w:marRight w:val="0"/>
          <w:marTop w:val="0"/>
          <w:marBottom w:val="0"/>
          <w:divBdr>
            <w:top w:val="none" w:sz="0" w:space="0" w:color="auto"/>
            <w:left w:val="none" w:sz="0" w:space="0" w:color="auto"/>
            <w:bottom w:val="none" w:sz="0" w:space="0" w:color="auto"/>
            <w:right w:val="none" w:sz="0" w:space="0" w:color="auto"/>
          </w:divBdr>
        </w:div>
        <w:div w:id="1450734468">
          <w:marLeft w:val="0"/>
          <w:marRight w:val="0"/>
          <w:marTop w:val="0"/>
          <w:marBottom w:val="0"/>
          <w:divBdr>
            <w:top w:val="none" w:sz="0" w:space="0" w:color="auto"/>
            <w:left w:val="none" w:sz="0" w:space="0" w:color="auto"/>
            <w:bottom w:val="none" w:sz="0" w:space="0" w:color="auto"/>
            <w:right w:val="none" w:sz="0" w:space="0" w:color="auto"/>
          </w:divBdr>
        </w:div>
        <w:div w:id="718214033">
          <w:marLeft w:val="0"/>
          <w:marRight w:val="0"/>
          <w:marTop w:val="0"/>
          <w:marBottom w:val="0"/>
          <w:divBdr>
            <w:top w:val="none" w:sz="0" w:space="0" w:color="auto"/>
            <w:left w:val="none" w:sz="0" w:space="0" w:color="auto"/>
            <w:bottom w:val="none" w:sz="0" w:space="0" w:color="auto"/>
            <w:right w:val="none" w:sz="0" w:space="0" w:color="auto"/>
          </w:divBdr>
        </w:div>
        <w:div w:id="834800248">
          <w:marLeft w:val="0"/>
          <w:marRight w:val="0"/>
          <w:marTop w:val="0"/>
          <w:marBottom w:val="0"/>
          <w:divBdr>
            <w:top w:val="none" w:sz="0" w:space="0" w:color="auto"/>
            <w:left w:val="none" w:sz="0" w:space="0" w:color="auto"/>
            <w:bottom w:val="none" w:sz="0" w:space="0" w:color="auto"/>
            <w:right w:val="none" w:sz="0" w:space="0" w:color="auto"/>
          </w:divBdr>
        </w:div>
        <w:div w:id="381104082">
          <w:marLeft w:val="0"/>
          <w:marRight w:val="0"/>
          <w:marTop w:val="0"/>
          <w:marBottom w:val="0"/>
          <w:divBdr>
            <w:top w:val="none" w:sz="0" w:space="0" w:color="auto"/>
            <w:left w:val="none" w:sz="0" w:space="0" w:color="auto"/>
            <w:bottom w:val="none" w:sz="0" w:space="0" w:color="auto"/>
            <w:right w:val="none" w:sz="0" w:space="0" w:color="auto"/>
          </w:divBdr>
        </w:div>
        <w:div w:id="695077218">
          <w:marLeft w:val="0"/>
          <w:marRight w:val="0"/>
          <w:marTop w:val="0"/>
          <w:marBottom w:val="0"/>
          <w:divBdr>
            <w:top w:val="none" w:sz="0" w:space="0" w:color="auto"/>
            <w:left w:val="none" w:sz="0" w:space="0" w:color="auto"/>
            <w:bottom w:val="none" w:sz="0" w:space="0" w:color="auto"/>
            <w:right w:val="none" w:sz="0" w:space="0" w:color="auto"/>
          </w:divBdr>
        </w:div>
        <w:div w:id="181482823">
          <w:marLeft w:val="0"/>
          <w:marRight w:val="0"/>
          <w:marTop w:val="0"/>
          <w:marBottom w:val="0"/>
          <w:divBdr>
            <w:top w:val="none" w:sz="0" w:space="0" w:color="auto"/>
            <w:left w:val="none" w:sz="0" w:space="0" w:color="auto"/>
            <w:bottom w:val="none" w:sz="0" w:space="0" w:color="auto"/>
            <w:right w:val="none" w:sz="0" w:space="0" w:color="auto"/>
          </w:divBdr>
        </w:div>
        <w:div w:id="1853253297">
          <w:marLeft w:val="0"/>
          <w:marRight w:val="0"/>
          <w:marTop w:val="0"/>
          <w:marBottom w:val="0"/>
          <w:divBdr>
            <w:top w:val="none" w:sz="0" w:space="0" w:color="auto"/>
            <w:left w:val="none" w:sz="0" w:space="0" w:color="auto"/>
            <w:bottom w:val="none" w:sz="0" w:space="0" w:color="auto"/>
            <w:right w:val="none" w:sz="0" w:space="0" w:color="auto"/>
          </w:divBdr>
        </w:div>
        <w:div w:id="905455158">
          <w:marLeft w:val="0"/>
          <w:marRight w:val="0"/>
          <w:marTop w:val="0"/>
          <w:marBottom w:val="0"/>
          <w:divBdr>
            <w:top w:val="none" w:sz="0" w:space="0" w:color="auto"/>
            <w:left w:val="none" w:sz="0" w:space="0" w:color="auto"/>
            <w:bottom w:val="none" w:sz="0" w:space="0" w:color="auto"/>
            <w:right w:val="none" w:sz="0" w:space="0" w:color="auto"/>
          </w:divBdr>
        </w:div>
        <w:div w:id="1890994969">
          <w:marLeft w:val="0"/>
          <w:marRight w:val="0"/>
          <w:marTop w:val="0"/>
          <w:marBottom w:val="0"/>
          <w:divBdr>
            <w:top w:val="none" w:sz="0" w:space="0" w:color="auto"/>
            <w:left w:val="none" w:sz="0" w:space="0" w:color="auto"/>
            <w:bottom w:val="none" w:sz="0" w:space="0" w:color="auto"/>
            <w:right w:val="none" w:sz="0" w:space="0" w:color="auto"/>
          </w:divBdr>
        </w:div>
        <w:div w:id="226957488">
          <w:marLeft w:val="0"/>
          <w:marRight w:val="0"/>
          <w:marTop w:val="0"/>
          <w:marBottom w:val="0"/>
          <w:divBdr>
            <w:top w:val="none" w:sz="0" w:space="0" w:color="auto"/>
            <w:left w:val="none" w:sz="0" w:space="0" w:color="auto"/>
            <w:bottom w:val="none" w:sz="0" w:space="0" w:color="auto"/>
            <w:right w:val="none" w:sz="0" w:space="0" w:color="auto"/>
          </w:divBdr>
        </w:div>
        <w:div w:id="606616427">
          <w:marLeft w:val="0"/>
          <w:marRight w:val="0"/>
          <w:marTop w:val="0"/>
          <w:marBottom w:val="0"/>
          <w:divBdr>
            <w:top w:val="none" w:sz="0" w:space="0" w:color="auto"/>
            <w:left w:val="none" w:sz="0" w:space="0" w:color="auto"/>
            <w:bottom w:val="none" w:sz="0" w:space="0" w:color="auto"/>
            <w:right w:val="none" w:sz="0" w:space="0" w:color="auto"/>
          </w:divBdr>
        </w:div>
        <w:div w:id="217472815">
          <w:marLeft w:val="0"/>
          <w:marRight w:val="0"/>
          <w:marTop w:val="0"/>
          <w:marBottom w:val="0"/>
          <w:divBdr>
            <w:top w:val="none" w:sz="0" w:space="0" w:color="auto"/>
            <w:left w:val="none" w:sz="0" w:space="0" w:color="auto"/>
            <w:bottom w:val="none" w:sz="0" w:space="0" w:color="auto"/>
            <w:right w:val="none" w:sz="0" w:space="0" w:color="auto"/>
          </w:divBdr>
        </w:div>
        <w:div w:id="688289164">
          <w:marLeft w:val="0"/>
          <w:marRight w:val="0"/>
          <w:marTop w:val="0"/>
          <w:marBottom w:val="0"/>
          <w:divBdr>
            <w:top w:val="none" w:sz="0" w:space="0" w:color="auto"/>
            <w:left w:val="none" w:sz="0" w:space="0" w:color="auto"/>
            <w:bottom w:val="none" w:sz="0" w:space="0" w:color="auto"/>
            <w:right w:val="none" w:sz="0" w:space="0" w:color="auto"/>
          </w:divBdr>
        </w:div>
        <w:div w:id="738089502">
          <w:marLeft w:val="0"/>
          <w:marRight w:val="0"/>
          <w:marTop w:val="0"/>
          <w:marBottom w:val="0"/>
          <w:divBdr>
            <w:top w:val="none" w:sz="0" w:space="0" w:color="auto"/>
            <w:left w:val="none" w:sz="0" w:space="0" w:color="auto"/>
            <w:bottom w:val="none" w:sz="0" w:space="0" w:color="auto"/>
            <w:right w:val="none" w:sz="0" w:space="0" w:color="auto"/>
          </w:divBdr>
        </w:div>
        <w:div w:id="1406683424">
          <w:marLeft w:val="0"/>
          <w:marRight w:val="0"/>
          <w:marTop w:val="0"/>
          <w:marBottom w:val="0"/>
          <w:divBdr>
            <w:top w:val="none" w:sz="0" w:space="0" w:color="auto"/>
            <w:left w:val="none" w:sz="0" w:space="0" w:color="auto"/>
            <w:bottom w:val="none" w:sz="0" w:space="0" w:color="auto"/>
            <w:right w:val="none" w:sz="0" w:space="0" w:color="auto"/>
          </w:divBdr>
        </w:div>
        <w:div w:id="1918707779">
          <w:marLeft w:val="0"/>
          <w:marRight w:val="0"/>
          <w:marTop w:val="0"/>
          <w:marBottom w:val="0"/>
          <w:divBdr>
            <w:top w:val="none" w:sz="0" w:space="0" w:color="auto"/>
            <w:left w:val="none" w:sz="0" w:space="0" w:color="auto"/>
            <w:bottom w:val="none" w:sz="0" w:space="0" w:color="auto"/>
            <w:right w:val="none" w:sz="0" w:space="0" w:color="auto"/>
          </w:divBdr>
        </w:div>
        <w:div w:id="613635182">
          <w:marLeft w:val="0"/>
          <w:marRight w:val="0"/>
          <w:marTop w:val="0"/>
          <w:marBottom w:val="0"/>
          <w:divBdr>
            <w:top w:val="none" w:sz="0" w:space="0" w:color="auto"/>
            <w:left w:val="none" w:sz="0" w:space="0" w:color="auto"/>
            <w:bottom w:val="none" w:sz="0" w:space="0" w:color="auto"/>
            <w:right w:val="none" w:sz="0" w:space="0" w:color="auto"/>
          </w:divBdr>
        </w:div>
        <w:div w:id="347408323">
          <w:marLeft w:val="0"/>
          <w:marRight w:val="0"/>
          <w:marTop w:val="0"/>
          <w:marBottom w:val="0"/>
          <w:divBdr>
            <w:top w:val="none" w:sz="0" w:space="0" w:color="auto"/>
            <w:left w:val="none" w:sz="0" w:space="0" w:color="auto"/>
            <w:bottom w:val="none" w:sz="0" w:space="0" w:color="auto"/>
            <w:right w:val="none" w:sz="0" w:space="0" w:color="auto"/>
          </w:divBdr>
        </w:div>
        <w:div w:id="1409419603">
          <w:marLeft w:val="0"/>
          <w:marRight w:val="0"/>
          <w:marTop w:val="0"/>
          <w:marBottom w:val="0"/>
          <w:divBdr>
            <w:top w:val="none" w:sz="0" w:space="0" w:color="auto"/>
            <w:left w:val="none" w:sz="0" w:space="0" w:color="auto"/>
            <w:bottom w:val="none" w:sz="0" w:space="0" w:color="auto"/>
            <w:right w:val="none" w:sz="0" w:space="0" w:color="auto"/>
          </w:divBdr>
        </w:div>
        <w:div w:id="963585417">
          <w:marLeft w:val="0"/>
          <w:marRight w:val="0"/>
          <w:marTop w:val="0"/>
          <w:marBottom w:val="0"/>
          <w:divBdr>
            <w:top w:val="none" w:sz="0" w:space="0" w:color="auto"/>
            <w:left w:val="none" w:sz="0" w:space="0" w:color="auto"/>
            <w:bottom w:val="none" w:sz="0" w:space="0" w:color="auto"/>
            <w:right w:val="none" w:sz="0" w:space="0" w:color="auto"/>
          </w:divBdr>
        </w:div>
        <w:div w:id="2086025139">
          <w:marLeft w:val="0"/>
          <w:marRight w:val="0"/>
          <w:marTop w:val="0"/>
          <w:marBottom w:val="0"/>
          <w:divBdr>
            <w:top w:val="none" w:sz="0" w:space="0" w:color="auto"/>
            <w:left w:val="none" w:sz="0" w:space="0" w:color="auto"/>
            <w:bottom w:val="none" w:sz="0" w:space="0" w:color="auto"/>
            <w:right w:val="none" w:sz="0" w:space="0" w:color="auto"/>
          </w:divBdr>
        </w:div>
        <w:div w:id="1926189180">
          <w:marLeft w:val="0"/>
          <w:marRight w:val="0"/>
          <w:marTop w:val="0"/>
          <w:marBottom w:val="0"/>
          <w:divBdr>
            <w:top w:val="none" w:sz="0" w:space="0" w:color="auto"/>
            <w:left w:val="none" w:sz="0" w:space="0" w:color="auto"/>
            <w:bottom w:val="none" w:sz="0" w:space="0" w:color="auto"/>
            <w:right w:val="none" w:sz="0" w:space="0" w:color="auto"/>
          </w:divBdr>
        </w:div>
        <w:div w:id="1396203329">
          <w:marLeft w:val="0"/>
          <w:marRight w:val="0"/>
          <w:marTop w:val="0"/>
          <w:marBottom w:val="0"/>
          <w:divBdr>
            <w:top w:val="none" w:sz="0" w:space="0" w:color="auto"/>
            <w:left w:val="none" w:sz="0" w:space="0" w:color="auto"/>
            <w:bottom w:val="none" w:sz="0" w:space="0" w:color="auto"/>
            <w:right w:val="none" w:sz="0" w:space="0" w:color="auto"/>
          </w:divBdr>
        </w:div>
        <w:div w:id="1735811034">
          <w:marLeft w:val="0"/>
          <w:marRight w:val="0"/>
          <w:marTop w:val="0"/>
          <w:marBottom w:val="0"/>
          <w:divBdr>
            <w:top w:val="none" w:sz="0" w:space="0" w:color="auto"/>
            <w:left w:val="none" w:sz="0" w:space="0" w:color="auto"/>
            <w:bottom w:val="none" w:sz="0" w:space="0" w:color="auto"/>
            <w:right w:val="none" w:sz="0" w:space="0" w:color="auto"/>
          </w:divBdr>
        </w:div>
        <w:div w:id="1180849046">
          <w:marLeft w:val="0"/>
          <w:marRight w:val="0"/>
          <w:marTop w:val="0"/>
          <w:marBottom w:val="0"/>
          <w:divBdr>
            <w:top w:val="none" w:sz="0" w:space="0" w:color="auto"/>
            <w:left w:val="none" w:sz="0" w:space="0" w:color="auto"/>
            <w:bottom w:val="none" w:sz="0" w:space="0" w:color="auto"/>
            <w:right w:val="none" w:sz="0" w:space="0" w:color="auto"/>
          </w:divBdr>
        </w:div>
        <w:div w:id="1051537557">
          <w:marLeft w:val="0"/>
          <w:marRight w:val="0"/>
          <w:marTop w:val="0"/>
          <w:marBottom w:val="0"/>
          <w:divBdr>
            <w:top w:val="none" w:sz="0" w:space="0" w:color="auto"/>
            <w:left w:val="none" w:sz="0" w:space="0" w:color="auto"/>
            <w:bottom w:val="none" w:sz="0" w:space="0" w:color="auto"/>
            <w:right w:val="none" w:sz="0" w:space="0" w:color="auto"/>
          </w:divBdr>
        </w:div>
        <w:div w:id="1538203243">
          <w:marLeft w:val="0"/>
          <w:marRight w:val="0"/>
          <w:marTop w:val="0"/>
          <w:marBottom w:val="0"/>
          <w:divBdr>
            <w:top w:val="none" w:sz="0" w:space="0" w:color="auto"/>
            <w:left w:val="none" w:sz="0" w:space="0" w:color="auto"/>
            <w:bottom w:val="none" w:sz="0" w:space="0" w:color="auto"/>
            <w:right w:val="none" w:sz="0" w:space="0" w:color="auto"/>
          </w:divBdr>
        </w:div>
        <w:div w:id="2142383501">
          <w:marLeft w:val="0"/>
          <w:marRight w:val="0"/>
          <w:marTop w:val="0"/>
          <w:marBottom w:val="0"/>
          <w:divBdr>
            <w:top w:val="none" w:sz="0" w:space="0" w:color="auto"/>
            <w:left w:val="none" w:sz="0" w:space="0" w:color="auto"/>
            <w:bottom w:val="none" w:sz="0" w:space="0" w:color="auto"/>
            <w:right w:val="none" w:sz="0" w:space="0" w:color="auto"/>
          </w:divBdr>
        </w:div>
        <w:div w:id="364402203">
          <w:marLeft w:val="0"/>
          <w:marRight w:val="0"/>
          <w:marTop w:val="0"/>
          <w:marBottom w:val="0"/>
          <w:divBdr>
            <w:top w:val="none" w:sz="0" w:space="0" w:color="auto"/>
            <w:left w:val="none" w:sz="0" w:space="0" w:color="auto"/>
            <w:bottom w:val="none" w:sz="0" w:space="0" w:color="auto"/>
            <w:right w:val="none" w:sz="0" w:space="0" w:color="auto"/>
          </w:divBdr>
        </w:div>
        <w:div w:id="1708142961">
          <w:marLeft w:val="0"/>
          <w:marRight w:val="0"/>
          <w:marTop w:val="0"/>
          <w:marBottom w:val="0"/>
          <w:divBdr>
            <w:top w:val="none" w:sz="0" w:space="0" w:color="auto"/>
            <w:left w:val="none" w:sz="0" w:space="0" w:color="auto"/>
            <w:bottom w:val="none" w:sz="0" w:space="0" w:color="auto"/>
            <w:right w:val="none" w:sz="0" w:space="0" w:color="auto"/>
          </w:divBdr>
        </w:div>
        <w:div w:id="1537355819">
          <w:marLeft w:val="0"/>
          <w:marRight w:val="0"/>
          <w:marTop w:val="0"/>
          <w:marBottom w:val="0"/>
          <w:divBdr>
            <w:top w:val="none" w:sz="0" w:space="0" w:color="auto"/>
            <w:left w:val="none" w:sz="0" w:space="0" w:color="auto"/>
            <w:bottom w:val="none" w:sz="0" w:space="0" w:color="auto"/>
            <w:right w:val="none" w:sz="0" w:space="0" w:color="auto"/>
          </w:divBdr>
        </w:div>
        <w:div w:id="1841851761">
          <w:marLeft w:val="0"/>
          <w:marRight w:val="0"/>
          <w:marTop w:val="0"/>
          <w:marBottom w:val="0"/>
          <w:divBdr>
            <w:top w:val="none" w:sz="0" w:space="0" w:color="auto"/>
            <w:left w:val="none" w:sz="0" w:space="0" w:color="auto"/>
            <w:bottom w:val="none" w:sz="0" w:space="0" w:color="auto"/>
            <w:right w:val="none" w:sz="0" w:space="0" w:color="auto"/>
          </w:divBdr>
        </w:div>
        <w:div w:id="553201054">
          <w:marLeft w:val="0"/>
          <w:marRight w:val="0"/>
          <w:marTop w:val="0"/>
          <w:marBottom w:val="0"/>
          <w:divBdr>
            <w:top w:val="none" w:sz="0" w:space="0" w:color="auto"/>
            <w:left w:val="none" w:sz="0" w:space="0" w:color="auto"/>
            <w:bottom w:val="none" w:sz="0" w:space="0" w:color="auto"/>
            <w:right w:val="none" w:sz="0" w:space="0" w:color="auto"/>
          </w:divBdr>
        </w:div>
        <w:div w:id="719477180">
          <w:marLeft w:val="0"/>
          <w:marRight w:val="0"/>
          <w:marTop w:val="0"/>
          <w:marBottom w:val="0"/>
          <w:divBdr>
            <w:top w:val="none" w:sz="0" w:space="0" w:color="auto"/>
            <w:left w:val="none" w:sz="0" w:space="0" w:color="auto"/>
            <w:bottom w:val="none" w:sz="0" w:space="0" w:color="auto"/>
            <w:right w:val="none" w:sz="0" w:space="0" w:color="auto"/>
          </w:divBdr>
        </w:div>
        <w:div w:id="850947218">
          <w:marLeft w:val="0"/>
          <w:marRight w:val="0"/>
          <w:marTop w:val="0"/>
          <w:marBottom w:val="0"/>
          <w:divBdr>
            <w:top w:val="none" w:sz="0" w:space="0" w:color="auto"/>
            <w:left w:val="none" w:sz="0" w:space="0" w:color="auto"/>
            <w:bottom w:val="none" w:sz="0" w:space="0" w:color="auto"/>
            <w:right w:val="none" w:sz="0" w:space="0" w:color="auto"/>
          </w:divBdr>
        </w:div>
        <w:div w:id="1122768524">
          <w:marLeft w:val="0"/>
          <w:marRight w:val="0"/>
          <w:marTop w:val="0"/>
          <w:marBottom w:val="0"/>
          <w:divBdr>
            <w:top w:val="none" w:sz="0" w:space="0" w:color="auto"/>
            <w:left w:val="none" w:sz="0" w:space="0" w:color="auto"/>
            <w:bottom w:val="none" w:sz="0" w:space="0" w:color="auto"/>
            <w:right w:val="none" w:sz="0" w:space="0" w:color="auto"/>
          </w:divBdr>
        </w:div>
        <w:div w:id="298338612">
          <w:marLeft w:val="0"/>
          <w:marRight w:val="0"/>
          <w:marTop w:val="0"/>
          <w:marBottom w:val="0"/>
          <w:divBdr>
            <w:top w:val="none" w:sz="0" w:space="0" w:color="auto"/>
            <w:left w:val="none" w:sz="0" w:space="0" w:color="auto"/>
            <w:bottom w:val="none" w:sz="0" w:space="0" w:color="auto"/>
            <w:right w:val="none" w:sz="0" w:space="0" w:color="auto"/>
          </w:divBdr>
        </w:div>
        <w:div w:id="2130736266">
          <w:marLeft w:val="0"/>
          <w:marRight w:val="0"/>
          <w:marTop w:val="0"/>
          <w:marBottom w:val="0"/>
          <w:divBdr>
            <w:top w:val="none" w:sz="0" w:space="0" w:color="auto"/>
            <w:left w:val="none" w:sz="0" w:space="0" w:color="auto"/>
            <w:bottom w:val="none" w:sz="0" w:space="0" w:color="auto"/>
            <w:right w:val="none" w:sz="0" w:space="0" w:color="auto"/>
          </w:divBdr>
        </w:div>
        <w:div w:id="38552173">
          <w:marLeft w:val="0"/>
          <w:marRight w:val="0"/>
          <w:marTop w:val="0"/>
          <w:marBottom w:val="0"/>
          <w:divBdr>
            <w:top w:val="none" w:sz="0" w:space="0" w:color="auto"/>
            <w:left w:val="none" w:sz="0" w:space="0" w:color="auto"/>
            <w:bottom w:val="none" w:sz="0" w:space="0" w:color="auto"/>
            <w:right w:val="none" w:sz="0" w:space="0" w:color="auto"/>
          </w:divBdr>
        </w:div>
        <w:div w:id="1898012761">
          <w:marLeft w:val="0"/>
          <w:marRight w:val="0"/>
          <w:marTop w:val="0"/>
          <w:marBottom w:val="0"/>
          <w:divBdr>
            <w:top w:val="none" w:sz="0" w:space="0" w:color="auto"/>
            <w:left w:val="none" w:sz="0" w:space="0" w:color="auto"/>
            <w:bottom w:val="none" w:sz="0" w:space="0" w:color="auto"/>
            <w:right w:val="none" w:sz="0" w:space="0" w:color="auto"/>
          </w:divBdr>
        </w:div>
        <w:div w:id="1518689637">
          <w:marLeft w:val="0"/>
          <w:marRight w:val="0"/>
          <w:marTop w:val="0"/>
          <w:marBottom w:val="0"/>
          <w:divBdr>
            <w:top w:val="none" w:sz="0" w:space="0" w:color="auto"/>
            <w:left w:val="none" w:sz="0" w:space="0" w:color="auto"/>
            <w:bottom w:val="none" w:sz="0" w:space="0" w:color="auto"/>
            <w:right w:val="none" w:sz="0" w:space="0" w:color="auto"/>
          </w:divBdr>
        </w:div>
        <w:div w:id="99566035">
          <w:marLeft w:val="0"/>
          <w:marRight w:val="0"/>
          <w:marTop w:val="0"/>
          <w:marBottom w:val="0"/>
          <w:divBdr>
            <w:top w:val="none" w:sz="0" w:space="0" w:color="auto"/>
            <w:left w:val="none" w:sz="0" w:space="0" w:color="auto"/>
            <w:bottom w:val="none" w:sz="0" w:space="0" w:color="auto"/>
            <w:right w:val="none" w:sz="0" w:space="0" w:color="auto"/>
          </w:divBdr>
        </w:div>
        <w:div w:id="1725641030">
          <w:marLeft w:val="0"/>
          <w:marRight w:val="0"/>
          <w:marTop w:val="0"/>
          <w:marBottom w:val="0"/>
          <w:divBdr>
            <w:top w:val="none" w:sz="0" w:space="0" w:color="auto"/>
            <w:left w:val="none" w:sz="0" w:space="0" w:color="auto"/>
            <w:bottom w:val="none" w:sz="0" w:space="0" w:color="auto"/>
            <w:right w:val="none" w:sz="0" w:space="0" w:color="auto"/>
          </w:divBdr>
        </w:div>
        <w:div w:id="1485580889">
          <w:marLeft w:val="0"/>
          <w:marRight w:val="0"/>
          <w:marTop w:val="0"/>
          <w:marBottom w:val="0"/>
          <w:divBdr>
            <w:top w:val="none" w:sz="0" w:space="0" w:color="auto"/>
            <w:left w:val="none" w:sz="0" w:space="0" w:color="auto"/>
            <w:bottom w:val="none" w:sz="0" w:space="0" w:color="auto"/>
            <w:right w:val="none" w:sz="0" w:space="0" w:color="auto"/>
          </w:divBdr>
        </w:div>
        <w:div w:id="446312112">
          <w:marLeft w:val="0"/>
          <w:marRight w:val="0"/>
          <w:marTop w:val="0"/>
          <w:marBottom w:val="0"/>
          <w:divBdr>
            <w:top w:val="none" w:sz="0" w:space="0" w:color="auto"/>
            <w:left w:val="none" w:sz="0" w:space="0" w:color="auto"/>
            <w:bottom w:val="none" w:sz="0" w:space="0" w:color="auto"/>
            <w:right w:val="none" w:sz="0" w:space="0" w:color="auto"/>
          </w:divBdr>
        </w:div>
        <w:div w:id="635992935">
          <w:marLeft w:val="0"/>
          <w:marRight w:val="0"/>
          <w:marTop w:val="0"/>
          <w:marBottom w:val="0"/>
          <w:divBdr>
            <w:top w:val="none" w:sz="0" w:space="0" w:color="auto"/>
            <w:left w:val="none" w:sz="0" w:space="0" w:color="auto"/>
            <w:bottom w:val="none" w:sz="0" w:space="0" w:color="auto"/>
            <w:right w:val="none" w:sz="0" w:space="0" w:color="auto"/>
          </w:divBdr>
        </w:div>
        <w:div w:id="1011642984">
          <w:marLeft w:val="0"/>
          <w:marRight w:val="0"/>
          <w:marTop w:val="0"/>
          <w:marBottom w:val="0"/>
          <w:divBdr>
            <w:top w:val="none" w:sz="0" w:space="0" w:color="auto"/>
            <w:left w:val="none" w:sz="0" w:space="0" w:color="auto"/>
            <w:bottom w:val="none" w:sz="0" w:space="0" w:color="auto"/>
            <w:right w:val="none" w:sz="0" w:space="0" w:color="auto"/>
          </w:divBdr>
        </w:div>
        <w:div w:id="903376905">
          <w:marLeft w:val="0"/>
          <w:marRight w:val="0"/>
          <w:marTop w:val="0"/>
          <w:marBottom w:val="0"/>
          <w:divBdr>
            <w:top w:val="none" w:sz="0" w:space="0" w:color="auto"/>
            <w:left w:val="none" w:sz="0" w:space="0" w:color="auto"/>
            <w:bottom w:val="none" w:sz="0" w:space="0" w:color="auto"/>
            <w:right w:val="none" w:sz="0" w:space="0" w:color="auto"/>
          </w:divBdr>
        </w:div>
        <w:div w:id="978148589">
          <w:marLeft w:val="0"/>
          <w:marRight w:val="0"/>
          <w:marTop w:val="0"/>
          <w:marBottom w:val="0"/>
          <w:divBdr>
            <w:top w:val="none" w:sz="0" w:space="0" w:color="auto"/>
            <w:left w:val="none" w:sz="0" w:space="0" w:color="auto"/>
            <w:bottom w:val="none" w:sz="0" w:space="0" w:color="auto"/>
            <w:right w:val="none" w:sz="0" w:space="0" w:color="auto"/>
          </w:divBdr>
        </w:div>
        <w:div w:id="95369679">
          <w:marLeft w:val="0"/>
          <w:marRight w:val="0"/>
          <w:marTop w:val="0"/>
          <w:marBottom w:val="0"/>
          <w:divBdr>
            <w:top w:val="none" w:sz="0" w:space="0" w:color="auto"/>
            <w:left w:val="none" w:sz="0" w:space="0" w:color="auto"/>
            <w:bottom w:val="none" w:sz="0" w:space="0" w:color="auto"/>
            <w:right w:val="none" w:sz="0" w:space="0" w:color="auto"/>
          </w:divBdr>
        </w:div>
        <w:div w:id="1428426046">
          <w:marLeft w:val="0"/>
          <w:marRight w:val="0"/>
          <w:marTop w:val="0"/>
          <w:marBottom w:val="0"/>
          <w:divBdr>
            <w:top w:val="none" w:sz="0" w:space="0" w:color="auto"/>
            <w:left w:val="none" w:sz="0" w:space="0" w:color="auto"/>
            <w:bottom w:val="none" w:sz="0" w:space="0" w:color="auto"/>
            <w:right w:val="none" w:sz="0" w:space="0" w:color="auto"/>
          </w:divBdr>
        </w:div>
        <w:div w:id="82458409">
          <w:marLeft w:val="0"/>
          <w:marRight w:val="0"/>
          <w:marTop w:val="0"/>
          <w:marBottom w:val="0"/>
          <w:divBdr>
            <w:top w:val="none" w:sz="0" w:space="0" w:color="auto"/>
            <w:left w:val="none" w:sz="0" w:space="0" w:color="auto"/>
            <w:bottom w:val="none" w:sz="0" w:space="0" w:color="auto"/>
            <w:right w:val="none" w:sz="0" w:space="0" w:color="auto"/>
          </w:divBdr>
        </w:div>
        <w:div w:id="835609392">
          <w:marLeft w:val="0"/>
          <w:marRight w:val="0"/>
          <w:marTop w:val="0"/>
          <w:marBottom w:val="0"/>
          <w:divBdr>
            <w:top w:val="none" w:sz="0" w:space="0" w:color="auto"/>
            <w:left w:val="none" w:sz="0" w:space="0" w:color="auto"/>
            <w:bottom w:val="none" w:sz="0" w:space="0" w:color="auto"/>
            <w:right w:val="none" w:sz="0" w:space="0" w:color="auto"/>
          </w:divBdr>
        </w:div>
        <w:div w:id="1160342491">
          <w:marLeft w:val="0"/>
          <w:marRight w:val="0"/>
          <w:marTop w:val="0"/>
          <w:marBottom w:val="0"/>
          <w:divBdr>
            <w:top w:val="none" w:sz="0" w:space="0" w:color="auto"/>
            <w:left w:val="none" w:sz="0" w:space="0" w:color="auto"/>
            <w:bottom w:val="none" w:sz="0" w:space="0" w:color="auto"/>
            <w:right w:val="none" w:sz="0" w:space="0" w:color="auto"/>
          </w:divBdr>
        </w:div>
        <w:div w:id="1462267045">
          <w:marLeft w:val="0"/>
          <w:marRight w:val="0"/>
          <w:marTop w:val="0"/>
          <w:marBottom w:val="0"/>
          <w:divBdr>
            <w:top w:val="none" w:sz="0" w:space="0" w:color="auto"/>
            <w:left w:val="none" w:sz="0" w:space="0" w:color="auto"/>
            <w:bottom w:val="none" w:sz="0" w:space="0" w:color="auto"/>
            <w:right w:val="none" w:sz="0" w:space="0" w:color="auto"/>
          </w:divBdr>
        </w:div>
        <w:div w:id="557519338">
          <w:marLeft w:val="0"/>
          <w:marRight w:val="0"/>
          <w:marTop w:val="0"/>
          <w:marBottom w:val="0"/>
          <w:divBdr>
            <w:top w:val="none" w:sz="0" w:space="0" w:color="auto"/>
            <w:left w:val="none" w:sz="0" w:space="0" w:color="auto"/>
            <w:bottom w:val="none" w:sz="0" w:space="0" w:color="auto"/>
            <w:right w:val="none" w:sz="0" w:space="0" w:color="auto"/>
          </w:divBdr>
        </w:div>
        <w:div w:id="996614339">
          <w:marLeft w:val="0"/>
          <w:marRight w:val="0"/>
          <w:marTop w:val="0"/>
          <w:marBottom w:val="0"/>
          <w:divBdr>
            <w:top w:val="none" w:sz="0" w:space="0" w:color="auto"/>
            <w:left w:val="none" w:sz="0" w:space="0" w:color="auto"/>
            <w:bottom w:val="none" w:sz="0" w:space="0" w:color="auto"/>
            <w:right w:val="none" w:sz="0" w:space="0" w:color="auto"/>
          </w:divBdr>
        </w:div>
        <w:div w:id="2090032107">
          <w:marLeft w:val="0"/>
          <w:marRight w:val="0"/>
          <w:marTop w:val="0"/>
          <w:marBottom w:val="0"/>
          <w:divBdr>
            <w:top w:val="none" w:sz="0" w:space="0" w:color="auto"/>
            <w:left w:val="none" w:sz="0" w:space="0" w:color="auto"/>
            <w:bottom w:val="none" w:sz="0" w:space="0" w:color="auto"/>
            <w:right w:val="none" w:sz="0" w:space="0" w:color="auto"/>
          </w:divBdr>
        </w:div>
        <w:div w:id="1669672150">
          <w:marLeft w:val="0"/>
          <w:marRight w:val="0"/>
          <w:marTop w:val="0"/>
          <w:marBottom w:val="0"/>
          <w:divBdr>
            <w:top w:val="none" w:sz="0" w:space="0" w:color="auto"/>
            <w:left w:val="none" w:sz="0" w:space="0" w:color="auto"/>
            <w:bottom w:val="none" w:sz="0" w:space="0" w:color="auto"/>
            <w:right w:val="none" w:sz="0" w:space="0" w:color="auto"/>
          </w:divBdr>
        </w:div>
        <w:div w:id="525218359">
          <w:marLeft w:val="0"/>
          <w:marRight w:val="0"/>
          <w:marTop w:val="0"/>
          <w:marBottom w:val="0"/>
          <w:divBdr>
            <w:top w:val="none" w:sz="0" w:space="0" w:color="auto"/>
            <w:left w:val="none" w:sz="0" w:space="0" w:color="auto"/>
            <w:bottom w:val="none" w:sz="0" w:space="0" w:color="auto"/>
            <w:right w:val="none" w:sz="0" w:space="0" w:color="auto"/>
          </w:divBdr>
        </w:div>
        <w:div w:id="175390421">
          <w:marLeft w:val="0"/>
          <w:marRight w:val="0"/>
          <w:marTop w:val="0"/>
          <w:marBottom w:val="0"/>
          <w:divBdr>
            <w:top w:val="none" w:sz="0" w:space="0" w:color="auto"/>
            <w:left w:val="none" w:sz="0" w:space="0" w:color="auto"/>
            <w:bottom w:val="none" w:sz="0" w:space="0" w:color="auto"/>
            <w:right w:val="none" w:sz="0" w:space="0" w:color="auto"/>
          </w:divBdr>
        </w:div>
        <w:div w:id="400446480">
          <w:marLeft w:val="0"/>
          <w:marRight w:val="0"/>
          <w:marTop w:val="0"/>
          <w:marBottom w:val="0"/>
          <w:divBdr>
            <w:top w:val="none" w:sz="0" w:space="0" w:color="auto"/>
            <w:left w:val="none" w:sz="0" w:space="0" w:color="auto"/>
            <w:bottom w:val="none" w:sz="0" w:space="0" w:color="auto"/>
            <w:right w:val="none" w:sz="0" w:space="0" w:color="auto"/>
          </w:divBdr>
        </w:div>
        <w:div w:id="86389860">
          <w:marLeft w:val="0"/>
          <w:marRight w:val="0"/>
          <w:marTop w:val="0"/>
          <w:marBottom w:val="0"/>
          <w:divBdr>
            <w:top w:val="none" w:sz="0" w:space="0" w:color="auto"/>
            <w:left w:val="none" w:sz="0" w:space="0" w:color="auto"/>
            <w:bottom w:val="none" w:sz="0" w:space="0" w:color="auto"/>
            <w:right w:val="none" w:sz="0" w:space="0" w:color="auto"/>
          </w:divBdr>
        </w:div>
        <w:div w:id="1813331026">
          <w:marLeft w:val="0"/>
          <w:marRight w:val="0"/>
          <w:marTop w:val="0"/>
          <w:marBottom w:val="0"/>
          <w:divBdr>
            <w:top w:val="none" w:sz="0" w:space="0" w:color="auto"/>
            <w:left w:val="none" w:sz="0" w:space="0" w:color="auto"/>
            <w:bottom w:val="none" w:sz="0" w:space="0" w:color="auto"/>
            <w:right w:val="none" w:sz="0" w:space="0" w:color="auto"/>
          </w:divBdr>
        </w:div>
        <w:div w:id="495849392">
          <w:marLeft w:val="0"/>
          <w:marRight w:val="0"/>
          <w:marTop w:val="0"/>
          <w:marBottom w:val="0"/>
          <w:divBdr>
            <w:top w:val="none" w:sz="0" w:space="0" w:color="auto"/>
            <w:left w:val="none" w:sz="0" w:space="0" w:color="auto"/>
            <w:bottom w:val="none" w:sz="0" w:space="0" w:color="auto"/>
            <w:right w:val="none" w:sz="0" w:space="0" w:color="auto"/>
          </w:divBdr>
        </w:div>
        <w:div w:id="1671367660">
          <w:marLeft w:val="0"/>
          <w:marRight w:val="0"/>
          <w:marTop w:val="0"/>
          <w:marBottom w:val="0"/>
          <w:divBdr>
            <w:top w:val="none" w:sz="0" w:space="0" w:color="auto"/>
            <w:left w:val="none" w:sz="0" w:space="0" w:color="auto"/>
            <w:bottom w:val="none" w:sz="0" w:space="0" w:color="auto"/>
            <w:right w:val="none" w:sz="0" w:space="0" w:color="auto"/>
          </w:divBdr>
        </w:div>
        <w:div w:id="1970864729">
          <w:marLeft w:val="0"/>
          <w:marRight w:val="0"/>
          <w:marTop w:val="0"/>
          <w:marBottom w:val="0"/>
          <w:divBdr>
            <w:top w:val="none" w:sz="0" w:space="0" w:color="auto"/>
            <w:left w:val="none" w:sz="0" w:space="0" w:color="auto"/>
            <w:bottom w:val="none" w:sz="0" w:space="0" w:color="auto"/>
            <w:right w:val="none" w:sz="0" w:space="0" w:color="auto"/>
          </w:divBdr>
        </w:div>
        <w:div w:id="294995661">
          <w:marLeft w:val="0"/>
          <w:marRight w:val="0"/>
          <w:marTop w:val="0"/>
          <w:marBottom w:val="0"/>
          <w:divBdr>
            <w:top w:val="none" w:sz="0" w:space="0" w:color="auto"/>
            <w:left w:val="none" w:sz="0" w:space="0" w:color="auto"/>
            <w:bottom w:val="none" w:sz="0" w:space="0" w:color="auto"/>
            <w:right w:val="none" w:sz="0" w:space="0" w:color="auto"/>
          </w:divBdr>
        </w:div>
        <w:div w:id="1353067140">
          <w:marLeft w:val="0"/>
          <w:marRight w:val="0"/>
          <w:marTop w:val="0"/>
          <w:marBottom w:val="0"/>
          <w:divBdr>
            <w:top w:val="none" w:sz="0" w:space="0" w:color="auto"/>
            <w:left w:val="none" w:sz="0" w:space="0" w:color="auto"/>
            <w:bottom w:val="none" w:sz="0" w:space="0" w:color="auto"/>
            <w:right w:val="none" w:sz="0" w:space="0" w:color="auto"/>
          </w:divBdr>
        </w:div>
        <w:div w:id="641430037">
          <w:marLeft w:val="0"/>
          <w:marRight w:val="0"/>
          <w:marTop w:val="0"/>
          <w:marBottom w:val="0"/>
          <w:divBdr>
            <w:top w:val="none" w:sz="0" w:space="0" w:color="auto"/>
            <w:left w:val="none" w:sz="0" w:space="0" w:color="auto"/>
            <w:bottom w:val="none" w:sz="0" w:space="0" w:color="auto"/>
            <w:right w:val="none" w:sz="0" w:space="0" w:color="auto"/>
          </w:divBdr>
        </w:div>
        <w:div w:id="744231754">
          <w:marLeft w:val="0"/>
          <w:marRight w:val="0"/>
          <w:marTop w:val="0"/>
          <w:marBottom w:val="0"/>
          <w:divBdr>
            <w:top w:val="none" w:sz="0" w:space="0" w:color="auto"/>
            <w:left w:val="none" w:sz="0" w:space="0" w:color="auto"/>
            <w:bottom w:val="none" w:sz="0" w:space="0" w:color="auto"/>
            <w:right w:val="none" w:sz="0" w:space="0" w:color="auto"/>
          </w:divBdr>
        </w:div>
        <w:div w:id="111750698">
          <w:marLeft w:val="0"/>
          <w:marRight w:val="0"/>
          <w:marTop w:val="0"/>
          <w:marBottom w:val="0"/>
          <w:divBdr>
            <w:top w:val="none" w:sz="0" w:space="0" w:color="auto"/>
            <w:left w:val="none" w:sz="0" w:space="0" w:color="auto"/>
            <w:bottom w:val="none" w:sz="0" w:space="0" w:color="auto"/>
            <w:right w:val="none" w:sz="0" w:space="0" w:color="auto"/>
          </w:divBdr>
        </w:div>
        <w:div w:id="569385529">
          <w:marLeft w:val="0"/>
          <w:marRight w:val="0"/>
          <w:marTop w:val="0"/>
          <w:marBottom w:val="0"/>
          <w:divBdr>
            <w:top w:val="none" w:sz="0" w:space="0" w:color="auto"/>
            <w:left w:val="none" w:sz="0" w:space="0" w:color="auto"/>
            <w:bottom w:val="none" w:sz="0" w:space="0" w:color="auto"/>
            <w:right w:val="none" w:sz="0" w:space="0" w:color="auto"/>
          </w:divBdr>
        </w:div>
        <w:div w:id="1805194495">
          <w:marLeft w:val="0"/>
          <w:marRight w:val="0"/>
          <w:marTop w:val="0"/>
          <w:marBottom w:val="0"/>
          <w:divBdr>
            <w:top w:val="none" w:sz="0" w:space="0" w:color="auto"/>
            <w:left w:val="none" w:sz="0" w:space="0" w:color="auto"/>
            <w:bottom w:val="none" w:sz="0" w:space="0" w:color="auto"/>
            <w:right w:val="none" w:sz="0" w:space="0" w:color="auto"/>
          </w:divBdr>
        </w:div>
        <w:div w:id="401677894">
          <w:marLeft w:val="0"/>
          <w:marRight w:val="0"/>
          <w:marTop w:val="0"/>
          <w:marBottom w:val="0"/>
          <w:divBdr>
            <w:top w:val="none" w:sz="0" w:space="0" w:color="auto"/>
            <w:left w:val="none" w:sz="0" w:space="0" w:color="auto"/>
            <w:bottom w:val="none" w:sz="0" w:space="0" w:color="auto"/>
            <w:right w:val="none" w:sz="0" w:space="0" w:color="auto"/>
          </w:divBdr>
        </w:div>
        <w:div w:id="1789541284">
          <w:marLeft w:val="0"/>
          <w:marRight w:val="0"/>
          <w:marTop w:val="0"/>
          <w:marBottom w:val="0"/>
          <w:divBdr>
            <w:top w:val="none" w:sz="0" w:space="0" w:color="auto"/>
            <w:left w:val="none" w:sz="0" w:space="0" w:color="auto"/>
            <w:bottom w:val="none" w:sz="0" w:space="0" w:color="auto"/>
            <w:right w:val="none" w:sz="0" w:space="0" w:color="auto"/>
          </w:divBdr>
        </w:div>
        <w:div w:id="452022016">
          <w:marLeft w:val="0"/>
          <w:marRight w:val="0"/>
          <w:marTop w:val="0"/>
          <w:marBottom w:val="0"/>
          <w:divBdr>
            <w:top w:val="none" w:sz="0" w:space="0" w:color="auto"/>
            <w:left w:val="none" w:sz="0" w:space="0" w:color="auto"/>
            <w:bottom w:val="none" w:sz="0" w:space="0" w:color="auto"/>
            <w:right w:val="none" w:sz="0" w:space="0" w:color="auto"/>
          </w:divBdr>
        </w:div>
        <w:div w:id="1444610967">
          <w:marLeft w:val="0"/>
          <w:marRight w:val="0"/>
          <w:marTop w:val="0"/>
          <w:marBottom w:val="0"/>
          <w:divBdr>
            <w:top w:val="none" w:sz="0" w:space="0" w:color="auto"/>
            <w:left w:val="none" w:sz="0" w:space="0" w:color="auto"/>
            <w:bottom w:val="none" w:sz="0" w:space="0" w:color="auto"/>
            <w:right w:val="none" w:sz="0" w:space="0" w:color="auto"/>
          </w:divBdr>
        </w:div>
        <w:div w:id="1215847787">
          <w:marLeft w:val="0"/>
          <w:marRight w:val="0"/>
          <w:marTop w:val="0"/>
          <w:marBottom w:val="0"/>
          <w:divBdr>
            <w:top w:val="none" w:sz="0" w:space="0" w:color="auto"/>
            <w:left w:val="none" w:sz="0" w:space="0" w:color="auto"/>
            <w:bottom w:val="none" w:sz="0" w:space="0" w:color="auto"/>
            <w:right w:val="none" w:sz="0" w:space="0" w:color="auto"/>
          </w:divBdr>
        </w:div>
        <w:div w:id="2044746623">
          <w:marLeft w:val="0"/>
          <w:marRight w:val="0"/>
          <w:marTop w:val="0"/>
          <w:marBottom w:val="0"/>
          <w:divBdr>
            <w:top w:val="none" w:sz="0" w:space="0" w:color="auto"/>
            <w:left w:val="none" w:sz="0" w:space="0" w:color="auto"/>
            <w:bottom w:val="none" w:sz="0" w:space="0" w:color="auto"/>
            <w:right w:val="none" w:sz="0" w:space="0" w:color="auto"/>
          </w:divBdr>
        </w:div>
        <w:div w:id="1227885881">
          <w:marLeft w:val="0"/>
          <w:marRight w:val="0"/>
          <w:marTop w:val="0"/>
          <w:marBottom w:val="0"/>
          <w:divBdr>
            <w:top w:val="none" w:sz="0" w:space="0" w:color="auto"/>
            <w:left w:val="none" w:sz="0" w:space="0" w:color="auto"/>
            <w:bottom w:val="none" w:sz="0" w:space="0" w:color="auto"/>
            <w:right w:val="none" w:sz="0" w:space="0" w:color="auto"/>
          </w:divBdr>
        </w:div>
        <w:div w:id="1438481826">
          <w:marLeft w:val="0"/>
          <w:marRight w:val="0"/>
          <w:marTop w:val="0"/>
          <w:marBottom w:val="0"/>
          <w:divBdr>
            <w:top w:val="none" w:sz="0" w:space="0" w:color="auto"/>
            <w:left w:val="none" w:sz="0" w:space="0" w:color="auto"/>
            <w:bottom w:val="none" w:sz="0" w:space="0" w:color="auto"/>
            <w:right w:val="none" w:sz="0" w:space="0" w:color="auto"/>
          </w:divBdr>
        </w:div>
        <w:div w:id="1304887630">
          <w:marLeft w:val="0"/>
          <w:marRight w:val="0"/>
          <w:marTop w:val="0"/>
          <w:marBottom w:val="0"/>
          <w:divBdr>
            <w:top w:val="none" w:sz="0" w:space="0" w:color="auto"/>
            <w:left w:val="none" w:sz="0" w:space="0" w:color="auto"/>
            <w:bottom w:val="none" w:sz="0" w:space="0" w:color="auto"/>
            <w:right w:val="none" w:sz="0" w:space="0" w:color="auto"/>
          </w:divBdr>
        </w:div>
        <w:div w:id="77530477">
          <w:marLeft w:val="0"/>
          <w:marRight w:val="0"/>
          <w:marTop w:val="0"/>
          <w:marBottom w:val="0"/>
          <w:divBdr>
            <w:top w:val="none" w:sz="0" w:space="0" w:color="auto"/>
            <w:left w:val="none" w:sz="0" w:space="0" w:color="auto"/>
            <w:bottom w:val="none" w:sz="0" w:space="0" w:color="auto"/>
            <w:right w:val="none" w:sz="0" w:space="0" w:color="auto"/>
          </w:divBdr>
        </w:div>
        <w:div w:id="711228485">
          <w:marLeft w:val="0"/>
          <w:marRight w:val="0"/>
          <w:marTop w:val="0"/>
          <w:marBottom w:val="0"/>
          <w:divBdr>
            <w:top w:val="none" w:sz="0" w:space="0" w:color="auto"/>
            <w:left w:val="none" w:sz="0" w:space="0" w:color="auto"/>
            <w:bottom w:val="none" w:sz="0" w:space="0" w:color="auto"/>
            <w:right w:val="none" w:sz="0" w:space="0" w:color="auto"/>
          </w:divBdr>
        </w:div>
        <w:div w:id="371922402">
          <w:marLeft w:val="0"/>
          <w:marRight w:val="0"/>
          <w:marTop w:val="0"/>
          <w:marBottom w:val="0"/>
          <w:divBdr>
            <w:top w:val="none" w:sz="0" w:space="0" w:color="auto"/>
            <w:left w:val="none" w:sz="0" w:space="0" w:color="auto"/>
            <w:bottom w:val="none" w:sz="0" w:space="0" w:color="auto"/>
            <w:right w:val="none" w:sz="0" w:space="0" w:color="auto"/>
          </w:divBdr>
        </w:div>
      </w:divsChild>
    </w:div>
    <w:div w:id="317660463">
      <w:bodyDiv w:val="1"/>
      <w:marLeft w:val="0"/>
      <w:marRight w:val="0"/>
      <w:marTop w:val="0"/>
      <w:marBottom w:val="0"/>
      <w:divBdr>
        <w:top w:val="none" w:sz="0" w:space="0" w:color="auto"/>
        <w:left w:val="none" w:sz="0" w:space="0" w:color="auto"/>
        <w:bottom w:val="none" w:sz="0" w:space="0" w:color="auto"/>
        <w:right w:val="none" w:sz="0" w:space="0" w:color="auto"/>
      </w:divBdr>
      <w:divsChild>
        <w:div w:id="1632662717">
          <w:marLeft w:val="0"/>
          <w:marRight w:val="0"/>
          <w:marTop w:val="0"/>
          <w:marBottom w:val="0"/>
          <w:divBdr>
            <w:top w:val="none" w:sz="0" w:space="0" w:color="auto"/>
            <w:left w:val="none" w:sz="0" w:space="0" w:color="auto"/>
            <w:bottom w:val="none" w:sz="0" w:space="0" w:color="auto"/>
            <w:right w:val="none" w:sz="0" w:space="0" w:color="auto"/>
          </w:divBdr>
          <w:divsChild>
            <w:div w:id="1744376025">
              <w:marLeft w:val="0"/>
              <w:marRight w:val="0"/>
              <w:marTop w:val="0"/>
              <w:marBottom w:val="0"/>
              <w:divBdr>
                <w:top w:val="none" w:sz="0" w:space="0" w:color="auto"/>
                <w:left w:val="none" w:sz="0" w:space="0" w:color="auto"/>
                <w:bottom w:val="none" w:sz="0" w:space="0" w:color="auto"/>
                <w:right w:val="none" w:sz="0" w:space="0" w:color="auto"/>
              </w:divBdr>
            </w:div>
            <w:div w:id="1846748807">
              <w:marLeft w:val="0"/>
              <w:marRight w:val="0"/>
              <w:marTop w:val="0"/>
              <w:marBottom w:val="0"/>
              <w:divBdr>
                <w:top w:val="none" w:sz="0" w:space="0" w:color="auto"/>
                <w:left w:val="none" w:sz="0" w:space="0" w:color="auto"/>
                <w:bottom w:val="none" w:sz="0" w:space="0" w:color="auto"/>
                <w:right w:val="none" w:sz="0" w:space="0" w:color="auto"/>
              </w:divBdr>
            </w:div>
            <w:div w:id="459761573">
              <w:marLeft w:val="0"/>
              <w:marRight w:val="0"/>
              <w:marTop w:val="0"/>
              <w:marBottom w:val="0"/>
              <w:divBdr>
                <w:top w:val="none" w:sz="0" w:space="0" w:color="auto"/>
                <w:left w:val="none" w:sz="0" w:space="0" w:color="auto"/>
                <w:bottom w:val="none" w:sz="0" w:space="0" w:color="auto"/>
                <w:right w:val="none" w:sz="0" w:space="0" w:color="auto"/>
              </w:divBdr>
            </w:div>
            <w:div w:id="954294602">
              <w:marLeft w:val="0"/>
              <w:marRight w:val="0"/>
              <w:marTop w:val="0"/>
              <w:marBottom w:val="0"/>
              <w:divBdr>
                <w:top w:val="none" w:sz="0" w:space="0" w:color="auto"/>
                <w:left w:val="none" w:sz="0" w:space="0" w:color="auto"/>
                <w:bottom w:val="none" w:sz="0" w:space="0" w:color="auto"/>
                <w:right w:val="none" w:sz="0" w:space="0" w:color="auto"/>
              </w:divBdr>
            </w:div>
            <w:div w:id="2172189">
              <w:marLeft w:val="0"/>
              <w:marRight w:val="0"/>
              <w:marTop w:val="0"/>
              <w:marBottom w:val="0"/>
              <w:divBdr>
                <w:top w:val="none" w:sz="0" w:space="0" w:color="auto"/>
                <w:left w:val="none" w:sz="0" w:space="0" w:color="auto"/>
                <w:bottom w:val="none" w:sz="0" w:space="0" w:color="auto"/>
                <w:right w:val="none" w:sz="0" w:space="0" w:color="auto"/>
              </w:divBdr>
            </w:div>
            <w:div w:id="149337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10842">
      <w:bodyDiv w:val="1"/>
      <w:marLeft w:val="0"/>
      <w:marRight w:val="0"/>
      <w:marTop w:val="0"/>
      <w:marBottom w:val="0"/>
      <w:divBdr>
        <w:top w:val="none" w:sz="0" w:space="0" w:color="auto"/>
        <w:left w:val="none" w:sz="0" w:space="0" w:color="auto"/>
        <w:bottom w:val="none" w:sz="0" w:space="0" w:color="auto"/>
        <w:right w:val="none" w:sz="0" w:space="0" w:color="auto"/>
      </w:divBdr>
      <w:divsChild>
        <w:div w:id="1958173547">
          <w:marLeft w:val="0"/>
          <w:marRight w:val="0"/>
          <w:marTop w:val="0"/>
          <w:marBottom w:val="0"/>
          <w:divBdr>
            <w:top w:val="none" w:sz="0" w:space="0" w:color="auto"/>
            <w:left w:val="none" w:sz="0" w:space="0" w:color="auto"/>
            <w:bottom w:val="none" w:sz="0" w:space="0" w:color="auto"/>
            <w:right w:val="none" w:sz="0" w:space="0" w:color="auto"/>
          </w:divBdr>
          <w:divsChild>
            <w:div w:id="642546667">
              <w:marLeft w:val="0"/>
              <w:marRight w:val="0"/>
              <w:marTop w:val="0"/>
              <w:marBottom w:val="0"/>
              <w:divBdr>
                <w:top w:val="none" w:sz="0" w:space="0" w:color="auto"/>
                <w:left w:val="none" w:sz="0" w:space="0" w:color="auto"/>
                <w:bottom w:val="none" w:sz="0" w:space="0" w:color="auto"/>
                <w:right w:val="none" w:sz="0" w:space="0" w:color="auto"/>
              </w:divBdr>
            </w:div>
            <w:div w:id="55594557">
              <w:marLeft w:val="0"/>
              <w:marRight w:val="0"/>
              <w:marTop w:val="0"/>
              <w:marBottom w:val="0"/>
              <w:divBdr>
                <w:top w:val="none" w:sz="0" w:space="0" w:color="auto"/>
                <w:left w:val="none" w:sz="0" w:space="0" w:color="auto"/>
                <w:bottom w:val="none" w:sz="0" w:space="0" w:color="auto"/>
                <w:right w:val="none" w:sz="0" w:space="0" w:color="auto"/>
              </w:divBdr>
            </w:div>
            <w:div w:id="56892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221214">
      <w:bodyDiv w:val="1"/>
      <w:marLeft w:val="0"/>
      <w:marRight w:val="0"/>
      <w:marTop w:val="0"/>
      <w:marBottom w:val="0"/>
      <w:divBdr>
        <w:top w:val="none" w:sz="0" w:space="0" w:color="auto"/>
        <w:left w:val="none" w:sz="0" w:space="0" w:color="auto"/>
        <w:bottom w:val="none" w:sz="0" w:space="0" w:color="auto"/>
        <w:right w:val="none" w:sz="0" w:space="0" w:color="auto"/>
      </w:divBdr>
    </w:div>
    <w:div w:id="1001935304">
      <w:bodyDiv w:val="1"/>
      <w:marLeft w:val="0"/>
      <w:marRight w:val="0"/>
      <w:marTop w:val="0"/>
      <w:marBottom w:val="0"/>
      <w:divBdr>
        <w:top w:val="none" w:sz="0" w:space="0" w:color="auto"/>
        <w:left w:val="none" w:sz="0" w:space="0" w:color="auto"/>
        <w:bottom w:val="none" w:sz="0" w:space="0" w:color="auto"/>
        <w:right w:val="none" w:sz="0" w:space="0" w:color="auto"/>
      </w:divBdr>
      <w:divsChild>
        <w:div w:id="2004238889">
          <w:marLeft w:val="0"/>
          <w:marRight w:val="0"/>
          <w:marTop w:val="0"/>
          <w:marBottom w:val="0"/>
          <w:divBdr>
            <w:top w:val="none" w:sz="0" w:space="0" w:color="auto"/>
            <w:left w:val="none" w:sz="0" w:space="0" w:color="auto"/>
            <w:bottom w:val="none" w:sz="0" w:space="0" w:color="auto"/>
            <w:right w:val="none" w:sz="0" w:space="0" w:color="auto"/>
          </w:divBdr>
        </w:div>
      </w:divsChild>
    </w:div>
    <w:div w:id="1390299423">
      <w:bodyDiv w:val="1"/>
      <w:marLeft w:val="0"/>
      <w:marRight w:val="0"/>
      <w:marTop w:val="0"/>
      <w:marBottom w:val="0"/>
      <w:divBdr>
        <w:top w:val="none" w:sz="0" w:space="0" w:color="auto"/>
        <w:left w:val="none" w:sz="0" w:space="0" w:color="auto"/>
        <w:bottom w:val="none" w:sz="0" w:space="0" w:color="auto"/>
        <w:right w:val="none" w:sz="0" w:space="0" w:color="auto"/>
      </w:divBdr>
    </w:div>
    <w:div w:id="1584413783">
      <w:bodyDiv w:val="1"/>
      <w:marLeft w:val="0"/>
      <w:marRight w:val="0"/>
      <w:marTop w:val="0"/>
      <w:marBottom w:val="0"/>
      <w:divBdr>
        <w:top w:val="none" w:sz="0" w:space="0" w:color="auto"/>
        <w:left w:val="none" w:sz="0" w:space="0" w:color="auto"/>
        <w:bottom w:val="none" w:sz="0" w:space="0" w:color="auto"/>
        <w:right w:val="none" w:sz="0" w:space="0" w:color="auto"/>
      </w:divBdr>
      <w:divsChild>
        <w:div w:id="1565873673">
          <w:marLeft w:val="0"/>
          <w:marRight w:val="0"/>
          <w:marTop w:val="0"/>
          <w:marBottom w:val="0"/>
          <w:divBdr>
            <w:top w:val="none" w:sz="0" w:space="0" w:color="auto"/>
            <w:left w:val="none" w:sz="0" w:space="0" w:color="auto"/>
            <w:bottom w:val="none" w:sz="0" w:space="0" w:color="auto"/>
            <w:right w:val="none" w:sz="0" w:space="0" w:color="auto"/>
          </w:divBdr>
        </w:div>
        <w:div w:id="1079447020">
          <w:marLeft w:val="0"/>
          <w:marRight w:val="0"/>
          <w:marTop w:val="0"/>
          <w:marBottom w:val="0"/>
          <w:divBdr>
            <w:top w:val="none" w:sz="0" w:space="0" w:color="auto"/>
            <w:left w:val="none" w:sz="0" w:space="0" w:color="auto"/>
            <w:bottom w:val="none" w:sz="0" w:space="0" w:color="auto"/>
            <w:right w:val="none" w:sz="0" w:space="0" w:color="auto"/>
          </w:divBdr>
        </w:div>
        <w:div w:id="696279353">
          <w:marLeft w:val="0"/>
          <w:marRight w:val="0"/>
          <w:marTop w:val="0"/>
          <w:marBottom w:val="0"/>
          <w:divBdr>
            <w:top w:val="none" w:sz="0" w:space="0" w:color="auto"/>
            <w:left w:val="none" w:sz="0" w:space="0" w:color="auto"/>
            <w:bottom w:val="none" w:sz="0" w:space="0" w:color="auto"/>
            <w:right w:val="none" w:sz="0" w:space="0" w:color="auto"/>
          </w:divBdr>
        </w:div>
        <w:div w:id="2006977567">
          <w:marLeft w:val="0"/>
          <w:marRight w:val="0"/>
          <w:marTop w:val="0"/>
          <w:marBottom w:val="0"/>
          <w:divBdr>
            <w:top w:val="none" w:sz="0" w:space="0" w:color="auto"/>
            <w:left w:val="none" w:sz="0" w:space="0" w:color="auto"/>
            <w:bottom w:val="none" w:sz="0" w:space="0" w:color="auto"/>
            <w:right w:val="none" w:sz="0" w:space="0" w:color="auto"/>
          </w:divBdr>
        </w:div>
        <w:div w:id="329456278">
          <w:marLeft w:val="0"/>
          <w:marRight w:val="0"/>
          <w:marTop w:val="0"/>
          <w:marBottom w:val="0"/>
          <w:divBdr>
            <w:top w:val="none" w:sz="0" w:space="0" w:color="auto"/>
            <w:left w:val="none" w:sz="0" w:space="0" w:color="auto"/>
            <w:bottom w:val="none" w:sz="0" w:space="0" w:color="auto"/>
            <w:right w:val="none" w:sz="0" w:space="0" w:color="auto"/>
          </w:divBdr>
        </w:div>
        <w:div w:id="29654033">
          <w:marLeft w:val="0"/>
          <w:marRight w:val="0"/>
          <w:marTop w:val="0"/>
          <w:marBottom w:val="0"/>
          <w:divBdr>
            <w:top w:val="none" w:sz="0" w:space="0" w:color="auto"/>
            <w:left w:val="none" w:sz="0" w:space="0" w:color="auto"/>
            <w:bottom w:val="none" w:sz="0" w:space="0" w:color="auto"/>
            <w:right w:val="none" w:sz="0" w:space="0" w:color="auto"/>
          </w:divBdr>
        </w:div>
        <w:div w:id="990519539">
          <w:marLeft w:val="0"/>
          <w:marRight w:val="0"/>
          <w:marTop w:val="0"/>
          <w:marBottom w:val="0"/>
          <w:divBdr>
            <w:top w:val="none" w:sz="0" w:space="0" w:color="auto"/>
            <w:left w:val="none" w:sz="0" w:space="0" w:color="auto"/>
            <w:bottom w:val="none" w:sz="0" w:space="0" w:color="auto"/>
            <w:right w:val="none" w:sz="0" w:space="0" w:color="auto"/>
          </w:divBdr>
        </w:div>
        <w:div w:id="571745161">
          <w:marLeft w:val="0"/>
          <w:marRight w:val="0"/>
          <w:marTop w:val="0"/>
          <w:marBottom w:val="0"/>
          <w:divBdr>
            <w:top w:val="none" w:sz="0" w:space="0" w:color="auto"/>
            <w:left w:val="none" w:sz="0" w:space="0" w:color="auto"/>
            <w:bottom w:val="none" w:sz="0" w:space="0" w:color="auto"/>
            <w:right w:val="none" w:sz="0" w:space="0" w:color="auto"/>
          </w:divBdr>
        </w:div>
        <w:div w:id="1276248711">
          <w:marLeft w:val="0"/>
          <w:marRight w:val="0"/>
          <w:marTop w:val="0"/>
          <w:marBottom w:val="0"/>
          <w:divBdr>
            <w:top w:val="none" w:sz="0" w:space="0" w:color="auto"/>
            <w:left w:val="none" w:sz="0" w:space="0" w:color="auto"/>
            <w:bottom w:val="none" w:sz="0" w:space="0" w:color="auto"/>
            <w:right w:val="none" w:sz="0" w:space="0" w:color="auto"/>
          </w:divBdr>
        </w:div>
        <w:div w:id="185952580">
          <w:marLeft w:val="0"/>
          <w:marRight w:val="0"/>
          <w:marTop w:val="0"/>
          <w:marBottom w:val="0"/>
          <w:divBdr>
            <w:top w:val="none" w:sz="0" w:space="0" w:color="auto"/>
            <w:left w:val="none" w:sz="0" w:space="0" w:color="auto"/>
            <w:bottom w:val="none" w:sz="0" w:space="0" w:color="auto"/>
            <w:right w:val="none" w:sz="0" w:space="0" w:color="auto"/>
          </w:divBdr>
        </w:div>
        <w:div w:id="271137252">
          <w:marLeft w:val="0"/>
          <w:marRight w:val="0"/>
          <w:marTop w:val="0"/>
          <w:marBottom w:val="0"/>
          <w:divBdr>
            <w:top w:val="none" w:sz="0" w:space="0" w:color="auto"/>
            <w:left w:val="none" w:sz="0" w:space="0" w:color="auto"/>
            <w:bottom w:val="none" w:sz="0" w:space="0" w:color="auto"/>
            <w:right w:val="none" w:sz="0" w:space="0" w:color="auto"/>
          </w:divBdr>
        </w:div>
        <w:div w:id="148251410">
          <w:marLeft w:val="0"/>
          <w:marRight w:val="0"/>
          <w:marTop w:val="0"/>
          <w:marBottom w:val="0"/>
          <w:divBdr>
            <w:top w:val="none" w:sz="0" w:space="0" w:color="auto"/>
            <w:left w:val="none" w:sz="0" w:space="0" w:color="auto"/>
            <w:bottom w:val="none" w:sz="0" w:space="0" w:color="auto"/>
            <w:right w:val="none" w:sz="0" w:space="0" w:color="auto"/>
          </w:divBdr>
        </w:div>
        <w:div w:id="230967505">
          <w:marLeft w:val="0"/>
          <w:marRight w:val="0"/>
          <w:marTop w:val="0"/>
          <w:marBottom w:val="0"/>
          <w:divBdr>
            <w:top w:val="none" w:sz="0" w:space="0" w:color="auto"/>
            <w:left w:val="none" w:sz="0" w:space="0" w:color="auto"/>
            <w:bottom w:val="none" w:sz="0" w:space="0" w:color="auto"/>
            <w:right w:val="none" w:sz="0" w:space="0" w:color="auto"/>
          </w:divBdr>
        </w:div>
        <w:div w:id="531957713">
          <w:marLeft w:val="0"/>
          <w:marRight w:val="0"/>
          <w:marTop w:val="0"/>
          <w:marBottom w:val="0"/>
          <w:divBdr>
            <w:top w:val="none" w:sz="0" w:space="0" w:color="auto"/>
            <w:left w:val="none" w:sz="0" w:space="0" w:color="auto"/>
            <w:bottom w:val="none" w:sz="0" w:space="0" w:color="auto"/>
            <w:right w:val="none" w:sz="0" w:space="0" w:color="auto"/>
          </w:divBdr>
        </w:div>
        <w:div w:id="1757551062">
          <w:marLeft w:val="0"/>
          <w:marRight w:val="0"/>
          <w:marTop w:val="0"/>
          <w:marBottom w:val="0"/>
          <w:divBdr>
            <w:top w:val="none" w:sz="0" w:space="0" w:color="auto"/>
            <w:left w:val="none" w:sz="0" w:space="0" w:color="auto"/>
            <w:bottom w:val="none" w:sz="0" w:space="0" w:color="auto"/>
            <w:right w:val="none" w:sz="0" w:space="0" w:color="auto"/>
          </w:divBdr>
        </w:div>
        <w:div w:id="1076166859">
          <w:marLeft w:val="0"/>
          <w:marRight w:val="0"/>
          <w:marTop w:val="0"/>
          <w:marBottom w:val="0"/>
          <w:divBdr>
            <w:top w:val="none" w:sz="0" w:space="0" w:color="auto"/>
            <w:left w:val="none" w:sz="0" w:space="0" w:color="auto"/>
            <w:bottom w:val="none" w:sz="0" w:space="0" w:color="auto"/>
            <w:right w:val="none" w:sz="0" w:space="0" w:color="auto"/>
          </w:divBdr>
        </w:div>
        <w:div w:id="1649894675">
          <w:marLeft w:val="0"/>
          <w:marRight w:val="0"/>
          <w:marTop w:val="0"/>
          <w:marBottom w:val="0"/>
          <w:divBdr>
            <w:top w:val="none" w:sz="0" w:space="0" w:color="auto"/>
            <w:left w:val="none" w:sz="0" w:space="0" w:color="auto"/>
            <w:bottom w:val="none" w:sz="0" w:space="0" w:color="auto"/>
            <w:right w:val="none" w:sz="0" w:space="0" w:color="auto"/>
          </w:divBdr>
        </w:div>
        <w:div w:id="1005208756">
          <w:marLeft w:val="0"/>
          <w:marRight w:val="0"/>
          <w:marTop w:val="0"/>
          <w:marBottom w:val="0"/>
          <w:divBdr>
            <w:top w:val="none" w:sz="0" w:space="0" w:color="auto"/>
            <w:left w:val="none" w:sz="0" w:space="0" w:color="auto"/>
            <w:bottom w:val="none" w:sz="0" w:space="0" w:color="auto"/>
            <w:right w:val="none" w:sz="0" w:space="0" w:color="auto"/>
          </w:divBdr>
        </w:div>
        <w:div w:id="1192062817">
          <w:marLeft w:val="0"/>
          <w:marRight w:val="0"/>
          <w:marTop w:val="0"/>
          <w:marBottom w:val="0"/>
          <w:divBdr>
            <w:top w:val="none" w:sz="0" w:space="0" w:color="auto"/>
            <w:left w:val="none" w:sz="0" w:space="0" w:color="auto"/>
            <w:bottom w:val="none" w:sz="0" w:space="0" w:color="auto"/>
            <w:right w:val="none" w:sz="0" w:space="0" w:color="auto"/>
          </w:divBdr>
        </w:div>
        <w:div w:id="127407445">
          <w:marLeft w:val="0"/>
          <w:marRight w:val="0"/>
          <w:marTop w:val="0"/>
          <w:marBottom w:val="0"/>
          <w:divBdr>
            <w:top w:val="none" w:sz="0" w:space="0" w:color="auto"/>
            <w:left w:val="none" w:sz="0" w:space="0" w:color="auto"/>
            <w:bottom w:val="none" w:sz="0" w:space="0" w:color="auto"/>
            <w:right w:val="none" w:sz="0" w:space="0" w:color="auto"/>
          </w:divBdr>
        </w:div>
        <w:div w:id="1791705105">
          <w:marLeft w:val="0"/>
          <w:marRight w:val="0"/>
          <w:marTop w:val="0"/>
          <w:marBottom w:val="0"/>
          <w:divBdr>
            <w:top w:val="none" w:sz="0" w:space="0" w:color="auto"/>
            <w:left w:val="none" w:sz="0" w:space="0" w:color="auto"/>
            <w:bottom w:val="none" w:sz="0" w:space="0" w:color="auto"/>
            <w:right w:val="none" w:sz="0" w:space="0" w:color="auto"/>
          </w:divBdr>
        </w:div>
        <w:div w:id="1814366761">
          <w:marLeft w:val="0"/>
          <w:marRight w:val="0"/>
          <w:marTop w:val="0"/>
          <w:marBottom w:val="0"/>
          <w:divBdr>
            <w:top w:val="none" w:sz="0" w:space="0" w:color="auto"/>
            <w:left w:val="none" w:sz="0" w:space="0" w:color="auto"/>
            <w:bottom w:val="none" w:sz="0" w:space="0" w:color="auto"/>
            <w:right w:val="none" w:sz="0" w:space="0" w:color="auto"/>
          </w:divBdr>
        </w:div>
        <w:div w:id="1675449239">
          <w:marLeft w:val="0"/>
          <w:marRight w:val="0"/>
          <w:marTop w:val="0"/>
          <w:marBottom w:val="0"/>
          <w:divBdr>
            <w:top w:val="none" w:sz="0" w:space="0" w:color="auto"/>
            <w:left w:val="none" w:sz="0" w:space="0" w:color="auto"/>
            <w:bottom w:val="none" w:sz="0" w:space="0" w:color="auto"/>
            <w:right w:val="none" w:sz="0" w:space="0" w:color="auto"/>
          </w:divBdr>
        </w:div>
        <w:div w:id="2021658110">
          <w:marLeft w:val="0"/>
          <w:marRight w:val="0"/>
          <w:marTop w:val="0"/>
          <w:marBottom w:val="0"/>
          <w:divBdr>
            <w:top w:val="none" w:sz="0" w:space="0" w:color="auto"/>
            <w:left w:val="none" w:sz="0" w:space="0" w:color="auto"/>
            <w:bottom w:val="none" w:sz="0" w:space="0" w:color="auto"/>
            <w:right w:val="none" w:sz="0" w:space="0" w:color="auto"/>
          </w:divBdr>
        </w:div>
        <w:div w:id="1722556122">
          <w:marLeft w:val="0"/>
          <w:marRight w:val="0"/>
          <w:marTop w:val="0"/>
          <w:marBottom w:val="0"/>
          <w:divBdr>
            <w:top w:val="none" w:sz="0" w:space="0" w:color="auto"/>
            <w:left w:val="none" w:sz="0" w:space="0" w:color="auto"/>
            <w:bottom w:val="none" w:sz="0" w:space="0" w:color="auto"/>
            <w:right w:val="none" w:sz="0" w:space="0" w:color="auto"/>
          </w:divBdr>
        </w:div>
        <w:div w:id="524095315">
          <w:marLeft w:val="0"/>
          <w:marRight w:val="0"/>
          <w:marTop w:val="0"/>
          <w:marBottom w:val="0"/>
          <w:divBdr>
            <w:top w:val="none" w:sz="0" w:space="0" w:color="auto"/>
            <w:left w:val="none" w:sz="0" w:space="0" w:color="auto"/>
            <w:bottom w:val="none" w:sz="0" w:space="0" w:color="auto"/>
            <w:right w:val="none" w:sz="0" w:space="0" w:color="auto"/>
          </w:divBdr>
        </w:div>
        <w:div w:id="2012564103">
          <w:marLeft w:val="0"/>
          <w:marRight w:val="0"/>
          <w:marTop w:val="0"/>
          <w:marBottom w:val="0"/>
          <w:divBdr>
            <w:top w:val="none" w:sz="0" w:space="0" w:color="auto"/>
            <w:left w:val="none" w:sz="0" w:space="0" w:color="auto"/>
            <w:bottom w:val="none" w:sz="0" w:space="0" w:color="auto"/>
            <w:right w:val="none" w:sz="0" w:space="0" w:color="auto"/>
          </w:divBdr>
        </w:div>
        <w:div w:id="756826822">
          <w:marLeft w:val="0"/>
          <w:marRight w:val="0"/>
          <w:marTop w:val="0"/>
          <w:marBottom w:val="0"/>
          <w:divBdr>
            <w:top w:val="none" w:sz="0" w:space="0" w:color="auto"/>
            <w:left w:val="none" w:sz="0" w:space="0" w:color="auto"/>
            <w:bottom w:val="none" w:sz="0" w:space="0" w:color="auto"/>
            <w:right w:val="none" w:sz="0" w:space="0" w:color="auto"/>
          </w:divBdr>
        </w:div>
        <w:div w:id="1300721818">
          <w:marLeft w:val="0"/>
          <w:marRight w:val="0"/>
          <w:marTop w:val="0"/>
          <w:marBottom w:val="0"/>
          <w:divBdr>
            <w:top w:val="none" w:sz="0" w:space="0" w:color="auto"/>
            <w:left w:val="none" w:sz="0" w:space="0" w:color="auto"/>
            <w:bottom w:val="none" w:sz="0" w:space="0" w:color="auto"/>
            <w:right w:val="none" w:sz="0" w:space="0" w:color="auto"/>
          </w:divBdr>
        </w:div>
        <w:div w:id="1888713983">
          <w:marLeft w:val="0"/>
          <w:marRight w:val="0"/>
          <w:marTop w:val="0"/>
          <w:marBottom w:val="0"/>
          <w:divBdr>
            <w:top w:val="none" w:sz="0" w:space="0" w:color="auto"/>
            <w:left w:val="none" w:sz="0" w:space="0" w:color="auto"/>
            <w:bottom w:val="none" w:sz="0" w:space="0" w:color="auto"/>
            <w:right w:val="none" w:sz="0" w:space="0" w:color="auto"/>
          </w:divBdr>
        </w:div>
        <w:div w:id="2035224381">
          <w:marLeft w:val="0"/>
          <w:marRight w:val="0"/>
          <w:marTop w:val="0"/>
          <w:marBottom w:val="0"/>
          <w:divBdr>
            <w:top w:val="none" w:sz="0" w:space="0" w:color="auto"/>
            <w:left w:val="none" w:sz="0" w:space="0" w:color="auto"/>
            <w:bottom w:val="none" w:sz="0" w:space="0" w:color="auto"/>
            <w:right w:val="none" w:sz="0" w:space="0" w:color="auto"/>
          </w:divBdr>
        </w:div>
        <w:div w:id="378240390">
          <w:marLeft w:val="0"/>
          <w:marRight w:val="0"/>
          <w:marTop w:val="0"/>
          <w:marBottom w:val="0"/>
          <w:divBdr>
            <w:top w:val="none" w:sz="0" w:space="0" w:color="auto"/>
            <w:left w:val="none" w:sz="0" w:space="0" w:color="auto"/>
            <w:bottom w:val="none" w:sz="0" w:space="0" w:color="auto"/>
            <w:right w:val="none" w:sz="0" w:space="0" w:color="auto"/>
          </w:divBdr>
        </w:div>
        <w:div w:id="491411006">
          <w:marLeft w:val="0"/>
          <w:marRight w:val="0"/>
          <w:marTop w:val="0"/>
          <w:marBottom w:val="0"/>
          <w:divBdr>
            <w:top w:val="none" w:sz="0" w:space="0" w:color="auto"/>
            <w:left w:val="none" w:sz="0" w:space="0" w:color="auto"/>
            <w:bottom w:val="none" w:sz="0" w:space="0" w:color="auto"/>
            <w:right w:val="none" w:sz="0" w:space="0" w:color="auto"/>
          </w:divBdr>
        </w:div>
        <w:div w:id="531187886">
          <w:marLeft w:val="0"/>
          <w:marRight w:val="0"/>
          <w:marTop w:val="0"/>
          <w:marBottom w:val="0"/>
          <w:divBdr>
            <w:top w:val="none" w:sz="0" w:space="0" w:color="auto"/>
            <w:left w:val="none" w:sz="0" w:space="0" w:color="auto"/>
            <w:bottom w:val="none" w:sz="0" w:space="0" w:color="auto"/>
            <w:right w:val="none" w:sz="0" w:space="0" w:color="auto"/>
          </w:divBdr>
        </w:div>
        <w:div w:id="1376277678">
          <w:marLeft w:val="0"/>
          <w:marRight w:val="0"/>
          <w:marTop w:val="0"/>
          <w:marBottom w:val="0"/>
          <w:divBdr>
            <w:top w:val="none" w:sz="0" w:space="0" w:color="auto"/>
            <w:left w:val="none" w:sz="0" w:space="0" w:color="auto"/>
            <w:bottom w:val="none" w:sz="0" w:space="0" w:color="auto"/>
            <w:right w:val="none" w:sz="0" w:space="0" w:color="auto"/>
          </w:divBdr>
        </w:div>
        <w:div w:id="688028189">
          <w:marLeft w:val="0"/>
          <w:marRight w:val="0"/>
          <w:marTop w:val="0"/>
          <w:marBottom w:val="0"/>
          <w:divBdr>
            <w:top w:val="none" w:sz="0" w:space="0" w:color="auto"/>
            <w:left w:val="none" w:sz="0" w:space="0" w:color="auto"/>
            <w:bottom w:val="none" w:sz="0" w:space="0" w:color="auto"/>
            <w:right w:val="none" w:sz="0" w:space="0" w:color="auto"/>
          </w:divBdr>
        </w:div>
        <w:div w:id="1702172859">
          <w:marLeft w:val="0"/>
          <w:marRight w:val="0"/>
          <w:marTop w:val="0"/>
          <w:marBottom w:val="0"/>
          <w:divBdr>
            <w:top w:val="none" w:sz="0" w:space="0" w:color="auto"/>
            <w:left w:val="none" w:sz="0" w:space="0" w:color="auto"/>
            <w:bottom w:val="none" w:sz="0" w:space="0" w:color="auto"/>
            <w:right w:val="none" w:sz="0" w:space="0" w:color="auto"/>
          </w:divBdr>
        </w:div>
        <w:div w:id="1026563693">
          <w:marLeft w:val="0"/>
          <w:marRight w:val="0"/>
          <w:marTop w:val="0"/>
          <w:marBottom w:val="0"/>
          <w:divBdr>
            <w:top w:val="none" w:sz="0" w:space="0" w:color="auto"/>
            <w:left w:val="none" w:sz="0" w:space="0" w:color="auto"/>
            <w:bottom w:val="none" w:sz="0" w:space="0" w:color="auto"/>
            <w:right w:val="none" w:sz="0" w:space="0" w:color="auto"/>
          </w:divBdr>
        </w:div>
        <w:div w:id="1182621117">
          <w:marLeft w:val="0"/>
          <w:marRight w:val="0"/>
          <w:marTop w:val="0"/>
          <w:marBottom w:val="0"/>
          <w:divBdr>
            <w:top w:val="none" w:sz="0" w:space="0" w:color="auto"/>
            <w:left w:val="none" w:sz="0" w:space="0" w:color="auto"/>
            <w:bottom w:val="none" w:sz="0" w:space="0" w:color="auto"/>
            <w:right w:val="none" w:sz="0" w:space="0" w:color="auto"/>
          </w:divBdr>
        </w:div>
        <w:div w:id="1106577810">
          <w:marLeft w:val="0"/>
          <w:marRight w:val="0"/>
          <w:marTop w:val="0"/>
          <w:marBottom w:val="0"/>
          <w:divBdr>
            <w:top w:val="none" w:sz="0" w:space="0" w:color="auto"/>
            <w:left w:val="none" w:sz="0" w:space="0" w:color="auto"/>
            <w:bottom w:val="none" w:sz="0" w:space="0" w:color="auto"/>
            <w:right w:val="none" w:sz="0" w:space="0" w:color="auto"/>
          </w:divBdr>
        </w:div>
        <w:div w:id="708724630">
          <w:marLeft w:val="0"/>
          <w:marRight w:val="0"/>
          <w:marTop w:val="0"/>
          <w:marBottom w:val="0"/>
          <w:divBdr>
            <w:top w:val="none" w:sz="0" w:space="0" w:color="auto"/>
            <w:left w:val="none" w:sz="0" w:space="0" w:color="auto"/>
            <w:bottom w:val="none" w:sz="0" w:space="0" w:color="auto"/>
            <w:right w:val="none" w:sz="0" w:space="0" w:color="auto"/>
          </w:divBdr>
        </w:div>
        <w:div w:id="1873377072">
          <w:marLeft w:val="0"/>
          <w:marRight w:val="0"/>
          <w:marTop w:val="0"/>
          <w:marBottom w:val="0"/>
          <w:divBdr>
            <w:top w:val="none" w:sz="0" w:space="0" w:color="auto"/>
            <w:left w:val="none" w:sz="0" w:space="0" w:color="auto"/>
            <w:bottom w:val="none" w:sz="0" w:space="0" w:color="auto"/>
            <w:right w:val="none" w:sz="0" w:space="0" w:color="auto"/>
          </w:divBdr>
        </w:div>
        <w:div w:id="265967042">
          <w:marLeft w:val="0"/>
          <w:marRight w:val="0"/>
          <w:marTop w:val="0"/>
          <w:marBottom w:val="0"/>
          <w:divBdr>
            <w:top w:val="none" w:sz="0" w:space="0" w:color="auto"/>
            <w:left w:val="none" w:sz="0" w:space="0" w:color="auto"/>
            <w:bottom w:val="none" w:sz="0" w:space="0" w:color="auto"/>
            <w:right w:val="none" w:sz="0" w:space="0" w:color="auto"/>
          </w:divBdr>
        </w:div>
        <w:div w:id="388117069">
          <w:marLeft w:val="0"/>
          <w:marRight w:val="0"/>
          <w:marTop w:val="0"/>
          <w:marBottom w:val="0"/>
          <w:divBdr>
            <w:top w:val="none" w:sz="0" w:space="0" w:color="auto"/>
            <w:left w:val="none" w:sz="0" w:space="0" w:color="auto"/>
            <w:bottom w:val="none" w:sz="0" w:space="0" w:color="auto"/>
            <w:right w:val="none" w:sz="0" w:space="0" w:color="auto"/>
          </w:divBdr>
        </w:div>
        <w:div w:id="1329019479">
          <w:marLeft w:val="0"/>
          <w:marRight w:val="0"/>
          <w:marTop w:val="0"/>
          <w:marBottom w:val="0"/>
          <w:divBdr>
            <w:top w:val="none" w:sz="0" w:space="0" w:color="auto"/>
            <w:left w:val="none" w:sz="0" w:space="0" w:color="auto"/>
            <w:bottom w:val="none" w:sz="0" w:space="0" w:color="auto"/>
            <w:right w:val="none" w:sz="0" w:space="0" w:color="auto"/>
          </w:divBdr>
        </w:div>
        <w:div w:id="968824753">
          <w:marLeft w:val="0"/>
          <w:marRight w:val="0"/>
          <w:marTop w:val="0"/>
          <w:marBottom w:val="0"/>
          <w:divBdr>
            <w:top w:val="none" w:sz="0" w:space="0" w:color="auto"/>
            <w:left w:val="none" w:sz="0" w:space="0" w:color="auto"/>
            <w:bottom w:val="none" w:sz="0" w:space="0" w:color="auto"/>
            <w:right w:val="none" w:sz="0" w:space="0" w:color="auto"/>
          </w:divBdr>
        </w:div>
        <w:div w:id="1709450882">
          <w:marLeft w:val="0"/>
          <w:marRight w:val="0"/>
          <w:marTop w:val="0"/>
          <w:marBottom w:val="0"/>
          <w:divBdr>
            <w:top w:val="none" w:sz="0" w:space="0" w:color="auto"/>
            <w:left w:val="none" w:sz="0" w:space="0" w:color="auto"/>
            <w:bottom w:val="none" w:sz="0" w:space="0" w:color="auto"/>
            <w:right w:val="none" w:sz="0" w:space="0" w:color="auto"/>
          </w:divBdr>
        </w:div>
        <w:div w:id="1404373500">
          <w:marLeft w:val="0"/>
          <w:marRight w:val="0"/>
          <w:marTop w:val="0"/>
          <w:marBottom w:val="0"/>
          <w:divBdr>
            <w:top w:val="none" w:sz="0" w:space="0" w:color="auto"/>
            <w:left w:val="none" w:sz="0" w:space="0" w:color="auto"/>
            <w:bottom w:val="none" w:sz="0" w:space="0" w:color="auto"/>
            <w:right w:val="none" w:sz="0" w:space="0" w:color="auto"/>
          </w:divBdr>
        </w:div>
        <w:div w:id="502164590">
          <w:marLeft w:val="0"/>
          <w:marRight w:val="0"/>
          <w:marTop w:val="0"/>
          <w:marBottom w:val="0"/>
          <w:divBdr>
            <w:top w:val="none" w:sz="0" w:space="0" w:color="auto"/>
            <w:left w:val="none" w:sz="0" w:space="0" w:color="auto"/>
            <w:bottom w:val="none" w:sz="0" w:space="0" w:color="auto"/>
            <w:right w:val="none" w:sz="0" w:space="0" w:color="auto"/>
          </w:divBdr>
        </w:div>
        <w:div w:id="1914580176">
          <w:marLeft w:val="0"/>
          <w:marRight w:val="0"/>
          <w:marTop w:val="0"/>
          <w:marBottom w:val="0"/>
          <w:divBdr>
            <w:top w:val="none" w:sz="0" w:space="0" w:color="auto"/>
            <w:left w:val="none" w:sz="0" w:space="0" w:color="auto"/>
            <w:bottom w:val="none" w:sz="0" w:space="0" w:color="auto"/>
            <w:right w:val="none" w:sz="0" w:space="0" w:color="auto"/>
          </w:divBdr>
        </w:div>
        <w:div w:id="827133693">
          <w:marLeft w:val="0"/>
          <w:marRight w:val="0"/>
          <w:marTop w:val="0"/>
          <w:marBottom w:val="0"/>
          <w:divBdr>
            <w:top w:val="none" w:sz="0" w:space="0" w:color="auto"/>
            <w:left w:val="none" w:sz="0" w:space="0" w:color="auto"/>
            <w:bottom w:val="none" w:sz="0" w:space="0" w:color="auto"/>
            <w:right w:val="none" w:sz="0" w:space="0" w:color="auto"/>
          </w:divBdr>
        </w:div>
        <w:div w:id="79718217">
          <w:marLeft w:val="0"/>
          <w:marRight w:val="0"/>
          <w:marTop w:val="0"/>
          <w:marBottom w:val="0"/>
          <w:divBdr>
            <w:top w:val="none" w:sz="0" w:space="0" w:color="auto"/>
            <w:left w:val="none" w:sz="0" w:space="0" w:color="auto"/>
            <w:bottom w:val="none" w:sz="0" w:space="0" w:color="auto"/>
            <w:right w:val="none" w:sz="0" w:space="0" w:color="auto"/>
          </w:divBdr>
        </w:div>
        <w:div w:id="2015372632">
          <w:marLeft w:val="0"/>
          <w:marRight w:val="0"/>
          <w:marTop w:val="0"/>
          <w:marBottom w:val="0"/>
          <w:divBdr>
            <w:top w:val="none" w:sz="0" w:space="0" w:color="auto"/>
            <w:left w:val="none" w:sz="0" w:space="0" w:color="auto"/>
            <w:bottom w:val="none" w:sz="0" w:space="0" w:color="auto"/>
            <w:right w:val="none" w:sz="0" w:space="0" w:color="auto"/>
          </w:divBdr>
        </w:div>
        <w:div w:id="959991976">
          <w:marLeft w:val="0"/>
          <w:marRight w:val="0"/>
          <w:marTop w:val="0"/>
          <w:marBottom w:val="0"/>
          <w:divBdr>
            <w:top w:val="none" w:sz="0" w:space="0" w:color="auto"/>
            <w:left w:val="none" w:sz="0" w:space="0" w:color="auto"/>
            <w:bottom w:val="none" w:sz="0" w:space="0" w:color="auto"/>
            <w:right w:val="none" w:sz="0" w:space="0" w:color="auto"/>
          </w:divBdr>
        </w:div>
        <w:div w:id="1722247550">
          <w:marLeft w:val="0"/>
          <w:marRight w:val="0"/>
          <w:marTop w:val="0"/>
          <w:marBottom w:val="0"/>
          <w:divBdr>
            <w:top w:val="none" w:sz="0" w:space="0" w:color="auto"/>
            <w:left w:val="none" w:sz="0" w:space="0" w:color="auto"/>
            <w:bottom w:val="none" w:sz="0" w:space="0" w:color="auto"/>
            <w:right w:val="none" w:sz="0" w:space="0" w:color="auto"/>
          </w:divBdr>
        </w:div>
        <w:div w:id="761217959">
          <w:marLeft w:val="0"/>
          <w:marRight w:val="0"/>
          <w:marTop w:val="0"/>
          <w:marBottom w:val="0"/>
          <w:divBdr>
            <w:top w:val="none" w:sz="0" w:space="0" w:color="auto"/>
            <w:left w:val="none" w:sz="0" w:space="0" w:color="auto"/>
            <w:bottom w:val="none" w:sz="0" w:space="0" w:color="auto"/>
            <w:right w:val="none" w:sz="0" w:space="0" w:color="auto"/>
          </w:divBdr>
        </w:div>
        <w:div w:id="1839811672">
          <w:marLeft w:val="0"/>
          <w:marRight w:val="0"/>
          <w:marTop w:val="0"/>
          <w:marBottom w:val="0"/>
          <w:divBdr>
            <w:top w:val="none" w:sz="0" w:space="0" w:color="auto"/>
            <w:left w:val="none" w:sz="0" w:space="0" w:color="auto"/>
            <w:bottom w:val="none" w:sz="0" w:space="0" w:color="auto"/>
            <w:right w:val="none" w:sz="0" w:space="0" w:color="auto"/>
          </w:divBdr>
        </w:div>
        <w:div w:id="2085957047">
          <w:marLeft w:val="0"/>
          <w:marRight w:val="0"/>
          <w:marTop w:val="0"/>
          <w:marBottom w:val="0"/>
          <w:divBdr>
            <w:top w:val="none" w:sz="0" w:space="0" w:color="auto"/>
            <w:left w:val="none" w:sz="0" w:space="0" w:color="auto"/>
            <w:bottom w:val="none" w:sz="0" w:space="0" w:color="auto"/>
            <w:right w:val="none" w:sz="0" w:space="0" w:color="auto"/>
          </w:divBdr>
        </w:div>
        <w:div w:id="1466847631">
          <w:marLeft w:val="0"/>
          <w:marRight w:val="0"/>
          <w:marTop w:val="0"/>
          <w:marBottom w:val="0"/>
          <w:divBdr>
            <w:top w:val="none" w:sz="0" w:space="0" w:color="auto"/>
            <w:left w:val="none" w:sz="0" w:space="0" w:color="auto"/>
            <w:bottom w:val="none" w:sz="0" w:space="0" w:color="auto"/>
            <w:right w:val="none" w:sz="0" w:space="0" w:color="auto"/>
          </w:divBdr>
        </w:div>
        <w:div w:id="1826896840">
          <w:marLeft w:val="0"/>
          <w:marRight w:val="0"/>
          <w:marTop w:val="0"/>
          <w:marBottom w:val="0"/>
          <w:divBdr>
            <w:top w:val="none" w:sz="0" w:space="0" w:color="auto"/>
            <w:left w:val="none" w:sz="0" w:space="0" w:color="auto"/>
            <w:bottom w:val="none" w:sz="0" w:space="0" w:color="auto"/>
            <w:right w:val="none" w:sz="0" w:space="0" w:color="auto"/>
          </w:divBdr>
        </w:div>
        <w:div w:id="2050497499">
          <w:marLeft w:val="0"/>
          <w:marRight w:val="0"/>
          <w:marTop w:val="0"/>
          <w:marBottom w:val="0"/>
          <w:divBdr>
            <w:top w:val="none" w:sz="0" w:space="0" w:color="auto"/>
            <w:left w:val="none" w:sz="0" w:space="0" w:color="auto"/>
            <w:bottom w:val="none" w:sz="0" w:space="0" w:color="auto"/>
            <w:right w:val="none" w:sz="0" w:space="0" w:color="auto"/>
          </w:divBdr>
        </w:div>
        <w:div w:id="582183935">
          <w:marLeft w:val="0"/>
          <w:marRight w:val="0"/>
          <w:marTop w:val="0"/>
          <w:marBottom w:val="0"/>
          <w:divBdr>
            <w:top w:val="none" w:sz="0" w:space="0" w:color="auto"/>
            <w:left w:val="none" w:sz="0" w:space="0" w:color="auto"/>
            <w:bottom w:val="none" w:sz="0" w:space="0" w:color="auto"/>
            <w:right w:val="none" w:sz="0" w:space="0" w:color="auto"/>
          </w:divBdr>
        </w:div>
        <w:div w:id="1247307962">
          <w:marLeft w:val="0"/>
          <w:marRight w:val="0"/>
          <w:marTop w:val="0"/>
          <w:marBottom w:val="0"/>
          <w:divBdr>
            <w:top w:val="none" w:sz="0" w:space="0" w:color="auto"/>
            <w:left w:val="none" w:sz="0" w:space="0" w:color="auto"/>
            <w:bottom w:val="none" w:sz="0" w:space="0" w:color="auto"/>
            <w:right w:val="none" w:sz="0" w:space="0" w:color="auto"/>
          </w:divBdr>
        </w:div>
        <w:div w:id="1336229676">
          <w:marLeft w:val="0"/>
          <w:marRight w:val="0"/>
          <w:marTop w:val="0"/>
          <w:marBottom w:val="0"/>
          <w:divBdr>
            <w:top w:val="none" w:sz="0" w:space="0" w:color="auto"/>
            <w:left w:val="none" w:sz="0" w:space="0" w:color="auto"/>
            <w:bottom w:val="none" w:sz="0" w:space="0" w:color="auto"/>
            <w:right w:val="none" w:sz="0" w:space="0" w:color="auto"/>
          </w:divBdr>
        </w:div>
        <w:div w:id="71634065">
          <w:marLeft w:val="0"/>
          <w:marRight w:val="0"/>
          <w:marTop w:val="0"/>
          <w:marBottom w:val="0"/>
          <w:divBdr>
            <w:top w:val="none" w:sz="0" w:space="0" w:color="auto"/>
            <w:left w:val="none" w:sz="0" w:space="0" w:color="auto"/>
            <w:bottom w:val="none" w:sz="0" w:space="0" w:color="auto"/>
            <w:right w:val="none" w:sz="0" w:space="0" w:color="auto"/>
          </w:divBdr>
        </w:div>
        <w:div w:id="406149372">
          <w:marLeft w:val="0"/>
          <w:marRight w:val="0"/>
          <w:marTop w:val="0"/>
          <w:marBottom w:val="0"/>
          <w:divBdr>
            <w:top w:val="none" w:sz="0" w:space="0" w:color="auto"/>
            <w:left w:val="none" w:sz="0" w:space="0" w:color="auto"/>
            <w:bottom w:val="none" w:sz="0" w:space="0" w:color="auto"/>
            <w:right w:val="none" w:sz="0" w:space="0" w:color="auto"/>
          </w:divBdr>
        </w:div>
        <w:div w:id="1443106334">
          <w:marLeft w:val="0"/>
          <w:marRight w:val="0"/>
          <w:marTop w:val="0"/>
          <w:marBottom w:val="0"/>
          <w:divBdr>
            <w:top w:val="none" w:sz="0" w:space="0" w:color="auto"/>
            <w:left w:val="none" w:sz="0" w:space="0" w:color="auto"/>
            <w:bottom w:val="none" w:sz="0" w:space="0" w:color="auto"/>
            <w:right w:val="none" w:sz="0" w:space="0" w:color="auto"/>
          </w:divBdr>
        </w:div>
        <w:div w:id="591352132">
          <w:marLeft w:val="0"/>
          <w:marRight w:val="0"/>
          <w:marTop w:val="0"/>
          <w:marBottom w:val="0"/>
          <w:divBdr>
            <w:top w:val="none" w:sz="0" w:space="0" w:color="auto"/>
            <w:left w:val="none" w:sz="0" w:space="0" w:color="auto"/>
            <w:bottom w:val="none" w:sz="0" w:space="0" w:color="auto"/>
            <w:right w:val="none" w:sz="0" w:space="0" w:color="auto"/>
          </w:divBdr>
        </w:div>
        <w:div w:id="810561555">
          <w:marLeft w:val="0"/>
          <w:marRight w:val="0"/>
          <w:marTop w:val="0"/>
          <w:marBottom w:val="0"/>
          <w:divBdr>
            <w:top w:val="none" w:sz="0" w:space="0" w:color="auto"/>
            <w:left w:val="none" w:sz="0" w:space="0" w:color="auto"/>
            <w:bottom w:val="none" w:sz="0" w:space="0" w:color="auto"/>
            <w:right w:val="none" w:sz="0" w:space="0" w:color="auto"/>
          </w:divBdr>
        </w:div>
        <w:div w:id="1880193332">
          <w:marLeft w:val="0"/>
          <w:marRight w:val="0"/>
          <w:marTop w:val="0"/>
          <w:marBottom w:val="0"/>
          <w:divBdr>
            <w:top w:val="none" w:sz="0" w:space="0" w:color="auto"/>
            <w:left w:val="none" w:sz="0" w:space="0" w:color="auto"/>
            <w:bottom w:val="none" w:sz="0" w:space="0" w:color="auto"/>
            <w:right w:val="none" w:sz="0" w:space="0" w:color="auto"/>
          </w:divBdr>
        </w:div>
        <w:div w:id="1620795779">
          <w:marLeft w:val="0"/>
          <w:marRight w:val="0"/>
          <w:marTop w:val="0"/>
          <w:marBottom w:val="0"/>
          <w:divBdr>
            <w:top w:val="none" w:sz="0" w:space="0" w:color="auto"/>
            <w:left w:val="none" w:sz="0" w:space="0" w:color="auto"/>
            <w:bottom w:val="none" w:sz="0" w:space="0" w:color="auto"/>
            <w:right w:val="none" w:sz="0" w:space="0" w:color="auto"/>
          </w:divBdr>
        </w:div>
        <w:div w:id="1997952003">
          <w:marLeft w:val="0"/>
          <w:marRight w:val="0"/>
          <w:marTop w:val="0"/>
          <w:marBottom w:val="0"/>
          <w:divBdr>
            <w:top w:val="none" w:sz="0" w:space="0" w:color="auto"/>
            <w:left w:val="none" w:sz="0" w:space="0" w:color="auto"/>
            <w:bottom w:val="none" w:sz="0" w:space="0" w:color="auto"/>
            <w:right w:val="none" w:sz="0" w:space="0" w:color="auto"/>
          </w:divBdr>
        </w:div>
        <w:div w:id="491408233">
          <w:marLeft w:val="0"/>
          <w:marRight w:val="0"/>
          <w:marTop w:val="0"/>
          <w:marBottom w:val="0"/>
          <w:divBdr>
            <w:top w:val="none" w:sz="0" w:space="0" w:color="auto"/>
            <w:left w:val="none" w:sz="0" w:space="0" w:color="auto"/>
            <w:bottom w:val="none" w:sz="0" w:space="0" w:color="auto"/>
            <w:right w:val="none" w:sz="0" w:space="0" w:color="auto"/>
          </w:divBdr>
        </w:div>
        <w:div w:id="134877473">
          <w:marLeft w:val="0"/>
          <w:marRight w:val="0"/>
          <w:marTop w:val="0"/>
          <w:marBottom w:val="0"/>
          <w:divBdr>
            <w:top w:val="none" w:sz="0" w:space="0" w:color="auto"/>
            <w:left w:val="none" w:sz="0" w:space="0" w:color="auto"/>
            <w:bottom w:val="none" w:sz="0" w:space="0" w:color="auto"/>
            <w:right w:val="none" w:sz="0" w:space="0" w:color="auto"/>
          </w:divBdr>
        </w:div>
        <w:div w:id="632639275">
          <w:marLeft w:val="0"/>
          <w:marRight w:val="0"/>
          <w:marTop w:val="0"/>
          <w:marBottom w:val="0"/>
          <w:divBdr>
            <w:top w:val="none" w:sz="0" w:space="0" w:color="auto"/>
            <w:left w:val="none" w:sz="0" w:space="0" w:color="auto"/>
            <w:bottom w:val="none" w:sz="0" w:space="0" w:color="auto"/>
            <w:right w:val="none" w:sz="0" w:space="0" w:color="auto"/>
          </w:divBdr>
        </w:div>
        <w:div w:id="1118063582">
          <w:marLeft w:val="0"/>
          <w:marRight w:val="0"/>
          <w:marTop w:val="0"/>
          <w:marBottom w:val="0"/>
          <w:divBdr>
            <w:top w:val="none" w:sz="0" w:space="0" w:color="auto"/>
            <w:left w:val="none" w:sz="0" w:space="0" w:color="auto"/>
            <w:bottom w:val="none" w:sz="0" w:space="0" w:color="auto"/>
            <w:right w:val="none" w:sz="0" w:space="0" w:color="auto"/>
          </w:divBdr>
        </w:div>
        <w:div w:id="689450624">
          <w:marLeft w:val="0"/>
          <w:marRight w:val="0"/>
          <w:marTop w:val="0"/>
          <w:marBottom w:val="0"/>
          <w:divBdr>
            <w:top w:val="none" w:sz="0" w:space="0" w:color="auto"/>
            <w:left w:val="none" w:sz="0" w:space="0" w:color="auto"/>
            <w:bottom w:val="none" w:sz="0" w:space="0" w:color="auto"/>
            <w:right w:val="none" w:sz="0" w:space="0" w:color="auto"/>
          </w:divBdr>
        </w:div>
        <w:div w:id="1825657828">
          <w:marLeft w:val="0"/>
          <w:marRight w:val="0"/>
          <w:marTop w:val="0"/>
          <w:marBottom w:val="0"/>
          <w:divBdr>
            <w:top w:val="none" w:sz="0" w:space="0" w:color="auto"/>
            <w:left w:val="none" w:sz="0" w:space="0" w:color="auto"/>
            <w:bottom w:val="none" w:sz="0" w:space="0" w:color="auto"/>
            <w:right w:val="none" w:sz="0" w:space="0" w:color="auto"/>
          </w:divBdr>
        </w:div>
        <w:div w:id="1862402573">
          <w:marLeft w:val="0"/>
          <w:marRight w:val="0"/>
          <w:marTop w:val="0"/>
          <w:marBottom w:val="0"/>
          <w:divBdr>
            <w:top w:val="none" w:sz="0" w:space="0" w:color="auto"/>
            <w:left w:val="none" w:sz="0" w:space="0" w:color="auto"/>
            <w:bottom w:val="none" w:sz="0" w:space="0" w:color="auto"/>
            <w:right w:val="none" w:sz="0" w:space="0" w:color="auto"/>
          </w:divBdr>
        </w:div>
        <w:div w:id="1036007173">
          <w:marLeft w:val="0"/>
          <w:marRight w:val="0"/>
          <w:marTop w:val="0"/>
          <w:marBottom w:val="0"/>
          <w:divBdr>
            <w:top w:val="none" w:sz="0" w:space="0" w:color="auto"/>
            <w:left w:val="none" w:sz="0" w:space="0" w:color="auto"/>
            <w:bottom w:val="none" w:sz="0" w:space="0" w:color="auto"/>
            <w:right w:val="none" w:sz="0" w:space="0" w:color="auto"/>
          </w:divBdr>
        </w:div>
        <w:div w:id="1429303320">
          <w:marLeft w:val="0"/>
          <w:marRight w:val="0"/>
          <w:marTop w:val="0"/>
          <w:marBottom w:val="0"/>
          <w:divBdr>
            <w:top w:val="none" w:sz="0" w:space="0" w:color="auto"/>
            <w:left w:val="none" w:sz="0" w:space="0" w:color="auto"/>
            <w:bottom w:val="none" w:sz="0" w:space="0" w:color="auto"/>
            <w:right w:val="none" w:sz="0" w:space="0" w:color="auto"/>
          </w:divBdr>
        </w:div>
        <w:div w:id="50464973">
          <w:marLeft w:val="0"/>
          <w:marRight w:val="0"/>
          <w:marTop w:val="0"/>
          <w:marBottom w:val="0"/>
          <w:divBdr>
            <w:top w:val="none" w:sz="0" w:space="0" w:color="auto"/>
            <w:left w:val="none" w:sz="0" w:space="0" w:color="auto"/>
            <w:bottom w:val="none" w:sz="0" w:space="0" w:color="auto"/>
            <w:right w:val="none" w:sz="0" w:space="0" w:color="auto"/>
          </w:divBdr>
        </w:div>
        <w:div w:id="1000505109">
          <w:marLeft w:val="0"/>
          <w:marRight w:val="0"/>
          <w:marTop w:val="0"/>
          <w:marBottom w:val="0"/>
          <w:divBdr>
            <w:top w:val="none" w:sz="0" w:space="0" w:color="auto"/>
            <w:left w:val="none" w:sz="0" w:space="0" w:color="auto"/>
            <w:bottom w:val="none" w:sz="0" w:space="0" w:color="auto"/>
            <w:right w:val="none" w:sz="0" w:space="0" w:color="auto"/>
          </w:divBdr>
        </w:div>
        <w:div w:id="1943955269">
          <w:marLeft w:val="0"/>
          <w:marRight w:val="0"/>
          <w:marTop w:val="0"/>
          <w:marBottom w:val="0"/>
          <w:divBdr>
            <w:top w:val="none" w:sz="0" w:space="0" w:color="auto"/>
            <w:left w:val="none" w:sz="0" w:space="0" w:color="auto"/>
            <w:bottom w:val="none" w:sz="0" w:space="0" w:color="auto"/>
            <w:right w:val="none" w:sz="0" w:space="0" w:color="auto"/>
          </w:divBdr>
        </w:div>
        <w:div w:id="2002005754">
          <w:marLeft w:val="0"/>
          <w:marRight w:val="0"/>
          <w:marTop w:val="0"/>
          <w:marBottom w:val="0"/>
          <w:divBdr>
            <w:top w:val="none" w:sz="0" w:space="0" w:color="auto"/>
            <w:left w:val="none" w:sz="0" w:space="0" w:color="auto"/>
            <w:bottom w:val="none" w:sz="0" w:space="0" w:color="auto"/>
            <w:right w:val="none" w:sz="0" w:space="0" w:color="auto"/>
          </w:divBdr>
        </w:div>
        <w:div w:id="1010446272">
          <w:marLeft w:val="0"/>
          <w:marRight w:val="0"/>
          <w:marTop w:val="0"/>
          <w:marBottom w:val="0"/>
          <w:divBdr>
            <w:top w:val="none" w:sz="0" w:space="0" w:color="auto"/>
            <w:left w:val="none" w:sz="0" w:space="0" w:color="auto"/>
            <w:bottom w:val="none" w:sz="0" w:space="0" w:color="auto"/>
            <w:right w:val="none" w:sz="0" w:space="0" w:color="auto"/>
          </w:divBdr>
        </w:div>
        <w:div w:id="1776631012">
          <w:marLeft w:val="0"/>
          <w:marRight w:val="0"/>
          <w:marTop w:val="0"/>
          <w:marBottom w:val="0"/>
          <w:divBdr>
            <w:top w:val="none" w:sz="0" w:space="0" w:color="auto"/>
            <w:left w:val="none" w:sz="0" w:space="0" w:color="auto"/>
            <w:bottom w:val="none" w:sz="0" w:space="0" w:color="auto"/>
            <w:right w:val="none" w:sz="0" w:space="0" w:color="auto"/>
          </w:divBdr>
        </w:div>
        <w:div w:id="2140566421">
          <w:marLeft w:val="0"/>
          <w:marRight w:val="0"/>
          <w:marTop w:val="0"/>
          <w:marBottom w:val="0"/>
          <w:divBdr>
            <w:top w:val="none" w:sz="0" w:space="0" w:color="auto"/>
            <w:left w:val="none" w:sz="0" w:space="0" w:color="auto"/>
            <w:bottom w:val="none" w:sz="0" w:space="0" w:color="auto"/>
            <w:right w:val="none" w:sz="0" w:space="0" w:color="auto"/>
          </w:divBdr>
        </w:div>
        <w:div w:id="1097360013">
          <w:marLeft w:val="0"/>
          <w:marRight w:val="0"/>
          <w:marTop w:val="0"/>
          <w:marBottom w:val="0"/>
          <w:divBdr>
            <w:top w:val="none" w:sz="0" w:space="0" w:color="auto"/>
            <w:left w:val="none" w:sz="0" w:space="0" w:color="auto"/>
            <w:bottom w:val="none" w:sz="0" w:space="0" w:color="auto"/>
            <w:right w:val="none" w:sz="0" w:space="0" w:color="auto"/>
          </w:divBdr>
        </w:div>
        <w:div w:id="1557084151">
          <w:marLeft w:val="0"/>
          <w:marRight w:val="0"/>
          <w:marTop w:val="0"/>
          <w:marBottom w:val="0"/>
          <w:divBdr>
            <w:top w:val="none" w:sz="0" w:space="0" w:color="auto"/>
            <w:left w:val="none" w:sz="0" w:space="0" w:color="auto"/>
            <w:bottom w:val="none" w:sz="0" w:space="0" w:color="auto"/>
            <w:right w:val="none" w:sz="0" w:space="0" w:color="auto"/>
          </w:divBdr>
        </w:div>
        <w:div w:id="548958679">
          <w:marLeft w:val="0"/>
          <w:marRight w:val="0"/>
          <w:marTop w:val="0"/>
          <w:marBottom w:val="0"/>
          <w:divBdr>
            <w:top w:val="none" w:sz="0" w:space="0" w:color="auto"/>
            <w:left w:val="none" w:sz="0" w:space="0" w:color="auto"/>
            <w:bottom w:val="none" w:sz="0" w:space="0" w:color="auto"/>
            <w:right w:val="none" w:sz="0" w:space="0" w:color="auto"/>
          </w:divBdr>
        </w:div>
        <w:div w:id="1936859916">
          <w:marLeft w:val="0"/>
          <w:marRight w:val="0"/>
          <w:marTop w:val="0"/>
          <w:marBottom w:val="0"/>
          <w:divBdr>
            <w:top w:val="none" w:sz="0" w:space="0" w:color="auto"/>
            <w:left w:val="none" w:sz="0" w:space="0" w:color="auto"/>
            <w:bottom w:val="none" w:sz="0" w:space="0" w:color="auto"/>
            <w:right w:val="none" w:sz="0" w:space="0" w:color="auto"/>
          </w:divBdr>
        </w:div>
        <w:div w:id="67964913">
          <w:marLeft w:val="0"/>
          <w:marRight w:val="0"/>
          <w:marTop w:val="0"/>
          <w:marBottom w:val="0"/>
          <w:divBdr>
            <w:top w:val="none" w:sz="0" w:space="0" w:color="auto"/>
            <w:left w:val="none" w:sz="0" w:space="0" w:color="auto"/>
            <w:bottom w:val="none" w:sz="0" w:space="0" w:color="auto"/>
            <w:right w:val="none" w:sz="0" w:space="0" w:color="auto"/>
          </w:divBdr>
        </w:div>
        <w:div w:id="726225792">
          <w:marLeft w:val="0"/>
          <w:marRight w:val="0"/>
          <w:marTop w:val="0"/>
          <w:marBottom w:val="0"/>
          <w:divBdr>
            <w:top w:val="none" w:sz="0" w:space="0" w:color="auto"/>
            <w:left w:val="none" w:sz="0" w:space="0" w:color="auto"/>
            <w:bottom w:val="none" w:sz="0" w:space="0" w:color="auto"/>
            <w:right w:val="none" w:sz="0" w:space="0" w:color="auto"/>
          </w:divBdr>
        </w:div>
        <w:div w:id="2098671059">
          <w:marLeft w:val="0"/>
          <w:marRight w:val="0"/>
          <w:marTop w:val="0"/>
          <w:marBottom w:val="0"/>
          <w:divBdr>
            <w:top w:val="none" w:sz="0" w:space="0" w:color="auto"/>
            <w:left w:val="none" w:sz="0" w:space="0" w:color="auto"/>
            <w:bottom w:val="none" w:sz="0" w:space="0" w:color="auto"/>
            <w:right w:val="none" w:sz="0" w:space="0" w:color="auto"/>
          </w:divBdr>
        </w:div>
        <w:div w:id="426120590">
          <w:marLeft w:val="0"/>
          <w:marRight w:val="0"/>
          <w:marTop w:val="0"/>
          <w:marBottom w:val="0"/>
          <w:divBdr>
            <w:top w:val="none" w:sz="0" w:space="0" w:color="auto"/>
            <w:left w:val="none" w:sz="0" w:space="0" w:color="auto"/>
            <w:bottom w:val="none" w:sz="0" w:space="0" w:color="auto"/>
            <w:right w:val="none" w:sz="0" w:space="0" w:color="auto"/>
          </w:divBdr>
        </w:div>
        <w:div w:id="46152590">
          <w:marLeft w:val="0"/>
          <w:marRight w:val="0"/>
          <w:marTop w:val="0"/>
          <w:marBottom w:val="0"/>
          <w:divBdr>
            <w:top w:val="none" w:sz="0" w:space="0" w:color="auto"/>
            <w:left w:val="none" w:sz="0" w:space="0" w:color="auto"/>
            <w:bottom w:val="none" w:sz="0" w:space="0" w:color="auto"/>
            <w:right w:val="none" w:sz="0" w:space="0" w:color="auto"/>
          </w:divBdr>
        </w:div>
        <w:div w:id="1170217511">
          <w:marLeft w:val="0"/>
          <w:marRight w:val="0"/>
          <w:marTop w:val="0"/>
          <w:marBottom w:val="0"/>
          <w:divBdr>
            <w:top w:val="none" w:sz="0" w:space="0" w:color="auto"/>
            <w:left w:val="none" w:sz="0" w:space="0" w:color="auto"/>
            <w:bottom w:val="none" w:sz="0" w:space="0" w:color="auto"/>
            <w:right w:val="none" w:sz="0" w:space="0" w:color="auto"/>
          </w:divBdr>
        </w:div>
        <w:div w:id="1434939918">
          <w:marLeft w:val="0"/>
          <w:marRight w:val="0"/>
          <w:marTop w:val="0"/>
          <w:marBottom w:val="0"/>
          <w:divBdr>
            <w:top w:val="none" w:sz="0" w:space="0" w:color="auto"/>
            <w:left w:val="none" w:sz="0" w:space="0" w:color="auto"/>
            <w:bottom w:val="none" w:sz="0" w:space="0" w:color="auto"/>
            <w:right w:val="none" w:sz="0" w:space="0" w:color="auto"/>
          </w:divBdr>
        </w:div>
        <w:div w:id="929237719">
          <w:marLeft w:val="0"/>
          <w:marRight w:val="0"/>
          <w:marTop w:val="0"/>
          <w:marBottom w:val="0"/>
          <w:divBdr>
            <w:top w:val="none" w:sz="0" w:space="0" w:color="auto"/>
            <w:left w:val="none" w:sz="0" w:space="0" w:color="auto"/>
            <w:bottom w:val="none" w:sz="0" w:space="0" w:color="auto"/>
            <w:right w:val="none" w:sz="0" w:space="0" w:color="auto"/>
          </w:divBdr>
        </w:div>
        <w:div w:id="1655260782">
          <w:marLeft w:val="0"/>
          <w:marRight w:val="0"/>
          <w:marTop w:val="0"/>
          <w:marBottom w:val="0"/>
          <w:divBdr>
            <w:top w:val="none" w:sz="0" w:space="0" w:color="auto"/>
            <w:left w:val="none" w:sz="0" w:space="0" w:color="auto"/>
            <w:bottom w:val="none" w:sz="0" w:space="0" w:color="auto"/>
            <w:right w:val="none" w:sz="0" w:space="0" w:color="auto"/>
          </w:divBdr>
        </w:div>
        <w:div w:id="107891940">
          <w:marLeft w:val="0"/>
          <w:marRight w:val="0"/>
          <w:marTop w:val="0"/>
          <w:marBottom w:val="0"/>
          <w:divBdr>
            <w:top w:val="none" w:sz="0" w:space="0" w:color="auto"/>
            <w:left w:val="none" w:sz="0" w:space="0" w:color="auto"/>
            <w:bottom w:val="none" w:sz="0" w:space="0" w:color="auto"/>
            <w:right w:val="none" w:sz="0" w:space="0" w:color="auto"/>
          </w:divBdr>
        </w:div>
        <w:div w:id="1704556416">
          <w:marLeft w:val="0"/>
          <w:marRight w:val="0"/>
          <w:marTop w:val="0"/>
          <w:marBottom w:val="0"/>
          <w:divBdr>
            <w:top w:val="none" w:sz="0" w:space="0" w:color="auto"/>
            <w:left w:val="none" w:sz="0" w:space="0" w:color="auto"/>
            <w:bottom w:val="none" w:sz="0" w:space="0" w:color="auto"/>
            <w:right w:val="none" w:sz="0" w:space="0" w:color="auto"/>
          </w:divBdr>
        </w:div>
        <w:div w:id="595527312">
          <w:marLeft w:val="0"/>
          <w:marRight w:val="0"/>
          <w:marTop w:val="0"/>
          <w:marBottom w:val="0"/>
          <w:divBdr>
            <w:top w:val="none" w:sz="0" w:space="0" w:color="auto"/>
            <w:left w:val="none" w:sz="0" w:space="0" w:color="auto"/>
            <w:bottom w:val="none" w:sz="0" w:space="0" w:color="auto"/>
            <w:right w:val="none" w:sz="0" w:space="0" w:color="auto"/>
          </w:divBdr>
        </w:div>
        <w:div w:id="1023553023">
          <w:marLeft w:val="0"/>
          <w:marRight w:val="0"/>
          <w:marTop w:val="0"/>
          <w:marBottom w:val="0"/>
          <w:divBdr>
            <w:top w:val="none" w:sz="0" w:space="0" w:color="auto"/>
            <w:left w:val="none" w:sz="0" w:space="0" w:color="auto"/>
            <w:bottom w:val="none" w:sz="0" w:space="0" w:color="auto"/>
            <w:right w:val="none" w:sz="0" w:space="0" w:color="auto"/>
          </w:divBdr>
        </w:div>
        <w:div w:id="936526142">
          <w:marLeft w:val="0"/>
          <w:marRight w:val="0"/>
          <w:marTop w:val="0"/>
          <w:marBottom w:val="0"/>
          <w:divBdr>
            <w:top w:val="none" w:sz="0" w:space="0" w:color="auto"/>
            <w:left w:val="none" w:sz="0" w:space="0" w:color="auto"/>
            <w:bottom w:val="none" w:sz="0" w:space="0" w:color="auto"/>
            <w:right w:val="none" w:sz="0" w:space="0" w:color="auto"/>
          </w:divBdr>
        </w:div>
        <w:div w:id="2127195377">
          <w:marLeft w:val="0"/>
          <w:marRight w:val="0"/>
          <w:marTop w:val="0"/>
          <w:marBottom w:val="0"/>
          <w:divBdr>
            <w:top w:val="none" w:sz="0" w:space="0" w:color="auto"/>
            <w:left w:val="none" w:sz="0" w:space="0" w:color="auto"/>
            <w:bottom w:val="none" w:sz="0" w:space="0" w:color="auto"/>
            <w:right w:val="none" w:sz="0" w:space="0" w:color="auto"/>
          </w:divBdr>
        </w:div>
        <w:div w:id="1991670458">
          <w:marLeft w:val="0"/>
          <w:marRight w:val="0"/>
          <w:marTop w:val="0"/>
          <w:marBottom w:val="0"/>
          <w:divBdr>
            <w:top w:val="none" w:sz="0" w:space="0" w:color="auto"/>
            <w:left w:val="none" w:sz="0" w:space="0" w:color="auto"/>
            <w:bottom w:val="none" w:sz="0" w:space="0" w:color="auto"/>
            <w:right w:val="none" w:sz="0" w:space="0" w:color="auto"/>
          </w:divBdr>
        </w:div>
        <w:div w:id="1701203599">
          <w:marLeft w:val="0"/>
          <w:marRight w:val="0"/>
          <w:marTop w:val="0"/>
          <w:marBottom w:val="0"/>
          <w:divBdr>
            <w:top w:val="none" w:sz="0" w:space="0" w:color="auto"/>
            <w:left w:val="none" w:sz="0" w:space="0" w:color="auto"/>
            <w:bottom w:val="none" w:sz="0" w:space="0" w:color="auto"/>
            <w:right w:val="none" w:sz="0" w:space="0" w:color="auto"/>
          </w:divBdr>
        </w:div>
        <w:div w:id="1458644977">
          <w:marLeft w:val="0"/>
          <w:marRight w:val="0"/>
          <w:marTop w:val="0"/>
          <w:marBottom w:val="0"/>
          <w:divBdr>
            <w:top w:val="none" w:sz="0" w:space="0" w:color="auto"/>
            <w:left w:val="none" w:sz="0" w:space="0" w:color="auto"/>
            <w:bottom w:val="none" w:sz="0" w:space="0" w:color="auto"/>
            <w:right w:val="none" w:sz="0" w:space="0" w:color="auto"/>
          </w:divBdr>
        </w:div>
        <w:div w:id="1668634335">
          <w:marLeft w:val="0"/>
          <w:marRight w:val="0"/>
          <w:marTop w:val="0"/>
          <w:marBottom w:val="0"/>
          <w:divBdr>
            <w:top w:val="none" w:sz="0" w:space="0" w:color="auto"/>
            <w:left w:val="none" w:sz="0" w:space="0" w:color="auto"/>
            <w:bottom w:val="none" w:sz="0" w:space="0" w:color="auto"/>
            <w:right w:val="none" w:sz="0" w:space="0" w:color="auto"/>
          </w:divBdr>
        </w:div>
        <w:div w:id="1390231765">
          <w:marLeft w:val="0"/>
          <w:marRight w:val="0"/>
          <w:marTop w:val="0"/>
          <w:marBottom w:val="0"/>
          <w:divBdr>
            <w:top w:val="none" w:sz="0" w:space="0" w:color="auto"/>
            <w:left w:val="none" w:sz="0" w:space="0" w:color="auto"/>
            <w:bottom w:val="none" w:sz="0" w:space="0" w:color="auto"/>
            <w:right w:val="none" w:sz="0" w:space="0" w:color="auto"/>
          </w:divBdr>
        </w:div>
        <w:div w:id="1454979579">
          <w:marLeft w:val="0"/>
          <w:marRight w:val="0"/>
          <w:marTop w:val="0"/>
          <w:marBottom w:val="0"/>
          <w:divBdr>
            <w:top w:val="none" w:sz="0" w:space="0" w:color="auto"/>
            <w:left w:val="none" w:sz="0" w:space="0" w:color="auto"/>
            <w:bottom w:val="none" w:sz="0" w:space="0" w:color="auto"/>
            <w:right w:val="none" w:sz="0" w:space="0" w:color="auto"/>
          </w:divBdr>
        </w:div>
        <w:div w:id="1719475908">
          <w:marLeft w:val="0"/>
          <w:marRight w:val="0"/>
          <w:marTop w:val="0"/>
          <w:marBottom w:val="0"/>
          <w:divBdr>
            <w:top w:val="none" w:sz="0" w:space="0" w:color="auto"/>
            <w:left w:val="none" w:sz="0" w:space="0" w:color="auto"/>
            <w:bottom w:val="none" w:sz="0" w:space="0" w:color="auto"/>
            <w:right w:val="none" w:sz="0" w:space="0" w:color="auto"/>
          </w:divBdr>
        </w:div>
        <w:div w:id="1395156681">
          <w:marLeft w:val="0"/>
          <w:marRight w:val="0"/>
          <w:marTop w:val="0"/>
          <w:marBottom w:val="0"/>
          <w:divBdr>
            <w:top w:val="none" w:sz="0" w:space="0" w:color="auto"/>
            <w:left w:val="none" w:sz="0" w:space="0" w:color="auto"/>
            <w:bottom w:val="none" w:sz="0" w:space="0" w:color="auto"/>
            <w:right w:val="none" w:sz="0" w:space="0" w:color="auto"/>
          </w:divBdr>
        </w:div>
        <w:div w:id="1711883934">
          <w:marLeft w:val="0"/>
          <w:marRight w:val="0"/>
          <w:marTop w:val="0"/>
          <w:marBottom w:val="0"/>
          <w:divBdr>
            <w:top w:val="none" w:sz="0" w:space="0" w:color="auto"/>
            <w:left w:val="none" w:sz="0" w:space="0" w:color="auto"/>
            <w:bottom w:val="none" w:sz="0" w:space="0" w:color="auto"/>
            <w:right w:val="none" w:sz="0" w:space="0" w:color="auto"/>
          </w:divBdr>
        </w:div>
        <w:div w:id="788014887">
          <w:marLeft w:val="0"/>
          <w:marRight w:val="0"/>
          <w:marTop w:val="0"/>
          <w:marBottom w:val="0"/>
          <w:divBdr>
            <w:top w:val="none" w:sz="0" w:space="0" w:color="auto"/>
            <w:left w:val="none" w:sz="0" w:space="0" w:color="auto"/>
            <w:bottom w:val="none" w:sz="0" w:space="0" w:color="auto"/>
            <w:right w:val="none" w:sz="0" w:space="0" w:color="auto"/>
          </w:divBdr>
        </w:div>
        <w:div w:id="532037700">
          <w:marLeft w:val="0"/>
          <w:marRight w:val="0"/>
          <w:marTop w:val="0"/>
          <w:marBottom w:val="0"/>
          <w:divBdr>
            <w:top w:val="none" w:sz="0" w:space="0" w:color="auto"/>
            <w:left w:val="none" w:sz="0" w:space="0" w:color="auto"/>
            <w:bottom w:val="none" w:sz="0" w:space="0" w:color="auto"/>
            <w:right w:val="none" w:sz="0" w:space="0" w:color="auto"/>
          </w:divBdr>
        </w:div>
        <w:div w:id="128672127">
          <w:marLeft w:val="0"/>
          <w:marRight w:val="0"/>
          <w:marTop w:val="0"/>
          <w:marBottom w:val="0"/>
          <w:divBdr>
            <w:top w:val="none" w:sz="0" w:space="0" w:color="auto"/>
            <w:left w:val="none" w:sz="0" w:space="0" w:color="auto"/>
            <w:bottom w:val="none" w:sz="0" w:space="0" w:color="auto"/>
            <w:right w:val="none" w:sz="0" w:space="0" w:color="auto"/>
          </w:divBdr>
        </w:div>
        <w:div w:id="1870873317">
          <w:marLeft w:val="0"/>
          <w:marRight w:val="0"/>
          <w:marTop w:val="0"/>
          <w:marBottom w:val="0"/>
          <w:divBdr>
            <w:top w:val="none" w:sz="0" w:space="0" w:color="auto"/>
            <w:left w:val="none" w:sz="0" w:space="0" w:color="auto"/>
            <w:bottom w:val="none" w:sz="0" w:space="0" w:color="auto"/>
            <w:right w:val="none" w:sz="0" w:space="0" w:color="auto"/>
          </w:divBdr>
        </w:div>
        <w:div w:id="1459372937">
          <w:marLeft w:val="0"/>
          <w:marRight w:val="0"/>
          <w:marTop w:val="0"/>
          <w:marBottom w:val="0"/>
          <w:divBdr>
            <w:top w:val="none" w:sz="0" w:space="0" w:color="auto"/>
            <w:left w:val="none" w:sz="0" w:space="0" w:color="auto"/>
            <w:bottom w:val="none" w:sz="0" w:space="0" w:color="auto"/>
            <w:right w:val="none" w:sz="0" w:space="0" w:color="auto"/>
          </w:divBdr>
        </w:div>
        <w:div w:id="1785536776">
          <w:marLeft w:val="0"/>
          <w:marRight w:val="0"/>
          <w:marTop w:val="0"/>
          <w:marBottom w:val="0"/>
          <w:divBdr>
            <w:top w:val="none" w:sz="0" w:space="0" w:color="auto"/>
            <w:left w:val="none" w:sz="0" w:space="0" w:color="auto"/>
            <w:bottom w:val="none" w:sz="0" w:space="0" w:color="auto"/>
            <w:right w:val="none" w:sz="0" w:space="0" w:color="auto"/>
          </w:divBdr>
        </w:div>
        <w:div w:id="886642588">
          <w:marLeft w:val="0"/>
          <w:marRight w:val="0"/>
          <w:marTop w:val="0"/>
          <w:marBottom w:val="0"/>
          <w:divBdr>
            <w:top w:val="none" w:sz="0" w:space="0" w:color="auto"/>
            <w:left w:val="none" w:sz="0" w:space="0" w:color="auto"/>
            <w:bottom w:val="none" w:sz="0" w:space="0" w:color="auto"/>
            <w:right w:val="none" w:sz="0" w:space="0" w:color="auto"/>
          </w:divBdr>
        </w:div>
        <w:div w:id="1042360532">
          <w:marLeft w:val="0"/>
          <w:marRight w:val="0"/>
          <w:marTop w:val="0"/>
          <w:marBottom w:val="0"/>
          <w:divBdr>
            <w:top w:val="none" w:sz="0" w:space="0" w:color="auto"/>
            <w:left w:val="none" w:sz="0" w:space="0" w:color="auto"/>
            <w:bottom w:val="none" w:sz="0" w:space="0" w:color="auto"/>
            <w:right w:val="none" w:sz="0" w:space="0" w:color="auto"/>
          </w:divBdr>
        </w:div>
      </w:divsChild>
    </w:div>
    <w:div w:id="1654603448">
      <w:bodyDiv w:val="1"/>
      <w:marLeft w:val="0"/>
      <w:marRight w:val="0"/>
      <w:marTop w:val="0"/>
      <w:marBottom w:val="0"/>
      <w:divBdr>
        <w:top w:val="none" w:sz="0" w:space="0" w:color="auto"/>
        <w:left w:val="none" w:sz="0" w:space="0" w:color="auto"/>
        <w:bottom w:val="none" w:sz="0" w:space="0" w:color="auto"/>
        <w:right w:val="none" w:sz="0" w:space="0" w:color="auto"/>
      </w:divBdr>
    </w:div>
    <w:div w:id="180342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07317107.2019.1599260" TargetMode="External"/><Relationship Id="rId18" Type="http://schemas.openxmlformats.org/officeDocument/2006/relationships/hyperlink" Target="https://www.tandfonline.com/doi/full/10.1080/07317107.2019.1599260" TargetMode="External"/><Relationship Id="rId26" Type="http://schemas.openxmlformats.org/officeDocument/2006/relationships/hyperlink" Target="https://www.tandfonline.com/doi/full/10.1080/07317107.2019.1599260" TargetMode="External"/><Relationship Id="rId39" Type="http://schemas.openxmlformats.org/officeDocument/2006/relationships/hyperlink" Target="https://www.tandfonline.com/doi/full/10.1080/07317107.2019.1599260" TargetMode="External"/><Relationship Id="rId21" Type="http://schemas.openxmlformats.org/officeDocument/2006/relationships/hyperlink" Target="https://www.tandfonline.com/doi/full/10.1080/07317107.2019.1599260" TargetMode="External"/><Relationship Id="rId34" Type="http://schemas.openxmlformats.org/officeDocument/2006/relationships/hyperlink" Target="https://www.tandfonline.com/doi/full/10.1080/07317107.2019.1599260" TargetMode="External"/><Relationship Id="rId42" Type="http://schemas.openxmlformats.org/officeDocument/2006/relationships/hyperlink" Target="https://www.tandfonline.com/doi/full/10.1080/07317107.2019.1599260" TargetMode="External"/><Relationship Id="rId47" Type="http://schemas.openxmlformats.org/officeDocument/2006/relationships/hyperlink" Target="https://www.tandfonline.com/doi/full/10.1080/07317107.2019.1599260" TargetMode="External"/><Relationship Id="rId50" Type="http://schemas.openxmlformats.org/officeDocument/2006/relationships/hyperlink" Target="https://www.tandfonline.com/doi/full/10.1080/07317107.2019.1599260" TargetMode="External"/><Relationship Id="rId55"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tandfonline.com/doi/full/10.1080/07317107.2019.1599260" TargetMode="External"/><Relationship Id="rId29" Type="http://schemas.openxmlformats.org/officeDocument/2006/relationships/hyperlink" Target="https://www.tandfonline.com/doi/full/10.1080/07317107.2019.1599260" TargetMode="External"/><Relationship Id="rId11" Type="http://schemas.openxmlformats.org/officeDocument/2006/relationships/hyperlink" Target="https://www.tandfonline.com/doi/full/10.1080/07317107.2019.1599260" TargetMode="External"/><Relationship Id="rId24" Type="http://schemas.openxmlformats.org/officeDocument/2006/relationships/hyperlink" Target="https://www.tandfonline.com/doi/full/10.1080/07317107.2019.1599260" TargetMode="External"/><Relationship Id="rId32" Type="http://schemas.openxmlformats.org/officeDocument/2006/relationships/hyperlink" Target="https://www.tandfonline.com/doi/full/10.1080/07317107.2019.1599260" TargetMode="External"/><Relationship Id="rId37" Type="http://schemas.openxmlformats.org/officeDocument/2006/relationships/hyperlink" Target="https://www.tandfonline.com/doi/full/10.1080/07317107.2019.1599260" TargetMode="External"/><Relationship Id="rId40" Type="http://schemas.openxmlformats.org/officeDocument/2006/relationships/hyperlink" Target="https://www.tandfonline.com/doi/full/10.1080/07317107.2019.1599260" TargetMode="External"/><Relationship Id="rId45" Type="http://schemas.openxmlformats.org/officeDocument/2006/relationships/hyperlink" Target="https://www.tandfonline.com/doi/full/10.1080/07317107.2019.1599260" TargetMode="External"/><Relationship Id="rId53" Type="http://schemas.openxmlformats.org/officeDocument/2006/relationships/hyperlink" Target="http://www4.od.nih.gov/orwh/outreach" TargetMode="External"/><Relationship Id="rId5" Type="http://schemas.openxmlformats.org/officeDocument/2006/relationships/styles" Target="styles.xml"/><Relationship Id="rId10" Type="http://schemas.openxmlformats.org/officeDocument/2006/relationships/hyperlink" Target="https://www.tandfonline.com/doi/full/10.1080/07317107.2019.1599260" TargetMode="External"/><Relationship Id="rId19" Type="http://schemas.openxmlformats.org/officeDocument/2006/relationships/hyperlink" Target="https://www.tandfonline.com/doi/full/10.1080/07317107.2019.1599260" TargetMode="External"/><Relationship Id="rId31" Type="http://schemas.openxmlformats.org/officeDocument/2006/relationships/hyperlink" Target="https://www.tandfonline.com/doi/full/10.1080/07317107.2019.1599260" TargetMode="External"/><Relationship Id="rId44" Type="http://schemas.openxmlformats.org/officeDocument/2006/relationships/hyperlink" Target="https://www.tandfonline.com/doi/full/10.1080/07317107.2019.1599260" TargetMode="External"/><Relationship Id="rId52" Type="http://schemas.openxmlformats.org/officeDocument/2006/relationships/hyperlink" Target="https://www.census.gov/prod/cen2010/briefs/c2010br-04.pd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tandfonline.com/doi/full/10.1080/07317107.2019.1599260" TargetMode="External"/><Relationship Id="rId22" Type="http://schemas.openxmlformats.org/officeDocument/2006/relationships/hyperlink" Target="https://www.tandfonline.com/doi/full/10.1080/07317107.2019.1599260" TargetMode="External"/><Relationship Id="rId27" Type="http://schemas.openxmlformats.org/officeDocument/2006/relationships/hyperlink" Target="https://www.tandfonline.com/doi/full/10.1080/07317107.2019.1599260" TargetMode="External"/><Relationship Id="rId30" Type="http://schemas.openxmlformats.org/officeDocument/2006/relationships/hyperlink" Target="https://www.tandfonline.com/doi/full/10.1080/07317107.2019.1599260" TargetMode="External"/><Relationship Id="rId35" Type="http://schemas.openxmlformats.org/officeDocument/2006/relationships/hyperlink" Target="https://www.tandfonline.com/doi/full/10.1080/07317107.2019.1599260" TargetMode="External"/><Relationship Id="rId43" Type="http://schemas.openxmlformats.org/officeDocument/2006/relationships/hyperlink" Target="https://www.tandfonline.com/doi/full/10.1080/07317107.2019.1599260" TargetMode="External"/><Relationship Id="rId48" Type="http://schemas.openxmlformats.org/officeDocument/2006/relationships/hyperlink" Target="https://www.tandfonline.com/doi/full/10.1080/07317107.2019.1599260" TargetMode="External"/><Relationship Id="rId56" Type="http://schemas.openxmlformats.org/officeDocument/2006/relationships/theme" Target="theme/theme1.xml"/><Relationship Id="rId8" Type="http://schemas.openxmlformats.org/officeDocument/2006/relationships/hyperlink" Target="10.1080/07317107.2019.1599260" TargetMode="External"/><Relationship Id="rId51" Type="http://schemas.openxmlformats.org/officeDocument/2006/relationships/hyperlink" Target="https://www.tandfonline.com/doi/full/10.1080/07317107.2019.1599260" TargetMode="External"/><Relationship Id="rId3" Type="http://schemas.openxmlformats.org/officeDocument/2006/relationships/customXml" Target="../customXml/item3.xml"/><Relationship Id="rId12" Type="http://schemas.openxmlformats.org/officeDocument/2006/relationships/hyperlink" Target="https://www.tandfonline.com/doi/full/10.1080/07317107.2019.1599260" TargetMode="External"/><Relationship Id="rId17" Type="http://schemas.openxmlformats.org/officeDocument/2006/relationships/hyperlink" Target="https://www.tandfonline.com/doi/full/10.1080/07317107.2019.1599260" TargetMode="External"/><Relationship Id="rId25" Type="http://schemas.openxmlformats.org/officeDocument/2006/relationships/hyperlink" Target="https://www.tandfonline.com/doi/full/10.1080/07317107.2019.1599260" TargetMode="External"/><Relationship Id="rId33" Type="http://schemas.openxmlformats.org/officeDocument/2006/relationships/hyperlink" Target="https://www.tandfonline.com/doi/full/10.1080/07317107.2019.1599260" TargetMode="External"/><Relationship Id="rId38" Type="http://schemas.openxmlformats.org/officeDocument/2006/relationships/hyperlink" Target="https://www.tandfonline.com/doi/full/10.1080/07317107.2019.1599260" TargetMode="External"/><Relationship Id="rId46" Type="http://schemas.openxmlformats.org/officeDocument/2006/relationships/hyperlink" Target="https://www.tandfonline.com/doi/full/10.1080/07317107.2019.1599260" TargetMode="External"/><Relationship Id="rId20" Type="http://schemas.openxmlformats.org/officeDocument/2006/relationships/hyperlink" Target="https://www.tandfonline.com/doi/full/10.1080/07317107.2019.1599260" TargetMode="External"/><Relationship Id="rId41" Type="http://schemas.openxmlformats.org/officeDocument/2006/relationships/hyperlink" Target="https://www.tandfonline.com/doi/full/10.1080/07317107.2019.1599260" TargetMode="External"/><Relationship Id="rId54" Type="http://schemas.openxmlformats.org/officeDocument/2006/relationships/hyperlink" Target="http://factfinder.census.gov/faces/tableservices/jsf/pages/productview.xhtml?pid=PEP_2013_PEPASR6H&amp;prodType=table"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tandfonline.com/doi/full/10.1080/07317107.2019.1599260" TargetMode="External"/><Relationship Id="rId23" Type="http://schemas.openxmlformats.org/officeDocument/2006/relationships/hyperlink" Target="https://www.tandfonline.com/doi/full/10.1080/07317107.2019.1599260" TargetMode="External"/><Relationship Id="rId28" Type="http://schemas.openxmlformats.org/officeDocument/2006/relationships/hyperlink" Target="https://www.tandfonline.com/doi/full/10.1080/07317107.2019.1599260" TargetMode="External"/><Relationship Id="rId36" Type="http://schemas.openxmlformats.org/officeDocument/2006/relationships/hyperlink" Target="https://www.tandfonline.com/doi/full/10.1080/07317107.2019.1599260" TargetMode="External"/><Relationship Id="rId49" Type="http://schemas.openxmlformats.org/officeDocument/2006/relationships/hyperlink" Target="https://www.tandfonline.com/doi/full/10.1080/07317107.2019.15992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6B8CA3-4FDD-4E1C-A053-8099E08639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464C53-0255-4A52-BD0B-A0471B5FA4B3}">
  <ds:schemaRefs>
    <ds:schemaRef ds:uri="http://schemas.microsoft.com/sharepoint/v3/contenttype/forms"/>
  </ds:schemaRefs>
</ds:datastoreItem>
</file>

<file path=customXml/itemProps3.xml><?xml version="1.0" encoding="utf-8"?>
<ds:datastoreItem xmlns:ds="http://schemas.openxmlformats.org/officeDocument/2006/customXml" ds:itemID="{49919524-8309-43BD-9E50-DF8027DCC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3937</TotalTime>
  <Pages>19</Pages>
  <Words>10973</Words>
  <Characters>66277</Characters>
  <Application>Microsoft Office Word</Application>
  <DocSecurity>8</DocSecurity>
  <Lines>1410</Lines>
  <Paragraphs>780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95</cp:revision>
  <dcterms:created xsi:type="dcterms:W3CDTF">2019-07-18T16:22:00Z</dcterms:created>
  <dcterms:modified xsi:type="dcterms:W3CDTF">2019-08-05T13:57:00Z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