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72A65" w:rsidRDefault="000A7622" w:rsidP="003F26DF">
      <w:pPr>
        <w:pStyle w:val="Default"/>
        <w:spacing w:line="276" w:lineRule="auto"/>
        <w:rPr>
          <w:rFonts w:asciiTheme="minorHAnsi" w:hAnsiTheme="minorHAnsi" w:cstheme="minorHAnsi"/>
          <w:sz w:val="22"/>
          <w:szCs w:val="22"/>
        </w:rPr>
      </w:pPr>
      <w:bookmarkStart w:id="0" w:name="_GoBack"/>
      <w:bookmarkEnd w:id="0"/>
    </w:p>
    <w:p w14:paraId="2538F7F5" w14:textId="77777777" w:rsidR="000A7622" w:rsidRPr="00F72A65" w:rsidRDefault="000A7622" w:rsidP="003F26DF">
      <w:pPr>
        <w:autoSpaceDE w:val="0"/>
        <w:autoSpaceDN w:val="0"/>
        <w:adjustRightInd w:val="0"/>
        <w:spacing w:line="276" w:lineRule="auto"/>
        <w:rPr>
          <w:rFonts w:cstheme="minorHAnsi"/>
          <w:b/>
          <w:bCs/>
          <w:color w:val="316192"/>
          <w:sz w:val="28"/>
          <w:szCs w:val="26"/>
        </w:rPr>
      </w:pPr>
      <w:bookmarkStart w:id="1" w:name="_Hlk505159787"/>
      <w:bookmarkStart w:id="2" w:name="_Hlk510431162"/>
      <w:r w:rsidRPr="00F72A65">
        <w:rPr>
          <w:rFonts w:cstheme="minorHAnsi"/>
          <w:b/>
          <w:bCs/>
          <w:color w:val="316192"/>
          <w:sz w:val="28"/>
          <w:szCs w:val="26"/>
        </w:rPr>
        <w:t>Marquette University</w:t>
      </w:r>
    </w:p>
    <w:p w14:paraId="158D4B9F" w14:textId="77777777" w:rsidR="000A7622" w:rsidRPr="00F72A65" w:rsidRDefault="000A7622" w:rsidP="003F26DF">
      <w:pPr>
        <w:autoSpaceDE w:val="0"/>
        <w:autoSpaceDN w:val="0"/>
        <w:adjustRightInd w:val="0"/>
        <w:spacing w:line="276" w:lineRule="auto"/>
        <w:rPr>
          <w:rFonts w:cstheme="minorHAnsi"/>
          <w:b/>
          <w:bCs/>
          <w:color w:val="316192"/>
          <w:sz w:val="40"/>
          <w:szCs w:val="36"/>
        </w:rPr>
      </w:pPr>
      <w:proofErr w:type="spellStart"/>
      <w:r w:rsidRPr="00F72A65">
        <w:rPr>
          <w:rFonts w:cstheme="minorHAnsi"/>
          <w:b/>
          <w:bCs/>
          <w:color w:val="316192"/>
          <w:sz w:val="40"/>
          <w:szCs w:val="36"/>
        </w:rPr>
        <w:t>e-Publications@Marquette</w:t>
      </w:r>
      <w:proofErr w:type="spellEnd"/>
    </w:p>
    <w:p w14:paraId="689ACF87" w14:textId="77777777" w:rsidR="000A7622" w:rsidRPr="00F72A65" w:rsidRDefault="000A7622" w:rsidP="003F26DF">
      <w:pPr>
        <w:autoSpaceDE w:val="0"/>
        <w:autoSpaceDN w:val="0"/>
        <w:adjustRightInd w:val="0"/>
        <w:spacing w:line="276" w:lineRule="auto"/>
        <w:rPr>
          <w:rFonts w:cstheme="minorHAnsi"/>
          <w:b/>
          <w:bCs/>
          <w:i/>
          <w:iCs/>
        </w:rPr>
      </w:pPr>
    </w:p>
    <w:p w14:paraId="161853CC" w14:textId="7B984616" w:rsidR="000A7622" w:rsidRPr="00F72A65" w:rsidRDefault="00AC418D" w:rsidP="003F26DF">
      <w:pPr>
        <w:autoSpaceDE w:val="0"/>
        <w:autoSpaceDN w:val="0"/>
        <w:adjustRightInd w:val="0"/>
        <w:spacing w:line="276" w:lineRule="auto"/>
        <w:rPr>
          <w:rFonts w:cstheme="minorHAnsi"/>
          <w:b/>
          <w:bCs/>
          <w:i/>
          <w:iCs/>
          <w:sz w:val="32"/>
          <w:szCs w:val="32"/>
        </w:rPr>
      </w:pPr>
      <w:r w:rsidRPr="00F72A65">
        <w:rPr>
          <w:rFonts w:cstheme="minorHAnsi"/>
          <w:b/>
          <w:bCs/>
          <w:i/>
          <w:iCs/>
          <w:sz w:val="32"/>
          <w:szCs w:val="32"/>
        </w:rPr>
        <w:t xml:space="preserve">Psychology </w:t>
      </w:r>
      <w:r w:rsidR="000A7622" w:rsidRPr="00F72A65">
        <w:rPr>
          <w:rFonts w:cstheme="minorHAnsi"/>
          <w:b/>
          <w:bCs/>
          <w:i/>
          <w:iCs/>
          <w:sz w:val="32"/>
          <w:szCs w:val="32"/>
        </w:rPr>
        <w:t>Faculty Research and Publications/</w:t>
      </w:r>
      <w:r w:rsidR="009732A9" w:rsidRPr="00F72A65">
        <w:rPr>
          <w:rFonts w:cstheme="minorHAnsi"/>
          <w:b/>
          <w:bCs/>
          <w:i/>
          <w:iCs/>
          <w:sz w:val="32"/>
          <w:szCs w:val="32"/>
        </w:rPr>
        <w:t xml:space="preserve">College of </w:t>
      </w:r>
      <w:r w:rsidRPr="00F72A65">
        <w:rPr>
          <w:rFonts w:cstheme="minorHAnsi"/>
          <w:b/>
          <w:bCs/>
          <w:i/>
          <w:iCs/>
          <w:sz w:val="32"/>
          <w:szCs w:val="32"/>
        </w:rPr>
        <w:t>Arts and Sciences</w:t>
      </w:r>
    </w:p>
    <w:bookmarkEnd w:id="1"/>
    <w:p w14:paraId="3E538636" w14:textId="77777777" w:rsidR="000A7622" w:rsidRPr="00F72A65" w:rsidRDefault="000A7622" w:rsidP="003F26DF">
      <w:pPr>
        <w:spacing w:line="276" w:lineRule="auto"/>
        <w:jc w:val="center"/>
        <w:rPr>
          <w:rFonts w:cstheme="minorHAnsi"/>
          <w:b/>
          <w:bCs/>
          <w:i/>
          <w:iCs/>
        </w:rPr>
      </w:pPr>
    </w:p>
    <w:p w14:paraId="25509BF0" w14:textId="3FC0B04E" w:rsidR="000A7622" w:rsidRPr="00F72A65" w:rsidRDefault="000A7622" w:rsidP="003F26DF">
      <w:pPr>
        <w:spacing w:line="276" w:lineRule="auto"/>
        <w:jc w:val="center"/>
        <w:rPr>
          <w:rFonts w:cstheme="minorHAnsi"/>
          <w:sz w:val="24"/>
          <w:szCs w:val="24"/>
        </w:rPr>
      </w:pPr>
      <w:r w:rsidRPr="00F72A65">
        <w:rPr>
          <w:rFonts w:cstheme="minorHAnsi"/>
          <w:b/>
          <w:bCs/>
          <w:i/>
          <w:iCs/>
          <w:sz w:val="24"/>
          <w:szCs w:val="24"/>
        </w:rPr>
        <w:t xml:space="preserve">This paper is NOT THE PUBLISHED VERSION; </w:t>
      </w:r>
      <w:r w:rsidRPr="00F72A65">
        <w:rPr>
          <w:rFonts w:cstheme="minorHAnsi"/>
          <w:b/>
          <w:bCs/>
          <w:sz w:val="24"/>
          <w:szCs w:val="24"/>
        </w:rPr>
        <w:t xml:space="preserve">but the author’s final, peer-reviewed manuscript. </w:t>
      </w:r>
      <w:r w:rsidRPr="00F72A65">
        <w:rPr>
          <w:rFonts w:cstheme="minorHAnsi"/>
          <w:sz w:val="24"/>
          <w:szCs w:val="24"/>
        </w:rPr>
        <w:t xml:space="preserve">The published version may be accessed by following the link in </w:t>
      </w:r>
      <w:proofErr w:type="spellStart"/>
      <w:r w:rsidRPr="00F72A65">
        <w:rPr>
          <w:rFonts w:cstheme="minorHAnsi"/>
          <w:sz w:val="24"/>
          <w:szCs w:val="24"/>
        </w:rPr>
        <w:t>th</w:t>
      </w:r>
      <w:proofErr w:type="spellEnd"/>
      <w:r w:rsidRPr="00F72A65">
        <w:rPr>
          <w:rFonts w:cstheme="minorHAnsi"/>
          <w:sz w:val="24"/>
          <w:szCs w:val="24"/>
        </w:rPr>
        <w:t xml:space="preserve"> citation below.</w:t>
      </w:r>
    </w:p>
    <w:p w14:paraId="207B0342" w14:textId="77777777" w:rsidR="000A7622" w:rsidRPr="00F72A65" w:rsidRDefault="000A7622" w:rsidP="003F26DF">
      <w:pPr>
        <w:spacing w:line="276" w:lineRule="auto"/>
        <w:jc w:val="center"/>
        <w:rPr>
          <w:rFonts w:cstheme="minorHAnsi"/>
          <w:sz w:val="24"/>
          <w:szCs w:val="24"/>
        </w:rPr>
      </w:pPr>
    </w:p>
    <w:p w14:paraId="4FCEE506" w14:textId="77777777" w:rsidR="00E76A1D" w:rsidRPr="00E76A1D" w:rsidRDefault="00E76A1D" w:rsidP="00E76A1D">
      <w:pPr>
        <w:spacing w:line="276" w:lineRule="auto"/>
        <w:rPr>
          <w:rFonts w:cstheme="minorHAnsi"/>
          <w:i/>
          <w:sz w:val="24"/>
          <w:szCs w:val="24"/>
          <w:lang w:val="fr-FR"/>
        </w:rPr>
      </w:pPr>
    </w:p>
    <w:p w14:paraId="2A38AFE1" w14:textId="2266C785" w:rsidR="000A7622" w:rsidRPr="00F72A65" w:rsidRDefault="00E76A1D" w:rsidP="003F26DF">
      <w:pPr>
        <w:spacing w:line="276" w:lineRule="auto"/>
        <w:rPr>
          <w:rFonts w:cstheme="minorHAnsi"/>
          <w:sz w:val="24"/>
          <w:szCs w:val="24"/>
        </w:rPr>
      </w:pPr>
      <w:proofErr w:type="spellStart"/>
      <w:r w:rsidRPr="00E76A1D">
        <w:rPr>
          <w:rFonts w:cstheme="minorHAnsi"/>
          <w:i/>
          <w:sz w:val="24"/>
          <w:szCs w:val="24"/>
          <w:lang w:val="fr-FR"/>
        </w:rPr>
        <w:t>Neuropsychology</w:t>
      </w:r>
      <w:proofErr w:type="spellEnd"/>
      <w:r w:rsidR="000A7622" w:rsidRPr="00F72A65">
        <w:rPr>
          <w:rFonts w:cstheme="minorHAnsi"/>
          <w:sz w:val="24"/>
          <w:szCs w:val="24"/>
          <w:lang w:val="fr-FR"/>
        </w:rPr>
        <w:t xml:space="preserve">, Vol. </w:t>
      </w:r>
      <w:r w:rsidR="009055FD">
        <w:rPr>
          <w:rFonts w:cstheme="minorHAnsi"/>
          <w:sz w:val="24"/>
          <w:szCs w:val="24"/>
          <w:lang w:val="fr-FR"/>
        </w:rPr>
        <w:t>32</w:t>
      </w:r>
      <w:r w:rsidR="000A7622" w:rsidRPr="00F72A65">
        <w:rPr>
          <w:rFonts w:cstheme="minorHAnsi"/>
          <w:sz w:val="24"/>
          <w:szCs w:val="24"/>
          <w:lang w:val="fr-FR"/>
        </w:rPr>
        <w:t xml:space="preserve">, No. </w:t>
      </w:r>
      <w:r w:rsidR="009055FD">
        <w:rPr>
          <w:rFonts w:cstheme="minorHAnsi"/>
          <w:sz w:val="24"/>
          <w:szCs w:val="24"/>
          <w:lang w:val="fr-FR"/>
        </w:rPr>
        <w:t>6</w:t>
      </w:r>
      <w:r w:rsidR="000A7622" w:rsidRPr="00F72A65">
        <w:rPr>
          <w:rFonts w:cstheme="minorHAnsi"/>
          <w:sz w:val="24"/>
          <w:szCs w:val="24"/>
          <w:lang w:val="fr-FR"/>
        </w:rPr>
        <w:t xml:space="preserve"> (</w:t>
      </w:r>
      <w:r w:rsidR="009055FD">
        <w:rPr>
          <w:rFonts w:cstheme="minorHAnsi"/>
          <w:sz w:val="24"/>
          <w:szCs w:val="24"/>
          <w:lang w:val="fr-FR"/>
        </w:rPr>
        <w:t>2018</w:t>
      </w:r>
      <w:proofErr w:type="gramStart"/>
      <w:r w:rsidR="000A7622" w:rsidRPr="00F72A65">
        <w:rPr>
          <w:rFonts w:cstheme="minorHAnsi"/>
          <w:sz w:val="24"/>
          <w:szCs w:val="24"/>
          <w:lang w:val="fr-FR"/>
        </w:rPr>
        <w:t>):</w:t>
      </w:r>
      <w:proofErr w:type="gramEnd"/>
      <w:r w:rsidR="000A7622" w:rsidRPr="00F72A65">
        <w:rPr>
          <w:rFonts w:cstheme="minorHAnsi"/>
          <w:sz w:val="24"/>
          <w:szCs w:val="24"/>
          <w:lang w:val="fr-FR"/>
        </w:rPr>
        <w:t xml:space="preserve"> </w:t>
      </w:r>
      <w:r w:rsidR="009055FD">
        <w:rPr>
          <w:rFonts w:cstheme="minorHAnsi"/>
          <w:sz w:val="24"/>
          <w:szCs w:val="24"/>
          <w:lang w:val="fr-FR"/>
        </w:rPr>
        <w:t>647-653</w:t>
      </w:r>
      <w:r w:rsidR="000A7622" w:rsidRPr="00F72A65">
        <w:rPr>
          <w:rFonts w:cstheme="minorHAnsi"/>
          <w:sz w:val="24"/>
          <w:szCs w:val="24"/>
          <w:lang w:val="fr-FR"/>
        </w:rPr>
        <w:t xml:space="preserve">. </w:t>
      </w:r>
      <w:hyperlink r:id="rId8" w:history="1">
        <w:r w:rsidR="000A7622" w:rsidRPr="00F72A65">
          <w:rPr>
            <w:rFonts w:cstheme="minorHAnsi"/>
            <w:color w:val="0563C1" w:themeColor="hyperlink"/>
            <w:sz w:val="24"/>
            <w:szCs w:val="24"/>
            <w:u w:val="single"/>
            <w:lang w:val="fr-FR"/>
          </w:rPr>
          <w:t>DOI</w:t>
        </w:r>
      </w:hyperlink>
      <w:r w:rsidR="000A7622" w:rsidRPr="00F72A65">
        <w:rPr>
          <w:rFonts w:cstheme="minorHAnsi"/>
          <w:sz w:val="24"/>
          <w:szCs w:val="24"/>
          <w:lang w:val="fr-FR"/>
        </w:rPr>
        <w:t xml:space="preserve">. </w:t>
      </w:r>
      <w:r w:rsidR="000A7622" w:rsidRPr="00F72A65">
        <w:rPr>
          <w:rFonts w:cstheme="minorHAnsi"/>
          <w:sz w:val="24"/>
          <w:szCs w:val="24"/>
        </w:rPr>
        <w:t xml:space="preserve">This article is © </w:t>
      </w:r>
      <w:r w:rsidR="001E1D35" w:rsidRPr="001E1D35">
        <w:rPr>
          <w:rFonts w:cstheme="minorHAnsi"/>
          <w:sz w:val="24"/>
          <w:szCs w:val="24"/>
        </w:rPr>
        <w:t>American Psychological Association</w:t>
      </w:r>
      <w:r w:rsidR="000A7622" w:rsidRPr="00F72A65">
        <w:rPr>
          <w:rFonts w:cstheme="minorHAnsi"/>
          <w:sz w:val="24"/>
          <w:szCs w:val="24"/>
        </w:rPr>
        <w:t xml:space="preserve"> and permission has been granted for this version to appear in </w:t>
      </w:r>
      <w:hyperlink r:id="rId9" w:history="1">
        <w:proofErr w:type="spellStart"/>
        <w:r w:rsidR="000A7622" w:rsidRPr="00F72A65">
          <w:rPr>
            <w:rFonts w:cstheme="minorHAnsi"/>
            <w:color w:val="0563C1" w:themeColor="hyperlink"/>
            <w:sz w:val="24"/>
            <w:szCs w:val="24"/>
            <w:u w:val="single"/>
          </w:rPr>
          <w:t>e-Publications@Marquette</w:t>
        </w:r>
        <w:proofErr w:type="spellEnd"/>
      </w:hyperlink>
      <w:r w:rsidR="000A7622" w:rsidRPr="00F72A65">
        <w:rPr>
          <w:rFonts w:cstheme="minorHAnsi"/>
          <w:sz w:val="24"/>
          <w:szCs w:val="24"/>
        </w:rPr>
        <w:t xml:space="preserve">. </w:t>
      </w:r>
      <w:r w:rsidR="001E1D35" w:rsidRPr="001E1D35">
        <w:rPr>
          <w:rFonts w:cstheme="minorHAnsi"/>
          <w:sz w:val="24"/>
          <w:szCs w:val="24"/>
        </w:rPr>
        <w:t>American Psychological Association</w:t>
      </w:r>
      <w:r w:rsidR="000A7622" w:rsidRPr="00F72A65">
        <w:rPr>
          <w:rFonts w:cstheme="minorHAnsi"/>
          <w:sz w:val="24"/>
          <w:szCs w:val="24"/>
        </w:rPr>
        <w:t xml:space="preserve"> does not grant permission for this article to be further copied/distributed or hosted elsewhere without the express permission from </w:t>
      </w:r>
      <w:r w:rsidR="001E1D35" w:rsidRPr="001E1D35">
        <w:rPr>
          <w:rFonts w:cstheme="minorHAnsi"/>
          <w:sz w:val="24"/>
          <w:szCs w:val="24"/>
        </w:rPr>
        <w:t>American Psychological Association</w:t>
      </w:r>
      <w:r w:rsidR="000A7622" w:rsidRPr="00F72A65">
        <w:rPr>
          <w:rFonts w:cstheme="minorHAnsi"/>
          <w:sz w:val="24"/>
          <w:szCs w:val="24"/>
        </w:rPr>
        <w:t xml:space="preserve">. </w:t>
      </w:r>
    </w:p>
    <w:p w14:paraId="084BE6F5" w14:textId="403F7A4C" w:rsidR="00AC418D" w:rsidRPr="00F72A65" w:rsidRDefault="009D0F9D" w:rsidP="003F26DF">
      <w:pPr>
        <w:pStyle w:val="Title"/>
        <w:spacing w:line="276" w:lineRule="auto"/>
        <w:rPr>
          <w:rFonts w:asciiTheme="minorHAnsi" w:hAnsiTheme="minorHAnsi" w:cstheme="minorHAnsi"/>
        </w:rPr>
      </w:pPr>
      <w:r w:rsidRPr="00F72A65">
        <w:rPr>
          <w:rFonts w:asciiTheme="minorHAnsi" w:hAnsiTheme="minorHAnsi" w:cstheme="minorHAnsi"/>
        </w:rPr>
        <w:t xml:space="preserve">Differential </w:t>
      </w:r>
      <w:r w:rsidR="00EF3492" w:rsidRPr="00F72A65">
        <w:rPr>
          <w:rFonts w:asciiTheme="minorHAnsi" w:hAnsiTheme="minorHAnsi" w:cstheme="minorHAnsi"/>
        </w:rPr>
        <w:t xml:space="preserve">5-Year Brain Atrophy Rates in Cognitively Declining and Stable </w:t>
      </w:r>
      <w:r w:rsidRPr="00F72A65">
        <w:rPr>
          <w:rFonts w:asciiTheme="minorHAnsi" w:hAnsiTheme="minorHAnsi" w:cstheme="minorHAnsi"/>
        </w:rPr>
        <w:t>APOE</w:t>
      </w:r>
      <w:r w:rsidR="00EF3492" w:rsidRPr="00F72A65">
        <w:rPr>
          <w:rFonts w:asciiTheme="minorHAnsi" w:hAnsiTheme="minorHAnsi" w:cstheme="minorHAnsi"/>
        </w:rPr>
        <w:t>-Ε4 Elders</w:t>
      </w:r>
    </w:p>
    <w:p w14:paraId="663C3965" w14:textId="77777777" w:rsidR="00EF3492" w:rsidRPr="00F72A65" w:rsidRDefault="00EF3492" w:rsidP="003F26DF">
      <w:pPr>
        <w:spacing w:line="276" w:lineRule="auto"/>
        <w:rPr>
          <w:rFonts w:cstheme="minorHAnsi"/>
          <w:b/>
          <w:bCs/>
          <w:sz w:val="24"/>
          <w:szCs w:val="24"/>
        </w:rPr>
      </w:pPr>
    </w:p>
    <w:p w14:paraId="662DC629" w14:textId="3DA46179" w:rsidR="009D0F9D" w:rsidRPr="00F72A65" w:rsidRDefault="00EF3492" w:rsidP="003F26DF">
      <w:pPr>
        <w:spacing w:line="276" w:lineRule="auto"/>
        <w:rPr>
          <w:rFonts w:cstheme="minorHAnsi"/>
          <w:sz w:val="24"/>
          <w:szCs w:val="24"/>
        </w:rPr>
      </w:pPr>
      <w:r w:rsidRPr="00F72A65">
        <w:rPr>
          <w:rFonts w:cstheme="minorHAnsi"/>
          <w:b/>
          <w:bCs/>
          <w:sz w:val="24"/>
          <w:szCs w:val="24"/>
        </w:rPr>
        <w:t>Dana A. Kelly</w:t>
      </w:r>
      <w:r w:rsidRPr="00F72A65">
        <w:rPr>
          <w:rFonts w:cstheme="minorHAnsi"/>
          <w:sz w:val="24"/>
          <w:szCs w:val="24"/>
        </w:rPr>
        <w:br/>
      </w:r>
      <w:r w:rsidRPr="00F72A65">
        <w:rPr>
          <w:rFonts w:cstheme="minorHAnsi"/>
          <w:i/>
          <w:iCs/>
          <w:sz w:val="24"/>
          <w:szCs w:val="24"/>
        </w:rPr>
        <w:t>Department of Psychology, Rosalind Franklin University of Medicine and Science</w:t>
      </w:r>
      <w:r w:rsidRPr="00F72A65">
        <w:rPr>
          <w:rFonts w:cstheme="minorHAnsi"/>
          <w:sz w:val="24"/>
          <w:szCs w:val="24"/>
        </w:rPr>
        <w:br/>
      </w:r>
      <w:r w:rsidRPr="00F72A65">
        <w:rPr>
          <w:rFonts w:cstheme="minorHAnsi"/>
          <w:b/>
          <w:bCs/>
          <w:sz w:val="24"/>
          <w:szCs w:val="24"/>
        </w:rPr>
        <w:t>Michael Seidenberg</w:t>
      </w:r>
      <w:r w:rsidRPr="00F72A65">
        <w:rPr>
          <w:rFonts w:cstheme="minorHAnsi"/>
          <w:sz w:val="24"/>
          <w:szCs w:val="24"/>
        </w:rPr>
        <w:br/>
      </w:r>
      <w:r w:rsidRPr="00F72A65">
        <w:rPr>
          <w:rFonts w:cstheme="minorHAnsi"/>
          <w:i/>
          <w:iCs/>
          <w:sz w:val="24"/>
          <w:szCs w:val="24"/>
        </w:rPr>
        <w:t>Department of Psychology, Rosalind Franklin University of Medicine and Science</w:t>
      </w:r>
      <w:r w:rsidRPr="00F72A65">
        <w:rPr>
          <w:rFonts w:cstheme="minorHAnsi"/>
          <w:sz w:val="24"/>
          <w:szCs w:val="24"/>
        </w:rPr>
        <w:br/>
      </w:r>
      <w:r w:rsidRPr="00F72A65">
        <w:rPr>
          <w:rFonts w:cstheme="minorHAnsi"/>
          <w:b/>
          <w:bCs/>
          <w:sz w:val="24"/>
          <w:szCs w:val="24"/>
        </w:rPr>
        <w:t>Katherine Reiter</w:t>
      </w:r>
      <w:r w:rsidRPr="00F72A65">
        <w:rPr>
          <w:rFonts w:cstheme="minorHAnsi"/>
          <w:sz w:val="24"/>
          <w:szCs w:val="24"/>
        </w:rPr>
        <w:br/>
      </w:r>
      <w:r w:rsidRPr="00F72A65">
        <w:rPr>
          <w:rFonts w:cstheme="minorHAnsi"/>
          <w:i/>
          <w:iCs/>
          <w:sz w:val="24"/>
          <w:szCs w:val="24"/>
        </w:rPr>
        <w:t>Department of Psychology, Marquette University</w:t>
      </w:r>
      <w:r w:rsidRPr="00F72A65">
        <w:rPr>
          <w:rFonts w:cstheme="minorHAnsi"/>
          <w:sz w:val="24"/>
          <w:szCs w:val="24"/>
        </w:rPr>
        <w:br/>
      </w:r>
      <w:r w:rsidRPr="00F72A65">
        <w:rPr>
          <w:rFonts w:cstheme="minorHAnsi"/>
          <w:b/>
          <w:bCs/>
          <w:sz w:val="24"/>
          <w:szCs w:val="24"/>
        </w:rPr>
        <w:t>Kristy A. Nielson</w:t>
      </w:r>
      <w:r w:rsidRPr="00F72A65">
        <w:rPr>
          <w:rFonts w:cstheme="minorHAnsi"/>
          <w:sz w:val="24"/>
          <w:szCs w:val="24"/>
        </w:rPr>
        <w:br/>
      </w:r>
      <w:r w:rsidRPr="00F72A65">
        <w:rPr>
          <w:rFonts w:cstheme="minorHAnsi"/>
          <w:i/>
          <w:iCs/>
          <w:sz w:val="24"/>
          <w:szCs w:val="24"/>
        </w:rPr>
        <w:t>Department of Psychology, Marquette University</w:t>
      </w:r>
      <w:r w:rsidRPr="00F72A65">
        <w:rPr>
          <w:rFonts w:cstheme="minorHAnsi"/>
          <w:sz w:val="24"/>
          <w:szCs w:val="24"/>
        </w:rPr>
        <w:br/>
      </w:r>
      <w:r w:rsidRPr="00F72A65">
        <w:rPr>
          <w:rFonts w:cstheme="minorHAnsi"/>
          <w:b/>
          <w:bCs/>
          <w:sz w:val="24"/>
          <w:szCs w:val="24"/>
        </w:rPr>
        <w:t>John L. Woodard</w:t>
      </w:r>
      <w:r w:rsidRPr="00F72A65">
        <w:rPr>
          <w:rFonts w:cstheme="minorHAnsi"/>
          <w:sz w:val="24"/>
          <w:szCs w:val="24"/>
        </w:rPr>
        <w:br/>
      </w:r>
      <w:r w:rsidRPr="00F72A65">
        <w:rPr>
          <w:rFonts w:cstheme="minorHAnsi"/>
          <w:i/>
          <w:iCs/>
          <w:sz w:val="24"/>
          <w:szCs w:val="24"/>
        </w:rPr>
        <w:t>Department of Psychology, Wayne State University</w:t>
      </w:r>
      <w:r w:rsidRPr="00F72A65">
        <w:rPr>
          <w:rFonts w:cstheme="minorHAnsi"/>
          <w:sz w:val="24"/>
          <w:szCs w:val="24"/>
        </w:rPr>
        <w:br/>
      </w:r>
      <w:r w:rsidRPr="00F72A65">
        <w:rPr>
          <w:rFonts w:cstheme="minorHAnsi"/>
          <w:b/>
          <w:bCs/>
          <w:sz w:val="24"/>
          <w:szCs w:val="24"/>
        </w:rPr>
        <w:t>J. Carson Smith</w:t>
      </w:r>
      <w:r w:rsidRPr="00F72A65">
        <w:rPr>
          <w:rFonts w:cstheme="minorHAnsi"/>
          <w:sz w:val="24"/>
          <w:szCs w:val="24"/>
        </w:rPr>
        <w:br/>
      </w:r>
      <w:r w:rsidRPr="00F72A65">
        <w:rPr>
          <w:rFonts w:cstheme="minorHAnsi"/>
          <w:i/>
          <w:iCs/>
          <w:sz w:val="24"/>
          <w:szCs w:val="24"/>
        </w:rPr>
        <w:lastRenderedPageBreak/>
        <w:t>Department of Kinesiology, School of Public Health, University of Maryland</w:t>
      </w:r>
      <w:r w:rsidRPr="00F72A65">
        <w:rPr>
          <w:rFonts w:cstheme="minorHAnsi"/>
          <w:sz w:val="24"/>
          <w:szCs w:val="24"/>
        </w:rPr>
        <w:br/>
      </w:r>
      <w:r w:rsidRPr="00F72A65">
        <w:rPr>
          <w:rFonts w:cstheme="minorHAnsi"/>
          <w:b/>
          <w:bCs/>
          <w:sz w:val="24"/>
          <w:szCs w:val="24"/>
        </w:rPr>
        <w:t xml:space="preserve">Sally </w:t>
      </w:r>
      <w:proofErr w:type="spellStart"/>
      <w:r w:rsidRPr="00F72A65">
        <w:rPr>
          <w:rFonts w:cstheme="minorHAnsi"/>
          <w:b/>
          <w:bCs/>
          <w:sz w:val="24"/>
          <w:szCs w:val="24"/>
        </w:rPr>
        <w:t>Durgerian</w:t>
      </w:r>
      <w:proofErr w:type="spellEnd"/>
      <w:r w:rsidRPr="00F72A65">
        <w:rPr>
          <w:rFonts w:cstheme="minorHAnsi"/>
          <w:sz w:val="24"/>
          <w:szCs w:val="24"/>
        </w:rPr>
        <w:br/>
      </w:r>
      <w:proofErr w:type="spellStart"/>
      <w:r w:rsidRPr="00F72A65">
        <w:rPr>
          <w:rFonts w:cstheme="minorHAnsi"/>
          <w:i/>
          <w:iCs/>
          <w:sz w:val="24"/>
          <w:szCs w:val="24"/>
        </w:rPr>
        <w:t>BrainDataDriven</w:t>
      </w:r>
      <w:proofErr w:type="spellEnd"/>
      <w:r w:rsidRPr="00F72A65">
        <w:rPr>
          <w:rFonts w:cstheme="minorHAnsi"/>
          <w:i/>
          <w:iCs/>
          <w:sz w:val="24"/>
          <w:szCs w:val="24"/>
        </w:rPr>
        <w:t xml:space="preserve"> LLC, Milwaukee, Wisconsin</w:t>
      </w:r>
      <w:r w:rsidRPr="00F72A65">
        <w:rPr>
          <w:rFonts w:cstheme="minorHAnsi"/>
          <w:sz w:val="24"/>
          <w:szCs w:val="24"/>
        </w:rPr>
        <w:br/>
      </w:r>
      <w:r w:rsidRPr="00F72A65">
        <w:rPr>
          <w:rFonts w:cstheme="minorHAnsi"/>
          <w:b/>
          <w:bCs/>
          <w:sz w:val="24"/>
          <w:szCs w:val="24"/>
        </w:rPr>
        <w:t>Stephen M. Rao</w:t>
      </w:r>
      <w:r w:rsidRPr="00F72A65">
        <w:rPr>
          <w:rFonts w:cstheme="minorHAnsi"/>
          <w:sz w:val="24"/>
          <w:szCs w:val="24"/>
        </w:rPr>
        <w:br/>
      </w:r>
      <w:proofErr w:type="spellStart"/>
      <w:r w:rsidRPr="00F72A65">
        <w:rPr>
          <w:rFonts w:cstheme="minorHAnsi"/>
          <w:i/>
          <w:iCs/>
          <w:sz w:val="24"/>
          <w:szCs w:val="24"/>
        </w:rPr>
        <w:t>Schey</w:t>
      </w:r>
      <w:proofErr w:type="spellEnd"/>
      <w:r w:rsidRPr="00F72A65">
        <w:rPr>
          <w:rFonts w:cstheme="minorHAnsi"/>
          <w:i/>
          <w:iCs/>
          <w:sz w:val="24"/>
          <w:szCs w:val="24"/>
        </w:rPr>
        <w:t xml:space="preserve"> Center for Cognitive Neuroimaging, Cleveland Clinic, Cleveland, Ohio</w:t>
      </w:r>
      <w:r w:rsidRPr="00F72A65">
        <w:rPr>
          <w:rFonts w:cstheme="minorHAnsi"/>
          <w:sz w:val="24"/>
          <w:szCs w:val="24"/>
        </w:rPr>
        <w:t>;</w:t>
      </w:r>
    </w:p>
    <w:bookmarkEnd w:id="2"/>
    <w:p w14:paraId="5BC0075B" w14:textId="09DEDC7E" w:rsidR="000A7622" w:rsidRDefault="00A81852" w:rsidP="00FB209A">
      <w:pPr>
        <w:pStyle w:val="Heading1"/>
      </w:pPr>
      <w:r>
        <w:t>Abstract</w:t>
      </w:r>
    </w:p>
    <w:p w14:paraId="7AA76509" w14:textId="77777777" w:rsidR="00FB209A" w:rsidRPr="00FB209A" w:rsidRDefault="00FB209A" w:rsidP="00FB209A">
      <w:pPr>
        <w:spacing w:line="276" w:lineRule="auto"/>
        <w:rPr>
          <w:rFonts w:cstheme="minorHAnsi"/>
        </w:rPr>
      </w:pPr>
      <w:r w:rsidRPr="00FB209A">
        <w:rPr>
          <w:rFonts w:cstheme="minorHAnsi"/>
        </w:rPr>
        <w:t xml:space="preserve">Objective: The apolipoprotein E (APOE) ε4 allele is the most important genetic risk factor for late-onset Alzheimer’s disease. Many ε4 carriers, however, never develop Alzheimer’s disease. The purpose of this study is to characterize the variability in phenotypic expression of the ε4 allele, as measured by the longitudinal trajectory of cognitive test scores and MRI brain volumes, in cognitively intact elders. Method: Healthy older adults, ages 65–85, participated in a 5-year longitudinal study that included structural MRI and cognitive testing administered at baseline and at 1.5 and 5 years </w:t>
      </w:r>
      <w:proofErr w:type="spellStart"/>
      <w:r w:rsidRPr="00FB209A">
        <w:rPr>
          <w:rFonts w:cstheme="minorHAnsi"/>
        </w:rPr>
        <w:t>postenrollment</w:t>
      </w:r>
      <w:proofErr w:type="spellEnd"/>
      <w:r w:rsidRPr="00FB209A">
        <w:rPr>
          <w:rFonts w:cstheme="minorHAnsi"/>
        </w:rPr>
        <w:t>. Participants included 22 ε4 noncarriers, 15 ε4 carriers who experienced a decline in cognition over the 5-year interval, and 11 ε4 carriers who remained cognitively stable. Results: No baseline cognitive or volumetric group differences were observed. Compared to noncarriers, declining ε4 carriers had significantly greater rates of atrophy in left (p = .001, Cohen’s d = .691) and right (p = .003, d = .622) cortical gray matter, left (p = .003, d = .625) and right (p = .020, d = .492) hippocampi, and greater expansion of the right inferior lateral ventricle (p &lt; .001, d = .751) over 5 years. Conclusions: This study illustrates the variability in phenotypic expression of the ε4 allele related to neurodegeneration. Specifically, only those individuals who exhibited longitudinal declines in cognitive function experienced concomitant changes in brain volume. Future research is needed to better understand the biological and lifestyle factors that may influence the expression of the ε4 allele. (PsycINFO Database Record (c) 2018 APA, all rights reserved)</w:t>
      </w:r>
    </w:p>
    <w:p w14:paraId="02DBF14D" w14:textId="77777777" w:rsidR="00FB209A" w:rsidRPr="00FB209A" w:rsidRDefault="00FB209A" w:rsidP="00FB209A">
      <w:pPr>
        <w:pStyle w:val="Heading1"/>
      </w:pPr>
      <w:r w:rsidRPr="00FB209A">
        <w:t>Impact Statement</w:t>
      </w:r>
    </w:p>
    <w:p w14:paraId="4AC4C128" w14:textId="77777777" w:rsidR="00FB209A" w:rsidRPr="00FB209A" w:rsidRDefault="00FB209A" w:rsidP="00FB209A">
      <w:pPr>
        <w:spacing w:line="276" w:lineRule="auto"/>
        <w:rPr>
          <w:rFonts w:cstheme="minorHAnsi"/>
        </w:rPr>
      </w:pPr>
      <w:r w:rsidRPr="00FB209A">
        <w:rPr>
          <w:rFonts w:cstheme="minorHAnsi"/>
          <w:b/>
          <w:bCs/>
        </w:rPr>
        <w:t>General Scientific Summary</w:t>
      </w:r>
      <w:r w:rsidRPr="00FB209A">
        <w:rPr>
          <w:rFonts w:cstheme="minorHAnsi"/>
        </w:rPr>
        <w:t>—Possession of an APOE ε4 allele significantly increases the risk of developing late-onset Alzheimer’s disease (LOAD). This longitudinal study illustrates that cognitively intact ε4 elders exhibit varying rates of brain atrophy as a function of declines in cognition function. This variability in phenotypic expression of the ε4 allele may ultimately lead to the identification of modifiable biological and/or lifestyle factors that mitigate the risk of developing LOAD. (PsycINFO Database Record (c) 2018 APA, all rights reserved)</w:t>
      </w:r>
    </w:p>
    <w:p w14:paraId="576C4E75" w14:textId="1CA28091"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Style w:val="Strong"/>
          <w:rFonts w:asciiTheme="minorHAnsi" w:eastAsiaTheme="majorEastAsia" w:hAnsiTheme="minorHAnsi" w:cstheme="minorHAnsi"/>
          <w:color w:val="333333"/>
          <w:sz w:val="20"/>
          <w:szCs w:val="20"/>
          <w:bdr w:val="none" w:sz="0" w:space="0" w:color="auto" w:frame="1"/>
        </w:rPr>
        <w:t>Acknowledgement: </w:t>
      </w:r>
      <w:r w:rsidRPr="00F72A65">
        <w:rPr>
          <w:rFonts w:asciiTheme="minorHAnsi" w:hAnsiTheme="minorHAnsi" w:cstheme="minorHAnsi"/>
          <w:color w:val="333333"/>
          <w:sz w:val="20"/>
          <w:szCs w:val="20"/>
        </w:rPr>
        <w:t xml:space="preserve">We thank Piero </w:t>
      </w:r>
      <w:proofErr w:type="spellStart"/>
      <w:r w:rsidRPr="00F72A65">
        <w:rPr>
          <w:rFonts w:asciiTheme="minorHAnsi" w:hAnsiTheme="minorHAnsi" w:cstheme="minorHAnsi"/>
          <w:color w:val="333333"/>
          <w:sz w:val="20"/>
          <w:szCs w:val="20"/>
        </w:rPr>
        <w:t>Antuono</w:t>
      </w:r>
      <w:proofErr w:type="spellEnd"/>
      <w:r w:rsidRPr="00F72A65">
        <w:rPr>
          <w:rFonts w:asciiTheme="minorHAnsi" w:hAnsiTheme="minorHAnsi" w:cstheme="minorHAnsi"/>
          <w:color w:val="333333"/>
          <w:sz w:val="20"/>
          <w:szCs w:val="20"/>
        </w:rPr>
        <w:t xml:space="preserve">, Alissa M. Butts, Kelli L. Douville, Christina M. Figueroa, Malgorzata </w:t>
      </w:r>
      <w:proofErr w:type="spellStart"/>
      <w:r w:rsidRPr="00F72A65">
        <w:rPr>
          <w:rFonts w:asciiTheme="minorHAnsi" w:hAnsiTheme="minorHAnsi" w:cstheme="minorHAnsi"/>
          <w:color w:val="333333"/>
          <w:sz w:val="20"/>
          <w:szCs w:val="20"/>
        </w:rPr>
        <w:t>Franczak</w:t>
      </w:r>
      <w:proofErr w:type="spellEnd"/>
      <w:r w:rsidRPr="00F72A65">
        <w:rPr>
          <w:rFonts w:asciiTheme="minorHAnsi" w:hAnsiTheme="minorHAnsi" w:cstheme="minorHAnsi"/>
          <w:color w:val="333333"/>
          <w:sz w:val="20"/>
          <w:szCs w:val="20"/>
        </w:rPr>
        <w:t xml:space="preserve">, Amelia Gander, Evan Gross, Leslie M. </w:t>
      </w:r>
      <w:proofErr w:type="spellStart"/>
      <w:r w:rsidRPr="00F72A65">
        <w:rPr>
          <w:rFonts w:asciiTheme="minorHAnsi" w:hAnsiTheme="minorHAnsi" w:cstheme="minorHAnsi"/>
          <w:color w:val="333333"/>
          <w:sz w:val="20"/>
          <w:szCs w:val="20"/>
        </w:rPr>
        <w:t>Guidotti-Breting</w:t>
      </w:r>
      <w:proofErr w:type="spellEnd"/>
      <w:r w:rsidRPr="00F72A65">
        <w:rPr>
          <w:rFonts w:asciiTheme="minorHAnsi" w:hAnsiTheme="minorHAnsi" w:cstheme="minorHAnsi"/>
          <w:color w:val="333333"/>
          <w:sz w:val="20"/>
          <w:szCs w:val="20"/>
        </w:rPr>
        <w:t xml:space="preserve">, Nathan C. </w:t>
      </w:r>
      <w:proofErr w:type="spellStart"/>
      <w:r w:rsidRPr="00F72A65">
        <w:rPr>
          <w:rFonts w:asciiTheme="minorHAnsi" w:hAnsiTheme="minorHAnsi" w:cstheme="minorHAnsi"/>
          <w:color w:val="333333"/>
          <w:sz w:val="20"/>
          <w:szCs w:val="20"/>
        </w:rPr>
        <w:t>Hantke</w:t>
      </w:r>
      <w:proofErr w:type="spellEnd"/>
      <w:r w:rsidRPr="00F72A65">
        <w:rPr>
          <w:rFonts w:asciiTheme="minorHAnsi" w:hAnsiTheme="minorHAnsi" w:cstheme="minorHAnsi"/>
          <w:color w:val="333333"/>
          <w:sz w:val="20"/>
          <w:szCs w:val="20"/>
        </w:rPr>
        <w:t xml:space="preserve">, Kathleen E. Hazlett, Emily </w:t>
      </w:r>
      <w:proofErr w:type="spellStart"/>
      <w:r w:rsidRPr="00F72A65">
        <w:rPr>
          <w:rFonts w:asciiTheme="minorHAnsi" w:hAnsiTheme="minorHAnsi" w:cstheme="minorHAnsi"/>
          <w:color w:val="333333"/>
          <w:sz w:val="20"/>
          <w:szCs w:val="20"/>
        </w:rPr>
        <w:t>Hoida</w:t>
      </w:r>
      <w:proofErr w:type="spellEnd"/>
      <w:r w:rsidRPr="00F72A65">
        <w:rPr>
          <w:rFonts w:asciiTheme="minorHAnsi" w:hAnsiTheme="minorHAnsi" w:cstheme="minorHAnsi"/>
          <w:color w:val="333333"/>
          <w:sz w:val="20"/>
          <w:szCs w:val="20"/>
        </w:rPr>
        <w:t xml:space="preserve">, Cassandra </w:t>
      </w:r>
      <w:proofErr w:type="spellStart"/>
      <w:r w:rsidRPr="00F72A65">
        <w:rPr>
          <w:rFonts w:asciiTheme="minorHAnsi" w:hAnsiTheme="minorHAnsi" w:cstheme="minorHAnsi"/>
          <w:color w:val="333333"/>
          <w:sz w:val="20"/>
          <w:szCs w:val="20"/>
        </w:rPr>
        <w:t>Kandah</w:t>
      </w:r>
      <w:proofErr w:type="spellEnd"/>
      <w:r w:rsidRPr="00F72A65">
        <w:rPr>
          <w:rFonts w:asciiTheme="minorHAnsi" w:hAnsiTheme="minorHAnsi" w:cstheme="minorHAnsi"/>
          <w:color w:val="333333"/>
          <w:sz w:val="20"/>
          <w:szCs w:val="20"/>
        </w:rPr>
        <w:t>, Christina D. Kay, Melissa A. Lancaster, Monica Matthews, Sarah K. Miller, Andria L. Norman, Michael A. Sugarman, and Qi Zhang for their assistance. This work was supported by the National Institutes of Health Grant R01 AG022304. The content is solely the responsibility of the authors and does not necessarily represent the official views of the National Institute on Aging or the National Institutes of Health.</w:t>
      </w:r>
    </w:p>
    <w:p w14:paraId="212AE9F5" w14:textId="77777777" w:rsidR="005D006E" w:rsidRPr="00F72A65" w:rsidRDefault="005D006E"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10ABC89" w14:textId="0ABE4D3A"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The apolipoprotein E (</w:t>
      </w:r>
      <w:r w:rsidRPr="00F72A65">
        <w:rPr>
          <w:rStyle w:val="Emphasis"/>
          <w:rFonts w:asciiTheme="minorHAnsi" w:eastAsiaTheme="majorEastAsia" w:hAnsiTheme="minorHAnsi" w:cstheme="minorHAnsi"/>
          <w:color w:val="333333"/>
          <w:sz w:val="20"/>
          <w:szCs w:val="20"/>
          <w:bdr w:val="none" w:sz="0" w:space="0" w:color="auto" w:frame="1"/>
        </w:rPr>
        <w:t>APOE</w:t>
      </w:r>
      <w:r w:rsidRPr="00F72A65">
        <w:rPr>
          <w:rFonts w:asciiTheme="minorHAnsi" w:hAnsiTheme="minorHAnsi" w:cstheme="minorHAnsi"/>
          <w:color w:val="333333"/>
          <w:sz w:val="20"/>
          <w:szCs w:val="20"/>
        </w:rPr>
        <w:t>) ε4 allele confers an increased risk for developing late-onset Alzheimer’s disease (LOAD; </w:t>
      </w:r>
      <w:proofErr w:type="spellStart"/>
      <w:r w:rsidRPr="00F72A65">
        <w:rPr>
          <w:rFonts w:asciiTheme="minorHAnsi" w:hAnsiTheme="minorHAnsi" w:cstheme="minorHAnsi"/>
          <w:color w:val="333333"/>
          <w:sz w:val="20"/>
          <w:szCs w:val="20"/>
        </w:rPr>
        <w:fldChar w:fldCharType="begin"/>
      </w:r>
      <w:r w:rsidRPr="00F72A65">
        <w:rPr>
          <w:rFonts w:asciiTheme="minorHAnsi" w:hAnsiTheme="minorHAnsi" w:cstheme="minorHAnsi"/>
          <w:color w:val="333333"/>
          <w:sz w:val="20"/>
          <w:szCs w:val="20"/>
        </w:rPr>
        <w:instrText xml:space="preserve"> HYPERLINK "https://0-web-b-ebscohost-com.libus.csd.mu.edu/ehost/detail/detail?vid=2&amp;sid=e4b036ec-461a-47a7-bc9e-307d3aa3ff5a%40sessionmgr101&amp;bdata=JnNpdGU9ZWhvc3QtbGl2ZQ%3d%3d" \l "c3" </w:instrText>
      </w:r>
      <w:r w:rsidRPr="00F72A65">
        <w:rPr>
          <w:rFonts w:asciiTheme="minorHAnsi" w:hAnsiTheme="minorHAnsi" w:cstheme="minorHAnsi"/>
          <w:color w:val="333333"/>
          <w:sz w:val="20"/>
          <w:szCs w:val="20"/>
        </w:rPr>
        <w:fldChar w:fldCharType="separate"/>
      </w:r>
      <w:r w:rsidRPr="00F72A65">
        <w:rPr>
          <w:rStyle w:val="Hyperlink"/>
          <w:rFonts w:asciiTheme="minorHAnsi" w:eastAsiaTheme="majorEastAsia" w:hAnsiTheme="minorHAnsi" w:cstheme="minorHAnsi"/>
          <w:color w:val="005BC6"/>
          <w:sz w:val="20"/>
          <w:szCs w:val="20"/>
          <w:bdr w:val="none" w:sz="0" w:space="0" w:color="auto" w:frame="1"/>
        </w:rPr>
        <w:t>Corder</w:t>
      </w:r>
      <w:proofErr w:type="spellEnd"/>
      <w:r w:rsidRPr="00F72A65">
        <w:rPr>
          <w:rStyle w:val="Hyperlink"/>
          <w:rFonts w:asciiTheme="minorHAnsi" w:eastAsiaTheme="majorEastAsia" w:hAnsiTheme="minorHAnsi" w:cstheme="minorHAnsi"/>
          <w:color w:val="005BC6"/>
          <w:sz w:val="20"/>
          <w:szCs w:val="20"/>
          <w:bdr w:val="none" w:sz="0" w:space="0" w:color="auto" w:frame="1"/>
        </w:rPr>
        <w:t xml:space="preserve"> et al., 1993</w:t>
      </w:r>
      <w:r w:rsidRPr="00F72A65">
        <w:rPr>
          <w:rFonts w:asciiTheme="minorHAnsi" w:hAnsiTheme="minorHAnsi" w:cstheme="minorHAnsi"/>
          <w:color w:val="333333"/>
          <w:sz w:val="20"/>
          <w:szCs w:val="20"/>
        </w:rPr>
        <w:fldChar w:fldCharType="end"/>
      </w:r>
      <w:r w:rsidRPr="00F72A65">
        <w:rPr>
          <w:rFonts w:asciiTheme="minorHAnsi" w:hAnsiTheme="minorHAnsi" w:cstheme="minorHAnsi"/>
          <w:color w:val="333333"/>
          <w:sz w:val="20"/>
          <w:szCs w:val="20"/>
        </w:rPr>
        <w:t>; </w:t>
      </w:r>
      <w:hyperlink r:id="rId10" w:anchor="c11" w:history="1">
        <w:r w:rsidRPr="00F72A65">
          <w:rPr>
            <w:rStyle w:val="Hyperlink"/>
            <w:rFonts w:asciiTheme="minorHAnsi" w:eastAsiaTheme="majorEastAsia" w:hAnsiTheme="minorHAnsi" w:cstheme="minorHAnsi"/>
            <w:color w:val="005BC6"/>
            <w:sz w:val="20"/>
            <w:szCs w:val="20"/>
            <w:bdr w:val="none" w:sz="0" w:space="0" w:color="auto" w:frame="1"/>
          </w:rPr>
          <w:t>Liu et al., 2015</w:t>
        </w:r>
      </w:hyperlink>
      <w:r w:rsidRPr="00F72A65">
        <w:rPr>
          <w:rFonts w:asciiTheme="minorHAnsi" w:hAnsiTheme="minorHAnsi" w:cstheme="minorHAnsi"/>
          <w:color w:val="333333"/>
          <w:sz w:val="20"/>
          <w:szCs w:val="20"/>
        </w:rPr>
        <w:t>; </w:t>
      </w:r>
      <w:hyperlink r:id="rId11" w:anchor="c25" w:history="1">
        <w:r w:rsidRPr="00F72A65">
          <w:rPr>
            <w:rStyle w:val="Hyperlink"/>
            <w:rFonts w:asciiTheme="minorHAnsi" w:eastAsiaTheme="majorEastAsia" w:hAnsiTheme="minorHAnsi" w:cstheme="minorHAnsi"/>
            <w:color w:val="005BC6"/>
            <w:sz w:val="20"/>
            <w:szCs w:val="20"/>
            <w:bdr w:val="none" w:sz="0" w:space="0" w:color="auto" w:frame="1"/>
          </w:rPr>
          <w:t>Smith et al., 1998</w:t>
        </w:r>
      </w:hyperlink>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APOE</w:t>
      </w:r>
      <w:r w:rsidRPr="00F72A65">
        <w:rPr>
          <w:rFonts w:asciiTheme="minorHAnsi" w:hAnsiTheme="minorHAnsi" w:cstheme="minorHAnsi"/>
          <w:color w:val="333333"/>
          <w:sz w:val="20"/>
          <w:szCs w:val="20"/>
        </w:rPr>
        <w:t> ε4 homozygotes experience a 13- to 15-fold increased chance of being diagnosed during their lifetime, whereas ε4 heterozygotes experience a 3-fold increase (</w:t>
      </w:r>
      <w:hyperlink r:id="rId12" w:anchor="c1" w:history="1">
        <w:r w:rsidRPr="00F72A65">
          <w:rPr>
            <w:rStyle w:val="Hyperlink"/>
            <w:rFonts w:asciiTheme="minorHAnsi" w:eastAsiaTheme="majorEastAsia" w:hAnsiTheme="minorHAnsi" w:cstheme="minorHAnsi"/>
            <w:color w:val="005BC6"/>
            <w:sz w:val="20"/>
            <w:szCs w:val="20"/>
            <w:bdr w:val="none" w:sz="0" w:space="0" w:color="auto" w:frame="1"/>
          </w:rPr>
          <w:t>Ashford, 2004</w:t>
        </w:r>
      </w:hyperlink>
      <w:r w:rsidRPr="00F72A65">
        <w:rPr>
          <w:rFonts w:asciiTheme="minorHAnsi" w:hAnsiTheme="minorHAnsi" w:cstheme="minorHAnsi"/>
          <w:color w:val="333333"/>
          <w:sz w:val="20"/>
          <w:szCs w:val="20"/>
        </w:rPr>
        <w:t>). Even prior to the diagnosis of mild cognitive impairment or LOAD, older adults possessing an </w:t>
      </w:r>
      <w:r w:rsidRPr="00F72A65">
        <w:rPr>
          <w:rStyle w:val="Emphasis"/>
          <w:rFonts w:asciiTheme="minorHAnsi" w:eastAsiaTheme="majorEastAsia" w:hAnsiTheme="minorHAnsi" w:cstheme="minorHAnsi"/>
          <w:color w:val="333333"/>
          <w:sz w:val="20"/>
          <w:szCs w:val="20"/>
          <w:bdr w:val="none" w:sz="0" w:space="0" w:color="auto" w:frame="1"/>
        </w:rPr>
        <w:t>APOE</w:t>
      </w:r>
      <w:r w:rsidRPr="00F72A65">
        <w:rPr>
          <w:rFonts w:asciiTheme="minorHAnsi" w:hAnsiTheme="minorHAnsi" w:cstheme="minorHAnsi"/>
          <w:color w:val="333333"/>
          <w:sz w:val="20"/>
          <w:szCs w:val="20"/>
        </w:rPr>
        <w:t> ε4 allele experience greater cognitive deficits in episodic memory, executive functioning, perceptual speed, and global cognition than noncarriers (</w:t>
      </w:r>
      <w:hyperlink r:id="rId13" w:anchor="c31" w:history="1">
        <w:r w:rsidRPr="00F72A65">
          <w:rPr>
            <w:rStyle w:val="Hyperlink"/>
            <w:rFonts w:asciiTheme="minorHAnsi" w:eastAsiaTheme="majorEastAsia" w:hAnsiTheme="minorHAnsi" w:cstheme="minorHAnsi"/>
            <w:color w:val="005BC6"/>
            <w:sz w:val="20"/>
            <w:szCs w:val="20"/>
            <w:bdr w:val="none" w:sz="0" w:space="0" w:color="auto" w:frame="1"/>
          </w:rPr>
          <w:t>Wisdom, Callahan, &amp; Hawkins, 2011</w:t>
        </w:r>
      </w:hyperlink>
      <w:r w:rsidRPr="00F72A65">
        <w:rPr>
          <w:rFonts w:asciiTheme="minorHAnsi" w:hAnsiTheme="minorHAnsi" w:cstheme="minorHAnsi"/>
          <w:color w:val="333333"/>
          <w:sz w:val="20"/>
          <w:szCs w:val="20"/>
        </w:rPr>
        <w:t>). Longitudinal studies of cognitively intact, older ε4 carriers and noncarriers demonstrate greater cognitive decline in the former group over time (</w:t>
      </w:r>
      <w:proofErr w:type="spellStart"/>
      <w:r w:rsidRPr="00F72A65">
        <w:rPr>
          <w:rFonts w:asciiTheme="minorHAnsi" w:hAnsiTheme="minorHAnsi" w:cstheme="minorHAnsi"/>
          <w:color w:val="333333"/>
          <w:sz w:val="20"/>
          <w:szCs w:val="20"/>
        </w:rPr>
        <w:fldChar w:fldCharType="begin"/>
      </w:r>
      <w:r w:rsidRPr="00F72A65">
        <w:rPr>
          <w:rFonts w:asciiTheme="minorHAnsi" w:hAnsiTheme="minorHAnsi" w:cstheme="minorHAnsi"/>
          <w:color w:val="333333"/>
          <w:sz w:val="20"/>
          <w:szCs w:val="20"/>
        </w:rPr>
        <w:instrText xml:space="preserve"> HYPERLINK "https://0-web-b-ebscohost-com.libus.csd.mu.edu/ehost/detail/detail?vid=2&amp;sid=e4b036ec-461a-47a7-bc9e-307d3aa3ff5a%40sessionmgr101&amp;bdata=JnNpdGU9ZWhvc3QtbGl2ZQ%3d%3d" \l "c15" </w:instrText>
      </w:r>
      <w:r w:rsidRPr="00F72A65">
        <w:rPr>
          <w:rFonts w:asciiTheme="minorHAnsi" w:hAnsiTheme="minorHAnsi" w:cstheme="minorHAnsi"/>
          <w:color w:val="333333"/>
          <w:sz w:val="20"/>
          <w:szCs w:val="20"/>
        </w:rPr>
        <w:fldChar w:fldCharType="separate"/>
      </w:r>
      <w:r w:rsidRPr="00F72A65">
        <w:rPr>
          <w:rStyle w:val="Hyperlink"/>
          <w:rFonts w:asciiTheme="minorHAnsi" w:eastAsiaTheme="majorEastAsia" w:hAnsiTheme="minorHAnsi" w:cstheme="minorHAnsi"/>
          <w:color w:val="005BC6"/>
          <w:sz w:val="20"/>
          <w:szCs w:val="20"/>
          <w:bdr w:val="none" w:sz="0" w:space="0" w:color="auto" w:frame="1"/>
        </w:rPr>
        <w:t>Pietrzak</w:t>
      </w:r>
      <w:proofErr w:type="spellEnd"/>
      <w:r w:rsidRPr="00F72A65">
        <w:rPr>
          <w:rStyle w:val="Hyperlink"/>
          <w:rFonts w:asciiTheme="minorHAnsi" w:eastAsiaTheme="majorEastAsia" w:hAnsiTheme="minorHAnsi" w:cstheme="minorHAnsi"/>
          <w:color w:val="005BC6"/>
          <w:sz w:val="20"/>
          <w:szCs w:val="20"/>
          <w:bdr w:val="none" w:sz="0" w:space="0" w:color="auto" w:frame="1"/>
        </w:rPr>
        <w:t xml:space="preserve"> et al., 2015</w:t>
      </w:r>
      <w:r w:rsidRPr="00F72A65">
        <w:rPr>
          <w:rFonts w:asciiTheme="minorHAnsi" w:hAnsiTheme="minorHAnsi" w:cstheme="minorHAnsi"/>
          <w:color w:val="333333"/>
          <w:sz w:val="20"/>
          <w:szCs w:val="20"/>
        </w:rPr>
        <w:fldChar w:fldCharType="end"/>
      </w:r>
      <w:r w:rsidRPr="00F72A65">
        <w:rPr>
          <w:rFonts w:asciiTheme="minorHAnsi" w:hAnsiTheme="minorHAnsi" w:cstheme="minorHAnsi"/>
          <w:color w:val="333333"/>
          <w:sz w:val="20"/>
          <w:szCs w:val="20"/>
        </w:rPr>
        <w:t>; </w:t>
      </w:r>
      <w:hyperlink r:id="rId14" w:anchor="c16" w:history="1">
        <w:r w:rsidRPr="00F72A65">
          <w:rPr>
            <w:rStyle w:val="Hyperlink"/>
            <w:rFonts w:asciiTheme="minorHAnsi" w:eastAsiaTheme="majorEastAsia" w:hAnsiTheme="minorHAnsi" w:cstheme="minorHAnsi"/>
            <w:color w:val="005BC6"/>
            <w:sz w:val="20"/>
            <w:szCs w:val="20"/>
            <w:bdr w:val="none" w:sz="0" w:space="0" w:color="auto" w:frame="1"/>
          </w:rPr>
          <w:t>Rao et al., 2015</w:t>
        </w:r>
      </w:hyperlink>
      <w:r w:rsidRPr="00F72A65">
        <w:rPr>
          <w:rFonts w:asciiTheme="minorHAnsi" w:hAnsiTheme="minorHAnsi" w:cstheme="minorHAnsi"/>
          <w:color w:val="333333"/>
          <w:sz w:val="20"/>
          <w:szCs w:val="20"/>
        </w:rPr>
        <w:t>; </w:t>
      </w:r>
      <w:hyperlink r:id="rId15" w:anchor="c32" w:history="1">
        <w:r w:rsidRPr="00F72A65">
          <w:rPr>
            <w:rStyle w:val="Hyperlink"/>
            <w:rFonts w:asciiTheme="minorHAnsi" w:eastAsiaTheme="majorEastAsia" w:hAnsiTheme="minorHAnsi" w:cstheme="minorHAnsi"/>
            <w:color w:val="005BC6"/>
            <w:sz w:val="20"/>
            <w:szCs w:val="20"/>
            <w:bdr w:val="none" w:sz="0" w:space="0" w:color="auto" w:frame="1"/>
          </w:rPr>
          <w:t>Woodard et al., 2010</w:t>
        </w:r>
      </w:hyperlink>
      <w:r w:rsidRPr="00F72A65">
        <w:rPr>
          <w:rFonts w:asciiTheme="minorHAnsi" w:hAnsiTheme="minorHAnsi" w:cstheme="minorHAnsi"/>
          <w:color w:val="333333"/>
          <w:sz w:val="20"/>
          <w:szCs w:val="20"/>
        </w:rPr>
        <w:t>). Likewise, longitudinal structural MRI studies indicate significantly different trajectories of neurodegeneration in the hippocampus and ventricles between cognitively intact, older ε4 carriers and noncarriers (</w:t>
      </w:r>
      <w:hyperlink r:id="rId16" w:anchor="c12" w:history="1">
        <w:r w:rsidRPr="00F72A65">
          <w:rPr>
            <w:rStyle w:val="Hyperlink"/>
            <w:rFonts w:asciiTheme="minorHAnsi" w:eastAsiaTheme="majorEastAsia" w:hAnsiTheme="minorHAnsi" w:cstheme="minorHAnsi"/>
            <w:color w:val="005BC6"/>
            <w:sz w:val="20"/>
            <w:szCs w:val="20"/>
            <w:bdr w:val="none" w:sz="0" w:space="0" w:color="auto" w:frame="1"/>
          </w:rPr>
          <w:t>Lu et al., 2011</w:t>
        </w:r>
      </w:hyperlink>
      <w:r w:rsidRPr="00F72A65">
        <w:rPr>
          <w:rFonts w:asciiTheme="minorHAnsi" w:hAnsiTheme="minorHAnsi" w:cstheme="minorHAnsi"/>
          <w:color w:val="333333"/>
          <w:sz w:val="20"/>
          <w:szCs w:val="20"/>
        </w:rPr>
        <w:t>; </w:t>
      </w:r>
      <w:hyperlink r:id="rId17" w:anchor="c17" w:history="1">
        <w:r w:rsidRPr="00F72A65">
          <w:rPr>
            <w:rStyle w:val="Hyperlink"/>
            <w:rFonts w:asciiTheme="minorHAnsi" w:eastAsiaTheme="majorEastAsia" w:hAnsiTheme="minorHAnsi" w:cstheme="minorHAnsi"/>
            <w:color w:val="005BC6"/>
            <w:sz w:val="20"/>
            <w:szCs w:val="20"/>
            <w:bdr w:val="none" w:sz="0" w:space="0" w:color="auto" w:frame="1"/>
          </w:rPr>
          <w:t>Reiter et al., 2016</w:t>
        </w:r>
      </w:hyperlink>
      <w:r w:rsidRPr="00F72A65">
        <w:rPr>
          <w:rFonts w:asciiTheme="minorHAnsi" w:hAnsiTheme="minorHAnsi" w:cstheme="minorHAnsi"/>
          <w:color w:val="333333"/>
          <w:sz w:val="20"/>
          <w:szCs w:val="20"/>
        </w:rPr>
        <w:t>; </w:t>
      </w:r>
      <w:proofErr w:type="spellStart"/>
      <w:r w:rsidRPr="00F72A65">
        <w:rPr>
          <w:rFonts w:asciiTheme="minorHAnsi" w:hAnsiTheme="minorHAnsi" w:cstheme="minorHAnsi"/>
          <w:color w:val="333333"/>
          <w:sz w:val="20"/>
          <w:szCs w:val="20"/>
        </w:rPr>
        <w:fldChar w:fldCharType="begin"/>
      </w:r>
      <w:r w:rsidRPr="00F72A65">
        <w:rPr>
          <w:rFonts w:asciiTheme="minorHAnsi" w:hAnsiTheme="minorHAnsi" w:cstheme="minorHAnsi"/>
          <w:color w:val="333333"/>
          <w:sz w:val="20"/>
          <w:szCs w:val="20"/>
        </w:rPr>
        <w:instrText xml:space="preserve"> HYPERLINK "https://0-web-b-ebscohost-com.libus.csd.mu.edu/ehost/detail/detail?vid=2&amp;sid=e4b036ec-461a-47a7-bc9e-307d3aa3ff5a%40sessionmgr101&amp;bdata=JnNpdGU9ZWhvc3QtbGl2ZQ%3d%3d" \l "c20" </w:instrText>
      </w:r>
      <w:r w:rsidRPr="00F72A65">
        <w:rPr>
          <w:rFonts w:asciiTheme="minorHAnsi" w:hAnsiTheme="minorHAnsi" w:cstheme="minorHAnsi"/>
          <w:color w:val="333333"/>
          <w:sz w:val="20"/>
          <w:szCs w:val="20"/>
        </w:rPr>
        <w:fldChar w:fldCharType="separate"/>
      </w:r>
      <w:r w:rsidRPr="00F72A65">
        <w:rPr>
          <w:rStyle w:val="Hyperlink"/>
          <w:rFonts w:asciiTheme="minorHAnsi" w:eastAsiaTheme="majorEastAsia" w:hAnsiTheme="minorHAnsi" w:cstheme="minorHAnsi"/>
          <w:color w:val="005BC6"/>
          <w:sz w:val="20"/>
          <w:szCs w:val="20"/>
          <w:bdr w:val="none" w:sz="0" w:space="0" w:color="auto" w:frame="1"/>
        </w:rPr>
        <w:t>Roussotte</w:t>
      </w:r>
      <w:proofErr w:type="spellEnd"/>
      <w:r w:rsidRPr="00F72A65">
        <w:rPr>
          <w:rStyle w:val="Hyperlink"/>
          <w:rFonts w:asciiTheme="minorHAnsi" w:eastAsiaTheme="majorEastAsia" w:hAnsiTheme="minorHAnsi" w:cstheme="minorHAnsi"/>
          <w:color w:val="005BC6"/>
          <w:sz w:val="20"/>
          <w:szCs w:val="20"/>
          <w:bdr w:val="none" w:sz="0" w:space="0" w:color="auto" w:frame="1"/>
        </w:rPr>
        <w:t xml:space="preserve"> et al., 2014</w:t>
      </w:r>
      <w:r w:rsidRPr="00F72A65">
        <w:rPr>
          <w:rFonts w:asciiTheme="minorHAnsi" w:hAnsiTheme="minorHAnsi" w:cstheme="minorHAnsi"/>
          <w:color w:val="333333"/>
          <w:sz w:val="20"/>
          <w:szCs w:val="20"/>
        </w:rPr>
        <w:fldChar w:fldCharType="end"/>
      </w:r>
      <w:r w:rsidRPr="00F72A65">
        <w:rPr>
          <w:rFonts w:asciiTheme="minorHAnsi" w:hAnsiTheme="minorHAnsi" w:cstheme="minorHAnsi"/>
          <w:color w:val="333333"/>
          <w:sz w:val="20"/>
          <w:szCs w:val="20"/>
        </w:rPr>
        <w:t>).</w:t>
      </w:r>
    </w:p>
    <w:p w14:paraId="41A567F6" w14:textId="77777777" w:rsidR="005D006E" w:rsidRPr="00F72A65" w:rsidRDefault="005D006E"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43EFD266" w14:textId="77777777"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Such studies tend to treat ε4 carriers as a homogeneous group. Yet, many cognitively intact elders with the ε4 allele never develop LOAD during a normal life span (</w:t>
      </w:r>
      <w:proofErr w:type="spellStart"/>
      <w:r w:rsidRPr="00F72A65">
        <w:rPr>
          <w:rFonts w:asciiTheme="minorHAnsi" w:hAnsiTheme="minorHAnsi" w:cstheme="minorHAnsi"/>
          <w:color w:val="333333"/>
          <w:sz w:val="20"/>
          <w:szCs w:val="20"/>
        </w:rPr>
        <w:fldChar w:fldCharType="begin"/>
      </w:r>
      <w:r w:rsidRPr="00F72A65">
        <w:rPr>
          <w:rFonts w:asciiTheme="minorHAnsi" w:hAnsiTheme="minorHAnsi" w:cstheme="minorHAnsi"/>
          <w:color w:val="333333"/>
          <w:sz w:val="20"/>
          <w:szCs w:val="20"/>
        </w:rPr>
        <w:instrText xml:space="preserve"> HYPERLINK "https://0-web-b-ebscohost-com.libus.csd.mu.edu/ehost/detail/detail?vid=2&amp;sid=e4b036ec-461a-47a7-bc9e-307d3aa3ff5a%40sessionmgr101&amp;bdata=JnNpdGU9ZWhvc3QtbGl2ZQ%3d%3d" \l "c18" </w:instrText>
      </w:r>
      <w:r w:rsidRPr="00F72A65">
        <w:rPr>
          <w:rFonts w:asciiTheme="minorHAnsi" w:hAnsiTheme="minorHAnsi" w:cstheme="minorHAnsi"/>
          <w:color w:val="333333"/>
          <w:sz w:val="20"/>
          <w:szCs w:val="20"/>
        </w:rPr>
        <w:fldChar w:fldCharType="separate"/>
      </w:r>
      <w:r w:rsidRPr="00F72A65">
        <w:rPr>
          <w:rStyle w:val="Hyperlink"/>
          <w:rFonts w:asciiTheme="minorHAnsi" w:eastAsiaTheme="majorEastAsia" w:hAnsiTheme="minorHAnsi" w:cstheme="minorHAnsi"/>
          <w:color w:val="005BC6"/>
          <w:sz w:val="20"/>
          <w:szCs w:val="20"/>
          <w:bdr w:val="none" w:sz="0" w:space="0" w:color="auto" w:frame="1"/>
        </w:rPr>
        <w:t>Relkin</w:t>
      </w:r>
      <w:proofErr w:type="spellEnd"/>
      <w:r w:rsidRPr="00F72A65">
        <w:rPr>
          <w:rStyle w:val="Hyperlink"/>
          <w:rFonts w:asciiTheme="minorHAnsi" w:eastAsiaTheme="majorEastAsia" w:hAnsiTheme="minorHAnsi" w:cstheme="minorHAnsi"/>
          <w:color w:val="005BC6"/>
          <w:sz w:val="20"/>
          <w:szCs w:val="20"/>
          <w:bdr w:val="none" w:sz="0" w:space="0" w:color="auto" w:frame="1"/>
        </w:rPr>
        <w:t>, Kwon, Tsai, &amp; Gandy, 1996</w:t>
      </w:r>
      <w:r w:rsidRPr="00F72A65">
        <w:rPr>
          <w:rFonts w:asciiTheme="minorHAnsi" w:hAnsiTheme="minorHAnsi" w:cstheme="minorHAnsi"/>
          <w:color w:val="333333"/>
          <w:sz w:val="20"/>
          <w:szCs w:val="20"/>
        </w:rPr>
        <w:fldChar w:fldCharType="end"/>
      </w:r>
      <w:r w:rsidRPr="00F72A65">
        <w:rPr>
          <w:rFonts w:asciiTheme="minorHAnsi" w:hAnsiTheme="minorHAnsi" w:cstheme="minorHAnsi"/>
          <w:color w:val="333333"/>
          <w:sz w:val="20"/>
          <w:szCs w:val="20"/>
        </w:rPr>
        <w:t>). A lack of uniform deterioration among ε4 carriers may be explained by biological (e.g., </w:t>
      </w:r>
      <w:r w:rsidRPr="00F72A65">
        <w:rPr>
          <w:rStyle w:val="Emphasis"/>
          <w:rFonts w:asciiTheme="minorHAnsi" w:eastAsiaTheme="majorEastAsia" w:hAnsiTheme="minorHAnsi" w:cstheme="minorHAnsi"/>
          <w:color w:val="333333"/>
          <w:sz w:val="20"/>
          <w:szCs w:val="20"/>
          <w:bdr w:val="none" w:sz="0" w:space="0" w:color="auto" w:frame="1"/>
        </w:rPr>
        <w:t>APOE</w:t>
      </w:r>
      <w:r w:rsidRPr="00F72A65">
        <w:rPr>
          <w:rFonts w:asciiTheme="minorHAnsi" w:hAnsiTheme="minorHAnsi" w:cstheme="minorHAnsi"/>
          <w:color w:val="333333"/>
          <w:sz w:val="20"/>
          <w:szCs w:val="20"/>
        </w:rPr>
        <w:t> ε4 zygosity, comorbid medical illnesses) and/or lifestyle (e.g., education, physical activity) factors that likely modulate the impact of the ε4 allele on the development of Alzheimer’s disease (AD; </w:t>
      </w:r>
      <w:hyperlink r:id="rId18" w:anchor="c22" w:history="1">
        <w:r w:rsidRPr="00F72A65">
          <w:rPr>
            <w:rStyle w:val="Hyperlink"/>
            <w:rFonts w:asciiTheme="minorHAnsi" w:eastAsiaTheme="majorEastAsia" w:hAnsiTheme="minorHAnsi" w:cstheme="minorHAnsi"/>
            <w:color w:val="005BC6"/>
            <w:sz w:val="20"/>
            <w:szCs w:val="20"/>
            <w:bdr w:val="none" w:sz="0" w:space="0" w:color="auto" w:frame="1"/>
          </w:rPr>
          <w:t xml:space="preserve">Schwartz, </w:t>
        </w:r>
        <w:proofErr w:type="spellStart"/>
        <w:r w:rsidRPr="00F72A65">
          <w:rPr>
            <w:rStyle w:val="Hyperlink"/>
            <w:rFonts w:asciiTheme="minorHAnsi" w:eastAsiaTheme="majorEastAsia" w:hAnsiTheme="minorHAnsi" w:cstheme="minorHAnsi"/>
            <w:color w:val="005BC6"/>
            <w:sz w:val="20"/>
            <w:szCs w:val="20"/>
            <w:bdr w:val="none" w:sz="0" w:space="0" w:color="auto" w:frame="1"/>
          </w:rPr>
          <w:t>Rapkin</w:t>
        </w:r>
        <w:proofErr w:type="spellEnd"/>
        <w:r w:rsidRPr="00F72A65">
          <w:rPr>
            <w:rStyle w:val="Hyperlink"/>
            <w:rFonts w:asciiTheme="minorHAnsi" w:eastAsiaTheme="majorEastAsia" w:hAnsiTheme="minorHAnsi" w:cstheme="minorHAnsi"/>
            <w:color w:val="005BC6"/>
            <w:sz w:val="20"/>
            <w:szCs w:val="20"/>
            <w:bdr w:val="none" w:sz="0" w:space="0" w:color="auto" w:frame="1"/>
          </w:rPr>
          <w:t>, &amp; Healy, 2016</w:t>
        </w:r>
      </w:hyperlink>
      <w:r w:rsidRPr="00F72A65">
        <w:rPr>
          <w:rFonts w:asciiTheme="minorHAnsi" w:hAnsiTheme="minorHAnsi" w:cstheme="minorHAnsi"/>
          <w:color w:val="333333"/>
          <w:sz w:val="20"/>
          <w:szCs w:val="20"/>
        </w:rPr>
        <w:t>; </w:t>
      </w:r>
      <w:hyperlink r:id="rId19" w:anchor="c24" w:history="1">
        <w:r w:rsidRPr="00F72A65">
          <w:rPr>
            <w:rStyle w:val="Hyperlink"/>
            <w:rFonts w:asciiTheme="minorHAnsi" w:eastAsiaTheme="majorEastAsia" w:hAnsiTheme="minorHAnsi" w:cstheme="minorHAnsi"/>
            <w:color w:val="005BC6"/>
            <w:sz w:val="20"/>
            <w:szCs w:val="20"/>
            <w:bdr w:val="none" w:sz="0" w:space="0" w:color="auto" w:frame="1"/>
          </w:rPr>
          <w:t xml:space="preserve">Small, </w:t>
        </w:r>
        <w:proofErr w:type="spellStart"/>
        <w:r w:rsidRPr="00F72A65">
          <w:rPr>
            <w:rStyle w:val="Hyperlink"/>
            <w:rFonts w:asciiTheme="minorHAnsi" w:eastAsiaTheme="majorEastAsia" w:hAnsiTheme="minorHAnsi" w:cstheme="minorHAnsi"/>
            <w:color w:val="005BC6"/>
            <w:sz w:val="20"/>
            <w:szCs w:val="20"/>
            <w:bdr w:val="none" w:sz="0" w:space="0" w:color="auto" w:frame="1"/>
          </w:rPr>
          <w:t>Rosnick</w:t>
        </w:r>
        <w:proofErr w:type="spellEnd"/>
        <w:r w:rsidRPr="00F72A65">
          <w:rPr>
            <w:rStyle w:val="Hyperlink"/>
            <w:rFonts w:asciiTheme="minorHAnsi" w:eastAsiaTheme="majorEastAsia" w:hAnsiTheme="minorHAnsi" w:cstheme="minorHAnsi"/>
            <w:color w:val="005BC6"/>
            <w:sz w:val="20"/>
            <w:szCs w:val="20"/>
            <w:bdr w:val="none" w:sz="0" w:space="0" w:color="auto" w:frame="1"/>
          </w:rPr>
          <w:t xml:space="preserve">, </w:t>
        </w:r>
        <w:proofErr w:type="spellStart"/>
        <w:r w:rsidRPr="00F72A65">
          <w:rPr>
            <w:rStyle w:val="Hyperlink"/>
            <w:rFonts w:asciiTheme="minorHAnsi" w:eastAsiaTheme="majorEastAsia" w:hAnsiTheme="minorHAnsi" w:cstheme="minorHAnsi"/>
            <w:color w:val="005BC6"/>
            <w:sz w:val="20"/>
            <w:szCs w:val="20"/>
            <w:bdr w:val="none" w:sz="0" w:space="0" w:color="auto" w:frame="1"/>
          </w:rPr>
          <w:t>Fratiglioni</w:t>
        </w:r>
        <w:proofErr w:type="spellEnd"/>
        <w:r w:rsidRPr="00F72A65">
          <w:rPr>
            <w:rStyle w:val="Hyperlink"/>
            <w:rFonts w:asciiTheme="minorHAnsi" w:eastAsiaTheme="majorEastAsia" w:hAnsiTheme="minorHAnsi" w:cstheme="minorHAnsi"/>
            <w:color w:val="005BC6"/>
            <w:sz w:val="20"/>
            <w:szCs w:val="20"/>
            <w:bdr w:val="none" w:sz="0" w:space="0" w:color="auto" w:frame="1"/>
          </w:rPr>
          <w:t xml:space="preserve">, &amp; </w:t>
        </w:r>
        <w:proofErr w:type="spellStart"/>
        <w:r w:rsidRPr="00F72A65">
          <w:rPr>
            <w:rStyle w:val="Hyperlink"/>
            <w:rFonts w:asciiTheme="minorHAnsi" w:eastAsiaTheme="majorEastAsia" w:hAnsiTheme="minorHAnsi" w:cstheme="minorHAnsi"/>
            <w:color w:val="005BC6"/>
            <w:sz w:val="20"/>
            <w:szCs w:val="20"/>
            <w:bdr w:val="none" w:sz="0" w:space="0" w:color="auto" w:frame="1"/>
          </w:rPr>
          <w:t>Bäckman</w:t>
        </w:r>
        <w:proofErr w:type="spellEnd"/>
        <w:r w:rsidRPr="00F72A65">
          <w:rPr>
            <w:rStyle w:val="Hyperlink"/>
            <w:rFonts w:asciiTheme="minorHAnsi" w:eastAsiaTheme="majorEastAsia" w:hAnsiTheme="minorHAnsi" w:cstheme="minorHAnsi"/>
            <w:color w:val="005BC6"/>
            <w:sz w:val="20"/>
            <w:szCs w:val="20"/>
            <w:bdr w:val="none" w:sz="0" w:space="0" w:color="auto" w:frame="1"/>
          </w:rPr>
          <w:t>, 2004</w:t>
        </w:r>
      </w:hyperlink>
      <w:r w:rsidRPr="00F72A65">
        <w:rPr>
          <w:rFonts w:asciiTheme="minorHAnsi" w:hAnsiTheme="minorHAnsi" w:cstheme="minorHAnsi"/>
          <w:color w:val="333333"/>
          <w:sz w:val="20"/>
          <w:szCs w:val="20"/>
        </w:rPr>
        <w:t>; </w:t>
      </w:r>
      <w:hyperlink r:id="rId20" w:anchor="c28" w:history="1">
        <w:r w:rsidRPr="00F72A65">
          <w:rPr>
            <w:rStyle w:val="Hyperlink"/>
            <w:rFonts w:asciiTheme="minorHAnsi" w:eastAsiaTheme="majorEastAsia" w:hAnsiTheme="minorHAnsi" w:cstheme="minorHAnsi"/>
            <w:color w:val="005BC6"/>
            <w:sz w:val="20"/>
            <w:szCs w:val="20"/>
            <w:bdr w:val="none" w:sz="0" w:space="0" w:color="auto" w:frame="1"/>
          </w:rPr>
          <w:t>Smith et al., 2014</w:t>
        </w:r>
      </w:hyperlink>
      <w:r w:rsidRPr="00F72A65">
        <w:rPr>
          <w:rFonts w:asciiTheme="minorHAnsi" w:hAnsiTheme="minorHAnsi" w:cstheme="minorHAnsi"/>
          <w:color w:val="333333"/>
          <w:sz w:val="20"/>
          <w:szCs w:val="20"/>
        </w:rPr>
        <w:t>).</w:t>
      </w:r>
    </w:p>
    <w:p w14:paraId="571089CF" w14:textId="77777777" w:rsidR="005071CD" w:rsidRPr="00F72A65" w:rsidRDefault="005071CD"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62676BFE" w14:textId="068C7FD4"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The primary purpose of this longitudinal study is to examine the variability in phenotypic expression of the ε4 allele in elders who were cognitively intact at study entry. Over the course of the 5-year interval, a subset of ε4 carriers experienced a decline in cognitive status (“ε4+ declining”). We hypothesized that the ε4+ declining group would experience greater volumetric changes as measured by structural MRI than ε4 carriers who experienced no meaningful changes in cognitive performance over the 5-year interval (“ε4+ stable”) and ε4 noncarriers (“ε4−”). A previous study conducted on this sample (</w:t>
      </w:r>
      <w:hyperlink r:id="rId21" w:anchor="c17" w:history="1">
        <w:r w:rsidRPr="00F72A65">
          <w:rPr>
            <w:rStyle w:val="Hyperlink"/>
            <w:rFonts w:asciiTheme="minorHAnsi" w:eastAsiaTheme="majorEastAsia" w:hAnsiTheme="minorHAnsi" w:cstheme="minorHAnsi"/>
            <w:color w:val="005BC6"/>
            <w:sz w:val="20"/>
            <w:szCs w:val="20"/>
            <w:bdr w:val="none" w:sz="0" w:space="0" w:color="auto" w:frame="1"/>
          </w:rPr>
          <w:t>Reiter et al., 2016</w:t>
        </w:r>
      </w:hyperlink>
      <w:r w:rsidRPr="00F72A65">
        <w:rPr>
          <w:rFonts w:asciiTheme="minorHAnsi" w:hAnsiTheme="minorHAnsi" w:cstheme="minorHAnsi"/>
          <w:color w:val="333333"/>
          <w:sz w:val="20"/>
          <w:szCs w:val="20"/>
        </w:rPr>
        <w:t>) identified differences in longitudinal changes in hippocampal volume, global gray matter volume, and ventricular size between ε4 carriers and noncarriers. The present study focused on differences in the rate of volumetric change in these anatomical regions between stable and declining ε4 carriers and noncarriers.</w:t>
      </w:r>
    </w:p>
    <w:p w14:paraId="34A6E06B" w14:textId="77777777" w:rsidR="003A0A2B" w:rsidRPr="00F72A65" w:rsidRDefault="00E168FC" w:rsidP="005071CD">
      <w:pPr>
        <w:pStyle w:val="Heading1"/>
        <w:rPr>
          <w:rFonts w:asciiTheme="minorHAnsi" w:hAnsiTheme="minorHAnsi" w:cstheme="minorHAnsi"/>
        </w:rPr>
      </w:pPr>
      <w:hyperlink r:id="rId22" w:anchor="toc" w:tooltip="Method" w:history="1">
        <w:r w:rsidR="003A0A2B" w:rsidRPr="00F72A65">
          <w:rPr>
            <w:rStyle w:val="Hyperlink"/>
            <w:rFonts w:asciiTheme="minorHAnsi" w:hAnsiTheme="minorHAnsi" w:cstheme="minorHAnsi"/>
            <w:color w:val="262626" w:themeColor="text1" w:themeTint="D9"/>
            <w:u w:val="none"/>
          </w:rPr>
          <w:t>Method</w:t>
        </w:r>
      </w:hyperlink>
    </w:p>
    <w:p w14:paraId="647081A3" w14:textId="77777777" w:rsidR="003A0A2B" w:rsidRPr="00F72A65" w:rsidRDefault="003A0A2B" w:rsidP="005071CD">
      <w:pPr>
        <w:pStyle w:val="Heading2"/>
        <w:rPr>
          <w:rFonts w:asciiTheme="minorHAnsi" w:hAnsiTheme="minorHAnsi" w:cstheme="minorHAnsi"/>
        </w:rPr>
      </w:pPr>
      <w:r w:rsidRPr="00F72A65">
        <w:rPr>
          <w:rFonts w:asciiTheme="minorHAnsi" w:hAnsiTheme="minorHAnsi" w:cstheme="minorHAnsi"/>
        </w:rPr>
        <w:t>Participants</w:t>
      </w:r>
    </w:p>
    <w:p w14:paraId="4B2A403A" w14:textId="77777777"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Healthy, cognitively intact older adults, ages 65–85, were recruited as part of a 5-year longitudinal study (</w:t>
      </w:r>
      <w:hyperlink r:id="rId23" w:anchor="c16" w:history="1">
        <w:r w:rsidRPr="00F72A65">
          <w:rPr>
            <w:rStyle w:val="Hyperlink"/>
            <w:rFonts w:asciiTheme="minorHAnsi" w:eastAsiaTheme="majorEastAsia" w:hAnsiTheme="minorHAnsi" w:cstheme="minorHAnsi"/>
            <w:color w:val="005BC6"/>
            <w:sz w:val="20"/>
            <w:szCs w:val="20"/>
            <w:bdr w:val="none" w:sz="0" w:space="0" w:color="auto" w:frame="1"/>
          </w:rPr>
          <w:t>Rao et al., 2015</w:t>
        </w:r>
      </w:hyperlink>
      <w:r w:rsidRPr="00F72A65">
        <w:rPr>
          <w:rFonts w:asciiTheme="minorHAnsi" w:hAnsiTheme="minorHAnsi" w:cstheme="minorHAnsi"/>
          <w:color w:val="333333"/>
          <w:sz w:val="20"/>
          <w:szCs w:val="20"/>
        </w:rPr>
        <w:t>; </w:t>
      </w:r>
      <w:hyperlink r:id="rId24" w:anchor="c23" w:history="1">
        <w:r w:rsidRPr="00F72A65">
          <w:rPr>
            <w:rStyle w:val="Hyperlink"/>
            <w:rFonts w:asciiTheme="minorHAnsi" w:eastAsiaTheme="majorEastAsia" w:hAnsiTheme="minorHAnsi" w:cstheme="minorHAnsi"/>
            <w:color w:val="005BC6"/>
            <w:sz w:val="20"/>
            <w:szCs w:val="20"/>
            <w:bdr w:val="none" w:sz="0" w:space="0" w:color="auto" w:frame="1"/>
          </w:rPr>
          <w:t>Seidenberg et al., 2009</w:t>
        </w:r>
      </w:hyperlink>
      <w:r w:rsidRPr="00F72A65">
        <w:rPr>
          <w:rFonts w:asciiTheme="minorHAnsi" w:hAnsiTheme="minorHAnsi" w:cstheme="minorHAnsi"/>
          <w:color w:val="333333"/>
          <w:sz w:val="20"/>
          <w:szCs w:val="20"/>
        </w:rPr>
        <w:t>) via newspaper advertisements and a telephone screen. An in-person study visit involved </w:t>
      </w:r>
      <w:r w:rsidRPr="00F72A65">
        <w:rPr>
          <w:rStyle w:val="Emphasis"/>
          <w:rFonts w:asciiTheme="minorHAnsi" w:eastAsiaTheme="majorEastAsia" w:hAnsiTheme="minorHAnsi" w:cstheme="minorHAnsi"/>
          <w:color w:val="333333"/>
          <w:sz w:val="20"/>
          <w:szCs w:val="20"/>
          <w:bdr w:val="none" w:sz="0" w:space="0" w:color="auto" w:frame="1"/>
        </w:rPr>
        <w:t>APOE</w:t>
      </w:r>
      <w:r w:rsidRPr="00F72A65">
        <w:rPr>
          <w:rFonts w:asciiTheme="minorHAnsi" w:hAnsiTheme="minorHAnsi" w:cstheme="minorHAnsi"/>
          <w:color w:val="333333"/>
          <w:sz w:val="20"/>
          <w:szCs w:val="20"/>
        </w:rPr>
        <w:t> genotyping based on a polymerase chain reaction method and administration of a cognitive screening battery to determine if the potential participant was cognitively intact. This battery consisted of the Mini Mental State Exam (MMSE; </w:t>
      </w:r>
      <w:proofErr w:type="spellStart"/>
      <w:r w:rsidRPr="00F72A65">
        <w:rPr>
          <w:rFonts w:asciiTheme="minorHAnsi" w:hAnsiTheme="minorHAnsi" w:cstheme="minorHAnsi"/>
          <w:color w:val="333333"/>
          <w:sz w:val="20"/>
          <w:szCs w:val="20"/>
        </w:rPr>
        <w:fldChar w:fldCharType="begin"/>
      </w:r>
      <w:r w:rsidRPr="00F72A65">
        <w:rPr>
          <w:rFonts w:asciiTheme="minorHAnsi" w:hAnsiTheme="minorHAnsi" w:cstheme="minorHAnsi"/>
          <w:color w:val="333333"/>
          <w:sz w:val="20"/>
          <w:szCs w:val="20"/>
        </w:rPr>
        <w:instrText xml:space="preserve"> HYPERLINK "https://0-web-b-ebscohost-com.libus.csd.mu.edu/ehost/detail/detail?vid=2&amp;sid=e4b036ec-461a-47a7-bc9e-307d3aa3ff5a%40sessionmgr101&amp;bdata=JnNpdGU9ZWhvc3QtbGl2ZQ%3d%3d" \l "c6" </w:instrText>
      </w:r>
      <w:r w:rsidRPr="00F72A65">
        <w:rPr>
          <w:rFonts w:asciiTheme="minorHAnsi" w:hAnsiTheme="minorHAnsi" w:cstheme="minorHAnsi"/>
          <w:color w:val="333333"/>
          <w:sz w:val="20"/>
          <w:szCs w:val="20"/>
        </w:rPr>
        <w:fldChar w:fldCharType="separate"/>
      </w:r>
      <w:r w:rsidRPr="00F72A65">
        <w:rPr>
          <w:rStyle w:val="Hyperlink"/>
          <w:rFonts w:asciiTheme="minorHAnsi" w:eastAsiaTheme="majorEastAsia" w:hAnsiTheme="minorHAnsi" w:cstheme="minorHAnsi"/>
          <w:color w:val="005BC6"/>
          <w:sz w:val="20"/>
          <w:szCs w:val="20"/>
          <w:bdr w:val="none" w:sz="0" w:space="0" w:color="auto" w:frame="1"/>
        </w:rPr>
        <w:t>Folstein</w:t>
      </w:r>
      <w:proofErr w:type="spellEnd"/>
      <w:r w:rsidRPr="00F72A65">
        <w:rPr>
          <w:rStyle w:val="Hyperlink"/>
          <w:rFonts w:asciiTheme="minorHAnsi" w:eastAsiaTheme="majorEastAsia" w:hAnsiTheme="minorHAnsi" w:cstheme="minorHAnsi"/>
          <w:color w:val="005BC6"/>
          <w:sz w:val="20"/>
          <w:szCs w:val="20"/>
          <w:bdr w:val="none" w:sz="0" w:space="0" w:color="auto" w:frame="1"/>
        </w:rPr>
        <w:t xml:space="preserve">, </w:t>
      </w:r>
      <w:proofErr w:type="spellStart"/>
      <w:r w:rsidRPr="00F72A65">
        <w:rPr>
          <w:rStyle w:val="Hyperlink"/>
          <w:rFonts w:asciiTheme="minorHAnsi" w:eastAsiaTheme="majorEastAsia" w:hAnsiTheme="minorHAnsi" w:cstheme="minorHAnsi"/>
          <w:color w:val="005BC6"/>
          <w:sz w:val="20"/>
          <w:szCs w:val="20"/>
          <w:bdr w:val="none" w:sz="0" w:space="0" w:color="auto" w:frame="1"/>
        </w:rPr>
        <w:t>Folstein</w:t>
      </w:r>
      <w:proofErr w:type="spellEnd"/>
      <w:r w:rsidRPr="00F72A65">
        <w:rPr>
          <w:rStyle w:val="Hyperlink"/>
          <w:rFonts w:asciiTheme="minorHAnsi" w:eastAsiaTheme="majorEastAsia" w:hAnsiTheme="minorHAnsi" w:cstheme="minorHAnsi"/>
          <w:color w:val="005BC6"/>
          <w:sz w:val="20"/>
          <w:szCs w:val="20"/>
          <w:bdr w:val="none" w:sz="0" w:space="0" w:color="auto" w:frame="1"/>
        </w:rPr>
        <w:t>, &amp; McHugh, 1975</w:t>
      </w:r>
      <w:r w:rsidRPr="00F72A65">
        <w:rPr>
          <w:rFonts w:asciiTheme="minorHAnsi" w:hAnsiTheme="minorHAnsi" w:cstheme="minorHAnsi"/>
          <w:color w:val="333333"/>
          <w:sz w:val="20"/>
          <w:szCs w:val="20"/>
        </w:rPr>
        <w:fldChar w:fldCharType="end"/>
      </w:r>
      <w:r w:rsidRPr="00F72A65">
        <w:rPr>
          <w:rFonts w:asciiTheme="minorHAnsi" w:hAnsiTheme="minorHAnsi" w:cstheme="minorHAnsi"/>
          <w:color w:val="333333"/>
          <w:sz w:val="20"/>
          <w:szCs w:val="20"/>
        </w:rPr>
        <w:t>), Dementia Rating Scale 2 (DRS-2; </w:t>
      </w:r>
      <w:proofErr w:type="spellStart"/>
      <w:r w:rsidRPr="00F72A65">
        <w:rPr>
          <w:rFonts w:asciiTheme="minorHAnsi" w:hAnsiTheme="minorHAnsi" w:cstheme="minorHAnsi"/>
          <w:color w:val="333333"/>
          <w:sz w:val="20"/>
          <w:szCs w:val="20"/>
        </w:rPr>
        <w:fldChar w:fldCharType="begin"/>
      </w:r>
      <w:r w:rsidRPr="00F72A65">
        <w:rPr>
          <w:rFonts w:asciiTheme="minorHAnsi" w:hAnsiTheme="minorHAnsi" w:cstheme="minorHAnsi"/>
          <w:color w:val="333333"/>
          <w:sz w:val="20"/>
          <w:szCs w:val="20"/>
        </w:rPr>
        <w:instrText xml:space="preserve"> HYPERLINK "https://0-web-b-ebscohost-com.libus.csd.mu.edu/ehost/detail/detail?vid=2&amp;sid=e4b036ec-461a-47a7-bc9e-307d3aa3ff5a%40sessionmgr101&amp;bdata=JnNpdGU9ZWhvc3QtbGl2ZQ%3d%3d" \l "c8" </w:instrText>
      </w:r>
      <w:r w:rsidRPr="00F72A65">
        <w:rPr>
          <w:rFonts w:asciiTheme="minorHAnsi" w:hAnsiTheme="minorHAnsi" w:cstheme="minorHAnsi"/>
          <w:color w:val="333333"/>
          <w:sz w:val="20"/>
          <w:szCs w:val="20"/>
        </w:rPr>
        <w:fldChar w:fldCharType="separate"/>
      </w:r>
      <w:r w:rsidRPr="00F72A65">
        <w:rPr>
          <w:rStyle w:val="Hyperlink"/>
          <w:rFonts w:asciiTheme="minorHAnsi" w:eastAsiaTheme="majorEastAsia" w:hAnsiTheme="minorHAnsi" w:cstheme="minorHAnsi"/>
          <w:color w:val="005BC6"/>
          <w:sz w:val="20"/>
          <w:szCs w:val="20"/>
          <w:bdr w:val="none" w:sz="0" w:space="0" w:color="auto" w:frame="1"/>
        </w:rPr>
        <w:t>Jurica</w:t>
      </w:r>
      <w:proofErr w:type="spellEnd"/>
      <w:r w:rsidRPr="00F72A65">
        <w:rPr>
          <w:rStyle w:val="Hyperlink"/>
          <w:rFonts w:asciiTheme="minorHAnsi" w:eastAsiaTheme="majorEastAsia" w:hAnsiTheme="minorHAnsi" w:cstheme="minorHAnsi"/>
          <w:color w:val="005BC6"/>
          <w:sz w:val="20"/>
          <w:szCs w:val="20"/>
          <w:bdr w:val="none" w:sz="0" w:space="0" w:color="auto" w:frame="1"/>
        </w:rPr>
        <w:t xml:space="preserve">, </w:t>
      </w:r>
      <w:proofErr w:type="spellStart"/>
      <w:r w:rsidRPr="00F72A65">
        <w:rPr>
          <w:rStyle w:val="Hyperlink"/>
          <w:rFonts w:asciiTheme="minorHAnsi" w:eastAsiaTheme="majorEastAsia" w:hAnsiTheme="minorHAnsi" w:cstheme="minorHAnsi"/>
          <w:color w:val="005BC6"/>
          <w:sz w:val="20"/>
          <w:szCs w:val="20"/>
          <w:bdr w:val="none" w:sz="0" w:space="0" w:color="auto" w:frame="1"/>
        </w:rPr>
        <w:t>Leitten</w:t>
      </w:r>
      <w:proofErr w:type="spellEnd"/>
      <w:r w:rsidRPr="00F72A65">
        <w:rPr>
          <w:rStyle w:val="Hyperlink"/>
          <w:rFonts w:asciiTheme="minorHAnsi" w:eastAsiaTheme="majorEastAsia" w:hAnsiTheme="minorHAnsi" w:cstheme="minorHAnsi"/>
          <w:color w:val="005BC6"/>
          <w:sz w:val="20"/>
          <w:szCs w:val="20"/>
          <w:bdr w:val="none" w:sz="0" w:space="0" w:color="auto" w:frame="1"/>
        </w:rPr>
        <w:t>, &amp; Mattis, 2001</w:t>
      </w:r>
      <w:r w:rsidRPr="00F72A65">
        <w:rPr>
          <w:rFonts w:asciiTheme="minorHAnsi" w:hAnsiTheme="minorHAnsi" w:cstheme="minorHAnsi"/>
          <w:color w:val="333333"/>
          <w:sz w:val="20"/>
          <w:szCs w:val="20"/>
        </w:rPr>
        <w:fldChar w:fldCharType="end"/>
      </w:r>
      <w:r w:rsidRPr="00F72A65">
        <w:rPr>
          <w:rFonts w:asciiTheme="minorHAnsi" w:hAnsiTheme="minorHAnsi" w:cstheme="minorHAnsi"/>
          <w:color w:val="333333"/>
          <w:sz w:val="20"/>
          <w:szCs w:val="20"/>
        </w:rPr>
        <w:t>), and Rey Auditory Verbal Learning Test (RAVLT; </w:t>
      </w:r>
      <w:hyperlink r:id="rId25" w:anchor="c19" w:history="1">
        <w:r w:rsidRPr="00F72A65">
          <w:rPr>
            <w:rStyle w:val="Hyperlink"/>
            <w:rFonts w:asciiTheme="minorHAnsi" w:eastAsiaTheme="majorEastAsia" w:hAnsiTheme="minorHAnsi" w:cstheme="minorHAnsi"/>
            <w:color w:val="005BC6"/>
            <w:sz w:val="20"/>
            <w:szCs w:val="20"/>
            <w:bdr w:val="none" w:sz="0" w:space="0" w:color="auto" w:frame="1"/>
          </w:rPr>
          <w:t>Rey, 1958</w:t>
        </w:r>
      </w:hyperlink>
      <w:r w:rsidRPr="00F72A65">
        <w:rPr>
          <w:rFonts w:asciiTheme="minorHAnsi" w:hAnsiTheme="minorHAnsi" w:cstheme="minorHAnsi"/>
          <w:color w:val="333333"/>
          <w:sz w:val="20"/>
          <w:szCs w:val="20"/>
        </w:rPr>
        <w:t>). Criteria used to define intact cognition in this study have been previously reported (</w:t>
      </w:r>
      <w:hyperlink r:id="rId26" w:anchor="c23" w:history="1">
        <w:r w:rsidRPr="00F72A65">
          <w:rPr>
            <w:rStyle w:val="Hyperlink"/>
            <w:rFonts w:asciiTheme="minorHAnsi" w:eastAsiaTheme="majorEastAsia" w:hAnsiTheme="minorHAnsi" w:cstheme="minorHAnsi"/>
            <w:color w:val="005BC6"/>
            <w:sz w:val="20"/>
            <w:szCs w:val="20"/>
            <w:bdr w:val="none" w:sz="0" w:space="0" w:color="auto" w:frame="1"/>
          </w:rPr>
          <w:t>Seidenberg et al., 2009</w:t>
        </w:r>
      </w:hyperlink>
      <w:r w:rsidRPr="00F72A65">
        <w:rPr>
          <w:rFonts w:asciiTheme="minorHAnsi" w:hAnsiTheme="minorHAnsi" w:cstheme="minorHAnsi"/>
          <w:color w:val="333333"/>
          <w:sz w:val="20"/>
          <w:szCs w:val="20"/>
        </w:rPr>
        <w:t>). All protocols, in full compliance with American Psychological Association ethical standards, were approved by the local institutional review board, and participants received compensation. A total of 72 participants were tested at baseline (T1) with all measures for the current study. Only the 48 participants who returned for both neuropsychological and structural MRI follow-up sessions (1.5 years [T2] and 5 years [T3]) were included in the current study. On this basis, the study attrition rate over 5 years was 33%; three participants had T1 and T3 data but were missing T2 (all were ε4+), and 21 participants (13 ε4+) had T1 and T2 data but were not scanned at T3 due to health decline (6), deceased (5), lost to follow-up (3), refused scan (3), moved away (3), and no longer safe to be scanned (1). No group differences were observed in attrition rates at each of the two follow-up scan sessions.</w:t>
      </w:r>
    </w:p>
    <w:p w14:paraId="3BB96393" w14:textId="77777777" w:rsidR="005071CD" w:rsidRPr="00F72A65" w:rsidRDefault="005071CD"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1A2C61F" w14:textId="77777777" w:rsidR="00843B07"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The 48 participants were subdivided by </w:t>
      </w:r>
      <w:r w:rsidRPr="00F72A65">
        <w:rPr>
          <w:rStyle w:val="Emphasis"/>
          <w:rFonts w:asciiTheme="minorHAnsi" w:eastAsiaTheme="majorEastAsia" w:hAnsiTheme="minorHAnsi" w:cstheme="minorHAnsi"/>
          <w:color w:val="333333"/>
          <w:sz w:val="20"/>
          <w:szCs w:val="20"/>
          <w:bdr w:val="none" w:sz="0" w:space="0" w:color="auto" w:frame="1"/>
        </w:rPr>
        <w:t>APOE</w:t>
      </w:r>
      <w:r w:rsidRPr="00F72A65">
        <w:rPr>
          <w:rFonts w:asciiTheme="minorHAnsi" w:hAnsiTheme="minorHAnsi" w:cstheme="minorHAnsi"/>
          <w:color w:val="333333"/>
          <w:sz w:val="20"/>
          <w:szCs w:val="20"/>
        </w:rPr>
        <w:t> ε4 allele inheritance: 26 ε4 carriers (ε4+) and 22 ε4 noncarriers (ε4−). The ε4 carrier group was further subdivided based on changes in cognitive status over the 5-year study interval. The ε4+ participants were defined as “declining” if a reduction from baseline performance of at least one standard deviation (</w:t>
      </w:r>
      <w:r w:rsidRPr="00F72A65">
        <w:rPr>
          <w:rStyle w:val="Emphasis"/>
          <w:rFonts w:asciiTheme="minorHAnsi" w:eastAsiaTheme="majorEastAsia" w:hAnsiTheme="minorHAnsi" w:cstheme="minorHAnsi"/>
          <w:color w:val="333333"/>
          <w:sz w:val="20"/>
          <w:szCs w:val="20"/>
          <w:bdr w:val="none" w:sz="0" w:space="0" w:color="auto" w:frame="1"/>
        </w:rPr>
        <w:t>SD</w:t>
      </w:r>
      <w:r w:rsidRPr="00F72A65">
        <w:rPr>
          <w:rFonts w:asciiTheme="minorHAnsi" w:hAnsiTheme="minorHAnsi" w:cstheme="minorHAnsi"/>
          <w:color w:val="333333"/>
          <w:sz w:val="20"/>
          <w:szCs w:val="20"/>
        </w:rPr>
        <w:t>) was observed on at least one of the three principal outcome indices (</w:t>
      </w:r>
      <w:hyperlink r:id="rId27" w:anchor="c32" w:history="1">
        <w:r w:rsidRPr="00F72A65">
          <w:rPr>
            <w:rStyle w:val="Hyperlink"/>
            <w:rFonts w:asciiTheme="minorHAnsi" w:eastAsiaTheme="majorEastAsia" w:hAnsiTheme="minorHAnsi" w:cstheme="minorHAnsi"/>
            <w:color w:val="005BC6"/>
            <w:sz w:val="20"/>
            <w:szCs w:val="20"/>
            <w:bdr w:val="none" w:sz="0" w:space="0" w:color="auto" w:frame="1"/>
          </w:rPr>
          <w:t>Woodard et al., 2010</w:t>
        </w:r>
      </w:hyperlink>
      <w:r w:rsidRPr="00F72A65">
        <w:rPr>
          <w:rFonts w:asciiTheme="minorHAnsi" w:hAnsiTheme="minorHAnsi" w:cstheme="minorHAnsi"/>
          <w:color w:val="333333"/>
          <w:sz w:val="20"/>
          <w:szCs w:val="20"/>
        </w:rPr>
        <w:t>). Using these criteria, 15 ε4+ participants (58%) were classified as declining and 11 ε4+ participants (42%) were classified as stable (</w:t>
      </w:r>
      <w:hyperlink r:id="rId28" w:anchor="tbl1" w:history="1">
        <w:r w:rsidRPr="00F72A65">
          <w:rPr>
            <w:rStyle w:val="Hyperlink"/>
            <w:rFonts w:asciiTheme="minorHAnsi" w:eastAsiaTheme="majorEastAsia" w:hAnsiTheme="minorHAnsi" w:cstheme="minorHAnsi"/>
            <w:color w:val="005BC6"/>
            <w:sz w:val="20"/>
            <w:szCs w:val="20"/>
            <w:bdr w:val="none" w:sz="0" w:space="0" w:color="auto" w:frame="1"/>
          </w:rPr>
          <w:t>Table 1</w:t>
        </w:r>
      </w:hyperlink>
      <w:r w:rsidRPr="00F72A65">
        <w:rPr>
          <w:rFonts w:asciiTheme="minorHAnsi" w:hAnsiTheme="minorHAnsi" w:cstheme="minorHAnsi"/>
          <w:color w:val="333333"/>
          <w:sz w:val="20"/>
          <w:szCs w:val="20"/>
        </w:rPr>
        <w:t>).</w:t>
      </w:r>
      <w:r w:rsidRPr="00F72A65">
        <w:rPr>
          <w:rFonts w:asciiTheme="minorHAnsi" w:hAnsiTheme="minorHAnsi" w:cstheme="minorHAnsi"/>
          <w:color w:val="333333"/>
          <w:sz w:val="20"/>
          <w:szCs w:val="20"/>
        </w:rPr>
        <w:br/>
      </w:r>
      <w:r w:rsidRPr="00F72A65">
        <w:rPr>
          <w:rFonts w:asciiTheme="minorHAnsi" w:hAnsiTheme="minorHAnsi" w:cstheme="minorHAnsi"/>
          <w:color w:val="333333"/>
          <w:sz w:val="20"/>
          <w:szCs w:val="20"/>
        </w:rPr>
        <w:br/>
      </w:r>
      <w:r w:rsidRPr="00F72A65">
        <w:rPr>
          <w:rFonts w:asciiTheme="minorHAnsi" w:hAnsiTheme="minorHAnsi" w:cstheme="minorHAnsi"/>
          <w:noProof/>
          <w:color w:val="333333"/>
          <w:sz w:val="20"/>
          <w:szCs w:val="20"/>
          <w:bdr w:val="none" w:sz="0" w:space="0" w:color="auto" w:frame="1"/>
        </w:rPr>
        <w:drawing>
          <wp:inline distT="0" distB="0" distL="0" distR="0" wp14:anchorId="1D43E431" wp14:editId="35DCB69B">
            <wp:extent cx="6400800" cy="1584960"/>
            <wp:effectExtent l="0" t="0" r="0" b="0"/>
            <wp:docPr id="4" name="Picture 4" descr="Table 1. Baseline Characteristics by Gene and Cognitive Decline Sta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400800" cy="1584960"/>
                    </a:xfrm>
                    <a:prstGeom prst="rect">
                      <a:avLst/>
                    </a:prstGeom>
                    <a:noFill/>
                    <a:ln>
                      <a:noFill/>
                    </a:ln>
                  </pic:spPr>
                </pic:pic>
              </a:graphicData>
            </a:graphic>
          </wp:inline>
        </w:drawing>
      </w:r>
    </w:p>
    <w:p w14:paraId="0DDAA4A9" w14:textId="77777777" w:rsidR="00312680" w:rsidRDefault="00312680"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2EEED999" w14:textId="3A19E107" w:rsidR="003A0A2B" w:rsidRPr="00F72A65" w:rsidRDefault="00843B07" w:rsidP="003F26DF">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r w:rsidRPr="00F72A65">
        <w:rPr>
          <w:rFonts w:asciiTheme="minorHAnsi" w:hAnsiTheme="minorHAnsi" w:cstheme="minorHAnsi"/>
          <w:color w:val="333333"/>
          <w:sz w:val="20"/>
          <w:szCs w:val="20"/>
        </w:rPr>
        <w:t xml:space="preserve">Table 1. </w:t>
      </w:r>
      <w:r w:rsidR="003A0A2B" w:rsidRPr="00F72A65">
        <w:rPr>
          <w:rStyle w:val="Emphasis"/>
          <w:rFonts w:asciiTheme="minorHAnsi" w:eastAsiaTheme="majorEastAsia" w:hAnsiTheme="minorHAnsi" w:cstheme="minorHAnsi"/>
          <w:color w:val="333333"/>
          <w:sz w:val="20"/>
          <w:szCs w:val="20"/>
          <w:bdr w:val="none" w:sz="0" w:space="0" w:color="auto" w:frame="1"/>
        </w:rPr>
        <w:t>Baseline Characteristics by Gene and Cognitive Decline Status</w:t>
      </w:r>
    </w:p>
    <w:tbl>
      <w:tblPr>
        <w:tblStyle w:val="TableGrid"/>
        <w:tblW w:w="0" w:type="auto"/>
        <w:tblLook w:val="0020" w:firstRow="1" w:lastRow="0" w:firstColumn="0" w:lastColumn="0" w:noHBand="0" w:noVBand="0"/>
      </w:tblPr>
      <w:tblGrid>
        <w:gridCol w:w="2174"/>
        <w:gridCol w:w="1268"/>
        <w:gridCol w:w="1806"/>
        <w:gridCol w:w="2046"/>
        <w:gridCol w:w="801"/>
        <w:gridCol w:w="1035"/>
      </w:tblGrid>
      <w:tr w:rsidR="00576C5D" w:rsidRPr="00F72A65" w14:paraId="392CCAB7" w14:textId="77777777" w:rsidTr="00312680">
        <w:trPr>
          <w:trHeight w:val="233"/>
        </w:trPr>
        <w:tc>
          <w:tcPr>
            <w:tcW w:w="0" w:type="auto"/>
          </w:tcPr>
          <w:p w14:paraId="013A8008" w14:textId="77777777" w:rsidR="00576C5D" w:rsidRPr="00F72A65" w:rsidRDefault="00576C5D" w:rsidP="00576C5D">
            <w:pPr>
              <w:pStyle w:val="NoSpacing"/>
              <w:rPr>
                <w:rFonts w:cstheme="minorHAnsi"/>
                <w:sz w:val="20"/>
                <w:szCs w:val="20"/>
              </w:rPr>
            </w:pPr>
            <w:bookmarkStart w:id="3" w:name="_bookmark0"/>
            <w:bookmarkEnd w:id="3"/>
            <w:r w:rsidRPr="00F72A65">
              <w:rPr>
                <w:rFonts w:cstheme="minorHAnsi"/>
                <w:sz w:val="20"/>
                <w:szCs w:val="20"/>
              </w:rPr>
              <w:t>Variable</w:t>
            </w:r>
          </w:p>
        </w:tc>
        <w:tc>
          <w:tcPr>
            <w:tcW w:w="0" w:type="auto"/>
          </w:tcPr>
          <w:p w14:paraId="3C4E6269" w14:textId="77777777" w:rsidR="00576C5D" w:rsidRPr="00F72A65" w:rsidRDefault="00576C5D" w:rsidP="00576C5D">
            <w:pPr>
              <w:pStyle w:val="NoSpacing"/>
              <w:rPr>
                <w:rFonts w:cstheme="minorHAnsi"/>
                <w:sz w:val="20"/>
                <w:szCs w:val="20"/>
              </w:rPr>
            </w:pPr>
            <w:r w:rsidRPr="00F72A65">
              <w:rPr>
                <w:rFonts w:cstheme="minorHAnsi"/>
                <w:w w:val="66"/>
                <w:sz w:val="20"/>
                <w:szCs w:val="20"/>
              </w:rPr>
              <w:t>E</w:t>
            </w:r>
            <w:r w:rsidRPr="00F72A65">
              <w:rPr>
                <w:rFonts w:cstheme="minorHAnsi"/>
                <w:sz w:val="20"/>
                <w:szCs w:val="20"/>
              </w:rPr>
              <w:t>4</w:t>
            </w:r>
            <w:r w:rsidRPr="00F72A65">
              <w:rPr>
                <w:rFonts w:cstheme="minorHAnsi"/>
                <w:w w:val="250"/>
                <w:sz w:val="20"/>
                <w:szCs w:val="20"/>
              </w:rPr>
              <w:t>-</w:t>
            </w:r>
            <w:r w:rsidRPr="00F72A65">
              <w:rPr>
                <w:rFonts w:cstheme="minorHAnsi"/>
                <w:spacing w:val="8"/>
                <w:sz w:val="20"/>
                <w:szCs w:val="20"/>
              </w:rPr>
              <w:t xml:space="preserve"> </w:t>
            </w:r>
            <w:r w:rsidRPr="00F72A65">
              <w:rPr>
                <w:rFonts w:cstheme="minorHAnsi"/>
                <w:sz w:val="20"/>
                <w:szCs w:val="20"/>
              </w:rPr>
              <w:t>(</w:t>
            </w:r>
            <w:r w:rsidRPr="00F72A65">
              <w:rPr>
                <w:rFonts w:cstheme="minorHAnsi"/>
                <w:i/>
                <w:iCs/>
                <w:sz w:val="20"/>
                <w:szCs w:val="20"/>
              </w:rPr>
              <w:t>n</w:t>
            </w:r>
            <w:r w:rsidRPr="00F72A65">
              <w:rPr>
                <w:rFonts w:cstheme="minorHAnsi"/>
                <w:i/>
                <w:iCs/>
                <w:spacing w:val="13"/>
                <w:sz w:val="20"/>
                <w:szCs w:val="20"/>
              </w:rPr>
              <w:t xml:space="preserve"> </w:t>
            </w:r>
            <w:r w:rsidRPr="00F72A65">
              <w:rPr>
                <w:rFonts w:cstheme="minorHAnsi"/>
                <w:w w:val="142"/>
                <w:sz w:val="20"/>
                <w:szCs w:val="20"/>
              </w:rPr>
              <w:t>=</w:t>
            </w:r>
            <w:r w:rsidRPr="00F72A65">
              <w:rPr>
                <w:rFonts w:cstheme="minorHAnsi"/>
                <w:spacing w:val="8"/>
                <w:sz w:val="20"/>
                <w:szCs w:val="20"/>
              </w:rPr>
              <w:t xml:space="preserve"> </w:t>
            </w:r>
            <w:r w:rsidRPr="00F72A65">
              <w:rPr>
                <w:rFonts w:cstheme="minorHAnsi"/>
                <w:sz w:val="20"/>
                <w:szCs w:val="20"/>
              </w:rPr>
              <w:t>22)</w:t>
            </w:r>
          </w:p>
        </w:tc>
        <w:tc>
          <w:tcPr>
            <w:tcW w:w="0" w:type="auto"/>
          </w:tcPr>
          <w:p w14:paraId="26223621" w14:textId="77777777" w:rsidR="00576C5D" w:rsidRPr="00F72A65" w:rsidRDefault="00576C5D" w:rsidP="00576C5D">
            <w:pPr>
              <w:pStyle w:val="NoSpacing"/>
              <w:rPr>
                <w:rFonts w:cstheme="minorHAnsi"/>
                <w:sz w:val="20"/>
                <w:szCs w:val="20"/>
              </w:rPr>
            </w:pPr>
            <w:r w:rsidRPr="00F72A65">
              <w:rPr>
                <w:rFonts w:cstheme="minorHAnsi"/>
                <w:w w:val="66"/>
                <w:sz w:val="20"/>
                <w:szCs w:val="20"/>
              </w:rPr>
              <w:t>E</w:t>
            </w:r>
            <w:r w:rsidRPr="00F72A65">
              <w:rPr>
                <w:rFonts w:cstheme="minorHAnsi"/>
                <w:sz w:val="20"/>
                <w:szCs w:val="20"/>
              </w:rPr>
              <w:t>4</w:t>
            </w:r>
            <w:r w:rsidRPr="00F72A65">
              <w:rPr>
                <w:rFonts w:cstheme="minorHAnsi"/>
                <w:w w:val="142"/>
                <w:sz w:val="20"/>
                <w:szCs w:val="20"/>
              </w:rPr>
              <w:t>+</w:t>
            </w:r>
            <w:r w:rsidRPr="00F72A65">
              <w:rPr>
                <w:rFonts w:cstheme="minorHAnsi"/>
                <w:spacing w:val="8"/>
                <w:sz w:val="20"/>
                <w:szCs w:val="20"/>
              </w:rPr>
              <w:t xml:space="preserve"> </w:t>
            </w:r>
            <w:r w:rsidRPr="00F72A65">
              <w:rPr>
                <w:rFonts w:cstheme="minorHAnsi"/>
                <w:sz w:val="20"/>
                <w:szCs w:val="20"/>
              </w:rPr>
              <w:t>stable</w:t>
            </w:r>
            <w:r w:rsidRPr="00F72A65">
              <w:rPr>
                <w:rFonts w:cstheme="minorHAnsi"/>
                <w:spacing w:val="13"/>
                <w:sz w:val="20"/>
                <w:szCs w:val="20"/>
              </w:rPr>
              <w:t xml:space="preserve"> </w:t>
            </w:r>
            <w:r w:rsidRPr="00F72A65">
              <w:rPr>
                <w:rFonts w:cstheme="minorHAnsi"/>
                <w:sz w:val="20"/>
                <w:szCs w:val="20"/>
              </w:rPr>
              <w:t>(</w:t>
            </w:r>
            <w:r w:rsidRPr="00F72A65">
              <w:rPr>
                <w:rFonts w:cstheme="minorHAnsi"/>
                <w:i/>
                <w:iCs/>
                <w:sz w:val="20"/>
                <w:szCs w:val="20"/>
              </w:rPr>
              <w:t>n</w:t>
            </w:r>
            <w:r w:rsidRPr="00F72A65">
              <w:rPr>
                <w:rFonts w:cstheme="minorHAnsi"/>
                <w:i/>
                <w:iCs/>
                <w:spacing w:val="13"/>
                <w:sz w:val="20"/>
                <w:szCs w:val="20"/>
              </w:rPr>
              <w:t xml:space="preserve"> </w:t>
            </w:r>
            <w:r w:rsidRPr="00F72A65">
              <w:rPr>
                <w:rFonts w:cstheme="minorHAnsi"/>
                <w:w w:val="142"/>
                <w:sz w:val="20"/>
                <w:szCs w:val="20"/>
              </w:rPr>
              <w:t>=</w:t>
            </w:r>
            <w:r w:rsidRPr="00F72A65">
              <w:rPr>
                <w:rFonts w:cstheme="minorHAnsi"/>
                <w:spacing w:val="8"/>
                <w:sz w:val="20"/>
                <w:szCs w:val="20"/>
              </w:rPr>
              <w:t xml:space="preserve"> </w:t>
            </w:r>
            <w:r w:rsidRPr="00F72A65">
              <w:rPr>
                <w:rFonts w:cstheme="minorHAnsi"/>
                <w:sz w:val="20"/>
                <w:szCs w:val="20"/>
              </w:rPr>
              <w:t>11)</w:t>
            </w:r>
          </w:p>
        </w:tc>
        <w:tc>
          <w:tcPr>
            <w:tcW w:w="0" w:type="auto"/>
          </w:tcPr>
          <w:p w14:paraId="09836915" w14:textId="77777777" w:rsidR="00576C5D" w:rsidRPr="00F72A65" w:rsidRDefault="00576C5D" w:rsidP="00576C5D">
            <w:pPr>
              <w:pStyle w:val="NoSpacing"/>
              <w:rPr>
                <w:rFonts w:cstheme="minorHAnsi"/>
                <w:sz w:val="20"/>
                <w:szCs w:val="20"/>
              </w:rPr>
            </w:pPr>
            <w:r w:rsidRPr="00F72A65">
              <w:rPr>
                <w:rFonts w:cstheme="minorHAnsi"/>
                <w:w w:val="66"/>
                <w:sz w:val="20"/>
                <w:szCs w:val="20"/>
              </w:rPr>
              <w:t>E</w:t>
            </w:r>
            <w:r w:rsidRPr="00F72A65">
              <w:rPr>
                <w:rFonts w:cstheme="minorHAnsi"/>
                <w:sz w:val="20"/>
                <w:szCs w:val="20"/>
              </w:rPr>
              <w:t>4</w:t>
            </w:r>
            <w:r w:rsidRPr="00F72A65">
              <w:rPr>
                <w:rFonts w:cstheme="minorHAnsi"/>
                <w:w w:val="142"/>
                <w:sz w:val="20"/>
                <w:szCs w:val="20"/>
              </w:rPr>
              <w:t>+</w:t>
            </w:r>
            <w:r w:rsidRPr="00F72A65">
              <w:rPr>
                <w:rFonts w:cstheme="minorHAnsi"/>
                <w:spacing w:val="8"/>
                <w:sz w:val="20"/>
                <w:szCs w:val="20"/>
              </w:rPr>
              <w:t xml:space="preserve"> </w:t>
            </w:r>
            <w:r w:rsidRPr="00F72A65">
              <w:rPr>
                <w:rFonts w:cstheme="minorHAnsi"/>
                <w:sz w:val="20"/>
                <w:szCs w:val="20"/>
              </w:rPr>
              <w:t>declining</w:t>
            </w:r>
            <w:r w:rsidRPr="00F72A65">
              <w:rPr>
                <w:rFonts w:cstheme="minorHAnsi"/>
                <w:spacing w:val="13"/>
                <w:sz w:val="20"/>
                <w:szCs w:val="20"/>
              </w:rPr>
              <w:t xml:space="preserve"> </w:t>
            </w:r>
            <w:r w:rsidRPr="00F72A65">
              <w:rPr>
                <w:rFonts w:cstheme="minorHAnsi"/>
                <w:sz w:val="20"/>
                <w:szCs w:val="20"/>
              </w:rPr>
              <w:t>(</w:t>
            </w:r>
            <w:r w:rsidRPr="00F72A65">
              <w:rPr>
                <w:rFonts w:cstheme="minorHAnsi"/>
                <w:i/>
                <w:iCs/>
                <w:sz w:val="20"/>
                <w:szCs w:val="20"/>
              </w:rPr>
              <w:t>n</w:t>
            </w:r>
            <w:r w:rsidRPr="00F72A65">
              <w:rPr>
                <w:rFonts w:cstheme="minorHAnsi"/>
                <w:i/>
                <w:iCs/>
                <w:spacing w:val="13"/>
                <w:sz w:val="20"/>
                <w:szCs w:val="20"/>
              </w:rPr>
              <w:t xml:space="preserve"> </w:t>
            </w:r>
            <w:r w:rsidRPr="00F72A65">
              <w:rPr>
                <w:rFonts w:cstheme="minorHAnsi"/>
                <w:w w:val="142"/>
                <w:sz w:val="20"/>
                <w:szCs w:val="20"/>
              </w:rPr>
              <w:t>=</w:t>
            </w:r>
            <w:r w:rsidRPr="00F72A65">
              <w:rPr>
                <w:rFonts w:cstheme="minorHAnsi"/>
                <w:spacing w:val="8"/>
                <w:sz w:val="20"/>
                <w:szCs w:val="20"/>
              </w:rPr>
              <w:t xml:space="preserve"> </w:t>
            </w:r>
            <w:r w:rsidRPr="00F72A65">
              <w:rPr>
                <w:rFonts w:cstheme="minorHAnsi"/>
                <w:sz w:val="20"/>
                <w:szCs w:val="20"/>
              </w:rPr>
              <w:t>15)</w:t>
            </w:r>
          </w:p>
        </w:tc>
        <w:tc>
          <w:tcPr>
            <w:tcW w:w="0" w:type="auto"/>
          </w:tcPr>
          <w:p w14:paraId="1162FCFC" w14:textId="77777777" w:rsidR="00576C5D" w:rsidRPr="00F72A65" w:rsidRDefault="00576C5D" w:rsidP="00576C5D">
            <w:pPr>
              <w:pStyle w:val="NoSpacing"/>
              <w:rPr>
                <w:rFonts w:cstheme="minorHAnsi"/>
                <w:sz w:val="20"/>
                <w:szCs w:val="20"/>
              </w:rPr>
            </w:pPr>
            <w:r w:rsidRPr="00F72A65">
              <w:rPr>
                <w:rFonts w:cstheme="minorHAnsi"/>
                <w:i/>
                <w:iCs/>
                <w:sz w:val="20"/>
                <w:szCs w:val="20"/>
              </w:rPr>
              <w:t xml:space="preserve">p </w:t>
            </w:r>
            <w:r w:rsidRPr="00F72A65">
              <w:rPr>
                <w:rFonts w:cstheme="minorHAnsi"/>
                <w:sz w:val="20"/>
                <w:szCs w:val="20"/>
              </w:rPr>
              <w:t>value</w:t>
            </w:r>
          </w:p>
        </w:tc>
        <w:tc>
          <w:tcPr>
            <w:tcW w:w="0" w:type="auto"/>
          </w:tcPr>
          <w:p w14:paraId="1D90056C" w14:textId="77777777" w:rsidR="00576C5D" w:rsidRPr="00F72A65" w:rsidRDefault="00576C5D" w:rsidP="00576C5D">
            <w:pPr>
              <w:pStyle w:val="NoSpacing"/>
              <w:rPr>
                <w:rFonts w:cstheme="minorHAnsi"/>
                <w:sz w:val="20"/>
                <w:szCs w:val="20"/>
              </w:rPr>
            </w:pPr>
            <w:r w:rsidRPr="00F72A65">
              <w:rPr>
                <w:rFonts w:cstheme="minorHAnsi"/>
                <w:sz w:val="20"/>
                <w:szCs w:val="20"/>
              </w:rPr>
              <w:t>Effect size</w:t>
            </w:r>
          </w:p>
        </w:tc>
      </w:tr>
      <w:tr w:rsidR="00576C5D" w:rsidRPr="00F72A65" w14:paraId="37694883" w14:textId="77777777" w:rsidTr="00312680">
        <w:trPr>
          <w:trHeight w:val="260"/>
        </w:trPr>
        <w:tc>
          <w:tcPr>
            <w:tcW w:w="0" w:type="auto"/>
          </w:tcPr>
          <w:p w14:paraId="06699717" w14:textId="77777777" w:rsidR="00576C5D" w:rsidRPr="00F72A65" w:rsidRDefault="00576C5D" w:rsidP="00576C5D">
            <w:pPr>
              <w:pStyle w:val="NoSpacing"/>
              <w:rPr>
                <w:rFonts w:cstheme="minorHAnsi"/>
                <w:sz w:val="20"/>
                <w:szCs w:val="20"/>
              </w:rPr>
            </w:pPr>
            <w:r w:rsidRPr="00F72A65">
              <w:rPr>
                <w:rFonts w:cstheme="minorHAnsi"/>
                <w:sz w:val="20"/>
                <w:szCs w:val="20"/>
              </w:rPr>
              <w:t>Age (years)</w:t>
            </w:r>
          </w:p>
        </w:tc>
        <w:tc>
          <w:tcPr>
            <w:tcW w:w="0" w:type="auto"/>
          </w:tcPr>
          <w:p w14:paraId="1BD60135" w14:textId="77777777" w:rsidR="00576C5D" w:rsidRPr="00F72A65" w:rsidRDefault="00576C5D" w:rsidP="00576C5D">
            <w:pPr>
              <w:pStyle w:val="NoSpacing"/>
              <w:rPr>
                <w:rFonts w:cstheme="minorHAnsi"/>
                <w:sz w:val="20"/>
                <w:szCs w:val="20"/>
              </w:rPr>
            </w:pPr>
            <w:r w:rsidRPr="00F72A65">
              <w:rPr>
                <w:rFonts w:cstheme="minorHAnsi"/>
                <w:sz w:val="20"/>
                <w:szCs w:val="20"/>
              </w:rPr>
              <w:t>73.1 (5.2)</w:t>
            </w:r>
          </w:p>
        </w:tc>
        <w:tc>
          <w:tcPr>
            <w:tcW w:w="0" w:type="auto"/>
          </w:tcPr>
          <w:p w14:paraId="7BF91C67" w14:textId="77777777" w:rsidR="00576C5D" w:rsidRPr="00F72A65" w:rsidRDefault="00576C5D" w:rsidP="00576C5D">
            <w:pPr>
              <w:pStyle w:val="NoSpacing"/>
              <w:rPr>
                <w:rFonts w:cstheme="minorHAnsi"/>
                <w:sz w:val="20"/>
                <w:szCs w:val="20"/>
              </w:rPr>
            </w:pPr>
            <w:r w:rsidRPr="00F72A65">
              <w:rPr>
                <w:rFonts w:cstheme="minorHAnsi"/>
                <w:sz w:val="20"/>
                <w:szCs w:val="20"/>
              </w:rPr>
              <w:t>71.9 (4.3)</w:t>
            </w:r>
          </w:p>
        </w:tc>
        <w:tc>
          <w:tcPr>
            <w:tcW w:w="0" w:type="auto"/>
          </w:tcPr>
          <w:p w14:paraId="1EC38691" w14:textId="77777777" w:rsidR="00576C5D" w:rsidRPr="00F72A65" w:rsidRDefault="00576C5D" w:rsidP="00576C5D">
            <w:pPr>
              <w:pStyle w:val="NoSpacing"/>
              <w:rPr>
                <w:rFonts w:cstheme="minorHAnsi"/>
                <w:sz w:val="20"/>
                <w:szCs w:val="20"/>
              </w:rPr>
            </w:pPr>
            <w:r w:rsidRPr="00F72A65">
              <w:rPr>
                <w:rFonts w:cstheme="minorHAnsi"/>
                <w:sz w:val="20"/>
                <w:szCs w:val="20"/>
              </w:rPr>
              <w:t>73.0 (4.3)</w:t>
            </w:r>
          </w:p>
        </w:tc>
        <w:tc>
          <w:tcPr>
            <w:tcW w:w="0" w:type="auto"/>
          </w:tcPr>
          <w:p w14:paraId="4E0E38EC" w14:textId="77777777" w:rsidR="00576C5D" w:rsidRPr="00F72A65" w:rsidRDefault="00576C5D" w:rsidP="00576C5D">
            <w:pPr>
              <w:pStyle w:val="NoSpacing"/>
              <w:rPr>
                <w:rFonts w:cstheme="minorHAnsi"/>
                <w:sz w:val="20"/>
                <w:szCs w:val="20"/>
              </w:rPr>
            </w:pPr>
            <w:r w:rsidRPr="00F72A65">
              <w:rPr>
                <w:rFonts w:cstheme="minorHAnsi"/>
                <w:sz w:val="20"/>
                <w:szCs w:val="20"/>
              </w:rPr>
              <w:t>.77</w:t>
            </w:r>
          </w:p>
        </w:tc>
        <w:tc>
          <w:tcPr>
            <w:tcW w:w="0" w:type="auto"/>
          </w:tcPr>
          <w:p w14:paraId="12AAA42F" w14:textId="77777777" w:rsidR="00576C5D" w:rsidRPr="00F72A65" w:rsidRDefault="00576C5D" w:rsidP="00576C5D">
            <w:pPr>
              <w:pStyle w:val="NoSpacing"/>
              <w:rPr>
                <w:rFonts w:cstheme="minorHAnsi"/>
                <w:w w:val="105"/>
                <w:sz w:val="20"/>
                <w:szCs w:val="20"/>
                <w:vertAlign w:val="superscript"/>
              </w:rPr>
            </w:pPr>
            <w:r w:rsidRPr="00F72A65">
              <w:rPr>
                <w:rFonts w:cstheme="minorHAnsi"/>
                <w:w w:val="105"/>
                <w:sz w:val="20"/>
                <w:szCs w:val="20"/>
              </w:rPr>
              <w:t>.01</w:t>
            </w:r>
            <w:r w:rsidRPr="00F72A65">
              <w:rPr>
                <w:rFonts w:cstheme="minorHAnsi"/>
                <w:w w:val="105"/>
                <w:sz w:val="20"/>
                <w:szCs w:val="20"/>
                <w:vertAlign w:val="superscript"/>
              </w:rPr>
              <w:t>a</w:t>
            </w:r>
          </w:p>
        </w:tc>
      </w:tr>
      <w:tr w:rsidR="00576C5D" w:rsidRPr="00F72A65" w14:paraId="7758F246" w14:textId="77777777" w:rsidTr="00312680">
        <w:trPr>
          <w:trHeight w:val="180"/>
        </w:trPr>
        <w:tc>
          <w:tcPr>
            <w:tcW w:w="0" w:type="auto"/>
          </w:tcPr>
          <w:p w14:paraId="5D0F8E39" w14:textId="77777777" w:rsidR="00576C5D" w:rsidRPr="00F72A65" w:rsidRDefault="00576C5D" w:rsidP="00576C5D">
            <w:pPr>
              <w:pStyle w:val="NoSpacing"/>
              <w:rPr>
                <w:rFonts w:cstheme="minorHAnsi"/>
                <w:sz w:val="20"/>
                <w:szCs w:val="20"/>
              </w:rPr>
            </w:pPr>
            <w:r w:rsidRPr="00F72A65">
              <w:rPr>
                <w:rFonts w:cstheme="minorHAnsi"/>
                <w:sz w:val="20"/>
                <w:szCs w:val="20"/>
              </w:rPr>
              <w:t>Sex (</w:t>
            </w:r>
            <w:r w:rsidRPr="00F72A65">
              <w:rPr>
                <w:rFonts w:cstheme="minorHAnsi"/>
                <w:i/>
                <w:iCs/>
                <w:sz w:val="20"/>
                <w:szCs w:val="20"/>
              </w:rPr>
              <w:t xml:space="preserve">n, </w:t>
            </w:r>
            <w:r w:rsidRPr="00F72A65">
              <w:rPr>
                <w:rFonts w:cstheme="minorHAnsi"/>
                <w:sz w:val="20"/>
                <w:szCs w:val="20"/>
              </w:rPr>
              <w:t>% female)</w:t>
            </w:r>
          </w:p>
        </w:tc>
        <w:tc>
          <w:tcPr>
            <w:tcW w:w="0" w:type="auto"/>
          </w:tcPr>
          <w:p w14:paraId="38D0093C" w14:textId="77777777" w:rsidR="00576C5D" w:rsidRPr="00F72A65" w:rsidRDefault="00576C5D" w:rsidP="00576C5D">
            <w:pPr>
              <w:pStyle w:val="NoSpacing"/>
              <w:rPr>
                <w:rFonts w:cstheme="minorHAnsi"/>
                <w:sz w:val="20"/>
                <w:szCs w:val="20"/>
              </w:rPr>
            </w:pPr>
            <w:r w:rsidRPr="00F72A65">
              <w:rPr>
                <w:rFonts w:cstheme="minorHAnsi"/>
                <w:sz w:val="20"/>
                <w:szCs w:val="20"/>
              </w:rPr>
              <w:t>18, 82%</w:t>
            </w:r>
          </w:p>
        </w:tc>
        <w:tc>
          <w:tcPr>
            <w:tcW w:w="0" w:type="auto"/>
          </w:tcPr>
          <w:p w14:paraId="1FFF0530" w14:textId="77777777" w:rsidR="00576C5D" w:rsidRPr="00F72A65" w:rsidRDefault="00576C5D" w:rsidP="00576C5D">
            <w:pPr>
              <w:pStyle w:val="NoSpacing"/>
              <w:rPr>
                <w:rFonts w:cstheme="minorHAnsi"/>
                <w:sz w:val="20"/>
                <w:szCs w:val="20"/>
              </w:rPr>
            </w:pPr>
            <w:r w:rsidRPr="00F72A65">
              <w:rPr>
                <w:rFonts w:cstheme="minorHAnsi"/>
                <w:sz w:val="20"/>
                <w:szCs w:val="20"/>
              </w:rPr>
              <w:t>9, 82%</w:t>
            </w:r>
          </w:p>
        </w:tc>
        <w:tc>
          <w:tcPr>
            <w:tcW w:w="0" w:type="auto"/>
          </w:tcPr>
          <w:p w14:paraId="1576B35E" w14:textId="77777777" w:rsidR="00576C5D" w:rsidRPr="00F72A65" w:rsidRDefault="00576C5D" w:rsidP="00576C5D">
            <w:pPr>
              <w:pStyle w:val="NoSpacing"/>
              <w:rPr>
                <w:rFonts w:cstheme="minorHAnsi"/>
                <w:sz w:val="20"/>
                <w:szCs w:val="20"/>
              </w:rPr>
            </w:pPr>
            <w:r w:rsidRPr="00F72A65">
              <w:rPr>
                <w:rFonts w:cstheme="minorHAnsi"/>
                <w:sz w:val="20"/>
                <w:szCs w:val="20"/>
              </w:rPr>
              <w:t>12, 80%</w:t>
            </w:r>
          </w:p>
        </w:tc>
        <w:tc>
          <w:tcPr>
            <w:tcW w:w="0" w:type="auto"/>
          </w:tcPr>
          <w:p w14:paraId="05CBE815" w14:textId="77777777" w:rsidR="00576C5D" w:rsidRPr="00F72A65" w:rsidRDefault="00576C5D" w:rsidP="00576C5D">
            <w:pPr>
              <w:pStyle w:val="NoSpacing"/>
              <w:rPr>
                <w:rFonts w:cstheme="minorHAnsi"/>
                <w:sz w:val="20"/>
                <w:szCs w:val="20"/>
              </w:rPr>
            </w:pPr>
            <w:r w:rsidRPr="00F72A65">
              <w:rPr>
                <w:rFonts w:cstheme="minorHAnsi"/>
                <w:sz w:val="20"/>
                <w:szCs w:val="20"/>
              </w:rPr>
              <w:t>.99</w:t>
            </w:r>
          </w:p>
        </w:tc>
        <w:tc>
          <w:tcPr>
            <w:tcW w:w="0" w:type="auto"/>
          </w:tcPr>
          <w:p w14:paraId="7A931351" w14:textId="77777777" w:rsidR="00576C5D" w:rsidRPr="00F72A65" w:rsidRDefault="00576C5D" w:rsidP="00576C5D">
            <w:pPr>
              <w:pStyle w:val="NoSpacing"/>
              <w:rPr>
                <w:rFonts w:cstheme="minorHAnsi"/>
                <w:w w:val="105"/>
                <w:sz w:val="20"/>
                <w:szCs w:val="20"/>
                <w:vertAlign w:val="superscript"/>
              </w:rPr>
            </w:pPr>
            <w:r w:rsidRPr="00F72A65">
              <w:rPr>
                <w:rFonts w:cstheme="minorHAnsi"/>
                <w:w w:val="105"/>
                <w:sz w:val="20"/>
                <w:szCs w:val="20"/>
              </w:rPr>
              <w:t>.02</w:t>
            </w:r>
            <w:r w:rsidRPr="00F72A65">
              <w:rPr>
                <w:rFonts w:cstheme="minorHAnsi"/>
                <w:w w:val="105"/>
                <w:sz w:val="20"/>
                <w:szCs w:val="20"/>
                <w:vertAlign w:val="superscript"/>
              </w:rPr>
              <w:t>b</w:t>
            </w:r>
          </w:p>
        </w:tc>
      </w:tr>
      <w:tr w:rsidR="00576C5D" w:rsidRPr="00F72A65" w14:paraId="2BAEF6E5" w14:textId="77777777" w:rsidTr="00312680">
        <w:trPr>
          <w:trHeight w:val="180"/>
        </w:trPr>
        <w:tc>
          <w:tcPr>
            <w:tcW w:w="0" w:type="auto"/>
          </w:tcPr>
          <w:p w14:paraId="2A535E58" w14:textId="77777777" w:rsidR="00576C5D" w:rsidRPr="00F72A65" w:rsidRDefault="00576C5D" w:rsidP="00576C5D">
            <w:pPr>
              <w:pStyle w:val="NoSpacing"/>
              <w:rPr>
                <w:rFonts w:cstheme="minorHAnsi"/>
                <w:sz w:val="20"/>
                <w:szCs w:val="20"/>
              </w:rPr>
            </w:pPr>
            <w:r w:rsidRPr="00F72A65">
              <w:rPr>
                <w:rFonts w:cstheme="minorHAnsi"/>
                <w:sz w:val="20"/>
                <w:szCs w:val="20"/>
              </w:rPr>
              <w:t>Education (years)</w:t>
            </w:r>
          </w:p>
        </w:tc>
        <w:tc>
          <w:tcPr>
            <w:tcW w:w="0" w:type="auto"/>
          </w:tcPr>
          <w:p w14:paraId="5B5713A2" w14:textId="77777777" w:rsidR="00576C5D" w:rsidRPr="00F72A65" w:rsidRDefault="00576C5D" w:rsidP="00576C5D">
            <w:pPr>
              <w:pStyle w:val="NoSpacing"/>
              <w:rPr>
                <w:rFonts w:cstheme="minorHAnsi"/>
                <w:sz w:val="20"/>
                <w:szCs w:val="20"/>
              </w:rPr>
            </w:pPr>
            <w:r w:rsidRPr="00F72A65">
              <w:rPr>
                <w:rFonts w:cstheme="minorHAnsi"/>
                <w:sz w:val="20"/>
                <w:szCs w:val="20"/>
              </w:rPr>
              <w:t>14.0 (1.8)</w:t>
            </w:r>
          </w:p>
        </w:tc>
        <w:tc>
          <w:tcPr>
            <w:tcW w:w="0" w:type="auto"/>
          </w:tcPr>
          <w:p w14:paraId="36991A80" w14:textId="77777777" w:rsidR="00576C5D" w:rsidRPr="00F72A65" w:rsidRDefault="00576C5D" w:rsidP="00576C5D">
            <w:pPr>
              <w:pStyle w:val="NoSpacing"/>
              <w:rPr>
                <w:rFonts w:cstheme="minorHAnsi"/>
                <w:sz w:val="20"/>
                <w:szCs w:val="20"/>
              </w:rPr>
            </w:pPr>
            <w:r w:rsidRPr="00F72A65">
              <w:rPr>
                <w:rFonts w:cstheme="minorHAnsi"/>
                <w:sz w:val="20"/>
                <w:szCs w:val="20"/>
              </w:rPr>
              <w:t>16.8 (3.2)</w:t>
            </w:r>
          </w:p>
        </w:tc>
        <w:tc>
          <w:tcPr>
            <w:tcW w:w="0" w:type="auto"/>
          </w:tcPr>
          <w:p w14:paraId="2A9A6283" w14:textId="77777777" w:rsidR="00576C5D" w:rsidRPr="00F72A65" w:rsidRDefault="00576C5D" w:rsidP="00576C5D">
            <w:pPr>
              <w:pStyle w:val="NoSpacing"/>
              <w:rPr>
                <w:rFonts w:cstheme="minorHAnsi"/>
                <w:sz w:val="20"/>
                <w:szCs w:val="20"/>
              </w:rPr>
            </w:pPr>
            <w:r w:rsidRPr="00F72A65">
              <w:rPr>
                <w:rFonts w:cstheme="minorHAnsi"/>
                <w:sz w:val="20"/>
                <w:szCs w:val="20"/>
              </w:rPr>
              <w:t>14.8 (3.1)</w:t>
            </w:r>
          </w:p>
        </w:tc>
        <w:tc>
          <w:tcPr>
            <w:tcW w:w="0" w:type="auto"/>
          </w:tcPr>
          <w:p w14:paraId="7FC21666" w14:textId="77777777" w:rsidR="00576C5D" w:rsidRPr="00F72A65" w:rsidRDefault="00576C5D" w:rsidP="00576C5D">
            <w:pPr>
              <w:pStyle w:val="NoSpacing"/>
              <w:rPr>
                <w:rFonts w:cstheme="minorHAnsi"/>
                <w:b/>
                <w:bCs/>
                <w:sz w:val="20"/>
                <w:szCs w:val="20"/>
              </w:rPr>
            </w:pPr>
            <w:r w:rsidRPr="00F72A65">
              <w:rPr>
                <w:rFonts w:cstheme="minorHAnsi"/>
                <w:b/>
                <w:bCs/>
                <w:sz w:val="20"/>
                <w:szCs w:val="20"/>
              </w:rPr>
              <w:t>.02</w:t>
            </w:r>
          </w:p>
        </w:tc>
        <w:tc>
          <w:tcPr>
            <w:tcW w:w="0" w:type="auto"/>
          </w:tcPr>
          <w:p w14:paraId="53E24CF3" w14:textId="77777777" w:rsidR="00576C5D" w:rsidRPr="00F72A65" w:rsidRDefault="00576C5D" w:rsidP="00576C5D">
            <w:pPr>
              <w:pStyle w:val="NoSpacing"/>
              <w:rPr>
                <w:rFonts w:cstheme="minorHAnsi"/>
                <w:w w:val="105"/>
                <w:sz w:val="20"/>
                <w:szCs w:val="20"/>
                <w:vertAlign w:val="superscript"/>
              </w:rPr>
            </w:pPr>
            <w:r w:rsidRPr="00F72A65">
              <w:rPr>
                <w:rFonts w:cstheme="minorHAnsi"/>
                <w:w w:val="105"/>
                <w:sz w:val="20"/>
                <w:szCs w:val="20"/>
              </w:rPr>
              <w:t>.17</w:t>
            </w:r>
            <w:r w:rsidRPr="00F72A65">
              <w:rPr>
                <w:rFonts w:cstheme="minorHAnsi"/>
                <w:w w:val="105"/>
                <w:sz w:val="20"/>
                <w:szCs w:val="20"/>
                <w:vertAlign w:val="superscript"/>
              </w:rPr>
              <w:t>a</w:t>
            </w:r>
          </w:p>
        </w:tc>
      </w:tr>
      <w:tr w:rsidR="00576C5D" w:rsidRPr="00F72A65" w14:paraId="6FFC520F" w14:textId="77777777" w:rsidTr="00312680">
        <w:trPr>
          <w:trHeight w:val="229"/>
        </w:trPr>
        <w:tc>
          <w:tcPr>
            <w:tcW w:w="0" w:type="auto"/>
          </w:tcPr>
          <w:p w14:paraId="72428941" w14:textId="77777777" w:rsidR="00576C5D" w:rsidRPr="00F72A65" w:rsidRDefault="00576C5D" w:rsidP="00576C5D">
            <w:pPr>
              <w:pStyle w:val="NoSpacing"/>
              <w:rPr>
                <w:rFonts w:cstheme="minorHAnsi"/>
                <w:sz w:val="20"/>
                <w:szCs w:val="20"/>
              </w:rPr>
            </w:pPr>
            <w:r w:rsidRPr="00F72A65">
              <w:rPr>
                <w:rFonts w:cstheme="minorHAnsi"/>
                <w:sz w:val="20"/>
                <w:szCs w:val="20"/>
              </w:rPr>
              <w:t>Family history (</w:t>
            </w:r>
            <w:r w:rsidRPr="00F72A65">
              <w:rPr>
                <w:rFonts w:cstheme="minorHAnsi"/>
                <w:i/>
                <w:iCs/>
                <w:sz w:val="20"/>
                <w:szCs w:val="20"/>
              </w:rPr>
              <w:t xml:space="preserve">n, </w:t>
            </w:r>
            <w:r w:rsidRPr="00F72A65">
              <w:rPr>
                <w:rFonts w:cstheme="minorHAnsi"/>
                <w:sz w:val="20"/>
                <w:szCs w:val="20"/>
              </w:rPr>
              <w:t>% yes)</w:t>
            </w:r>
          </w:p>
        </w:tc>
        <w:tc>
          <w:tcPr>
            <w:tcW w:w="0" w:type="auto"/>
          </w:tcPr>
          <w:p w14:paraId="7D986930" w14:textId="77777777" w:rsidR="00576C5D" w:rsidRPr="00F72A65" w:rsidRDefault="00576C5D" w:rsidP="00576C5D">
            <w:pPr>
              <w:pStyle w:val="NoSpacing"/>
              <w:rPr>
                <w:rFonts w:cstheme="minorHAnsi"/>
                <w:sz w:val="20"/>
                <w:szCs w:val="20"/>
              </w:rPr>
            </w:pPr>
            <w:r w:rsidRPr="00F72A65">
              <w:rPr>
                <w:rFonts w:cstheme="minorHAnsi"/>
                <w:sz w:val="20"/>
                <w:szCs w:val="20"/>
              </w:rPr>
              <w:t>0, 0%</w:t>
            </w:r>
          </w:p>
        </w:tc>
        <w:tc>
          <w:tcPr>
            <w:tcW w:w="0" w:type="auto"/>
          </w:tcPr>
          <w:p w14:paraId="5B0849E7" w14:textId="77777777" w:rsidR="00576C5D" w:rsidRPr="00F72A65" w:rsidRDefault="00576C5D" w:rsidP="00576C5D">
            <w:pPr>
              <w:pStyle w:val="NoSpacing"/>
              <w:rPr>
                <w:rFonts w:cstheme="minorHAnsi"/>
                <w:sz w:val="20"/>
                <w:szCs w:val="20"/>
              </w:rPr>
            </w:pPr>
            <w:r w:rsidRPr="00F72A65">
              <w:rPr>
                <w:rFonts w:cstheme="minorHAnsi"/>
                <w:sz w:val="20"/>
                <w:szCs w:val="20"/>
              </w:rPr>
              <w:t>7, 64%</w:t>
            </w:r>
          </w:p>
        </w:tc>
        <w:tc>
          <w:tcPr>
            <w:tcW w:w="0" w:type="auto"/>
          </w:tcPr>
          <w:p w14:paraId="6807F94F" w14:textId="77777777" w:rsidR="00576C5D" w:rsidRPr="00F72A65" w:rsidRDefault="00576C5D" w:rsidP="00576C5D">
            <w:pPr>
              <w:pStyle w:val="NoSpacing"/>
              <w:rPr>
                <w:rFonts w:cstheme="minorHAnsi"/>
                <w:sz w:val="20"/>
                <w:szCs w:val="20"/>
              </w:rPr>
            </w:pPr>
            <w:r w:rsidRPr="00F72A65">
              <w:rPr>
                <w:rFonts w:cstheme="minorHAnsi"/>
                <w:sz w:val="20"/>
                <w:szCs w:val="20"/>
              </w:rPr>
              <w:t>12, 80%</w:t>
            </w:r>
          </w:p>
        </w:tc>
        <w:tc>
          <w:tcPr>
            <w:tcW w:w="0" w:type="auto"/>
          </w:tcPr>
          <w:p w14:paraId="14F4361A" w14:textId="77777777" w:rsidR="00576C5D" w:rsidRPr="00F72A65" w:rsidRDefault="00576C5D" w:rsidP="00576C5D">
            <w:pPr>
              <w:pStyle w:val="NoSpacing"/>
              <w:rPr>
                <w:rFonts w:cstheme="minorHAnsi"/>
                <w:sz w:val="20"/>
                <w:szCs w:val="20"/>
              </w:rPr>
            </w:pPr>
            <w:r w:rsidRPr="00F72A65">
              <w:rPr>
                <w:rFonts w:cstheme="minorHAnsi"/>
                <w:sz w:val="20"/>
                <w:szCs w:val="20"/>
              </w:rPr>
              <w:t>.35</w:t>
            </w:r>
          </w:p>
        </w:tc>
        <w:tc>
          <w:tcPr>
            <w:tcW w:w="0" w:type="auto"/>
          </w:tcPr>
          <w:p w14:paraId="77CC3438" w14:textId="77777777" w:rsidR="00576C5D" w:rsidRPr="00F72A65" w:rsidRDefault="00576C5D" w:rsidP="00576C5D">
            <w:pPr>
              <w:pStyle w:val="NoSpacing"/>
              <w:rPr>
                <w:rFonts w:cstheme="minorHAnsi"/>
                <w:w w:val="105"/>
                <w:sz w:val="20"/>
                <w:szCs w:val="20"/>
                <w:vertAlign w:val="superscript"/>
              </w:rPr>
            </w:pPr>
            <w:r w:rsidRPr="00F72A65">
              <w:rPr>
                <w:rFonts w:cstheme="minorHAnsi"/>
                <w:w w:val="105"/>
                <w:sz w:val="20"/>
                <w:szCs w:val="20"/>
              </w:rPr>
              <w:t>.35</w:t>
            </w:r>
            <w:r w:rsidRPr="00F72A65">
              <w:rPr>
                <w:rFonts w:cstheme="minorHAnsi"/>
                <w:w w:val="105"/>
                <w:sz w:val="20"/>
                <w:szCs w:val="20"/>
                <w:vertAlign w:val="superscript"/>
              </w:rPr>
              <w:t>b</w:t>
            </w:r>
          </w:p>
        </w:tc>
      </w:tr>
    </w:tbl>
    <w:p w14:paraId="652E0968" w14:textId="77777777" w:rsidR="00AE6D3C" w:rsidRPr="00F72A65" w:rsidRDefault="00AE6D3C" w:rsidP="00AE6D3C">
      <w:pPr>
        <w:pStyle w:val="NoSpacing"/>
        <w:rPr>
          <w:rFonts w:cstheme="minorHAnsi"/>
          <w:sz w:val="20"/>
          <w:szCs w:val="20"/>
        </w:rPr>
      </w:pPr>
      <w:bookmarkStart w:id="4" w:name="Statistical_Analyses"/>
      <w:bookmarkStart w:id="5" w:name="Results"/>
      <w:bookmarkStart w:id="6" w:name="_bookmark1"/>
      <w:bookmarkEnd w:id="4"/>
      <w:bookmarkEnd w:id="5"/>
      <w:bookmarkEnd w:id="6"/>
      <w:r w:rsidRPr="00F72A65">
        <w:rPr>
          <w:rFonts w:cstheme="minorHAnsi"/>
          <w:i/>
          <w:iCs/>
          <w:sz w:val="20"/>
          <w:szCs w:val="20"/>
        </w:rPr>
        <w:t>Note</w:t>
      </w:r>
      <w:r w:rsidRPr="00F72A65">
        <w:rPr>
          <w:rFonts w:cstheme="minorHAnsi"/>
          <w:sz w:val="20"/>
          <w:szCs w:val="20"/>
        </w:rPr>
        <w:t xml:space="preserve">.    Values are presented as means with standard deviations in parentheses unless otherwise noted. Bolded values are statistically significant at </w:t>
      </w:r>
      <w:r w:rsidRPr="00F72A65">
        <w:rPr>
          <w:rFonts w:cstheme="minorHAnsi"/>
          <w:i/>
          <w:iCs/>
          <w:sz w:val="20"/>
          <w:szCs w:val="20"/>
        </w:rPr>
        <w:t xml:space="preserve">p </w:t>
      </w:r>
      <w:r w:rsidRPr="00F72A65">
        <w:rPr>
          <w:rFonts w:cstheme="minorHAnsi"/>
          <w:w w:val="142"/>
          <w:sz w:val="20"/>
          <w:szCs w:val="20"/>
        </w:rPr>
        <w:t>&lt;</w:t>
      </w:r>
      <w:r w:rsidRPr="00F72A65">
        <w:rPr>
          <w:rFonts w:cstheme="minorHAnsi"/>
          <w:spacing w:val="-4"/>
          <w:sz w:val="20"/>
          <w:szCs w:val="20"/>
        </w:rPr>
        <w:t xml:space="preserve"> </w:t>
      </w:r>
      <w:r w:rsidRPr="00F72A65">
        <w:rPr>
          <w:rFonts w:cstheme="minorHAnsi"/>
          <w:sz w:val="20"/>
          <w:szCs w:val="20"/>
        </w:rPr>
        <w:t xml:space="preserve">.05. </w:t>
      </w:r>
      <w:r w:rsidRPr="00F72A65">
        <w:rPr>
          <w:rFonts w:cstheme="minorHAnsi"/>
          <w:w w:val="66"/>
          <w:sz w:val="20"/>
          <w:szCs w:val="20"/>
        </w:rPr>
        <w:t>E</w:t>
      </w:r>
      <w:r w:rsidRPr="00F72A65">
        <w:rPr>
          <w:rFonts w:cstheme="minorHAnsi"/>
          <w:sz w:val="20"/>
          <w:szCs w:val="20"/>
        </w:rPr>
        <w:t>4</w:t>
      </w:r>
      <w:r w:rsidRPr="00F72A65">
        <w:rPr>
          <w:rFonts w:cstheme="minorHAnsi"/>
          <w:spacing w:val="42"/>
          <w:w w:val="181"/>
          <w:sz w:val="20"/>
          <w:szCs w:val="20"/>
        </w:rPr>
        <w:t>-</w:t>
      </w:r>
      <w:r w:rsidRPr="00F72A65">
        <w:rPr>
          <w:rFonts w:cstheme="minorHAnsi"/>
          <w:w w:val="181"/>
          <w:sz w:val="20"/>
          <w:szCs w:val="20"/>
        </w:rPr>
        <w:t>=</w:t>
      </w:r>
      <w:r w:rsidRPr="00F72A65">
        <w:rPr>
          <w:rFonts w:cstheme="minorHAnsi"/>
          <w:spacing w:val="-2"/>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spacing w:val="2"/>
          <w:sz w:val="20"/>
          <w:szCs w:val="20"/>
        </w:rPr>
        <w:t xml:space="preserve"> </w:t>
      </w:r>
      <w:r w:rsidRPr="00F72A65">
        <w:rPr>
          <w:rFonts w:cstheme="minorHAnsi"/>
          <w:sz w:val="20"/>
          <w:szCs w:val="20"/>
        </w:rPr>
        <w:t>noncarriers;</w:t>
      </w:r>
      <w:r w:rsidRPr="00F72A65">
        <w:rPr>
          <w:rFonts w:cstheme="minorHAnsi"/>
          <w:spacing w:val="2"/>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w w:val="142"/>
          <w:sz w:val="20"/>
          <w:szCs w:val="20"/>
        </w:rPr>
        <w:t>+</w:t>
      </w:r>
      <w:r w:rsidRPr="00F72A65">
        <w:rPr>
          <w:rFonts w:cstheme="minorHAnsi"/>
          <w:spacing w:val="-2"/>
          <w:sz w:val="20"/>
          <w:szCs w:val="20"/>
        </w:rPr>
        <w:t xml:space="preserve"> </w:t>
      </w:r>
      <w:r w:rsidRPr="00F72A65">
        <w:rPr>
          <w:rFonts w:cstheme="minorHAnsi"/>
          <w:sz w:val="20"/>
          <w:szCs w:val="20"/>
        </w:rPr>
        <w:t>stable</w:t>
      </w:r>
      <w:r w:rsidRPr="00F72A65">
        <w:rPr>
          <w:rFonts w:cstheme="minorHAnsi"/>
          <w:spacing w:val="2"/>
          <w:sz w:val="20"/>
          <w:szCs w:val="20"/>
        </w:rPr>
        <w:t xml:space="preserve"> </w:t>
      </w:r>
      <w:r w:rsidRPr="00F72A65">
        <w:rPr>
          <w:rFonts w:cstheme="minorHAnsi"/>
          <w:w w:val="142"/>
          <w:sz w:val="20"/>
          <w:szCs w:val="20"/>
        </w:rPr>
        <w:t>=</w:t>
      </w:r>
      <w:r w:rsidRPr="00F72A65">
        <w:rPr>
          <w:rFonts w:cstheme="minorHAnsi"/>
          <w:spacing w:val="-2"/>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spacing w:val="2"/>
          <w:sz w:val="20"/>
          <w:szCs w:val="20"/>
        </w:rPr>
        <w:t xml:space="preserve"> </w:t>
      </w:r>
      <w:r w:rsidRPr="00F72A65">
        <w:rPr>
          <w:rFonts w:cstheme="minorHAnsi"/>
          <w:sz w:val="20"/>
          <w:szCs w:val="20"/>
        </w:rPr>
        <w:t>carriers</w:t>
      </w:r>
      <w:r w:rsidRPr="00F72A65">
        <w:rPr>
          <w:rFonts w:cstheme="minorHAnsi"/>
          <w:spacing w:val="2"/>
          <w:sz w:val="20"/>
          <w:szCs w:val="20"/>
        </w:rPr>
        <w:t xml:space="preserve"> </w:t>
      </w:r>
      <w:r w:rsidRPr="00F72A65">
        <w:rPr>
          <w:rFonts w:cstheme="minorHAnsi"/>
          <w:sz w:val="20"/>
          <w:szCs w:val="20"/>
        </w:rPr>
        <w:t>who</w:t>
      </w:r>
      <w:r w:rsidRPr="00F72A65">
        <w:rPr>
          <w:rFonts w:cstheme="minorHAnsi"/>
          <w:spacing w:val="2"/>
          <w:sz w:val="20"/>
          <w:szCs w:val="20"/>
        </w:rPr>
        <w:t xml:space="preserve"> </w:t>
      </w:r>
      <w:r w:rsidRPr="00F72A65">
        <w:rPr>
          <w:rFonts w:cstheme="minorHAnsi"/>
          <w:sz w:val="20"/>
          <w:szCs w:val="20"/>
        </w:rPr>
        <w:t>remained</w:t>
      </w:r>
      <w:r w:rsidRPr="00F72A65">
        <w:rPr>
          <w:rFonts w:cstheme="minorHAnsi"/>
          <w:spacing w:val="2"/>
          <w:sz w:val="20"/>
          <w:szCs w:val="20"/>
        </w:rPr>
        <w:t xml:space="preserve"> </w:t>
      </w:r>
      <w:r w:rsidRPr="00F72A65">
        <w:rPr>
          <w:rFonts w:cstheme="minorHAnsi"/>
          <w:sz w:val="20"/>
          <w:szCs w:val="20"/>
        </w:rPr>
        <w:t>cognitively</w:t>
      </w:r>
      <w:r w:rsidRPr="00F72A65">
        <w:rPr>
          <w:rFonts w:cstheme="minorHAnsi"/>
          <w:spacing w:val="2"/>
          <w:sz w:val="20"/>
          <w:szCs w:val="20"/>
        </w:rPr>
        <w:t xml:space="preserve"> </w:t>
      </w:r>
      <w:r w:rsidRPr="00F72A65">
        <w:rPr>
          <w:rFonts w:cstheme="minorHAnsi"/>
          <w:sz w:val="20"/>
          <w:szCs w:val="20"/>
        </w:rPr>
        <w:t>stable</w:t>
      </w:r>
      <w:r w:rsidRPr="00F72A65">
        <w:rPr>
          <w:rFonts w:cstheme="minorHAnsi"/>
          <w:spacing w:val="2"/>
          <w:sz w:val="20"/>
          <w:szCs w:val="20"/>
        </w:rPr>
        <w:t xml:space="preserve"> </w:t>
      </w:r>
      <w:r w:rsidRPr="00F72A65">
        <w:rPr>
          <w:rFonts w:cstheme="minorHAnsi"/>
          <w:sz w:val="20"/>
          <w:szCs w:val="20"/>
        </w:rPr>
        <w:t>over</w:t>
      </w:r>
      <w:r w:rsidRPr="00F72A65">
        <w:rPr>
          <w:rFonts w:cstheme="minorHAnsi"/>
          <w:spacing w:val="2"/>
          <w:sz w:val="20"/>
          <w:szCs w:val="20"/>
        </w:rPr>
        <w:t xml:space="preserve"> </w:t>
      </w:r>
      <w:r w:rsidRPr="00F72A65">
        <w:rPr>
          <w:rFonts w:cstheme="minorHAnsi"/>
          <w:sz w:val="20"/>
          <w:szCs w:val="20"/>
        </w:rPr>
        <w:t>5</w:t>
      </w:r>
      <w:r w:rsidRPr="00F72A65">
        <w:rPr>
          <w:rFonts w:cstheme="minorHAnsi"/>
          <w:spacing w:val="2"/>
          <w:sz w:val="20"/>
          <w:szCs w:val="20"/>
        </w:rPr>
        <w:t xml:space="preserve"> </w:t>
      </w:r>
      <w:r w:rsidRPr="00F72A65">
        <w:rPr>
          <w:rFonts w:cstheme="minorHAnsi"/>
          <w:sz w:val="20"/>
          <w:szCs w:val="20"/>
        </w:rPr>
        <w:t>years;</w:t>
      </w:r>
      <w:r w:rsidRPr="00F72A65">
        <w:rPr>
          <w:rFonts w:cstheme="minorHAnsi"/>
          <w:spacing w:val="2"/>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w w:val="142"/>
          <w:sz w:val="20"/>
          <w:szCs w:val="20"/>
        </w:rPr>
        <w:t>+</w:t>
      </w:r>
      <w:r w:rsidRPr="00F72A65">
        <w:rPr>
          <w:rFonts w:cstheme="minorHAnsi"/>
          <w:spacing w:val="-2"/>
          <w:sz w:val="20"/>
          <w:szCs w:val="20"/>
        </w:rPr>
        <w:t xml:space="preserve"> </w:t>
      </w:r>
      <w:r w:rsidRPr="00F72A65">
        <w:rPr>
          <w:rFonts w:cstheme="minorHAnsi"/>
          <w:sz w:val="20"/>
          <w:szCs w:val="20"/>
        </w:rPr>
        <w:t>declining</w:t>
      </w:r>
      <w:r w:rsidRPr="00F72A65">
        <w:rPr>
          <w:rFonts w:cstheme="minorHAnsi"/>
          <w:spacing w:val="2"/>
          <w:sz w:val="20"/>
          <w:szCs w:val="20"/>
        </w:rPr>
        <w:t xml:space="preserve"> </w:t>
      </w:r>
      <w:r w:rsidRPr="00F72A65">
        <w:rPr>
          <w:rFonts w:cstheme="minorHAnsi"/>
          <w:w w:val="142"/>
          <w:sz w:val="20"/>
          <w:szCs w:val="20"/>
        </w:rPr>
        <w:t>=</w:t>
      </w:r>
      <w:r w:rsidRPr="00F72A65">
        <w:rPr>
          <w:rFonts w:cstheme="minorHAnsi"/>
          <w:spacing w:val="-2"/>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spacing w:val="2"/>
          <w:sz w:val="20"/>
          <w:szCs w:val="20"/>
        </w:rPr>
        <w:t xml:space="preserve"> </w:t>
      </w:r>
      <w:r w:rsidRPr="00F72A65">
        <w:rPr>
          <w:rFonts w:cstheme="minorHAnsi"/>
          <w:sz w:val="20"/>
          <w:szCs w:val="20"/>
        </w:rPr>
        <w:t>carriers</w:t>
      </w:r>
      <w:r w:rsidRPr="00F72A65">
        <w:rPr>
          <w:rFonts w:cstheme="minorHAnsi"/>
          <w:spacing w:val="2"/>
          <w:sz w:val="20"/>
          <w:szCs w:val="20"/>
        </w:rPr>
        <w:t xml:space="preserve"> </w:t>
      </w:r>
      <w:r w:rsidRPr="00F72A65">
        <w:rPr>
          <w:rFonts w:cstheme="minorHAnsi"/>
          <w:sz w:val="20"/>
          <w:szCs w:val="20"/>
        </w:rPr>
        <w:t>who</w:t>
      </w:r>
      <w:r w:rsidRPr="00F72A65">
        <w:rPr>
          <w:rFonts w:cstheme="minorHAnsi"/>
          <w:spacing w:val="2"/>
          <w:sz w:val="20"/>
          <w:szCs w:val="20"/>
        </w:rPr>
        <w:t xml:space="preserve"> </w:t>
      </w:r>
      <w:r w:rsidRPr="00F72A65">
        <w:rPr>
          <w:rFonts w:cstheme="minorHAnsi"/>
          <w:sz w:val="20"/>
          <w:szCs w:val="20"/>
        </w:rPr>
        <w:t>cognitively</w:t>
      </w:r>
      <w:r w:rsidRPr="00F72A65">
        <w:rPr>
          <w:rFonts w:cstheme="minorHAnsi"/>
          <w:spacing w:val="2"/>
          <w:sz w:val="20"/>
          <w:szCs w:val="20"/>
        </w:rPr>
        <w:t xml:space="preserve"> </w:t>
      </w:r>
      <w:r w:rsidRPr="00F72A65">
        <w:rPr>
          <w:rFonts w:cstheme="minorHAnsi"/>
          <w:sz w:val="20"/>
          <w:szCs w:val="20"/>
        </w:rPr>
        <w:t>declined</w:t>
      </w:r>
      <w:r w:rsidRPr="00F72A65">
        <w:rPr>
          <w:rFonts w:cstheme="minorHAnsi"/>
          <w:spacing w:val="2"/>
          <w:sz w:val="20"/>
          <w:szCs w:val="20"/>
        </w:rPr>
        <w:t xml:space="preserve"> </w:t>
      </w:r>
      <w:r w:rsidRPr="00F72A65">
        <w:rPr>
          <w:rFonts w:cstheme="minorHAnsi"/>
          <w:sz w:val="20"/>
          <w:szCs w:val="20"/>
        </w:rPr>
        <w:t>over 5</w:t>
      </w:r>
      <w:r w:rsidRPr="00F72A65">
        <w:rPr>
          <w:rFonts w:cstheme="minorHAnsi"/>
          <w:spacing w:val="13"/>
          <w:sz w:val="20"/>
          <w:szCs w:val="20"/>
        </w:rPr>
        <w:t xml:space="preserve"> </w:t>
      </w:r>
      <w:r w:rsidRPr="00F72A65">
        <w:rPr>
          <w:rFonts w:cstheme="minorHAnsi"/>
          <w:sz w:val="20"/>
          <w:szCs w:val="20"/>
        </w:rPr>
        <w:t>years.</w:t>
      </w:r>
    </w:p>
    <w:p w14:paraId="322BBED0" w14:textId="77777777" w:rsidR="00AE6D3C" w:rsidRPr="00F72A65" w:rsidRDefault="00AE6D3C" w:rsidP="00AE6D3C">
      <w:pPr>
        <w:pStyle w:val="NoSpacing"/>
        <w:rPr>
          <w:rFonts w:cstheme="minorHAnsi"/>
          <w:w w:val="105"/>
          <w:sz w:val="20"/>
          <w:szCs w:val="20"/>
        </w:rPr>
      </w:pPr>
      <w:r w:rsidRPr="00F72A65">
        <w:rPr>
          <w:rFonts w:cstheme="minorHAnsi"/>
          <w:w w:val="105"/>
          <w:position w:val="6"/>
          <w:sz w:val="20"/>
          <w:szCs w:val="20"/>
        </w:rPr>
        <w:t xml:space="preserve">a </w:t>
      </w:r>
      <w:r w:rsidRPr="00F72A65">
        <w:rPr>
          <w:rFonts w:cstheme="minorHAnsi"/>
          <w:w w:val="105"/>
          <w:sz w:val="20"/>
          <w:szCs w:val="20"/>
        </w:rPr>
        <w:t xml:space="preserve">Partial eta squared. </w:t>
      </w:r>
      <w:r w:rsidRPr="00F72A65">
        <w:rPr>
          <w:rFonts w:cstheme="minorHAnsi"/>
          <w:w w:val="105"/>
          <w:sz w:val="20"/>
          <w:szCs w:val="20"/>
          <w:vertAlign w:val="superscript"/>
        </w:rPr>
        <w:t>b</w:t>
      </w:r>
      <w:r w:rsidRPr="00F72A65">
        <w:rPr>
          <w:rFonts w:cstheme="minorHAnsi"/>
          <w:w w:val="105"/>
          <w:sz w:val="20"/>
          <w:szCs w:val="20"/>
        </w:rPr>
        <w:t xml:space="preserve"> </w:t>
      </w:r>
      <w:proofErr w:type="spellStart"/>
      <w:r w:rsidRPr="00F72A65">
        <w:rPr>
          <w:rFonts w:cstheme="minorHAnsi"/>
          <w:w w:val="105"/>
          <w:sz w:val="20"/>
          <w:szCs w:val="20"/>
        </w:rPr>
        <w:t>Cramèr’s</w:t>
      </w:r>
      <w:proofErr w:type="spellEnd"/>
      <w:r w:rsidRPr="00F72A65">
        <w:rPr>
          <w:rFonts w:cstheme="minorHAnsi"/>
          <w:w w:val="105"/>
          <w:sz w:val="20"/>
          <w:szCs w:val="20"/>
        </w:rPr>
        <w:t xml:space="preserve"> </w:t>
      </w:r>
      <w:r w:rsidRPr="00F72A65">
        <w:rPr>
          <w:rFonts w:cstheme="minorHAnsi"/>
          <w:i/>
          <w:iCs/>
          <w:w w:val="105"/>
          <w:sz w:val="20"/>
          <w:szCs w:val="20"/>
        </w:rPr>
        <w:t>V</w:t>
      </w:r>
      <w:r w:rsidRPr="00F72A65">
        <w:rPr>
          <w:rFonts w:cstheme="minorHAnsi"/>
          <w:w w:val="105"/>
          <w:sz w:val="20"/>
          <w:szCs w:val="20"/>
        </w:rPr>
        <w:t>.</w:t>
      </w:r>
    </w:p>
    <w:p w14:paraId="537BE3FD" w14:textId="77777777" w:rsidR="00843B07" w:rsidRPr="00F72A65" w:rsidRDefault="00843B07"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255C6572" w14:textId="77777777" w:rsidR="00AA24F6"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No significant differences were observed between the three groups for mean age in years (ε4−: 73.1 years, </w:t>
      </w:r>
      <w:r w:rsidRPr="00F72A65">
        <w:rPr>
          <w:rStyle w:val="Emphasis"/>
          <w:rFonts w:asciiTheme="minorHAnsi" w:eastAsiaTheme="majorEastAsia" w:hAnsiTheme="minorHAnsi" w:cstheme="minorHAnsi"/>
          <w:color w:val="333333"/>
          <w:sz w:val="20"/>
          <w:szCs w:val="20"/>
          <w:bdr w:val="none" w:sz="0" w:space="0" w:color="auto" w:frame="1"/>
        </w:rPr>
        <w:t>SD</w:t>
      </w:r>
      <w:r w:rsidRPr="00F72A65">
        <w:rPr>
          <w:rFonts w:asciiTheme="minorHAnsi" w:hAnsiTheme="minorHAnsi" w:cstheme="minorHAnsi"/>
          <w:color w:val="333333"/>
          <w:sz w:val="20"/>
          <w:szCs w:val="20"/>
        </w:rPr>
        <w:t> = 5.2; ε4+ stable: 71.9 years, </w:t>
      </w:r>
      <w:r w:rsidRPr="00F72A65">
        <w:rPr>
          <w:rStyle w:val="Emphasis"/>
          <w:rFonts w:asciiTheme="minorHAnsi" w:eastAsiaTheme="majorEastAsia" w:hAnsiTheme="minorHAnsi" w:cstheme="minorHAnsi"/>
          <w:color w:val="333333"/>
          <w:sz w:val="20"/>
          <w:szCs w:val="20"/>
          <w:bdr w:val="none" w:sz="0" w:space="0" w:color="auto" w:frame="1"/>
        </w:rPr>
        <w:t>SD</w:t>
      </w:r>
      <w:r w:rsidRPr="00F72A65">
        <w:rPr>
          <w:rFonts w:asciiTheme="minorHAnsi" w:hAnsiTheme="minorHAnsi" w:cstheme="minorHAnsi"/>
          <w:color w:val="333333"/>
          <w:sz w:val="20"/>
          <w:szCs w:val="20"/>
        </w:rPr>
        <w:t> = 4.3; ε4+ declining: 73.0 years, </w:t>
      </w:r>
      <w:r w:rsidRPr="00F72A65">
        <w:rPr>
          <w:rStyle w:val="Emphasis"/>
          <w:rFonts w:asciiTheme="minorHAnsi" w:eastAsiaTheme="majorEastAsia" w:hAnsiTheme="minorHAnsi" w:cstheme="minorHAnsi"/>
          <w:color w:val="333333"/>
          <w:sz w:val="20"/>
          <w:szCs w:val="20"/>
          <w:bdr w:val="none" w:sz="0" w:space="0" w:color="auto" w:frame="1"/>
        </w:rPr>
        <w:t>SD</w:t>
      </w:r>
      <w:r w:rsidRPr="00F72A65">
        <w:rPr>
          <w:rFonts w:asciiTheme="minorHAnsi" w:hAnsiTheme="minorHAnsi" w:cstheme="minorHAnsi"/>
          <w:color w:val="333333"/>
          <w:sz w:val="20"/>
          <w:szCs w:val="20"/>
        </w:rPr>
        <w:t> = 4.3; </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rPr>
        <w:t> = .768, η</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bdr w:val="none" w:sz="0" w:space="0" w:color="auto" w:frame="1"/>
          <w:vertAlign w:val="superscript"/>
        </w:rPr>
        <w:t>2</w:t>
      </w:r>
      <w:r w:rsidRPr="00F72A65">
        <w:rPr>
          <w:rFonts w:asciiTheme="minorHAnsi" w:hAnsiTheme="minorHAnsi" w:cstheme="minorHAnsi"/>
          <w:color w:val="333333"/>
          <w:sz w:val="20"/>
          <w:szCs w:val="20"/>
        </w:rPr>
        <w:t> = 0.012; 95% CIs [71.1, 75.1], [69.0, 74.7], and [70.5, 75.4]) or for number of females (ε4−: 18, 82%; ε4+ stable: 9, 82%; ε4+ declining: 12, 80%; </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rPr>
        <w:t xml:space="preserve"> = .989, </w:t>
      </w:r>
      <w:proofErr w:type="spellStart"/>
      <w:r w:rsidRPr="00F72A65">
        <w:rPr>
          <w:rFonts w:asciiTheme="minorHAnsi" w:hAnsiTheme="minorHAnsi" w:cstheme="minorHAnsi"/>
          <w:color w:val="333333"/>
          <w:sz w:val="20"/>
          <w:szCs w:val="20"/>
        </w:rPr>
        <w:t>Cramèr’s</w:t>
      </w:r>
      <w:proofErr w:type="spellEnd"/>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V</w:t>
      </w:r>
      <w:r w:rsidRPr="00F72A65">
        <w:rPr>
          <w:rFonts w:asciiTheme="minorHAnsi" w:hAnsiTheme="minorHAnsi" w:cstheme="minorHAnsi"/>
          <w:color w:val="333333"/>
          <w:sz w:val="20"/>
          <w:szCs w:val="20"/>
        </w:rPr>
        <w:t> = 0.022). However, significant group differences, </w:t>
      </w:r>
      <w:r w:rsidRPr="00F72A65">
        <w:rPr>
          <w:rStyle w:val="Emphasis"/>
          <w:rFonts w:asciiTheme="minorHAnsi" w:eastAsiaTheme="majorEastAsia" w:hAnsiTheme="minorHAnsi" w:cstheme="minorHAnsi"/>
          <w:color w:val="333333"/>
          <w:sz w:val="20"/>
          <w:szCs w:val="20"/>
          <w:bdr w:val="none" w:sz="0" w:space="0" w:color="auto" w:frame="1"/>
        </w:rPr>
        <w:t>F</w:t>
      </w:r>
      <w:r w:rsidRPr="00F72A65">
        <w:rPr>
          <w:rFonts w:asciiTheme="minorHAnsi" w:hAnsiTheme="minorHAnsi" w:cstheme="minorHAnsi"/>
          <w:color w:val="333333"/>
          <w:sz w:val="20"/>
          <w:szCs w:val="20"/>
        </w:rPr>
        <w:t>(2, 45) = 4.45, </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rPr>
        <w:t> = .017, η</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bdr w:val="none" w:sz="0" w:space="0" w:color="auto" w:frame="1"/>
          <w:vertAlign w:val="superscript"/>
        </w:rPr>
        <w:t>2</w:t>
      </w:r>
      <w:r w:rsidRPr="00F72A65">
        <w:rPr>
          <w:rFonts w:asciiTheme="minorHAnsi" w:hAnsiTheme="minorHAnsi" w:cstheme="minorHAnsi"/>
          <w:color w:val="333333"/>
          <w:sz w:val="20"/>
          <w:szCs w:val="20"/>
        </w:rPr>
        <w:t> = 0.165, were observed for mean years of education (ε4−: 14.0 years, </w:t>
      </w:r>
      <w:r w:rsidRPr="00F72A65">
        <w:rPr>
          <w:rStyle w:val="Emphasis"/>
          <w:rFonts w:asciiTheme="minorHAnsi" w:eastAsiaTheme="majorEastAsia" w:hAnsiTheme="minorHAnsi" w:cstheme="minorHAnsi"/>
          <w:color w:val="333333"/>
          <w:sz w:val="20"/>
          <w:szCs w:val="20"/>
          <w:bdr w:val="none" w:sz="0" w:space="0" w:color="auto" w:frame="1"/>
        </w:rPr>
        <w:t>SD</w:t>
      </w:r>
      <w:r w:rsidRPr="00F72A65">
        <w:rPr>
          <w:rFonts w:asciiTheme="minorHAnsi" w:hAnsiTheme="minorHAnsi" w:cstheme="minorHAnsi"/>
          <w:color w:val="333333"/>
          <w:sz w:val="20"/>
          <w:szCs w:val="20"/>
        </w:rPr>
        <w:t> = 1.8; ε4+ stable: 16.8 years, </w:t>
      </w:r>
      <w:r w:rsidRPr="00F72A65">
        <w:rPr>
          <w:rStyle w:val="Emphasis"/>
          <w:rFonts w:asciiTheme="minorHAnsi" w:eastAsiaTheme="majorEastAsia" w:hAnsiTheme="minorHAnsi" w:cstheme="minorHAnsi"/>
          <w:color w:val="333333"/>
          <w:sz w:val="20"/>
          <w:szCs w:val="20"/>
          <w:bdr w:val="none" w:sz="0" w:space="0" w:color="auto" w:frame="1"/>
        </w:rPr>
        <w:t>SD</w:t>
      </w:r>
      <w:r w:rsidRPr="00F72A65">
        <w:rPr>
          <w:rFonts w:asciiTheme="minorHAnsi" w:hAnsiTheme="minorHAnsi" w:cstheme="minorHAnsi"/>
          <w:color w:val="333333"/>
          <w:sz w:val="20"/>
          <w:szCs w:val="20"/>
        </w:rPr>
        <w:t> = 3.2; ε4+ declining: 14.8 years, </w:t>
      </w:r>
      <w:r w:rsidRPr="00F72A65">
        <w:rPr>
          <w:rStyle w:val="Emphasis"/>
          <w:rFonts w:asciiTheme="minorHAnsi" w:eastAsiaTheme="majorEastAsia" w:hAnsiTheme="minorHAnsi" w:cstheme="minorHAnsi"/>
          <w:color w:val="333333"/>
          <w:sz w:val="20"/>
          <w:szCs w:val="20"/>
          <w:bdr w:val="none" w:sz="0" w:space="0" w:color="auto" w:frame="1"/>
        </w:rPr>
        <w:t>SD</w:t>
      </w:r>
      <w:r w:rsidRPr="00F72A65">
        <w:rPr>
          <w:rFonts w:asciiTheme="minorHAnsi" w:hAnsiTheme="minorHAnsi" w:cstheme="minorHAnsi"/>
          <w:color w:val="333333"/>
          <w:sz w:val="20"/>
          <w:szCs w:val="20"/>
        </w:rPr>
        <w:t> = 3.1; 95% CIs [12.8, 15.1], [15.2, 18.4], and [13.4, 16.2]), with the ε4+ stable group being significantly more educated than the ε4− group. No significant baseline group differences were observed on the MMSE, DRS-2, or RAVLT, although group differences were observed at 18 months and 5 years on the RAVLT (see </w:t>
      </w:r>
      <w:hyperlink r:id="rId30" w:anchor="tbl2" w:history="1">
        <w:r w:rsidRPr="00F72A65">
          <w:rPr>
            <w:rStyle w:val="Hyperlink"/>
            <w:rFonts w:asciiTheme="minorHAnsi" w:eastAsiaTheme="majorEastAsia" w:hAnsiTheme="minorHAnsi" w:cstheme="minorHAnsi"/>
            <w:color w:val="005BC6"/>
            <w:sz w:val="20"/>
            <w:szCs w:val="20"/>
            <w:bdr w:val="none" w:sz="0" w:space="0" w:color="auto" w:frame="1"/>
          </w:rPr>
          <w:t>Table 2</w:t>
        </w:r>
      </w:hyperlink>
      <w:r w:rsidRPr="00F72A65">
        <w:rPr>
          <w:rFonts w:asciiTheme="minorHAnsi" w:hAnsiTheme="minorHAnsi" w:cstheme="minorHAnsi"/>
          <w:color w:val="333333"/>
          <w:sz w:val="20"/>
          <w:szCs w:val="20"/>
        </w:rPr>
        <w:t>).</w:t>
      </w:r>
      <w:r w:rsidRPr="00F72A65">
        <w:rPr>
          <w:rFonts w:asciiTheme="minorHAnsi" w:hAnsiTheme="minorHAnsi" w:cstheme="minorHAnsi"/>
          <w:color w:val="333333"/>
          <w:sz w:val="20"/>
          <w:szCs w:val="20"/>
        </w:rPr>
        <w:br/>
      </w:r>
      <w:r w:rsidRPr="00F72A65">
        <w:rPr>
          <w:rFonts w:asciiTheme="minorHAnsi" w:hAnsiTheme="minorHAnsi" w:cstheme="minorHAnsi"/>
          <w:color w:val="333333"/>
          <w:sz w:val="20"/>
          <w:szCs w:val="20"/>
        </w:rPr>
        <w:br/>
      </w:r>
      <w:r w:rsidRPr="00F72A65">
        <w:rPr>
          <w:rFonts w:asciiTheme="minorHAnsi" w:hAnsiTheme="minorHAnsi" w:cstheme="minorHAnsi"/>
          <w:noProof/>
          <w:color w:val="333333"/>
          <w:sz w:val="20"/>
          <w:szCs w:val="20"/>
          <w:bdr w:val="none" w:sz="0" w:space="0" w:color="auto" w:frame="1"/>
        </w:rPr>
        <w:drawing>
          <wp:inline distT="0" distB="0" distL="0" distR="0" wp14:anchorId="5095FC46" wp14:editId="74B1F2B2">
            <wp:extent cx="5143500" cy="3562350"/>
            <wp:effectExtent l="0" t="0" r="0" b="0"/>
            <wp:docPr id="3" name="Picture 3" descr="Table 2. Cognitive Performances by Group Across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143500" cy="3562350"/>
                    </a:xfrm>
                    <a:prstGeom prst="rect">
                      <a:avLst/>
                    </a:prstGeom>
                    <a:noFill/>
                    <a:ln>
                      <a:noFill/>
                    </a:ln>
                  </pic:spPr>
                </pic:pic>
              </a:graphicData>
            </a:graphic>
          </wp:inline>
        </w:drawing>
      </w:r>
    </w:p>
    <w:p w14:paraId="4BBB043C" w14:textId="77777777" w:rsidR="00AA24F6" w:rsidRPr="00F72A65" w:rsidRDefault="00AA24F6"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B1B84D8" w14:textId="2AF5A304" w:rsidR="003D6310" w:rsidRPr="003D6310" w:rsidRDefault="00AA24F6" w:rsidP="003C29DF">
      <w:pPr>
        <w:pStyle w:val="body-paragraph"/>
        <w:spacing w:before="0" w:beforeAutospacing="0" w:after="0" w:afterAutospacing="0" w:line="276" w:lineRule="auto"/>
        <w:textAlignment w:val="baseline"/>
        <w:rPr>
          <w:rFonts w:asciiTheme="minorHAnsi" w:eastAsiaTheme="majorEastAsia" w:hAnsiTheme="minorHAnsi" w:cstheme="minorHAnsi"/>
          <w:i/>
          <w:iCs/>
          <w:color w:val="333333"/>
          <w:sz w:val="20"/>
          <w:szCs w:val="20"/>
          <w:bdr w:val="none" w:sz="0" w:space="0" w:color="auto" w:frame="1"/>
        </w:rPr>
      </w:pPr>
      <w:r w:rsidRPr="00F72A65">
        <w:rPr>
          <w:rFonts w:asciiTheme="minorHAnsi" w:hAnsiTheme="minorHAnsi" w:cstheme="minorHAnsi"/>
          <w:color w:val="333333"/>
          <w:sz w:val="20"/>
          <w:szCs w:val="20"/>
        </w:rPr>
        <w:t xml:space="preserve">Table 2. </w:t>
      </w:r>
      <w:r w:rsidR="003A0A2B" w:rsidRPr="00F72A65">
        <w:rPr>
          <w:rStyle w:val="Emphasis"/>
          <w:rFonts w:asciiTheme="minorHAnsi" w:eastAsiaTheme="majorEastAsia" w:hAnsiTheme="minorHAnsi" w:cstheme="minorHAnsi"/>
          <w:color w:val="333333"/>
          <w:sz w:val="20"/>
          <w:szCs w:val="20"/>
          <w:bdr w:val="none" w:sz="0" w:space="0" w:color="auto" w:frame="1"/>
        </w:rPr>
        <w:t>Cognitive Performances by Group Across Time</w:t>
      </w:r>
    </w:p>
    <w:tbl>
      <w:tblPr>
        <w:tblStyle w:val="TableGrid"/>
        <w:tblW w:w="5000" w:type="pct"/>
        <w:tblLook w:val="0020" w:firstRow="1" w:lastRow="0" w:firstColumn="0" w:lastColumn="0" w:noHBand="0" w:noVBand="0"/>
      </w:tblPr>
      <w:tblGrid>
        <w:gridCol w:w="2538"/>
        <w:gridCol w:w="1629"/>
        <w:gridCol w:w="1682"/>
        <w:gridCol w:w="1899"/>
        <w:gridCol w:w="1428"/>
        <w:gridCol w:w="894"/>
      </w:tblGrid>
      <w:tr w:rsidR="00D77C47" w:rsidRPr="00F72A65" w14:paraId="27CF355F" w14:textId="77777777" w:rsidTr="00312680">
        <w:trPr>
          <w:trHeight w:val="179"/>
        </w:trPr>
        <w:tc>
          <w:tcPr>
            <w:tcW w:w="1260" w:type="pct"/>
          </w:tcPr>
          <w:p w14:paraId="65FDA99B" w14:textId="67052384" w:rsidR="00D77C47" w:rsidRPr="00F72A65" w:rsidRDefault="009E6C5B" w:rsidP="009E6C5B">
            <w:pPr>
              <w:pStyle w:val="NoSpacing"/>
              <w:rPr>
                <w:rFonts w:cstheme="minorHAnsi"/>
              </w:rPr>
            </w:pPr>
            <w:r w:rsidRPr="00F72A65">
              <w:rPr>
                <w:rFonts w:cstheme="minorHAnsi"/>
              </w:rPr>
              <w:t xml:space="preserve">Variable                   </w:t>
            </w:r>
          </w:p>
        </w:tc>
        <w:tc>
          <w:tcPr>
            <w:tcW w:w="809" w:type="pct"/>
          </w:tcPr>
          <w:p w14:paraId="4F609D0A" w14:textId="348CA5DC" w:rsidR="00D77C47" w:rsidRPr="00F72A65" w:rsidRDefault="009E6C5B" w:rsidP="009E6C5B">
            <w:pPr>
              <w:pStyle w:val="NoSpacing"/>
              <w:rPr>
                <w:rFonts w:cstheme="minorHAnsi"/>
              </w:rPr>
            </w:pPr>
            <w:r w:rsidRPr="00F72A65">
              <w:rPr>
                <w:rFonts w:cstheme="minorHAnsi"/>
              </w:rPr>
              <w:t xml:space="preserve">E4-              </w:t>
            </w:r>
          </w:p>
        </w:tc>
        <w:tc>
          <w:tcPr>
            <w:tcW w:w="835" w:type="pct"/>
          </w:tcPr>
          <w:p w14:paraId="48755A87" w14:textId="7487EAA7" w:rsidR="00D77C47" w:rsidRPr="00F72A65" w:rsidRDefault="009E6C5B" w:rsidP="009E6C5B">
            <w:pPr>
              <w:pStyle w:val="NoSpacing"/>
              <w:rPr>
                <w:rFonts w:cstheme="minorHAnsi"/>
              </w:rPr>
            </w:pPr>
            <w:r w:rsidRPr="00F72A65">
              <w:rPr>
                <w:rFonts w:cstheme="minorHAnsi"/>
              </w:rPr>
              <w:t xml:space="preserve">E4+ stable           </w:t>
            </w:r>
          </w:p>
        </w:tc>
        <w:tc>
          <w:tcPr>
            <w:tcW w:w="943" w:type="pct"/>
          </w:tcPr>
          <w:p w14:paraId="591EDB56" w14:textId="53557CA6" w:rsidR="00D77C47" w:rsidRPr="00F72A65" w:rsidRDefault="009E6C5B" w:rsidP="009E6C5B">
            <w:pPr>
              <w:pStyle w:val="NoSpacing"/>
              <w:rPr>
                <w:rFonts w:cstheme="minorHAnsi"/>
              </w:rPr>
            </w:pPr>
            <w:r w:rsidRPr="00F72A65">
              <w:rPr>
                <w:rFonts w:cstheme="minorHAnsi"/>
              </w:rPr>
              <w:t xml:space="preserve">E4+ declining           </w:t>
            </w:r>
          </w:p>
        </w:tc>
        <w:tc>
          <w:tcPr>
            <w:tcW w:w="709" w:type="pct"/>
          </w:tcPr>
          <w:p w14:paraId="119BCBB1" w14:textId="77777777" w:rsidR="009E6C5B" w:rsidRPr="00F72A65" w:rsidRDefault="009E6C5B" w:rsidP="009E6C5B">
            <w:pPr>
              <w:pStyle w:val="NoSpacing"/>
              <w:rPr>
                <w:rFonts w:cstheme="minorHAnsi"/>
              </w:rPr>
            </w:pPr>
            <w:r w:rsidRPr="00F72A65">
              <w:rPr>
                <w:rFonts w:cstheme="minorHAnsi"/>
              </w:rPr>
              <w:t xml:space="preserve">p </w:t>
            </w:r>
          </w:p>
          <w:p w14:paraId="0FD15A79" w14:textId="0E2992A2" w:rsidR="00D77C47" w:rsidRPr="00F72A65" w:rsidRDefault="009E6C5B" w:rsidP="009E6C5B">
            <w:pPr>
              <w:pStyle w:val="NoSpacing"/>
              <w:rPr>
                <w:rFonts w:cstheme="minorHAnsi"/>
              </w:rPr>
            </w:pPr>
            <w:r w:rsidRPr="00F72A65">
              <w:rPr>
                <w:rFonts w:cstheme="minorHAnsi"/>
              </w:rPr>
              <w:t xml:space="preserve">value </w:t>
            </w:r>
          </w:p>
        </w:tc>
        <w:tc>
          <w:tcPr>
            <w:tcW w:w="444" w:type="pct"/>
          </w:tcPr>
          <w:p w14:paraId="6D887A78" w14:textId="36F6C2D5" w:rsidR="00D77C47" w:rsidRPr="00F72A65" w:rsidRDefault="009E6C5B" w:rsidP="009E6C5B">
            <w:pPr>
              <w:pStyle w:val="NoSpacing"/>
              <w:rPr>
                <w:rFonts w:cstheme="minorHAnsi"/>
              </w:rPr>
            </w:pPr>
            <w:r w:rsidRPr="00F72A65">
              <w:rPr>
                <w:rFonts w:cstheme="minorHAnsi"/>
              </w:rPr>
              <w:t>Effect size</w:t>
            </w:r>
          </w:p>
        </w:tc>
      </w:tr>
      <w:tr w:rsidR="00DC79F9" w:rsidRPr="00F72A65" w14:paraId="6117E023" w14:textId="77777777" w:rsidTr="00312680">
        <w:trPr>
          <w:trHeight w:val="180"/>
        </w:trPr>
        <w:tc>
          <w:tcPr>
            <w:tcW w:w="1260" w:type="pct"/>
          </w:tcPr>
          <w:p w14:paraId="1B045881" w14:textId="06B6F2B7" w:rsidR="00DC79F9" w:rsidRPr="00F72A65" w:rsidRDefault="00DC79F9" w:rsidP="009E6C5B">
            <w:pPr>
              <w:pStyle w:val="NoSpacing"/>
              <w:rPr>
                <w:rFonts w:cstheme="minorHAnsi"/>
              </w:rPr>
            </w:pPr>
            <w:r w:rsidRPr="00F72A65">
              <w:rPr>
                <w:rFonts w:cstheme="minorHAnsi"/>
              </w:rPr>
              <w:t>Baseline</w:t>
            </w:r>
          </w:p>
        </w:tc>
        <w:tc>
          <w:tcPr>
            <w:tcW w:w="809" w:type="pct"/>
          </w:tcPr>
          <w:p w14:paraId="10C40E94" w14:textId="77777777" w:rsidR="00DC79F9" w:rsidRPr="00F72A65" w:rsidRDefault="00DC79F9" w:rsidP="009E6C5B">
            <w:pPr>
              <w:pStyle w:val="NoSpacing"/>
              <w:rPr>
                <w:rFonts w:cstheme="minorHAnsi"/>
              </w:rPr>
            </w:pPr>
          </w:p>
        </w:tc>
        <w:tc>
          <w:tcPr>
            <w:tcW w:w="835" w:type="pct"/>
          </w:tcPr>
          <w:p w14:paraId="4C7002B4" w14:textId="77777777" w:rsidR="00DC79F9" w:rsidRPr="00F72A65" w:rsidRDefault="00DC79F9" w:rsidP="009E6C5B">
            <w:pPr>
              <w:pStyle w:val="NoSpacing"/>
              <w:rPr>
                <w:rFonts w:cstheme="minorHAnsi"/>
              </w:rPr>
            </w:pPr>
          </w:p>
        </w:tc>
        <w:tc>
          <w:tcPr>
            <w:tcW w:w="943" w:type="pct"/>
          </w:tcPr>
          <w:p w14:paraId="0024A36A" w14:textId="77777777" w:rsidR="00DC79F9" w:rsidRPr="00F72A65" w:rsidRDefault="00DC79F9" w:rsidP="009E6C5B">
            <w:pPr>
              <w:pStyle w:val="NoSpacing"/>
              <w:rPr>
                <w:rFonts w:cstheme="minorHAnsi"/>
              </w:rPr>
            </w:pPr>
          </w:p>
        </w:tc>
        <w:tc>
          <w:tcPr>
            <w:tcW w:w="709" w:type="pct"/>
          </w:tcPr>
          <w:p w14:paraId="189DBBD4" w14:textId="77777777" w:rsidR="00DC79F9" w:rsidRPr="00F72A65" w:rsidRDefault="00DC79F9" w:rsidP="009E6C5B">
            <w:pPr>
              <w:pStyle w:val="NoSpacing"/>
              <w:rPr>
                <w:rFonts w:cstheme="minorHAnsi"/>
              </w:rPr>
            </w:pPr>
          </w:p>
        </w:tc>
        <w:tc>
          <w:tcPr>
            <w:tcW w:w="444" w:type="pct"/>
          </w:tcPr>
          <w:p w14:paraId="763B6ED5" w14:textId="77777777" w:rsidR="00DC79F9" w:rsidRPr="00F72A65" w:rsidRDefault="00DC79F9" w:rsidP="009E6C5B">
            <w:pPr>
              <w:pStyle w:val="NoSpacing"/>
              <w:rPr>
                <w:rFonts w:cstheme="minorHAnsi"/>
              </w:rPr>
            </w:pPr>
          </w:p>
        </w:tc>
      </w:tr>
      <w:tr w:rsidR="00DC79F9" w:rsidRPr="00F72A65" w14:paraId="6502A03A" w14:textId="77777777" w:rsidTr="00EB7894">
        <w:trPr>
          <w:trHeight w:val="179"/>
        </w:trPr>
        <w:tc>
          <w:tcPr>
            <w:tcW w:w="1260" w:type="pct"/>
          </w:tcPr>
          <w:p w14:paraId="353B653E" w14:textId="77777777" w:rsidR="00DC79F9" w:rsidRPr="00F72A65" w:rsidRDefault="00DC79F9" w:rsidP="00EB7894">
            <w:pPr>
              <w:pStyle w:val="NoSpacing"/>
              <w:rPr>
                <w:rFonts w:cstheme="minorHAnsi"/>
              </w:rPr>
            </w:pPr>
            <w:r w:rsidRPr="00F72A65">
              <w:rPr>
                <w:rFonts w:cstheme="minorHAnsi"/>
              </w:rPr>
              <w:t>MMSE</w:t>
            </w:r>
          </w:p>
        </w:tc>
        <w:tc>
          <w:tcPr>
            <w:tcW w:w="809" w:type="pct"/>
          </w:tcPr>
          <w:p w14:paraId="42A7BD3C" w14:textId="77777777" w:rsidR="00DC79F9" w:rsidRPr="00F72A65" w:rsidRDefault="00DC79F9" w:rsidP="00EB7894">
            <w:pPr>
              <w:pStyle w:val="NoSpacing"/>
              <w:rPr>
                <w:rFonts w:cstheme="minorHAnsi"/>
              </w:rPr>
            </w:pPr>
            <w:r w:rsidRPr="00F72A65">
              <w:rPr>
                <w:rFonts w:cstheme="minorHAnsi"/>
              </w:rPr>
              <w:t>29.3 (0.8)</w:t>
            </w:r>
          </w:p>
        </w:tc>
        <w:tc>
          <w:tcPr>
            <w:tcW w:w="835" w:type="pct"/>
          </w:tcPr>
          <w:p w14:paraId="38138C1A" w14:textId="77777777" w:rsidR="00DC79F9" w:rsidRPr="00F72A65" w:rsidRDefault="00DC79F9" w:rsidP="00EB7894">
            <w:pPr>
              <w:pStyle w:val="NoSpacing"/>
              <w:rPr>
                <w:rFonts w:cstheme="minorHAnsi"/>
              </w:rPr>
            </w:pPr>
            <w:r w:rsidRPr="00F72A65">
              <w:rPr>
                <w:rFonts w:cstheme="minorHAnsi"/>
              </w:rPr>
              <w:t>29.6 (0.8)</w:t>
            </w:r>
          </w:p>
        </w:tc>
        <w:tc>
          <w:tcPr>
            <w:tcW w:w="943" w:type="pct"/>
          </w:tcPr>
          <w:p w14:paraId="60F28B19" w14:textId="77777777" w:rsidR="00DC79F9" w:rsidRPr="00F72A65" w:rsidRDefault="00DC79F9" w:rsidP="00EB7894">
            <w:pPr>
              <w:pStyle w:val="NoSpacing"/>
              <w:rPr>
                <w:rFonts w:cstheme="minorHAnsi"/>
              </w:rPr>
            </w:pPr>
            <w:r w:rsidRPr="00F72A65">
              <w:rPr>
                <w:rFonts w:cstheme="minorHAnsi"/>
              </w:rPr>
              <w:t>28.9 (1.0)</w:t>
            </w:r>
          </w:p>
        </w:tc>
        <w:tc>
          <w:tcPr>
            <w:tcW w:w="709" w:type="pct"/>
          </w:tcPr>
          <w:p w14:paraId="53CF2D20" w14:textId="77777777" w:rsidR="00DC79F9" w:rsidRPr="00F72A65" w:rsidRDefault="00DC79F9" w:rsidP="00EB7894">
            <w:pPr>
              <w:pStyle w:val="NoSpacing"/>
              <w:rPr>
                <w:rFonts w:cstheme="minorHAnsi"/>
              </w:rPr>
            </w:pPr>
            <w:r w:rsidRPr="00F72A65">
              <w:rPr>
                <w:rFonts w:cstheme="minorHAnsi"/>
              </w:rPr>
              <w:t>.23</w:t>
            </w:r>
          </w:p>
        </w:tc>
        <w:tc>
          <w:tcPr>
            <w:tcW w:w="444" w:type="pct"/>
          </w:tcPr>
          <w:p w14:paraId="4E0305CE" w14:textId="77777777" w:rsidR="00DC79F9" w:rsidRPr="00F72A65" w:rsidRDefault="00DC79F9" w:rsidP="00EB7894">
            <w:pPr>
              <w:pStyle w:val="NoSpacing"/>
              <w:rPr>
                <w:rFonts w:cstheme="minorHAnsi"/>
              </w:rPr>
            </w:pPr>
            <w:r w:rsidRPr="00F72A65">
              <w:rPr>
                <w:rFonts w:cstheme="minorHAnsi"/>
              </w:rPr>
              <w:t>.06</w:t>
            </w:r>
          </w:p>
        </w:tc>
      </w:tr>
      <w:tr w:rsidR="003D6310" w:rsidRPr="00F72A65" w14:paraId="797D7D20" w14:textId="77777777" w:rsidTr="00312680">
        <w:trPr>
          <w:trHeight w:val="180"/>
        </w:trPr>
        <w:tc>
          <w:tcPr>
            <w:tcW w:w="1260" w:type="pct"/>
          </w:tcPr>
          <w:p w14:paraId="2387122F" w14:textId="77777777" w:rsidR="003D6310" w:rsidRPr="00F72A65" w:rsidRDefault="003D6310" w:rsidP="009E6C5B">
            <w:pPr>
              <w:pStyle w:val="NoSpacing"/>
              <w:rPr>
                <w:rFonts w:cstheme="minorHAnsi"/>
              </w:rPr>
            </w:pPr>
            <w:r w:rsidRPr="00F72A65">
              <w:rPr>
                <w:rFonts w:cstheme="minorHAnsi"/>
              </w:rPr>
              <w:t>DRS-2 Total</w:t>
            </w:r>
          </w:p>
        </w:tc>
        <w:tc>
          <w:tcPr>
            <w:tcW w:w="809" w:type="pct"/>
          </w:tcPr>
          <w:p w14:paraId="0FD165A0" w14:textId="77777777" w:rsidR="003D6310" w:rsidRPr="00F72A65" w:rsidRDefault="003D6310" w:rsidP="009E6C5B">
            <w:pPr>
              <w:pStyle w:val="NoSpacing"/>
              <w:rPr>
                <w:rFonts w:cstheme="minorHAnsi"/>
              </w:rPr>
            </w:pPr>
            <w:r w:rsidRPr="00F72A65">
              <w:rPr>
                <w:rFonts w:cstheme="minorHAnsi"/>
              </w:rPr>
              <w:t>141.1 (2.0)</w:t>
            </w:r>
          </w:p>
        </w:tc>
        <w:tc>
          <w:tcPr>
            <w:tcW w:w="835" w:type="pct"/>
          </w:tcPr>
          <w:p w14:paraId="6F3468B7" w14:textId="77777777" w:rsidR="003D6310" w:rsidRPr="00F72A65" w:rsidRDefault="003D6310" w:rsidP="009E6C5B">
            <w:pPr>
              <w:pStyle w:val="NoSpacing"/>
              <w:rPr>
                <w:rFonts w:cstheme="minorHAnsi"/>
              </w:rPr>
            </w:pPr>
            <w:r w:rsidRPr="00F72A65">
              <w:rPr>
                <w:rFonts w:cstheme="minorHAnsi"/>
              </w:rPr>
              <w:t>140.6 (1.6)</w:t>
            </w:r>
          </w:p>
        </w:tc>
        <w:tc>
          <w:tcPr>
            <w:tcW w:w="943" w:type="pct"/>
          </w:tcPr>
          <w:p w14:paraId="48A21A28" w14:textId="77777777" w:rsidR="003D6310" w:rsidRPr="00F72A65" w:rsidRDefault="003D6310" w:rsidP="009E6C5B">
            <w:pPr>
              <w:pStyle w:val="NoSpacing"/>
              <w:rPr>
                <w:rFonts w:cstheme="minorHAnsi"/>
              </w:rPr>
            </w:pPr>
            <w:r w:rsidRPr="00F72A65">
              <w:rPr>
                <w:rFonts w:cstheme="minorHAnsi"/>
              </w:rPr>
              <w:t>140.1 (4.4)</w:t>
            </w:r>
          </w:p>
        </w:tc>
        <w:tc>
          <w:tcPr>
            <w:tcW w:w="709" w:type="pct"/>
          </w:tcPr>
          <w:p w14:paraId="0DD25D1B" w14:textId="77777777" w:rsidR="003D6310" w:rsidRPr="00F72A65" w:rsidRDefault="003D6310" w:rsidP="009E6C5B">
            <w:pPr>
              <w:pStyle w:val="NoSpacing"/>
              <w:rPr>
                <w:rFonts w:cstheme="minorHAnsi"/>
              </w:rPr>
            </w:pPr>
            <w:r w:rsidRPr="00F72A65">
              <w:rPr>
                <w:rFonts w:cstheme="minorHAnsi"/>
              </w:rPr>
              <w:t>.55</w:t>
            </w:r>
          </w:p>
        </w:tc>
        <w:tc>
          <w:tcPr>
            <w:tcW w:w="444" w:type="pct"/>
          </w:tcPr>
          <w:p w14:paraId="5A4A8FDA" w14:textId="77777777" w:rsidR="003D6310" w:rsidRPr="00F72A65" w:rsidRDefault="003D6310" w:rsidP="009E6C5B">
            <w:pPr>
              <w:pStyle w:val="NoSpacing"/>
              <w:rPr>
                <w:rFonts w:cstheme="minorHAnsi"/>
              </w:rPr>
            </w:pPr>
            <w:r w:rsidRPr="00F72A65">
              <w:rPr>
                <w:rFonts w:cstheme="minorHAnsi"/>
              </w:rPr>
              <w:t>.03</w:t>
            </w:r>
          </w:p>
        </w:tc>
      </w:tr>
      <w:tr w:rsidR="003D6310" w:rsidRPr="00F72A65" w14:paraId="6E02AB9E" w14:textId="77777777" w:rsidTr="00312680">
        <w:trPr>
          <w:trHeight w:val="180"/>
        </w:trPr>
        <w:tc>
          <w:tcPr>
            <w:tcW w:w="1260" w:type="pct"/>
          </w:tcPr>
          <w:p w14:paraId="5E363A25" w14:textId="77777777" w:rsidR="003D6310" w:rsidRPr="00F72A65" w:rsidRDefault="003D6310" w:rsidP="009E6C5B">
            <w:pPr>
              <w:pStyle w:val="NoSpacing"/>
              <w:rPr>
                <w:rFonts w:cstheme="minorHAnsi"/>
              </w:rPr>
            </w:pPr>
            <w:r w:rsidRPr="00F72A65">
              <w:rPr>
                <w:rFonts w:cstheme="minorHAnsi"/>
              </w:rPr>
              <w:t>RAVLT Total Trials</w:t>
            </w:r>
          </w:p>
        </w:tc>
        <w:tc>
          <w:tcPr>
            <w:tcW w:w="809" w:type="pct"/>
          </w:tcPr>
          <w:p w14:paraId="616191A7" w14:textId="77777777" w:rsidR="003D6310" w:rsidRPr="00F72A65" w:rsidRDefault="003D6310" w:rsidP="009E6C5B">
            <w:pPr>
              <w:pStyle w:val="NoSpacing"/>
              <w:rPr>
                <w:rFonts w:cstheme="minorHAnsi"/>
              </w:rPr>
            </w:pPr>
            <w:r w:rsidRPr="00F72A65">
              <w:rPr>
                <w:rFonts w:cstheme="minorHAnsi"/>
              </w:rPr>
              <w:t>49.2 (8.2)</w:t>
            </w:r>
          </w:p>
        </w:tc>
        <w:tc>
          <w:tcPr>
            <w:tcW w:w="835" w:type="pct"/>
          </w:tcPr>
          <w:p w14:paraId="771DA94D" w14:textId="77777777" w:rsidR="003D6310" w:rsidRPr="00F72A65" w:rsidRDefault="003D6310" w:rsidP="009E6C5B">
            <w:pPr>
              <w:pStyle w:val="NoSpacing"/>
              <w:rPr>
                <w:rFonts w:cstheme="minorHAnsi"/>
              </w:rPr>
            </w:pPr>
            <w:r w:rsidRPr="00F72A65">
              <w:rPr>
                <w:rFonts w:cstheme="minorHAnsi"/>
              </w:rPr>
              <w:t>51.7 (7.7)</w:t>
            </w:r>
          </w:p>
        </w:tc>
        <w:tc>
          <w:tcPr>
            <w:tcW w:w="943" w:type="pct"/>
          </w:tcPr>
          <w:p w14:paraId="47F4F5EB" w14:textId="77777777" w:rsidR="003D6310" w:rsidRPr="00F72A65" w:rsidRDefault="003D6310" w:rsidP="009E6C5B">
            <w:pPr>
              <w:pStyle w:val="NoSpacing"/>
              <w:rPr>
                <w:rFonts w:cstheme="minorHAnsi"/>
              </w:rPr>
            </w:pPr>
            <w:r w:rsidRPr="00F72A65">
              <w:rPr>
                <w:rFonts w:cstheme="minorHAnsi"/>
              </w:rPr>
              <w:t>46.9 (8.0)</w:t>
            </w:r>
          </w:p>
        </w:tc>
        <w:tc>
          <w:tcPr>
            <w:tcW w:w="709" w:type="pct"/>
          </w:tcPr>
          <w:p w14:paraId="1B8B1775" w14:textId="77777777" w:rsidR="003D6310" w:rsidRPr="00F72A65" w:rsidRDefault="003D6310" w:rsidP="009E6C5B">
            <w:pPr>
              <w:pStyle w:val="NoSpacing"/>
              <w:rPr>
                <w:rFonts w:cstheme="minorHAnsi"/>
              </w:rPr>
            </w:pPr>
            <w:r w:rsidRPr="00F72A65">
              <w:rPr>
                <w:rFonts w:cstheme="minorHAnsi"/>
              </w:rPr>
              <w:t>.32</w:t>
            </w:r>
          </w:p>
        </w:tc>
        <w:tc>
          <w:tcPr>
            <w:tcW w:w="444" w:type="pct"/>
          </w:tcPr>
          <w:p w14:paraId="420FAA3D" w14:textId="77777777" w:rsidR="003D6310" w:rsidRPr="00F72A65" w:rsidRDefault="003D6310" w:rsidP="009E6C5B">
            <w:pPr>
              <w:pStyle w:val="NoSpacing"/>
              <w:rPr>
                <w:rFonts w:cstheme="minorHAnsi"/>
              </w:rPr>
            </w:pPr>
            <w:r w:rsidRPr="00F72A65">
              <w:rPr>
                <w:rFonts w:cstheme="minorHAnsi"/>
              </w:rPr>
              <w:t>.05</w:t>
            </w:r>
          </w:p>
        </w:tc>
      </w:tr>
      <w:tr w:rsidR="003D6310" w:rsidRPr="00F72A65" w14:paraId="102F8F82" w14:textId="77777777" w:rsidTr="00312680">
        <w:trPr>
          <w:trHeight w:val="180"/>
        </w:trPr>
        <w:tc>
          <w:tcPr>
            <w:tcW w:w="1260" w:type="pct"/>
          </w:tcPr>
          <w:p w14:paraId="777EB4D8" w14:textId="77777777" w:rsidR="003D6310" w:rsidRPr="00F72A65" w:rsidRDefault="003D6310" w:rsidP="009E6C5B">
            <w:pPr>
              <w:pStyle w:val="NoSpacing"/>
              <w:rPr>
                <w:rFonts w:cstheme="minorHAnsi"/>
              </w:rPr>
            </w:pPr>
            <w:r w:rsidRPr="00F72A65">
              <w:rPr>
                <w:rFonts w:cstheme="minorHAnsi"/>
              </w:rPr>
              <w:t>RAVLT DR</w:t>
            </w:r>
          </w:p>
        </w:tc>
        <w:tc>
          <w:tcPr>
            <w:tcW w:w="809" w:type="pct"/>
          </w:tcPr>
          <w:p w14:paraId="52ECCAC3" w14:textId="77777777" w:rsidR="003D6310" w:rsidRPr="00F72A65" w:rsidRDefault="003D6310" w:rsidP="009E6C5B">
            <w:pPr>
              <w:pStyle w:val="NoSpacing"/>
              <w:rPr>
                <w:rFonts w:cstheme="minorHAnsi"/>
              </w:rPr>
            </w:pPr>
            <w:r w:rsidRPr="00F72A65">
              <w:rPr>
                <w:rFonts w:cstheme="minorHAnsi"/>
              </w:rPr>
              <w:t>9.8 (2.1)</w:t>
            </w:r>
          </w:p>
        </w:tc>
        <w:tc>
          <w:tcPr>
            <w:tcW w:w="835" w:type="pct"/>
          </w:tcPr>
          <w:p w14:paraId="612B8443" w14:textId="77777777" w:rsidR="003D6310" w:rsidRPr="00F72A65" w:rsidRDefault="003D6310" w:rsidP="009E6C5B">
            <w:pPr>
              <w:pStyle w:val="NoSpacing"/>
              <w:rPr>
                <w:rFonts w:cstheme="minorHAnsi"/>
              </w:rPr>
            </w:pPr>
            <w:r w:rsidRPr="00F72A65">
              <w:rPr>
                <w:rFonts w:cstheme="minorHAnsi"/>
              </w:rPr>
              <w:t>10.7 (3.1)</w:t>
            </w:r>
          </w:p>
        </w:tc>
        <w:tc>
          <w:tcPr>
            <w:tcW w:w="943" w:type="pct"/>
          </w:tcPr>
          <w:p w14:paraId="5D7DEDFB" w14:textId="77777777" w:rsidR="003D6310" w:rsidRPr="00F72A65" w:rsidRDefault="003D6310" w:rsidP="009E6C5B">
            <w:pPr>
              <w:pStyle w:val="NoSpacing"/>
              <w:rPr>
                <w:rFonts w:cstheme="minorHAnsi"/>
              </w:rPr>
            </w:pPr>
            <w:r w:rsidRPr="00F72A65">
              <w:rPr>
                <w:rFonts w:cstheme="minorHAnsi"/>
              </w:rPr>
              <w:t>9.1 (2.8)</w:t>
            </w:r>
          </w:p>
        </w:tc>
        <w:tc>
          <w:tcPr>
            <w:tcW w:w="709" w:type="pct"/>
          </w:tcPr>
          <w:p w14:paraId="431FA8C0" w14:textId="77777777" w:rsidR="003D6310" w:rsidRPr="00F72A65" w:rsidRDefault="003D6310" w:rsidP="009E6C5B">
            <w:pPr>
              <w:pStyle w:val="NoSpacing"/>
              <w:rPr>
                <w:rFonts w:cstheme="minorHAnsi"/>
              </w:rPr>
            </w:pPr>
            <w:r w:rsidRPr="00F72A65">
              <w:rPr>
                <w:rFonts w:cstheme="minorHAnsi"/>
              </w:rPr>
              <w:t>.31</w:t>
            </w:r>
          </w:p>
        </w:tc>
        <w:tc>
          <w:tcPr>
            <w:tcW w:w="444" w:type="pct"/>
          </w:tcPr>
          <w:p w14:paraId="30999D2D" w14:textId="77777777" w:rsidR="003D6310" w:rsidRPr="00F72A65" w:rsidRDefault="003D6310" w:rsidP="009E6C5B">
            <w:pPr>
              <w:pStyle w:val="NoSpacing"/>
              <w:rPr>
                <w:rFonts w:cstheme="minorHAnsi"/>
              </w:rPr>
            </w:pPr>
            <w:r w:rsidRPr="00F72A65">
              <w:rPr>
                <w:rFonts w:cstheme="minorHAnsi"/>
              </w:rPr>
              <w:t>.05</w:t>
            </w:r>
          </w:p>
        </w:tc>
      </w:tr>
      <w:tr w:rsidR="003D6310" w:rsidRPr="00F72A65" w14:paraId="64693661" w14:textId="77777777" w:rsidTr="00312680">
        <w:trPr>
          <w:trHeight w:val="180"/>
        </w:trPr>
        <w:tc>
          <w:tcPr>
            <w:tcW w:w="1260" w:type="pct"/>
          </w:tcPr>
          <w:p w14:paraId="0BA11EA2" w14:textId="77777777" w:rsidR="003D6310" w:rsidRPr="00F72A65" w:rsidRDefault="003D6310" w:rsidP="009E6C5B">
            <w:pPr>
              <w:pStyle w:val="NoSpacing"/>
              <w:rPr>
                <w:rFonts w:cstheme="minorHAnsi"/>
              </w:rPr>
            </w:pPr>
            <w:r w:rsidRPr="00F72A65">
              <w:rPr>
                <w:rFonts w:cstheme="minorHAnsi"/>
              </w:rPr>
              <w:t>18 months</w:t>
            </w:r>
          </w:p>
        </w:tc>
        <w:tc>
          <w:tcPr>
            <w:tcW w:w="809" w:type="pct"/>
          </w:tcPr>
          <w:p w14:paraId="3F20ED5D" w14:textId="77777777" w:rsidR="003D6310" w:rsidRPr="00F72A65" w:rsidRDefault="003D6310" w:rsidP="009E6C5B">
            <w:pPr>
              <w:pStyle w:val="NoSpacing"/>
              <w:rPr>
                <w:rFonts w:cstheme="minorHAnsi"/>
              </w:rPr>
            </w:pPr>
          </w:p>
        </w:tc>
        <w:tc>
          <w:tcPr>
            <w:tcW w:w="835" w:type="pct"/>
          </w:tcPr>
          <w:p w14:paraId="6D3EF1AF" w14:textId="77777777" w:rsidR="003D6310" w:rsidRPr="00F72A65" w:rsidRDefault="003D6310" w:rsidP="009E6C5B">
            <w:pPr>
              <w:pStyle w:val="NoSpacing"/>
              <w:rPr>
                <w:rFonts w:cstheme="minorHAnsi"/>
              </w:rPr>
            </w:pPr>
          </w:p>
        </w:tc>
        <w:tc>
          <w:tcPr>
            <w:tcW w:w="943" w:type="pct"/>
          </w:tcPr>
          <w:p w14:paraId="22CAABCE" w14:textId="77777777" w:rsidR="003D6310" w:rsidRPr="00F72A65" w:rsidRDefault="003D6310" w:rsidP="009E6C5B">
            <w:pPr>
              <w:pStyle w:val="NoSpacing"/>
              <w:rPr>
                <w:rFonts w:cstheme="minorHAnsi"/>
              </w:rPr>
            </w:pPr>
          </w:p>
        </w:tc>
        <w:tc>
          <w:tcPr>
            <w:tcW w:w="709" w:type="pct"/>
          </w:tcPr>
          <w:p w14:paraId="542DC099" w14:textId="77777777" w:rsidR="003D6310" w:rsidRPr="00F72A65" w:rsidRDefault="003D6310" w:rsidP="009E6C5B">
            <w:pPr>
              <w:pStyle w:val="NoSpacing"/>
              <w:rPr>
                <w:rFonts w:cstheme="minorHAnsi"/>
              </w:rPr>
            </w:pPr>
          </w:p>
        </w:tc>
        <w:tc>
          <w:tcPr>
            <w:tcW w:w="444" w:type="pct"/>
          </w:tcPr>
          <w:p w14:paraId="7A428159" w14:textId="77777777" w:rsidR="003D6310" w:rsidRPr="00F72A65" w:rsidRDefault="003D6310" w:rsidP="009E6C5B">
            <w:pPr>
              <w:pStyle w:val="NoSpacing"/>
              <w:rPr>
                <w:rFonts w:cstheme="minorHAnsi"/>
              </w:rPr>
            </w:pPr>
          </w:p>
        </w:tc>
      </w:tr>
      <w:tr w:rsidR="003D6310" w:rsidRPr="00F72A65" w14:paraId="6263F9BF" w14:textId="77777777" w:rsidTr="00312680">
        <w:trPr>
          <w:trHeight w:val="180"/>
        </w:trPr>
        <w:tc>
          <w:tcPr>
            <w:tcW w:w="1260" w:type="pct"/>
          </w:tcPr>
          <w:p w14:paraId="33581B9A" w14:textId="77777777" w:rsidR="003D6310" w:rsidRPr="00F72A65" w:rsidRDefault="003D6310" w:rsidP="009E6C5B">
            <w:pPr>
              <w:pStyle w:val="NoSpacing"/>
              <w:rPr>
                <w:rFonts w:cstheme="minorHAnsi"/>
              </w:rPr>
            </w:pPr>
            <w:r w:rsidRPr="00F72A65">
              <w:rPr>
                <w:rFonts w:cstheme="minorHAnsi"/>
              </w:rPr>
              <w:t>MMSE</w:t>
            </w:r>
          </w:p>
        </w:tc>
        <w:tc>
          <w:tcPr>
            <w:tcW w:w="809" w:type="pct"/>
          </w:tcPr>
          <w:p w14:paraId="5627C028" w14:textId="77777777" w:rsidR="003D6310" w:rsidRPr="00F72A65" w:rsidRDefault="003D6310" w:rsidP="009E6C5B">
            <w:pPr>
              <w:pStyle w:val="NoSpacing"/>
              <w:rPr>
                <w:rFonts w:cstheme="minorHAnsi"/>
              </w:rPr>
            </w:pPr>
            <w:r w:rsidRPr="00F72A65">
              <w:rPr>
                <w:rFonts w:cstheme="minorHAnsi"/>
              </w:rPr>
              <w:t>29.7 (0.5)</w:t>
            </w:r>
          </w:p>
        </w:tc>
        <w:tc>
          <w:tcPr>
            <w:tcW w:w="835" w:type="pct"/>
          </w:tcPr>
          <w:p w14:paraId="4E0396DF" w14:textId="77777777" w:rsidR="003D6310" w:rsidRPr="00F72A65" w:rsidRDefault="003D6310" w:rsidP="009E6C5B">
            <w:pPr>
              <w:pStyle w:val="NoSpacing"/>
              <w:rPr>
                <w:rFonts w:cstheme="minorHAnsi"/>
              </w:rPr>
            </w:pPr>
            <w:r w:rsidRPr="00F72A65">
              <w:rPr>
                <w:rFonts w:cstheme="minorHAnsi"/>
              </w:rPr>
              <w:t>29.3 (0.9)</w:t>
            </w:r>
          </w:p>
        </w:tc>
        <w:tc>
          <w:tcPr>
            <w:tcW w:w="943" w:type="pct"/>
          </w:tcPr>
          <w:p w14:paraId="7ABFC8C4" w14:textId="77777777" w:rsidR="003D6310" w:rsidRPr="00F72A65" w:rsidRDefault="003D6310" w:rsidP="009E6C5B">
            <w:pPr>
              <w:pStyle w:val="NoSpacing"/>
              <w:rPr>
                <w:rFonts w:cstheme="minorHAnsi"/>
              </w:rPr>
            </w:pPr>
            <w:r w:rsidRPr="00F72A65">
              <w:rPr>
                <w:rFonts w:cstheme="minorHAnsi"/>
              </w:rPr>
              <w:t>29.5 (0.8)</w:t>
            </w:r>
          </w:p>
        </w:tc>
        <w:tc>
          <w:tcPr>
            <w:tcW w:w="709" w:type="pct"/>
          </w:tcPr>
          <w:p w14:paraId="2A860CA7" w14:textId="77777777" w:rsidR="003D6310" w:rsidRPr="00F72A65" w:rsidRDefault="003D6310" w:rsidP="009E6C5B">
            <w:pPr>
              <w:pStyle w:val="NoSpacing"/>
              <w:rPr>
                <w:rFonts w:cstheme="minorHAnsi"/>
              </w:rPr>
            </w:pPr>
            <w:r w:rsidRPr="00F72A65">
              <w:rPr>
                <w:rFonts w:cstheme="minorHAnsi"/>
              </w:rPr>
              <w:t>.35</w:t>
            </w:r>
          </w:p>
        </w:tc>
        <w:tc>
          <w:tcPr>
            <w:tcW w:w="444" w:type="pct"/>
          </w:tcPr>
          <w:p w14:paraId="73A02979" w14:textId="77777777" w:rsidR="003D6310" w:rsidRPr="00F72A65" w:rsidRDefault="003D6310" w:rsidP="009E6C5B">
            <w:pPr>
              <w:pStyle w:val="NoSpacing"/>
              <w:rPr>
                <w:rFonts w:cstheme="minorHAnsi"/>
              </w:rPr>
            </w:pPr>
            <w:r w:rsidRPr="00F72A65">
              <w:rPr>
                <w:rFonts w:cstheme="minorHAnsi"/>
              </w:rPr>
              <w:t>.05</w:t>
            </w:r>
          </w:p>
        </w:tc>
      </w:tr>
      <w:tr w:rsidR="003D6310" w:rsidRPr="00F72A65" w14:paraId="65773BA0" w14:textId="77777777" w:rsidTr="00312680">
        <w:trPr>
          <w:trHeight w:val="176"/>
        </w:trPr>
        <w:tc>
          <w:tcPr>
            <w:tcW w:w="1260" w:type="pct"/>
          </w:tcPr>
          <w:p w14:paraId="3070F8B8" w14:textId="77777777" w:rsidR="003D6310" w:rsidRPr="00F72A65" w:rsidRDefault="003D6310" w:rsidP="009E6C5B">
            <w:pPr>
              <w:pStyle w:val="NoSpacing"/>
              <w:rPr>
                <w:rFonts w:cstheme="minorHAnsi"/>
              </w:rPr>
            </w:pPr>
            <w:r w:rsidRPr="00F72A65">
              <w:rPr>
                <w:rFonts w:cstheme="minorHAnsi"/>
              </w:rPr>
              <w:t>DRS-2 Total</w:t>
            </w:r>
          </w:p>
        </w:tc>
        <w:tc>
          <w:tcPr>
            <w:tcW w:w="809" w:type="pct"/>
          </w:tcPr>
          <w:p w14:paraId="790266A2" w14:textId="77777777" w:rsidR="003D6310" w:rsidRPr="00F72A65" w:rsidRDefault="003D6310" w:rsidP="009E6C5B">
            <w:pPr>
              <w:pStyle w:val="NoSpacing"/>
              <w:rPr>
                <w:rFonts w:cstheme="minorHAnsi"/>
              </w:rPr>
            </w:pPr>
            <w:r w:rsidRPr="00F72A65">
              <w:rPr>
                <w:rFonts w:cstheme="minorHAnsi"/>
              </w:rPr>
              <w:t>139.0 (2.8)</w:t>
            </w:r>
          </w:p>
        </w:tc>
        <w:tc>
          <w:tcPr>
            <w:tcW w:w="835" w:type="pct"/>
          </w:tcPr>
          <w:p w14:paraId="6C28531A" w14:textId="77777777" w:rsidR="003D6310" w:rsidRPr="00F72A65" w:rsidRDefault="003D6310" w:rsidP="009E6C5B">
            <w:pPr>
              <w:pStyle w:val="NoSpacing"/>
              <w:rPr>
                <w:rFonts w:cstheme="minorHAnsi"/>
              </w:rPr>
            </w:pPr>
            <w:r w:rsidRPr="00F72A65">
              <w:rPr>
                <w:rFonts w:cstheme="minorHAnsi"/>
              </w:rPr>
              <w:t>138.9 (2.1)</w:t>
            </w:r>
          </w:p>
        </w:tc>
        <w:tc>
          <w:tcPr>
            <w:tcW w:w="943" w:type="pct"/>
          </w:tcPr>
          <w:p w14:paraId="62090F32" w14:textId="77777777" w:rsidR="003D6310" w:rsidRPr="00F72A65" w:rsidRDefault="003D6310" w:rsidP="009E6C5B">
            <w:pPr>
              <w:pStyle w:val="NoSpacing"/>
              <w:rPr>
                <w:rFonts w:cstheme="minorHAnsi"/>
              </w:rPr>
            </w:pPr>
            <w:r w:rsidRPr="00F72A65">
              <w:rPr>
                <w:rFonts w:cstheme="minorHAnsi"/>
              </w:rPr>
              <w:t>138.3 (3.5)</w:t>
            </w:r>
          </w:p>
        </w:tc>
        <w:tc>
          <w:tcPr>
            <w:tcW w:w="709" w:type="pct"/>
          </w:tcPr>
          <w:p w14:paraId="1098C9A8" w14:textId="77777777" w:rsidR="003D6310" w:rsidRPr="00F72A65" w:rsidRDefault="003D6310" w:rsidP="009E6C5B">
            <w:pPr>
              <w:pStyle w:val="NoSpacing"/>
              <w:rPr>
                <w:rFonts w:cstheme="minorHAnsi"/>
              </w:rPr>
            </w:pPr>
            <w:r w:rsidRPr="00F72A65">
              <w:rPr>
                <w:rFonts w:cstheme="minorHAnsi"/>
              </w:rPr>
              <w:t>.81</w:t>
            </w:r>
          </w:p>
        </w:tc>
        <w:tc>
          <w:tcPr>
            <w:tcW w:w="444" w:type="pct"/>
          </w:tcPr>
          <w:p w14:paraId="507CF95D" w14:textId="77777777" w:rsidR="003D6310" w:rsidRPr="00F72A65" w:rsidRDefault="003D6310" w:rsidP="009E6C5B">
            <w:pPr>
              <w:pStyle w:val="NoSpacing"/>
              <w:rPr>
                <w:rFonts w:cstheme="minorHAnsi"/>
              </w:rPr>
            </w:pPr>
            <w:r w:rsidRPr="00F72A65">
              <w:rPr>
                <w:rFonts w:cstheme="minorHAnsi"/>
              </w:rPr>
              <w:t>.01</w:t>
            </w:r>
          </w:p>
        </w:tc>
      </w:tr>
      <w:tr w:rsidR="003D6310" w:rsidRPr="00F72A65" w14:paraId="2E98AB9C" w14:textId="77777777" w:rsidTr="00312680">
        <w:trPr>
          <w:trHeight w:val="181"/>
        </w:trPr>
        <w:tc>
          <w:tcPr>
            <w:tcW w:w="1260" w:type="pct"/>
          </w:tcPr>
          <w:p w14:paraId="2A3756F9" w14:textId="77777777" w:rsidR="003D6310" w:rsidRPr="00F72A65" w:rsidRDefault="003D6310" w:rsidP="009E6C5B">
            <w:pPr>
              <w:pStyle w:val="NoSpacing"/>
              <w:rPr>
                <w:rFonts w:cstheme="minorHAnsi"/>
              </w:rPr>
            </w:pPr>
            <w:r w:rsidRPr="00F72A65">
              <w:rPr>
                <w:rFonts w:cstheme="minorHAnsi"/>
              </w:rPr>
              <w:t>RAVLT Total Trials</w:t>
            </w:r>
          </w:p>
        </w:tc>
        <w:tc>
          <w:tcPr>
            <w:tcW w:w="809" w:type="pct"/>
          </w:tcPr>
          <w:p w14:paraId="28104CE0" w14:textId="77777777" w:rsidR="003D6310" w:rsidRPr="00F72A65" w:rsidRDefault="003D6310" w:rsidP="009E6C5B">
            <w:pPr>
              <w:pStyle w:val="NoSpacing"/>
              <w:rPr>
                <w:rFonts w:cstheme="minorHAnsi"/>
              </w:rPr>
            </w:pPr>
            <w:r w:rsidRPr="00F72A65">
              <w:rPr>
                <w:rFonts w:cstheme="minorHAnsi"/>
              </w:rPr>
              <w:t>47.5 (7.6)</w:t>
            </w:r>
          </w:p>
        </w:tc>
        <w:tc>
          <w:tcPr>
            <w:tcW w:w="835" w:type="pct"/>
          </w:tcPr>
          <w:p w14:paraId="1461EC9E" w14:textId="77777777" w:rsidR="003D6310" w:rsidRPr="00F72A65" w:rsidRDefault="003D6310" w:rsidP="009E6C5B">
            <w:pPr>
              <w:pStyle w:val="NoSpacing"/>
              <w:rPr>
                <w:rFonts w:cstheme="minorHAnsi"/>
              </w:rPr>
            </w:pPr>
            <w:r w:rsidRPr="00F72A65">
              <w:rPr>
                <w:rFonts w:cstheme="minorHAnsi"/>
              </w:rPr>
              <w:t>54.6 (6.0)</w:t>
            </w:r>
          </w:p>
        </w:tc>
        <w:tc>
          <w:tcPr>
            <w:tcW w:w="943" w:type="pct"/>
          </w:tcPr>
          <w:p w14:paraId="0BBF2891" w14:textId="77777777" w:rsidR="003D6310" w:rsidRPr="00F72A65" w:rsidRDefault="003D6310" w:rsidP="009E6C5B">
            <w:pPr>
              <w:pStyle w:val="NoSpacing"/>
              <w:rPr>
                <w:rFonts w:cstheme="minorHAnsi"/>
              </w:rPr>
            </w:pPr>
            <w:r w:rsidRPr="00F72A65">
              <w:rPr>
                <w:rFonts w:cstheme="minorHAnsi"/>
              </w:rPr>
              <w:t>40.4 (7.6)</w:t>
            </w:r>
          </w:p>
        </w:tc>
        <w:tc>
          <w:tcPr>
            <w:tcW w:w="709" w:type="pct"/>
          </w:tcPr>
          <w:p w14:paraId="3F83FADF" w14:textId="77777777" w:rsidR="003D6310" w:rsidRPr="00F72A65" w:rsidRDefault="003D6310" w:rsidP="009E6C5B">
            <w:pPr>
              <w:pStyle w:val="NoSpacing"/>
              <w:rPr>
                <w:rFonts w:cstheme="minorHAnsi"/>
              </w:rPr>
            </w:pPr>
            <w:r w:rsidRPr="00F72A65">
              <w:rPr>
                <w:rFonts w:cstheme="minorHAnsi"/>
              </w:rPr>
              <w:t>&lt;.01</w:t>
            </w:r>
          </w:p>
        </w:tc>
        <w:tc>
          <w:tcPr>
            <w:tcW w:w="444" w:type="pct"/>
          </w:tcPr>
          <w:p w14:paraId="453C1FB1" w14:textId="77777777" w:rsidR="003D6310" w:rsidRPr="00F72A65" w:rsidRDefault="003D6310" w:rsidP="009E6C5B">
            <w:pPr>
              <w:pStyle w:val="NoSpacing"/>
              <w:rPr>
                <w:rFonts w:cstheme="minorHAnsi"/>
              </w:rPr>
            </w:pPr>
            <w:r w:rsidRPr="00F72A65">
              <w:rPr>
                <w:rFonts w:cstheme="minorHAnsi"/>
              </w:rPr>
              <w:t>.34</w:t>
            </w:r>
          </w:p>
        </w:tc>
      </w:tr>
      <w:tr w:rsidR="003D6310" w:rsidRPr="00F72A65" w14:paraId="3EB8FFAC" w14:textId="77777777" w:rsidTr="00312680">
        <w:trPr>
          <w:trHeight w:val="184"/>
        </w:trPr>
        <w:tc>
          <w:tcPr>
            <w:tcW w:w="1260" w:type="pct"/>
          </w:tcPr>
          <w:p w14:paraId="31FC3F23" w14:textId="77777777" w:rsidR="003D6310" w:rsidRPr="00F72A65" w:rsidRDefault="003D6310" w:rsidP="009E6C5B">
            <w:pPr>
              <w:pStyle w:val="NoSpacing"/>
              <w:rPr>
                <w:rFonts w:cstheme="minorHAnsi"/>
              </w:rPr>
            </w:pPr>
            <w:r w:rsidRPr="00F72A65">
              <w:rPr>
                <w:rFonts w:cstheme="minorHAnsi"/>
              </w:rPr>
              <w:t>RAVLT DR</w:t>
            </w:r>
          </w:p>
        </w:tc>
        <w:tc>
          <w:tcPr>
            <w:tcW w:w="809" w:type="pct"/>
          </w:tcPr>
          <w:p w14:paraId="350EF5C9" w14:textId="77777777" w:rsidR="003D6310" w:rsidRPr="00F72A65" w:rsidRDefault="003D6310" w:rsidP="009E6C5B">
            <w:pPr>
              <w:pStyle w:val="NoSpacing"/>
              <w:rPr>
                <w:rFonts w:cstheme="minorHAnsi"/>
              </w:rPr>
            </w:pPr>
            <w:r w:rsidRPr="00F72A65">
              <w:rPr>
                <w:rFonts w:cstheme="minorHAnsi"/>
              </w:rPr>
              <w:t>9.4 (2.6)</w:t>
            </w:r>
          </w:p>
        </w:tc>
        <w:tc>
          <w:tcPr>
            <w:tcW w:w="835" w:type="pct"/>
          </w:tcPr>
          <w:p w14:paraId="19F7F238" w14:textId="77777777" w:rsidR="003D6310" w:rsidRPr="00F72A65" w:rsidRDefault="003D6310" w:rsidP="009E6C5B">
            <w:pPr>
              <w:pStyle w:val="NoSpacing"/>
              <w:rPr>
                <w:rFonts w:cstheme="minorHAnsi"/>
              </w:rPr>
            </w:pPr>
            <w:r w:rsidRPr="00F72A65">
              <w:rPr>
                <w:rFonts w:cstheme="minorHAnsi"/>
              </w:rPr>
              <w:t>11.8 (2.7)</w:t>
            </w:r>
          </w:p>
        </w:tc>
        <w:tc>
          <w:tcPr>
            <w:tcW w:w="943" w:type="pct"/>
          </w:tcPr>
          <w:p w14:paraId="58140BC9" w14:textId="77777777" w:rsidR="003D6310" w:rsidRPr="00F72A65" w:rsidRDefault="003D6310" w:rsidP="009E6C5B">
            <w:pPr>
              <w:pStyle w:val="NoSpacing"/>
              <w:rPr>
                <w:rFonts w:cstheme="minorHAnsi"/>
              </w:rPr>
            </w:pPr>
            <w:r w:rsidRPr="00F72A65">
              <w:rPr>
                <w:rFonts w:cstheme="minorHAnsi"/>
              </w:rPr>
              <w:t>5.8 (2.0)</w:t>
            </w:r>
          </w:p>
        </w:tc>
        <w:tc>
          <w:tcPr>
            <w:tcW w:w="709" w:type="pct"/>
          </w:tcPr>
          <w:p w14:paraId="1414F5C3" w14:textId="77777777" w:rsidR="003D6310" w:rsidRPr="00F72A65" w:rsidRDefault="003D6310" w:rsidP="009E6C5B">
            <w:pPr>
              <w:pStyle w:val="NoSpacing"/>
              <w:rPr>
                <w:rFonts w:cstheme="minorHAnsi"/>
              </w:rPr>
            </w:pPr>
            <w:r w:rsidRPr="00F72A65">
              <w:rPr>
                <w:rFonts w:cstheme="minorHAnsi"/>
              </w:rPr>
              <w:t>&lt;.01</w:t>
            </w:r>
          </w:p>
        </w:tc>
        <w:tc>
          <w:tcPr>
            <w:tcW w:w="444" w:type="pct"/>
          </w:tcPr>
          <w:p w14:paraId="03250838" w14:textId="77777777" w:rsidR="003D6310" w:rsidRPr="00F72A65" w:rsidRDefault="003D6310" w:rsidP="009E6C5B">
            <w:pPr>
              <w:pStyle w:val="NoSpacing"/>
              <w:rPr>
                <w:rFonts w:cstheme="minorHAnsi"/>
              </w:rPr>
            </w:pPr>
            <w:r w:rsidRPr="00F72A65">
              <w:rPr>
                <w:rFonts w:cstheme="minorHAnsi"/>
              </w:rPr>
              <w:t>.47</w:t>
            </w:r>
          </w:p>
        </w:tc>
      </w:tr>
      <w:tr w:rsidR="003D6310" w:rsidRPr="00F72A65" w14:paraId="5D91DA10" w14:textId="77777777" w:rsidTr="00312680">
        <w:trPr>
          <w:trHeight w:val="177"/>
        </w:trPr>
        <w:tc>
          <w:tcPr>
            <w:tcW w:w="1260" w:type="pct"/>
          </w:tcPr>
          <w:p w14:paraId="5A352D38" w14:textId="77777777" w:rsidR="003D6310" w:rsidRPr="00F72A65" w:rsidRDefault="003D6310" w:rsidP="009E6C5B">
            <w:pPr>
              <w:pStyle w:val="NoSpacing"/>
              <w:rPr>
                <w:rFonts w:cstheme="minorHAnsi"/>
              </w:rPr>
            </w:pPr>
            <w:r w:rsidRPr="00F72A65">
              <w:rPr>
                <w:rFonts w:cstheme="minorHAnsi"/>
              </w:rPr>
              <w:t>5 years</w:t>
            </w:r>
          </w:p>
        </w:tc>
        <w:tc>
          <w:tcPr>
            <w:tcW w:w="809" w:type="pct"/>
          </w:tcPr>
          <w:p w14:paraId="4514B5FA" w14:textId="77777777" w:rsidR="003D6310" w:rsidRPr="00F72A65" w:rsidRDefault="003D6310" w:rsidP="009E6C5B">
            <w:pPr>
              <w:pStyle w:val="NoSpacing"/>
              <w:rPr>
                <w:rFonts w:cstheme="minorHAnsi"/>
              </w:rPr>
            </w:pPr>
          </w:p>
        </w:tc>
        <w:tc>
          <w:tcPr>
            <w:tcW w:w="835" w:type="pct"/>
          </w:tcPr>
          <w:p w14:paraId="46962298" w14:textId="77777777" w:rsidR="003D6310" w:rsidRPr="00F72A65" w:rsidRDefault="003D6310" w:rsidP="009E6C5B">
            <w:pPr>
              <w:pStyle w:val="NoSpacing"/>
              <w:rPr>
                <w:rFonts w:cstheme="minorHAnsi"/>
              </w:rPr>
            </w:pPr>
          </w:p>
        </w:tc>
        <w:tc>
          <w:tcPr>
            <w:tcW w:w="943" w:type="pct"/>
          </w:tcPr>
          <w:p w14:paraId="08B9F4D8" w14:textId="77777777" w:rsidR="003D6310" w:rsidRPr="00F72A65" w:rsidRDefault="003D6310" w:rsidP="009E6C5B">
            <w:pPr>
              <w:pStyle w:val="NoSpacing"/>
              <w:rPr>
                <w:rFonts w:cstheme="minorHAnsi"/>
              </w:rPr>
            </w:pPr>
          </w:p>
        </w:tc>
        <w:tc>
          <w:tcPr>
            <w:tcW w:w="709" w:type="pct"/>
          </w:tcPr>
          <w:p w14:paraId="60F2AADA" w14:textId="77777777" w:rsidR="003D6310" w:rsidRPr="00F72A65" w:rsidRDefault="003D6310" w:rsidP="009E6C5B">
            <w:pPr>
              <w:pStyle w:val="NoSpacing"/>
              <w:rPr>
                <w:rFonts w:cstheme="minorHAnsi"/>
              </w:rPr>
            </w:pPr>
          </w:p>
        </w:tc>
        <w:tc>
          <w:tcPr>
            <w:tcW w:w="444" w:type="pct"/>
          </w:tcPr>
          <w:p w14:paraId="589169BA" w14:textId="77777777" w:rsidR="003D6310" w:rsidRPr="00F72A65" w:rsidRDefault="003D6310" w:rsidP="009E6C5B">
            <w:pPr>
              <w:pStyle w:val="NoSpacing"/>
              <w:rPr>
                <w:rFonts w:cstheme="minorHAnsi"/>
              </w:rPr>
            </w:pPr>
          </w:p>
        </w:tc>
      </w:tr>
      <w:tr w:rsidR="003D6310" w:rsidRPr="00F72A65" w14:paraId="151545E3" w14:textId="77777777" w:rsidTr="00312680">
        <w:trPr>
          <w:trHeight w:val="180"/>
        </w:trPr>
        <w:tc>
          <w:tcPr>
            <w:tcW w:w="1260" w:type="pct"/>
          </w:tcPr>
          <w:p w14:paraId="3F677B51" w14:textId="77777777" w:rsidR="003D6310" w:rsidRPr="00F72A65" w:rsidRDefault="003D6310" w:rsidP="009E6C5B">
            <w:pPr>
              <w:pStyle w:val="NoSpacing"/>
              <w:rPr>
                <w:rFonts w:cstheme="minorHAnsi"/>
              </w:rPr>
            </w:pPr>
            <w:r w:rsidRPr="00F72A65">
              <w:rPr>
                <w:rFonts w:cstheme="minorHAnsi"/>
              </w:rPr>
              <w:t>MMSE</w:t>
            </w:r>
          </w:p>
        </w:tc>
        <w:tc>
          <w:tcPr>
            <w:tcW w:w="809" w:type="pct"/>
          </w:tcPr>
          <w:p w14:paraId="7FF2B4A7" w14:textId="77777777" w:rsidR="003D6310" w:rsidRPr="00F72A65" w:rsidRDefault="003D6310" w:rsidP="009E6C5B">
            <w:pPr>
              <w:pStyle w:val="NoSpacing"/>
              <w:rPr>
                <w:rFonts w:cstheme="minorHAnsi"/>
              </w:rPr>
            </w:pPr>
            <w:r w:rsidRPr="00F72A65">
              <w:rPr>
                <w:rFonts w:cstheme="minorHAnsi"/>
              </w:rPr>
              <w:t>29.7 (0.7)</w:t>
            </w:r>
          </w:p>
        </w:tc>
        <w:tc>
          <w:tcPr>
            <w:tcW w:w="835" w:type="pct"/>
          </w:tcPr>
          <w:p w14:paraId="1D096FE5" w14:textId="77777777" w:rsidR="003D6310" w:rsidRPr="00F72A65" w:rsidRDefault="003D6310" w:rsidP="009E6C5B">
            <w:pPr>
              <w:pStyle w:val="NoSpacing"/>
              <w:rPr>
                <w:rFonts w:cstheme="minorHAnsi"/>
              </w:rPr>
            </w:pPr>
            <w:r w:rsidRPr="00F72A65">
              <w:rPr>
                <w:rFonts w:cstheme="minorHAnsi"/>
              </w:rPr>
              <w:t>29.4 (0.7)</w:t>
            </w:r>
          </w:p>
        </w:tc>
        <w:tc>
          <w:tcPr>
            <w:tcW w:w="943" w:type="pct"/>
          </w:tcPr>
          <w:p w14:paraId="0E16562C" w14:textId="77777777" w:rsidR="003D6310" w:rsidRPr="00F72A65" w:rsidRDefault="003D6310" w:rsidP="009E6C5B">
            <w:pPr>
              <w:pStyle w:val="NoSpacing"/>
              <w:rPr>
                <w:rFonts w:cstheme="minorHAnsi"/>
              </w:rPr>
            </w:pPr>
            <w:r w:rsidRPr="00F72A65">
              <w:rPr>
                <w:rFonts w:cstheme="minorHAnsi"/>
              </w:rPr>
              <w:t>28.3 (2.7)</w:t>
            </w:r>
          </w:p>
        </w:tc>
        <w:tc>
          <w:tcPr>
            <w:tcW w:w="709" w:type="pct"/>
          </w:tcPr>
          <w:p w14:paraId="09F48F62" w14:textId="77777777" w:rsidR="003D6310" w:rsidRPr="00F72A65" w:rsidRDefault="003D6310" w:rsidP="009E6C5B">
            <w:pPr>
              <w:pStyle w:val="NoSpacing"/>
              <w:rPr>
                <w:rFonts w:cstheme="minorHAnsi"/>
              </w:rPr>
            </w:pPr>
            <w:r w:rsidRPr="00F72A65">
              <w:rPr>
                <w:rFonts w:cstheme="minorHAnsi"/>
              </w:rPr>
              <w:t>.07</w:t>
            </w:r>
          </w:p>
        </w:tc>
        <w:tc>
          <w:tcPr>
            <w:tcW w:w="444" w:type="pct"/>
          </w:tcPr>
          <w:p w14:paraId="062D5B53" w14:textId="77777777" w:rsidR="003D6310" w:rsidRPr="00F72A65" w:rsidRDefault="003D6310" w:rsidP="009E6C5B">
            <w:pPr>
              <w:pStyle w:val="NoSpacing"/>
              <w:rPr>
                <w:rFonts w:cstheme="minorHAnsi"/>
              </w:rPr>
            </w:pPr>
            <w:r w:rsidRPr="00F72A65">
              <w:rPr>
                <w:rFonts w:cstheme="minorHAnsi"/>
              </w:rPr>
              <w:t>.13</w:t>
            </w:r>
          </w:p>
        </w:tc>
      </w:tr>
      <w:tr w:rsidR="003D6310" w:rsidRPr="00F72A65" w14:paraId="20CB4B97" w14:textId="77777777" w:rsidTr="00312680">
        <w:trPr>
          <w:trHeight w:val="180"/>
        </w:trPr>
        <w:tc>
          <w:tcPr>
            <w:tcW w:w="1260" w:type="pct"/>
          </w:tcPr>
          <w:p w14:paraId="6C26DAEC" w14:textId="77777777" w:rsidR="003D6310" w:rsidRPr="00F72A65" w:rsidRDefault="003D6310" w:rsidP="009E6C5B">
            <w:pPr>
              <w:pStyle w:val="NoSpacing"/>
              <w:rPr>
                <w:rFonts w:cstheme="minorHAnsi"/>
              </w:rPr>
            </w:pPr>
            <w:r w:rsidRPr="00F72A65">
              <w:rPr>
                <w:rFonts w:cstheme="minorHAnsi"/>
              </w:rPr>
              <w:t>DRS-2 Total</w:t>
            </w:r>
          </w:p>
        </w:tc>
        <w:tc>
          <w:tcPr>
            <w:tcW w:w="809" w:type="pct"/>
          </w:tcPr>
          <w:p w14:paraId="29A97830" w14:textId="77777777" w:rsidR="003D6310" w:rsidRPr="00F72A65" w:rsidRDefault="003D6310" w:rsidP="009E6C5B">
            <w:pPr>
              <w:pStyle w:val="NoSpacing"/>
              <w:rPr>
                <w:rFonts w:cstheme="minorHAnsi"/>
              </w:rPr>
            </w:pPr>
            <w:r w:rsidRPr="00F72A65">
              <w:rPr>
                <w:rFonts w:cstheme="minorHAnsi"/>
              </w:rPr>
              <w:t>141.7 (2.2)</w:t>
            </w:r>
          </w:p>
        </w:tc>
        <w:tc>
          <w:tcPr>
            <w:tcW w:w="835" w:type="pct"/>
          </w:tcPr>
          <w:p w14:paraId="65748501" w14:textId="77777777" w:rsidR="003D6310" w:rsidRPr="00F72A65" w:rsidRDefault="003D6310" w:rsidP="009E6C5B">
            <w:pPr>
              <w:pStyle w:val="NoSpacing"/>
              <w:rPr>
                <w:rFonts w:cstheme="minorHAnsi"/>
              </w:rPr>
            </w:pPr>
            <w:r w:rsidRPr="00F72A65">
              <w:rPr>
                <w:rFonts w:cstheme="minorHAnsi"/>
              </w:rPr>
              <w:t>141.3 (1.9)</w:t>
            </w:r>
          </w:p>
        </w:tc>
        <w:tc>
          <w:tcPr>
            <w:tcW w:w="943" w:type="pct"/>
          </w:tcPr>
          <w:p w14:paraId="421F60B6" w14:textId="77777777" w:rsidR="003D6310" w:rsidRPr="00F72A65" w:rsidRDefault="003D6310" w:rsidP="009E6C5B">
            <w:pPr>
              <w:pStyle w:val="NoSpacing"/>
              <w:rPr>
                <w:rFonts w:cstheme="minorHAnsi"/>
              </w:rPr>
            </w:pPr>
            <w:r w:rsidRPr="00F72A65">
              <w:rPr>
                <w:rFonts w:cstheme="minorHAnsi"/>
              </w:rPr>
              <w:t>138.9 (6.1)</w:t>
            </w:r>
          </w:p>
        </w:tc>
        <w:tc>
          <w:tcPr>
            <w:tcW w:w="709" w:type="pct"/>
          </w:tcPr>
          <w:p w14:paraId="48CE0ECB" w14:textId="77777777" w:rsidR="003D6310" w:rsidRPr="00F72A65" w:rsidRDefault="003D6310" w:rsidP="009E6C5B">
            <w:pPr>
              <w:pStyle w:val="NoSpacing"/>
              <w:rPr>
                <w:rFonts w:cstheme="minorHAnsi"/>
              </w:rPr>
            </w:pPr>
            <w:r w:rsidRPr="00F72A65">
              <w:rPr>
                <w:rFonts w:cstheme="minorHAnsi"/>
              </w:rPr>
              <w:t>.11</w:t>
            </w:r>
          </w:p>
        </w:tc>
        <w:tc>
          <w:tcPr>
            <w:tcW w:w="444" w:type="pct"/>
          </w:tcPr>
          <w:p w14:paraId="241A5212" w14:textId="77777777" w:rsidR="003D6310" w:rsidRPr="00F72A65" w:rsidRDefault="003D6310" w:rsidP="009E6C5B">
            <w:pPr>
              <w:pStyle w:val="NoSpacing"/>
              <w:rPr>
                <w:rFonts w:cstheme="minorHAnsi"/>
              </w:rPr>
            </w:pPr>
            <w:r w:rsidRPr="00F72A65">
              <w:rPr>
                <w:rFonts w:cstheme="minorHAnsi"/>
              </w:rPr>
              <w:t>.11</w:t>
            </w:r>
          </w:p>
        </w:tc>
      </w:tr>
      <w:tr w:rsidR="003D6310" w:rsidRPr="00F72A65" w14:paraId="4AF4ED70" w14:textId="77777777" w:rsidTr="00312680">
        <w:trPr>
          <w:trHeight w:val="176"/>
        </w:trPr>
        <w:tc>
          <w:tcPr>
            <w:tcW w:w="1260" w:type="pct"/>
          </w:tcPr>
          <w:p w14:paraId="321FAB89" w14:textId="77777777" w:rsidR="003D6310" w:rsidRPr="00F72A65" w:rsidRDefault="003D6310" w:rsidP="009E6C5B">
            <w:pPr>
              <w:pStyle w:val="NoSpacing"/>
              <w:rPr>
                <w:rFonts w:cstheme="minorHAnsi"/>
              </w:rPr>
            </w:pPr>
            <w:r w:rsidRPr="00F72A65">
              <w:rPr>
                <w:rFonts w:cstheme="minorHAnsi"/>
              </w:rPr>
              <w:t>RAVLT Total Trials</w:t>
            </w:r>
          </w:p>
        </w:tc>
        <w:tc>
          <w:tcPr>
            <w:tcW w:w="809" w:type="pct"/>
          </w:tcPr>
          <w:p w14:paraId="04046BC8" w14:textId="77777777" w:rsidR="003D6310" w:rsidRPr="00F72A65" w:rsidRDefault="003D6310" w:rsidP="009E6C5B">
            <w:pPr>
              <w:pStyle w:val="NoSpacing"/>
              <w:rPr>
                <w:rFonts w:cstheme="minorHAnsi"/>
              </w:rPr>
            </w:pPr>
            <w:r w:rsidRPr="00F72A65">
              <w:rPr>
                <w:rFonts w:cstheme="minorHAnsi"/>
              </w:rPr>
              <w:t>48.5 (7.5)</w:t>
            </w:r>
          </w:p>
        </w:tc>
        <w:tc>
          <w:tcPr>
            <w:tcW w:w="835" w:type="pct"/>
          </w:tcPr>
          <w:p w14:paraId="38A7964C" w14:textId="77777777" w:rsidR="003D6310" w:rsidRPr="00F72A65" w:rsidRDefault="003D6310" w:rsidP="009E6C5B">
            <w:pPr>
              <w:pStyle w:val="NoSpacing"/>
              <w:rPr>
                <w:rFonts w:cstheme="minorHAnsi"/>
              </w:rPr>
            </w:pPr>
            <w:r w:rsidRPr="00F72A65">
              <w:rPr>
                <w:rFonts w:cstheme="minorHAnsi"/>
              </w:rPr>
              <w:t>50.6 (6.4)</w:t>
            </w:r>
          </w:p>
        </w:tc>
        <w:tc>
          <w:tcPr>
            <w:tcW w:w="943" w:type="pct"/>
          </w:tcPr>
          <w:p w14:paraId="103DB5C2" w14:textId="77777777" w:rsidR="003D6310" w:rsidRPr="00F72A65" w:rsidRDefault="003D6310" w:rsidP="009E6C5B">
            <w:pPr>
              <w:pStyle w:val="NoSpacing"/>
              <w:rPr>
                <w:rFonts w:cstheme="minorHAnsi"/>
              </w:rPr>
            </w:pPr>
            <w:r w:rsidRPr="00F72A65">
              <w:rPr>
                <w:rFonts w:cstheme="minorHAnsi"/>
              </w:rPr>
              <w:t>42.7 (13.5)</w:t>
            </w:r>
          </w:p>
        </w:tc>
        <w:tc>
          <w:tcPr>
            <w:tcW w:w="709" w:type="pct"/>
          </w:tcPr>
          <w:p w14:paraId="2A728648" w14:textId="77777777" w:rsidR="003D6310" w:rsidRPr="00F72A65" w:rsidRDefault="003D6310" w:rsidP="009E6C5B">
            <w:pPr>
              <w:pStyle w:val="NoSpacing"/>
              <w:rPr>
                <w:rFonts w:cstheme="minorHAnsi"/>
              </w:rPr>
            </w:pPr>
            <w:r w:rsidRPr="00F72A65">
              <w:rPr>
                <w:rFonts w:cstheme="minorHAnsi"/>
              </w:rPr>
              <w:t>.13</w:t>
            </w:r>
          </w:p>
        </w:tc>
        <w:tc>
          <w:tcPr>
            <w:tcW w:w="444" w:type="pct"/>
          </w:tcPr>
          <w:p w14:paraId="0696317B" w14:textId="77777777" w:rsidR="003D6310" w:rsidRPr="00F72A65" w:rsidRDefault="003D6310" w:rsidP="009E6C5B">
            <w:pPr>
              <w:pStyle w:val="NoSpacing"/>
              <w:rPr>
                <w:rFonts w:cstheme="minorHAnsi"/>
              </w:rPr>
            </w:pPr>
            <w:r w:rsidRPr="00F72A65">
              <w:rPr>
                <w:rFonts w:cstheme="minorHAnsi"/>
              </w:rPr>
              <w:t>.10</w:t>
            </w:r>
          </w:p>
        </w:tc>
      </w:tr>
      <w:tr w:rsidR="003D6310" w:rsidRPr="00F72A65" w14:paraId="7CECE989" w14:textId="77777777" w:rsidTr="00312680">
        <w:trPr>
          <w:trHeight w:val="186"/>
        </w:trPr>
        <w:tc>
          <w:tcPr>
            <w:tcW w:w="1260" w:type="pct"/>
          </w:tcPr>
          <w:p w14:paraId="3145AC8B" w14:textId="77777777" w:rsidR="003D6310" w:rsidRPr="00F72A65" w:rsidRDefault="003D6310" w:rsidP="009E6C5B">
            <w:pPr>
              <w:pStyle w:val="NoSpacing"/>
              <w:rPr>
                <w:rFonts w:cstheme="minorHAnsi"/>
              </w:rPr>
            </w:pPr>
            <w:r w:rsidRPr="00F72A65">
              <w:rPr>
                <w:rFonts w:cstheme="minorHAnsi"/>
              </w:rPr>
              <w:t>RAVLT DR</w:t>
            </w:r>
          </w:p>
        </w:tc>
        <w:tc>
          <w:tcPr>
            <w:tcW w:w="809" w:type="pct"/>
          </w:tcPr>
          <w:p w14:paraId="58F91594" w14:textId="77777777" w:rsidR="003D6310" w:rsidRPr="00F72A65" w:rsidRDefault="003D6310" w:rsidP="009E6C5B">
            <w:pPr>
              <w:pStyle w:val="NoSpacing"/>
              <w:rPr>
                <w:rFonts w:cstheme="minorHAnsi"/>
              </w:rPr>
            </w:pPr>
            <w:r w:rsidRPr="00F72A65">
              <w:rPr>
                <w:rFonts w:cstheme="minorHAnsi"/>
              </w:rPr>
              <w:t>10.0 (2.5)</w:t>
            </w:r>
          </w:p>
        </w:tc>
        <w:tc>
          <w:tcPr>
            <w:tcW w:w="835" w:type="pct"/>
          </w:tcPr>
          <w:p w14:paraId="66BDBABC" w14:textId="77777777" w:rsidR="003D6310" w:rsidRPr="00F72A65" w:rsidRDefault="003D6310" w:rsidP="009E6C5B">
            <w:pPr>
              <w:pStyle w:val="NoSpacing"/>
              <w:rPr>
                <w:rFonts w:cstheme="minorHAnsi"/>
              </w:rPr>
            </w:pPr>
            <w:r w:rsidRPr="00F72A65">
              <w:rPr>
                <w:rFonts w:cstheme="minorHAnsi"/>
              </w:rPr>
              <w:t>11.1 (2.0)</w:t>
            </w:r>
          </w:p>
        </w:tc>
        <w:tc>
          <w:tcPr>
            <w:tcW w:w="943" w:type="pct"/>
          </w:tcPr>
          <w:p w14:paraId="17B1B4B0" w14:textId="77777777" w:rsidR="003D6310" w:rsidRPr="00F72A65" w:rsidRDefault="003D6310" w:rsidP="009E6C5B">
            <w:pPr>
              <w:pStyle w:val="NoSpacing"/>
              <w:rPr>
                <w:rFonts w:cstheme="minorHAnsi"/>
              </w:rPr>
            </w:pPr>
            <w:r w:rsidRPr="00F72A65">
              <w:rPr>
                <w:rFonts w:cstheme="minorHAnsi"/>
              </w:rPr>
              <w:t>6.2 (4.2)</w:t>
            </w:r>
          </w:p>
        </w:tc>
        <w:tc>
          <w:tcPr>
            <w:tcW w:w="709" w:type="pct"/>
          </w:tcPr>
          <w:p w14:paraId="176D771E" w14:textId="77777777" w:rsidR="003D6310" w:rsidRPr="00F72A65" w:rsidRDefault="003D6310" w:rsidP="009E6C5B">
            <w:pPr>
              <w:pStyle w:val="NoSpacing"/>
              <w:rPr>
                <w:rFonts w:cstheme="minorHAnsi"/>
              </w:rPr>
            </w:pPr>
            <w:r w:rsidRPr="00F72A65">
              <w:rPr>
                <w:rFonts w:cstheme="minorHAnsi"/>
              </w:rPr>
              <w:t>&lt;.01</w:t>
            </w:r>
          </w:p>
        </w:tc>
        <w:tc>
          <w:tcPr>
            <w:tcW w:w="444" w:type="pct"/>
          </w:tcPr>
          <w:p w14:paraId="5D7F6FB2" w14:textId="77777777" w:rsidR="003D6310" w:rsidRPr="00F72A65" w:rsidRDefault="003D6310" w:rsidP="009E6C5B">
            <w:pPr>
              <w:pStyle w:val="NoSpacing"/>
              <w:rPr>
                <w:rFonts w:cstheme="minorHAnsi"/>
              </w:rPr>
            </w:pPr>
            <w:r w:rsidRPr="00F72A65">
              <w:rPr>
                <w:rFonts w:cstheme="minorHAnsi"/>
              </w:rPr>
              <w:t>.31</w:t>
            </w:r>
          </w:p>
        </w:tc>
      </w:tr>
    </w:tbl>
    <w:p w14:paraId="2B4C331B" w14:textId="77777777" w:rsidR="00F72A65" w:rsidRPr="00F72A65" w:rsidRDefault="00F72A65" w:rsidP="00F72A65">
      <w:pPr>
        <w:pStyle w:val="NoSpacing"/>
        <w:rPr>
          <w:rFonts w:cstheme="minorHAnsi"/>
          <w:sz w:val="20"/>
          <w:szCs w:val="20"/>
        </w:rPr>
      </w:pPr>
      <w:r w:rsidRPr="00F72A65">
        <w:rPr>
          <w:rFonts w:cstheme="minorHAnsi"/>
          <w:i/>
          <w:iCs/>
          <w:sz w:val="20"/>
          <w:szCs w:val="20"/>
        </w:rPr>
        <w:t>Note</w:t>
      </w:r>
      <w:r w:rsidRPr="00F72A65">
        <w:rPr>
          <w:rFonts w:cstheme="minorHAnsi"/>
          <w:sz w:val="20"/>
          <w:szCs w:val="20"/>
        </w:rPr>
        <w:t>.    Values</w:t>
      </w:r>
      <w:r w:rsidRPr="00F72A65">
        <w:rPr>
          <w:rFonts w:cstheme="minorHAnsi"/>
          <w:spacing w:val="14"/>
          <w:sz w:val="20"/>
          <w:szCs w:val="20"/>
        </w:rPr>
        <w:t xml:space="preserve"> </w:t>
      </w:r>
      <w:r w:rsidRPr="00F72A65">
        <w:rPr>
          <w:rFonts w:cstheme="minorHAnsi"/>
          <w:sz w:val="20"/>
          <w:szCs w:val="20"/>
        </w:rPr>
        <w:t>are</w:t>
      </w:r>
      <w:r w:rsidRPr="00F72A65">
        <w:rPr>
          <w:rFonts w:cstheme="minorHAnsi"/>
          <w:spacing w:val="14"/>
          <w:sz w:val="20"/>
          <w:szCs w:val="20"/>
        </w:rPr>
        <w:t xml:space="preserve"> </w:t>
      </w:r>
      <w:r w:rsidRPr="00F72A65">
        <w:rPr>
          <w:rFonts w:cstheme="minorHAnsi"/>
          <w:sz w:val="20"/>
          <w:szCs w:val="20"/>
        </w:rPr>
        <w:t>presented</w:t>
      </w:r>
      <w:r w:rsidRPr="00F72A65">
        <w:rPr>
          <w:rFonts w:cstheme="minorHAnsi"/>
          <w:spacing w:val="14"/>
          <w:sz w:val="20"/>
          <w:szCs w:val="20"/>
        </w:rPr>
        <w:t xml:space="preserve"> </w:t>
      </w:r>
      <w:r w:rsidRPr="00F72A65">
        <w:rPr>
          <w:rFonts w:cstheme="minorHAnsi"/>
          <w:sz w:val="20"/>
          <w:szCs w:val="20"/>
        </w:rPr>
        <w:t>as</w:t>
      </w:r>
      <w:r w:rsidRPr="00F72A65">
        <w:rPr>
          <w:rFonts w:cstheme="minorHAnsi"/>
          <w:spacing w:val="14"/>
          <w:sz w:val="20"/>
          <w:szCs w:val="20"/>
        </w:rPr>
        <w:t xml:space="preserve"> </w:t>
      </w:r>
      <w:r w:rsidRPr="00F72A65">
        <w:rPr>
          <w:rFonts w:cstheme="minorHAnsi"/>
          <w:sz w:val="20"/>
          <w:szCs w:val="20"/>
        </w:rPr>
        <w:t>means</w:t>
      </w:r>
      <w:r w:rsidRPr="00F72A65">
        <w:rPr>
          <w:rFonts w:cstheme="minorHAnsi"/>
          <w:spacing w:val="14"/>
          <w:sz w:val="20"/>
          <w:szCs w:val="20"/>
        </w:rPr>
        <w:t xml:space="preserve"> </w:t>
      </w:r>
      <w:r w:rsidRPr="00F72A65">
        <w:rPr>
          <w:rFonts w:cstheme="minorHAnsi"/>
          <w:sz w:val="20"/>
          <w:szCs w:val="20"/>
        </w:rPr>
        <w:t>with</w:t>
      </w:r>
      <w:r w:rsidRPr="00F72A65">
        <w:rPr>
          <w:rFonts w:cstheme="minorHAnsi"/>
          <w:spacing w:val="14"/>
          <w:sz w:val="20"/>
          <w:szCs w:val="20"/>
        </w:rPr>
        <w:t xml:space="preserve"> </w:t>
      </w:r>
      <w:r w:rsidRPr="00F72A65">
        <w:rPr>
          <w:rFonts w:cstheme="minorHAnsi"/>
          <w:sz w:val="20"/>
          <w:szCs w:val="20"/>
        </w:rPr>
        <w:t>standard</w:t>
      </w:r>
      <w:r w:rsidRPr="00F72A65">
        <w:rPr>
          <w:rFonts w:cstheme="minorHAnsi"/>
          <w:spacing w:val="14"/>
          <w:sz w:val="20"/>
          <w:szCs w:val="20"/>
        </w:rPr>
        <w:t xml:space="preserve"> </w:t>
      </w:r>
      <w:r w:rsidRPr="00F72A65">
        <w:rPr>
          <w:rFonts w:cstheme="minorHAnsi"/>
          <w:sz w:val="20"/>
          <w:szCs w:val="20"/>
        </w:rPr>
        <w:t>deviations</w:t>
      </w:r>
      <w:r w:rsidRPr="00F72A65">
        <w:rPr>
          <w:rFonts w:cstheme="minorHAnsi"/>
          <w:spacing w:val="14"/>
          <w:sz w:val="20"/>
          <w:szCs w:val="20"/>
        </w:rPr>
        <w:t xml:space="preserve"> </w:t>
      </w:r>
      <w:r w:rsidRPr="00F72A65">
        <w:rPr>
          <w:rFonts w:cstheme="minorHAnsi"/>
          <w:sz w:val="20"/>
          <w:szCs w:val="20"/>
        </w:rPr>
        <w:t>in</w:t>
      </w:r>
      <w:r w:rsidRPr="00F72A65">
        <w:rPr>
          <w:rFonts w:cstheme="minorHAnsi"/>
          <w:spacing w:val="14"/>
          <w:sz w:val="20"/>
          <w:szCs w:val="20"/>
        </w:rPr>
        <w:t xml:space="preserve"> </w:t>
      </w:r>
      <w:r w:rsidRPr="00F72A65">
        <w:rPr>
          <w:rFonts w:cstheme="minorHAnsi"/>
          <w:sz w:val="20"/>
          <w:szCs w:val="20"/>
        </w:rPr>
        <w:t>parentheses.</w:t>
      </w:r>
      <w:r w:rsidRPr="00F72A65">
        <w:rPr>
          <w:rFonts w:cstheme="minorHAnsi"/>
          <w:spacing w:val="14"/>
          <w:sz w:val="20"/>
          <w:szCs w:val="20"/>
        </w:rPr>
        <w:t xml:space="preserve"> </w:t>
      </w:r>
      <w:r w:rsidRPr="00F72A65">
        <w:rPr>
          <w:rFonts w:cstheme="minorHAnsi"/>
          <w:sz w:val="20"/>
          <w:szCs w:val="20"/>
        </w:rPr>
        <w:t>Bolded</w:t>
      </w:r>
      <w:r w:rsidRPr="00F72A65">
        <w:rPr>
          <w:rFonts w:cstheme="minorHAnsi"/>
          <w:spacing w:val="14"/>
          <w:sz w:val="20"/>
          <w:szCs w:val="20"/>
        </w:rPr>
        <w:t xml:space="preserve"> </w:t>
      </w:r>
      <w:r w:rsidRPr="00F72A65">
        <w:rPr>
          <w:rFonts w:cstheme="minorHAnsi"/>
          <w:sz w:val="20"/>
          <w:szCs w:val="20"/>
        </w:rPr>
        <w:t>values</w:t>
      </w:r>
      <w:r w:rsidRPr="00F72A65">
        <w:rPr>
          <w:rFonts w:cstheme="minorHAnsi"/>
          <w:spacing w:val="14"/>
          <w:sz w:val="20"/>
          <w:szCs w:val="20"/>
        </w:rPr>
        <w:t xml:space="preserve"> </w:t>
      </w:r>
      <w:r w:rsidRPr="00F72A65">
        <w:rPr>
          <w:rFonts w:cstheme="minorHAnsi"/>
          <w:sz w:val="20"/>
          <w:szCs w:val="20"/>
        </w:rPr>
        <w:t>are</w:t>
      </w:r>
      <w:r w:rsidRPr="00F72A65">
        <w:rPr>
          <w:rFonts w:cstheme="minorHAnsi"/>
          <w:spacing w:val="14"/>
          <w:sz w:val="20"/>
          <w:szCs w:val="20"/>
        </w:rPr>
        <w:t xml:space="preserve"> </w:t>
      </w:r>
      <w:r w:rsidRPr="00F72A65">
        <w:rPr>
          <w:rFonts w:cstheme="minorHAnsi"/>
          <w:sz w:val="20"/>
          <w:szCs w:val="20"/>
        </w:rPr>
        <w:t xml:space="preserve">statistically </w:t>
      </w:r>
      <w:proofErr w:type="gramStart"/>
      <w:r w:rsidRPr="00F72A65">
        <w:rPr>
          <w:rFonts w:cstheme="minorHAnsi"/>
          <w:sz w:val="20"/>
          <w:szCs w:val="20"/>
        </w:rPr>
        <w:t xml:space="preserve">significant </w:t>
      </w:r>
      <w:r w:rsidRPr="00F72A65">
        <w:rPr>
          <w:rFonts w:cstheme="minorHAnsi"/>
          <w:spacing w:val="-20"/>
          <w:sz w:val="20"/>
          <w:szCs w:val="20"/>
        </w:rPr>
        <w:t xml:space="preserve"> </w:t>
      </w:r>
      <w:r w:rsidRPr="00F72A65">
        <w:rPr>
          <w:rFonts w:cstheme="minorHAnsi"/>
          <w:sz w:val="20"/>
          <w:szCs w:val="20"/>
        </w:rPr>
        <w:t>at</w:t>
      </w:r>
      <w:proofErr w:type="gramEnd"/>
      <w:r w:rsidRPr="00F72A65">
        <w:rPr>
          <w:rFonts w:cstheme="minorHAnsi"/>
          <w:spacing w:val="19"/>
          <w:sz w:val="20"/>
          <w:szCs w:val="20"/>
        </w:rPr>
        <w:t xml:space="preserve"> </w:t>
      </w:r>
      <w:r w:rsidRPr="00F72A65">
        <w:rPr>
          <w:rFonts w:cstheme="minorHAnsi"/>
          <w:i/>
          <w:iCs/>
          <w:sz w:val="20"/>
          <w:szCs w:val="20"/>
        </w:rPr>
        <w:t>p</w:t>
      </w:r>
      <w:r w:rsidRPr="00F72A65">
        <w:rPr>
          <w:rFonts w:cstheme="minorHAnsi"/>
          <w:i/>
          <w:iCs/>
          <w:spacing w:val="20"/>
          <w:sz w:val="20"/>
          <w:szCs w:val="20"/>
        </w:rPr>
        <w:t xml:space="preserve"> </w:t>
      </w:r>
      <w:r w:rsidRPr="00F72A65">
        <w:rPr>
          <w:rFonts w:cstheme="minorHAnsi"/>
          <w:w w:val="142"/>
          <w:sz w:val="20"/>
          <w:szCs w:val="20"/>
        </w:rPr>
        <w:t>&lt;</w:t>
      </w:r>
      <w:r w:rsidRPr="00F72A65">
        <w:rPr>
          <w:rFonts w:cstheme="minorHAnsi"/>
          <w:spacing w:val="15"/>
          <w:sz w:val="20"/>
          <w:szCs w:val="20"/>
        </w:rPr>
        <w:t xml:space="preserve"> </w:t>
      </w:r>
      <w:r w:rsidRPr="00F72A65">
        <w:rPr>
          <w:rFonts w:cstheme="minorHAnsi"/>
          <w:sz w:val="20"/>
          <w:szCs w:val="20"/>
        </w:rPr>
        <w:t xml:space="preserve">.05. </w:t>
      </w:r>
      <w:r w:rsidRPr="00F72A65">
        <w:rPr>
          <w:rFonts w:cstheme="minorHAnsi"/>
          <w:spacing w:val="-20"/>
          <w:sz w:val="20"/>
          <w:szCs w:val="20"/>
        </w:rPr>
        <w:t xml:space="preserve"> </w:t>
      </w:r>
      <w:proofErr w:type="gramStart"/>
      <w:r w:rsidRPr="00F72A65">
        <w:rPr>
          <w:rFonts w:cstheme="minorHAnsi"/>
          <w:sz w:val="20"/>
          <w:szCs w:val="20"/>
        </w:rPr>
        <w:t xml:space="preserve">Effect </w:t>
      </w:r>
      <w:r w:rsidRPr="00F72A65">
        <w:rPr>
          <w:rFonts w:cstheme="minorHAnsi"/>
          <w:spacing w:val="-20"/>
          <w:sz w:val="20"/>
          <w:szCs w:val="20"/>
        </w:rPr>
        <w:t xml:space="preserve"> </w:t>
      </w:r>
      <w:r w:rsidRPr="00F72A65">
        <w:rPr>
          <w:rFonts w:cstheme="minorHAnsi"/>
          <w:sz w:val="20"/>
          <w:szCs w:val="20"/>
        </w:rPr>
        <w:t>sizes</w:t>
      </w:r>
      <w:proofErr w:type="gramEnd"/>
      <w:r w:rsidRPr="00F72A65">
        <w:rPr>
          <w:rFonts w:cstheme="minorHAnsi"/>
          <w:sz w:val="20"/>
          <w:szCs w:val="20"/>
        </w:rPr>
        <w:t xml:space="preserve"> </w:t>
      </w:r>
      <w:r w:rsidRPr="00F72A65">
        <w:rPr>
          <w:rFonts w:cstheme="minorHAnsi"/>
          <w:spacing w:val="-20"/>
          <w:sz w:val="20"/>
          <w:szCs w:val="20"/>
        </w:rPr>
        <w:t xml:space="preserve"> </w:t>
      </w:r>
      <w:r w:rsidRPr="00F72A65">
        <w:rPr>
          <w:rFonts w:cstheme="minorHAnsi"/>
          <w:sz w:val="20"/>
          <w:szCs w:val="20"/>
        </w:rPr>
        <w:t xml:space="preserve">are </w:t>
      </w:r>
      <w:r w:rsidRPr="00F72A65">
        <w:rPr>
          <w:rFonts w:cstheme="minorHAnsi"/>
          <w:spacing w:val="-20"/>
          <w:sz w:val="20"/>
          <w:szCs w:val="20"/>
        </w:rPr>
        <w:t xml:space="preserve"> </w:t>
      </w:r>
      <w:r w:rsidRPr="00F72A65">
        <w:rPr>
          <w:rFonts w:cstheme="minorHAnsi"/>
          <w:sz w:val="20"/>
          <w:szCs w:val="20"/>
        </w:rPr>
        <w:t xml:space="preserve">partial </w:t>
      </w:r>
      <w:r w:rsidRPr="00F72A65">
        <w:rPr>
          <w:rFonts w:cstheme="minorHAnsi"/>
          <w:spacing w:val="-20"/>
          <w:sz w:val="20"/>
          <w:szCs w:val="20"/>
        </w:rPr>
        <w:t xml:space="preserve"> </w:t>
      </w:r>
      <w:r w:rsidRPr="00F72A65">
        <w:rPr>
          <w:rFonts w:cstheme="minorHAnsi"/>
          <w:sz w:val="20"/>
          <w:szCs w:val="20"/>
        </w:rPr>
        <w:t xml:space="preserve">eta </w:t>
      </w:r>
      <w:r w:rsidRPr="00F72A65">
        <w:rPr>
          <w:rFonts w:cstheme="minorHAnsi"/>
          <w:spacing w:val="-20"/>
          <w:sz w:val="20"/>
          <w:szCs w:val="20"/>
        </w:rPr>
        <w:t xml:space="preserve"> </w:t>
      </w:r>
      <w:r w:rsidRPr="00F72A65">
        <w:rPr>
          <w:rFonts w:cstheme="minorHAnsi"/>
          <w:sz w:val="20"/>
          <w:szCs w:val="20"/>
        </w:rPr>
        <w:t xml:space="preserve">squared </w:t>
      </w:r>
      <w:r w:rsidRPr="00F72A65">
        <w:rPr>
          <w:rFonts w:cstheme="minorHAnsi"/>
          <w:spacing w:val="-20"/>
          <w:sz w:val="20"/>
          <w:szCs w:val="20"/>
        </w:rPr>
        <w:t xml:space="preserve"> </w:t>
      </w:r>
      <w:r w:rsidRPr="00F72A65">
        <w:rPr>
          <w:rFonts w:cstheme="minorHAnsi"/>
          <w:sz w:val="20"/>
          <w:szCs w:val="20"/>
        </w:rPr>
        <w:t xml:space="preserve">values. </w:t>
      </w:r>
      <w:r w:rsidRPr="00F72A65">
        <w:rPr>
          <w:rFonts w:cstheme="minorHAnsi"/>
          <w:spacing w:val="-20"/>
          <w:sz w:val="20"/>
          <w:szCs w:val="20"/>
        </w:rPr>
        <w:t xml:space="preserve"> </w:t>
      </w:r>
      <w:r w:rsidRPr="00F72A65">
        <w:rPr>
          <w:rFonts w:cstheme="minorHAnsi"/>
          <w:sz w:val="20"/>
          <w:szCs w:val="20"/>
        </w:rPr>
        <w:t xml:space="preserve">Sample </w:t>
      </w:r>
      <w:r w:rsidRPr="00F72A65">
        <w:rPr>
          <w:rFonts w:cstheme="minorHAnsi"/>
          <w:spacing w:val="-20"/>
          <w:sz w:val="20"/>
          <w:szCs w:val="20"/>
        </w:rPr>
        <w:t xml:space="preserve"> </w:t>
      </w:r>
      <w:r w:rsidRPr="00F72A65">
        <w:rPr>
          <w:rFonts w:cstheme="minorHAnsi"/>
          <w:sz w:val="20"/>
          <w:szCs w:val="20"/>
        </w:rPr>
        <w:t xml:space="preserve">sizes </w:t>
      </w:r>
      <w:r w:rsidRPr="00F72A65">
        <w:rPr>
          <w:rFonts w:cstheme="minorHAnsi"/>
          <w:spacing w:val="-20"/>
          <w:sz w:val="20"/>
          <w:szCs w:val="20"/>
        </w:rPr>
        <w:t xml:space="preserve"> </w:t>
      </w:r>
      <w:r w:rsidRPr="00F72A65">
        <w:rPr>
          <w:rFonts w:cstheme="minorHAnsi"/>
          <w:sz w:val="20"/>
          <w:szCs w:val="20"/>
        </w:rPr>
        <w:t xml:space="preserve">at </w:t>
      </w:r>
      <w:r w:rsidRPr="00F72A65">
        <w:rPr>
          <w:rFonts w:cstheme="minorHAnsi"/>
          <w:spacing w:val="-20"/>
          <w:sz w:val="20"/>
          <w:szCs w:val="20"/>
        </w:rPr>
        <w:t xml:space="preserve"> </w:t>
      </w:r>
      <w:r w:rsidRPr="00F72A65">
        <w:rPr>
          <w:rFonts w:cstheme="minorHAnsi"/>
          <w:sz w:val="20"/>
          <w:szCs w:val="20"/>
        </w:rPr>
        <w:t>baseline:</w:t>
      </w:r>
      <w:r w:rsidRPr="00F72A65">
        <w:rPr>
          <w:rFonts w:cstheme="minorHAnsi"/>
          <w:spacing w:val="19"/>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spacing w:val="15"/>
          <w:w w:val="181"/>
          <w:sz w:val="20"/>
          <w:szCs w:val="20"/>
        </w:rPr>
        <w:t>-</w:t>
      </w:r>
      <w:r w:rsidRPr="00F72A65">
        <w:rPr>
          <w:rFonts w:cstheme="minorHAnsi"/>
          <w:sz w:val="20"/>
          <w:szCs w:val="20"/>
        </w:rPr>
        <w:t xml:space="preserve"> </w:t>
      </w:r>
      <w:r w:rsidRPr="00F72A65">
        <w:rPr>
          <w:rFonts w:cstheme="minorHAnsi"/>
          <w:w w:val="181"/>
          <w:sz w:val="20"/>
          <w:szCs w:val="20"/>
        </w:rPr>
        <w:t>=</w:t>
      </w:r>
      <w:r w:rsidRPr="00F72A65">
        <w:rPr>
          <w:rFonts w:cstheme="minorHAnsi"/>
          <w:spacing w:val="15"/>
          <w:sz w:val="20"/>
          <w:szCs w:val="20"/>
        </w:rPr>
        <w:t xml:space="preserve"> </w:t>
      </w:r>
      <w:r w:rsidRPr="00F72A65">
        <w:rPr>
          <w:rFonts w:cstheme="minorHAnsi"/>
          <w:sz w:val="20"/>
          <w:szCs w:val="20"/>
        </w:rPr>
        <w:t>22,</w:t>
      </w:r>
      <w:r w:rsidRPr="00F72A65">
        <w:rPr>
          <w:rFonts w:cstheme="minorHAnsi"/>
          <w:spacing w:val="20"/>
          <w:sz w:val="20"/>
          <w:szCs w:val="20"/>
        </w:rPr>
        <w:t xml:space="preserve"> </w:t>
      </w:r>
      <w:r w:rsidRPr="00F72A65">
        <w:rPr>
          <w:rFonts w:cstheme="minorHAnsi"/>
          <w:spacing w:val="-5"/>
          <w:w w:val="66"/>
          <w:sz w:val="20"/>
          <w:szCs w:val="20"/>
        </w:rPr>
        <w:t>E</w:t>
      </w:r>
      <w:r w:rsidRPr="00F72A65">
        <w:rPr>
          <w:rFonts w:cstheme="minorHAnsi"/>
          <w:spacing w:val="-5"/>
          <w:sz w:val="20"/>
          <w:szCs w:val="20"/>
        </w:rPr>
        <w:t>4</w:t>
      </w:r>
      <w:r w:rsidRPr="00F72A65">
        <w:rPr>
          <w:rFonts w:cstheme="minorHAnsi"/>
          <w:spacing w:val="-9"/>
          <w:w w:val="142"/>
          <w:sz w:val="20"/>
          <w:szCs w:val="20"/>
        </w:rPr>
        <w:t>+</w:t>
      </w:r>
      <w:r w:rsidRPr="00F72A65">
        <w:rPr>
          <w:rFonts w:cstheme="minorHAnsi"/>
          <w:w w:val="142"/>
          <w:sz w:val="20"/>
          <w:szCs w:val="20"/>
        </w:rPr>
        <w:t xml:space="preserve"> </w:t>
      </w:r>
      <w:r w:rsidRPr="00F72A65">
        <w:rPr>
          <w:rFonts w:cstheme="minorHAnsi"/>
          <w:sz w:val="20"/>
          <w:szCs w:val="20"/>
        </w:rPr>
        <w:t>stable</w:t>
      </w:r>
      <w:r w:rsidRPr="00F72A65">
        <w:rPr>
          <w:rFonts w:cstheme="minorHAnsi"/>
          <w:spacing w:val="12"/>
          <w:sz w:val="20"/>
          <w:szCs w:val="20"/>
        </w:rPr>
        <w:t xml:space="preserve"> </w:t>
      </w:r>
      <w:r w:rsidRPr="00F72A65">
        <w:rPr>
          <w:rFonts w:cstheme="minorHAnsi"/>
          <w:w w:val="142"/>
          <w:sz w:val="20"/>
          <w:szCs w:val="20"/>
        </w:rPr>
        <w:t>=</w:t>
      </w:r>
      <w:r w:rsidRPr="00F72A65">
        <w:rPr>
          <w:rFonts w:cstheme="minorHAnsi"/>
          <w:spacing w:val="7"/>
          <w:sz w:val="20"/>
          <w:szCs w:val="20"/>
        </w:rPr>
        <w:t xml:space="preserve"> </w:t>
      </w:r>
      <w:r w:rsidRPr="00F72A65">
        <w:rPr>
          <w:rFonts w:cstheme="minorHAnsi"/>
          <w:sz w:val="20"/>
          <w:szCs w:val="20"/>
        </w:rPr>
        <w:t>11,</w:t>
      </w:r>
      <w:r w:rsidRPr="00F72A65">
        <w:rPr>
          <w:rFonts w:cstheme="minorHAnsi"/>
          <w:spacing w:val="12"/>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w w:val="142"/>
          <w:sz w:val="20"/>
          <w:szCs w:val="20"/>
        </w:rPr>
        <w:t>+</w:t>
      </w:r>
      <w:r w:rsidRPr="00F72A65">
        <w:rPr>
          <w:rFonts w:cstheme="minorHAnsi"/>
          <w:spacing w:val="7"/>
          <w:sz w:val="20"/>
          <w:szCs w:val="20"/>
        </w:rPr>
        <w:t xml:space="preserve"> </w:t>
      </w:r>
      <w:r w:rsidRPr="00F72A65">
        <w:rPr>
          <w:rFonts w:cstheme="minorHAnsi"/>
          <w:sz w:val="20"/>
          <w:szCs w:val="20"/>
        </w:rPr>
        <w:t>declining</w:t>
      </w:r>
      <w:r w:rsidRPr="00F72A65">
        <w:rPr>
          <w:rFonts w:cstheme="minorHAnsi"/>
          <w:spacing w:val="12"/>
          <w:sz w:val="20"/>
          <w:szCs w:val="20"/>
        </w:rPr>
        <w:t xml:space="preserve"> </w:t>
      </w:r>
      <w:r w:rsidRPr="00F72A65">
        <w:rPr>
          <w:rFonts w:cstheme="minorHAnsi"/>
          <w:w w:val="142"/>
          <w:sz w:val="20"/>
          <w:szCs w:val="20"/>
        </w:rPr>
        <w:t>=</w:t>
      </w:r>
      <w:r w:rsidRPr="00F72A65">
        <w:rPr>
          <w:rFonts w:cstheme="minorHAnsi"/>
          <w:spacing w:val="7"/>
          <w:sz w:val="20"/>
          <w:szCs w:val="20"/>
        </w:rPr>
        <w:t xml:space="preserve"> </w:t>
      </w:r>
      <w:r w:rsidRPr="00F72A65">
        <w:rPr>
          <w:rFonts w:cstheme="minorHAnsi"/>
          <w:sz w:val="20"/>
          <w:szCs w:val="20"/>
        </w:rPr>
        <w:t>15;</w:t>
      </w:r>
      <w:r w:rsidRPr="00F72A65">
        <w:rPr>
          <w:rFonts w:cstheme="minorHAnsi"/>
          <w:spacing w:val="12"/>
          <w:sz w:val="20"/>
          <w:szCs w:val="20"/>
        </w:rPr>
        <w:t xml:space="preserve"> </w:t>
      </w:r>
      <w:r w:rsidRPr="00F72A65">
        <w:rPr>
          <w:rFonts w:cstheme="minorHAnsi"/>
          <w:sz w:val="20"/>
          <w:szCs w:val="20"/>
        </w:rPr>
        <w:t>sample</w:t>
      </w:r>
      <w:r w:rsidRPr="00F72A65">
        <w:rPr>
          <w:rFonts w:cstheme="minorHAnsi"/>
          <w:spacing w:val="12"/>
          <w:sz w:val="20"/>
          <w:szCs w:val="20"/>
        </w:rPr>
        <w:t xml:space="preserve"> </w:t>
      </w:r>
      <w:r w:rsidRPr="00F72A65">
        <w:rPr>
          <w:rFonts w:cstheme="minorHAnsi"/>
          <w:sz w:val="20"/>
          <w:szCs w:val="20"/>
        </w:rPr>
        <w:t>sizes</w:t>
      </w:r>
      <w:r w:rsidRPr="00F72A65">
        <w:rPr>
          <w:rFonts w:cstheme="minorHAnsi"/>
          <w:spacing w:val="12"/>
          <w:sz w:val="20"/>
          <w:szCs w:val="20"/>
        </w:rPr>
        <w:t xml:space="preserve"> </w:t>
      </w:r>
      <w:r w:rsidRPr="00F72A65">
        <w:rPr>
          <w:rFonts w:cstheme="minorHAnsi"/>
          <w:sz w:val="20"/>
          <w:szCs w:val="20"/>
        </w:rPr>
        <w:t>at</w:t>
      </w:r>
      <w:r w:rsidRPr="00F72A65">
        <w:rPr>
          <w:rFonts w:cstheme="minorHAnsi"/>
          <w:spacing w:val="12"/>
          <w:sz w:val="20"/>
          <w:szCs w:val="20"/>
        </w:rPr>
        <w:t xml:space="preserve"> </w:t>
      </w:r>
      <w:r w:rsidRPr="00F72A65">
        <w:rPr>
          <w:rFonts w:cstheme="minorHAnsi"/>
          <w:sz w:val="20"/>
          <w:szCs w:val="20"/>
        </w:rPr>
        <w:t>18</w:t>
      </w:r>
      <w:r w:rsidRPr="00F72A65">
        <w:rPr>
          <w:rFonts w:cstheme="minorHAnsi"/>
          <w:spacing w:val="12"/>
          <w:sz w:val="20"/>
          <w:szCs w:val="20"/>
        </w:rPr>
        <w:t xml:space="preserve"> </w:t>
      </w:r>
      <w:r w:rsidRPr="00F72A65">
        <w:rPr>
          <w:rFonts w:cstheme="minorHAnsi"/>
          <w:sz w:val="20"/>
          <w:szCs w:val="20"/>
        </w:rPr>
        <w:t>months:</w:t>
      </w:r>
      <w:r w:rsidRPr="00F72A65">
        <w:rPr>
          <w:rFonts w:cstheme="minorHAnsi"/>
          <w:spacing w:val="12"/>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spacing w:val="7"/>
          <w:w w:val="181"/>
          <w:sz w:val="20"/>
          <w:szCs w:val="20"/>
        </w:rPr>
        <w:t>-</w:t>
      </w:r>
      <w:r w:rsidRPr="00F72A65">
        <w:rPr>
          <w:rFonts w:cstheme="minorHAnsi"/>
          <w:sz w:val="20"/>
          <w:szCs w:val="20"/>
        </w:rPr>
        <w:t xml:space="preserve"> </w:t>
      </w:r>
      <w:r w:rsidRPr="00F72A65">
        <w:rPr>
          <w:rFonts w:cstheme="minorHAnsi"/>
          <w:w w:val="181"/>
          <w:sz w:val="20"/>
          <w:szCs w:val="20"/>
        </w:rPr>
        <w:t>=</w:t>
      </w:r>
      <w:r w:rsidRPr="00F72A65">
        <w:rPr>
          <w:rFonts w:cstheme="minorHAnsi"/>
          <w:spacing w:val="7"/>
          <w:sz w:val="20"/>
          <w:szCs w:val="20"/>
        </w:rPr>
        <w:t xml:space="preserve"> </w:t>
      </w:r>
      <w:r w:rsidRPr="00F72A65">
        <w:rPr>
          <w:rFonts w:cstheme="minorHAnsi"/>
          <w:sz w:val="20"/>
          <w:szCs w:val="20"/>
        </w:rPr>
        <w:t>22,</w:t>
      </w:r>
      <w:r w:rsidRPr="00F72A65">
        <w:rPr>
          <w:rFonts w:cstheme="minorHAnsi"/>
          <w:spacing w:val="12"/>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w w:val="142"/>
          <w:sz w:val="20"/>
          <w:szCs w:val="20"/>
        </w:rPr>
        <w:t>+</w:t>
      </w:r>
      <w:r w:rsidRPr="00F72A65">
        <w:rPr>
          <w:rFonts w:cstheme="minorHAnsi"/>
          <w:spacing w:val="7"/>
          <w:sz w:val="20"/>
          <w:szCs w:val="20"/>
        </w:rPr>
        <w:t xml:space="preserve"> </w:t>
      </w:r>
      <w:r w:rsidRPr="00F72A65">
        <w:rPr>
          <w:rFonts w:cstheme="minorHAnsi"/>
          <w:sz w:val="20"/>
          <w:szCs w:val="20"/>
        </w:rPr>
        <w:t>stable</w:t>
      </w:r>
      <w:r w:rsidRPr="00F72A65">
        <w:rPr>
          <w:rFonts w:cstheme="minorHAnsi"/>
          <w:spacing w:val="12"/>
          <w:sz w:val="20"/>
          <w:szCs w:val="20"/>
        </w:rPr>
        <w:t xml:space="preserve"> </w:t>
      </w:r>
      <w:r w:rsidRPr="00F72A65">
        <w:rPr>
          <w:rFonts w:cstheme="minorHAnsi"/>
          <w:w w:val="142"/>
          <w:sz w:val="20"/>
          <w:szCs w:val="20"/>
        </w:rPr>
        <w:t>=</w:t>
      </w:r>
      <w:r w:rsidRPr="00F72A65">
        <w:rPr>
          <w:rFonts w:cstheme="minorHAnsi"/>
          <w:spacing w:val="7"/>
          <w:sz w:val="20"/>
          <w:szCs w:val="20"/>
        </w:rPr>
        <w:t xml:space="preserve"> </w:t>
      </w:r>
      <w:r w:rsidRPr="00F72A65">
        <w:rPr>
          <w:rFonts w:cstheme="minorHAnsi"/>
          <w:sz w:val="20"/>
          <w:szCs w:val="20"/>
        </w:rPr>
        <w:t>11,</w:t>
      </w:r>
      <w:r w:rsidRPr="00F72A65">
        <w:rPr>
          <w:rFonts w:cstheme="minorHAnsi"/>
          <w:spacing w:val="12"/>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w w:val="142"/>
          <w:sz w:val="20"/>
          <w:szCs w:val="20"/>
        </w:rPr>
        <w:t>+</w:t>
      </w:r>
      <w:r w:rsidRPr="00F72A65">
        <w:rPr>
          <w:rFonts w:cstheme="minorHAnsi"/>
          <w:spacing w:val="7"/>
          <w:sz w:val="20"/>
          <w:szCs w:val="20"/>
        </w:rPr>
        <w:t xml:space="preserve"> </w:t>
      </w:r>
      <w:r w:rsidRPr="00F72A65">
        <w:rPr>
          <w:rFonts w:cstheme="minorHAnsi"/>
          <w:sz w:val="20"/>
          <w:szCs w:val="20"/>
        </w:rPr>
        <w:t>declining</w:t>
      </w:r>
      <w:r w:rsidRPr="00F72A65">
        <w:rPr>
          <w:rFonts w:cstheme="minorHAnsi"/>
          <w:spacing w:val="12"/>
          <w:sz w:val="20"/>
          <w:szCs w:val="20"/>
        </w:rPr>
        <w:t xml:space="preserve"> </w:t>
      </w:r>
      <w:r w:rsidRPr="00F72A65">
        <w:rPr>
          <w:rFonts w:cstheme="minorHAnsi"/>
          <w:w w:val="142"/>
          <w:sz w:val="20"/>
          <w:szCs w:val="20"/>
        </w:rPr>
        <w:t xml:space="preserve">= </w:t>
      </w:r>
      <w:r w:rsidRPr="00F72A65">
        <w:rPr>
          <w:rFonts w:cstheme="minorHAnsi"/>
          <w:sz w:val="20"/>
          <w:szCs w:val="20"/>
        </w:rPr>
        <w:t xml:space="preserve">15; </w:t>
      </w:r>
      <w:r w:rsidRPr="00F72A65">
        <w:rPr>
          <w:rFonts w:cstheme="minorHAnsi"/>
          <w:spacing w:val="-19"/>
          <w:sz w:val="20"/>
          <w:szCs w:val="20"/>
        </w:rPr>
        <w:t xml:space="preserve"> </w:t>
      </w:r>
      <w:r w:rsidRPr="00F72A65">
        <w:rPr>
          <w:rFonts w:cstheme="minorHAnsi"/>
          <w:sz w:val="20"/>
          <w:szCs w:val="20"/>
        </w:rPr>
        <w:t xml:space="preserve">sample </w:t>
      </w:r>
      <w:r w:rsidRPr="00F72A65">
        <w:rPr>
          <w:rFonts w:cstheme="minorHAnsi"/>
          <w:spacing w:val="-19"/>
          <w:sz w:val="20"/>
          <w:szCs w:val="20"/>
        </w:rPr>
        <w:t xml:space="preserve"> </w:t>
      </w:r>
      <w:r w:rsidRPr="00F72A65">
        <w:rPr>
          <w:rFonts w:cstheme="minorHAnsi"/>
          <w:sz w:val="20"/>
          <w:szCs w:val="20"/>
        </w:rPr>
        <w:t xml:space="preserve">sizes </w:t>
      </w:r>
      <w:r w:rsidRPr="00F72A65">
        <w:rPr>
          <w:rFonts w:cstheme="minorHAnsi"/>
          <w:spacing w:val="-19"/>
          <w:sz w:val="20"/>
          <w:szCs w:val="20"/>
        </w:rPr>
        <w:t xml:space="preserve"> </w:t>
      </w:r>
      <w:r w:rsidRPr="00F72A65">
        <w:rPr>
          <w:rFonts w:cstheme="minorHAnsi"/>
          <w:sz w:val="20"/>
          <w:szCs w:val="20"/>
        </w:rPr>
        <w:t xml:space="preserve">at </w:t>
      </w:r>
      <w:r w:rsidRPr="00F72A65">
        <w:rPr>
          <w:rFonts w:cstheme="minorHAnsi"/>
          <w:spacing w:val="-19"/>
          <w:sz w:val="20"/>
          <w:szCs w:val="20"/>
        </w:rPr>
        <w:t xml:space="preserve"> </w:t>
      </w:r>
      <w:r w:rsidRPr="00F72A65">
        <w:rPr>
          <w:rFonts w:cstheme="minorHAnsi"/>
          <w:sz w:val="20"/>
          <w:szCs w:val="20"/>
        </w:rPr>
        <w:t xml:space="preserve">5 </w:t>
      </w:r>
      <w:r w:rsidRPr="00F72A65">
        <w:rPr>
          <w:rFonts w:cstheme="minorHAnsi"/>
          <w:spacing w:val="-19"/>
          <w:sz w:val="20"/>
          <w:szCs w:val="20"/>
        </w:rPr>
        <w:t xml:space="preserve"> </w:t>
      </w:r>
      <w:r w:rsidRPr="00F72A65">
        <w:rPr>
          <w:rFonts w:cstheme="minorHAnsi"/>
          <w:sz w:val="20"/>
          <w:szCs w:val="20"/>
        </w:rPr>
        <w:t xml:space="preserve">years: </w:t>
      </w:r>
      <w:r w:rsidRPr="00F72A65">
        <w:rPr>
          <w:rFonts w:cstheme="minorHAnsi"/>
          <w:spacing w:val="-19"/>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spacing w:val="17"/>
          <w:w w:val="181"/>
          <w:sz w:val="20"/>
          <w:szCs w:val="20"/>
        </w:rPr>
        <w:t>-</w:t>
      </w:r>
      <w:r w:rsidRPr="00F72A65">
        <w:rPr>
          <w:rFonts w:cstheme="minorHAnsi"/>
          <w:sz w:val="20"/>
          <w:szCs w:val="20"/>
        </w:rPr>
        <w:t xml:space="preserve"> </w:t>
      </w:r>
      <w:r w:rsidRPr="00F72A65">
        <w:rPr>
          <w:rFonts w:cstheme="minorHAnsi"/>
          <w:w w:val="181"/>
          <w:sz w:val="20"/>
          <w:szCs w:val="20"/>
        </w:rPr>
        <w:t>=</w:t>
      </w:r>
      <w:r w:rsidRPr="00F72A65">
        <w:rPr>
          <w:rFonts w:cstheme="minorHAnsi"/>
          <w:spacing w:val="17"/>
          <w:sz w:val="20"/>
          <w:szCs w:val="20"/>
        </w:rPr>
        <w:t xml:space="preserve"> </w:t>
      </w:r>
      <w:r w:rsidRPr="00F72A65">
        <w:rPr>
          <w:rFonts w:cstheme="minorHAnsi"/>
          <w:sz w:val="20"/>
          <w:szCs w:val="20"/>
        </w:rPr>
        <w:t xml:space="preserve">20, </w:t>
      </w:r>
      <w:r w:rsidRPr="00F72A65">
        <w:rPr>
          <w:rFonts w:cstheme="minorHAnsi"/>
          <w:spacing w:val="-19"/>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w w:val="142"/>
          <w:sz w:val="20"/>
          <w:szCs w:val="20"/>
        </w:rPr>
        <w:t>+</w:t>
      </w:r>
      <w:r w:rsidRPr="00F72A65">
        <w:rPr>
          <w:rFonts w:cstheme="minorHAnsi"/>
          <w:spacing w:val="17"/>
          <w:sz w:val="20"/>
          <w:szCs w:val="20"/>
        </w:rPr>
        <w:t xml:space="preserve"> </w:t>
      </w:r>
      <w:r w:rsidRPr="00F72A65">
        <w:rPr>
          <w:rFonts w:cstheme="minorHAnsi"/>
          <w:sz w:val="20"/>
          <w:szCs w:val="20"/>
        </w:rPr>
        <w:t xml:space="preserve">stable </w:t>
      </w:r>
      <w:r w:rsidRPr="00F72A65">
        <w:rPr>
          <w:rFonts w:cstheme="minorHAnsi"/>
          <w:spacing w:val="-19"/>
          <w:sz w:val="20"/>
          <w:szCs w:val="20"/>
        </w:rPr>
        <w:t xml:space="preserve"> </w:t>
      </w:r>
      <w:r w:rsidRPr="00F72A65">
        <w:rPr>
          <w:rFonts w:cstheme="minorHAnsi"/>
          <w:w w:val="142"/>
          <w:sz w:val="20"/>
          <w:szCs w:val="20"/>
        </w:rPr>
        <w:t>=</w:t>
      </w:r>
      <w:r w:rsidRPr="00F72A65">
        <w:rPr>
          <w:rFonts w:cstheme="minorHAnsi"/>
          <w:spacing w:val="17"/>
          <w:sz w:val="20"/>
          <w:szCs w:val="20"/>
        </w:rPr>
        <w:t xml:space="preserve"> </w:t>
      </w:r>
      <w:r w:rsidRPr="00F72A65">
        <w:rPr>
          <w:rFonts w:cstheme="minorHAnsi"/>
          <w:sz w:val="20"/>
          <w:szCs w:val="20"/>
        </w:rPr>
        <w:t xml:space="preserve">9, </w:t>
      </w:r>
      <w:r w:rsidRPr="00F72A65">
        <w:rPr>
          <w:rFonts w:cstheme="minorHAnsi"/>
          <w:spacing w:val="-19"/>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w w:val="142"/>
          <w:sz w:val="20"/>
          <w:szCs w:val="20"/>
        </w:rPr>
        <w:t>+</w:t>
      </w:r>
      <w:r w:rsidRPr="00F72A65">
        <w:rPr>
          <w:rFonts w:cstheme="minorHAnsi"/>
          <w:spacing w:val="17"/>
          <w:sz w:val="20"/>
          <w:szCs w:val="20"/>
        </w:rPr>
        <w:t xml:space="preserve"> </w:t>
      </w:r>
      <w:r w:rsidRPr="00F72A65">
        <w:rPr>
          <w:rFonts w:cstheme="minorHAnsi"/>
          <w:sz w:val="20"/>
          <w:szCs w:val="20"/>
        </w:rPr>
        <w:t xml:space="preserve">declining </w:t>
      </w:r>
      <w:r w:rsidRPr="00F72A65">
        <w:rPr>
          <w:rFonts w:cstheme="minorHAnsi"/>
          <w:spacing w:val="-19"/>
          <w:sz w:val="20"/>
          <w:szCs w:val="20"/>
        </w:rPr>
        <w:t xml:space="preserve"> </w:t>
      </w:r>
      <w:r w:rsidRPr="00F72A65">
        <w:rPr>
          <w:rFonts w:cstheme="minorHAnsi"/>
          <w:w w:val="142"/>
          <w:sz w:val="20"/>
          <w:szCs w:val="20"/>
        </w:rPr>
        <w:t>=</w:t>
      </w:r>
      <w:r w:rsidRPr="00F72A65">
        <w:rPr>
          <w:rFonts w:cstheme="minorHAnsi"/>
          <w:spacing w:val="17"/>
          <w:sz w:val="20"/>
          <w:szCs w:val="20"/>
        </w:rPr>
        <w:t xml:space="preserve"> </w:t>
      </w:r>
      <w:r w:rsidRPr="00F72A65">
        <w:rPr>
          <w:rFonts w:cstheme="minorHAnsi"/>
          <w:sz w:val="20"/>
          <w:szCs w:val="20"/>
        </w:rPr>
        <w:t xml:space="preserve">13. </w:t>
      </w:r>
      <w:r w:rsidRPr="00F72A65">
        <w:rPr>
          <w:rFonts w:cstheme="minorHAnsi"/>
          <w:spacing w:val="-19"/>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spacing w:val="17"/>
          <w:w w:val="181"/>
          <w:sz w:val="20"/>
          <w:szCs w:val="20"/>
        </w:rPr>
        <w:t>-</w:t>
      </w:r>
      <w:r w:rsidRPr="00F72A65">
        <w:rPr>
          <w:rFonts w:cstheme="minorHAnsi"/>
          <w:sz w:val="20"/>
          <w:szCs w:val="20"/>
        </w:rPr>
        <w:t xml:space="preserve"> </w:t>
      </w:r>
      <w:r w:rsidRPr="00F72A65">
        <w:rPr>
          <w:rFonts w:cstheme="minorHAnsi"/>
          <w:w w:val="181"/>
          <w:sz w:val="20"/>
          <w:szCs w:val="20"/>
        </w:rPr>
        <w:t>=</w:t>
      </w:r>
      <w:r w:rsidRPr="00F72A65">
        <w:rPr>
          <w:rFonts w:cstheme="minorHAnsi"/>
          <w:spacing w:val="17"/>
          <w:sz w:val="20"/>
          <w:szCs w:val="20"/>
        </w:rPr>
        <w:t xml:space="preserve"> </w:t>
      </w:r>
      <w:r w:rsidRPr="00F72A65">
        <w:rPr>
          <w:rFonts w:cstheme="minorHAnsi"/>
          <w:w w:val="66"/>
          <w:sz w:val="20"/>
          <w:szCs w:val="20"/>
        </w:rPr>
        <w:t>E</w:t>
      </w:r>
      <w:proofErr w:type="gramStart"/>
      <w:r w:rsidRPr="00F72A65">
        <w:rPr>
          <w:rFonts w:cstheme="minorHAnsi"/>
          <w:sz w:val="20"/>
          <w:szCs w:val="20"/>
        </w:rPr>
        <w:t xml:space="preserve">4 </w:t>
      </w:r>
      <w:r w:rsidRPr="00F72A65">
        <w:rPr>
          <w:rFonts w:cstheme="minorHAnsi"/>
          <w:spacing w:val="-19"/>
          <w:sz w:val="20"/>
          <w:szCs w:val="20"/>
        </w:rPr>
        <w:t xml:space="preserve"> </w:t>
      </w:r>
      <w:r w:rsidRPr="00F72A65">
        <w:rPr>
          <w:rFonts w:cstheme="minorHAnsi"/>
          <w:sz w:val="20"/>
          <w:szCs w:val="20"/>
        </w:rPr>
        <w:t>noncarriers</w:t>
      </w:r>
      <w:proofErr w:type="gramEnd"/>
      <w:r w:rsidRPr="00F72A65">
        <w:rPr>
          <w:rFonts w:cstheme="minorHAnsi"/>
          <w:sz w:val="20"/>
          <w:szCs w:val="20"/>
        </w:rPr>
        <w:t xml:space="preserve">; </w:t>
      </w:r>
      <w:r w:rsidRPr="00F72A65">
        <w:rPr>
          <w:rFonts w:cstheme="minorHAnsi"/>
          <w:spacing w:val="-19"/>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w w:val="142"/>
          <w:sz w:val="20"/>
          <w:szCs w:val="20"/>
        </w:rPr>
        <w:t xml:space="preserve">+ </w:t>
      </w:r>
      <w:r w:rsidRPr="00F72A65">
        <w:rPr>
          <w:rFonts w:cstheme="minorHAnsi"/>
          <w:sz w:val="20"/>
          <w:szCs w:val="20"/>
        </w:rPr>
        <w:t>stable</w:t>
      </w:r>
      <w:r w:rsidRPr="00F72A65">
        <w:rPr>
          <w:rFonts w:cstheme="minorHAnsi"/>
          <w:spacing w:val="1"/>
          <w:sz w:val="20"/>
          <w:szCs w:val="20"/>
        </w:rPr>
        <w:t xml:space="preserve"> </w:t>
      </w:r>
      <w:r w:rsidRPr="00F72A65">
        <w:rPr>
          <w:rFonts w:cstheme="minorHAnsi"/>
          <w:w w:val="142"/>
          <w:sz w:val="20"/>
          <w:szCs w:val="20"/>
        </w:rPr>
        <w:t>=</w:t>
      </w:r>
      <w:r w:rsidRPr="00F72A65">
        <w:rPr>
          <w:rFonts w:cstheme="minorHAnsi"/>
          <w:spacing w:val="-3"/>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spacing w:val="1"/>
          <w:sz w:val="20"/>
          <w:szCs w:val="20"/>
        </w:rPr>
        <w:t xml:space="preserve"> </w:t>
      </w:r>
      <w:r w:rsidRPr="00F72A65">
        <w:rPr>
          <w:rFonts w:cstheme="minorHAnsi"/>
          <w:sz w:val="20"/>
          <w:szCs w:val="20"/>
        </w:rPr>
        <w:t>carriers</w:t>
      </w:r>
      <w:r w:rsidRPr="00F72A65">
        <w:rPr>
          <w:rFonts w:cstheme="minorHAnsi"/>
          <w:spacing w:val="1"/>
          <w:sz w:val="20"/>
          <w:szCs w:val="20"/>
        </w:rPr>
        <w:t xml:space="preserve"> </w:t>
      </w:r>
      <w:r w:rsidRPr="00F72A65">
        <w:rPr>
          <w:rFonts w:cstheme="minorHAnsi"/>
          <w:sz w:val="20"/>
          <w:szCs w:val="20"/>
        </w:rPr>
        <w:t>who</w:t>
      </w:r>
      <w:r w:rsidRPr="00F72A65">
        <w:rPr>
          <w:rFonts w:cstheme="minorHAnsi"/>
          <w:spacing w:val="1"/>
          <w:sz w:val="20"/>
          <w:szCs w:val="20"/>
        </w:rPr>
        <w:t xml:space="preserve"> </w:t>
      </w:r>
      <w:r w:rsidRPr="00F72A65">
        <w:rPr>
          <w:rFonts w:cstheme="minorHAnsi"/>
          <w:sz w:val="20"/>
          <w:szCs w:val="20"/>
        </w:rPr>
        <w:t>remained</w:t>
      </w:r>
      <w:r w:rsidRPr="00F72A65">
        <w:rPr>
          <w:rFonts w:cstheme="minorHAnsi"/>
          <w:spacing w:val="1"/>
          <w:sz w:val="20"/>
          <w:szCs w:val="20"/>
        </w:rPr>
        <w:t xml:space="preserve"> </w:t>
      </w:r>
      <w:r w:rsidRPr="00F72A65">
        <w:rPr>
          <w:rFonts w:cstheme="minorHAnsi"/>
          <w:sz w:val="20"/>
          <w:szCs w:val="20"/>
        </w:rPr>
        <w:t>cognitively</w:t>
      </w:r>
      <w:r w:rsidRPr="00F72A65">
        <w:rPr>
          <w:rFonts w:cstheme="minorHAnsi"/>
          <w:spacing w:val="1"/>
          <w:sz w:val="20"/>
          <w:szCs w:val="20"/>
        </w:rPr>
        <w:t xml:space="preserve"> </w:t>
      </w:r>
      <w:r w:rsidRPr="00F72A65">
        <w:rPr>
          <w:rFonts w:cstheme="minorHAnsi"/>
          <w:sz w:val="20"/>
          <w:szCs w:val="20"/>
        </w:rPr>
        <w:t>stable</w:t>
      </w:r>
      <w:r w:rsidRPr="00F72A65">
        <w:rPr>
          <w:rFonts w:cstheme="minorHAnsi"/>
          <w:spacing w:val="1"/>
          <w:sz w:val="20"/>
          <w:szCs w:val="20"/>
        </w:rPr>
        <w:t xml:space="preserve"> </w:t>
      </w:r>
      <w:r w:rsidRPr="00F72A65">
        <w:rPr>
          <w:rFonts w:cstheme="minorHAnsi"/>
          <w:sz w:val="20"/>
          <w:szCs w:val="20"/>
        </w:rPr>
        <w:t>over</w:t>
      </w:r>
      <w:r w:rsidRPr="00F72A65">
        <w:rPr>
          <w:rFonts w:cstheme="minorHAnsi"/>
          <w:spacing w:val="1"/>
          <w:sz w:val="20"/>
          <w:szCs w:val="20"/>
        </w:rPr>
        <w:t xml:space="preserve"> </w:t>
      </w:r>
      <w:r w:rsidRPr="00F72A65">
        <w:rPr>
          <w:rFonts w:cstheme="minorHAnsi"/>
          <w:sz w:val="20"/>
          <w:szCs w:val="20"/>
        </w:rPr>
        <w:t>5</w:t>
      </w:r>
      <w:r w:rsidRPr="00F72A65">
        <w:rPr>
          <w:rFonts w:cstheme="minorHAnsi"/>
          <w:spacing w:val="1"/>
          <w:sz w:val="20"/>
          <w:szCs w:val="20"/>
        </w:rPr>
        <w:t xml:space="preserve"> </w:t>
      </w:r>
      <w:r w:rsidRPr="00F72A65">
        <w:rPr>
          <w:rFonts w:cstheme="minorHAnsi"/>
          <w:sz w:val="20"/>
          <w:szCs w:val="20"/>
        </w:rPr>
        <w:t>years;</w:t>
      </w:r>
      <w:r w:rsidRPr="00F72A65">
        <w:rPr>
          <w:rFonts w:cstheme="minorHAnsi"/>
          <w:spacing w:val="1"/>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w w:val="142"/>
          <w:sz w:val="20"/>
          <w:szCs w:val="20"/>
        </w:rPr>
        <w:t>+</w:t>
      </w:r>
      <w:r w:rsidRPr="00F72A65">
        <w:rPr>
          <w:rFonts w:cstheme="minorHAnsi"/>
          <w:spacing w:val="-3"/>
          <w:sz w:val="20"/>
          <w:szCs w:val="20"/>
        </w:rPr>
        <w:t xml:space="preserve"> </w:t>
      </w:r>
      <w:r w:rsidRPr="00F72A65">
        <w:rPr>
          <w:rFonts w:cstheme="minorHAnsi"/>
          <w:sz w:val="20"/>
          <w:szCs w:val="20"/>
        </w:rPr>
        <w:t>declining</w:t>
      </w:r>
      <w:r w:rsidRPr="00F72A65">
        <w:rPr>
          <w:rFonts w:cstheme="minorHAnsi"/>
          <w:spacing w:val="1"/>
          <w:sz w:val="20"/>
          <w:szCs w:val="20"/>
        </w:rPr>
        <w:t xml:space="preserve"> </w:t>
      </w:r>
      <w:r w:rsidRPr="00F72A65">
        <w:rPr>
          <w:rFonts w:cstheme="minorHAnsi"/>
          <w:w w:val="142"/>
          <w:sz w:val="20"/>
          <w:szCs w:val="20"/>
        </w:rPr>
        <w:t>=</w:t>
      </w:r>
      <w:r w:rsidRPr="00F72A65">
        <w:rPr>
          <w:rFonts w:cstheme="minorHAnsi"/>
          <w:spacing w:val="-3"/>
          <w:sz w:val="20"/>
          <w:szCs w:val="20"/>
        </w:rPr>
        <w:t xml:space="preserve"> </w:t>
      </w:r>
      <w:r w:rsidRPr="00F72A65">
        <w:rPr>
          <w:rFonts w:cstheme="minorHAnsi"/>
          <w:w w:val="66"/>
          <w:sz w:val="20"/>
          <w:szCs w:val="20"/>
        </w:rPr>
        <w:t>E</w:t>
      </w:r>
      <w:r w:rsidRPr="00F72A65">
        <w:rPr>
          <w:rFonts w:cstheme="minorHAnsi"/>
          <w:sz w:val="20"/>
          <w:szCs w:val="20"/>
        </w:rPr>
        <w:t>4</w:t>
      </w:r>
      <w:r w:rsidRPr="00F72A65">
        <w:rPr>
          <w:rFonts w:cstheme="minorHAnsi"/>
          <w:spacing w:val="1"/>
          <w:sz w:val="20"/>
          <w:szCs w:val="20"/>
        </w:rPr>
        <w:t xml:space="preserve"> </w:t>
      </w:r>
      <w:r w:rsidRPr="00F72A65">
        <w:rPr>
          <w:rFonts w:cstheme="minorHAnsi"/>
          <w:sz w:val="20"/>
          <w:szCs w:val="20"/>
        </w:rPr>
        <w:t>carriers</w:t>
      </w:r>
      <w:r w:rsidRPr="00F72A65">
        <w:rPr>
          <w:rFonts w:cstheme="minorHAnsi"/>
          <w:spacing w:val="1"/>
          <w:sz w:val="20"/>
          <w:szCs w:val="20"/>
        </w:rPr>
        <w:t xml:space="preserve"> </w:t>
      </w:r>
      <w:r w:rsidRPr="00F72A65">
        <w:rPr>
          <w:rFonts w:cstheme="minorHAnsi"/>
          <w:sz w:val="20"/>
          <w:szCs w:val="20"/>
        </w:rPr>
        <w:t>who</w:t>
      </w:r>
      <w:r w:rsidRPr="00F72A65">
        <w:rPr>
          <w:rFonts w:cstheme="minorHAnsi"/>
          <w:spacing w:val="1"/>
          <w:sz w:val="20"/>
          <w:szCs w:val="20"/>
        </w:rPr>
        <w:t xml:space="preserve"> </w:t>
      </w:r>
      <w:r w:rsidRPr="00F72A65">
        <w:rPr>
          <w:rFonts w:cstheme="minorHAnsi"/>
          <w:sz w:val="20"/>
          <w:szCs w:val="20"/>
        </w:rPr>
        <w:t>cognitively declined</w:t>
      </w:r>
      <w:r w:rsidRPr="00F72A65">
        <w:rPr>
          <w:rFonts w:cstheme="minorHAnsi"/>
          <w:spacing w:val="11"/>
          <w:sz w:val="20"/>
          <w:szCs w:val="20"/>
        </w:rPr>
        <w:t xml:space="preserve"> </w:t>
      </w:r>
      <w:r w:rsidRPr="00F72A65">
        <w:rPr>
          <w:rFonts w:cstheme="minorHAnsi"/>
          <w:sz w:val="20"/>
          <w:szCs w:val="20"/>
        </w:rPr>
        <w:t>over</w:t>
      </w:r>
      <w:r w:rsidRPr="00F72A65">
        <w:rPr>
          <w:rFonts w:cstheme="minorHAnsi"/>
          <w:spacing w:val="11"/>
          <w:sz w:val="20"/>
          <w:szCs w:val="20"/>
        </w:rPr>
        <w:t xml:space="preserve"> </w:t>
      </w:r>
      <w:r w:rsidRPr="00F72A65">
        <w:rPr>
          <w:rFonts w:cstheme="minorHAnsi"/>
          <w:sz w:val="20"/>
          <w:szCs w:val="20"/>
        </w:rPr>
        <w:t>5</w:t>
      </w:r>
      <w:r w:rsidRPr="00F72A65">
        <w:rPr>
          <w:rFonts w:cstheme="minorHAnsi"/>
          <w:spacing w:val="11"/>
          <w:sz w:val="20"/>
          <w:szCs w:val="20"/>
        </w:rPr>
        <w:t xml:space="preserve"> </w:t>
      </w:r>
      <w:r w:rsidRPr="00F72A65">
        <w:rPr>
          <w:rFonts w:cstheme="minorHAnsi"/>
          <w:sz w:val="20"/>
          <w:szCs w:val="20"/>
        </w:rPr>
        <w:t>years.</w:t>
      </w:r>
      <w:r w:rsidRPr="00F72A65">
        <w:rPr>
          <w:rFonts w:cstheme="minorHAnsi"/>
          <w:spacing w:val="11"/>
          <w:sz w:val="20"/>
          <w:szCs w:val="20"/>
        </w:rPr>
        <w:t xml:space="preserve"> </w:t>
      </w:r>
      <w:r w:rsidRPr="00F72A65">
        <w:rPr>
          <w:rFonts w:cstheme="minorHAnsi"/>
          <w:w w:val="99"/>
          <w:sz w:val="20"/>
          <w:szCs w:val="20"/>
        </w:rPr>
        <w:t>MMSE</w:t>
      </w:r>
      <w:r w:rsidRPr="00F72A65">
        <w:rPr>
          <w:rFonts w:cstheme="minorHAnsi"/>
          <w:spacing w:val="11"/>
          <w:sz w:val="20"/>
          <w:szCs w:val="20"/>
        </w:rPr>
        <w:t xml:space="preserve"> </w:t>
      </w:r>
      <w:r w:rsidRPr="00F72A65">
        <w:rPr>
          <w:rFonts w:cstheme="minorHAnsi"/>
          <w:w w:val="142"/>
          <w:sz w:val="20"/>
          <w:szCs w:val="20"/>
        </w:rPr>
        <w:t>=</w:t>
      </w:r>
      <w:r w:rsidRPr="00F72A65">
        <w:rPr>
          <w:rFonts w:cstheme="minorHAnsi"/>
          <w:spacing w:val="6"/>
          <w:sz w:val="20"/>
          <w:szCs w:val="20"/>
        </w:rPr>
        <w:t xml:space="preserve"> </w:t>
      </w:r>
      <w:r w:rsidRPr="00F72A65">
        <w:rPr>
          <w:rFonts w:cstheme="minorHAnsi"/>
          <w:sz w:val="20"/>
          <w:szCs w:val="20"/>
        </w:rPr>
        <w:t>Mini</w:t>
      </w:r>
      <w:r w:rsidRPr="00F72A65">
        <w:rPr>
          <w:rFonts w:cstheme="minorHAnsi"/>
          <w:spacing w:val="11"/>
          <w:sz w:val="20"/>
          <w:szCs w:val="20"/>
        </w:rPr>
        <w:t xml:space="preserve"> </w:t>
      </w:r>
      <w:r w:rsidRPr="00F72A65">
        <w:rPr>
          <w:rFonts w:cstheme="minorHAnsi"/>
          <w:sz w:val="20"/>
          <w:szCs w:val="20"/>
        </w:rPr>
        <w:t>Mental</w:t>
      </w:r>
      <w:r w:rsidRPr="00F72A65">
        <w:rPr>
          <w:rFonts w:cstheme="minorHAnsi"/>
          <w:spacing w:val="11"/>
          <w:sz w:val="20"/>
          <w:szCs w:val="20"/>
        </w:rPr>
        <w:t xml:space="preserve"> </w:t>
      </w:r>
      <w:r w:rsidRPr="00F72A65">
        <w:rPr>
          <w:rFonts w:cstheme="minorHAnsi"/>
          <w:sz w:val="20"/>
          <w:szCs w:val="20"/>
        </w:rPr>
        <w:t>State</w:t>
      </w:r>
      <w:r w:rsidRPr="00F72A65">
        <w:rPr>
          <w:rFonts w:cstheme="minorHAnsi"/>
          <w:spacing w:val="11"/>
          <w:sz w:val="20"/>
          <w:szCs w:val="20"/>
        </w:rPr>
        <w:t xml:space="preserve"> </w:t>
      </w:r>
      <w:r w:rsidRPr="00F72A65">
        <w:rPr>
          <w:rFonts w:cstheme="minorHAnsi"/>
          <w:sz w:val="20"/>
          <w:szCs w:val="20"/>
        </w:rPr>
        <w:t>Exam;</w:t>
      </w:r>
      <w:r w:rsidRPr="00F72A65">
        <w:rPr>
          <w:rFonts w:cstheme="minorHAnsi"/>
          <w:spacing w:val="11"/>
          <w:sz w:val="20"/>
          <w:szCs w:val="20"/>
        </w:rPr>
        <w:t xml:space="preserve"> </w:t>
      </w:r>
      <w:r w:rsidRPr="00F72A65">
        <w:rPr>
          <w:rFonts w:cstheme="minorHAnsi"/>
          <w:w w:val="99"/>
          <w:sz w:val="20"/>
          <w:szCs w:val="20"/>
        </w:rPr>
        <w:t>DRS-2</w:t>
      </w:r>
      <w:r w:rsidRPr="00F72A65">
        <w:rPr>
          <w:rFonts w:cstheme="minorHAnsi"/>
          <w:spacing w:val="11"/>
          <w:sz w:val="20"/>
          <w:szCs w:val="20"/>
        </w:rPr>
        <w:t xml:space="preserve"> </w:t>
      </w:r>
      <w:r w:rsidRPr="00F72A65">
        <w:rPr>
          <w:rFonts w:cstheme="minorHAnsi"/>
          <w:w w:val="142"/>
          <w:sz w:val="20"/>
          <w:szCs w:val="20"/>
        </w:rPr>
        <w:t>=</w:t>
      </w:r>
      <w:r w:rsidRPr="00F72A65">
        <w:rPr>
          <w:rFonts w:cstheme="minorHAnsi"/>
          <w:spacing w:val="6"/>
          <w:sz w:val="20"/>
          <w:szCs w:val="20"/>
        </w:rPr>
        <w:t xml:space="preserve"> </w:t>
      </w:r>
      <w:r w:rsidRPr="00F72A65">
        <w:rPr>
          <w:rFonts w:cstheme="minorHAnsi"/>
          <w:sz w:val="20"/>
          <w:szCs w:val="20"/>
        </w:rPr>
        <w:t>Dementia</w:t>
      </w:r>
      <w:r w:rsidRPr="00F72A65">
        <w:rPr>
          <w:rFonts w:cstheme="minorHAnsi"/>
          <w:spacing w:val="11"/>
          <w:sz w:val="20"/>
          <w:szCs w:val="20"/>
        </w:rPr>
        <w:t xml:space="preserve"> </w:t>
      </w:r>
      <w:r w:rsidRPr="00F72A65">
        <w:rPr>
          <w:rFonts w:cstheme="minorHAnsi"/>
          <w:sz w:val="20"/>
          <w:szCs w:val="20"/>
        </w:rPr>
        <w:t>Rating</w:t>
      </w:r>
      <w:r w:rsidRPr="00F72A65">
        <w:rPr>
          <w:rFonts w:cstheme="minorHAnsi"/>
          <w:spacing w:val="11"/>
          <w:sz w:val="20"/>
          <w:szCs w:val="20"/>
        </w:rPr>
        <w:t xml:space="preserve"> </w:t>
      </w:r>
      <w:r w:rsidRPr="00F72A65">
        <w:rPr>
          <w:rFonts w:cstheme="minorHAnsi"/>
          <w:sz w:val="20"/>
          <w:szCs w:val="20"/>
        </w:rPr>
        <w:t>Scale–Second</w:t>
      </w:r>
      <w:r w:rsidRPr="00F72A65">
        <w:rPr>
          <w:rFonts w:cstheme="minorHAnsi"/>
          <w:spacing w:val="11"/>
          <w:sz w:val="20"/>
          <w:szCs w:val="20"/>
        </w:rPr>
        <w:t xml:space="preserve"> </w:t>
      </w:r>
      <w:r w:rsidRPr="00F72A65">
        <w:rPr>
          <w:rFonts w:cstheme="minorHAnsi"/>
          <w:spacing w:val="-2"/>
          <w:sz w:val="20"/>
          <w:szCs w:val="20"/>
        </w:rPr>
        <w:t>Edition;</w:t>
      </w:r>
      <w:r w:rsidRPr="00F72A65">
        <w:rPr>
          <w:rFonts w:cstheme="minorHAnsi"/>
          <w:sz w:val="20"/>
          <w:szCs w:val="20"/>
        </w:rPr>
        <w:t xml:space="preserve"> RAVLT</w:t>
      </w:r>
      <w:r w:rsidRPr="00F72A65">
        <w:rPr>
          <w:rFonts w:cstheme="minorHAnsi"/>
          <w:spacing w:val="13"/>
          <w:sz w:val="20"/>
          <w:szCs w:val="20"/>
        </w:rPr>
        <w:t xml:space="preserve"> </w:t>
      </w:r>
      <w:r w:rsidRPr="00F72A65">
        <w:rPr>
          <w:rFonts w:cstheme="minorHAnsi"/>
          <w:w w:val="142"/>
          <w:sz w:val="20"/>
          <w:szCs w:val="20"/>
        </w:rPr>
        <w:t>=</w:t>
      </w:r>
      <w:r w:rsidRPr="00F72A65">
        <w:rPr>
          <w:rFonts w:cstheme="minorHAnsi"/>
          <w:spacing w:val="8"/>
          <w:sz w:val="20"/>
          <w:szCs w:val="20"/>
        </w:rPr>
        <w:t xml:space="preserve"> </w:t>
      </w:r>
      <w:r w:rsidRPr="00F72A65">
        <w:rPr>
          <w:rFonts w:cstheme="minorHAnsi"/>
          <w:sz w:val="20"/>
          <w:szCs w:val="20"/>
        </w:rPr>
        <w:t>Rey</w:t>
      </w:r>
      <w:r w:rsidRPr="00F72A65">
        <w:rPr>
          <w:rFonts w:cstheme="minorHAnsi"/>
          <w:spacing w:val="13"/>
          <w:sz w:val="20"/>
          <w:szCs w:val="20"/>
        </w:rPr>
        <w:t xml:space="preserve"> </w:t>
      </w:r>
      <w:r w:rsidRPr="00F72A65">
        <w:rPr>
          <w:rFonts w:cstheme="minorHAnsi"/>
          <w:sz w:val="20"/>
          <w:szCs w:val="20"/>
        </w:rPr>
        <w:t>Auditory</w:t>
      </w:r>
      <w:r w:rsidRPr="00F72A65">
        <w:rPr>
          <w:rFonts w:cstheme="minorHAnsi"/>
          <w:spacing w:val="13"/>
          <w:sz w:val="20"/>
          <w:szCs w:val="20"/>
        </w:rPr>
        <w:t xml:space="preserve"> </w:t>
      </w:r>
      <w:r w:rsidRPr="00F72A65">
        <w:rPr>
          <w:rFonts w:cstheme="minorHAnsi"/>
          <w:sz w:val="20"/>
          <w:szCs w:val="20"/>
        </w:rPr>
        <w:t>Verbal</w:t>
      </w:r>
      <w:r w:rsidRPr="00F72A65">
        <w:rPr>
          <w:rFonts w:cstheme="minorHAnsi"/>
          <w:spacing w:val="13"/>
          <w:sz w:val="20"/>
          <w:szCs w:val="20"/>
        </w:rPr>
        <w:t xml:space="preserve"> </w:t>
      </w:r>
      <w:r w:rsidRPr="00F72A65">
        <w:rPr>
          <w:rFonts w:cstheme="minorHAnsi"/>
          <w:sz w:val="20"/>
          <w:szCs w:val="20"/>
        </w:rPr>
        <w:t>Learning</w:t>
      </w:r>
      <w:r w:rsidRPr="00F72A65">
        <w:rPr>
          <w:rFonts w:cstheme="minorHAnsi"/>
          <w:spacing w:val="13"/>
          <w:sz w:val="20"/>
          <w:szCs w:val="20"/>
        </w:rPr>
        <w:t xml:space="preserve"> </w:t>
      </w:r>
      <w:r w:rsidRPr="00F72A65">
        <w:rPr>
          <w:rFonts w:cstheme="minorHAnsi"/>
          <w:sz w:val="20"/>
          <w:szCs w:val="20"/>
        </w:rPr>
        <w:t>Test;</w:t>
      </w:r>
      <w:r w:rsidRPr="00F72A65">
        <w:rPr>
          <w:rFonts w:cstheme="minorHAnsi"/>
          <w:spacing w:val="13"/>
          <w:sz w:val="20"/>
          <w:szCs w:val="20"/>
        </w:rPr>
        <w:t xml:space="preserve"> </w:t>
      </w:r>
      <w:r w:rsidRPr="00F72A65">
        <w:rPr>
          <w:rFonts w:cstheme="minorHAnsi"/>
          <w:w w:val="99"/>
          <w:sz w:val="20"/>
          <w:szCs w:val="20"/>
        </w:rPr>
        <w:t>DR</w:t>
      </w:r>
      <w:r w:rsidRPr="00F72A65">
        <w:rPr>
          <w:rFonts w:cstheme="minorHAnsi"/>
          <w:spacing w:val="13"/>
          <w:sz w:val="20"/>
          <w:szCs w:val="20"/>
        </w:rPr>
        <w:t xml:space="preserve"> </w:t>
      </w:r>
      <w:r w:rsidRPr="00F72A65">
        <w:rPr>
          <w:rFonts w:cstheme="minorHAnsi"/>
          <w:w w:val="142"/>
          <w:sz w:val="20"/>
          <w:szCs w:val="20"/>
        </w:rPr>
        <w:t>=</w:t>
      </w:r>
      <w:r w:rsidRPr="00F72A65">
        <w:rPr>
          <w:rFonts w:cstheme="minorHAnsi"/>
          <w:spacing w:val="8"/>
          <w:sz w:val="20"/>
          <w:szCs w:val="20"/>
        </w:rPr>
        <w:t xml:space="preserve"> </w:t>
      </w:r>
      <w:r w:rsidRPr="00F72A65">
        <w:rPr>
          <w:rFonts w:cstheme="minorHAnsi"/>
          <w:sz w:val="20"/>
          <w:szCs w:val="20"/>
        </w:rPr>
        <w:t>Delayed</w:t>
      </w:r>
      <w:r w:rsidRPr="00F72A65">
        <w:rPr>
          <w:rFonts w:cstheme="minorHAnsi"/>
          <w:spacing w:val="13"/>
          <w:sz w:val="20"/>
          <w:szCs w:val="20"/>
        </w:rPr>
        <w:t xml:space="preserve"> </w:t>
      </w:r>
      <w:r w:rsidRPr="00F72A65">
        <w:rPr>
          <w:rFonts w:cstheme="minorHAnsi"/>
          <w:sz w:val="20"/>
          <w:szCs w:val="20"/>
        </w:rPr>
        <w:t>Recall.</w:t>
      </w:r>
    </w:p>
    <w:p w14:paraId="2F59A050" w14:textId="77777777" w:rsidR="00AA24F6" w:rsidRPr="00F72A65" w:rsidRDefault="00AA24F6"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9DFF562" w14:textId="0B55CC3F" w:rsidR="003A0A2B"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There were no significant group differences in the number of months between T1 and T2 (ε4−: 18.5 months, </w:t>
      </w:r>
      <w:r w:rsidRPr="00F72A65">
        <w:rPr>
          <w:rStyle w:val="Emphasis"/>
          <w:rFonts w:asciiTheme="minorHAnsi" w:eastAsiaTheme="majorEastAsia" w:hAnsiTheme="minorHAnsi" w:cstheme="minorHAnsi"/>
          <w:color w:val="333333"/>
          <w:sz w:val="20"/>
          <w:szCs w:val="20"/>
          <w:bdr w:val="none" w:sz="0" w:space="0" w:color="auto" w:frame="1"/>
        </w:rPr>
        <w:t>SD</w:t>
      </w:r>
      <w:r w:rsidRPr="00F72A65">
        <w:rPr>
          <w:rFonts w:asciiTheme="minorHAnsi" w:hAnsiTheme="minorHAnsi" w:cstheme="minorHAnsi"/>
          <w:color w:val="333333"/>
          <w:sz w:val="20"/>
          <w:szCs w:val="20"/>
        </w:rPr>
        <w:t> = 1.7; ε4+ stable: 18.2 months, </w:t>
      </w:r>
      <w:r w:rsidRPr="00F72A65">
        <w:rPr>
          <w:rStyle w:val="Emphasis"/>
          <w:rFonts w:asciiTheme="minorHAnsi" w:eastAsiaTheme="majorEastAsia" w:hAnsiTheme="minorHAnsi" w:cstheme="minorHAnsi"/>
          <w:color w:val="333333"/>
          <w:sz w:val="20"/>
          <w:szCs w:val="20"/>
          <w:bdr w:val="none" w:sz="0" w:space="0" w:color="auto" w:frame="1"/>
        </w:rPr>
        <w:t>SD</w:t>
      </w:r>
      <w:r w:rsidRPr="00F72A65">
        <w:rPr>
          <w:rFonts w:asciiTheme="minorHAnsi" w:hAnsiTheme="minorHAnsi" w:cstheme="minorHAnsi"/>
          <w:color w:val="333333"/>
          <w:sz w:val="20"/>
          <w:szCs w:val="20"/>
        </w:rPr>
        <w:t> = 0.6; ε4+ declining: 18.3 months, </w:t>
      </w:r>
      <w:r w:rsidRPr="00F72A65">
        <w:rPr>
          <w:rStyle w:val="Emphasis"/>
          <w:rFonts w:asciiTheme="minorHAnsi" w:eastAsiaTheme="majorEastAsia" w:hAnsiTheme="minorHAnsi" w:cstheme="minorHAnsi"/>
          <w:color w:val="333333"/>
          <w:sz w:val="20"/>
          <w:szCs w:val="20"/>
          <w:bdr w:val="none" w:sz="0" w:space="0" w:color="auto" w:frame="1"/>
        </w:rPr>
        <w:t>SD</w:t>
      </w:r>
      <w:r w:rsidRPr="00F72A65">
        <w:rPr>
          <w:rFonts w:asciiTheme="minorHAnsi" w:hAnsiTheme="minorHAnsi" w:cstheme="minorHAnsi"/>
          <w:color w:val="333333"/>
          <w:sz w:val="20"/>
          <w:szCs w:val="20"/>
        </w:rPr>
        <w:t> = 0.8; </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rPr>
        <w:t> = .761, η</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bdr w:val="none" w:sz="0" w:space="0" w:color="auto" w:frame="1"/>
          <w:vertAlign w:val="superscript"/>
        </w:rPr>
        <w:t>2</w:t>
      </w:r>
      <w:r w:rsidRPr="00F72A65">
        <w:rPr>
          <w:rFonts w:asciiTheme="minorHAnsi" w:hAnsiTheme="minorHAnsi" w:cstheme="minorHAnsi"/>
          <w:color w:val="333333"/>
          <w:sz w:val="20"/>
          <w:szCs w:val="20"/>
        </w:rPr>
        <w:t> = 0.012; 95% CIs [18.0, 19.1], [17.4, 19.0], and [17.7, 19.0]) or between T1 and T3 (ε4−: 59.0 months, </w:t>
      </w:r>
      <w:r w:rsidRPr="00F72A65">
        <w:rPr>
          <w:rStyle w:val="Emphasis"/>
          <w:rFonts w:asciiTheme="minorHAnsi" w:eastAsiaTheme="majorEastAsia" w:hAnsiTheme="minorHAnsi" w:cstheme="minorHAnsi"/>
          <w:color w:val="333333"/>
          <w:sz w:val="20"/>
          <w:szCs w:val="20"/>
          <w:bdr w:val="none" w:sz="0" w:space="0" w:color="auto" w:frame="1"/>
        </w:rPr>
        <w:t>SD</w:t>
      </w:r>
      <w:r w:rsidRPr="00F72A65">
        <w:rPr>
          <w:rFonts w:asciiTheme="minorHAnsi" w:hAnsiTheme="minorHAnsi" w:cstheme="minorHAnsi"/>
          <w:color w:val="333333"/>
          <w:sz w:val="20"/>
          <w:szCs w:val="20"/>
        </w:rPr>
        <w:t> = 2.6; ε4+ stable: 58.2 months, </w:t>
      </w:r>
      <w:r w:rsidRPr="00F72A65">
        <w:rPr>
          <w:rStyle w:val="Emphasis"/>
          <w:rFonts w:asciiTheme="minorHAnsi" w:eastAsiaTheme="majorEastAsia" w:hAnsiTheme="minorHAnsi" w:cstheme="minorHAnsi"/>
          <w:color w:val="333333"/>
          <w:sz w:val="20"/>
          <w:szCs w:val="20"/>
          <w:bdr w:val="none" w:sz="0" w:space="0" w:color="auto" w:frame="1"/>
        </w:rPr>
        <w:t>SD</w:t>
      </w:r>
      <w:r w:rsidRPr="00F72A65">
        <w:rPr>
          <w:rFonts w:asciiTheme="minorHAnsi" w:hAnsiTheme="minorHAnsi" w:cstheme="minorHAnsi"/>
          <w:color w:val="333333"/>
          <w:sz w:val="20"/>
          <w:szCs w:val="20"/>
        </w:rPr>
        <w:t> = 4.5; ε4+ declining: 56.8 months, </w:t>
      </w:r>
      <w:r w:rsidRPr="00F72A65">
        <w:rPr>
          <w:rStyle w:val="Emphasis"/>
          <w:rFonts w:asciiTheme="minorHAnsi" w:eastAsiaTheme="majorEastAsia" w:hAnsiTheme="minorHAnsi" w:cstheme="minorHAnsi"/>
          <w:color w:val="333333"/>
          <w:sz w:val="20"/>
          <w:szCs w:val="20"/>
          <w:bdr w:val="none" w:sz="0" w:space="0" w:color="auto" w:frame="1"/>
        </w:rPr>
        <w:t>SD</w:t>
      </w:r>
      <w:r w:rsidRPr="00F72A65">
        <w:rPr>
          <w:rFonts w:asciiTheme="minorHAnsi" w:hAnsiTheme="minorHAnsi" w:cstheme="minorHAnsi"/>
          <w:color w:val="333333"/>
          <w:sz w:val="20"/>
          <w:szCs w:val="20"/>
        </w:rPr>
        <w:t> = 4.4; </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rPr>
        <w:t> = .2091, η</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bdr w:val="none" w:sz="0" w:space="0" w:color="auto" w:frame="1"/>
          <w:vertAlign w:val="superscript"/>
        </w:rPr>
        <w:t>2</w:t>
      </w:r>
      <w:r w:rsidRPr="00F72A65">
        <w:rPr>
          <w:rFonts w:asciiTheme="minorHAnsi" w:hAnsiTheme="minorHAnsi" w:cstheme="minorHAnsi"/>
          <w:color w:val="333333"/>
          <w:sz w:val="20"/>
          <w:szCs w:val="20"/>
        </w:rPr>
        <w:t> = 0.067; 95% CIs [57.4, 60.6], [55.9, 60.4], and [54.9, 57.7]).</w:t>
      </w:r>
    </w:p>
    <w:p w14:paraId="75893C77" w14:textId="77777777" w:rsidR="009D6E2D" w:rsidRPr="00F72A65" w:rsidRDefault="009D6E2D"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FD5A1E4" w14:textId="77777777" w:rsidR="003A0A2B" w:rsidRPr="00F72A65" w:rsidRDefault="003A0A2B" w:rsidP="009D6E2D">
      <w:pPr>
        <w:pStyle w:val="Heading2"/>
      </w:pPr>
      <w:r w:rsidRPr="00F72A65">
        <w:t>MRI Acquisition and Processing</w:t>
      </w:r>
    </w:p>
    <w:p w14:paraId="41B09A3E" w14:textId="2CE1882F" w:rsidR="003A0A2B"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High-resolution, three-dimensional spoiled gradient-recalled at steady-state (SPGR) anatomic images were acquired on a General Electric (Waukesha, WI) Signa Excite 3.0 Tesla short bore scanner equipped with a quad split quadrature transmit/receive head coil (Echo time [TE] = 3.9 </w:t>
      </w:r>
      <w:proofErr w:type="spellStart"/>
      <w:r w:rsidRPr="00F72A65">
        <w:rPr>
          <w:rFonts w:asciiTheme="minorHAnsi" w:hAnsiTheme="minorHAnsi" w:cstheme="minorHAnsi"/>
          <w:color w:val="333333"/>
          <w:sz w:val="20"/>
          <w:szCs w:val="20"/>
        </w:rPr>
        <w:t>ms</w:t>
      </w:r>
      <w:proofErr w:type="spellEnd"/>
      <w:r w:rsidRPr="00F72A65">
        <w:rPr>
          <w:rFonts w:asciiTheme="minorHAnsi" w:hAnsiTheme="minorHAnsi" w:cstheme="minorHAnsi"/>
          <w:color w:val="333333"/>
          <w:sz w:val="20"/>
          <w:szCs w:val="20"/>
        </w:rPr>
        <w:t xml:space="preserve">; repetition time [TR] = 9.5 </w:t>
      </w:r>
      <w:proofErr w:type="spellStart"/>
      <w:r w:rsidRPr="00F72A65">
        <w:rPr>
          <w:rFonts w:asciiTheme="minorHAnsi" w:hAnsiTheme="minorHAnsi" w:cstheme="minorHAnsi"/>
          <w:color w:val="333333"/>
          <w:sz w:val="20"/>
          <w:szCs w:val="20"/>
        </w:rPr>
        <w:t>ms</w:t>
      </w:r>
      <w:proofErr w:type="spellEnd"/>
      <w:r w:rsidRPr="00F72A65">
        <w:rPr>
          <w:rFonts w:asciiTheme="minorHAnsi" w:hAnsiTheme="minorHAnsi" w:cstheme="minorHAnsi"/>
          <w:color w:val="333333"/>
          <w:sz w:val="20"/>
          <w:szCs w:val="20"/>
        </w:rPr>
        <w:t xml:space="preserve">; inversion recovery [IR] preparation time = 450 </w:t>
      </w:r>
      <w:proofErr w:type="spellStart"/>
      <w:r w:rsidRPr="00F72A65">
        <w:rPr>
          <w:rFonts w:asciiTheme="minorHAnsi" w:hAnsiTheme="minorHAnsi" w:cstheme="minorHAnsi"/>
          <w:color w:val="333333"/>
          <w:sz w:val="20"/>
          <w:szCs w:val="20"/>
        </w:rPr>
        <w:t>ms</w:t>
      </w:r>
      <w:proofErr w:type="spellEnd"/>
      <w:r w:rsidRPr="00F72A65">
        <w:rPr>
          <w:rFonts w:asciiTheme="minorHAnsi" w:hAnsiTheme="minorHAnsi" w:cstheme="minorHAnsi"/>
          <w:color w:val="333333"/>
          <w:sz w:val="20"/>
          <w:szCs w:val="20"/>
        </w:rPr>
        <w:t xml:space="preserve">; flip angle = 12°; number of excitations [NEX] = 2; slice thickness = 1.0 mm; field of view [FOV] = 24 cm; resolution = 256 × 224). A scanner upgrade took place near the end of the final retest period. Two ε4+ participants and one ε4− participant had their third scan conducted on a GE MR750 3.0 Tesla scanner (TE = 3.9 </w:t>
      </w:r>
      <w:proofErr w:type="spellStart"/>
      <w:r w:rsidRPr="00F72A65">
        <w:rPr>
          <w:rFonts w:asciiTheme="minorHAnsi" w:hAnsiTheme="minorHAnsi" w:cstheme="minorHAnsi"/>
          <w:color w:val="333333"/>
          <w:sz w:val="20"/>
          <w:szCs w:val="20"/>
        </w:rPr>
        <w:t>ms</w:t>
      </w:r>
      <w:proofErr w:type="spellEnd"/>
      <w:r w:rsidRPr="00F72A65">
        <w:rPr>
          <w:rFonts w:asciiTheme="minorHAnsi" w:hAnsiTheme="minorHAnsi" w:cstheme="minorHAnsi"/>
          <w:color w:val="333333"/>
          <w:sz w:val="20"/>
          <w:szCs w:val="20"/>
        </w:rPr>
        <w:t xml:space="preserve">; TR = 9.6 </w:t>
      </w:r>
      <w:proofErr w:type="spellStart"/>
      <w:r w:rsidRPr="00F72A65">
        <w:rPr>
          <w:rFonts w:asciiTheme="minorHAnsi" w:hAnsiTheme="minorHAnsi" w:cstheme="minorHAnsi"/>
          <w:color w:val="333333"/>
          <w:sz w:val="20"/>
          <w:szCs w:val="20"/>
        </w:rPr>
        <w:t>ms</w:t>
      </w:r>
      <w:proofErr w:type="spellEnd"/>
      <w:r w:rsidRPr="00F72A65">
        <w:rPr>
          <w:rFonts w:asciiTheme="minorHAnsi" w:hAnsiTheme="minorHAnsi" w:cstheme="minorHAnsi"/>
          <w:color w:val="333333"/>
          <w:sz w:val="20"/>
          <w:szCs w:val="20"/>
        </w:rPr>
        <w:t xml:space="preserve">; IR preparation time = 450 </w:t>
      </w:r>
      <w:proofErr w:type="spellStart"/>
      <w:r w:rsidRPr="00F72A65">
        <w:rPr>
          <w:rFonts w:asciiTheme="minorHAnsi" w:hAnsiTheme="minorHAnsi" w:cstheme="minorHAnsi"/>
          <w:color w:val="333333"/>
          <w:sz w:val="20"/>
          <w:szCs w:val="20"/>
        </w:rPr>
        <w:t>ms</w:t>
      </w:r>
      <w:proofErr w:type="spellEnd"/>
      <w:r w:rsidRPr="00F72A65">
        <w:rPr>
          <w:rFonts w:asciiTheme="minorHAnsi" w:hAnsiTheme="minorHAnsi" w:cstheme="minorHAnsi"/>
          <w:color w:val="333333"/>
          <w:sz w:val="20"/>
          <w:szCs w:val="20"/>
        </w:rPr>
        <w:t xml:space="preserve">; flip angle = 12°; NEX = 1; slice thickness = 1.0 mm; FOV = 24 cm; resolution = 256 × 224). A between-scanner comparison showed no systematic differences. Whole-brain and regional volumes were derived from T1-weighted SPGR images using the longitudinal stream in </w:t>
      </w:r>
      <w:proofErr w:type="spellStart"/>
      <w:r w:rsidRPr="00F72A65">
        <w:rPr>
          <w:rFonts w:asciiTheme="minorHAnsi" w:hAnsiTheme="minorHAnsi" w:cstheme="minorHAnsi"/>
          <w:color w:val="333333"/>
          <w:sz w:val="20"/>
          <w:szCs w:val="20"/>
        </w:rPr>
        <w:t>Freesurfer</w:t>
      </w:r>
      <w:proofErr w:type="spellEnd"/>
      <w:r w:rsidRPr="00F72A65">
        <w:rPr>
          <w:rFonts w:asciiTheme="minorHAnsi" w:hAnsiTheme="minorHAnsi" w:cstheme="minorHAnsi"/>
          <w:color w:val="333333"/>
          <w:sz w:val="20"/>
          <w:szCs w:val="20"/>
        </w:rPr>
        <w:t xml:space="preserve"> v.5.1 software (</w:t>
      </w:r>
      <w:proofErr w:type="spellStart"/>
      <w:r w:rsidRPr="00F72A65">
        <w:rPr>
          <w:rFonts w:asciiTheme="minorHAnsi" w:hAnsiTheme="minorHAnsi" w:cstheme="minorHAnsi"/>
          <w:color w:val="333333"/>
          <w:sz w:val="20"/>
          <w:szCs w:val="20"/>
        </w:rPr>
        <w:fldChar w:fldCharType="begin"/>
      </w:r>
      <w:r w:rsidRPr="00F72A65">
        <w:rPr>
          <w:rFonts w:asciiTheme="minorHAnsi" w:hAnsiTheme="minorHAnsi" w:cstheme="minorHAnsi"/>
          <w:color w:val="333333"/>
          <w:sz w:val="20"/>
          <w:szCs w:val="20"/>
        </w:rPr>
        <w:instrText xml:space="preserve"> HYPERLINK "https://0-web-b-ebscohost-com.libus.csd.mu.edu/ehost/detail/detail?vid=2&amp;sid=e4b036ec-461a-47a7-bc9e-307d3aa3ff5a%40sessionmgr101&amp;bdata=JnNpdGU9ZWhvc3QtbGl2ZQ%3d%3d" \l "c5" </w:instrText>
      </w:r>
      <w:r w:rsidRPr="00F72A65">
        <w:rPr>
          <w:rFonts w:asciiTheme="minorHAnsi" w:hAnsiTheme="minorHAnsi" w:cstheme="minorHAnsi"/>
          <w:color w:val="333333"/>
          <w:sz w:val="20"/>
          <w:szCs w:val="20"/>
        </w:rPr>
        <w:fldChar w:fldCharType="separate"/>
      </w:r>
      <w:r w:rsidRPr="00F72A65">
        <w:rPr>
          <w:rStyle w:val="Hyperlink"/>
          <w:rFonts w:asciiTheme="minorHAnsi" w:eastAsiaTheme="majorEastAsia" w:hAnsiTheme="minorHAnsi" w:cstheme="minorHAnsi"/>
          <w:color w:val="005BC6"/>
          <w:sz w:val="20"/>
          <w:szCs w:val="20"/>
          <w:bdr w:val="none" w:sz="0" w:space="0" w:color="auto" w:frame="1"/>
        </w:rPr>
        <w:t>Fischl</w:t>
      </w:r>
      <w:proofErr w:type="spellEnd"/>
      <w:r w:rsidRPr="00F72A65">
        <w:rPr>
          <w:rStyle w:val="Hyperlink"/>
          <w:rFonts w:asciiTheme="minorHAnsi" w:eastAsiaTheme="majorEastAsia" w:hAnsiTheme="minorHAnsi" w:cstheme="minorHAnsi"/>
          <w:color w:val="005BC6"/>
          <w:sz w:val="20"/>
          <w:szCs w:val="20"/>
          <w:bdr w:val="none" w:sz="0" w:space="0" w:color="auto" w:frame="1"/>
        </w:rPr>
        <w:t xml:space="preserve"> et al., 2002</w:t>
      </w:r>
      <w:r w:rsidRPr="00F72A65">
        <w:rPr>
          <w:rFonts w:asciiTheme="minorHAnsi" w:hAnsiTheme="minorHAnsi" w:cstheme="minorHAnsi"/>
          <w:color w:val="333333"/>
          <w:sz w:val="20"/>
          <w:szCs w:val="20"/>
        </w:rPr>
        <w:fldChar w:fldCharType="end"/>
      </w:r>
      <w:r w:rsidRPr="00F72A65">
        <w:rPr>
          <w:rFonts w:asciiTheme="minorHAnsi" w:hAnsiTheme="minorHAnsi" w:cstheme="minorHAnsi"/>
          <w:color w:val="333333"/>
          <w:sz w:val="20"/>
          <w:szCs w:val="20"/>
        </w:rPr>
        <w:t>). A previous study (</w:t>
      </w:r>
      <w:hyperlink r:id="rId32" w:anchor="c17" w:history="1">
        <w:r w:rsidRPr="00F72A65">
          <w:rPr>
            <w:rStyle w:val="Hyperlink"/>
            <w:rFonts w:asciiTheme="minorHAnsi" w:eastAsiaTheme="majorEastAsia" w:hAnsiTheme="minorHAnsi" w:cstheme="minorHAnsi"/>
            <w:color w:val="005BC6"/>
            <w:sz w:val="20"/>
            <w:szCs w:val="20"/>
            <w:bdr w:val="none" w:sz="0" w:space="0" w:color="auto" w:frame="1"/>
          </w:rPr>
          <w:t>Reiter et al., 2016</w:t>
        </w:r>
      </w:hyperlink>
      <w:r w:rsidRPr="00F72A65">
        <w:rPr>
          <w:rFonts w:asciiTheme="minorHAnsi" w:hAnsiTheme="minorHAnsi" w:cstheme="minorHAnsi"/>
          <w:color w:val="333333"/>
          <w:sz w:val="20"/>
          <w:szCs w:val="20"/>
        </w:rPr>
        <w:t>) demonstrated longitudinal differences between ε4+ and ε4− participants primarily in volumes of the hippocampus, inferior lateral and lateral ventricles, and cortical gray matter. To minimize multiple comparisons, we confined the analysis to determine the effect of cognitive decline within the ε4+ group to eight bilateral brain volumes: hippocampi, inferior lateral ventricles, lateral ventricles, and cortical gray matter.</w:t>
      </w:r>
    </w:p>
    <w:p w14:paraId="63323CBA" w14:textId="77777777" w:rsidR="009D6E2D" w:rsidRPr="00F72A65" w:rsidRDefault="009D6E2D"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2F1A2473" w14:textId="77777777" w:rsidR="003A0A2B" w:rsidRPr="00F72A65" w:rsidRDefault="003A0A2B" w:rsidP="009D6E2D">
      <w:pPr>
        <w:pStyle w:val="Heading2"/>
      </w:pPr>
      <w:r w:rsidRPr="00F72A65">
        <w:t>Statistical Analyses</w:t>
      </w:r>
    </w:p>
    <w:p w14:paraId="18F52725" w14:textId="77777777"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All brain volumes were converted to </w:t>
      </w:r>
      <w:proofErr w:type="spellStart"/>
      <w:r w:rsidRPr="00F72A65">
        <w:rPr>
          <w:rFonts w:asciiTheme="minorHAnsi" w:hAnsiTheme="minorHAnsi" w:cstheme="minorHAnsi"/>
          <w:color w:val="333333"/>
          <w:sz w:val="20"/>
          <w:szCs w:val="20"/>
        </w:rPr>
        <w:t>residualized</w:t>
      </w:r>
      <w:proofErr w:type="spellEnd"/>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z</w:t>
      </w:r>
      <w:r w:rsidRPr="00F72A65">
        <w:rPr>
          <w:rFonts w:asciiTheme="minorHAnsi" w:hAnsiTheme="minorHAnsi" w:cstheme="minorHAnsi"/>
          <w:color w:val="333333"/>
          <w:sz w:val="20"/>
          <w:szCs w:val="20"/>
        </w:rPr>
        <w:t> scores controlling for intracranial volume and age at baseline. Longitudinal linear mixed-effects (LME) models were used to examine the effects of group and time on anatomical brain volumes (</w:t>
      </w:r>
      <w:hyperlink r:id="rId33" w:anchor="c16" w:history="1">
        <w:r w:rsidRPr="00F72A65">
          <w:rPr>
            <w:rStyle w:val="Hyperlink"/>
            <w:rFonts w:asciiTheme="minorHAnsi" w:eastAsiaTheme="majorEastAsia" w:hAnsiTheme="minorHAnsi" w:cstheme="minorHAnsi"/>
            <w:color w:val="005BC6"/>
            <w:sz w:val="20"/>
            <w:szCs w:val="20"/>
            <w:bdr w:val="none" w:sz="0" w:space="0" w:color="auto" w:frame="1"/>
          </w:rPr>
          <w:t>Rao et al., 2015</w:t>
        </w:r>
      </w:hyperlink>
      <w:r w:rsidRPr="00F72A65">
        <w:rPr>
          <w:rFonts w:asciiTheme="minorHAnsi" w:hAnsiTheme="minorHAnsi" w:cstheme="minorHAnsi"/>
          <w:color w:val="333333"/>
          <w:sz w:val="20"/>
          <w:szCs w:val="20"/>
        </w:rPr>
        <w:t>; </w:t>
      </w:r>
      <w:hyperlink r:id="rId34" w:anchor="c17" w:history="1">
        <w:r w:rsidRPr="00F72A65">
          <w:rPr>
            <w:rStyle w:val="Hyperlink"/>
            <w:rFonts w:asciiTheme="minorHAnsi" w:eastAsiaTheme="majorEastAsia" w:hAnsiTheme="minorHAnsi" w:cstheme="minorHAnsi"/>
            <w:color w:val="005BC6"/>
            <w:sz w:val="20"/>
            <w:szCs w:val="20"/>
            <w:bdr w:val="none" w:sz="0" w:space="0" w:color="auto" w:frame="1"/>
          </w:rPr>
          <w:t>Reiter et al., 2016</w:t>
        </w:r>
      </w:hyperlink>
      <w:r w:rsidRPr="00F72A65">
        <w:rPr>
          <w:rFonts w:asciiTheme="minorHAnsi" w:hAnsiTheme="minorHAnsi" w:cstheme="minorHAnsi"/>
          <w:color w:val="333333"/>
          <w:sz w:val="20"/>
          <w:szCs w:val="20"/>
        </w:rPr>
        <w:t>). Time was based on the number of days from T1. For our LME models, the ε4− group served as the reference group. Although years of education differed between groups (see above), education did not significantly correlate with any of the volumetric measurements; as a result, education was not used as a covariate in the LME analyses. To control for inflated Type I error rate due to multiple comparisons, false discovery rate (FDR) correction procedures were applied to all LME analyses.</w:t>
      </w:r>
    </w:p>
    <w:p w14:paraId="0FEB8857" w14:textId="77777777" w:rsidR="003A0A2B" w:rsidRPr="009D6E2D" w:rsidRDefault="00E168FC" w:rsidP="009D6E2D">
      <w:pPr>
        <w:pStyle w:val="Heading1"/>
      </w:pPr>
      <w:hyperlink r:id="rId35" w:anchor="toc" w:tooltip="Results" w:history="1">
        <w:r w:rsidR="003A0A2B" w:rsidRPr="009D6E2D">
          <w:rPr>
            <w:rStyle w:val="Hyperlink"/>
            <w:color w:val="262626" w:themeColor="text1" w:themeTint="D9"/>
            <w:u w:val="none"/>
          </w:rPr>
          <w:t>Results</w:t>
        </w:r>
      </w:hyperlink>
    </w:p>
    <w:p w14:paraId="4E4A89BC" w14:textId="77777777" w:rsidR="009D6E2D" w:rsidRDefault="00E168FC"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hyperlink r:id="rId36" w:anchor="tbl3" w:history="1">
        <w:r w:rsidR="003A0A2B" w:rsidRPr="00F72A65">
          <w:rPr>
            <w:rStyle w:val="Hyperlink"/>
            <w:rFonts w:asciiTheme="minorHAnsi" w:eastAsiaTheme="majorEastAsia" w:hAnsiTheme="minorHAnsi" w:cstheme="minorHAnsi"/>
            <w:color w:val="005BC6"/>
            <w:sz w:val="20"/>
            <w:szCs w:val="20"/>
            <w:bdr w:val="none" w:sz="0" w:space="0" w:color="auto" w:frame="1"/>
          </w:rPr>
          <w:t>Table 3</w:t>
        </w:r>
      </w:hyperlink>
      <w:r w:rsidR="003A0A2B" w:rsidRPr="00F72A65">
        <w:rPr>
          <w:rFonts w:asciiTheme="minorHAnsi" w:hAnsiTheme="minorHAnsi" w:cstheme="minorHAnsi"/>
          <w:color w:val="333333"/>
          <w:sz w:val="20"/>
          <w:szCs w:val="20"/>
        </w:rPr>
        <w:t> summarizes the results of the LME analyses applied to bilateral volumes derived from the hippocampi, cortical gray matter, lateral ventricles, and inferior lateral ventricles. There were no significant baseline differences between groups for all eight brain volumes. Over the 5-year follow-up interval, the ε4+ declining group had significantly more atrophy than the ε4− group in the left (</w:t>
      </w:r>
      <w:r w:rsidR="003A0A2B" w:rsidRPr="00F72A65">
        <w:rPr>
          <w:rStyle w:val="Emphasis"/>
          <w:rFonts w:asciiTheme="minorHAnsi" w:eastAsiaTheme="majorEastAsia" w:hAnsiTheme="minorHAnsi" w:cstheme="minorHAnsi"/>
          <w:color w:val="333333"/>
          <w:sz w:val="20"/>
          <w:szCs w:val="20"/>
          <w:bdr w:val="none" w:sz="0" w:space="0" w:color="auto" w:frame="1"/>
        </w:rPr>
        <w:t>p</w:t>
      </w:r>
      <w:r w:rsidR="003A0A2B" w:rsidRPr="00F72A65">
        <w:rPr>
          <w:rFonts w:asciiTheme="minorHAnsi" w:hAnsiTheme="minorHAnsi" w:cstheme="minorHAnsi"/>
          <w:color w:val="333333"/>
          <w:sz w:val="20"/>
          <w:szCs w:val="20"/>
        </w:rPr>
        <w:t> = .001, Cohen’s </w:t>
      </w:r>
      <w:r w:rsidR="003A0A2B" w:rsidRPr="00F72A65">
        <w:rPr>
          <w:rStyle w:val="Emphasis"/>
          <w:rFonts w:asciiTheme="minorHAnsi" w:eastAsiaTheme="majorEastAsia" w:hAnsiTheme="minorHAnsi" w:cstheme="minorHAnsi"/>
          <w:color w:val="333333"/>
          <w:sz w:val="20"/>
          <w:szCs w:val="20"/>
          <w:bdr w:val="none" w:sz="0" w:space="0" w:color="auto" w:frame="1"/>
        </w:rPr>
        <w:t>d</w:t>
      </w:r>
      <w:r w:rsidR="003A0A2B" w:rsidRPr="00F72A65">
        <w:rPr>
          <w:rFonts w:asciiTheme="minorHAnsi" w:hAnsiTheme="minorHAnsi" w:cstheme="minorHAnsi"/>
          <w:color w:val="333333"/>
          <w:sz w:val="20"/>
          <w:szCs w:val="20"/>
        </w:rPr>
        <w:t> = .691) and right (</w:t>
      </w:r>
      <w:r w:rsidR="003A0A2B" w:rsidRPr="00F72A65">
        <w:rPr>
          <w:rStyle w:val="Emphasis"/>
          <w:rFonts w:asciiTheme="minorHAnsi" w:eastAsiaTheme="majorEastAsia" w:hAnsiTheme="minorHAnsi" w:cstheme="minorHAnsi"/>
          <w:color w:val="333333"/>
          <w:sz w:val="20"/>
          <w:szCs w:val="20"/>
          <w:bdr w:val="none" w:sz="0" w:space="0" w:color="auto" w:frame="1"/>
        </w:rPr>
        <w:t>p</w:t>
      </w:r>
      <w:r w:rsidR="003A0A2B" w:rsidRPr="00F72A65">
        <w:rPr>
          <w:rFonts w:asciiTheme="minorHAnsi" w:hAnsiTheme="minorHAnsi" w:cstheme="minorHAnsi"/>
          <w:color w:val="333333"/>
          <w:sz w:val="20"/>
          <w:szCs w:val="20"/>
        </w:rPr>
        <w:t> = .003, </w:t>
      </w:r>
      <w:r w:rsidR="003A0A2B" w:rsidRPr="00F72A65">
        <w:rPr>
          <w:rStyle w:val="Emphasis"/>
          <w:rFonts w:asciiTheme="minorHAnsi" w:eastAsiaTheme="majorEastAsia" w:hAnsiTheme="minorHAnsi" w:cstheme="minorHAnsi"/>
          <w:color w:val="333333"/>
          <w:sz w:val="20"/>
          <w:szCs w:val="20"/>
          <w:bdr w:val="none" w:sz="0" w:space="0" w:color="auto" w:frame="1"/>
        </w:rPr>
        <w:t>d</w:t>
      </w:r>
      <w:r w:rsidR="003A0A2B" w:rsidRPr="00F72A65">
        <w:rPr>
          <w:rFonts w:asciiTheme="minorHAnsi" w:hAnsiTheme="minorHAnsi" w:cstheme="minorHAnsi"/>
          <w:color w:val="333333"/>
          <w:sz w:val="20"/>
          <w:szCs w:val="20"/>
        </w:rPr>
        <w:t> = .622) cortical gray matter volumes and in the left (</w:t>
      </w:r>
      <w:r w:rsidR="003A0A2B" w:rsidRPr="00F72A65">
        <w:rPr>
          <w:rStyle w:val="Emphasis"/>
          <w:rFonts w:asciiTheme="minorHAnsi" w:eastAsiaTheme="majorEastAsia" w:hAnsiTheme="minorHAnsi" w:cstheme="minorHAnsi"/>
          <w:color w:val="333333"/>
          <w:sz w:val="20"/>
          <w:szCs w:val="20"/>
          <w:bdr w:val="none" w:sz="0" w:space="0" w:color="auto" w:frame="1"/>
        </w:rPr>
        <w:t>p</w:t>
      </w:r>
      <w:r w:rsidR="003A0A2B" w:rsidRPr="00F72A65">
        <w:rPr>
          <w:rFonts w:asciiTheme="minorHAnsi" w:hAnsiTheme="minorHAnsi" w:cstheme="minorHAnsi"/>
          <w:color w:val="333333"/>
          <w:sz w:val="20"/>
          <w:szCs w:val="20"/>
        </w:rPr>
        <w:t> = .003, </w:t>
      </w:r>
      <w:r w:rsidR="003A0A2B" w:rsidRPr="00F72A65">
        <w:rPr>
          <w:rStyle w:val="Emphasis"/>
          <w:rFonts w:asciiTheme="minorHAnsi" w:eastAsiaTheme="majorEastAsia" w:hAnsiTheme="minorHAnsi" w:cstheme="minorHAnsi"/>
          <w:color w:val="333333"/>
          <w:sz w:val="20"/>
          <w:szCs w:val="20"/>
          <w:bdr w:val="none" w:sz="0" w:space="0" w:color="auto" w:frame="1"/>
        </w:rPr>
        <w:t>d</w:t>
      </w:r>
      <w:r w:rsidR="003A0A2B" w:rsidRPr="00F72A65">
        <w:rPr>
          <w:rFonts w:asciiTheme="minorHAnsi" w:hAnsiTheme="minorHAnsi" w:cstheme="minorHAnsi"/>
          <w:color w:val="333333"/>
          <w:sz w:val="20"/>
          <w:szCs w:val="20"/>
        </w:rPr>
        <w:t> = .625) and right (</w:t>
      </w:r>
      <w:r w:rsidR="003A0A2B" w:rsidRPr="00F72A65">
        <w:rPr>
          <w:rStyle w:val="Emphasis"/>
          <w:rFonts w:asciiTheme="minorHAnsi" w:eastAsiaTheme="majorEastAsia" w:hAnsiTheme="minorHAnsi" w:cstheme="minorHAnsi"/>
          <w:color w:val="333333"/>
          <w:sz w:val="20"/>
          <w:szCs w:val="20"/>
          <w:bdr w:val="none" w:sz="0" w:space="0" w:color="auto" w:frame="1"/>
        </w:rPr>
        <w:t>p</w:t>
      </w:r>
      <w:r w:rsidR="003A0A2B" w:rsidRPr="00F72A65">
        <w:rPr>
          <w:rFonts w:asciiTheme="minorHAnsi" w:hAnsiTheme="minorHAnsi" w:cstheme="minorHAnsi"/>
          <w:color w:val="333333"/>
          <w:sz w:val="20"/>
          <w:szCs w:val="20"/>
        </w:rPr>
        <w:t> = .020, </w:t>
      </w:r>
      <w:r w:rsidR="003A0A2B" w:rsidRPr="00F72A65">
        <w:rPr>
          <w:rStyle w:val="Emphasis"/>
          <w:rFonts w:asciiTheme="minorHAnsi" w:eastAsiaTheme="majorEastAsia" w:hAnsiTheme="minorHAnsi" w:cstheme="minorHAnsi"/>
          <w:color w:val="333333"/>
          <w:sz w:val="20"/>
          <w:szCs w:val="20"/>
          <w:bdr w:val="none" w:sz="0" w:space="0" w:color="auto" w:frame="1"/>
        </w:rPr>
        <w:t>d</w:t>
      </w:r>
      <w:r w:rsidR="003A0A2B" w:rsidRPr="00F72A65">
        <w:rPr>
          <w:rFonts w:asciiTheme="minorHAnsi" w:hAnsiTheme="minorHAnsi" w:cstheme="minorHAnsi"/>
          <w:color w:val="333333"/>
          <w:sz w:val="20"/>
          <w:szCs w:val="20"/>
        </w:rPr>
        <w:t> = .492) hippocampi. The ε4+ declining group also had significantly greater expansion of the right inferior lateral ventricle than the ε4− group over the 5-year interval (</w:t>
      </w:r>
      <w:r w:rsidR="003A0A2B" w:rsidRPr="00F72A65">
        <w:rPr>
          <w:rStyle w:val="Emphasis"/>
          <w:rFonts w:asciiTheme="minorHAnsi" w:eastAsiaTheme="majorEastAsia" w:hAnsiTheme="minorHAnsi" w:cstheme="minorHAnsi"/>
          <w:color w:val="333333"/>
          <w:sz w:val="20"/>
          <w:szCs w:val="20"/>
          <w:bdr w:val="none" w:sz="0" w:space="0" w:color="auto" w:frame="1"/>
        </w:rPr>
        <w:t>p</w:t>
      </w:r>
      <w:r w:rsidR="003A0A2B" w:rsidRPr="00F72A65">
        <w:rPr>
          <w:rFonts w:asciiTheme="minorHAnsi" w:hAnsiTheme="minorHAnsi" w:cstheme="minorHAnsi"/>
          <w:color w:val="333333"/>
          <w:sz w:val="20"/>
          <w:szCs w:val="20"/>
        </w:rPr>
        <w:t> &lt; .001, </w:t>
      </w:r>
      <w:r w:rsidR="003A0A2B" w:rsidRPr="00F72A65">
        <w:rPr>
          <w:rStyle w:val="Emphasis"/>
          <w:rFonts w:asciiTheme="minorHAnsi" w:eastAsiaTheme="majorEastAsia" w:hAnsiTheme="minorHAnsi" w:cstheme="minorHAnsi"/>
          <w:color w:val="333333"/>
          <w:sz w:val="20"/>
          <w:szCs w:val="20"/>
          <w:bdr w:val="none" w:sz="0" w:space="0" w:color="auto" w:frame="1"/>
        </w:rPr>
        <w:t>d</w:t>
      </w:r>
      <w:r w:rsidR="003A0A2B" w:rsidRPr="00F72A65">
        <w:rPr>
          <w:rFonts w:asciiTheme="minorHAnsi" w:hAnsiTheme="minorHAnsi" w:cstheme="minorHAnsi"/>
          <w:color w:val="333333"/>
          <w:sz w:val="20"/>
          <w:szCs w:val="20"/>
        </w:rPr>
        <w:t> = .751). These findings reflect medium to large effect sizes. </w:t>
      </w:r>
      <w:hyperlink r:id="rId37" w:anchor="fig1" w:history="1">
        <w:r w:rsidR="003A0A2B" w:rsidRPr="00F72A65">
          <w:rPr>
            <w:rStyle w:val="Hyperlink"/>
            <w:rFonts w:asciiTheme="minorHAnsi" w:eastAsiaTheme="majorEastAsia" w:hAnsiTheme="minorHAnsi" w:cstheme="minorHAnsi"/>
            <w:color w:val="005BC6"/>
            <w:sz w:val="20"/>
            <w:szCs w:val="20"/>
            <w:bdr w:val="none" w:sz="0" w:space="0" w:color="auto" w:frame="1"/>
          </w:rPr>
          <w:t>Figure 1</w:t>
        </w:r>
      </w:hyperlink>
      <w:r w:rsidR="003A0A2B" w:rsidRPr="00F72A65">
        <w:rPr>
          <w:rFonts w:asciiTheme="minorHAnsi" w:hAnsiTheme="minorHAnsi" w:cstheme="minorHAnsi"/>
          <w:color w:val="333333"/>
          <w:sz w:val="20"/>
          <w:szCs w:val="20"/>
        </w:rPr>
        <w:t> displays regression lines depicting baseline and predicted annualized rates of change in volumes (in standard score units, adjusted for age and intracranial volume) over the 5-year study period by group. The figure demonstrates that the group separation in volume change becomes more pronounced at 5 years after baseline.</w:t>
      </w:r>
      <w:r w:rsidR="003A0A2B" w:rsidRPr="00F72A65">
        <w:rPr>
          <w:rFonts w:asciiTheme="minorHAnsi" w:hAnsiTheme="minorHAnsi" w:cstheme="minorHAnsi"/>
          <w:color w:val="333333"/>
          <w:sz w:val="20"/>
          <w:szCs w:val="20"/>
        </w:rPr>
        <w:br/>
      </w:r>
      <w:r w:rsidR="003A0A2B" w:rsidRPr="00F72A65">
        <w:rPr>
          <w:rFonts w:asciiTheme="minorHAnsi" w:hAnsiTheme="minorHAnsi" w:cstheme="minorHAnsi"/>
          <w:color w:val="333333"/>
          <w:sz w:val="20"/>
          <w:szCs w:val="20"/>
        </w:rPr>
        <w:br/>
      </w:r>
      <w:r w:rsidR="003A0A2B" w:rsidRPr="00F72A65">
        <w:rPr>
          <w:rFonts w:asciiTheme="minorHAnsi" w:hAnsiTheme="minorHAnsi" w:cstheme="minorHAnsi"/>
          <w:noProof/>
          <w:color w:val="333333"/>
          <w:sz w:val="20"/>
          <w:szCs w:val="20"/>
          <w:bdr w:val="none" w:sz="0" w:space="0" w:color="auto" w:frame="1"/>
        </w:rPr>
        <w:drawing>
          <wp:inline distT="0" distB="0" distL="0" distR="0" wp14:anchorId="24FBE66B" wp14:editId="7570A98F">
            <wp:extent cx="5486400" cy="2295144"/>
            <wp:effectExtent l="0" t="0" r="0" b="0"/>
            <wp:docPr id="2" name="Picture 2" descr="Table 3 Predicted Annual Brain Volume Change Over 5 Years by APOE ϵ4 and Cognitive Decline Sta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86400" cy="2295144"/>
                    </a:xfrm>
                    <a:prstGeom prst="rect">
                      <a:avLst/>
                    </a:prstGeom>
                    <a:noFill/>
                    <a:ln>
                      <a:noFill/>
                    </a:ln>
                  </pic:spPr>
                </pic:pic>
              </a:graphicData>
            </a:graphic>
          </wp:inline>
        </w:drawing>
      </w:r>
    </w:p>
    <w:p w14:paraId="468AAF42" w14:textId="77777777" w:rsidR="009D6E2D" w:rsidRDefault="009D6E2D"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664729B9" w14:textId="77777777" w:rsidR="009D6E2D" w:rsidRDefault="009D6E2D" w:rsidP="003F26DF">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r>
        <w:rPr>
          <w:rFonts w:asciiTheme="minorHAnsi" w:hAnsiTheme="minorHAnsi" w:cstheme="minorHAnsi"/>
          <w:color w:val="333333"/>
          <w:sz w:val="20"/>
          <w:szCs w:val="20"/>
        </w:rPr>
        <w:t xml:space="preserve">Table 3 </w:t>
      </w:r>
      <w:r w:rsidR="003A0A2B" w:rsidRPr="00F72A65">
        <w:rPr>
          <w:rStyle w:val="Emphasis"/>
          <w:rFonts w:asciiTheme="minorHAnsi" w:eastAsiaTheme="majorEastAsia" w:hAnsiTheme="minorHAnsi" w:cstheme="minorHAnsi"/>
          <w:color w:val="333333"/>
          <w:sz w:val="20"/>
          <w:szCs w:val="20"/>
          <w:bdr w:val="none" w:sz="0" w:space="0" w:color="auto" w:frame="1"/>
        </w:rPr>
        <w:t>Predicted Annual Brain Volume Change Over 5 Years by APOE ϵ4 and Cognitive Decline Status</w:t>
      </w:r>
    </w:p>
    <w:p w14:paraId="512AF0FD" w14:textId="4482A055" w:rsidR="00BB287C" w:rsidRPr="00BB287C" w:rsidRDefault="00BB287C" w:rsidP="00BB287C">
      <w:pPr>
        <w:kinsoku w:val="0"/>
        <w:overflowPunct w:val="0"/>
        <w:autoSpaceDE w:val="0"/>
        <w:autoSpaceDN w:val="0"/>
        <w:adjustRightInd w:val="0"/>
        <w:spacing w:after="0" w:line="178" w:lineRule="exact"/>
        <w:ind w:left="160"/>
        <w:rPr>
          <w:rFonts w:ascii="Times New Roman" w:hAnsi="Times New Roman" w:cs="Times New Roman"/>
          <w:color w:val="231F20"/>
          <w:sz w:val="16"/>
          <w:szCs w:val="16"/>
        </w:rPr>
      </w:pPr>
      <w:bookmarkStart w:id="7" w:name="Discussion"/>
      <w:bookmarkEnd w:id="7"/>
    </w:p>
    <w:tbl>
      <w:tblPr>
        <w:tblStyle w:val="TableGrid"/>
        <w:tblW w:w="5000" w:type="pct"/>
        <w:tblLook w:val="0480" w:firstRow="0" w:lastRow="0" w:firstColumn="1" w:lastColumn="0" w:noHBand="0" w:noVBand="1"/>
      </w:tblPr>
      <w:tblGrid>
        <w:gridCol w:w="2302"/>
        <w:gridCol w:w="1168"/>
        <w:gridCol w:w="1645"/>
        <w:gridCol w:w="1229"/>
        <w:gridCol w:w="1168"/>
        <w:gridCol w:w="1182"/>
        <w:gridCol w:w="1376"/>
      </w:tblGrid>
      <w:tr w:rsidR="001F5478" w:rsidRPr="001F5478" w14:paraId="78F08934" w14:textId="77777777" w:rsidTr="0052326A">
        <w:trPr>
          <w:trHeight w:val="181"/>
        </w:trPr>
        <w:tc>
          <w:tcPr>
            <w:tcW w:w="1143" w:type="pct"/>
          </w:tcPr>
          <w:p w14:paraId="7183A70D" w14:textId="77777777" w:rsidR="00BB287C" w:rsidRPr="001F5478" w:rsidRDefault="00BB287C" w:rsidP="004F55CE">
            <w:pPr>
              <w:pStyle w:val="NoSpacing"/>
              <w:rPr>
                <w:sz w:val="20"/>
                <w:szCs w:val="20"/>
              </w:rPr>
            </w:pPr>
          </w:p>
        </w:tc>
        <w:tc>
          <w:tcPr>
            <w:tcW w:w="580" w:type="pct"/>
          </w:tcPr>
          <w:p w14:paraId="62AC7FCD" w14:textId="77777777" w:rsidR="00BB287C" w:rsidRPr="001F5478" w:rsidRDefault="00BB287C" w:rsidP="004F55CE">
            <w:pPr>
              <w:pStyle w:val="NoSpacing"/>
              <w:rPr>
                <w:rFonts w:ascii="Arial" w:hAnsi="Arial" w:cs="Arial"/>
                <w:w w:val="250"/>
                <w:sz w:val="20"/>
                <w:szCs w:val="20"/>
              </w:rPr>
            </w:pPr>
          </w:p>
        </w:tc>
        <w:tc>
          <w:tcPr>
            <w:tcW w:w="817" w:type="pct"/>
          </w:tcPr>
          <w:p w14:paraId="0EAFD2D6" w14:textId="26439C5C" w:rsidR="00BB287C" w:rsidRPr="001F5478" w:rsidRDefault="00BF3623" w:rsidP="004F55CE">
            <w:pPr>
              <w:pStyle w:val="NoSpacing"/>
              <w:rPr>
                <w:sz w:val="20"/>
                <w:szCs w:val="20"/>
              </w:rPr>
            </w:pPr>
            <w:r w:rsidRPr="001F5478">
              <w:rPr>
                <w:rFonts w:ascii="Times-Roman" w:hAnsi="Times-Roman" w:cs="Times-Roman"/>
                <w:sz w:val="20"/>
                <w:szCs w:val="20"/>
              </w:rPr>
              <w:t>Intercept (baseline)</w:t>
            </w:r>
          </w:p>
        </w:tc>
        <w:tc>
          <w:tcPr>
            <w:tcW w:w="610" w:type="pct"/>
          </w:tcPr>
          <w:p w14:paraId="0A381CC9" w14:textId="77777777" w:rsidR="00BB287C" w:rsidRPr="001F5478" w:rsidRDefault="00BB287C" w:rsidP="004F55CE">
            <w:pPr>
              <w:pStyle w:val="NoSpacing"/>
              <w:rPr>
                <w:rFonts w:ascii="Arial" w:hAnsi="Arial" w:cs="Arial"/>
                <w:w w:val="250"/>
                <w:sz w:val="20"/>
                <w:szCs w:val="20"/>
              </w:rPr>
            </w:pPr>
          </w:p>
        </w:tc>
        <w:tc>
          <w:tcPr>
            <w:tcW w:w="580" w:type="pct"/>
          </w:tcPr>
          <w:p w14:paraId="25B4F19C" w14:textId="77777777" w:rsidR="00BB287C" w:rsidRPr="001F5478" w:rsidRDefault="00BB287C" w:rsidP="004F55CE">
            <w:pPr>
              <w:pStyle w:val="NoSpacing"/>
              <w:rPr>
                <w:rFonts w:ascii="Arial" w:hAnsi="Arial" w:cs="Arial"/>
                <w:w w:val="250"/>
                <w:sz w:val="20"/>
                <w:szCs w:val="20"/>
              </w:rPr>
            </w:pPr>
          </w:p>
        </w:tc>
        <w:tc>
          <w:tcPr>
            <w:tcW w:w="587" w:type="pct"/>
          </w:tcPr>
          <w:p w14:paraId="29A5B60E" w14:textId="5A28833F" w:rsidR="00BB287C" w:rsidRPr="001F5478" w:rsidRDefault="00BF3623" w:rsidP="004F55CE">
            <w:pPr>
              <w:pStyle w:val="NoSpacing"/>
              <w:rPr>
                <w:sz w:val="20"/>
                <w:szCs w:val="20"/>
              </w:rPr>
            </w:pPr>
            <w:r w:rsidRPr="001F5478">
              <w:rPr>
                <w:rFonts w:ascii="Times-Roman" w:hAnsi="Times-Roman" w:cs="Times-Roman"/>
                <w:sz w:val="20"/>
                <w:szCs w:val="20"/>
              </w:rPr>
              <w:t>Slope (time)</w:t>
            </w:r>
          </w:p>
        </w:tc>
        <w:tc>
          <w:tcPr>
            <w:tcW w:w="683" w:type="pct"/>
          </w:tcPr>
          <w:p w14:paraId="5545FC65" w14:textId="77777777" w:rsidR="00BB287C" w:rsidRPr="001F5478" w:rsidRDefault="00BB287C" w:rsidP="004F55CE">
            <w:pPr>
              <w:pStyle w:val="NoSpacing"/>
              <w:rPr>
                <w:sz w:val="20"/>
                <w:szCs w:val="20"/>
              </w:rPr>
            </w:pPr>
          </w:p>
        </w:tc>
      </w:tr>
      <w:tr w:rsidR="00DC79F9" w:rsidRPr="001F5478" w14:paraId="4F891718" w14:textId="77777777" w:rsidTr="0052326A">
        <w:trPr>
          <w:trHeight w:val="181"/>
        </w:trPr>
        <w:tc>
          <w:tcPr>
            <w:tcW w:w="1143" w:type="pct"/>
          </w:tcPr>
          <w:p w14:paraId="689C8B13" w14:textId="77777777" w:rsidR="00DC79F9" w:rsidRPr="001F5478" w:rsidRDefault="00DC79F9" w:rsidP="009922D1">
            <w:pPr>
              <w:pStyle w:val="NoSpacing"/>
              <w:rPr>
                <w:rFonts w:ascii="Times New Roman" w:hAnsi="Times New Roman" w:cs="Times New Roman"/>
                <w:color w:val="231F20"/>
                <w:sz w:val="20"/>
                <w:szCs w:val="20"/>
              </w:rPr>
            </w:pPr>
            <w:r w:rsidRPr="001F5478">
              <w:rPr>
                <w:rFonts w:ascii="Times New Roman" w:hAnsi="Times New Roman" w:cs="Times New Roman"/>
                <w:color w:val="231F20"/>
                <w:sz w:val="20"/>
                <w:szCs w:val="20"/>
              </w:rPr>
              <w:t>Region</w:t>
            </w:r>
          </w:p>
          <w:p w14:paraId="5890472B" w14:textId="77777777" w:rsidR="00DC79F9" w:rsidRPr="001F5478" w:rsidRDefault="00DC79F9" w:rsidP="009922D1">
            <w:pPr>
              <w:pStyle w:val="NoSpacing"/>
              <w:rPr>
                <w:sz w:val="20"/>
                <w:szCs w:val="20"/>
              </w:rPr>
            </w:pPr>
          </w:p>
        </w:tc>
        <w:tc>
          <w:tcPr>
            <w:tcW w:w="580" w:type="pct"/>
          </w:tcPr>
          <w:p w14:paraId="320732B6" w14:textId="77777777" w:rsidR="00DC79F9" w:rsidRPr="001F5478" w:rsidRDefault="00DC79F9" w:rsidP="009922D1">
            <w:pPr>
              <w:pStyle w:val="NoSpacing"/>
              <w:rPr>
                <w:rFonts w:ascii="Times New Roman" w:hAnsi="Times New Roman" w:cs="Times New Roman"/>
                <w:color w:val="231F20"/>
                <w:w w:val="105"/>
                <w:sz w:val="20"/>
                <w:szCs w:val="20"/>
                <w:vertAlign w:val="superscript"/>
              </w:rPr>
            </w:pPr>
            <w:r w:rsidRPr="001F5478">
              <w:rPr>
                <w:rFonts w:ascii="Times New Roman" w:hAnsi="Times New Roman" w:cs="Times New Roman"/>
                <w:color w:val="231F20"/>
                <w:w w:val="105"/>
                <w:sz w:val="20"/>
                <w:szCs w:val="20"/>
              </w:rPr>
              <w:t xml:space="preserve">4 </w:t>
            </w:r>
            <w:r w:rsidRPr="001F5478">
              <w:rPr>
                <w:rFonts w:ascii="Times New Roman" w:hAnsi="Times New Roman" w:cs="Times New Roman"/>
                <w:color w:val="231F20"/>
                <w:w w:val="105"/>
                <w:sz w:val="20"/>
                <w:szCs w:val="20"/>
                <w:vertAlign w:val="superscript"/>
              </w:rPr>
              <w:t>a</w:t>
            </w:r>
            <w:r w:rsidRPr="001F5478">
              <w:rPr>
                <w:rFonts w:ascii="Times New Roman" w:hAnsi="Times New Roman" w:cs="Times New Roman"/>
                <w:color w:val="231F20"/>
                <w:w w:val="105"/>
                <w:sz w:val="20"/>
                <w:szCs w:val="20"/>
              </w:rPr>
              <w:t xml:space="preserve"> </w:t>
            </w:r>
          </w:p>
          <w:p w14:paraId="59312DC8" w14:textId="77777777" w:rsidR="00DC79F9" w:rsidRPr="001F5478" w:rsidRDefault="00DC79F9" w:rsidP="009922D1">
            <w:pPr>
              <w:pStyle w:val="NoSpacing"/>
              <w:rPr>
                <w:rFonts w:ascii="Arial" w:hAnsi="Arial" w:cs="Arial"/>
                <w:w w:val="250"/>
                <w:sz w:val="20"/>
                <w:szCs w:val="20"/>
              </w:rPr>
            </w:pPr>
          </w:p>
        </w:tc>
        <w:tc>
          <w:tcPr>
            <w:tcW w:w="817" w:type="pct"/>
          </w:tcPr>
          <w:p w14:paraId="4EB63E4D" w14:textId="77777777" w:rsidR="00DC79F9" w:rsidRPr="001F5478" w:rsidRDefault="00DC79F9" w:rsidP="009922D1">
            <w:pPr>
              <w:pStyle w:val="NoSpacing"/>
              <w:rPr>
                <w:sz w:val="20"/>
                <w:szCs w:val="20"/>
              </w:rPr>
            </w:pPr>
            <w:r w:rsidRPr="001F5478">
              <w:rPr>
                <w:rFonts w:ascii="Times New Roman" w:hAnsi="Times New Roman" w:cs="Times New Roman"/>
                <w:color w:val="231F20"/>
                <w:w w:val="105"/>
                <w:sz w:val="20"/>
                <w:szCs w:val="20"/>
              </w:rPr>
              <w:t xml:space="preserve">v. 4 </w:t>
            </w:r>
            <w:proofErr w:type="spellStart"/>
            <w:r w:rsidRPr="001F5478">
              <w:rPr>
                <w:rFonts w:ascii="Times New Roman" w:hAnsi="Times New Roman" w:cs="Times New Roman"/>
                <w:color w:val="231F20"/>
                <w:w w:val="105"/>
                <w:sz w:val="20"/>
                <w:szCs w:val="20"/>
              </w:rPr>
              <w:t>stable</w:t>
            </w:r>
            <w:r w:rsidRPr="001F5478">
              <w:rPr>
                <w:rFonts w:ascii="Times New Roman" w:hAnsi="Times New Roman" w:cs="Times New Roman"/>
                <w:color w:val="231F20"/>
                <w:w w:val="105"/>
                <w:sz w:val="20"/>
                <w:szCs w:val="20"/>
                <w:vertAlign w:val="superscript"/>
              </w:rPr>
              <w:t>b</w:t>
            </w:r>
            <w:proofErr w:type="spellEnd"/>
          </w:p>
        </w:tc>
        <w:tc>
          <w:tcPr>
            <w:tcW w:w="610" w:type="pct"/>
          </w:tcPr>
          <w:p w14:paraId="4080F859" w14:textId="77777777" w:rsidR="00DC79F9" w:rsidRPr="001F5478" w:rsidRDefault="00DC79F9" w:rsidP="009922D1">
            <w:pPr>
              <w:pStyle w:val="NoSpacing"/>
              <w:rPr>
                <w:rFonts w:ascii="Arial" w:hAnsi="Arial" w:cs="Arial"/>
                <w:w w:val="250"/>
                <w:sz w:val="20"/>
                <w:szCs w:val="20"/>
              </w:rPr>
            </w:pPr>
            <w:r w:rsidRPr="001F5478">
              <w:rPr>
                <w:rFonts w:ascii="Times New Roman" w:hAnsi="Times New Roman" w:cs="Times New Roman"/>
                <w:color w:val="231F20"/>
                <w:w w:val="105"/>
                <w:sz w:val="20"/>
                <w:szCs w:val="20"/>
              </w:rPr>
              <w:t xml:space="preserve">4 </w:t>
            </w:r>
            <w:proofErr w:type="spellStart"/>
            <w:r w:rsidRPr="001F5478">
              <w:rPr>
                <w:rFonts w:ascii="Times New Roman" w:hAnsi="Times New Roman" w:cs="Times New Roman"/>
                <w:color w:val="231F20"/>
                <w:w w:val="105"/>
                <w:sz w:val="20"/>
                <w:szCs w:val="20"/>
              </w:rPr>
              <w:t>declining</w:t>
            </w:r>
            <w:r w:rsidRPr="001F5478">
              <w:rPr>
                <w:rFonts w:ascii="Times New Roman" w:hAnsi="Times New Roman" w:cs="Times New Roman"/>
                <w:color w:val="231F20"/>
                <w:w w:val="105"/>
                <w:sz w:val="20"/>
                <w:szCs w:val="20"/>
                <w:vertAlign w:val="superscript"/>
              </w:rPr>
              <w:t>b</w:t>
            </w:r>
            <w:proofErr w:type="spellEnd"/>
          </w:p>
        </w:tc>
        <w:tc>
          <w:tcPr>
            <w:tcW w:w="580" w:type="pct"/>
          </w:tcPr>
          <w:p w14:paraId="2EC44926" w14:textId="77777777" w:rsidR="00DC79F9" w:rsidRPr="001F5478" w:rsidRDefault="00DC79F9" w:rsidP="009922D1">
            <w:pPr>
              <w:pStyle w:val="NoSpacing"/>
              <w:rPr>
                <w:rFonts w:ascii="Arial" w:hAnsi="Arial" w:cs="Arial"/>
                <w:w w:val="250"/>
                <w:sz w:val="20"/>
                <w:szCs w:val="20"/>
              </w:rPr>
            </w:pPr>
            <w:r w:rsidRPr="001F5478">
              <w:rPr>
                <w:rFonts w:ascii="Times New Roman" w:hAnsi="Times New Roman" w:cs="Times New Roman"/>
                <w:color w:val="231F20"/>
                <w:w w:val="105"/>
                <w:sz w:val="20"/>
                <w:szCs w:val="20"/>
              </w:rPr>
              <w:t xml:space="preserve">v. 4 </w:t>
            </w:r>
            <w:r w:rsidRPr="001F5478">
              <w:rPr>
                <w:rFonts w:ascii="Times New Roman" w:hAnsi="Times New Roman" w:cs="Times New Roman"/>
                <w:color w:val="231F20"/>
                <w:w w:val="105"/>
                <w:sz w:val="20"/>
                <w:szCs w:val="20"/>
                <w:vertAlign w:val="superscript"/>
              </w:rPr>
              <w:t>c</w:t>
            </w:r>
            <w:r w:rsidRPr="001F5478">
              <w:rPr>
                <w:rFonts w:ascii="Times New Roman" w:hAnsi="Times New Roman" w:cs="Times New Roman"/>
                <w:color w:val="231F20"/>
                <w:w w:val="105"/>
                <w:sz w:val="20"/>
                <w:szCs w:val="20"/>
              </w:rPr>
              <w:t xml:space="preserve"> </w:t>
            </w:r>
          </w:p>
        </w:tc>
        <w:tc>
          <w:tcPr>
            <w:tcW w:w="587" w:type="pct"/>
          </w:tcPr>
          <w:p w14:paraId="3B36EFFA" w14:textId="77777777" w:rsidR="00DC79F9" w:rsidRPr="001F5478" w:rsidRDefault="00DC79F9" w:rsidP="009922D1">
            <w:pPr>
              <w:pStyle w:val="NoSpacing"/>
              <w:rPr>
                <w:sz w:val="20"/>
                <w:szCs w:val="20"/>
              </w:rPr>
            </w:pPr>
            <w:r w:rsidRPr="001F5478">
              <w:rPr>
                <w:rFonts w:ascii="Times New Roman" w:hAnsi="Times New Roman" w:cs="Times New Roman"/>
                <w:color w:val="231F20"/>
                <w:w w:val="105"/>
                <w:sz w:val="20"/>
                <w:szCs w:val="20"/>
              </w:rPr>
              <w:t>v. 4 stable</w:t>
            </w:r>
            <w:r w:rsidRPr="001F5478">
              <w:rPr>
                <w:rFonts w:ascii="Times New Roman" w:hAnsi="Times New Roman" w:cs="Times New Roman"/>
                <w:color w:val="231F20"/>
                <w:w w:val="105"/>
                <w:sz w:val="20"/>
                <w:szCs w:val="20"/>
                <w:vertAlign w:val="superscript"/>
              </w:rPr>
              <w:t>d</w:t>
            </w:r>
            <w:r w:rsidRPr="001F5478">
              <w:rPr>
                <w:rFonts w:ascii="Times New Roman" w:hAnsi="Times New Roman" w:cs="Times New Roman"/>
                <w:color w:val="231F20"/>
                <w:w w:val="105"/>
                <w:sz w:val="20"/>
                <w:szCs w:val="20"/>
              </w:rPr>
              <w:t xml:space="preserve"> </w:t>
            </w:r>
          </w:p>
        </w:tc>
        <w:tc>
          <w:tcPr>
            <w:tcW w:w="683" w:type="pct"/>
          </w:tcPr>
          <w:p w14:paraId="45A11400" w14:textId="77777777" w:rsidR="00DC79F9" w:rsidRPr="001F5478" w:rsidRDefault="00DC79F9" w:rsidP="009922D1">
            <w:pPr>
              <w:pStyle w:val="NoSpacing"/>
              <w:rPr>
                <w:sz w:val="20"/>
                <w:szCs w:val="20"/>
              </w:rPr>
            </w:pPr>
            <w:r w:rsidRPr="001F5478">
              <w:rPr>
                <w:rFonts w:ascii="Times New Roman" w:hAnsi="Times New Roman" w:cs="Times New Roman"/>
                <w:color w:val="231F20"/>
                <w:w w:val="105"/>
                <w:sz w:val="20"/>
                <w:szCs w:val="20"/>
              </w:rPr>
              <w:t xml:space="preserve">v. 4 </w:t>
            </w:r>
            <w:proofErr w:type="spellStart"/>
            <w:r w:rsidRPr="001F5478">
              <w:rPr>
                <w:rFonts w:ascii="Times New Roman" w:hAnsi="Times New Roman" w:cs="Times New Roman"/>
                <w:color w:val="231F20"/>
                <w:w w:val="105"/>
                <w:sz w:val="20"/>
                <w:szCs w:val="20"/>
              </w:rPr>
              <w:t>declining</w:t>
            </w:r>
            <w:r w:rsidRPr="001F5478">
              <w:rPr>
                <w:rFonts w:ascii="Times New Roman" w:hAnsi="Times New Roman" w:cs="Times New Roman"/>
                <w:color w:val="231F20"/>
                <w:w w:val="105"/>
                <w:sz w:val="20"/>
                <w:szCs w:val="20"/>
                <w:vertAlign w:val="superscript"/>
              </w:rPr>
              <w:t>d</w:t>
            </w:r>
            <w:proofErr w:type="spellEnd"/>
          </w:p>
        </w:tc>
      </w:tr>
      <w:tr w:rsidR="00DC79F9" w:rsidRPr="001F5478" w14:paraId="18AB97B5" w14:textId="77777777" w:rsidTr="0052326A">
        <w:trPr>
          <w:trHeight w:val="177"/>
        </w:trPr>
        <w:tc>
          <w:tcPr>
            <w:tcW w:w="1143" w:type="pct"/>
          </w:tcPr>
          <w:p w14:paraId="3AC24942" w14:textId="446EEE67" w:rsidR="00DC79F9" w:rsidRPr="001F5478" w:rsidRDefault="00DC79F9" w:rsidP="004F55CE">
            <w:pPr>
              <w:pStyle w:val="NoSpacing"/>
              <w:rPr>
                <w:sz w:val="20"/>
                <w:szCs w:val="20"/>
              </w:rPr>
            </w:pPr>
            <w:r w:rsidRPr="001F5478">
              <w:rPr>
                <w:sz w:val="20"/>
                <w:szCs w:val="20"/>
              </w:rPr>
              <w:t>Left hemisphere</w:t>
            </w:r>
          </w:p>
        </w:tc>
        <w:tc>
          <w:tcPr>
            <w:tcW w:w="580" w:type="pct"/>
          </w:tcPr>
          <w:p w14:paraId="4A813F72" w14:textId="77777777" w:rsidR="00DC79F9" w:rsidRPr="001F5478" w:rsidRDefault="00DC79F9" w:rsidP="004F55CE">
            <w:pPr>
              <w:pStyle w:val="NoSpacing"/>
              <w:rPr>
                <w:sz w:val="20"/>
                <w:szCs w:val="20"/>
              </w:rPr>
            </w:pPr>
          </w:p>
        </w:tc>
        <w:tc>
          <w:tcPr>
            <w:tcW w:w="817" w:type="pct"/>
          </w:tcPr>
          <w:p w14:paraId="5B6BC36A" w14:textId="77777777" w:rsidR="00DC79F9" w:rsidRPr="001F5478" w:rsidRDefault="00DC79F9" w:rsidP="004F55CE">
            <w:pPr>
              <w:pStyle w:val="NoSpacing"/>
              <w:rPr>
                <w:sz w:val="20"/>
                <w:szCs w:val="20"/>
              </w:rPr>
            </w:pPr>
          </w:p>
        </w:tc>
        <w:tc>
          <w:tcPr>
            <w:tcW w:w="610" w:type="pct"/>
          </w:tcPr>
          <w:p w14:paraId="5034B2E4" w14:textId="77777777" w:rsidR="00DC79F9" w:rsidRPr="001F5478" w:rsidRDefault="00DC79F9" w:rsidP="004F55CE">
            <w:pPr>
              <w:pStyle w:val="NoSpacing"/>
              <w:rPr>
                <w:rFonts w:ascii="Arial" w:hAnsi="Arial" w:cs="Arial"/>
                <w:w w:val="250"/>
                <w:sz w:val="20"/>
                <w:szCs w:val="20"/>
              </w:rPr>
            </w:pPr>
          </w:p>
        </w:tc>
        <w:tc>
          <w:tcPr>
            <w:tcW w:w="580" w:type="pct"/>
          </w:tcPr>
          <w:p w14:paraId="10BFB890" w14:textId="77777777" w:rsidR="00DC79F9" w:rsidRPr="001F5478" w:rsidRDefault="00DC79F9" w:rsidP="004F55CE">
            <w:pPr>
              <w:pStyle w:val="NoSpacing"/>
              <w:rPr>
                <w:rFonts w:ascii="Arial" w:hAnsi="Arial" w:cs="Arial"/>
                <w:w w:val="250"/>
                <w:sz w:val="20"/>
                <w:szCs w:val="20"/>
              </w:rPr>
            </w:pPr>
          </w:p>
        </w:tc>
        <w:tc>
          <w:tcPr>
            <w:tcW w:w="587" w:type="pct"/>
          </w:tcPr>
          <w:p w14:paraId="261816B9" w14:textId="77777777" w:rsidR="00DC79F9" w:rsidRPr="001F5478" w:rsidRDefault="00DC79F9" w:rsidP="004F55CE">
            <w:pPr>
              <w:pStyle w:val="NoSpacing"/>
              <w:rPr>
                <w:sz w:val="20"/>
                <w:szCs w:val="20"/>
              </w:rPr>
            </w:pPr>
          </w:p>
        </w:tc>
        <w:tc>
          <w:tcPr>
            <w:tcW w:w="683" w:type="pct"/>
          </w:tcPr>
          <w:p w14:paraId="052C89B5" w14:textId="77777777" w:rsidR="00DC79F9" w:rsidRPr="001F5478" w:rsidRDefault="00DC79F9" w:rsidP="004F55CE">
            <w:pPr>
              <w:pStyle w:val="NoSpacing"/>
              <w:rPr>
                <w:sz w:val="20"/>
                <w:szCs w:val="20"/>
              </w:rPr>
            </w:pPr>
          </w:p>
        </w:tc>
      </w:tr>
      <w:tr w:rsidR="00DC79F9" w:rsidRPr="001F5478" w14:paraId="2CF8FE33" w14:textId="77777777" w:rsidTr="0052326A">
        <w:trPr>
          <w:trHeight w:val="181"/>
        </w:trPr>
        <w:tc>
          <w:tcPr>
            <w:tcW w:w="1143" w:type="pct"/>
          </w:tcPr>
          <w:p w14:paraId="27052CF1" w14:textId="77777777" w:rsidR="00DC79F9" w:rsidRPr="001F5478" w:rsidRDefault="00DC79F9" w:rsidP="00524B9F">
            <w:pPr>
              <w:pStyle w:val="NoSpacing"/>
              <w:rPr>
                <w:sz w:val="20"/>
                <w:szCs w:val="20"/>
              </w:rPr>
            </w:pPr>
            <w:r w:rsidRPr="001F5478">
              <w:rPr>
                <w:sz w:val="20"/>
                <w:szCs w:val="20"/>
              </w:rPr>
              <w:t>Lateral ventricle</w:t>
            </w:r>
          </w:p>
        </w:tc>
        <w:tc>
          <w:tcPr>
            <w:tcW w:w="580" w:type="pct"/>
          </w:tcPr>
          <w:p w14:paraId="0C99F2C0" w14:textId="77777777" w:rsidR="00DC79F9" w:rsidRPr="001F5478" w:rsidRDefault="00DC79F9" w:rsidP="00524B9F">
            <w:pPr>
              <w:pStyle w:val="NoSpacing"/>
              <w:rPr>
                <w:sz w:val="20"/>
                <w:szCs w:val="20"/>
              </w:rPr>
            </w:pPr>
            <w:r w:rsidRPr="001F5478">
              <w:rPr>
                <w:rFonts w:ascii="Arial" w:hAnsi="Arial" w:cs="Arial"/>
                <w:w w:val="250"/>
                <w:sz w:val="20"/>
                <w:szCs w:val="20"/>
              </w:rPr>
              <w:t>-</w:t>
            </w:r>
            <w:r w:rsidRPr="001F5478">
              <w:rPr>
                <w:sz w:val="20"/>
                <w:szCs w:val="20"/>
              </w:rPr>
              <w:t>.101 (.199)</w:t>
            </w:r>
          </w:p>
        </w:tc>
        <w:tc>
          <w:tcPr>
            <w:tcW w:w="817" w:type="pct"/>
          </w:tcPr>
          <w:p w14:paraId="09027819" w14:textId="77777777" w:rsidR="00DC79F9" w:rsidRPr="001F5478" w:rsidRDefault="00DC79F9" w:rsidP="00524B9F">
            <w:pPr>
              <w:pStyle w:val="NoSpacing"/>
              <w:rPr>
                <w:sz w:val="20"/>
                <w:szCs w:val="20"/>
              </w:rPr>
            </w:pPr>
            <w:r w:rsidRPr="001F5478">
              <w:rPr>
                <w:sz w:val="20"/>
                <w:szCs w:val="20"/>
              </w:rPr>
              <w:t>.494 (.344)</w:t>
            </w:r>
          </w:p>
        </w:tc>
        <w:tc>
          <w:tcPr>
            <w:tcW w:w="610" w:type="pct"/>
          </w:tcPr>
          <w:p w14:paraId="3EC605BA" w14:textId="77777777" w:rsidR="00DC79F9" w:rsidRPr="001F5478" w:rsidRDefault="00DC79F9" w:rsidP="00524B9F">
            <w:pPr>
              <w:pStyle w:val="NoSpacing"/>
              <w:rPr>
                <w:sz w:val="20"/>
                <w:szCs w:val="20"/>
              </w:rPr>
            </w:pPr>
            <w:r w:rsidRPr="001F5478">
              <w:rPr>
                <w:rFonts w:ascii="Arial" w:hAnsi="Arial" w:cs="Arial"/>
                <w:w w:val="250"/>
                <w:sz w:val="20"/>
                <w:szCs w:val="20"/>
              </w:rPr>
              <w:t>-</w:t>
            </w:r>
            <w:r w:rsidRPr="001F5478">
              <w:rPr>
                <w:sz w:val="20"/>
                <w:szCs w:val="20"/>
              </w:rPr>
              <w:t>.003 (.312)</w:t>
            </w:r>
          </w:p>
        </w:tc>
        <w:tc>
          <w:tcPr>
            <w:tcW w:w="580" w:type="pct"/>
          </w:tcPr>
          <w:p w14:paraId="4DD679F6" w14:textId="77777777" w:rsidR="00DC79F9" w:rsidRPr="001F5478" w:rsidRDefault="00DC79F9" w:rsidP="00524B9F">
            <w:pPr>
              <w:pStyle w:val="NoSpacing"/>
              <w:rPr>
                <w:sz w:val="20"/>
                <w:szCs w:val="20"/>
              </w:rPr>
            </w:pPr>
            <w:r w:rsidRPr="001F5478">
              <w:rPr>
                <w:rFonts w:ascii="Arial" w:hAnsi="Arial" w:cs="Arial"/>
                <w:w w:val="250"/>
                <w:sz w:val="20"/>
                <w:szCs w:val="20"/>
              </w:rPr>
              <w:t>-</w:t>
            </w:r>
            <w:r w:rsidRPr="001F5478">
              <w:rPr>
                <w:sz w:val="20"/>
                <w:szCs w:val="20"/>
              </w:rPr>
              <w:t>.025 (.010)</w:t>
            </w:r>
          </w:p>
        </w:tc>
        <w:tc>
          <w:tcPr>
            <w:tcW w:w="587" w:type="pct"/>
          </w:tcPr>
          <w:p w14:paraId="3811BC2B" w14:textId="77777777" w:rsidR="00DC79F9" w:rsidRPr="001F5478" w:rsidRDefault="00DC79F9" w:rsidP="00524B9F">
            <w:pPr>
              <w:pStyle w:val="NoSpacing"/>
              <w:rPr>
                <w:sz w:val="20"/>
                <w:szCs w:val="20"/>
              </w:rPr>
            </w:pPr>
            <w:r w:rsidRPr="001F5478">
              <w:rPr>
                <w:sz w:val="20"/>
                <w:szCs w:val="20"/>
              </w:rPr>
              <w:t>.008 (.017)</w:t>
            </w:r>
          </w:p>
        </w:tc>
        <w:tc>
          <w:tcPr>
            <w:tcW w:w="683" w:type="pct"/>
          </w:tcPr>
          <w:p w14:paraId="1B6C8362" w14:textId="77777777" w:rsidR="00DC79F9" w:rsidRPr="001F5478" w:rsidRDefault="00DC79F9" w:rsidP="00524B9F">
            <w:pPr>
              <w:pStyle w:val="NoSpacing"/>
              <w:rPr>
                <w:sz w:val="20"/>
                <w:szCs w:val="20"/>
              </w:rPr>
            </w:pPr>
            <w:r w:rsidRPr="001F5478">
              <w:rPr>
                <w:sz w:val="20"/>
                <w:szCs w:val="20"/>
              </w:rPr>
              <w:t>.022 (.016)</w:t>
            </w:r>
          </w:p>
        </w:tc>
      </w:tr>
      <w:tr w:rsidR="00104437" w:rsidRPr="001F5478" w14:paraId="3D759EE2" w14:textId="77777777" w:rsidTr="0052326A">
        <w:trPr>
          <w:trHeight w:val="177"/>
        </w:trPr>
        <w:tc>
          <w:tcPr>
            <w:tcW w:w="1143" w:type="pct"/>
          </w:tcPr>
          <w:p w14:paraId="2B3CEB2E" w14:textId="77777777" w:rsidR="00BB287C" w:rsidRPr="001F5478" w:rsidRDefault="00BB287C" w:rsidP="004F55CE">
            <w:pPr>
              <w:pStyle w:val="NoSpacing"/>
              <w:rPr>
                <w:sz w:val="20"/>
                <w:szCs w:val="20"/>
              </w:rPr>
            </w:pPr>
            <w:r w:rsidRPr="001F5478">
              <w:rPr>
                <w:sz w:val="20"/>
                <w:szCs w:val="20"/>
              </w:rPr>
              <w:t>Inferior lateral ventricle</w:t>
            </w:r>
          </w:p>
        </w:tc>
        <w:tc>
          <w:tcPr>
            <w:tcW w:w="580" w:type="pct"/>
          </w:tcPr>
          <w:p w14:paraId="5B171AA0" w14:textId="77777777" w:rsidR="00BB287C" w:rsidRPr="001F5478" w:rsidRDefault="00BB287C" w:rsidP="004F55CE">
            <w:pPr>
              <w:pStyle w:val="NoSpacing"/>
              <w:rPr>
                <w:sz w:val="20"/>
                <w:szCs w:val="20"/>
              </w:rPr>
            </w:pPr>
            <w:r w:rsidRPr="001F5478">
              <w:rPr>
                <w:sz w:val="20"/>
                <w:szCs w:val="20"/>
              </w:rPr>
              <w:t>.060 (.174)</w:t>
            </w:r>
          </w:p>
        </w:tc>
        <w:tc>
          <w:tcPr>
            <w:tcW w:w="817" w:type="pct"/>
          </w:tcPr>
          <w:p w14:paraId="206560F1" w14:textId="77777777" w:rsidR="00BB287C" w:rsidRPr="001F5478" w:rsidRDefault="00BB287C" w:rsidP="004F55CE">
            <w:pPr>
              <w:pStyle w:val="NoSpacing"/>
              <w:rPr>
                <w:sz w:val="20"/>
                <w:szCs w:val="20"/>
              </w:rPr>
            </w:pPr>
            <w:r w:rsidRPr="001F5478">
              <w:rPr>
                <w:sz w:val="20"/>
                <w:szCs w:val="20"/>
              </w:rPr>
              <w:t>.149 (.302)</w:t>
            </w:r>
          </w:p>
        </w:tc>
        <w:tc>
          <w:tcPr>
            <w:tcW w:w="610" w:type="pct"/>
          </w:tcPr>
          <w:p w14:paraId="6C44B7D8"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.315 (.274)</w:t>
            </w:r>
          </w:p>
        </w:tc>
        <w:tc>
          <w:tcPr>
            <w:tcW w:w="580" w:type="pct"/>
          </w:tcPr>
          <w:p w14:paraId="234DBF73"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.044 (.019)</w:t>
            </w:r>
          </w:p>
        </w:tc>
        <w:tc>
          <w:tcPr>
            <w:tcW w:w="587" w:type="pct"/>
          </w:tcPr>
          <w:p w14:paraId="78B65A7E" w14:textId="77777777" w:rsidR="00BB287C" w:rsidRPr="001F5478" w:rsidRDefault="00BB287C" w:rsidP="004F55CE">
            <w:pPr>
              <w:pStyle w:val="NoSpacing"/>
              <w:rPr>
                <w:sz w:val="20"/>
                <w:szCs w:val="20"/>
              </w:rPr>
            </w:pPr>
            <w:r w:rsidRPr="001F5478">
              <w:rPr>
                <w:sz w:val="20"/>
                <w:szCs w:val="20"/>
              </w:rPr>
              <w:t>.025 (.033)</w:t>
            </w:r>
          </w:p>
        </w:tc>
        <w:tc>
          <w:tcPr>
            <w:tcW w:w="683" w:type="pct"/>
          </w:tcPr>
          <w:p w14:paraId="06BA8B10" w14:textId="77777777" w:rsidR="00BB287C" w:rsidRPr="001F5478" w:rsidRDefault="00BB287C" w:rsidP="004F55CE">
            <w:pPr>
              <w:pStyle w:val="NoSpacing"/>
              <w:rPr>
                <w:sz w:val="20"/>
                <w:szCs w:val="20"/>
              </w:rPr>
            </w:pPr>
            <w:r w:rsidRPr="001F5478">
              <w:rPr>
                <w:sz w:val="20"/>
                <w:szCs w:val="20"/>
              </w:rPr>
              <w:t>.062 (.030)</w:t>
            </w:r>
          </w:p>
        </w:tc>
      </w:tr>
      <w:tr w:rsidR="00104437" w:rsidRPr="001F5478" w14:paraId="18997179" w14:textId="77777777" w:rsidTr="0052326A">
        <w:trPr>
          <w:trHeight w:val="180"/>
        </w:trPr>
        <w:tc>
          <w:tcPr>
            <w:tcW w:w="1143" w:type="pct"/>
          </w:tcPr>
          <w:p w14:paraId="645D152C" w14:textId="77777777" w:rsidR="00BB287C" w:rsidRPr="001F5478" w:rsidRDefault="00BB287C" w:rsidP="004F55CE">
            <w:pPr>
              <w:pStyle w:val="NoSpacing"/>
              <w:rPr>
                <w:sz w:val="20"/>
                <w:szCs w:val="20"/>
              </w:rPr>
            </w:pPr>
            <w:r w:rsidRPr="001F5478">
              <w:rPr>
                <w:sz w:val="20"/>
                <w:szCs w:val="20"/>
              </w:rPr>
              <w:t>Hippocampus</w:t>
            </w:r>
          </w:p>
        </w:tc>
        <w:tc>
          <w:tcPr>
            <w:tcW w:w="580" w:type="pct"/>
          </w:tcPr>
          <w:p w14:paraId="6202275A" w14:textId="77777777" w:rsidR="00BB287C" w:rsidRPr="001F5478" w:rsidRDefault="00BB287C" w:rsidP="004F55CE">
            <w:pPr>
              <w:pStyle w:val="NoSpacing"/>
              <w:rPr>
                <w:sz w:val="20"/>
                <w:szCs w:val="20"/>
              </w:rPr>
            </w:pPr>
            <w:r w:rsidRPr="001F5478">
              <w:rPr>
                <w:sz w:val="20"/>
                <w:szCs w:val="20"/>
              </w:rPr>
              <w:t>.190 (.204)</w:t>
            </w:r>
          </w:p>
        </w:tc>
        <w:tc>
          <w:tcPr>
            <w:tcW w:w="817" w:type="pct"/>
          </w:tcPr>
          <w:p w14:paraId="07AC96E5"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.154 (.353)</w:t>
            </w:r>
          </w:p>
        </w:tc>
        <w:tc>
          <w:tcPr>
            <w:tcW w:w="610" w:type="pct"/>
          </w:tcPr>
          <w:p w14:paraId="03257196"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.160 (.321)</w:t>
            </w:r>
          </w:p>
        </w:tc>
        <w:tc>
          <w:tcPr>
            <w:tcW w:w="580" w:type="pct"/>
          </w:tcPr>
          <w:p w14:paraId="4E834947" w14:textId="77777777" w:rsidR="00BB287C" w:rsidRPr="001F5478" w:rsidRDefault="00BB287C" w:rsidP="004F55CE">
            <w:pPr>
              <w:pStyle w:val="NoSpacing"/>
              <w:rPr>
                <w:sz w:val="20"/>
                <w:szCs w:val="20"/>
              </w:rPr>
            </w:pPr>
            <w:r w:rsidRPr="001F5478">
              <w:rPr>
                <w:sz w:val="20"/>
                <w:szCs w:val="20"/>
              </w:rPr>
              <w:t>.018 (.017)</w:t>
            </w:r>
          </w:p>
        </w:tc>
        <w:tc>
          <w:tcPr>
            <w:tcW w:w="587" w:type="pct"/>
          </w:tcPr>
          <w:p w14:paraId="1D9F1512"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.025 (.031)</w:t>
            </w:r>
          </w:p>
        </w:tc>
        <w:tc>
          <w:tcPr>
            <w:tcW w:w="683" w:type="pct"/>
          </w:tcPr>
          <w:p w14:paraId="7AF809B5" w14:textId="77777777" w:rsidR="00BB287C" w:rsidRPr="001F5478" w:rsidRDefault="00BB287C" w:rsidP="004F55CE">
            <w:pPr>
              <w:pStyle w:val="NoSpacing"/>
              <w:rPr>
                <w:b/>
                <w:bCs/>
                <w:sz w:val="20"/>
                <w:szCs w:val="20"/>
              </w:rPr>
            </w:pPr>
            <w:r w:rsidRPr="001F5478">
              <w:rPr>
                <w:rFonts w:ascii="Arial" w:hAnsi="Arial" w:cs="Arial"/>
                <w:w w:val="250"/>
                <w:sz w:val="20"/>
                <w:szCs w:val="20"/>
              </w:rPr>
              <w:t>-</w:t>
            </w:r>
            <w:r w:rsidRPr="001F5478">
              <w:rPr>
                <w:b/>
                <w:bCs/>
                <w:sz w:val="20"/>
                <w:szCs w:val="20"/>
              </w:rPr>
              <w:t>.085 (.028)</w:t>
            </w:r>
          </w:p>
        </w:tc>
      </w:tr>
      <w:tr w:rsidR="00104437" w:rsidRPr="001F5478" w14:paraId="193913F6" w14:textId="77777777" w:rsidTr="0052326A">
        <w:trPr>
          <w:trHeight w:val="182"/>
        </w:trPr>
        <w:tc>
          <w:tcPr>
            <w:tcW w:w="1143" w:type="pct"/>
          </w:tcPr>
          <w:p w14:paraId="51A2E73A" w14:textId="77777777" w:rsidR="00BB287C" w:rsidRPr="001F5478" w:rsidRDefault="00BB287C" w:rsidP="004F55CE">
            <w:pPr>
              <w:pStyle w:val="NoSpacing"/>
              <w:rPr>
                <w:sz w:val="20"/>
                <w:szCs w:val="20"/>
              </w:rPr>
            </w:pPr>
            <w:r w:rsidRPr="001F5478">
              <w:rPr>
                <w:sz w:val="20"/>
                <w:szCs w:val="20"/>
              </w:rPr>
              <w:t>Cortical gray matter volume</w:t>
            </w:r>
          </w:p>
        </w:tc>
        <w:tc>
          <w:tcPr>
            <w:tcW w:w="580" w:type="pct"/>
          </w:tcPr>
          <w:p w14:paraId="718D85B7" w14:textId="77777777" w:rsidR="00BB287C" w:rsidRPr="001F5478" w:rsidRDefault="00BB287C" w:rsidP="004F55CE">
            <w:pPr>
              <w:pStyle w:val="NoSpacing"/>
              <w:rPr>
                <w:sz w:val="20"/>
                <w:szCs w:val="20"/>
              </w:rPr>
            </w:pPr>
            <w:r w:rsidRPr="001F5478">
              <w:rPr>
                <w:sz w:val="20"/>
                <w:szCs w:val="20"/>
              </w:rPr>
              <w:t>.045 (.210)</w:t>
            </w:r>
          </w:p>
        </w:tc>
        <w:tc>
          <w:tcPr>
            <w:tcW w:w="817" w:type="pct"/>
          </w:tcPr>
          <w:p w14:paraId="5D4FC207"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.202 (.364)</w:t>
            </w:r>
          </w:p>
        </w:tc>
        <w:tc>
          <w:tcPr>
            <w:tcW w:w="610" w:type="pct"/>
          </w:tcPr>
          <w:p w14:paraId="57D36CD2" w14:textId="77777777" w:rsidR="00BB287C" w:rsidRPr="001F5478" w:rsidRDefault="00BB287C" w:rsidP="004F55CE">
            <w:pPr>
              <w:pStyle w:val="NoSpacing"/>
              <w:rPr>
                <w:sz w:val="20"/>
                <w:szCs w:val="20"/>
              </w:rPr>
            </w:pPr>
            <w:r w:rsidRPr="001F5478">
              <w:rPr>
                <w:sz w:val="20"/>
                <w:szCs w:val="20"/>
              </w:rPr>
              <w:t>.380 (.330)</w:t>
            </w:r>
          </w:p>
        </w:tc>
        <w:tc>
          <w:tcPr>
            <w:tcW w:w="580" w:type="pct"/>
          </w:tcPr>
          <w:p w14:paraId="65028BCE" w14:textId="77777777" w:rsidR="00BB287C" w:rsidRPr="001F5478" w:rsidRDefault="00BB287C" w:rsidP="004F55CE">
            <w:pPr>
              <w:pStyle w:val="NoSpacing"/>
              <w:rPr>
                <w:sz w:val="20"/>
                <w:szCs w:val="20"/>
              </w:rPr>
            </w:pPr>
            <w:r w:rsidRPr="001F5478">
              <w:rPr>
                <w:sz w:val="20"/>
                <w:szCs w:val="20"/>
              </w:rPr>
              <w:t>.020 (.020)</w:t>
            </w:r>
          </w:p>
        </w:tc>
        <w:tc>
          <w:tcPr>
            <w:tcW w:w="587" w:type="pct"/>
          </w:tcPr>
          <w:p w14:paraId="2DBA3DAC"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.014 (.036)</w:t>
            </w:r>
          </w:p>
        </w:tc>
        <w:tc>
          <w:tcPr>
            <w:tcW w:w="683" w:type="pct"/>
          </w:tcPr>
          <w:p w14:paraId="5CDCAF2C" w14:textId="77777777" w:rsidR="00BB287C" w:rsidRPr="001F5478" w:rsidRDefault="00BB287C" w:rsidP="004F55CE">
            <w:pPr>
              <w:pStyle w:val="NoSpacing"/>
              <w:rPr>
                <w:b/>
                <w:bCs/>
                <w:sz w:val="20"/>
                <w:szCs w:val="20"/>
              </w:rPr>
            </w:pPr>
            <w:r w:rsidRPr="001F5478">
              <w:rPr>
                <w:rFonts w:ascii="Arial" w:hAnsi="Arial" w:cs="Arial"/>
                <w:w w:val="250"/>
                <w:sz w:val="20"/>
                <w:szCs w:val="20"/>
              </w:rPr>
              <w:t>-</w:t>
            </w:r>
            <w:r w:rsidRPr="001F5478">
              <w:rPr>
                <w:b/>
                <w:bCs/>
                <w:sz w:val="20"/>
                <w:szCs w:val="20"/>
              </w:rPr>
              <w:t>.109 (.033)</w:t>
            </w:r>
          </w:p>
        </w:tc>
      </w:tr>
      <w:tr w:rsidR="00104437" w:rsidRPr="001F5478" w14:paraId="67E2D705" w14:textId="77777777" w:rsidTr="0052326A">
        <w:trPr>
          <w:trHeight w:val="178"/>
        </w:trPr>
        <w:tc>
          <w:tcPr>
            <w:tcW w:w="1143" w:type="pct"/>
          </w:tcPr>
          <w:p w14:paraId="3DBF8A33" w14:textId="77777777" w:rsidR="00BB287C" w:rsidRPr="001F5478" w:rsidRDefault="00BB287C" w:rsidP="004F55CE">
            <w:pPr>
              <w:pStyle w:val="NoSpacing"/>
              <w:rPr>
                <w:sz w:val="20"/>
                <w:szCs w:val="20"/>
              </w:rPr>
            </w:pPr>
            <w:r w:rsidRPr="001F5478">
              <w:rPr>
                <w:sz w:val="20"/>
                <w:szCs w:val="20"/>
              </w:rPr>
              <w:t>Right hemisphere</w:t>
            </w:r>
          </w:p>
        </w:tc>
        <w:tc>
          <w:tcPr>
            <w:tcW w:w="580" w:type="pct"/>
          </w:tcPr>
          <w:p w14:paraId="7825AB74" w14:textId="77777777" w:rsidR="00BB287C" w:rsidRPr="001F5478" w:rsidRDefault="00BB287C" w:rsidP="004F55CE">
            <w:pPr>
              <w:pStyle w:val="NoSpacing"/>
              <w:rPr>
                <w:sz w:val="20"/>
                <w:szCs w:val="20"/>
              </w:rPr>
            </w:pPr>
          </w:p>
        </w:tc>
        <w:tc>
          <w:tcPr>
            <w:tcW w:w="817" w:type="pct"/>
          </w:tcPr>
          <w:p w14:paraId="582F74AE" w14:textId="77777777" w:rsidR="00BB287C" w:rsidRPr="001F5478" w:rsidRDefault="00BB287C" w:rsidP="004F55CE">
            <w:pPr>
              <w:pStyle w:val="NoSpacing"/>
              <w:rPr>
                <w:sz w:val="20"/>
                <w:szCs w:val="20"/>
              </w:rPr>
            </w:pPr>
          </w:p>
        </w:tc>
        <w:tc>
          <w:tcPr>
            <w:tcW w:w="610" w:type="pct"/>
          </w:tcPr>
          <w:p w14:paraId="2F9C14A6" w14:textId="77777777" w:rsidR="00BB287C" w:rsidRPr="001F5478" w:rsidRDefault="00BB287C" w:rsidP="004F55CE">
            <w:pPr>
              <w:pStyle w:val="NoSpacing"/>
              <w:rPr>
                <w:sz w:val="20"/>
                <w:szCs w:val="20"/>
              </w:rPr>
            </w:pPr>
          </w:p>
        </w:tc>
        <w:tc>
          <w:tcPr>
            <w:tcW w:w="580" w:type="pct"/>
          </w:tcPr>
          <w:p w14:paraId="11D0EB31" w14:textId="77777777" w:rsidR="00BB287C" w:rsidRPr="001F5478" w:rsidRDefault="00BB287C" w:rsidP="004F55CE">
            <w:pPr>
              <w:pStyle w:val="NoSpacing"/>
              <w:rPr>
                <w:sz w:val="20"/>
                <w:szCs w:val="20"/>
              </w:rPr>
            </w:pPr>
          </w:p>
        </w:tc>
        <w:tc>
          <w:tcPr>
            <w:tcW w:w="587" w:type="pct"/>
          </w:tcPr>
          <w:p w14:paraId="16DB63D6" w14:textId="77777777" w:rsidR="00BB287C" w:rsidRPr="001F5478" w:rsidRDefault="00BB287C" w:rsidP="004F55CE">
            <w:pPr>
              <w:pStyle w:val="NoSpacing"/>
              <w:rPr>
                <w:sz w:val="20"/>
                <w:szCs w:val="20"/>
              </w:rPr>
            </w:pPr>
          </w:p>
        </w:tc>
        <w:tc>
          <w:tcPr>
            <w:tcW w:w="683" w:type="pct"/>
          </w:tcPr>
          <w:p w14:paraId="7991C295" w14:textId="77777777" w:rsidR="00BB287C" w:rsidRPr="001F5478" w:rsidRDefault="00BB287C" w:rsidP="004F55CE">
            <w:pPr>
              <w:pStyle w:val="NoSpacing"/>
              <w:rPr>
                <w:sz w:val="20"/>
                <w:szCs w:val="20"/>
              </w:rPr>
            </w:pPr>
          </w:p>
        </w:tc>
      </w:tr>
      <w:tr w:rsidR="00104437" w:rsidRPr="001F5478" w14:paraId="041BE4BA" w14:textId="77777777" w:rsidTr="0052326A">
        <w:trPr>
          <w:trHeight w:val="178"/>
        </w:trPr>
        <w:tc>
          <w:tcPr>
            <w:tcW w:w="1143" w:type="pct"/>
          </w:tcPr>
          <w:p w14:paraId="045FD5A1" w14:textId="77777777" w:rsidR="00BB287C" w:rsidRPr="001F5478" w:rsidRDefault="00BB287C" w:rsidP="004F55CE">
            <w:pPr>
              <w:pStyle w:val="NoSpacing"/>
              <w:rPr>
                <w:sz w:val="20"/>
                <w:szCs w:val="20"/>
              </w:rPr>
            </w:pPr>
            <w:r w:rsidRPr="001F5478">
              <w:rPr>
                <w:sz w:val="20"/>
                <w:szCs w:val="20"/>
              </w:rPr>
              <w:t>Lateral ventricle</w:t>
            </w:r>
          </w:p>
        </w:tc>
        <w:tc>
          <w:tcPr>
            <w:tcW w:w="580" w:type="pct"/>
          </w:tcPr>
          <w:p w14:paraId="6B9329CC"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.135 (.209)</w:t>
            </w:r>
          </w:p>
        </w:tc>
        <w:tc>
          <w:tcPr>
            <w:tcW w:w="817" w:type="pct"/>
          </w:tcPr>
          <w:p w14:paraId="07B76CAD" w14:textId="77777777" w:rsidR="00BB287C" w:rsidRPr="001F5478" w:rsidRDefault="00BB287C" w:rsidP="004F55CE">
            <w:pPr>
              <w:pStyle w:val="NoSpacing"/>
              <w:rPr>
                <w:sz w:val="20"/>
                <w:szCs w:val="20"/>
              </w:rPr>
            </w:pPr>
            <w:r w:rsidRPr="001F5478">
              <w:rPr>
                <w:sz w:val="20"/>
                <w:szCs w:val="20"/>
              </w:rPr>
              <w:t>.645 (.362)</w:t>
            </w:r>
          </w:p>
        </w:tc>
        <w:tc>
          <w:tcPr>
            <w:tcW w:w="610" w:type="pct"/>
          </w:tcPr>
          <w:p w14:paraId="22D0DC2D" w14:textId="77777777" w:rsidR="00BB287C" w:rsidRPr="001F5478" w:rsidRDefault="00BB287C" w:rsidP="004F55CE">
            <w:pPr>
              <w:pStyle w:val="NoSpacing"/>
              <w:rPr>
                <w:sz w:val="20"/>
                <w:szCs w:val="20"/>
              </w:rPr>
            </w:pPr>
            <w:r w:rsidRPr="001F5478">
              <w:rPr>
                <w:sz w:val="20"/>
                <w:szCs w:val="20"/>
              </w:rPr>
              <w:t>.035 (.328)</w:t>
            </w:r>
          </w:p>
        </w:tc>
        <w:tc>
          <w:tcPr>
            <w:tcW w:w="580" w:type="pct"/>
          </w:tcPr>
          <w:p w14:paraId="419B6E15"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.018 (.009)</w:t>
            </w:r>
          </w:p>
        </w:tc>
        <w:tc>
          <w:tcPr>
            <w:tcW w:w="587" w:type="pct"/>
          </w:tcPr>
          <w:p w14:paraId="02DAFD44"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.003 (.016)</w:t>
            </w:r>
          </w:p>
        </w:tc>
        <w:tc>
          <w:tcPr>
            <w:tcW w:w="683" w:type="pct"/>
          </w:tcPr>
          <w:p w14:paraId="2632C0D1" w14:textId="77777777" w:rsidR="00BB287C" w:rsidRPr="001F5478" w:rsidRDefault="00BB287C" w:rsidP="004F55CE">
            <w:pPr>
              <w:pStyle w:val="NoSpacing"/>
              <w:rPr>
                <w:sz w:val="20"/>
                <w:szCs w:val="20"/>
              </w:rPr>
            </w:pPr>
            <w:r w:rsidRPr="001F5478">
              <w:rPr>
                <w:sz w:val="20"/>
                <w:szCs w:val="20"/>
              </w:rPr>
              <w:t>.028 (.015)</w:t>
            </w:r>
          </w:p>
        </w:tc>
      </w:tr>
      <w:tr w:rsidR="00104437" w:rsidRPr="001F5478" w14:paraId="5DFC409B" w14:textId="77777777" w:rsidTr="0052326A">
        <w:trPr>
          <w:trHeight w:val="180"/>
        </w:trPr>
        <w:tc>
          <w:tcPr>
            <w:tcW w:w="1143" w:type="pct"/>
          </w:tcPr>
          <w:p w14:paraId="3D227309" w14:textId="77777777" w:rsidR="00BB287C" w:rsidRPr="001F5478" w:rsidRDefault="00BB287C" w:rsidP="004F55CE">
            <w:pPr>
              <w:pStyle w:val="NoSpacing"/>
              <w:rPr>
                <w:sz w:val="20"/>
                <w:szCs w:val="20"/>
              </w:rPr>
            </w:pPr>
            <w:r w:rsidRPr="001F5478">
              <w:rPr>
                <w:sz w:val="20"/>
                <w:szCs w:val="20"/>
              </w:rPr>
              <w:t>Inferior lateral ventricle</w:t>
            </w:r>
          </w:p>
        </w:tc>
        <w:tc>
          <w:tcPr>
            <w:tcW w:w="580" w:type="pct"/>
          </w:tcPr>
          <w:p w14:paraId="6DA3F456"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.099 (.186)</w:t>
            </w:r>
          </w:p>
        </w:tc>
        <w:tc>
          <w:tcPr>
            <w:tcW w:w="817" w:type="pct"/>
          </w:tcPr>
          <w:p w14:paraId="45E17FCD" w14:textId="77777777" w:rsidR="00BB287C" w:rsidRPr="001F5478" w:rsidRDefault="00BB287C" w:rsidP="004F55CE">
            <w:pPr>
              <w:pStyle w:val="NoSpacing"/>
              <w:rPr>
                <w:sz w:val="20"/>
                <w:szCs w:val="20"/>
              </w:rPr>
            </w:pPr>
            <w:r w:rsidRPr="001F5478">
              <w:rPr>
                <w:sz w:val="20"/>
                <w:szCs w:val="20"/>
              </w:rPr>
              <w:t>.378 (.322)</w:t>
            </w:r>
          </w:p>
        </w:tc>
        <w:tc>
          <w:tcPr>
            <w:tcW w:w="610" w:type="pct"/>
          </w:tcPr>
          <w:p w14:paraId="76F0BF59"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.190 (.292)</w:t>
            </w:r>
          </w:p>
        </w:tc>
        <w:tc>
          <w:tcPr>
            <w:tcW w:w="580" w:type="pct"/>
          </w:tcPr>
          <w:p w14:paraId="0CE9BE68"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.039 (.021)</w:t>
            </w:r>
          </w:p>
        </w:tc>
        <w:tc>
          <w:tcPr>
            <w:tcW w:w="587" w:type="pct"/>
          </w:tcPr>
          <w:p w14:paraId="7E3A6608" w14:textId="77777777" w:rsidR="00BB287C" w:rsidRPr="001F5478" w:rsidRDefault="00BB287C" w:rsidP="004F55CE">
            <w:pPr>
              <w:pStyle w:val="NoSpacing"/>
              <w:rPr>
                <w:sz w:val="20"/>
                <w:szCs w:val="20"/>
              </w:rPr>
            </w:pPr>
            <w:r w:rsidRPr="001F5478">
              <w:rPr>
                <w:sz w:val="20"/>
                <w:szCs w:val="20"/>
              </w:rPr>
              <w:t>.018 (.036)</w:t>
            </w:r>
          </w:p>
        </w:tc>
        <w:tc>
          <w:tcPr>
            <w:tcW w:w="683" w:type="pct"/>
          </w:tcPr>
          <w:p w14:paraId="21694156" w14:textId="77777777" w:rsidR="00BB287C" w:rsidRPr="001F5478" w:rsidRDefault="00BB287C" w:rsidP="004F55CE">
            <w:pPr>
              <w:pStyle w:val="NoSpacing"/>
              <w:rPr>
                <w:b/>
                <w:bCs/>
                <w:sz w:val="20"/>
                <w:szCs w:val="20"/>
              </w:rPr>
            </w:pPr>
            <w:r w:rsidRPr="001F5478">
              <w:rPr>
                <w:b/>
                <w:bCs/>
                <w:sz w:val="20"/>
                <w:szCs w:val="20"/>
              </w:rPr>
              <w:t>.121 (.033)</w:t>
            </w:r>
          </w:p>
        </w:tc>
      </w:tr>
      <w:tr w:rsidR="00104437" w:rsidRPr="001F5478" w14:paraId="76ACF05E" w14:textId="77777777" w:rsidTr="0052326A">
        <w:trPr>
          <w:trHeight w:val="180"/>
        </w:trPr>
        <w:tc>
          <w:tcPr>
            <w:tcW w:w="1143" w:type="pct"/>
          </w:tcPr>
          <w:p w14:paraId="31475546" w14:textId="77777777" w:rsidR="00BB287C" w:rsidRPr="001F5478" w:rsidRDefault="00BB287C" w:rsidP="004F55CE">
            <w:pPr>
              <w:pStyle w:val="NoSpacing"/>
              <w:rPr>
                <w:sz w:val="20"/>
                <w:szCs w:val="20"/>
              </w:rPr>
            </w:pPr>
            <w:r w:rsidRPr="001F5478">
              <w:rPr>
                <w:sz w:val="20"/>
                <w:szCs w:val="20"/>
              </w:rPr>
              <w:t>Hippocampus</w:t>
            </w:r>
          </w:p>
        </w:tc>
        <w:tc>
          <w:tcPr>
            <w:tcW w:w="580" w:type="pct"/>
          </w:tcPr>
          <w:p w14:paraId="189F258A" w14:textId="77777777" w:rsidR="00BB287C" w:rsidRPr="001F5478" w:rsidRDefault="00BB287C" w:rsidP="004F55CE">
            <w:pPr>
              <w:pStyle w:val="NoSpacing"/>
              <w:rPr>
                <w:sz w:val="20"/>
                <w:szCs w:val="20"/>
              </w:rPr>
            </w:pPr>
            <w:r w:rsidRPr="001F5478">
              <w:rPr>
                <w:sz w:val="20"/>
                <w:szCs w:val="20"/>
              </w:rPr>
              <w:t>.311 (.200)</w:t>
            </w:r>
          </w:p>
        </w:tc>
        <w:tc>
          <w:tcPr>
            <w:tcW w:w="817" w:type="pct"/>
          </w:tcPr>
          <w:p w14:paraId="2C6FE112"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.486 (.346)</w:t>
            </w:r>
          </w:p>
        </w:tc>
        <w:tc>
          <w:tcPr>
            <w:tcW w:w="610" w:type="pct"/>
          </w:tcPr>
          <w:p w14:paraId="5B1A4362"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.565 (.314)</w:t>
            </w:r>
          </w:p>
        </w:tc>
        <w:tc>
          <w:tcPr>
            <w:tcW w:w="580" w:type="pct"/>
          </w:tcPr>
          <w:p w14:paraId="1997EA42" w14:textId="77777777" w:rsidR="00BB287C" w:rsidRPr="001F5478" w:rsidRDefault="00BB287C" w:rsidP="004F55CE">
            <w:pPr>
              <w:pStyle w:val="NoSpacing"/>
              <w:rPr>
                <w:sz w:val="20"/>
                <w:szCs w:val="20"/>
              </w:rPr>
            </w:pPr>
            <w:r w:rsidRPr="001F5478">
              <w:rPr>
                <w:sz w:val="20"/>
                <w:szCs w:val="20"/>
              </w:rPr>
              <w:t>.025 (.019)</w:t>
            </w:r>
          </w:p>
        </w:tc>
        <w:tc>
          <w:tcPr>
            <w:tcW w:w="587" w:type="pct"/>
          </w:tcPr>
          <w:p w14:paraId="7402AFC7" w14:textId="77777777" w:rsidR="00BB287C" w:rsidRPr="001F5478" w:rsidRDefault="00BB287C" w:rsidP="004F55CE">
            <w:pPr>
              <w:pStyle w:val="NoSpacing"/>
              <w:rPr>
                <w:sz w:val="20"/>
                <w:szCs w:val="20"/>
              </w:rPr>
            </w:pPr>
            <w:r w:rsidRPr="001F5478">
              <w:rPr>
                <w:sz w:val="20"/>
                <w:szCs w:val="20"/>
              </w:rPr>
              <w:t>.007 (.033)</w:t>
            </w:r>
          </w:p>
        </w:tc>
        <w:tc>
          <w:tcPr>
            <w:tcW w:w="683" w:type="pct"/>
          </w:tcPr>
          <w:p w14:paraId="261E6246" w14:textId="77777777" w:rsidR="00BB287C" w:rsidRPr="001F5478" w:rsidRDefault="00BB287C" w:rsidP="004F55CE">
            <w:pPr>
              <w:pStyle w:val="NoSpacing"/>
              <w:rPr>
                <w:b/>
                <w:bCs/>
                <w:sz w:val="20"/>
                <w:szCs w:val="20"/>
              </w:rPr>
            </w:pPr>
            <w:r w:rsidRPr="001F5478">
              <w:rPr>
                <w:rFonts w:ascii="Arial" w:hAnsi="Arial" w:cs="Arial"/>
                <w:w w:val="250"/>
                <w:sz w:val="20"/>
                <w:szCs w:val="20"/>
              </w:rPr>
              <w:t>-</w:t>
            </w:r>
            <w:r w:rsidRPr="001F5478">
              <w:rPr>
                <w:b/>
                <w:bCs/>
                <w:sz w:val="20"/>
                <w:szCs w:val="20"/>
              </w:rPr>
              <w:t>.072 (.030)</w:t>
            </w:r>
          </w:p>
        </w:tc>
      </w:tr>
      <w:tr w:rsidR="00104437" w:rsidRPr="001F5478" w14:paraId="0A2C738F" w14:textId="77777777" w:rsidTr="0052326A">
        <w:trPr>
          <w:trHeight w:val="183"/>
        </w:trPr>
        <w:tc>
          <w:tcPr>
            <w:tcW w:w="1143" w:type="pct"/>
          </w:tcPr>
          <w:p w14:paraId="638E374A" w14:textId="77777777" w:rsidR="00BB287C" w:rsidRPr="001F5478" w:rsidRDefault="00BB287C" w:rsidP="004F55CE">
            <w:pPr>
              <w:pStyle w:val="NoSpacing"/>
              <w:rPr>
                <w:sz w:val="20"/>
                <w:szCs w:val="20"/>
              </w:rPr>
            </w:pPr>
            <w:r w:rsidRPr="001F5478">
              <w:rPr>
                <w:sz w:val="20"/>
                <w:szCs w:val="20"/>
              </w:rPr>
              <w:t>Cortical gray matter volume</w:t>
            </w:r>
          </w:p>
        </w:tc>
        <w:tc>
          <w:tcPr>
            <w:tcW w:w="580" w:type="pct"/>
          </w:tcPr>
          <w:p w14:paraId="61EBF682" w14:textId="77777777" w:rsidR="00BB287C" w:rsidRPr="001F5478" w:rsidRDefault="00BB287C" w:rsidP="004F55CE">
            <w:pPr>
              <w:pStyle w:val="NoSpacing"/>
              <w:rPr>
                <w:sz w:val="20"/>
                <w:szCs w:val="20"/>
              </w:rPr>
            </w:pPr>
            <w:r w:rsidRPr="001F5478">
              <w:rPr>
                <w:sz w:val="20"/>
                <w:szCs w:val="20"/>
              </w:rPr>
              <w:t>.022 (.207)</w:t>
            </w:r>
          </w:p>
        </w:tc>
        <w:tc>
          <w:tcPr>
            <w:tcW w:w="817" w:type="pct"/>
          </w:tcPr>
          <w:p w14:paraId="345CD742"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.057 (.359)</w:t>
            </w:r>
          </w:p>
        </w:tc>
        <w:tc>
          <w:tcPr>
            <w:tcW w:w="610" w:type="pct"/>
          </w:tcPr>
          <w:p w14:paraId="68BAC662" w14:textId="77777777" w:rsidR="00BB287C" w:rsidRPr="001F5478" w:rsidRDefault="00BB287C" w:rsidP="004F55CE">
            <w:pPr>
              <w:pStyle w:val="NoSpacing"/>
              <w:rPr>
                <w:sz w:val="20"/>
                <w:szCs w:val="20"/>
              </w:rPr>
            </w:pPr>
            <w:r w:rsidRPr="001F5478">
              <w:rPr>
                <w:sz w:val="20"/>
                <w:szCs w:val="20"/>
              </w:rPr>
              <w:t>.424 (.325)</w:t>
            </w:r>
          </w:p>
        </w:tc>
        <w:tc>
          <w:tcPr>
            <w:tcW w:w="580" w:type="pct"/>
          </w:tcPr>
          <w:p w14:paraId="60597B69" w14:textId="77777777" w:rsidR="00BB287C" w:rsidRPr="001F5478" w:rsidRDefault="00BB287C" w:rsidP="004F55CE">
            <w:pPr>
              <w:pStyle w:val="NoSpacing"/>
              <w:rPr>
                <w:sz w:val="20"/>
                <w:szCs w:val="20"/>
              </w:rPr>
            </w:pPr>
            <w:r w:rsidRPr="001F5478">
              <w:rPr>
                <w:sz w:val="20"/>
                <w:szCs w:val="20"/>
              </w:rPr>
              <w:t>.011 (.019)</w:t>
            </w:r>
          </w:p>
        </w:tc>
        <w:tc>
          <w:tcPr>
            <w:tcW w:w="587" w:type="pct"/>
          </w:tcPr>
          <w:p w14:paraId="63E054DE" w14:textId="77777777" w:rsidR="00BB287C" w:rsidRPr="001F5478" w:rsidRDefault="00BB287C" w:rsidP="004F55CE">
            <w:pPr>
              <w:pStyle w:val="NoSpacing"/>
              <w:rPr>
                <w:sz w:val="20"/>
                <w:szCs w:val="20"/>
              </w:rPr>
            </w:pPr>
            <w:r w:rsidRPr="001F5478">
              <w:rPr>
                <w:rFonts w:ascii="Arial" w:hAnsi="Arial" w:cs="Arial"/>
                <w:w w:val="250"/>
                <w:sz w:val="20"/>
                <w:szCs w:val="20"/>
              </w:rPr>
              <w:t>-</w:t>
            </w:r>
            <w:r w:rsidRPr="001F5478">
              <w:rPr>
                <w:sz w:val="20"/>
                <w:szCs w:val="20"/>
              </w:rPr>
              <w:t>.041 (.033)</w:t>
            </w:r>
          </w:p>
        </w:tc>
        <w:tc>
          <w:tcPr>
            <w:tcW w:w="683" w:type="pct"/>
          </w:tcPr>
          <w:p w14:paraId="3024ADCE" w14:textId="77777777" w:rsidR="00BB287C" w:rsidRPr="001F5478" w:rsidRDefault="00BB287C" w:rsidP="004F55CE">
            <w:pPr>
              <w:pStyle w:val="NoSpacing"/>
              <w:rPr>
                <w:b/>
                <w:bCs/>
                <w:sz w:val="20"/>
                <w:szCs w:val="20"/>
              </w:rPr>
            </w:pPr>
            <w:r w:rsidRPr="001F5478">
              <w:rPr>
                <w:rFonts w:ascii="Arial" w:hAnsi="Arial" w:cs="Arial"/>
                <w:w w:val="250"/>
                <w:sz w:val="20"/>
                <w:szCs w:val="20"/>
              </w:rPr>
              <w:t>-</w:t>
            </w:r>
            <w:r w:rsidRPr="001F5478">
              <w:rPr>
                <w:b/>
                <w:bCs/>
                <w:sz w:val="20"/>
                <w:szCs w:val="20"/>
              </w:rPr>
              <w:t>.091 (.030)</w:t>
            </w:r>
          </w:p>
        </w:tc>
      </w:tr>
    </w:tbl>
    <w:p w14:paraId="123B9ABE" w14:textId="77777777" w:rsidR="001F5478"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br/>
      </w:r>
      <w:r w:rsidRPr="00F72A65">
        <w:rPr>
          <w:rFonts w:asciiTheme="minorHAnsi" w:hAnsiTheme="minorHAnsi" w:cstheme="minorHAnsi"/>
          <w:color w:val="333333"/>
          <w:sz w:val="20"/>
          <w:szCs w:val="20"/>
        </w:rPr>
        <w:br/>
      </w:r>
      <w:r w:rsidRPr="00F72A65">
        <w:rPr>
          <w:rFonts w:asciiTheme="minorHAnsi" w:hAnsiTheme="minorHAnsi" w:cstheme="minorHAnsi"/>
          <w:noProof/>
          <w:color w:val="333333"/>
          <w:sz w:val="20"/>
          <w:szCs w:val="20"/>
          <w:bdr w:val="none" w:sz="0" w:space="0" w:color="auto" w:frame="1"/>
        </w:rPr>
        <w:drawing>
          <wp:inline distT="0" distB="0" distL="0" distR="0" wp14:anchorId="6EC35A4E" wp14:editId="13AC2D1D">
            <wp:extent cx="2743200" cy="4352544"/>
            <wp:effectExtent l="0" t="0" r="0" b="0"/>
            <wp:docPr id="1" name="Picture 1" descr="Figure 1. Regression lines depicting baseline and predicted annualized rates of change in volumes (in standard score units, adjusted for age and intracranial volume) over the 5-year study period by group. ε4− = ε4 noncarrier; ε4+ stable = cognitively stable ε4 carrier; ε4+ declining = cognitively declining ε4 carrier; L = left; R =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4352544"/>
                    </a:xfrm>
                    <a:prstGeom prst="rect">
                      <a:avLst/>
                    </a:prstGeom>
                    <a:noFill/>
                    <a:ln>
                      <a:noFill/>
                    </a:ln>
                  </pic:spPr>
                </pic:pic>
              </a:graphicData>
            </a:graphic>
          </wp:inline>
        </w:drawing>
      </w:r>
    </w:p>
    <w:p w14:paraId="23DE24FF" w14:textId="5AFF2842" w:rsidR="003A0A2B" w:rsidRDefault="003A0A2B" w:rsidP="003F26DF">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r w:rsidRPr="00F72A65">
        <w:rPr>
          <w:rStyle w:val="Emphasis"/>
          <w:rFonts w:asciiTheme="minorHAnsi" w:eastAsiaTheme="majorEastAsia" w:hAnsiTheme="minorHAnsi" w:cstheme="minorHAnsi"/>
          <w:color w:val="333333"/>
          <w:sz w:val="20"/>
          <w:szCs w:val="20"/>
          <w:bdr w:val="none" w:sz="0" w:space="0" w:color="auto" w:frame="1"/>
        </w:rPr>
        <w:t>Figure 1. Regression lines depicting baseline and predicted annualized rates of change in volumes (in standard score units, adjusted for age and intracranial volume) over the 5-year study period by group. ε4− = ε4 noncarrier; ε4+ stable = cognitively stable ε4 carrier; ε4+ declining = cognitively declining ε4 carrier; L = left; R = right.</w:t>
      </w:r>
    </w:p>
    <w:p w14:paraId="09B860DE" w14:textId="77777777" w:rsidR="00FE0CA2" w:rsidRPr="00F72A65" w:rsidRDefault="00FE0CA2"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C3E1784" w14:textId="77777777"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In a direct comparison of the two ε4+ groups, the ε4+ declining group exhibited significantly greater atrophy of the right hippocampus (</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rPr>
        <w:t> = .030, </w:t>
      </w:r>
      <w:r w:rsidRPr="00F72A65">
        <w:rPr>
          <w:rStyle w:val="Emphasis"/>
          <w:rFonts w:asciiTheme="minorHAnsi" w:eastAsiaTheme="majorEastAsia" w:hAnsiTheme="minorHAnsi" w:cstheme="minorHAnsi"/>
          <w:color w:val="333333"/>
          <w:sz w:val="20"/>
          <w:szCs w:val="20"/>
          <w:bdr w:val="none" w:sz="0" w:space="0" w:color="auto" w:frame="1"/>
        </w:rPr>
        <w:t>d</w:t>
      </w:r>
      <w:r w:rsidRPr="00F72A65">
        <w:rPr>
          <w:rFonts w:asciiTheme="minorHAnsi" w:hAnsiTheme="minorHAnsi" w:cstheme="minorHAnsi"/>
          <w:color w:val="333333"/>
          <w:sz w:val="20"/>
          <w:szCs w:val="20"/>
        </w:rPr>
        <w:t> = .457) and left cortical gray matter (</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rPr>
        <w:t> = .017, </w:t>
      </w:r>
      <w:r w:rsidRPr="00F72A65">
        <w:rPr>
          <w:rStyle w:val="Emphasis"/>
          <w:rFonts w:asciiTheme="minorHAnsi" w:eastAsiaTheme="majorEastAsia" w:hAnsiTheme="minorHAnsi" w:cstheme="minorHAnsi"/>
          <w:color w:val="333333"/>
          <w:sz w:val="20"/>
          <w:szCs w:val="20"/>
          <w:bdr w:val="none" w:sz="0" w:space="0" w:color="auto" w:frame="1"/>
        </w:rPr>
        <w:t>d</w:t>
      </w:r>
      <w:r w:rsidRPr="00F72A65">
        <w:rPr>
          <w:rFonts w:asciiTheme="minorHAnsi" w:hAnsiTheme="minorHAnsi" w:cstheme="minorHAnsi"/>
          <w:color w:val="333333"/>
          <w:sz w:val="20"/>
          <w:szCs w:val="20"/>
        </w:rPr>
        <w:t> = .506) and expansion of the right inferior lateral ventricle (</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rPr>
        <w:t> = .011, </w:t>
      </w:r>
      <w:r w:rsidRPr="00F72A65">
        <w:rPr>
          <w:rStyle w:val="Emphasis"/>
          <w:rFonts w:asciiTheme="minorHAnsi" w:eastAsiaTheme="majorEastAsia" w:hAnsiTheme="minorHAnsi" w:cstheme="minorHAnsi"/>
          <w:color w:val="333333"/>
          <w:sz w:val="20"/>
          <w:szCs w:val="20"/>
          <w:bdr w:val="none" w:sz="0" w:space="0" w:color="auto" w:frame="1"/>
        </w:rPr>
        <w:t>d</w:t>
      </w:r>
      <w:r w:rsidRPr="00F72A65">
        <w:rPr>
          <w:rFonts w:asciiTheme="minorHAnsi" w:hAnsiTheme="minorHAnsi" w:cstheme="minorHAnsi"/>
          <w:color w:val="333333"/>
          <w:sz w:val="20"/>
          <w:szCs w:val="20"/>
        </w:rPr>
        <w:t> = .541) than the ε4+ stable group over the 5-year interval. These findings reflect medium effect sizes. However, these three interaction effects did not survive FDR correction likely due to the small sample size.</w:t>
      </w:r>
    </w:p>
    <w:p w14:paraId="76FDB393" w14:textId="474C2509" w:rsidR="003A0A2B" w:rsidRPr="00F72A65" w:rsidRDefault="00E168FC" w:rsidP="00FE0CA2">
      <w:pPr>
        <w:pStyle w:val="Heading1"/>
        <w:rPr>
          <w:rFonts w:asciiTheme="minorHAnsi" w:hAnsiTheme="minorHAnsi" w:cstheme="minorHAnsi"/>
          <w:sz w:val="24"/>
          <w:szCs w:val="24"/>
        </w:rPr>
      </w:pPr>
      <w:hyperlink r:id="rId40" w:anchor="toc" w:tooltip="Discussion" w:history="1">
        <w:r w:rsidR="003A0A2B" w:rsidRPr="00FE0CA2">
          <w:rPr>
            <w:rStyle w:val="Hyperlink"/>
            <w:color w:val="262626" w:themeColor="text1" w:themeTint="D9"/>
            <w:u w:val="none"/>
          </w:rPr>
          <w:t>Discussion</w:t>
        </w:r>
      </w:hyperlink>
    </w:p>
    <w:p w14:paraId="7DDF0EE7" w14:textId="4F35A8E7" w:rsidR="003A0A2B"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Results confirmed our hypothesis that the ε4 group that exhibited a decline in verbal episodic memory and global cognitive function over the 5-year retest interval exhibited greater brain atrophy than ε4 noncarriers. In contrast, ε4 carriers who experienced no significant 5-year changes in memory and cognitive test performance exhibited atrophy rates comparable to ε4 noncarriers. The greater atrophy rates in the ε4+ declining group occurred bilaterally in the hippocampi and global gray matter and in the right inferior lateral ventricle. Importantly, the three groups showed no differences in brain volumes at the baseline examination. Furthermore, all participants were cognitively intact at enrollment as an entry criterion and did not differ from each other on measures of episodic memory or global cognition at baseline.</w:t>
      </w:r>
    </w:p>
    <w:p w14:paraId="589D8F91" w14:textId="77777777" w:rsidR="00FE0CA2" w:rsidRPr="00F72A65" w:rsidRDefault="00FE0CA2"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14BA189" w14:textId="77777777"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ε4 carriers exhibit significantly greater rates of hippocampal and cortical gray matter atrophy and ventricular enlargement than ε4 noncarriers (</w:t>
      </w:r>
      <w:hyperlink r:id="rId41" w:anchor="c17" w:history="1">
        <w:r w:rsidRPr="00F72A65">
          <w:rPr>
            <w:rStyle w:val="Hyperlink"/>
            <w:rFonts w:asciiTheme="minorHAnsi" w:eastAsiaTheme="majorEastAsia" w:hAnsiTheme="minorHAnsi" w:cstheme="minorHAnsi"/>
            <w:color w:val="005BC6"/>
            <w:sz w:val="20"/>
            <w:szCs w:val="20"/>
            <w:bdr w:val="none" w:sz="0" w:space="0" w:color="auto" w:frame="1"/>
          </w:rPr>
          <w:t>Reiter et al., 2016</w:t>
        </w:r>
      </w:hyperlink>
      <w:r w:rsidRPr="00F72A65">
        <w:rPr>
          <w:rFonts w:asciiTheme="minorHAnsi" w:hAnsiTheme="minorHAnsi" w:cstheme="minorHAnsi"/>
          <w:color w:val="333333"/>
          <w:sz w:val="20"/>
          <w:szCs w:val="20"/>
        </w:rPr>
        <w:t>). Results from the current study indicate that these group differences may be driven by a subset of ε4 carriers who exhibited cognitive decline over the 5-year retest interval. This study demonstrates the correspondence between longitudinal changes in cognition and brain volumes in a subgroup of ε4 carriers, a finding that has not previously received significant attention in the literature.</w:t>
      </w:r>
    </w:p>
    <w:p w14:paraId="34E682C8" w14:textId="77777777" w:rsidR="00DB5721" w:rsidRDefault="00DB5721"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D80FB14" w14:textId="5522D8DD"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Whereas possession of the ε4 allele increases risk of AD, not all ε4 carriers demonstrate AD-related neurodegeneration during their life span (</w:t>
      </w:r>
      <w:proofErr w:type="spellStart"/>
      <w:r w:rsidRPr="00F72A65">
        <w:rPr>
          <w:rFonts w:asciiTheme="minorHAnsi" w:hAnsiTheme="minorHAnsi" w:cstheme="minorHAnsi"/>
          <w:color w:val="333333"/>
          <w:sz w:val="20"/>
          <w:szCs w:val="20"/>
        </w:rPr>
        <w:fldChar w:fldCharType="begin"/>
      </w:r>
      <w:r w:rsidRPr="00F72A65">
        <w:rPr>
          <w:rFonts w:asciiTheme="minorHAnsi" w:hAnsiTheme="minorHAnsi" w:cstheme="minorHAnsi"/>
          <w:color w:val="333333"/>
          <w:sz w:val="20"/>
          <w:szCs w:val="20"/>
        </w:rPr>
        <w:instrText xml:space="preserve"> HYPERLINK "https://0-web-b-ebscohost-com.libus.csd.mu.edu/ehost/detail/detail?vid=2&amp;sid=e4b036ec-461a-47a7-bc9e-307d3aa3ff5a%40sessionmgr101&amp;bdata=JnNpdGU9ZWhvc3QtbGl2ZQ%3d%3d" \l "c18" </w:instrText>
      </w:r>
      <w:r w:rsidRPr="00F72A65">
        <w:rPr>
          <w:rFonts w:asciiTheme="minorHAnsi" w:hAnsiTheme="minorHAnsi" w:cstheme="minorHAnsi"/>
          <w:color w:val="333333"/>
          <w:sz w:val="20"/>
          <w:szCs w:val="20"/>
        </w:rPr>
        <w:fldChar w:fldCharType="separate"/>
      </w:r>
      <w:r w:rsidRPr="00F72A65">
        <w:rPr>
          <w:rStyle w:val="Hyperlink"/>
          <w:rFonts w:asciiTheme="minorHAnsi" w:eastAsiaTheme="majorEastAsia" w:hAnsiTheme="minorHAnsi" w:cstheme="minorHAnsi"/>
          <w:color w:val="005BC6"/>
          <w:sz w:val="20"/>
          <w:szCs w:val="20"/>
          <w:bdr w:val="none" w:sz="0" w:space="0" w:color="auto" w:frame="1"/>
        </w:rPr>
        <w:t>Relkin</w:t>
      </w:r>
      <w:proofErr w:type="spellEnd"/>
      <w:r w:rsidRPr="00F72A65">
        <w:rPr>
          <w:rStyle w:val="Hyperlink"/>
          <w:rFonts w:asciiTheme="minorHAnsi" w:eastAsiaTheme="majorEastAsia" w:hAnsiTheme="minorHAnsi" w:cstheme="minorHAnsi"/>
          <w:color w:val="005BC6"/>
          <w:sz w:val="20"/>
          <w:szCs w:val="20"/>
          <w:bdr w:val="none" w:sz="0" w:space="0" w:color="auto" w:frame="1"/>
        </w:rPr>
        <w:t xml:space="preserve"> et al., 1996</w:t>
      </w:r>
      <w:r w:rsidRPr="00F72A65">
        <w:rPr>
          <w:rFonts w:asciiTheme="minorHAnsi" w:hAnsiTheme="minorHAnsi" w:cstheme="minorHAnsi"/>
          <w:color w:val="333333"/>
          <w:sz w:val="20"/>
          <w:szCs w:val="20"/>
        </w:rPr>
        <w:fldChar w:fldCharType="end"/>
      </w:r>
      <w:r w:rsidRPr="00F72A65">
        <w:rPr>
          <w:rFonts w:asciiTheme="minorHAnsi" w:hAnsiTheme="minorHAnsi" w:cstheme="minorHAnsi"/>
          <w:color w:val="333333"/>
          <w:sz w:val="20"/>
          <w:szCs w:val="20"/>
        </w:rPr>
        <w:t>). Given the increasing risk of AD with increasing age (</w:t>
      </w:r>
      <w:hyperlink r:id="rId42" w:anchor="c7" w:history="1">
        <w:r w:rsidRPr="00F72A65">
          <w:rPr>
            <w:rStyle w:val="Hyperlink"/>
            <w:rFonts w:asciiTheme="minorHAnsi" w:eastAsiaTheme="majorEastAsia" w:hAnsiTheme="minorHAnsi" w:cstheme="minorHAnsi"/>
            <w:color w:val="005BC6"/>
            <w:sz w:val="20"/>
            <w:szCs w:val="20"/>
            <w:bdr w:val="none" w:sz="0" w:space="0" w:color="auto" w:frame="1"/>
          </w:rPr>
          <w:t>Hebert et al., 1995</w:t>
        </w:r>
      </w:hyperlink>
      <w:r w:rsidRPr="00F72A65">
        <w:rPr>
          <w:rFonts w:asciiTheme="minorHAnsi" w:hAnsiTheme="minorHAnsi" w:cstheme="minorHAnsi"/>
          <w:color w:val="333333"/>
          <w:sz w:val="20"/>
          <w:szCs w:val="20"/>
        </w:rPr>
        <w:t>), it is conceivable that a longer follow-up interval would be needed to see such changes in our stable ε4 carriers. However, our ε4+ declining and stable groups did not differ in mean age. There are also data to suggest that the increased risk of developing AD in the presence of the ε4 allele diminishes after the age of 80 (</w:t>
      </w:r>
      <w:proofErr w:type="spellStart"/>
      <w:r w:rsidRPr="00F72A65">
        <w:rPr>
          <w:rFonts w:asciiTheme="minorHAnsi" w:hAnsiTheme="minorHAnsi" w:cstheme="minorHAnsi"/>
          <w:color w:val="333333"/>
          <w:sz w:val="20"/>
          <w:szCs w:val="20"/>
        </w:rPr>
        <w:fldChar w:fldCharType="begin"/>
      </w:r>
      <w:r w:rsidRPr="00F72A65">
        <w:rPr>
          <w:rFonts w:asciiTheme="minorHAnsi" w:hAnsiTheme="minorHAnsi" w:cstheme="minorHAnsi"/>
          <w:color w:val="333333"/>
          <w:sz w:val="20"/>
          <w:szCs w:val="20"/>
        </w:rPr>
        <w:instrText xml:space="preserve"> HYPERLINK "https://0-web-b-ebscohost-com.libus.csd.mu.edu/ehost/detail/detail?vid=2&amp;sid=e4b036ec-461a-47a7-bc9e-307d3aa3ff5a%40sessionmgr101&amp;bdata=JnNpdGU9ZWhvc3QtbGl2ZQ%3d%3d" \l "c2" </w:instrText>
      </w:r>
      <w:r w:rsidRPr="00F72A65">
        <w:rPr>
          <w:rFonts w:asciiTheme="minorHAnsi" w:hAnsiTheme="minorHAnsi" w:cstheme="minorHAnsi"/>
          <w:color w:val="333333"/>
          <w:sz w:val="20"/>
          <w:szCs w:val="20"/>
        </w:rPr>
        <w:fldChar w:fldCharType="separate"/>
      </w:r>
      <w:r w:rsidRPr="00F72A65">
        <w:rPr>
          <w:rStyle w:val="Hyperlink"/>
          <w:rFonts w:asciiTheme="minorHAnsi" w:eastAsiaTheme="majorEastAsia" w:hAnsiTheme="minorHAnsi" w:cstheme="minorHAnsi"/>
          <w:color w:val="005BC6"/>
          <w:sz w:val="20"/>
          <w:szCs w:val="20"/>
          <w:bdr w:val="none" w:sz="0" w:space="0" w:color="auto" w:frame="1"/>
        </w:rPr>
        <w:t>Breitner</w:t>
      </w:r>
      <w:proofErr w:type="spellEnd"/>
      <w:r w:rsidRPr="00F72A65">
        <w:rPr>
          <w:rStyle w:val="Hyperlink"/>
          <w:rFonts w:asciiTheme="minorHAnsi" w:eastAsiaTheme="majorEastAsia" w:hAnsiTheme="minorHAnsi" w:cstheme="minorHAnsi"/>
          <w:color w:val="005BC6"/>
          <w:sz w:val="20"/>
          <w:szCs w:val="20"/>
          <w:bdr w:val="none" w:sz="0" w:space="0" w:color="auto" w:frame="1"/>
        </w:rPr>
        <w:t xml:space="preserve"> et al., 1999</w:t>
      </w:r>
      <w:r w:rsidRPr="00F72A65">
        <w:rPr>
          <w:rFonts w:asciiTheme="minorHAnsi" w:hAnsiTheme="minorHAnsi" w:cstheme="minorHAnsi"/>
          <w:color w:val="333333"/>
          <w:sz w:val="20"/>
          <w:szCs w:val="20"/>
        </w:rPr>
        <w:fldChar w:fldCharType="end"/>
      </w:r>
      <w:r w:rsidRPr="00F72A65">
        <w:rPr>
          <w:rFonts w:asciiTheme="minorHAnsi" w:hAnsiTheme="minorHAnsi" w:cstheme="minorHAnsi"/>
          <w:color w:val="333333"/>
          <w:sz w:val="20"/>
          <w:szCs w:val="20"/>
        </w:rPr>
        <w:t>). Thus, it is unlikely that the group differences are simply related to the length of the follow-up interval.</w:t>
      </w:r>
    </w:p>
    <w:p w14:paraId="09E734C7" w14:textId="77777777" w:rsidR="00DB5721" w:rsidRDefault="00DB5721"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82D2746" w14:textId="0A340D19"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There are several physiological pathways whereby the ε4 allele may exert deleterious effects that lead to neurodegeneration and contribute to loss of cognitive function. The apoE4 isoform expressed by the ε4 allele preferentially binds to low-density lipoprotein receptors, resulting in wide-ranging effects on lipid and cholesterol metabolism, including increased production of very low-density lipoproteins, the release of proinflammatory cytokines, and atherosclerosis (</w:t>
      </w:r>
      <w:hyperlink r:id="rId43" w:anchor="c34" w:history="1">
        <w:r w:rsidRPr="00F72A65">
          <w:rPr>
            <w:rStyle w:val="Hyperlink"/>
            <w:rFonts w:asciiTheme="minorHAnsi" w:eastAsiaTheme="majorEastAsia" w:hAnsiTheme="minorHAnsi" w:cstheme="minorHAnsi"/>
            <w:color w:val="005BC6"/>
            <w:sz w:val="20"/>
            <w:szCs w:val="20"/>
            <w:bdr w:val="none" w:sz="0" w:space="0" w:color="auto" w:frame="1"/>
          </w:rPr>
          <w:t>Zhang, Wu, &amp; Wu, 2011</w:t>
        </w:r>
      </w:hyperlink>
      <w:r w:rsidRPr="00F72A65">
        <w:rPr>
          <w:rFonts w:asciiTheme="minorHAnsi" w:hAnsiTheme="minorHAnsi" w:cstheme="minorHAnsi"/>
          <w:color w:val="333333"/>
          <w:sz w:val="20"/>
          <w:szCs w:val="20"/>
        </w:rPr>
        <w:t>). In nervous tissue, apoE4 is associated with decreased lipoprotein lipase activity and decreased delivery of free fatty acids to brain cells, leading to altered lipid membrane homeostasis, decreased cerebral glucose metabolism, and increased glial activation and inflammation; it impairs the processing and removal of extracellular amyloid-beta peptide, increases the phosphorylation of tau, and impairs cholinergic function (</w:t>
      </w:r>
      <w:hyperlink r:id="rId44" w:anchor="c9" w:history="1">
        <w:r w:rsidRPr="00F72A65">
          <w:rPr>
            <w:rStyle w:val="Hyperlink"/>
            <w:rFonts w:asciiTheme="minorHAnsi" w:eastAsiaTheme="majorEastAsia" w:hAnsiTheme="minorHAnsi" w:cstheme="minorHAnsi"/>
            <w:color w:val="005BC6"/>
            <w:sz w:val="20"/>
            <w:szCs w:val="20"/>
            <w:bdr w:val="none" w:sz="0" w:space="0" w:color="auto" w:frame="1"/>
          </w:rPr>
          <w:t>Lane &amp; Farlow, 2005</w:t>
        </w:r>
      </w:hyperlink>
      <w:r w:rsidRPr="00F72A65">
        <w:rPr>
          <w:rFonts w:asciiTheme="minorHAnsi" w:hAnsiTheme="minorHAnsi" w:cstheme="minorHAnsi"/>
          <w:color w:val="333333"/>
          <w:sz w:val="20"/>
          <w:szCs w:val="20"/>
        </w:rPr>
        <w:t>). Collectively, these processes (among others) may lead to neuronal cell dysfunction and apoptotic processes, leading to cell death. However, susceptibility to the effects of the </w:t>
      </w:r>
      <w:r w:rsidRPr="00F72A65">
        <w:rPr>
          <w:rStyle w:val="Emphasis"/>
          <w:rFonts w:asciiTheme="minorHAnsi" w:eastAsiaTheme="majorEastAsia" w:hAnsiTheme="minorHAnsi" w:cstheme="minorHAnsi"/>
          <w:color w:val="333333"/>
          <w:sz w:val="20"/>
          <w:szCs w:val="20"/>
          <w:bdr w:val="none" w:sz="0" w:space="0" w:color="auto" w:frame="1"/>
        </w:rPr>
        <w:t>APOE</w:t>
      </w:r>
      <w:r w:rsidRPr="00F72A65">
        <w:rPr>
          <w:rFonts w:asciiTheme="minorHAnsi" w:hAnsiTheme="minorHAnsi" w:cstheme="minorHAnsi"/>
          <w:color w:val="333333"/>
          <w:sz w:val="20"/>
          <w:szCs w:val="20"/>
        </w:rPr>
        <w:t> ε4 allele on peripheral and brain lipid metabolism, and ultimately on brain structure and function, varies considerably in the population.</w:t>
      </w:r>
    </w:p>
    <w:p w14:paraId="0E0433B5" w14:textId="77777777" w:rsidR="00DB5721" w:rsidRDefault="00DB5721"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7488FC1" w14:textId="05E06EB8"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What other factors might influence the variability in the phenotypic expression of the ε4 allele? Physically active ε4 carriers experience significantly less hippocampal atrophy over time compared to inactive ε4 carriers (</w:t>
      </w:r>
      <w:hyperlink r:id="rId45" w:anchor="c28" w:history="1">
        <w:r w:rsidRPr="00F72A65">
          <w:rPr>
            <w:rStyle w:val="Hyperlink"/>
            <w:rFonts w:asciiTheme="minorHAnsi" w:eastAsiaTheme="majorEastAsia" w:hAnsiTheme="minorHAnsi" w:cstheme="minorHAnsi"/>
            <w:color w:val="005BC6"/>
            <w:sz w:val="20"/>
            <w:szCs w:val="20"/>
            <w:bdr w:val="none" w:sz="0" w:space="0" w:color="auto" w:frame="1"/>
          </w:rPr>
          <w:t>Smith et al., 2014</w:t>
        </w:r>
      </w:hyperlink>
      <w:r w:rsidRPr="00F72A65">
        <w:rPr>
          <w:rFonts w:asciiTheme="minorHAnsi" w:hAnsiTheme="minorHAnsi" w:cstheme="minorHAnsi"/>
          <w:color w:val="333333"/>
          <w:sz w:val="20"/>
          <w:szCs w:val="20"/>
        </w:rPr>
        <w:t>). Similarly, physically active ε4 carriers experience increased memory-related brain activation (</w:t>
      </w:r>
      <w:hyperlink r:id="rId46" w:anchor="c27" w:history="1">
        <w:r w:rsidRPr="00F72A65">
          <w:rPr>
            <w:rStyle w:val="Hyperlink"/>
            <w:rFonts w:asciiTheme="minorHAnsi" w:eastAsiaTheme="majorEastAsia" w:hAnsiTheme="minorHAnsi" w:cstheme="minorHAnsi"/>
            <w:color w:val="005BC6"/>
            <w:sz w:val="20"/>
            <w:szCs w:val="20"/>
            <w:bdr w:val="none" w:sz="0" w:space="0" w:color="auto" w:frame="1"/>
          </w:rPr>
          <w:t>Smith et al., 2011</w:t>
        </w:r>
      </w:hyperlink>
      <w:r w:rsidRPr="00F72A65">
        <w:rPr>
          <w:rFonts w:asciiTheme="minorHAnsi" w:hAnsiTheme="minorHAnsi" w:cstheme="minorHAnsi"/>
          <w:color w:val="333333"/>
          <w:sz w:val="20"/>
          <w:szCs w:val="20"/>
        </w:rPr>
        <w:t>) and reduced neurodegeneration of white matter fiber populations within projection and association tracts (</w:t>
      </w:r>
      <w:hyperlink r:id="rId47" w:anchor="c26" w:history="1">
        <w:r w:rsidRPr="00F72A65">
          <w:rPr>
            <w:rStyle w:val="Hyperlink"/>
            <w:rFonts w:asciiTheme="minorHAnsi" w:eastAsiaTheme="majorEastAsia" w:hAnsiTheme="minorHAnsi" w:cstheme="minorHAnsi"/>
            <w:color w:val="005BC6"/>
            <w:sz w:val="20"/>
            <w:szCs w:val="20"/>
            <w:bdr w:val="none" w:sz="0" w:space="0" w:color="auto" w:frame="1"/>
          </w:rPr>
          <w:t>Smith et al., 2016</w:t>
        </w:r>
      </w:hyperlink>
      <w:r w:rsidRPr="00F72A65">
        <w:rPr>
          <w:rFonts w:asciiTheme="minorHAnsi" w:hAnsiTheme="minorHAnsi" w:cstheme="minorHAnsi"/>
          <w:color w:val="333333"/>
          <w:sz w:val="20"/>
          <w:szCs w:val="20"/>
        </w:rPr>
        <w:t>) compared to sedentary ε4 carriers. Importantly, these brain imaging differences were not observed in noncarriers, suggesting that physical activity has a specific neuroprotective effect in ε4 carriers. Moreover, we previously reported that physically inactive ε4 carriers have a greater probability of cognitive decline over 18 months compared to physically active ε4 carriers (</w:t>
      </w:r>
      <w:hyperlink r:id="rId48" w:anchor="c33" w:history="1">
        <w:r w:rsidRPr="00F72A65">
          <w:rPr>
            <w:rStyle w:val="Hyperlink"/>
            <w:rFonts w:asciiTheme="minorHAnsi" w:eastAsiaTheme="majorEastAsia" w:hAnsiTheme="minorHAnsi" w:cstheme="minorHAnsi"/>
            <w:color w:val="005BC6"/>
            <w:sz w:val="20"/>
            <w:szCs w:val="20"/>
            <w:bdr w:val="none" w:sz="0" w:space="0" w:color="auto" w:frame="1"/>
          </w:rPr>
          <w:t>Woodard et al., 2012</w:t>
        </w:r>
      </w:hyperlink>
      <w:r w:rsidRPr="00F72A65">
        <w:rPr>
          <w:rFonts w:asciiTheme="minorHAnsi" w:hAnsiTheme="minorHAnsi" w:cstheme="minorHAnsi"/>
          <w:color w:val="333333"/>
          <w:sz w:val="20"/>
          <w:szCs w:val="20"/>
        </w:rPr>
        <w:t>). In addition, </w:t>
      </w:r>
      <w:hyperlink r:id="rId49" w:anchor="c21" w:history="1">
        <w:r w:rsidRPr="00F72A65">
          <w:rPr>
            <w:rStyle w:val="Hyperlink"/>
            <w:rFonts w:asciiTheme="minorHAnsi" w:eastAsiaTheme="majorEastAsia" w:hAnsiTheme="minorHAnsi" w:cstheme="minorHAnsi"/>
            <w:color w:val="005BC6"/>
            <w:sz w:val="20"/>
            <w:szCs w:val="20"/>
            <w:bdr w:val="none" w:sz="0" w:space="0" w:color="auto" w:frame="1"/>
          </w:rPr>
          <w:t>Schreiber and colleagues (2016)</w:t>
        </w:r>
      </w:hyperlink>
      <w:r w:rsidRPr="00F72A65">
        <w:rPr>
          <w:rFonts w:asciiTheme="minorHAnsi" w:hAnsiTheme="minorHAnsi" w:cstheme="minorHAnsi"/>
          <w:color w:val="333333"/>
          <w:sz w:val="20"/>
          <w:szCs w:val="20"/>
        </w:rPr>
        <w:t> found that low vascular risk and lifetime engagement in stimulating cognitive activities served to preserve cognitive abilities in healthy ε4 carriers. </w:t>
      </w:r>
      <w:hyperlink r:id="rId50" w:anchor="c22" w:history="1">
        <w:r w:rsidRPr="00F72A65">
          <w:rPr>
            <w:rStyle w:val="Hyperlink"/>
            <w:rFonts w:asciiTheme="minorHAnsi" w:eastAsiaTheme="majorEastAsia" w:hAnsiTheme="minorHAnsi" w:cstheme="minorHAnsi"/>
            <w:color w:val="005BC6"/>
            <w:sz w:val="20"/>
            <w:szCs w:val="20"/>
            <w:bdr w:val="none" w:sz="0" w:space="0" w:color="auto" w:frame="1"/>
          </w:rPr>
          <w:t>Schwartz and colleagues (2016)</w:t>
        </w:r>
      </w:hyperlink>
      <w:r w:rsidRPr="00F72A65">
        <w:rPr>
          <w:rFonts w:asciiTheme="minorHAnsi" w:hAnsiTheme="minorHAnsi" w:cstheme="minorHAnsi"/>
          <w:color w:val="333333"/>
          <w:sz w:val="20"/>
          <w:szCs w:val="20"/>
        </w:rPr>
        <w:t> speculate that greater brain structural integrity, high socioeconomic status, lack of brain injury, high occupational achievement, and perseverance, all indicators of enhanced brain and cognitive reserve, may moderate the effect of the ε4 allele on cognitive decline. Of note, level of educational attainment, an important indicator of cognitive reserve, was 2.0 years greater in the ε4+ stable group than in the ε4+ declining group, although this difference was not significant.</w:t>
      </w:r>
    </w:p>
    <w:p w14:paraId="2F0DCC36" w14:textId="77777777" w:rsidR="00DB5721" w:rsidRDefault="00DB5721"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5BFCB76" w14:textId="7FB071E1"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Other possible explanations involve ε4 allele dose and family history of AD. </w:t>
      </w:r>
      <w:hyperlink r:id="rId51" w:anchor="c13" w:history="1">
        <w:r w:rsidRPr="00F72A65">
          <w:rPr>
            <w:rStyle w:val="Hyperlink"/>
            <w:rFonts w:asciiTheme="minorHAnsi" w:eastAsiaTheme="majorEastAsia" w:hAnsiTheme="minorHAnsi" w:cstheme="minorHAnsi"/>
            <w:color w:val="005BC6"/>
            <w:sz w:val="20"/>
            <w:szCs w:val="20"/>
            <w:bdr w:val="none" w:sz="0" w:space="0" w:color="auto" w:frame="1"/>
          </w:rPr>
          <w:t xml:space="preserve">Martins, </w:t>
        </w:r>
        <w:proofErr w:type="spellStart"/>
        <w:r w:rsidRPr="00F72A65">
          <w:rPr>
            <w:rStyle w:val="Hyperlink"/>
            <w:rFonts w:asciiTheme="minorHAnsi" w:eastAsiaTheme="majorEastAsia" w:hAnsiTheme="minorHAnsi" w:cstheme="minorHAnsi"/>
            <w:color w:val="005BC6"/>
            <w:sz w:val="20"/>
            <w:szCs w:val="20"/>
            <w:bdr w:val="none" w:sz="0" w:space="0" w:color="auto" w:frame="1"/>
          </w:rPr>
          <w:t>Oulhaj</w:t>
        </w:r>
        <w:proofErr w:type="spellEnd"/>
        <w:r w:rsidRPr="00F72A65">
          <w:rPr>
            <w:rStyle w:val="Hyperlink"/>
            <w:rFonts w:asciiTheme="minorHAnsi" w:eastAsiaTheme="majorEastAsia" w:hAnsiTheme="minorHAnsi" w:cstheme="minorHAnsi"/>
            <w:color w:val="005BC6"/>
            <w:sz w:val="20"/>
            <w:szCs w:val="20"/>
            <w:bdr w:val="none" w:sz="0" w:space="0" w:color="auto" w:frame="1"/>
          </w:rPr>
          <w:t>, de Jager, and Williams (2005)</w:t>
        </w:r>
      </w:hyperlink>
      <w:r w:rsidRPr="00F72A65">
        <w:rPr>
          <w:rFonts w:asciiTheme="minorHAnsi" w:hAnsiTheme="minorHAnsi" w:cstheme="minorHAnsi"/>
          <w:color w:val="333333"/>
          <w:sz w:val="20"/>
          <w:szCs w:val="20"/>
        </w:rPr>
        <w:t> found that ε4 homozygotes displayed a greater rate of cognitive decline than ε4 heterozygotes over a 3-year interval. Our results are unlikely to be influenced by this factor because only two of our ε4 carriers were homozygotes (ε4/ε4), and both were in the cognitively stable group. Family history of AD has also been examined as an additional risk factor for cognitive decline and neurodegeneration in ε4 carriers. </w:t>
      </w:r>
      <w:proofErr w:type="spellStart"/>
      <w:r w:rsidRPr="00F72A65">
        <w:rPr>
          <w:rFonts w:asciiTheme="minorHAnsi" w:hAnsiTheme="minorHAnsi" w:cstheme="minorHAnsi"/>
          <w:color w:val="333333"/>
          <w:sz w:val="20"/>
          <w:szCs w:val="20"/>
        </w:rPr>
        <w:fldChar w:fldCharType="begin"/>
      </w:r>
      <w:r w:rsidRPr="00F72A65">
        <w:rPr>
          <w:rFonts w:asciiTheme="minorHAnsi" w:hAnsiTheme="minorHAnsi" w:cstheme="minorHAnsi"/>
          <w:color w:val="333333"/>
          <w:sz w:val="20"/>
          <w:szCs w:val="20"/>
        </w:rPr>
        <w:instrText xml:space="preserve"> HYPERLINK "https://0-web-b-ebscohost-com.libus.csd.mu.edu/ehost/detail/detail?vid=2&amp;sid=e4b036ec-461a-47a7-bc9e-307d3aa3ff5a%40sessionmgr101&amp;bdata=JnNpdGU9ZWhvc3QtbGl2ZQ%3d%3d" \l "c4" </w:instrText>
      </w:r>
      <w:r w:rsidRPr="00F72A65">
        <w:rPr>
          <w:rFonts w:asciiTheme="minorHAnsi" w:hAnsiTheme="minorHAnsi" w:cstheme="minorHAnsi"/>
          <w:color w:val="333333"/>
          <w:sz w:val="20"/>
          <w:szCs w:val="20"/>
        </w:rPr>
        <w:fldChar w:fldCharType="separate"/>
      </w:r>
      <w:r w:rsidRPr="00F72A65">
        <w:rPr>
          <w:rStyle w:val="Hyperlink"/>
          <w:rFonts w:asciiTheme="minorHAnsi" w:eastAsiaTheme="majorEastAsia" w:hAnsiTheme="minorHAnsi" w:cstheme="minorHAnsi"/>
          <w:color w:val="005BC6"/>
          <w:sz w:val="20"/>
          <w:szCs w:val="20"/>
          <w:bdr w:val="none" w:sz="0" w:space="0" w:color="auto" w:frame="1"/>
        </w:rPr>
        <w:t>Donix</w:t>
      </w:r>
      <w:proofErr w:type="spellEnd"/>
      <w:r w:rsidRPr="00F72A65">
        <w:rPr>
          <w:rStyle w:val="Hyperlink"/>
          <w:rFonts w:asciiTheme="minorHAnsi" w:eastAsiaTheme="majorEastAsia" w:hAnsiTheme="minorHAnsi" w:cstheme="minorHAnsi"/>
          <w:color w:val="005BC6"/>
          <w:sz w:val="20"/>
          <w:szCs w:val="20"/>
          <w:bdr w:val="none" w:sz="0" w:space="0" w:color="auto" w:frame="1"/>
        </w:rPr>
        <w:t xml:space="preserve"> and colleagues (2010)</w:t>
      </w:r>
      <w:r w:rsidRPr="00F72A65">
        <w:rPr>
          <w:rFonts w:asciiTheme="minorHAnsi" w:hAnsiTheme="minorHAnsi" w:cstheme="minorHAnsi"/>
          <w:color w:val="333333"/>
          <w:sz w:val="20"/>
          <w:szCs w:val="20"/>
        </w:rPr>
        <w:fldChar w:fldCharType="end"/>
      </w:r>
      <w:r w:rsidRPr="00F72A65">
        <w:rPr>
          <w:rFonts w:asciiTheme="minorHAnsi" w:hAnsiTheme="minorHAnsi" w:cstheme="minorHAnsi"/>
          <w:color w:val="333333"/>
          <w:sz w:val="20"/>
          <w:szCs w:val="20"/>
        </w:rPr>
        <w:t> found that family history of AD explained more variance in cortical thickness than </w:t>
      </w:r>
      <w:r w:rsidRPr="00F72A65">
        <w:rPr>
          <w:rStyle w:val="Emphasis"/>
          <w:rFonts w:asciiTheme="minorHAnsi" w:eastAsiaTheme="majorEastAsia" w:hAnsiTheme="minorHAnsi" w:cstheme="minorHAnsi"/>
          <w:color w:val="333333"/>
          <w:sz w:val="20"/>
          <w:szCs w:val="20"/>
          <w:bdr w:val="none" w:sz="0" w:space="0" w:color="auto" w:frame="1"/>
        </w:rPr>
        <w:t>APOE</w:t>
      </w:r>
      <w:r w:rsidRPr="00F72A65">
        <w:rPr>
          <w:rFonts w:asciiTheme="minorHAnsi" w:hAnsiTheme="minorHAnsi" w:cstheme="minorHAnsi"/>
          <w:color w:val="333333"/>
          <w:sz w:val="20"/>
          <w:szCs w:val="20"/>
        </w:rPr>
        <w:t> ε4 status. Family history is unlikely to have influenced our results because there were no statistically significant group differences in family history of AD between the ε4+ stable (64%) and ε4+ declining (80%) groups (</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rPr>
        <w:t> = .35).</w:t>
      </w:r>
    </w:p>
    <w:p w14:paraId="093CE1D6" w14:textId="77777777" w:rsidR="00DB5721" w:rsidRDefault="00DB5721"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9ED3A5E" w14:textId="52405655"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The ε4+ declining group had significantly greater expansion of the right inferior lateral ventricle than the ε4− group. In contrast, there were no significant group differences in the volume of the main body of the lateral ventricles. In the absence of hydrocephalus, increased ventricular volume is an indirect estimate of atrophy within periventricular structures (</w:t>
      </w:r>
      <w:hyperlink r:id="rId52" w:anchor="c29" w:history="1">
        <w:r w:rsidRPr="00F72A65">
          <w:rPr>
            <w:rStyle w:val="Hyperlink"/>
            <w:rFonts w:asciiTheme="minorHAnsi" w:eastAsiaTheme="majorEastAsia" w:hAnsiTheme="minorHAnsi" w:cstheme="minorHAnsi"/>
            <w:color w:val="005BC6"/>
            <w:sz w:val="20"/>
            <w:szCs w:val="20"/>
            <w:bdr w:val="none" w:sz="0" w:space="0" w:color="auto" w:frame="1"/>
          </w:rPr>
          <w:t>Tang et al., 2015</w:t>
        </w:r>
      </w:hyperlink>
      <w:r w:rsidRPr="00F72A65">
        <w:rPr>
          <w:rFonts w:asciiTheme="minorHAnsi" w:hAnsiTheme="minorHAnsi" w:cstheme="minorHAnsi"/>
          <w:color w:val="333333"/>
          <w:sz w:val="20"/>
          <w:szCs w:val="20"/>
        </w:rPr>
        <w:t>). Not surprisingly, as the hippocampus and other medial temporal lobe structures decrease in volume, the inferior horns of the lateral ventricles expand (</w:t>
      </w:r>
      <w:hyperlink r:id="rId53" w:anchor="c30" w:history="1">
        <w:r w:rsidRPr="00F72A65">
          <w:rPr>
            <w:rStyle w:val="Hyperlink"/>
            <w:rFonts w:asciiTheme="minorHAnsi" w:eastAsiaTheme="majorEastAsia" w:hAnsiTheme="minorHAnsi" w:cstheme="minorHAnsi"/>
            <w:color w:val="005BC6"/>
            <w:sz w:val="20"/>
            <w:szCs w:val="20"/>
            <w:bdr w:val="none" w:sz="0" w:space="0" w:color="auto" w:frame="1"/>
          </w:rPr>
          <w:t>Thompson et al., 2004</w:t>
        </w:r>
      </w:hyperlink>
      <w:r w:rsidRPr="00F72A65">
        <w:rPr>
          <w:rFonts w:asciiTheme="minorHAnsi" w:hAnsiTheme="minorHAnsi" w:cstheme="minorHAnsi"/>
          <w:color w:val="333333"/>
          <w:sz w:val="20"/>
          <w:szCs w:val="20"/>
        </w:rPr>
        <w:t>), which our results appear to typify.</w:t>
      </w:r>
    </w:p>
    <w:p w14:paraId="4660A93F" w14:textId="77777777" w:rsidR="00DB5721" w:rsidRDefault="00DB5721"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CE51373" w14:textId="61DBBFF9" w:rsidR="003A0A2B"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A limitation of this study is the small sample size. Nevertheless, we found medium to large effect sizes in the right inferior lateral ventricle, hippocampi, and cortical gray matter regions. A further limitation, relevant to all longitudinal studies, was attrition. The participants who were missing data at one of the three sessions were excluded from the study. There were no group differences between included and excluded participants at either time point in age, education, or family history and no baseline test score differences between those included or excluded at T2. However, despite all having intact scores at baseline, those unable to be scanned at T3 (Year 5) were more likely to be male (</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rPr>
        <w:t> = .036) and had lower baseline scores on the DRS-2 total (</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rPr>
        <w:t> = .003) and RAVLT total trials (</w:t>
      </w:r>
      <w:r w:rsidRPr="00F72A65">
        <w:rPr>
          <w:rStyle w:val="Emphasis"/>
          <w:rFonts w:asciiTheme="minorHAnsi" w:eastAsiaTheme="majorEastAsia" w:hAnsiTheme="minorHAnsi" w:cstheme="minorHAnsi"/>
          <w:color w:val="333333"/>
          <w:sz w:val="20"/>
          <w:szCs w:val="20"/>
          <w:bdr w:val="none" w:sz="0" w:space="0" w:color="auto" w:frame="1"/>
        </w:rPr>
        <w:t>p</w:t>
      </w:r>
      <w:r w:rsidRPr="00F72A65">
        <w:rPr>
          <w:rFonts w:asciiTheme="minorHAnsi" w:hAnsiTheme="minorHAnsi" w:cstheme="minorHAnsi"/>
          <w:color w:val="333333"/>
          <w:sz w:val="20"/>
          <w:szCs w:val="20"/>
        </w:rPr>
        <w:t> = .012). Notably, all three participants who missed T2 were ε4+, and 13 of 21 who missed T3 were ε4+. Thus, inclusion of these missing participants would likely have strengthened the present findings.</w:t>
      </w:r>
    </w:p>
    <w:p w14:paraId="5F873A7D" w14:textId="77777777" w:rsidR="00DB5721" w:rsidRPr="00F72A65" w:rsidRDefault="00DB5721"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B27DA74" w14:textId="05499E0C" w:rsidR="003A0A2B"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Another limitation of this study is the absence of data on AD-specific biomarkers, such as can be derived from cerebrospinal fluid analyses of tau and amyloid proteins or positron emission tomography imaging of amyloid deposition. </w:t>
      </w:r>
      <w:hyperlink r:id="rId54" w:anchor="c10" w:history="1">
        <w:r w:rsidRPr="00F72A65">
          <w:rPr>
            <w:rStyle w:val="Hyperlink"/>
            <w:rFonts w:asciiTheme="minorHAnsi" w:eastAsiaTheme="majorEastAsia" w:hAnsiTheme="minorHAnsi" w:cstheme="minorHAnsi"/>
            <w:color w:val="005BC6"/>
            <w:sz w:val="20"/>
            <w:szCs w:val="20"/>
            <w:bdr w:val="none" w:sz="0" w:space="0" w:color="auto" w:frame="1"/>
          </w:rPr>
          <w:t>Lim and colleagues (2013)</w:t>
        </w:r>
      </w:hyperlink>
      <w:r w:rsidRPr="00F72A65">
        <w:rPr>
          <w:rFonts w:asciiTheme="minorHAnsi" w:hAnsiTheme="minorHAnsi" w:cstheme="minorHAnsi"/>
          <w:color w:val="333333"/>
          <w:sz w:val="20"/>
          <w:szCs w:val="20"/>
        </w:rPr>
        <w:t> found that Aβ amyloid burden explained 14% of the variance in episodic memory performance in ε4 carriers but had no relationship with memory performance in ε4 noncarriers. Another study found that ε4 carriers with high Aβ levels had greater declines in verbal memory and global cognition over 1.5 years than ε4 carriers with low Aβ levels (</w:t>
      </w:r>
      <w:proofErr w:type="spellStart"/>
      <w:r w:rsidRPr="00F72A65">
        <w:rPr>
          <w:rFonts w:asciiTheme="minorHAnsi" w:hAnsiTheme="minorHAnsi" w:cstheme="minorHAnsi"/>
          <w:color w:val="333333"/>
          <w:sz w:val="20"/>
          <w:szCs w:val="20"/>
        </w:rPr>
        <w:fldChar w:fldCharType="begin"/>
      </w:r>
      <w:r w:rsidRPr="00F72A65">
        <w:rPr>
          <w:rFonts w:asciiTheme="minorHAnsi" w:hAnsiTheme="minorHAnsi" w:cstheme="minorHAnsi"/>
          <w:color w:val="333333"/>
          <w:sz w:val="20"/>
          <w:szCs w:val="20"/>
        </w:rPr>
        <w:instrText xml:space="preserve"> HYPERLINK "https://0-web-b-ebscohost-com.libus.csd.mu.edu/ehost/detail/detail?vid=2&amp;sid=e4b036ec-461a-47a7-bc9e-307d3aa3ff5a%40sessionmgr101&amp;bdata=JnNpdGU9ZWhvc3QtbGl2ZQ%3d%3d" \l "c14" </w:instrText>
      </w:r>
      <w:r w:rsidRPr="00F72A65">
        <w:rPr>
          <w:rFonts w:asciiTheme="minorHAnsi" w:hAnsiTheme="minorHAnsi" w:cstheme="minorHAnsi"/>
          <w:color w:val="333333"/>
          <w:sz w:val="20"/>
          <w:szCs w:val="20"/>
        </w:rPr>
        <w:fldChar w:fldCharType="separate"/>
      </w:r>
      <w:r w:rsidRPr="00F72A65">
        <w:rPr>
          <w:rStyle w:val="Hyperlink"/>
          <w:rFonts w:asciiTheme="minorHAnsi" w:eastAsiaTheme="majorEastAsia" w:hAnsiTheme="minorHAnsi" w:cstheme="minorHAnsi"/>
          <w:color w:val="005BC6"/>
          <w:sz w:val="20"/>
          <w:szCs w:val="20"/>
          <w:bdr w:val="none" w:sz="0" w:space="0" w:color="auto" w:frame="1"/>
        </w:rPr>
        <w:t>Mormino</w:t>
      </w:r>
      <w:proofErr w:type="spellEnd"/>
      <w:r w:rsidRPr="00F72A65">
        <w:rPr>
          <w:rStyle w:val="Hyperlink"/>
          <w:rFonts w:asciiTheme="minorHAnsi" w:eastAsiaTheme="majorEastAsia" w:hAnsiTheme="minorHAnsi" w:cstheme="minorHAnsi"/>
          <w:color w:val="005BC6"/>
          <w:sz w:val="20"/>
          <w:szCs w:val="20"/>
          <w:bdr w:val="none" w:sz="0" w:space="0" w:color="auto" w:frame="1"/>
        </w:rPr>
        <w:t xml:space="preserve"> et al., 2014</w:t>
      </w:r>
      <w:r w:rsidRPr="00F72A65">
        <w:rPr>
          <w:rFonts w:asciiTheme="minorHAnsi" w:hAnsiTheme="minorHAnsi" w:cstheme="minorHAnsi"/>
          <w:color w:val="333333"/>
          <w:sz w:val="20"/>
          <w:szCs w:val="20"/>
        </w:rPr>
        <w:fldChar w:fldCharType="end"/>
      </w:r>
      <w:r w:rsidRPr="00F72A65">
        <w:rPr>
          <w:rFonts w:asciiTheme="minorHAnsi" w:hAnsiTheme="minorHAnsi" w:cstheme="minorHAnsi"/>
          <w:color w:val="333333"/>
          <w:sz w:val="20"/>
          <w:szCs w:val="20"/>
        </w:rPr>
        <w:t>). If these data were available in the current study, we would hypothesize that AD biomarkers would be more abnormal in ε4 declining than in ε4 stable carriers.</w:t>
      </w:r>
    </w:p>
    <w:p w14:paraId="7440E2C3" w14:textId="77777777" w:rsidR="00DB5721" w:rsidRPr="00F72A65" w:rsidRDefault="00DB5721"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62F4460B" w14:textId="77777777" w:rsidR="003A0A2B" w:rsidRPr="00F72A65" w:rsidRDefault="003A0A2B" w:rsidP="003F26DF">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In conclusion, our study demonstrates that the degree of long-term longitudinal changes in episodic memory and global cognition are linked with the severity of changes in brain atrophy in persons who possess the </w:t>
      </w:r>
      <w:r w:rsidRPr="00F72A65">
        <w:rPr>
          <w:rStyle w:val="Emphasis"/>
          <w:rFonts w:asciiTheme="minorHAnsi" w:eastAsiaTheme="majorEastAsia" w:hAnsiTheme="minorHAnsi" w:cstheme="minorHAnsi"/>
          <w:color w:val="333333"/>
          <w:sz w:val="20"/>
          <w:szCs w:val="20"/>
          <w:bdr w:val="none" w:sz="0" w:space="0" w:color="auto" w:frame="1"/>
        </w:rPr>
        <w:t>APOE</w:t>
      </w:r>
      <w:r w:rsidRPr="00F72A65">
        <w:rPr>
          <w:rFonts w:asciiTheme="minorHAnsi" w:hAnsiTheme="minorHAnsi" w:cstheme="minorHAnsi"/>
          <w:color w:val="333333"/>
          <w:sz w:val="20"/>
          <w:szCs w:val="20"/>
        </w:rPr>
        <w:t> ε4 allele. Thus, this study illustrates the variability in phenotypic expression of the ε4 allele, which may be associated with potential lifestyle factors, such as physical activity, and cognitive reserve. Larger scale studies are required to examine these potential influences as a means for understanding modifiable risk and protective factors associated with genetic risk.</w:t>
      </w:r>
    </w:p>
    <w:p w14:paraId="502FECC9" w14:textId="77777777" w:rsidR="003A0A2B" w:rsidRPr="00DB5721" w:rsidRDefault="00E168FC" w:rsidP="00DB5721">
      <w:pPr>
        <w:pStyle w:val="Heading1"/>
      </w:pPr>
      <w:hyperlink r:id="rId55" w:anchor="toc" w:tooltip="References" w:history="1">
        <w:r w:rsidR="003A0A2B" w:rsidRPr="00DB5721">
          <w:rPr>
            <w:rStyle w:val="Hyperlink"/>
            <w:color w:val="262626" w:themeColor="text1" w:themeTint="D9"/>
            <w:u w:val="none"/>
          </w:rPr>
          <w:t>References</w:t>
        </w:r>
      </w:hyperlink>
    </w:p>
    <w:p w14:paraId="599BBE39"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Ashford, J. W. (2004). APOE genotype effects on Alzheimer’s disease onset and epidemiology. </w:t>
      </w:r>
      <w:r w:rsidRPr="00F72A65">
        <w:rPr>
          <w:rStyle w:val="Emphasis"/>
          <w:rFonts w:asciiTheme="minorHAnsi" w:eastAsiaTheme="majorEastAsia" w:hAnsiTheme="minorHAnsi" w:cstheme="minorHAnsi"/>
          <w:color w:val="333333"/>
          <w:sz w:val="20"/>
          <w:szCs w:val="20"/>
          <w:bdr w:val="none" w:sz="0" w:space="0" w:color="auto" w:frame="1"/>
        </w:rPr>
        <w:t>Journal of Molecular Neuroscience</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23</w:t>
      </w:r>
      <w:r w:rsidRPr="00F72A65">
        <w:rPr>
          <w:rFonts w:asciiTheme="minorHAnsi" w:hAnsiTheme="minorHAnsi" w:cstheme="minorHAnsi"/>
          <w:color w:val="333333"/>
          <w:sz w:val="20"/>
          <w:szCs w:val="20"/>
        </w:rPr>
        <w:t>, 157–166. 10.1385/JMN:23:3:157</w:t>
      </w:r>
    </w:p>
    <w:p w14:paraId="46DD7D6E"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F72A65">
        <w:rPr>
          <w:rFonts w:asciiTheme="minorHAnsi" w:hAnsiTheme="minorHAnsi" w:cstheme="minorHAnsi"/>
          <w:color w:val="333333"/>
          <w:sz w:val="20"/>
          <w:szCs w:val="20"/>
        </w:rPr>
        <w:t>Breitner</w:t>
      </w:r>
      <w:proofErr w:type="spellEnd"/>
      <w:r w:rsidRPr="00F72A65">
        <w:rPr>
          <w:rFonts w:asciiTheme="minorHAnsi" w:hAnsiTheme="minorHAnsi" w:cstheme="minorHAnsi"/>
          <w:color w:val="333333"/>
          <w:sz w:val="20"/>
          <w:szCs w:val="20"/>
        </w:rPr>
        <w:t>, J. C., Wyse, B. W., Anthony, J. C., Welsh-</w:t>
      </w:r>
      <w:proofErr w:type="spellStart"/>
      <w:r w:rsidRPr="00F72A65">
        <w:rPr>
          <w:rFonts w:asciiTheme="minorHAnsi" w:hAnsiTheme="minorHAnsi" w:cstheme="minorHAnsi"/>
          <w:color w:val="333333"/>
          <w:sz w:val="20"/>
          <w:szCs w:val="20"/>
        </w:rPr>
        <w:t>Bohmer</w:t>
      </w:r>
      <w:proofErr w:type="spellEnd"/>
      <w:r w:rsidRPr="00F72A65">
        <w:rPr>
          <w:rFonts w:asciiTheme="minorHAnsi" w:hAnsiTheme="minorHAnsi" w:cstheme="minorHAnsi"/>
          <w:color w:val="333333"/>
          <w:sz w:val="20"/>
          <w:szCs w:val="20"/>
        </w:rPr>
        <w:t>, K. A., Steffens, D. C., Norton, M. C., . . .Khachaturian, A. (1999). APOE-epsilon4 count predicts age when prevalence of AD increases, then declines: The Cache County Study. </w:t>
      </w:r>
      <w:r w:rsidRPr="00F72A65">
        <w:rPr>
          <w:rStyle w:val="Emphasis"/>
          <w:rFonts w:asciiTheme="minorHAnsi" w:eastAsiaTheme="majorEastAsia" w:hAnsiTheme="minorHAnsi" w:cstheme="minorHAnsi"/>
          <w:color w:val="333333"/>
          <w:sz w:val="20"/>
          <w:szCs w:val="20"/>
          <w:bdr w:val="none" w:sz="0" w:space="0" w:color="auto" w:frame="1"/>
        </w:rPr>
        <w:t>Neurology</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53</w:t>
      </w:r>
      <w:r w:rsidRPr="00F72A65">
        <w:rPr>
          <w:rFonts w:asciiTheme="minorHAnsi" w:hAnsiTheme="minorHAnsi" w:cstheme="minorHAnsi"/>
          <w:color w:val="333333"/>
          <w:sz w:val="20"/>
          <w:szCs w:val="20"/>
        </w:rPr>
        <w:t>, 321–331. 10.1212/WNL.53.2.321</w:t>
      </w:r>
    </w:p>
    <w:p w14:paraId="3A21ADF1"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F72A65">
        <w:rPr>
          <w:rFonts w:asciiTheme="minorHAnsi" w:hAnsiTheme="minorHAnsi" w:cstheme="minorHAnsi"/>
          <w:color w:val="333333"/>
          <w:sz w:val="20"/>
          <w:szCs w:val="20"/>
        </w:rPr>
        <w:t>Corder</w:t>
      </w:r>
      <w:proofErr w:type="spellEnd"/>
      <w:r w:rsidRPr="00F72A65">
        <w:rPr>
          <w:rFonts w:asciiTheme="minorHAnsi" w:hAnsiTheme="minorHAnsi" w:cstheme="minorHAnsi"/>
          <w:color w:val="333333"/>
          <w:sz w:val="20"/>
          <w:szCs w:val="20"/>
        </w:rPr>
        <w:t xml:space="preserve">, E. H., Saunders, A. M., </w:t>
      </w:r>
      <w:proofErr w:type="spellStart"/>
      <w:r w:rsidRPr="00F72A65">
        <w:rPr>
          <w:rFonts w:asciiTheme="minorHAnsi" w:hAnsiTheme="minorHAnsi" w:cstheme="minorHAnsi"/>
          <w:color w:val="333333"/>
          <w:sz w:val="20"/>
          <w:szCs w:val="20"/>
        </w:rPr>
        <w:t>Strittmatter</w:t>
      </w:r>
      <w:proofErr w:type="spellEnd"/>
      <w:r w:rsidRPr="00F72A65">
        <w:rPr>
          <w:rFonts w:asciiTheme="minorHAnsi" w:hAnsiTheme="minorHAnsi" w:cstheme="minorHAnsi"/>
          <w:color w:val="333333"/>
          <w:sz w:val="20"/>
          <w:szCs w:val="20"/>
        </w:rPr>
        <w:t xml:space="preserve">, W. J., </w:t>
      </w:r>
      <w:proofErr w:type="spellStart"/>
      <w:r w:rsidRPr="00F72A65">
        <w:rPr>
          <w:rFonts w:asciiTheme="minorHAnsi" w:hAnsiTheme="minorHAnsi" w:cstheme="minorHAnsi"/>
          <w:color w:val="333333"/>
          <w:sz w:val="20"/>
          <w:szCs w:val="20"/>
        </w:rPr>
        <w:t>Schmechel</w:t>
      </w:r>
      <w:proofErr w:type="spellEnd"/>
      <w:r w:rsidRPr="00F72A65">
        <w:rPr>
          <w:rFonts w:asciiTheme="minorHAnsi" w:hAnsiTheme="minorHAnsi" w:cstheme="minorHAnsi"/>
          <w:color w:val="333333"/>
          <w:sz w:val="20"/>
          <w:szCs w:val="20"/>
        </w:rPr>
        <w:t>, D. E., Gaskell, P. C., Small, G. W., . . .Pericak-Vance, M. A. (1993). Gene dose of apolipoprotein E type 4 allele and the risk of Alzheimer’s disease in late onset families. </w:t>
      </w:r>
      <w:r w:rsidRPr="00F72A65">
        <w:rPr>
          <w:rStyle w:val="Emphasis"/>
          <w:rFonts w:asciiTheme="minorHAnsi" w:eastAsiaTheme="majorEastAsia" w:hAnsiTheme="minorHAnsi" w:cstheme="minorHAnsi"/>
          <w:color w:val="333333"/>
          <w:sz w:val="20"/>
          <w:szCs w:val="20"/>
          <w:bdr w:val="none" w:sz="0" w:space="0" w:color="auto" w:frame="1"/>
        </w:rPr>
        <w:t>Science</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261</w:t>
      </w:r>
      <w:r w:rsidRPr="00F72A65">
        <w:rPr>
          <w:rFonts w:asciiTheme="minorHAnsi" w:hAnsiTheme="minorHAnsi" w:cstheme="minorHAnsi"/>
          <w:color w:val="333333"/>
          <w:sz w:val="20"/>
          <w:szCs w:val="20"/>
        </w:rPr>
        <w:t>, 921–923. 10.1126/science.8346443</w:t>
      </w:r>
    </w:p>
    <w:p w14:paraId="391ACD3E"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F72A65">
        <w:rPr>
          <w:rFonts w:asciiTheme="minorHAnsi" w:hAnsiTheme="minorHAnsi" w:cstheme="minorHAnsi"/>
          <w:color w:val="333333"/>
          <w:sz w:val="20"/>
          <w:szCs w:val="20"/>
        </w:rPr>
        <w:t>Donix</w:t>
      </w:r>
      <w:proofErr w:type="spellEnd"/>
      <w:r w:rsidRPr="00F72A65">
        <w:rPr>
          <w:rFonts w:asciiTheme="minorHAnsi" w:hAnsiTheme="minorHAnsi" w:cstheme="minorHAnsi"/>
          <w:color w:val="333333"/>
          <w:sz w:val="20"/>
          <w:szCs w:val="20"/>
        </w:rPr>
        <w:t xml:space="preserve">, M., </w:t>
      </w:r>
      <w:proofErr w:type="spellStart"/>
      <w:r w:rsidRPr="00F72A65">
        <w:rPr>
          <w:rFonts w:asciiTheme="minorHAnsi" w:hAnsiTheme="minorHAnsi" w:cstheme="minorHAnsi"/>
          <w:color w:val="333333"/>
          <w:sz w:val="20"/>
          <w:szCs w:val="20"/>
        </w:rPr>
        <w:t>Burggren</w:t>
      </w:r>
      <w:proofErr w:type="spellEnd"/>
      <w:r w:rsidRPr="00F72A65">
        <w:rPr>
          <w:rFonts w:asciiTheme="minorHAnsi" w:hAnsiTheme="minorHAnsi" w:cstheme="minorHAnsi"/>
          <w:color w:val="333333"/>
          <w:sz w:val="20"/>
          <w:szCs w:val="20"/>
        </w:rPr>
        <w:t xml:space="preserve">, A. C., </w:t>
      </w:r>
      <w:proofErr w:type="spellStart"/>
      <w:r w:rsidRPr="00F72A65">
        <w:rPr>
          <w:rFonts w:asciiTheme="minorHAnsi" w:hAnsiTheme="minorHAnsi" w:cstheme="minorHAnsi"/>
          <w:color w:val="333333"/>
          <w:sz w:val="20"/>
          <w:szCs w:val="20"/>
        </w:rPr>
        <w:t>Suthana</w:t>
      </w:r>
      <w:proofErr w:type="spellEnd"/>
      <w:r w:rsidRPr="00F72A65">
        <w:rPr>
          <w:rFonts w:asciiTheme="minorHAnsi" w:hAnsiTheme="minorHAnsi" w:cstheme="minorHAnsi"/>
          <w:color w:val="333333"/>
          <w:sz w:val="20"/>
          <w:szCs w:val="20"/>
        </w:rPr>
        <w:t xml:space="preserve">, N. A., </w:t>
      </w:r>
      <w:proofErr w:type="spellStart"/>
      <w:r w:rsidRPr="00F72A65">
        <w:rPr>
          <w:rFonts w:asciiTheme="minorHAnsi" w:hAnsiTheme="minorHAnsi" w:cstheme="minorHAnsi"/>
          <w:color w:val="333333"/>
          <w:sz w:val="20"/>
          <w:szCs w:val="20"/>
        </w:rPr>
        <w:t>Siddarth</w:t>
      </w:r>
      <w:proofErr w:type="spellEnd"/>
      <w:r w:rsidRPr="00F72A65">
        <w:rPr>
          <w:rFonts w:asciiTheme="minorHAnsi" w:hAnsiTheme="minorHAnsi" w:cstheme="minorHAnsi"/>
          <w:color w:val="333333"/>
          <w:sz w:val="20"/>
          <w:szCs w:val="20"/>
        </w:rPr>
        <w:t xml:space="preserve">, P., </w:t>
      </w:r>
      <w:proofErr w:type="spellStart"/>
      <w:r w:rsidRPr="00F72A65">
        <w:rPr>
          <w:rFonts w:asciiTheme="minorHAnsi" w:hAnsiTheme="minorHAnsi" w:cstheme="minorHAnsi"/>
          <w:color w:val="333333"/>
          <w:sz w:val="20"/>
          <w:szCs w:val="20"/>
        </w:rPr>
        <w:t>Ekstrom</w:t>
      </w:r>
      <w:proofErr w:type="spellEnd"/>
      <w:r w:rsidRPr="00F72A65">
        <w:rPr>
          <w:rFonts w:asciiTheme="minorHAnsi" w:hAnsiTheme="minorHAnsi" w:cstheme="minorHAnsi"/>
          <w:color w:val="333333"/>
          <w:sz w:val="20"/>
          <w:szCs w:val="20"/>
        </w:rPr>
        <w:t>, A. D., Krupa, A. K., . . .</w:t>
      </w:r>
      <w:proofErr w:type="spellStart"/>
      <w:r w:rsidRPr="00F72A65">
        <w:rPr>
          <w:rFonts w:asciiTheme="minorHAnsi" w:hAnsiTheme="minorHAnsi" w:cstheme="minorHAnsi"/>
          <w:color w:val="333333"/>
          <w:sz w:val="20"/>
          <w:szCs w:val="20"/>
        </w:rPr>
        <w:t>Bookheimer</w:t>
      </w:r>
      <w:proofErr w:type="spellEnd"/>
      <w:r w:rsidRPr="00F72A65">
        <w:rPr>
          <w:rFonts w:asciiTheme="minorHAnsi" w:hAnsiTheme="minorHAnsi" w:cstheme="minorHAnsi"/>
          <w:color w:val="333333"/>
          <w:sz w:val="20"/>
          <w:szCs w:val="20"/>
        </w:rPr>
        <w:t>, S. Y. (2010). Family history of Alzheimer’s disease and hippocampal structure in healthy people. </w:t>
      </w:r>
      <w:r w:rsidRPr="00F72A65">
        <w:rPr>
          <w:rStyle w:val="Emphasis"/>
          <w:rFonts w:asciiTheme="minorHAnsi" w:eastAsiaTheme="majorEastAsia" w:hAnsiTheme="minorHAnsi" w:cstheme="minorHAnsi"/>
          <w:color w:val="333333"/>
          <w:sz w:val="20"/>
          <w:szCs w:val="20"/>
          <w:bdr w:val="none" w:sz="0" w:space="0" w:color="auto" w:frame="1"/>
        </w:rPr>
        <w:t>The American Journal of Psychiatry</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167</w:t>
      </w:r>
      <w:r w:rsidRPr="00F72A65">
        <w:rPr>
          <w:rFonts w:asciiTheme="minorHAnsi" w:hAnsiTheme="minorHAnsi" w:cstheme="minorHAnsi"/>
          <w:color w:val="333333"/>
          <w:sz w:val="20"/>
          <w:szCs w:val="20"/>
        </w:rPr>
        <w:t>, 1399–1406. 10.1176/appi.ajp.2010.09111575</w:t>
      </w:r>
    </w:p>
    <w:p w14:paraId="5440A36E"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F72A65">
        <w:rPr>
          <w:rFonts w:asciiTheme="minorHAnsi" w:hAnsiTheme="minorHAnsi" w:cstheme="minorHAnsi"/>
          <w:color w:val="333333"/>
          <w:sz w:val="20"/>
          <w:szCs w:val="20"/>
        </w:rPr>
        <w:t>Fischl</w:t>
      </w:r>
      <w:proofErr w:type="spellEnd"/>
      <w:r w:rsidRPr="00F72A65">
        <w:rPr>
          <w:rFonts w:asciiTheme="minorHAnsi" w:hAnsiTheme="minorHAnsi" w:cstheme="minorHAnsi"/>
          <w:color w:val="333333"/>
          <w:sz w:val="20"/>
          <w:szCs w:val="20"/>
        </w:rPr>
        <w:t xml:space="preserve">, B., Salat, D. H., </w:t>
      </w:r>
      <w:proofErr w:type="spellStart"/>
      <w:r w:rsidRPr="00F72A65">
        <w:rPr>
          <w:rFonts w:asciiTheme="minorHAnsi" w:hAnsiTheme="minorHAnsi" w:cstheme="minorHAnsi"/>
          <w:color w:val="333333"/>
          <w:sz w:val="20"/>
          <w:szCs w:val="20"/>
        </w:rPr>
        <w:t>Busa</w:t>
      </w:r>
      <w:proofErr w:type="spellEnd"/>
      <w:r w:rsidRPr="00F72A65">
        <w:rPr>
          <w:rFonts w:asciiTheme="minorHAnsi" w:hAnsiTheme="minorHAnsi" w:cstheme="minorHAnsi"/>
          <w:color w:val="333333"/>
          <w:sz w:val="20"/>
          <w:szCs w:val="20"/>
        </w:rPr>
        <w:t xml:space="preserve">, E., Albert, M., Dieterich, M., </w:t>
      </w:r>
      <w:proofErr w:type="spellStart"/>
      <w:r w:rsidRPr="00F72A65">
        <w:rPr>
          <w:rFonts w:asciiTheme="minorHAnsi" w:hAnsiTheme="minorHAnsi" w:cstheme="minorHAnsi"/>
          <w:color w:val="333333"/>
          <w:sz w:val="20"/>
          <w:szCs w:val="20"/>
        </w:rPr>
        <w:t>Haselgrove</w:t>
      </w:r>
      <w:proofErr w:type="spellEnd"/>
      <w:r w:rsidRPr="00F72A65">
        <w:rPr>
          <w:rFonts w:asciiTheme="minorHAnsi" w:hAnsiTheme="minorHAnsi" w:cstheme="minorHAnsi"/>
          <w:color w:val="333333"/>
          <w:sz w:val="20"/>
          <w:szCs w:val="20"/>
        </w:rPr>
        <w:t>, C., . . .Dale, A. M. (2002). Whole brain segmentation: Automated labeling of neuroanatomical structures in the human brain. </w:t>
      </w:r>
      <w:r w:rsidRPr="00F72A65">
        <w:rPr>
          <w:rStyle w:val="Emphasis"/>
          <w:rFonts w:asciiTheme="minorHAnsi" w:eastAsiaTheme="majorEastAsia" w:hAnsiTheme="minorHAnsi" w:cstheme="minorHAnsi"/>
          <w:color w:val="333333"/>
          <w:sz w:val="20"/>
          <w:szCs w:val="20"/>
          <w:bdr w:val="none" w:sz="0" w:space="0" w:color="auto" w:frame="1"/>
        </w:rPr>
        <w:t>Neuron</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33</w:t>
      </w:r>
      <w:r w:rsidRPr="00F72A65">
        <w:rPr>
          <w:rFonts w:asciiTheme="minorHAnsi" w:hAnsiTheme="minorHAnsi" w:cstheme="minorHAnsi"/>
          <w:color w:val="333333"/>
          <w:sz w:val="20"/>
          <w:szCs w:val="20"/>
        </w:rPr>
        <w:t>, 341–355. 10.1016/S0896-6273(02)00569-X</w:t>
      </w:r>
    </w:p>
    <w:p w14:paraId="4ECA9FFB"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F72A65">
        <w:rPr>
          <w:rFonts w:asciiTheme="minorHAnsi" w:hAnsiTheme="minorHAnsi" w:cstheme="minorHAnsi"/>
          <w:color w:val="333333"/>
          <w:sz w:val="20"/>
          <w:szCs w:val="20"/>
        </w:rPr>
        <w:t>Folstein</w:t>
      </w:r>
      <w:proofErr w:type="spellEnd"/>
      <w:r w:rsidRPr="00F72A65">
        <w:rPr>
          <w:rFonts w:asciiTheme="minorHAnsi" w:hAnsiTheme="minorHAnsi" w:cstheme="minorHAnsi"/>
          <w:color w:val="333333"/>
          <w:sz w:val="20"/>
          <w:szCs w:val="20"/>
        </w:rPr>
        <w:t xml:space="preserve">, M. F., </w:t>
      </w:r>
      <w:proofErr w:type="spellStart"/>
      <w:r w:rsidRPr="00F72A65">
        <w:rPr>
          <w:rFonts w:asciiTheme="minorHAnsi" w:hAnsiTheme="minorHAnsi" w:cstheme="minorHAnsi"/>
          <w:color w:val="333333"/>
          <w:sz w:val="20"/>
          <w:szCs w:val="20"/>
        </w:rPr>
        <w:t>Folstein</w:t>
      </w:r>
      <w:proofErr w:type="spellEnd"/>
      <w:r w:rsidRPr="00F72A65">
        <w:rPr>
          <w:rFonts w:asciiTheme="minorHAnsi" w:hAnsiTheme="minorHAnsi" w:cstheme="minorHAnsi"/>
          <w:color w:val="333333"/>
          <w:sz w:val="20"/>
          <w:szCs w:val="20"/>
        </w:rPr>
        <w:t>, S. E., &amp; McHugh, P. R. (1975). “Mini-mental state”: A practical method for grading the cognitive state of patients for the clinician. </w:t>
      </w:r>
      <w:r w:rsidRPr="00F72A65">
        <w:rPr>
          <w:rStyle w:val="Emphasis"/>
          <w:rFonts w:asciiTheme="minorHAnsi" w:eastAsiaTheme="majorEastAsia" w:hAnsiTheme="minorHAnsi" w:cstheme="minorHAnsi"/>
          <w:color w:val="333333"/>
          <w:sz w:val="20"/>
          <w:szCs w:val="20"/>
          <w:bdr w:val="none" w:sz="0" w:space="0" w:color="auto" w:frame="1"/>
        </w:rPr>
        <w:t>Journal of Psychiatric Research</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12</w:t>
      </w:r>
      <w:r w:rsidRPr="00F72A65">
        <w:rPr>
          <w:rFonts w:asciiTheme="minorHAnsi" w:hAnsiTheme="minorHAnsi" w:cstheme="minorHAnsi"/>
          <w:color w:val="333333"/>
          <w:sz w:val="20"/>
          <w:szCs w:val="20"/>
        </w:rPr>
        <w:t>, 189–198. 10.1016/0022-3956(75)90026-6</w:t>
      </w:r>
    </w:p>
    <w:p w14:paraId="4E684509"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Hebert, L. E., Scherr, P. A., Beckett, L. A., Albert, M. S., Pilgrim, D. M., </w:t>
      </w:r>
      <w:proofErr w:type="spellStart"/>
      <w:r w:rsidRPr="00F72A65">
        <w:rPr>
          <w:rFonts w:asciiTheme="minorHAnsi" w:hAnsiTheme="minorHAnsi" w:cstheme="minorHAnsi"/>
          <w:color w:val="333333"/>
          <w:sz w:val="20"/>
          <w:szCs w:val="20"/>
        </w:rPr>
        <w:t>Chown</w:t>
      </w:r>
      <w:proofErr w:type="spellEnd"/>
      <w:r w:rsidRPr="00F72A65">
        <w:rPr>
          <w:rFonts w:asciiTheme="minorHAnsi" w:hAnsiTheme="minorHAnsi" w:cstheme="minorHAnsi"/>
          <w:color w:val="333333"/>
          <w:sz w:val="20"/>
          <w:szCs w:val="20"/>
        </w:rPr>
        <w:t>, M. J., . . .Evans, D. A. (1995). Age-specific incidence of Alzheimer’s disease in a community population. </w:t>
      </w:r>
      <w:r w:rsidRPr="00F72A65">
        <w:rPr>
          <w:rStyle w:val="Emphasis"/>
          <w:rFonts w:asciiTheme="minorHAnsi" w:eastAsiaTheme="majorEastAsia" w:hAnsiTheme="minorHAnsi" w:cstheme="minorHAnsi"/>
          <w:color w:val="333333"/>
          <w:sz w:val="20"/>
          <w:szCs w:val="20"/>
          <w:bdr w:val="none" w:sz="0" w:space="0" w:color="auto" w:frame="1"/>
        </w:rPr>
        <w:t>Journal of the American Medical Association</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273</w:t>
      </w:r>
      <w:r w:rsidRPr="00F72A65">
        <w:rPr>
          <w:rFonts w:asciiTheme="minorHAnsi" w:hAnsiTheme="minorHAnsi" w:cstheme="minorHAnsi"/>
          <w:color w:val="333333"/>
          <w:sz w:val="20"/>
          <w:szCs w:val="20"/>
        </w:rPr>
        <w:t>, 1354–1359. 10.1001/jama.1995.03520410048025</w:t>
      </w:r>
    </w:p>
    <w:p w14:paraId="112D56D8"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F72A65">
        <w:rPr>
          <w:rFonts w:asciiTheme="minorHAnsi" w:hAnsiTheme="minorHAnsi" w:cstheme="minorHAnsi"/>
          <w:color w:val="333333"/>
          <w:sz w:val="20"/>
          <w:szCs w:val="20"/>
        </w:rPr>
        <w:t>Jurica</w:t>
      </w:r>
      <w:proofErr w:type="spellEnd"/>
      <w:r w:rsidRPr="00F72A65">
        <w:rPr>
          <w:rFonts w:asciiTheme="minorHAnsi" w:hAnsiTheme="minorHAnsi" w:cstheme="minorHAnsi"/>
          <w:color w:val="333333"/>
          <w:sz w:val="20"/>
          <w:szCs w:val="20"/>
        </w:rPr>
        <w:t xml:space="preserve">, P. J., </w:t>
      </w:r>
      <w:proofErr w:type="spellStart"/>
      <w:r w:rsidRPr="00F72A65">
        <w:rPr>
          <w:rFonts w:asciiTheme="minorHAnsi" w:hAnsiTheme="minorHAnsi" w:cstheme="minorHAnsi"/>
          <w:color w:val="333333"/>
          <w:sz w:val="20"/>
          <w:szCs w:val="20"/>
        </w:rPr>
        <w:t>Leitten</w:t>
      </w:r>
      <w:proofErr w:type="spellEnd"/>
      <w:r w:rsidRPr="00F72A65">
        <w:rPr>
          <w:rFonts w:asciiTheme="minorHAnsi" w:hAnsiTheme="minorHAnsi" w:cstheme="minorHAnsi"/>
          <w:color w:val="333333"/>
          <w:sz w:val="20"/>
          <w:szCs w:val="20"/>
        </w:rPr>
        <w:t>, C. L., &amp; Mattis, S. (2001). </w:t>
      </w:r>
      <w:r w:rsidRPr="00F72A65">
        <w:rPr>
          <w:rStyle w:val="Emphasis"/>
          <w:rFonts w:asciiTheme="minorHAnsi" w:eastAsiaTheme="majorEastAsia" w:hAnsiTheme="minorHAnsi" w:cstheme="minorHAnsi"/>
          <w:color w:val="333333"/>
          <w:sz w:val="20"/>
          <w:szCs w:val="20"/>
          <w:bdr w:val="none" w:sz="0" w:space="0" w:color="auto" w:frame="1"/>
        </w:rPr>
        <w:t>Dementia rating scale-2, DRS-2: Professional manual</w:t>
      </w:r>
      <w:r w:rsidRPr="00F72A65">
        <w:rPr>
          <w:rFonts w:asciiTheme="minorHAnsi" w:hAnsiTheme="minorHAnsi" w:cstheme="minorHAnsi"/>
          <w:color w:val="333333"/>
          <w:sz w:val="20"/>
          <w:szCs w:val="20"/>
        </w:rPr>
        <w:t>. Lutz, Florida: Psychological Assessment Resources.</w:t>
      </w:r>
    </w:p>
    <w:p w14:paraId="13695784"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Lane, R. M., &amp; Farlow, M. R. (2005). Lipid homeostasis and apolipoprotein E in the development and progression of Alzheimer’s disease. </w:t>
      </w:r>
      <w:r w:rsidRPr="00F72A65">
        <w:rPr>
          <w:rStyle w:val="Emphasis"/>
          <w:rFonts w:asciiTheme="minorHAnsi" w:eastAsiaTheme="majorEastAsia" w:hAnsiTheme="minorHAnsi" w:cstheme="minorHAnsi"/>
          <w:color w:val="333333"/>
          <w:sz w:val="20"/>
          <w:szCs w:val="20"/>
          <w:bdr w:val="none" w:sz="0" w:space="0" w:color="auto" w:frame="1"/>
        </w:rPr>
        <w:t>Journal of Lipid Research</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46</w:t>
      </w:r>
      <w:r w:rsidRPr="00F72A65">
        <w:rPr>
          <w:rFonts w:asciiTheme="minorHAnsi" w:hAnsiTheme="minorHAnsi" w:cstheme="minorHAnsi"/>
          <w:color w:val="333333"/>
          <w:sz w:val="20"/>
          <w:szCs w:val="20"/>
        </w:rPr>
        <w:t>, 949–968. 10.1194/jlr.M400486-JLR200</w:t>
      </w:r>
    </w:p>
    <w:p w14:paraId="4B4F1B86"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Lim, Y. Y., Ellis, K. A., Ames, D., Darby, D., Harrington, K., Martins, R. N., . . . the AIBL Research Group. (2013). Aβ amyloid, cognition, and APOE genotype in healthy older adults. </w:t>
      </w:r>
      <w:r w:rsidRPr="00F72A65">
        <w:rPr>
          <w:rStyle w:val="Emphasis"/>
          <w:rFonts w:asciiTheme="minorHAnsi" w:eastAsiaTheme="majorEastAsia" w:hAnsiTheme="minorHAnsi" w:cstheme="minorHAnsi"/>
          <w:color w:val="333333"/>
          <w:sz w:val="20"/>
          <w:szCs w:val="20"/>
          <w:bdr w:val="none" w:sz="0" w:space="0" w:color="auto" w:frame="1"/>
        </w:rPr>
        <w:t>Alzheimer’s &amp; Dementia</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9</w:t>
      </w:r>
      <w:r w:rsidRPr="00F72A65">
        <w:rPr>
          <w:rFonts w:asciiTheme="minorHAnsi" w:hAnsiTheme="minorHAnsi" w:cstheme="minorHAnsi"/>
          <w:color w:val="333333"/>
          <w:sz w:val="20"/>
          <w:szCs w:val="20"/>
        </w:rPr>
        <w:t>, 538–545. 10.1016/j.jalz.2012.07.004</w:t>
      </w:r>
    </w:p>
    <w:p w14:paraId="34DFC2D7"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Liu, Y., Yu, J. T., Wang, H. F., Han, P. R., Tan, C. C., Wang, C., . . .Tan, L. (2015). APOE genotype and neuroimaging markers of Alzheimer’s disease: Systematic review and meta-analysis. </w:t>
      </w:r>
      <w:r w:rsidRPr="00F72A65">
        <w:rPr>
          <w:rStyle w:val="Emphasis"/>
          <w:rFonts w:asciiTheme="minorHAnsi" w:eastAsiaTheme="majorEastAsia" w:hAnsiTheme="minorHAnsi" w:cstheme="minorHAnsi"/>
          <w:color w:val="333333"/>
          <w:sz w:val="20"/>
          <w:szCs w:val="20"/>
          <w:bdr w:val="none" w:sz="0" w:space="0" w:color="auto" w:frame="1"/>
        </w:rPr>
        <w:t>Journal of Neurology, Neurosurgery &amp; Psychiatry</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86</w:t>
      </w:r>
      <w:r w:rsidRPr="00F72A65">
        <w:rPr>
          <w:rFonts w:asciiTheme="minorHAnsi" w:hAnsiTheme="minorHAnsi" w:cstheme="minorHAnsi"/>
          <w:color w:val="333333"/>
          <w:sz w:val="20"/>
          <w:szCs w:val="20"/>
        </w:rPr>
        <w:t>, 127–134. 10.1136/jnnp-2014-307719</w:t>
      </w:r>
    </w:p>
    <w:p w14:paraId="07427FCF"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Lu, P. H., Thompson, P. M., </w:t>
      </w:r>
      <w:proofErr w:type="spellStart"/>
      <w:r w:rsidRPr="00F72A65">
        <w:rPr>
          <w:rFonts w:asciiTheme="minorHAnsi" w:hAnsiTheme="minorHAnsi" w:cstheme="minorHAnsi"/>
          <w:color w:val="333333"/>
          <w:sz w:val="20"/>
          <w:szCs w:val="20"/>
        </w:rPr>
        <w:t>Leow</w:t>
      </w:r>
      <w:proofErr w:type="spellEnd"/>
      <w:r w:rsidRPr="00F72A65">
        <w:rPr>
          <w:rFonts w:asciiTheme="minorHAnsi" w:hAnsiTheme="minorHAnsi" w:cstheme="minorHAnsi"/>
          <w:color w:val="333333"/>
          <w:sz w:val="20"/>
          <w:szCs w:val="20"/>
        </w:rPr>
        <w:t xml:space="preserve">, A., Lee, G. J., Lee, A., </w:t>
      </w:r>
      <w:proofErr w:type="spellStart"/>
      <w:r w:rsidRPr="00F72A65">
        <w:rPr>
          <w:rFonts w:asciiTheme="minorHAnsi" w:hAnsiTheme="minorHAnsi" w:cstheme="minorHAnsi"/>
          <w:color w:val="333333"/>
          <w:sz w:val="20"/>
          <w:szCs w:val="20"/>
        </w:rPr>
        <w:t>Yanovsky</w:t>
      </w:r>
      <w:proofErr w:type="spellEnd"/>
      <w:r w:rsidRPr="00F72A65">
        <w:rPr>
          <w:rFonts w:asciiTheme="minorHAnsi" w:hAnsiTheme="minorHAnsi" w:cstheme="minorHAnsi"/>
          <w:color w:val="333333"/>
          <w:sz w:val="20"/>
          <w:szCs w:val="20"/>
        </w:rPr>
        <w:t>, I., . . .</w:t>
      </w:r>
      <w:proofErr w:type="spellStart"/>
      <w:r w:rsidRPr="00F72A65">
        <w:rPr>
          <w:rFonts w:asciiTheme="minorHAnsi" w:hAnsiTheme="minorHAnsi" w:cstheme="minorHAnsi"/>
          <w:color w:val="333333"/>
          <w:sz w:val="20"/>
          <w:szCs w:val="20"/>
        </w:rPr>
        <w:t>Bartzokis</w:t>
      </w:r>
      <w:proofErr w:type="spellEnd"/>
      <w:r w:rsidRPr="00F72A65">
        <w:rPr>
          <w:rFonts w:asciiTheme="minorHAnsi" w:hAnsiTheme="minorHAnsi" w:cstheme="minorHAnsi"/>
          <w:color w:val="333333"/>
          <w:sz w:val="20"/>
          <w:szCs w:val="20"/>
        </w:rPr>
        <w:t>, G. (2011). Apolipoprotein E genotype is associated with temporal and hippocampal atrophy rates in healthy elderly adults: A tensor-based morphometry study. </w:t>
      </w:r>
      <w:r w:rsidRPr="00F72A65">
        <w:rPr>
          <w:rStyle w:val="Emphasis"/>
          <w:rFonts w:asciiTheme="minorHAnsi" w:eastAsiaTheme="majorEastAsia" w:hAnsiTheme="minorHAnsi" w:cstheme="minorHAnsi"/>
          <w:color w:val="333333"/>
          <w:sz w:val="20"/>
          <w:szCs w:val="20"/>
          <w:bdr w:val="none" w:sz="0" w:space="0" w:color="auto" w:frame="1"/>
        </w:rPr>
        <w:t>Journal of Alzheimer’s Disease</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23</w:t>
      </w:r>
      <w:r w:rsidRPr="00F72A65">
        <w:rPr>
          <w:rFonts w:asciiTheme="minorHAnsi" w:hAnsiTheme="minorHAnsi" w:cstheme="minorHAnsi"/>
          <w:color w:val="333333"/>
          <w:sz w:val="20"/>
          <w:szCs w:val="20"/>
        </w:rPr>
        <w:t>, 433–442.</w:t>
      </w:r>
    </w:p>
    <w:p w14:paraId="1D2DE98A"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Martins, C. A., </w:t>
      </w:r>
      <w:proofErr w:type="spellStart"/>
      <w:r w:rsidRPr="00F72A65">
        <w:rPr>
          <w:rFonts w:asciiTheme="minorHAnsi" w:hAnsiTheme="minorHAnsi" w:cstheme="minorHAnsi"/>
          <w:color w:val="333333"/>
          <w:sz w:val="20"/>
          <w:szCs w:val="20"/>
        </w:rPr>
        <w:t>Oulhaj</w:t>
      </w:r>
      <w:proofErr w:type="spellEnd"/>
      <w:r w:rsidRPr="00F72A65">
        <w:rPr>
          <w:rFonts w:asciiTheme="minorHAnsi" w:hAnsiTheme="minorHAnsi" w:cstheme="minorHAnsi"/>
          <w:color w:val="333333"/>
          <w:sz w:val="20"/>
          <w:szCs w:val="20"/>
        </w:rPr>
        <w:t>, A., de Jager, C. A., &amp; Williams, J. H. (2005). APOE alleles predict the rate of cognitive decline in Alzheimer disease: A nonlinear model. </w:t>
      </w:r>
      <w:r w:rsidRPr="00F72A65">
        <w:rPr>
          <w:rStyle w:val="Emphasis"/>
          <w:rFonts w:asciiTheme="minorHAnsi" w:eastAsiaTheme="majorEastAsia" w:hAnsiTheme="minorHAnsi" w:cstheme="minorHAnsi"/>
          <w:color w:val="333333"/>
          <w:sz w:val="20"/>
          <w:szCs w:val="20"/>
          <w:bdr w:val="none" w:sz="0" w:space="0" w:color="auto" w:frame="1"/>
        </w:rPr>
        <w:t>Neurology</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65</w:t>
      </w:r>
      <w:r w:rsidRPr="00F72A65">
        <w:rPr>
          <w:rFonts w:asciiTheme="minorHAnsi" w:hAnsiTheme="minorHAnsi" w:cstheme="minorHAnsi"/>
          <w:color w:val="333333"/>
          <w:sz w:val="20"/>
          <w:szCs w:val="20"/>
        </w:rPr>
        <w:t>, 1888–1893. 10.1212/01.wnl.0000188871.74093.12</w:t>
      </w:r>
    </w:p>
    <w:p w14:paraId="05651599"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F72A65">
        <w:rPr>
          <w:rFonts w:asciiTheme="minorHAnsi" w:hAnsiTheme="minorHAnsi" w:cstheme="minorHAnsi"/>
          <w:color w:val="333333"/>
          <w:sz w:val="20"/>
          <w:szCs w:val="20"/>
        </w:rPr>
        <w:t>Mormino</w:t>
      </w:r>
      <w:proofErr w:type="spellEnd"/>
      <w:r w:rsidRPr="00F72A65">
        <w:rPr>
          <w:rFonts w:asciiTheme="minorHAnsi" w:hAnsiTheme="minorHAnsi" w:cstheme="minorHAnsi"/>
          <w:color w:val="333333"/>
          <w:sz w:val="20"/>
          <w:szCs w:val="20"/>
        </w:rPr>
        <w:t xml:space="preserve">, E. C., </w:t>
      </w:r>
      <w:proofErr w:type="spellStart"/>
      <w:r w:rsidRPr="00F72A65">
        <w:rPr>
          <w:rFonts w:asciiTheme="minorHAnsi" w:hAnsiTheme="minorHAnsi" w:cstheme="minorHAnsi"/>
          <w:color w:val="333333"/>
          <w:sz w:val="20"/>
          <w:szCs w:val="20"/>
        </w:rPr>
        <w:t>Betensky</w:t>
      </w:r>
      <w:proofErr w:type="spellEnd"/>
      <w:r w:rsidRPr="00F72A65">
        <w:rPr>
          <w:rFonts w:asciiTheme="minorHAnsi" w:hAnsiTheme="minorHAnsi" w:cstheme="minorHAnsi"/>
          <w:color w:val="333333"/>
          <w:sz w:val="20"/>
          <w:szCs w:val="20"/>
        </w:rPr>
        <w:t>, R. A., Hedden, T., Schultz, A. P., Ward, A., . . .</w:t>
      </w:r>
      <w:proofErr w:type="spellStart"/>
      <w:r w:rsidRPr="00F72A65">
        <w:rPr>
          <w:rFonts w:asciiTheme="minorHAnsi" w:hAnsiTheme="minorHAnsi" w:cstheme="minorHAnsi"/>
          <w:color w:val="333333"/>
          <w:sz w:val="20"/>
          <w:szCs w:val="20"/>
        </w:rPr>
        <w:t>Huijbers</w:t>
      </w:r>
      <w:proofErr w:type="spellEnd"/>
      <w:r w:rsidRPr="00F72A65">
        <w:rPr>
          <w:rFonts w:asciiTheme="minorHAnsi" w:hAnsiTheme="minorHAnsi" w:cstheme="minorHAnsi"/>
          <w:color w:val="333333"/>
          <w:sz w:val="20"/>
          <w:szCs w:val="20"/>
        </w:rPr>
        <w:t>, W. (2014). Amyloid and APOE ε4 interact to influence short-term decline in preclinical Alzheimer disease. </w:t>
      </w:r>
      <w:r w:rsidRPr="00F72A65">
        <w:rPr>
          <w:rStyle w:val="Emphasis"/>
          <w:rFonts w:asciiTheme="minorHAnsi" w:eastAsiaTheme="majorEastAsia" w:hAnsiTheme="minorHAnsi" w:cstheme="minorHAnsi"/>
          <w:color w:val="333333"/>
          <w:sz w:val="20"/>
          <w:szCs w:val="20"/>
          <w:bdr w:val="none" w:sz="0" w:space="0" w:color="auto" w:frame="1"/>
        </w:rPr>
        <w:t>Neurology</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82</w:t>
      </w:r>
      <w:r w:rsidRPr="00F72A65">
        <w:rPr>
          <w:rFonts w:asciiTheme="minorHAnsi" w:hAnsiTheme="minorHAnsi" w:cstheme="minorHAnsi"/>
          <w:color w:val="333333"/>
          <w:sz w:val="20"/>
          <w:szCs w:val="20"/>
        </w:rPr>
        <w:t>, 1760–1767. 10.1212/wnl.0000000000000431</w:t>
      </w:r>
    </w:p>
    <w:p w14:paraId="11FA467B"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F72A65">
        <w:rPr>
          <w:rFonts w:asciiTheme="minorHAnsi" w:hAnsiTheme="minorHAnsi" w:cstheme="minorHAnsi"/>
          <w:color w:val="333333"/>
          <w:sz w:val="20"/>
          <w:szCs w:val="20"/>
        </w:rPr>
        <w:t>Pietrzak</w:t>
      </w:r>
      <w:proofErr w:type="spellEnd"/>
      <w:r w:rsidRPr="00F72A65">
        <w:rPr>
          <w:rFonts w:asciiTheme="minorHAnsi" w:hAnsiTheme="minorHAnsi" w:cstheme="minorHAnsi"/>
          <w:color w:val="333333"/>
          <w:sz w:val="20"/>
          <w:szCs w:val="20"/>
        </w:rPr>
        <w:t>, R. H., Lim, Y. Y., Ames, D., Harrington, K., Restrepo, C., . . .Martins, R. N. (2015). Trajectories of memory decline in preclinical Alzheimer’s disease: Results from the Australian Imaging, Biomarkers and Lifestyle Flagship Study of ageing. </w:t>
      </w:r>
      <w:r w:rsidRPr="00F72A65">
        <w:rPr>
          <w:rStyle w:val="Emphasis"/>
          <w:rFonts w:asciiTheme="minorHAnsi" w:eastAsiaTheme="majorEastAsia" w:hAnsiTheme="minorHAnsi" w:cstheme="minorHAnsi"/>
          <w:color w:val="333333"/>
          <w:sz w:val="20"/>
          <w:szCs w:val="20"/>
          <w:bdr w:val="none" w:sz="0" w:space="0" w:color="auto" w:frame="1"/>
        </w:rPr>
        <w:t>Neurobiology of Aging</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36</w:t>
      </w:r>
      <w:r w:rsidRPr="00F72A65">
        <w:rPr>
          <w:rFonts w:asciiTheme="minorHAnsi" w:hAnsiTheme="minorHAnsi" w:cstheme="minorHAnsi"/>
          <w:color w:val="333333"/>
          <w:sz w:val="20"/>
          <w:szCs w:val="20"/>
        </w:rPr>
        <w:t>, 1231–1238. 10.1016/j.neurobiolaging.2014.12.015</w:t>
      </w:r>
    </w:p>
    <w:p w14:paraId="496EA37E"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Rao, S. M., Bonner-Jackson, A., Nielson, K. A., Seidenberg, M., Smith, J. C., Woodard, J. L., &amp; </w:t>
      </w:r>
      <w:proofErr w:type="spellStart"/>
      <w:r w:rsidRPr="00F72A65">
        <w:rPr>
          <w:rFonts w:asciiTheme="minorHAnsi" w:hAnsiTheme="minorHAnsi" w:cstheme="minorHAnsi"/>
          <w:color w:val="333333"/>
          <w:sz w:val="20"/>
          <w:szCs w:val="20"/>
        </w:rPr>
        <w:t>Durgerian</w:t>
      </w:r>
      <w:proofErr w:type="spellEnd"/>
      <w:r w:rsidRPr="00F72A65">
        <w:rPr>
          <w:rFonts w:asciiTheme="minorHAnsi" w:hAnsiTheme="minorHAnsi" w:cstheme="minorHAnsi"/>
          <w:color w:val="333333"/>
          <w:sz w:val="20"/>
          <w:szCs w:val="20"/>
        </w:rPr>
        <w:t>, S. (2015). Genetic risk for Alzheimer’s disease alters the five-year trajectory of semantic memory activation in cognitively intact elders. </w:t>
      </w:r>
      <w:proofErr w:type="spellStart"/>
      <w:r w:rsidRPr="00F72A65">
        <w:rPr>
          <w:rStyle w:val="Emphasis"/>
          <w:rFonts w:asciiTheme="minorHAnsi" w:eastAsiaTheme="majorEastAsia" w:hAnsiTheme="minorHAnsi" w:cstheme="minorHAnsi"/>
          <w:color w:val="333333"/>
          <w:sz w:val="20"/>
          <w:szCs w:val="20"/>
          <w:bdr w:val="none" w:sz="0" w:space="0" w:color="auto" w:frame="1"/>
        </w:rPr>
        <w:t>NeuroImage</w:t>
      </w:r>
      <w:proofErr w:type="spellEnd"/>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111</w:t>
      </w:r>
      <w:r w:rsidRPr="00F72A65">
        <w:rPr>
          <w:rFonts w:asciiTheme="minorHAnsi" w:hAnsiTheme="minorHAnsi" w:cstheme="minorHAnsi"/>
          <w:color w:val="333333"/>
          <w:sz w:val="20"/>
          <w:szCs w:val="20"/>
        </w:rPr>
        <w:t>, 136–146. 10.1016/j.neuroimage.2015.02.011</w:t>
      </w:r>
    </w:p>
    <w:p w14:paraId="3482E534"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Reiter, K., Nielson, K. A., </w:t>
      </w:r>
      <w:proofErr w:type="spellStart"/>
      <w:r w:rsidRPr="00F72A65">
        <w:rPr>
          <w:rFonts w:asciiTheme="minorHAnsi" w:hAnsiTheme="minorHAnsi" w:cstheme="minorHAnsi"/>
          <w:color w:val="333333"/>
          <w:sz w:val="20"/>
          <w:szCs w:val="20"/>
        </w:rPr>
        <w:t>Durgerian</w:t>
      </w:r>
      <w:proofErr w:type="spellEnd"/>
      <w:r w:rsidRPr="00F72A65">
        <w:rPr>
          <w:rFonts w:asciiTheme="minorHAnsi" w:hAnsiTheme="minorHAnsi" w:cstheme="minorHAnsi"/>
          <w:color w:val="333333"/>
          <w:sz w:val="20"/>
          <w:szCs w:val="20"/>
        </w:rPr>
        <w:t>, S., Woodard, J. L., Smith, J. C., Seidenberg, M., . . .Rao, S. M. (2016). Five-year longitudinal brain volume change in healthy elders at genetic risk for Alzheimer’s disease. </w:t>
      </w:r>
      <w:r w:rsidRPr="00F72A65">
        <w:rPr>
          <w:rStyle w:val="Emphasis"/>
          <w:rFonts w:asciiTheme="minorHAnsi" w:eastAsiaTheme="majorEastAsia" w:hAnsiTheme="minorHAnsi" w:cstheme="minorHAnsi"/>
          <w:color w:val="333333"/>
          <w:sz w:val="20"/>
          <w:szCs w:val="20"/>
          <w:bdr w:val="none" w:sz="0" w:space="0" w:color="auto" w:frame="1"/>
        </w:rPr>
        <w:t>Journal of Alzheimer’s Disease</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55</w:t>
      </w:r>
      <w:r w:rsidRPr="00F72A65">
        <w:rPr>
          <w:rFonts w:asciiTheme="minorHAnsi" w:hAnsiTheme="minorHAnsi" w:cstheme="minorHAnsi"/>
          <w:color w:val="333333"/>
          <w:sz w:val="20"/>
          <w:szCs w:val="20"/>
        </w:rPr>
        <w:t>, 1363–1377. 10.3233/JAD-160504</w:t>
      </w:r>
    </w:p>
    <w:p w14:paraId="1C9FB9DC"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F72A65">
        <w:rPr>
          <w:rFonts w:asciiTheme="minorHAnsi" w:hAnsiTheme="minorHAnsi" w:cstheme="minorHAnsi"/>
          <w:color w:val="333333"/>
          <w:sz w:val="20"/>
          <w:szCs w:val="20"/>
        </w:rPr>
        <w:t>Relkin</w:t>
      </w:r>
      <w:proofErr w:type="spellEnd"/>
      <w:r w:rsidRPr="00F72A65">
        <w:rPr>
          <w:rFonts w:asciiTheme="minorHAnsi" w:hAnsiTheme="minorHAnsi" w:cstheme="minorHAnsi"/>
          <w:color w:val="333333"/>
          <w:sz w:val="20"/>
          <w:szCs w:val="20"/>
        </w:rPr>
        <w:t>, N. R., Kwon, Y. J., Tsai, J., &amp; Gandy, S. (1996). The National Institute on Aging/Alzheimer’s Association recommendations on the application of apolipoprotein E genotyping to Alzheimer’s disease. </w:t>
      </w:r>
      <w:r w:rsidRPr="00F72A65">
        <w:rPr>
          <w:rStyle w:val="Emphasis"/>
          <w:rFonts w:asciiTheme="minorHAnsi" w:eastAsiaTheme="majorEastAsia" w:hAnsiTheme="minorHAnsi" w:cstheme="minorHAnsi"/>
          <w:color w:val="333333"/>
          <w:sz w:val="20"/>
          <w:szCs w:val="20"/>
          <w:bdr w:val="none" w:sz="0" w:space="0" w:color="auto" w:frame="1"/>
        </w:rPr>
        <w:t>Annals of the New York Academy of Sciences</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802</w:t>
      </w:r>
      <w:r w:rsidRPr="00F72A65">
        <w:rPr>
          <w:rFonts w:asciiTheme="minorHAnsi" w:hAnsiTheme="minorHAnsi" w:cstheme="minorHAnsi"/>
          <w:color w:val="333333"/>
          <w:sz w:val="20"/>
          <w:szCs w:val="20"/>
        </w:rPr>
        <w:t>, 149–176. 10.1111/j.1749-6632.1996.tb32608.x</w:t>
      </w:r>
    </w:p>
    <w:p w14:paraId="36A9E8B7"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Rey, A. (1958). </w:t>
      </w:r>
      <w:proofErr w:type="spellStart"/>
      <w:r w:rsidRPr="00F72A65">
        <w:rPr>
          <w:rStyle w:val="Emphasis"/>
          <w:rFonts w:asciiTheme="minorHAnsi" w:eastAsiaTheme="majorEastAsia" w:hAnsiTheme="minorHAnsi" w:cstheme="minorHAnsi"/>
          <w:color w:val="333333"/>
          <w:sz w:val="20"/>
          <w:szCs w:val="20"/>
          <w:bdr w:val="none" w:sz="0" w:space="0" w:color="auto" w:frame="1"/>
        </w:rPr>
        <w:t>L’examen</w:t>
      </w:r>
      <w:proofErr w:type="spellEnd"/>
      <w:r w:rsidRPr="00F72A65">
        <w:rPr>
          <w:rStyle w:val="Emphasis"/>
          <w:rFonts w:asciiTheme="minorHAnsi" w:eastAsiaTheme="majorEastAsia" w:hAnsiTheme="minorHAnsi" w:cstheme="minorHAnsi"/>
          <w:color w:val="333333"/>
          <w:sz w:val="20"/>
          <w:szCs w:val="20"/>
          <w:bdr w:val="none" w:sz="0" w:space="0" w:color="auto" w:frame="1"/>
        </w:rPr>
        <w:t xml:space="preserve"> </w:t>
      </w:r>
      <w:proofErr w:type="spellStart"/>
      <w:r w:rsidRPr="00F72A65">
        <w:rPr>
          <w:rStyle w:val="Emphasis"/>
          <w:rFonts w:asciiTheme="minorHAnsi" w:eastAsiaTheme="majorEastAsia" w:hAnsiTheme="minorHAnsi" w:cstheme="minorHAnsi"/>
          <w:color w:val="333333"/>
          <w:sz w:val="20"/>
          <w:szCs w:val="20"/>
          <w:bdr w:val="none" w:sz="0" w:space="0" w:color="auto" w:frame="1"/>
        </w:rPr>
        <w:t>clinique</w:t>
      </w:r>
      <w:proofErr w:type="spellEnd"/>
      <w:r w:rsidRPr="00F72A65">
        <w:rPr>
          <w:rStyle w:val="Emphasis"/>
          <w:rFonts w:asciiTheme="minorHAnsi" w:eastAsiaTheme="majorEastAsia" w:hAnsiTheme="minorHAnsi" w:cstheme="minorHAnsi"/>
          <w:color w:val="333333"/>
          <w:sz w:val="20"/>
          <w:szCs w:val="20"/>
          <w:bdr w:val="none" w:sz="0" w:space="0" w:color="auto" w:frame="1"/>
        </w:rPr>
        <w:t xml:space="preserve"> </w:t>
      </w:r>
      <w:proofErr w:type="spellStart"/>
      <w:r w:rsidRPr="00F72A65">
        <w:rPr>
          <w:rStyle w:val="Emphasis"/>
          <w:rFonts w:asciiTheme="minorHAnsi" w:eastAsiaTheme="majorEastAsia" w:hAnsiTheme="minorHAnsi" w:cstheme="minorHAnsi"/>
          <w:color w:val="333333"/>
          <w:sz w:val="20"/>
          <w:szCs w:val="20"/>
          <w:bdr w:val="none" w:sz="0" w:space="0" w:color="auto" w:frame="1"/>
        </w:rPr>
        <w:t>en</w:t>
      </w:r>
      <w:proofErr w:type="spellEnd"/>
      <w:r w:rsidRPr="00F72A65">
        <w:rPr>
          <w:rStyle w:val="Emphasis"/>
          <w:rFonts w:asciiTheme="minorHAnsi" w:eastAsiaTheme="majorEastAsia" w:hAnsiTheme="minorHAnsi" w:cstheme="minorHAnsi"/>
          <w:color w:val="333333"/>
          <w:sz w:val="20"/>
          <w:szCs w:val="20"/>
          <w:bdr w:val="none" w:sz="0" w:space="0" w:color="auto" w:frame="1"/>
        </w:rPr>
        <w:t xml:space="preserve"> </w:t>
      </w:r>
      <w:proofErr w:type="spellStart"/>
      <w:r w:rsidRPr="00F72A65">
        <w:rPr>
          <w:rStyle w:val="Emphasis"/>
          <w:rFonts w:asciiTheme="minorHAnsi" w:eastAsiaTheme="majorEastAsia" w:hAnsiTheme="minorHAnsi" w:cstheme="minorHAnsi"/>
          <w:color w:val="333333"/>
          <w:sz w:val="20"/>
          <w:szCs w:val="20"/>
          <w:bdr w:val="none" w:sz="0" w:space="0" w:color="auto" w:frame="1"/>
        </w:rPr>
        <w:t>psychologie</w:t>
      </w:r>
      <w:proofErr w:type="spellEnd"/>
      <w:r w:rsidRPr="00F72A65">
        <w:rPr>
          <w:rFonts w:asciiTheme="minorHAnsi" w:hAnsiTheme="minorHAnsi" w:cstheme="minorHAnsi"/>
          <w:color w:val="333333"/>
          <w:sz w:val="20"/>
          <w:szCs w:val="20"/>
        </w:rPr>
        <w:t> [Clinical examination in psychology]. Paris, France: University Press of France.</w:t>
      </w:r>
    </w:p>
    <w:p w14:paraId="2F518C5F"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F72A65">
        <w:rPr>
          <w:rFonts w:asciiTheme="minorHAnsi" w:hAnsiTheme="minorHAnsi" w:cstheme="minorHAnsi"/>
          <w:color w:val="333333"/>
          <w:sz w:val="20"/>
          <w:szCs w:val="20"/>
        </w:rPr>
        <w:t>Roussotte</w:t>
      </w:r>
      <w:proofErr w:type="spellEnd"/>
      <w:r w:rsidRPr="00F72A65">
        <w:rPr>
          <w:rFonts w:asciiTheme="minorHAnsi" w:hAnsiTheme="minorHAnsi" w:cstheme="minorHAnsi"/>
          <w:color w:val="333333"/>
          <w:sz w:val="20"/>
          <w:szCs w:val="20"/>
        </w:rPr>
        <w:t xml:space="preserve">, F. F., Gutman, B. A., Madsen, S. K., Colby, J. B., </w:t>
      </w:r>
      <w:proofErr w:type="spellStart"/>
      <w:r w:rsidRPr="00F72A65">
        <w:rPr>
          <w:rFonts w:asciiTheme="minorHAnsi" w:hAnsiTheme="minorHAnsi" w:cstheme="minorHAnsi"/>
          <w:color w:val="333333"/>
          <w:sz w:val="20"/>
          <w:szCs w:val="20"/>
        </w:rPr>
        <w:t>Narr</w:t>
      </w:r>
      <w:proofErr w:type="spellEnd"/>
      <w:r w:rsidRPr="00F72A65">
        <w:rPr>
          <w:rFonts w:asciiTheme="minorHAnsi" w:hAnsiTheme="minorHAnsi" w:cstheme="minorHAnsi"/>
          <w:color w:val="333333"/>
          <w:sz w:val="20"/>
          <w:szCs w:val="20"/>
        </w:rPr>
        <w:t>, K. L., &amp; Thompson, P. M. (2014). Apolipoprotein E epsilon 4 allele is associated with ventricular expansion rate and surface morphology in dementia and normal aging. </w:t>
      </w:r>
      <w:r w:rsidRPr="00F72A65">
        <w:rPr>
          <w:rStyle w:val="Emphasis"/>
          <w:rFonts w:asciiTheme="minorHAnsi" w:eastAsiaTheme="majorEastAsia" w:hAnsiTheme="minorHAnsi" w:cstheme="minorHAnsi"/>
          <w:color w:val="333333"/>
          <w:sz w:val="20"/>
          <w:szCs w:val="20"/>
          <w:bdr w:val="none" w:sz="0" w:space="0" w:color="auto" w:frame="1"/>
        </w:rPr>
        <w:t>Neurobiology of Aging</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35</w:t>
      </w:r>
      <w:r w:rsidRPr="00F72A65">
        <w:rPr>
          <w:rFonts w:asciiTheme="minorHAnsi" w:hAnsiTheme="minorHAnsi" w:cstheme="minorHAnsi"/>
          <w:color w:val="333333"/>
          <w:sz w:val="20"/>
          <w:szCs w:val="20"/>
        </w:rPr>
        <w:t>, 1309–1317. 10.1016/j.neurobiolaging.2013.11.030</w:t>
      </w:r>
    </w:p>
    <w:p w14:paraId="6682F4D2"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Schreiber, S., Vogel, J., Schwimmer, H. D., Marks, S. M., Schreiber, F., &amp; </w:t>
      </w:r>
      <w:proofErr w:type="spellStart"/>
      <w:r w:rsidRPr="00F72A65">
        <w:rPr>
          <w:rFonts w:asciiTheme="minorHAnsi" w:hAnsiTheme="minorHAnsi" w:cstheme="minorHAnsi"/>
          <w:color w:val="333333"/>
          <w:sz w:val="20"/>
          <w:szCs w:val="20"/>
        </w:rPr>
        <w:t>Jagust</w:t>
      </w:r>
      <w:proofErr w:type="spellEnd"/>
      <w:r w:rsidRPr="00F72A65">
        <w:rPr>
          <w:rFonts w:asciiTheme="minorHAnsi" w:hAnsiTheme="minorHAnsi" w:cstheme="minorHAnsi"/>
          <w:color w:val="333333"/>
          <w:sz w:val="20"/>
          <w:szCs w:val="20"/>
        </w:rPr>
        <w:t>, W. (2016). Impact of lifestyle dimensions on brain pathology and cognition. </w:t>
      </w:r>
      <w:r w:rsidRPr="00F72A65">
        <w:rPr>
          <w:rStyle w:val="Emphasis"/>
          <w:rFonts w:asciiTheme="minorHAnsi" w:eastAsiaTheme="majorEastAsia" w:hAnsiTheme="minorHAnsi" w:cstheme="minorHAnsi"/>
          <w:color w:val="333333"/>
          <w:sz w:val="20"/>
          <w:szCs w:val="20"/>
          <w:bdr w:val="none" w:sz="0" w:space="0" w:color="auto" w:frame="1"/>
        </w:rPr>
        <w:t>Neurobiology of Aging</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40</w:t>
      </w:r>
      <w:r w:rsidRPr="00F72A65">
        <w:rPr>
          <w:rFonts w:asciiTheme="minorHAnsi" w:hAnsiTheme="minorHAnsi" w:cstheme="minorHAnsi"/>
          <w:color w:val="333333"/>
          <w:sz w:val="20"/>
          <w:szCs w:val="20"/>
        </w:rPr>
        <w:t>, 164–172. 10.1016/j.neurobiolaging.2016.01.012</w:t>
      </w:r>
    </w:p>
    <w:p w14:paraId="48F71419"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Schwartz, C. E., </w:t>
      </w:r>
      <w:proofErr w:type="spellStart"/>
      <w:r w:rsidRPr="00F72A65">
        <w:rPr>
          <w:rFonts w:asciiTheme="minorHAnsi" w:hAnsiTheme="minorHAnsi" w:cstheme="minorHAnsi"/>
          <w:color w:val="333333"/>
          <w:sz w:val="20"/>
          <w:szCs w:val="20"/>
        </w:rPr>
        <w:t>Rapkin</w:t>
      </w:r>
      <w:proofErr w:type="spellEnd"/>
      <w:r w:rsidRPr="00F72A65">
        <w:rPr>
          <w:rFonts w:asciiTheme="minorHAnsi" w:hAnsiTheme="minorHAnsi" w:cstheme="minorHAnsi"/>
          <w:color w:val="333333"/>
          <w:sz w:val="20"/>
          <w:szCs w:val="20"/>
        </w:rPr>
        <w:t>, B. D., &amp; Healy, B. C. (2016). Reserve and reserve-building activities research: Key challenges and future directions. </w:t>
      </w:r>
      <w:r w:rsidRPr="00F72A65">
        <w:rPr>
          <w:rStyle w:val="Emphasis"/>
          <w:rFonts w:asciiTheme="minorHAnsi" w:eastAsiaTheme="majorEastAsia" w:hAnsiTheme="minorHAnsi" w:cstheme="minorHAnsi"/>
          <w:color w:val="333333"/>
          <w:sz w:val="20"/>
          <w:szCs w:val="20"/>
          <w:bdr w:val="none" w:sz="0" w:space="0" w:color="auto" w:frame="1"/>
        </w:rPr>
        <w:t>BMC Neuroscience</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17</w:t>
      </w:r>
      <w:r w:rsidRPr="00F72A65">
        <w:rPr>
          <w:rFonts w:asciiTheme="minorHAnsi" w:hAnsiTheme="minorHAnsi" w:cstheme="minorHAnsi"/>
          <w:color w:val="333333"/>
          <w:sz w:val="20"/>
          <w:szCs w:val="20"/>
        </w:rPr>
        <w:t>, 62. 10.1186/s12868-016-0297-0</w:t>
      </w:r>
    </w:p>
    <w:p w14:paraId="49CAEDEE"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Seidenberg, M., </w:t>
      </w:r>
      <w:proofErr w:type="spellStart"/>
      <w:r w:rsidRPr="00F72A65">
        <w:rPr>
          <w:rFonts w:asciiTheme="minorHAnsi" w:hAnsiTheme="minorHAnsi" w:cstheme="minorHAnsi"/>
          <w:color w:val="333333"/>
          <w:sz w:val="20"/>
          <w:szCs w:val="20"/>
        </w:rPr>
        <w:t>Guidotti</w:t>
      </w:r>
      <w:proofErr w:type="spellEnd"/>
      <w:r w:rsidRPr="00F72A65">
        <w:rPr>
          <w:rFonts w:asciiTheme="minorHAnsi" w:hAnsiTheme="minorHAnsi" w:cstheme="minorHAnsi"/>
          <w:color w:val="333333"/>
          <w:sz w:val="20"/>
          <w:szCs w:val="20"/>
        </w:rPr>
        <w:t xml:space="preserve">, L., Nielson, K. A., Woodard, J. L., </w:t>
      </w:r>
      <w:proofErr w:type="spellStart"/>
      <w:r w:rsidRPr="00F72A65">
        <w:rPr>
          <w:rFonts w:asciiTheme="minorHAnsi" w:hAnsiTheme="minorHAnsi" w:cstheme="minorHAnsi"/>
          <w:color w:val="333333"/>
          <w:sz w:val="20"/>
          <w:szCs w:val="20"/>
        </w:rPr>
        <w:t>Durgerian</w:t>
      </w:r>
      <w:proofErr w:type="spellEnd"/>
      <w:r w:rsidRPr="00F72A65">
        <w:rPr>
          <w:rFonts w:asciiTheme="minorHAnsi" w:hAnsiTheme="minorHAnsi" w:cstheme="minorHAnsi"/>
          <w:color w:val="333333"/>
          <w:sz w:val="20"/>
          <w:szCs w:val="20"/>
        </w:rPr>
        <w:t xml:space="preserve">, S., </w:t>
      </w:r>
      <w:proofErr w:type="spellStart"/>
      <w:r w:rsidRPr="00F72A65">
        <w:rPr>
          <w:rFonts w:asciiTheme="minorHAnsi" w:hAnsiTheme="minorHAnsi" w:cstheme="minorHAnsi"/>
          <w:color w:val="333333"/>
          <w:sz w:val="20"/>
          <w:szCs w:val="20"/>
        </w:rPr>
        <w:t>Antuono</w:t>
      </w:r>
      <w:proofErr w:type="spellEnd"/>
      <w:r w:rsidRPr="00F72A65">
        <w:rPr>
          <w:rFonts w:asciiTheme="minorHAnsi" w:hAnsiTheme="minorHAnsi" w:cstheme="minorHAnsi"/>
          <w:color w:val="333333"/>
          <w:sz w:val="20"/>
          <w:szCs w:val="20"/>
        </w:rPr>
        <w:t>, P., . . .Rao, S. M. (2009). Semantic memory activation in individuals at risk for developing Alzheimer disease. </w:t>
      </w:r>
      <w:r w:rsidRPr="00F72A65">
        <w:rPr>
          <w:rStyle w:val="Emphasis"/>
          <w:rFonts w:asciiTheme="minorHAnsi" w:eastAsiaTheme="majorEastAsia" w:hAnsiTheme="minorHAnsi" w:cstheme="minorHAnsi"/>
          <w:color w:val="333333"/>
          <w:sz w:val="20"/>
          <w:szCs w:val="20"/>
          <w:bdr w:val="none" w:sz="0" w:space="0" w:color="auto" w:frame="1"/>
        </w:rPr>
        <w:t>Neurology</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73</w:t>
      </w:r>
      <w:r w:rsidRPr="00F72A65">
        <w:rPr>
          <w:rFonts w:asciiTheme="minorHAnsi" w:hAnsiTheme="minorHAnsi" w:cstheme="minorHAnsi"/>
          <w:color w:val="333333"/>
          <w:sz w:val="20"/>
          <w:szCs w:val="20"/>
        </w:rPr>
        <w:t>, 612–620. 10.1212/WNL.0b013e3181b389ad</w:t>
      </w:r>
    </w:p>
    <w:p w14:paraId="09169E0E"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Small, B. J., </w:t>
      </w:r>
      <w:proofErr w:type="spellStart"/>
      <w:r w:rsidRPr="00F72A65">
        <w:rPr>
          <w:rFonts w:asciiTheme="minorHAnsi" w:hAnsiTheme="minorHAnsi" w:cstheme="minorHAnsi"/>
          <w:color w:val="333333"/>
          <w:sz w:val="20"/>
          <w:szCs w:val="20"/>
        </w:rPr>
        <w:t>Rosnick</w:t>
      </w:r>
      <w:proofErr w:type="spellEnd"/>
      <w:r w:rsidRPr="00F72A65">
        <w:rPr>
          <w:rFonts w:asciiTheme="minorHAnsi" w:hAnsiTheme="minorHAnsi" w:cstheme="minorHAnsi"/>
          <w:color w:val="333333"/>
          <w:sz w:val="20"/>
          <w:szCs w:val="20"/>
        </w:rPr>
        <w:t xml:space="preserve">, C. B., </w:t>
      </w:r>
      <w:proofErr w:type="spellStart"/>
      <w:r w:rsidRPr="00F72A65">
        <w:rPr>
          <w:rFonts w:asciiTheme="minorHAnsi" w:hAnsiTheme="minorHAnsi" w:cstheme="minorHAnsi"/>
          <w:color w:val="333333"/>
          <w:sz w:val="20"/>
          <w:szCs w:val="20"/>
        </w:rPr>
        <w:t>Fratiglioni</w:t>
      </w:r>
      <w:proofErr w:type="spellEnd"/>
      <w:r w:rsidRPr="00F72A65">
        <w:rPr>
          <w:rFonts w:asciiTheme="minorHAnsi" w:hAnsiTheme="minorHAnsi" w:cstheme="minorHAnsi"/>
          <w:color w:val="333333"/>
          <w:sz w:val="20"/>
          <w:szCs w:val="20"/>
        </w:rPr>
        <w:t xml:space="preserve">, L., &amp; </w:t>
      </w:r>
      <w:proofErr w:type="spellStart"/>
      <w:r w:rsidRPr="00F72A65">
        <w:rPr>
          <w:rFonts w:asciiTheme="minorHAnsi" w:hAnsiTheme="minorHAnsi" w:cstheme="minorHAnsi"/>
          <w:color w:val="333333"/>
          <w:sz w:val="20"/>
          <w:szCs w:val="20"/>
        </w:rPr>
        <w:t>Bäckman</w:t>
      </w:r>
      <w:proofErr w:type="spellEnd"/>
      <w:r w:rsidRPr="00F72A65">
        <w:rPr>
          <w:rFonts w:asciiTheme="minorHAnsi" w:hAnsiTheme="minorHAnsi" w:cstheme="minorHAnsi"/>
          <w:color w:val="333333"/>
          <w:sz w:val="20"/>
          <w:szCs w:val="20"/>
        </w:rPr>
        <w:t>, L. (2004). Apolipoprotein E and cognitive performance: A meta-analysis. </w:t>
      </w:r>
      <w:r w:rsidRPr="00F72A65">
        <w:rPr>
          <w:rStyle w:val="Emphasis"/>
          <w:rFonts w:asciiTheme="minorHAnsi" w:eastAsiaTheme="majorEastAsia" w:hAnsiTheme="minorHAnsi" w:cstheme="minorHAnsi"/>
          <w:color w:val="333333"/>
          <w:sz w:val="20"/>
          <w:szCs w:val="20"/>
          <w:bdr w:val="none" w:sz="0" w:space="0" w:color="auto" w:frame="1"/>
        </w:rPr>
        <w:t>Psychology and Aging</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19</w:t>
      </w:r>
      <w:r w:rsidRPr="00F72A65">
        <w:rPr>
          <w:rFonts w:asciiTheme="minorHAnsi" w:hAnsiTheme="minorHAnsi" w:cstheme="minorHAnsi"/>
          <w:color w:val="333333"/>
          <w:sz w:val="20"/>
          <w:szCs w:val="20"/>
        </w:rPr>
        <w:t>, 592–600. 10.1037/0882-7974.19.4.592</w:t>
      </w:r>
    </w:p>
    <w:p w14:paraId="43BA235A"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Smith, G. E., </w:t>
      </w:r>
      <w:proofErr w:type="spellStart"/>
      <w:r w:rsidRPr="00F72A65">
        <w:rPr>
          <w:rFonts w:asciiTheme="minorHAnsi" w:hAnsiTheme="minorHAnsi" w:cstheme="minorHAnsi"/>
          <w:color w:val="333333"/>
          <w:sz w:val="20"/>
          <w:szCs w:val="20"/>
        </w:rPr>
        <w:t>Bohac</w:t>
      </w:r>
      <w:proofErr w:type="spellEnd"/>
      <w:r w:rsidRPr="00F72A65">
        <w:rPr>
          <w:rFonts w:asciiTheme="minorHAnsi" w:hAnsiTheme="minorHAnsi" w:cstheme="minorHAnsi"/>
          <w:color w:val="333333"/>
          <w:sz w:val="20"/>
          <w:szCs w:val="20"/>
        </w:rPr>
        <w:t xml:space="preserve">, D., Waring, S., </w:t>
      </w:r>
      <w:proofErr w:type="spellStart"/>
      <w:r w:rsidRPr="00F72A65">
        <w:rPr>
          <w:rFonts w:asciiTheme="minorHAnsi" w:hAnsiTheme="minorHAnsi" w:cstheme="minorHAnsi"/>
          <w:color w:val="333333"/>
          <w:sz w:val="20"/>
          <w:szCs w:val="20"/>
        </w:rPr>
        <w:t>Kokmen</w:t>
      </w:r>
      <w:proofErr w:type="spellEnd"/>
      <w:r w:rsidRPr="00F72A65">
        <w:rPr>
          <w:rFonts w:asciiTheme="minorHAnsi" w:hAnsiTheme="minorHAnsi" w:cstheme="minorHAnsi"/>
          <w:color w:val="333333"/>
          <w:sz w:val="20"/>
          <w:szCs w:val="20"/>
        </w:rPr>
        <w:t xml:space="preserve">, E., </w:t>
      </w:r>
      <w:proofErr w:type="spellStart"/>
      <w:r w:rsidRPr="00F72A65">
        <w:rPr>
          <w:rFonts w:asciiTheme="minorHAnsi" w:hAnsiTheme="minorHAnsi" w:cstheme="minorHAnsi"/>
          <w:color w:val="333333"/>
          <w:sz w:val="20"/>
          <w:szCs w:val="20"/>
        </w:rPr>
        <w:t>Tangalos</w:t>
      </w:r>
      <w:proofErr w:type="spellEnd"/>
      <w:r w:rsidRPr="00F72A65">
        <w:rPr>
          <w:rFonts w:asciiTheme="minorHAnsi" w:hAnsiTheme="minorHAnsi" w:cstheme="minorHAnsi"/>
          <w:color w:val="333333"/>
          <w:sz w:val="20"/>
          <w:szCs w:val="20"/>
        </w:rPr>
        <w:t xml:space="preserve">, E. G., </w:t>
      </w:r>
      <w:proofErr w:type="spellStart"/>
      <w:r w:rsidRPr="00F72A65">
        <w:rPr>
          <w:rFonts w:asciiTheme="minorHAnsi" w:hAnsiTheme="minorHAnsi" w:cstheme="minorHAnsi"/>
          <w:color w:val="333333"/>
          <w:sz w:val="20"/>
          <w:szCs w:val="20"/>
        </w:rPr>
        <w:t>Ivnik</w:t>
      </w:r>
      <w:proofErr w:type="spellEnd"/>
      <w:r w:rsidRPr="00F72A65">
        <w:rPr>
          <w:rFonts w:asciiTheme="minorHAnsi" w:hAnsiTheme="minorHAnsi" w:cstheme="minorHAnsi"/>
          <w:color w:val="333333"/>
          <w:sz w:val="20"/>
          <w:szCs w:val="20"/>
        </w:rPr>
        <w:t>, R. J., &amp; Petersen, R. C. (1998). Apolipoprotein E genotype influences cognitive ‘phenotype’ in patients with Alzheimer’s disease but not in healthy control subjects. </w:t>
      </w:r>
      <w:r w:rsidRPr="00F72A65">
        <w:rPr>
          <w:rStyle w:val="Emphasis"/>
          <w:rFonts w:asciiTheme="minorHAnsi" w:eastAsiaTheme="majorEastAsia" w:hAnsiTheme="minorHAnsi" w:cstheme="minorHAnsi"/>
          <w:color w:val="333333"/>
          <w:sz w:val="20"/>
          <w:szCs w:val="20"/>
          <w:bdr w:val="none" w:sz="0" w:space="0" w:color="auto" w:frame="1"/>
        </w:rPr>
        <w:t>Neurology</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50</w:t>
      </w:r>
      <w:r w:rsidRPr="00F72A65">
        <w:rPr>
          <w:rFonts w:asciiTheme="minorHAnsi" w:hAnsiTheme="minorHAnsi" w:cstheme="minorHAnsi"/>
          <w:color w:val="333333"/>
          <w:sz w:val="20"/>
          <w:szCs w:val="20"/>
        </w:rPr>
        <w:t>, 355–362. 10.1212/WNL.50.2.355</w:t>
      </w:r>
    </w:p>
    <w:p w14:paraId="56EB0A3D"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Smith, J. C., Lancaster, M. A., Nielson, K. A., Woodard, J. L., Seidenberg, M., </w:t>
      </w:r>
      <w:proofErr w:type="spellStart"/>
      <w:r w:rsidRPr="00F72A65">
        <w:rPr>
          <w:rFonts w:asciiTheme="minorHAnsi" w:hAnsiTheme="minorHAnsi" w:cstheme="minorHAnsi"/>
          <w:color w:val="333333"/>
          <w:sz w:val="20"/>
          <w:szCs w:val="20"/>
        </w:rPr>
        <w:t>Durgerian</w:t>
      </w:r>
      <w:proofErr w:type="spellEnd"/>
      <w:r w:rsidRPr="00F72A65">
        <w:rPr>
          <w:rFonts w:asciiTheme="minorHAnsi" w:hAnsiTheme="minorHAnsi" w:cstheme="minorHAnsi"/>
          <w:color w:val="333333"/>
          <w:sz w:val="20"/>
          <w:szCs w:val="20"/>
        </w:rPr>
        <w:t>, S., . . .Rao, S. M. (2016). Interactive effects of physical activity and APOE-ε4 on white matter tract diffusivity in healthy elders. </w:t>
      </w:r>
      <w:proofErr w:type="spellStart"/>
      <w:r w:rsidRPr="00F72A65">
        <w:rPr>
          <w:rStyle w:val="Emphasis"/>
          <w:rFonts w:asciiTheme="minorHAnsi" w:eastAsiaTheme="majorEastAsia" w:hAnsiTheme="minorHAnsi" w:cstheme="minorHAnsi"/>
          <w:color w:val="333333"/>
          <w:sz w:val="20"/>
          <w:szCs w:val="20"/>
          <w:bdr w:val="none" w:sz="0" w:space="0" w:color="auto" w:frame="1"/>
        </w:rPr>
        <w:t>NeuroImage</w:t>
      </w:r>
      <w:proofErr w:type="spellEnd"/>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131</w:t>
      </w:r>
      <w:r w:rsidRPr="00F72A65">
        <w:rPr>
          <w:rFonts w:asciiTheme="minorHAnsi" w:hAnsiTheme="minorHAnsi" w:cstheme="minorHAnsi"/>
          <w:color w:val="333333"/>
          <w:sz w:val="20"/>
          <w:szCs w:val="20"/>
        </w:rPr>
        <w:t>, 102–112. 10.1016/j.neuroimage.2015.08.007</w:t>
      </w:r>
    </w:p>
    <w:p w14:paraId="11F49823"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Smith, J. C., Nielson, K. A., Woodard, J. L., Seidenberg, M., </w:t>
      </w:r>
      <w:proofErr w:type="spellStart"/>
      <w:r w:rsidRPr="00F72A65">
        <w:rPr>
          <w:rFonts w:asciiTheme="minorHAnsi" w:hAnsiTheme="minorHAnsi" w:cstheme="minorHAnsi"/>
          <w:color w:val="333333"/>
          <w:sz w:val="20"/>
          <w:szCs w:val="20"/>
        </w:rPr>
        <w:t>Durgerian</w:t>
      </w:r>
      <w:proofErr w:type="spellEnd"/>
      <w:r w:rsidRPr="00F72A65">
        <w:rPr>
          <w:rFonts w:asciiTheme="minorHAnsi" w:hAnsiTheme="minorHAnsi" w:cstheme="minorHAnsi"/>
          <w:color w:val="333333"/>
          <w:sz w:val="20"/>
          <w:szCs w:val="20"/>
        </w:rPr>
        <w:t xml:space="preserve">, S., </w:t>
      </w:r>
      <w:proofErr w:type="spellStart"/>
      <w:r w:rsidRPr="00F72A65">
        <w:rPr>
          <w:rFonts w:asciiTheme="minorHAnsi" w:hAnsiTheme="minorHAnsi" w:cstheme="minorHAnsi"/>
          <w:color w:val="333333"/>
          <w:sz w:val="20"/>
          <w:szCs w:val="20"/>
        </w:rPr>
        <w:t>Antuono</w:t>
      </w:r>
      <w:proofErr w:type="spellEnd"/>
      <w:r w:rsidRPr="00F72A65">
        <w:rPr>
          <w:rFonts w:asciiTheme="minorHAnsi" w:hAnsiTheme="minorHAnsi" w:cstheme="minorHAnsi"/>
          <w:color w:val="333333"/>
          <w:sz w:val="20"/>
          <w:szCs w:val="20"/>
        </w:rPr>
        <w:t>, P., . . .Rao, S. M. (2011). Interactive effects of physical activity and APOE-ε4 on BOLD semantic memory activation in healthy elders. </w:t>
      </w:r>
      <w:proofErr w:type="spellStart"/>
      <w:r w:rsidRPr="00F72A65">
        <w:rPr>
          <w:rStyle w:val="Emphasis"/>
          <w:rFonts w:asciiTheme="minorHAnsi" w:eastAsiaTheme="majorEastAsia" w:hAnsiTheme="minorHAnsi" w:cstheme="minorHAnsi"/>
          <w:color w:val="333333"/>
          <w:sz w:val="20"/>
          <w:szCs w:val="20"/>
          <w:bdr w:val="none" w:sz="0" w:space="0" w:color="auto" w:frame="1"/>
        </w:rPr>
        <w:t>NeuroImage</w:t>
      </w:r>
      <w:proofErr w:type="spellEnd"/>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54</w:t>
      </w:r>
      <w:r w:rsidRPr="00F72A65">
        <w:rPr>
          <w:rFonts w:asciiTheme="minorHAnsi" w:hAnsiTheme="minorHAnsi" w:cstheme="minorHAnsi"/>
          <w:color w:val="333333"/>
          <w:sz w:val="20"/>
          <w:szCs w:val="20"/>
        </w:rPr>
        <w:t>, 635–644. 10.1016/j.neuroimage.2010.07.070</w:t>
      </w:r>
    </w:p>
    <w:p w14:paraId="6F7D1F40"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Smith, J. C., Nielson, K. A., Woodard, J. L., Seidenberg, M., </w:t>
      </w:r>
      <w:proofErr w:type="spellStart"/>
      <w:r w:rsidRPr="00F72A65">
        <w:rPr>
          <w:rFonts w:asciiTheme="minorHAnsi" w:hAnsiTheme="minorHAnsi" w:cstheme="minorHAnsi"/>
          <w:color w:val="333333"/>
          <w:sz w:val="20"/>
          <w:szCs w:val="20"/>
        </w:rPr>
        <w:t>Durgerian</w:t>
      </w:r>
      <w:proofErr w:type="spellEnd"/>
      <w:r w:rsidRPr="00F72A65">
        <w:rPr>
          <w:rFonts w:asciiTheme="minorHAnsi" w:hAnsiTheme="minorHAnsi" w:cstheme="minorHAnsi"/>
          <w:color w:val="333333"/>
          <w:sz w:val="20"/>
          <w:szCs w:val="20"/>
        </w:rPr>
        <w:t>, S., Hazlett, K. E., . . .Rao, S. M. (2014). Physical activity reduces hippocampal atrophy in elders at genetic risk for Alzheimer’s disease. </w:t>
      </w:r>
      <w:r w:rsidRPr="00F72A65">
        <w:rPr>
          <w:rStyle w:val="Emphasis"/>
          <w:rFonts w:asciiTheme="minorHAnsi" w:eastAsiaTheme="majorEastAsia" w:hAnsiTheme="minorHAnsi" w:cstheme="minorHAnsi"/>
          <w:color w:val="333333"/>
          <w:sz w:val="20"/>
          <w:szCs w:val="20"/>
          <w:bdr w:val="none" w:sz="0" w:space="0" w:color="auto" w:frame="1"/>
        </w:rPr>
        <w:t>Frontiers in Aging Neuroscience</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6</w:t>
      </w:r>
      <w:r w:rsidRPr="00F72A65">
        <w:rPr>
          <w:rFonts w:asciiTheme="minorHAnsi" w:hAnsiTheme="minorHAnsi" w:cstheme="minorHAnsi"/>
          <w:color w:val="333333"/>
          <w:sz w:val="20"/>
          <w:szCs w:val="20"/>
        </w:rPr>
        <w:t>, 61. 10.3389/fnagi.2014.00061</w:t>
      </w:r>
    </w:p>
    <w:p w14:paraId="2E24BE5B"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Tang, X., Holland, D., Dale, A. M., Younes, L., &amp; Miller, M. I., &amp; the Alzheimer’s Disease Neuroimaging Initiative. (2015). The </w:t>
      </w:r>
      <w:proofErr w:type="spellStart"/>
      <w:r w:rsidRPr="00F72A65">
        <w:rPr>
          <w:rFonts w:asciiTheme="minorHAnsi" w:hAnsiTheme="minorHAnsi" w:cstheme="minorHAnsi"/>
          <w:color w:val="333333"/>
          <w:sz w:val="20"/>
          <w:szCs w:val="20"/>
        </w:rPr>
        <w:t>diffeomorphometry</w:t>
      </w:r>
      <w:proofErr w:type="spellEnd"/>
      <w:r w:rsidRPr="00F72A65">
        <w:rPr>
          <w:rFonts w:asciiTheme="minorHAnsi" w:hAnsiTheme="minorHAnsi" w:cstheme="minorHAnsi"/>
          <w:color w:val="333333"/>
          <w:sz w:val="20"/>
          <w:szCs w:val="20"/>
        </w:rPr>
        <w:t xml:space="preserve"> of regional shape change rates and its relevance to cognitive deterioration in mild cognitive impairment and Alzheimer’s disease. </w:t>
      </w:r>
      <w:r w:rsidRPr="00F72A65">
        <w:rPr>
          <w:rStyle w:val="Emphasis"/>
          <w:rFonts w:asciiTheme="minorHAnsi" w:eastAsiaTheme="majorEastAsia" w:hAnsiTheme="minorHAnsi" w:cstheme="minorHAnsi"/>
          <w:color w:val="333333"/>
          <w:sz w:val="20"/>
          <w:szCs w:val="20"/>
          <w:bdr w:val="none" w:sz="0" w:space="0" w:color="auto" w:frame="1"/>
        </w:rPr>
        <w:t>Human Brain Mapping</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36</w:t>
      </w:r>
      <w:r w:rsidRPr="00F72A65">
        <w:rPr>
          <w:rFonts w:asciiTheme="minorHAnsi" w:hAnsiTheme="minorHAnsi" w:cstheme="minorHAnsi"/>
          <w:color w:val="333333"/>
          <w:sz w:val="20"/>
          <w:szCs w:val="20"/>
        </w:rPr>
        <w:t>, 2093–2117. 10.1002/hbm.22758</w:t>
      </w:r>
    </w:p>
    <w:p w14:paraId="52A7764F"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Thompson, P. M., Hayashi, K. M., De </w:t>
      </w:r>
      <w:proofErr w:type="spellStart"/>
      <w:r w:rsidRPr="00F72A65">
        <w:rPr>
          <w:rFonts w:asciiTheme="minorHAnsi" w:hAnsiTheme="minorHAnsi" w:cstheme="minorHAnsi"/>
          <w:color w:val="333333"/>
          <w:sz w:val="20"/>
          <w:szCs w:val="20"/>
        </w:rPr>
        <w:t>Zubicaray</w:t>
      </w:r>
      <w:proofErr w:type="spellEnd"/>
      <w:r w:rsidRPr="00F72A65">
        <w:rPr>
          <w:rFonts w:asciiTheme="minorHAnsi" w:hAnsiTheme="minorHAnsi" w:cstheme="minorHAnsi"/>
          <w:color w:val="333333"/>
          <w:sz w:val="20"/>
          <w:szCs w:val="20"/>
        </w:rPr>
        <w:t>, G. I., Janke, A. L., Rose, S. E., Semple, J., . . .Toga, A. W. (2004). Mapping hippocampal and ventricular change in Alzheimer disease. </w:t>
      </w:r>
      <w:proofErr w:type="spellStart"/>
      <w:r w:rsidRPr="00F72A65">
        <w:rPr>
          <w:rStyle w:val="Emphasis"/>
          <w:rFonts w:asciiTheme="minorHAnsi" w:eastAsiaTheme="majorEastAsia" w:hAnsiTheme="minorHAnsi" w:cstheme="minorHAnsi"/>
          <w:color w:val="333333"/>
          <w:sz w:val="20"/>
          <w:szCs w:val="20"/>
          <w:bdr w:val="none" w:sz="0" w:space="0" w:color="auto" w:frame="1"/>
        </w:rPr>
        <w:t>NeuroImage</w:t>
      </w:r>
      <w:proofErr w:type="spellEnd"/>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22</w:t>
      </w:r>
      <w:r w:rsidRPr="00F72A65">
        <w:rPr>
          <w:rFonts w:asciiTheme="minorHAnsi" w:hAnsiTheme="minorHAnsi" w:cstheme="minorHAnsi"/>
          <w:color w:val="333333"/>
          <w:sz w:val="20"/>
          <w:szCs w:val="20"/>
        </w:rPr>
        <w:t>, 1754–1766. 10.1016/j.neuroimage.2004.03.040</w:t>
      </w:r>
    </w:p>
    <w:p w14:paraId="7D7298F3"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Wisdom, N. M., Callahan, J. L., &amp; Hawkins, K. A. (2011). The effects of apolipoprotein E on non-impaired cognitive functioning: A meta-analysis. </w:t>
      </w:r>
      <w:r w:rsidRPr="00F72A65">
        <w:rPr>
          <w:rStyle w:val="Emphasis"/>
          <w:rFonts w:asciiTheme="minorHAnsi" w:eastAsiaTheme="majorEastAsia" w:hAnsiTheme="minorHAnsi" w:cstheme="minorHAnsi"/>
          <w:color w:val="333333"/>
          <w:sz w:val="20"/>
          <w:szCs w:val="20"/>
          <w:bdr w:val="none" w:sz="0" w:space="0" w:color="auto" w:frame="1"/>
        </w:rPr>
        <w:t>Neurobiology of Aging</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32</w:t>
      </w:r>
      <w:r w:rsidRPr="00F72A65">
        <w:rPr>
          <w:rFonts w:asciiTheme="minorHAnsi" w:hAnsiTheme="minorHAnsi" w:cstheme="minorHAnsi"/>
          <w:color w:val="333333"/>
          <w:sz w:val="20"/>
          <w:szCs w:val="20"/>
        </w:rPr>
        <w:t>, 63–74. 10.1016/j.neurobiolaging.2009.02.003</w:t>
      </w:r>
    </w:p>
    <w:p w14:paraId="3062A3D4"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Woodard, J. L., Seidenberg, M., Nielson, K. A., Smith, J. C., </w:t>
      </w:r>
      <w:proofErr w:type="spellStart"/>
      <w:r w:rsidRPr="00F72A65">
        <w:rPr>
          <w:rFonts w:asciiTheme="minorHAnsi" w:hAnsiTheme="minorHAnsi" w:cstheme="minorHAnsi"/>
          <w:color w:val="333333"/>
          <w:sz w:val="20"/>
          <w:szCs w:val="20"/>
        </w:rPr>
        <w:t>Antuono</w:t>
      </w:r>
      <w:proofErr w:type="spellEnd"/>
      <w:r w:rsidRPr="00F72A65">
        <w:rPr>
          <w:rFonts w:asciiTheme="minorHAnsi" w:hAnsiTheme="minorHAnsi" w:cstheme="minorHAnsi"/>
          <w:color w:val="333333"/>
          <w:sz w:val="20"/>
          <w:szCs w:val="20"/>
        </w:rPr>
        <w:t xml:space="preserve">, P., </w:t>
      </w:r>
      <w:proofErr w:type="spellStart"/>
      <w:r w:rsidRPr="00F72A65">
        <w:rPr>
          <w:rFonts w:asciiTheme="minorHAnsi" w:hAnsiTheme="minorHAnsi" w:cstheme="minorHAnsi"/>
          <w:color w:val="333333"/>
          <w:sz w:val="20"/>
          <w:szCs w:val="20"/>
        </w:rPr>
        <w:t>Durgerian</w:t>
      </w:r>
      <w:proofErr w:type="spellEnd"/>
      <w:r w:rsidRPr="00F72A65">
        <w:rPr>
          <w:rFonts w:asciiTheme="minorHAnsi" w:hAnsiTheme="minorHAnsi" w:cstheme="minorHAnsi"/>
          <w:color w:val="333333"/>
          <w:sz w:val="20"/>
          <w:szCs w:val="20"/>
        </w:rPr>
        <w:t>, S., . . .Rao, S. M. (2010). Prediction of cognitive decline in healthy older adults using fMRI. </w:t>
      </w:r>
      <w:r w:rsidRPr="00F72A65">
        <w:rPr>
          <w:rStyle w:val="Emphasis"/>
          <w:rFonts w:asciiTheme="minorHAnsi" w:eastAsiaTheme="majorEastAsia" w:hAnsiTheme="minorHAnsi" w:cstheme="minorHAnsi"/>
          <w:color w:val="333333"/>
          <w:sz w:val="20"/>
          <w:szCs w:val="20"/>
          <w:bdr w:val="none" w:sz="0" w:space="0" w:color="auto" w:frame="1"/>
        </w:rPr>
        <w:t>Journal of Alzheimer’s Disease</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21</w:t>
      </w:r>
      <w:r w:rsidRPr="00F72A65">
        <w:rPr>
          <w:rFonts w:asciiTheme="minorHAnsi" w:hAnsiTheme="minorHAnsi" w:cstheme="minorHAnsi"/>
          <w:color w:val="333333"/>
          <w:sz w:val="20"/>
          <w:szCs w:val="20"/>
        </w:rPr>
        <w:t>, 871–885. 10.3233/JAD-2010-091693</w:t>
      </w:r>
    </w:p>
    <w:p w14:paraId="5333D81A"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 xml:space="preserve">Woodard, J. L., Sugarman, M. A., Nielson, K. A., Smith, J. C., Seidenberg, M., </w:t>
      </w:r>
      <w:proofErr w:type="spellStart"/>
      <w:r w:rsidRPr="00F72A65">
        <w:rPr>
          <w:rFonts w:asciiTheme="minorHAnsi" w:hAnsiTheme="minorHAnsi" w:cstheme="minorHAnsi"/>
          <w:color w:val="333333"/>
          <w:sz w:val="20"/>
          <w:szCs w:val="20"/>
        </w:rPr>
        <w:t>Durgerian</w:t>
      </w:r>
      <w:proofErr w:type="spellEnd"/>
      <w:r w:rsidRPr="00F72A65">
        <w:rPr>
          <w:rFonts w:asciiTheme="minorHAnsi" w:hAnsiTheme="minorHAnsi" w:cstheme="minorHAnsi"/>
          <w:color w:val="333333"/>
          <w:sz w:val="20"/>
          <w:szCs w:val="20"/>
        </w:rPr>
        <w:t>, S., . . .Rao, S. M. (2012). Lifestyle and genetic contributions to cognitive decline and hippocampal structure and function in healthy aging. </w:t>
      </w:r>
      <w:r w:rsidRPr="00F72A65">
        <w:rPr>
          <w:rStyle w:val="Emphasis"/>
          <w:rFonts w:asciiTheme="minorHAnsi" w:eastAsiaTheme="majorEastAsia" w:hAnsiTheme="minorHAnsi" w:cstheme="minorHAnsi"/>
          <w:color w:val="333333"/>
          <w:sz w:val="20"/>
          <w:szCs w:val="20"/>
          <w:bdr w:val="none" w:sz="0" w:space="0" w:color="auto" w:frame="1"/>
        </w:rPr>
        <w:t>Current Alzheimer Research</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9</w:t>
      </w:r>
      <w:r w:rsidRPr="00F72A65">
        <w:rPr>
          <w:rFonts w:asciiTheme="minorHAnsi" w:hAnsiTheme="minorHAnsi" w:cstheme="minorHAnsi"/>
          <w:color w:val="333333"/>
          <w:sz w:val="20"/>
          <w:szCs w:val="20"/>
        </w:rPr>
        <w:t>, 436–446. 10.2174/156720512800492477</w:t>
      </w:r>
    </w:p>
    <w:p w14:paraId="06F6405B" w14:textId="77777777" w:rsidR="003A0A2B" w:rsidRPr="00F72A65" w:rsidRDefault="003A0A2B" w:rsidP="00DB5721">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F72A65">
        <w:rPr>
          <w:rFonts w:asciiTheme="minorHAnsi" w:hAnsiTheme="minorHAnsi" w:cstheme="minorHAnsi"/>
          <w:color w:val="333333"/>
          <w:sz w:val="20"/>
          <w:szCs w:val="20"/>
        </w:rPr>
        <w:t>Zhang, H., Wu, L. M., &amp; Wu, J. (2011). Cross-talk between apolipoprotein E and cytokines. </w:t>
      </w:r>
      <w:r w:rsidRPr="00F72A65">
        <w:rPr>
          <w:rStyle w:val="Emphasis"/>
          <w:rFonts w:asciiTheme="minorHAnsi" w:eastAsiaTheme="majorEastAsia" w:hAnsiTheme="minorHAnsi" w:cstheme="minorHAnsi"/>
          <w:color w:val="333333"/>
          <w:sz w:val="20"/>
          <w:szCs w:val="20"/>
          <w:bdr w:val="none" w:sz="0" w:space="0" w:color="auto" w:frame="1"/>
        </w:rPr>
        <w:t>Mediators of Inflammation</w:t>
      </w:r>
      <w:r w:rsidRPr="00F72A65">
        <w:rPr>
          <w:rFonts w:asciiTheme="minorHAnsi" w:hAnsiTheme="minorHAnsi" w:cstheme="minorHAnsi"/>
          <w:color w:val="333333"/>
          <w:sz w:val="20"/>
          <w:szCs w:val="20"/>
        </w:rPr>
        <w:t>, </w:t>
      </w:r>
      <w:r w:rsidRPr="00F72A65">
        <w:rPr>
          <w:rStyle w:val="Emphasis"/>
          <w:rFonts w:asciiTheme="minorHAnsi" w:eastAsiaTheme="majorEastAsia" w:hAnsiTheme="minorHAnsi" w:cstheme="minorHAnsi"/>
          <w:color w:val="333333"/>
          <w:sz w:val="20"/>
          <w:szCs w:val="20"/>
          <w:bdr w:val="none" w:sz="0" w:space="0" w:color="auto" w:frame="1"/>
        </w:rPr>
        <w:t>2011</w:t>
      </w:r>
      <w:r w:rsidRPr="00F72A65">
        <w:rPr>
          <w:rFonts w:asciiTheme="minorHAnsi" w:hAnsiTheme="minorHAnsi" w:cstheme="minorHAnsi"/>
          <w:color w:val="333333"/>
          <w:sz w:val="20"/>
          <w:szCs w:val="20"/>
        </w:rPr>
        <w:t>, 949072. 10.1155/2011/949072</w:t>
      </w:r>
    </w:p>
    <w:sectPr w:rsidR="003A0A2B" w:rsidRPr="00F72A65"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SL0dDvim+1wKw5nB6gQ3UjTEuwB6PxSwdjXmjVJk8YOnqw4OAXtWZW2sjgeahQawL4nGLs2Kb3Yi70vP9IZWDg==" w:salt="muDmUl8hHlgW7LFuh5DC4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437"/>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1D35"/>
    <w:rsid w:val="001F5478"/>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5661D"/>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2680"/>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0A2B"/>
    <w:rsid w:val="003A437A"/>
    <w:rsid w:val="003A503E"/>
    <w:rsid w:val="003A6039"/>
    <w:rsid w:val="003B47FA"/>
    <w:rsid w:val="003B6208"/>
    <w:rsid w:val="003B7F8F"/>
    <w:rsid w:val="003C29DF"/>
    <w:rsid w:val="003C4172"/>
    <w:rsid w:val="003C437D"/>
    <w:rsid w:val="003C4456"/>
    <w:rsid w:val="003D3301"/>
    <w:rsid w:val="003D4641"/>
    <w:rsid w:val="003D6310"/>
    <w:rsid w:val="003E05B7"/>
    <w:rsid w:val="003E0C0A"/>
    <w:rsid w:val="003E6CFF"/>
    <w:rsid w:val="003F26D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67866"/>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55CE"/>
    <w:rsid w:val="0050408D"/>
    <w:rsid w:val="00504C6A"/>
    <w:rsid w:val="005071CD"/>
    <w:rsid w:val="00510364"/>
    <w:rsid w:val="005116C9"/>
    <w:rsid w:val="00511BEE"/>
    <w:rsid w:val="005175E9"/>
    <w:rsid w:val="00520368"/>
    <w:rsid w:val="0052326A"/>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6C5D"/>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06E"/>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3B07"/>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6E57"/>
    <w:rsid w:val="008F0401"/>
    <w:rsid w:val="008F04C1"/>
    <w:rsid w:val="008F2457"/>
    <w:rsid w:val="008F252A"/>
    <w:rsid w:val="008F6AFD"/>
    <w:rsid w:val="008F7645"/>
    <w:rsid w:val="0090248F"/>
    <w:rsid w:val="00902F25"/>
    <w:rsid w:val="0090407E"/>
    <w:rsid w:val="00905334"/>
    <w:rsid w:val="009055FD"/>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0F9D"/>
    <w:rsid w:val="009D316A"/>
    <w:rsid w:val="009D3527"/>
    <w:rsid w:val="009D5368"/>
    <w:rsid w:val="009D54DF"/>
    <w:rsid w:val="009D6E2D"/>
    <w:rsid w:val="009E56AC"/>
    <w:rsid w:val="009E56AF"/>
    <w:rsid w:val="009E678D"/>
    <w:rsid w:val="009E6C5B"/>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852"/>
    <w:rsid w:val="00A81E28"/>
    <w:rsid w:val="00A82932"/>
    <w:rsid w:val="00A82D07"/>
    <w:rsid w:val="00A868FB"/>
    <w:rsid w:val="00A915ED"/>
    <w:rsid w:val="00A91CF2"/>
    <w:rsid w:val="00A93BA4"/>
    <w:rsid w:val="00A9416E"/>
    <w:rsid w:val="00AA24F6"/>
    <w:rsid w:val="00AA493D"/>
    <w:rsid w:val="00AB4807"/>
    <w:rsid w:val="00AB4813"/>
    <w:rsid w:val="00AC0052"/>
    <w:rsid w:val="00AC04D6"/>
    <w:rsid w:val="00AC418D"/>
    <w:rsid w:val="00AD0685"/>
    <w:rsid w:val="00AD38C1"/>
    <w:rsid w:val="00AD5A78"/>
    <w:rsid w:val="00AE1517"/>
    <w:rsid w:val="00AE4078"/>
    <w:rsid w:val="00AE4230"/>
    <w:rsid w:val="00AE69D7"/>
    <w:rsid w:val="00AE6D3C"/>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595"/>
    <w:rsid w:val="00BA7628"/>
    <w:rsid w:val="00BB2130"/>
    <w:rsid w:val="00BB287C"/>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3623"/>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2703"/>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032C"/>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C47"/>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5721"/>
    <w:rsid w:val="00DC4F7C"/>
    <w:rsid w:val="00DC7134"/>
    <w:rsid w:val="00DC79F9"/>
    <w:rsid w:val="00DC7C2C"/>
    <w:rsid w:val="00DD2256"/>
    <w:rsid w:val="00DD4B55"/>
    <w:rsid w:val="00DD5871"/>
    <w:rsid w:val="00DE2F66"/>
    <w:rsid w:val="00DE4173"/>
    <w:rsid w:val="00DE4592"/>
    <w:rsid w:val="00DF6125"/>
    <w:rsid w:val="00E13E05"/>
    <w:rsid w:val="00E15784"/>
    <w:rsid w:val="00E16734"/>
    <w:rsid w:val="00E168FC"/>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A1D"/>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3492"/>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2A65"/>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209A"/>
    <w:rsid w:val="00FB3A37"/>
    <w:rsid w:val="00FB635D"/>
    <w:rsid w:val="00FB6BC1"/>
    <w:rsid w:val="00FC0EED"/>
    <w:rsid w:val="00FC11D2"/>
    <w:rsid w:val="00FC1405"/>
    <w:rsid w:val="00FD0FFF"/>
    <w:rsid w:val="00FE0CA2"/>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body-paragraph">
    <w:name w:val="body-paragraph"/>
    <w:basedOn w:val="Normal"/>
    <w:rsid w:val="003A0A2B"/>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C3270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986742096">
      <w:bodyDiv w:val="1"/>
      <w:marLeft w:val="0"/>
      <w:marRight w:val="0"/>
      <w:marTop w:val="0"/>
      <w:marBottom w:val="0"/>
      <w:divBdr>
        <w:top w:val="none" w:sz="0" w:space="0" w:color="auto"/>
        <w:left w:val="none" w:sz="0" w:space="0" w:color="auto"/>
        <w:bottom w:val="none" w:sz="0" w:space="0" w:color="auto"/>
        <w:right w:val="none" w:sz="0" w:space="0" w:color="auto"/>
      </w:divBdr>
    </w:div>
    <w:div w:id="1255817649">
      <w:bodyDiv w:val="1"/>
      <w:marLeft w:val="0"/>
      <w:marRight w:val="0"/>
      <w:marTop w:val="0"/>
      <w:marBottom w:val="0"/>
      <w:divBdr>
        <w:top w:val="none" w:sz="0" w:space="0" w:color="auto"/>
        <w:left w:val="none" w:sz="0" w:space="0" w:color="auto"/>
        <w:bottom w:val="none" w:sz="0" w:space="0" w:color="auto"/>
        <w:right w:val="none" w:sz="0" w:space="0" w:color="auto"/>
      </w:divBdr>
      <w:divsChild>
        <w:div w:id="498472003">
          <w:marLeft w:val="0"/>
          <w:marRight w:val="0"/>
          <w:marTop w:val="150"/>
          <w:marBottom w:val="0"/>
          <w:divBdr>
            <w:top w:val="none" w:sz="0" w:space="0" w:color="auto"/>
            <w:left w:val="none" w:sz="0" w:space="0" w:color="auto"/>
            <w:bottom w:val="none" w:sz="0" w:space="0" w:color="auto"/>
            <w:right w:val="none" w:sz="0" w:space="0" w:color="auto"/>
          </w:divBdr>
        </w:div>
        <w:div w:id="1575433215">
          <w:marLeft w:val="0"/>
          <w:marRight w:val="0"/>
          <w:marTop w:val="0"/>
          <w:marBottom w:val="0"/>
          <w:divBdr>
            <w:top w:val="none" w:sz="0" w:space="0" w:color="auto"/>
            <w:left w:val="none" w:sz="0" w:space="0" w:color="auto"/>
            <w:bottom w:val="none" w:sz="0" w:space="0" w:color="auto"/>
            <w:right w:val="none" w:sz="0" w:space="0" w:color="auto"/>
          </w:divBdr>
        </w:div>
      </w:divsChild>
    </w:div>
    <w:div w:id="166096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web-b-ebscohost-com.libus.csd.mu.edu/ehost/detail/detail?vid=2&amp;sid=e4b036ec-461a-47a7-bc9e-307d3aa3ff5a%40sessionmgr101&amp;bdata=JnNpdGU9ZWhvc3QtbGl2ZQ%3d%3d" TargetMode="External"/><Relationship Id="rId18" Type="http://schemas.openxmlformats.org/officeDocument/2006/relationships/hyperlink" Target="https://0-web-b-ebscohost-com.libus.csd.mu.edu/ehost/detail/detail?vid=2&amp;sid=e4b036ec-461a-47a7-bc9e-307d3aa3ff5a%40sessionmgr101&amp;bdata=JnNpdGU9ZWhvc3QtbGl2ZQ%3d%3d" TargetMode="External"/><Relationship Id="rId26" Type="http://schemas.openxmlformats.org/officeDocument/2006/relationships/hyperlink" Target="https://0-web-b-ebscohost-com.libus.csd.mu.edu/ehost/detail/detail?vid=2&amp;sid=e4b036ec-461a-47a7-bc9e-307d3aa3ff5a%40sessionmgr101&amp;bdata=JnNpdGU9ZWhvc3QtbGl2ZQ%3d%3d" TargetMode="External"/><Relationship Id="rId39" Type="http://schemas.openxmlformats.org/officeDocument/2006/relationships/image" Target="media/image4.gif"/><Relationship Id="rId21" Type="http://schemas.openxmlformats.org/officeDocument/2006/relationships/hyperlink" Target="https://0-web-b-ebscohost-com.libus.csd.mu.edu/ehost/detail/detail?vid=2&amp;sid=e4b036ec-461a-47a7-bc9e-307d3aa3ff5a%40sessionmgr101&amp;bdata=JnNpdGU9ZWhvc3QtbGl2ZQ%3d%3d" TargetMode="External"/><Relationship Id="rId34" Type="http://schemas.openxmlformats.org/officeDocument/2006/relationships/hyperlink" Target="https://0-web-b-ebscohost-com.libus.csd.mu.edu/ehost/detail/detail?vid=2&amp;sid=e4b036ec-461a-47a7-bc9e-307d3aa3ff5a%40sessionmgr101&amp;bdata=JnNpdGU9ZWhvc3QtbGl2ZQ%3d%3d" TargetMode="External"/><Relationship Id="rId42" Type="http://schemas.openxmlformats.org/officeDocument/2006/relationships/hyperlink" Target="https://0-web-b-ebscohost-com.libus.csd.mu.edu/ehost/detail/detail?vid=2&amp;sid=e4b036ec-461a-47a7-bc9e-307d3aa3ff5a%40sessionmgr101&amp;bdata=JnNpdGU9ZWhvc3QtbGl2ZQ%3d%3d" TargetMode="External"/><Relationship Id="rId47" Type="http://schemas.openxmlformats.org/officeDocument/2006/relationships/hyperlink" Target="https://0-web-b-ebscohost-com.libus.csd.mu.edu/ehost/detail/detail?vid=2&amp;sid=e4b036ec-461a-47a7-bc9e-307d3aa3ff5a%40sessionmgr101&amp;bdata=JnNpdGU9ZWhvc3QtbGl2ZQ%3d%3d" TargetMode="External"/><Relationship Id="rId50" Type="http://schemas.openxmlformats.org/officeDocument/2006/relationships/hyperlink" Target="https://0-web-b-ebscohost-com.libus.csd.mu.edu/ehost/detail/detail?vid=2&amp;sid=e4b036ec-461a-47a7-bc9e-307d3aa3ff5a%40sessionmgr101&amp;bdata=JnNpdGU9ZWhvc3QtbGl2ZQ%3d%3d" TargetMode="External"/><Relationship Id="rId55" Type="http://schemas.openxmlformats.org/officeDocument/2006/relationships/hyperlink" Target="https://0-web-b-ebscohost-com.libus.csd.mu.edu/ehost/detail/detail?vid=2&amp;sid=e4b036ec-461a-47a7-bc9e-307d3aa3ff5a%40sessionmgr101&amp;bdata=JnNpdGU9ZWhvc3QtbGl2ZQ%3d%3d"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0-web-b-ebscohost-com.libus.csd.mu.edu/ehost/detail/detail?vid=2&amp;sid=e4b036ec-461a-47a7-bc9e-307d3aa3ff5a%40sessionmgr101&amp;bdata=JnNpdGU9ZWhvc3QtbGl2ZQ%3d%3d" TargetMode="External"/><Relationship Id="rId29" Type="http://schemas.openxmlformats.org/officeDocument/2006/relationships/image" Target="media/image1.gif"/><Relationship Id="rId11" Type="http://schemas.openxmlformats.org/officeDocument/2006/relationships/hyperlink" Target="https://0-web-b-ebscohost-com.libus.csd.mu.edu/ehost/detail/detail?vid=2&amp;sid=e4b036ec-461a-47a7-bc9e-307d3aa3ff5a%40sessionmgr101&amp;bdata=JnNpdGU9ZWhvc3QtbGl2ZQ%3d%3d" TargetMode="External"/><Relationship Id="rId24" Type="http://schemas.openxmlformats.org/officeDocument/2006/relationships/hyperlink" Target="https://0-web-b-ebscohost-com.libus.csd.mu.edu/ehost/detail/detail?vid=2&amp;sid=e4b036ec-461a-47a7-bc9e-307d3aa3ff5a%40sessionmgr101&amp;bdata=JnNpdGU9ZWhvc3QtbGl2ZQ%3d%3d" TargetMode="External"/><Relationship Id="rId32" Type="http://schemas.openxmlformats.org/officeDocument/2006/relationships/hyperlink" Target="https://0-web-b-ebscohost-com.libus.csd.mu.edu/ehost/detail/detail?vid=2&amp;sid=e4b036ec-461a-47a7-bc9e-307d3aa3ff5a%40sessionmgr101&amp;bdata=JnNpdGU9ZWhvc3QtbGl2ZQ%3d%3d" TargetMode="External"/><Relationship Id="rId37" Type="http://schemas.openxmlformats.org/officeDocument/2006/relationships/hyperlink" Target="https://0-web-b-ebscohost-com.libus.csd.mu.edu/ehost/detail/detail?vid=2&amp;sid=e4b036ec-461a-47a7-bc9e-307d3aa3ff5a%40sessionmgr101&amp;bdata=JnNpdGU9ZWhvc3QtbGl2ZQ%3d%3d" TargetMode="External"/><Relationship Id="rId40" Type="http://schemas.openxmlformats.org/officeDocument/2006/relationships/hyperlink" Target="https://0-web-b-ebscohost-com.libus.csd.mu.edu/ehost/detail/detail?vid=2&amp;sid=e4b036ec-461a-47a7-bc9e-307d3aa3ff5a%40sessionmgr101&amp;bdata=JnNpdGU9ZWhvc3QtbGl2ZQ%3d%3d" TargetMode="External"/><Relationship Id="rId45" Type="http://schemas.openxmlformats.org/officeDocument/2006/relationships/hyperlink" Target="https://0-web-b-ebscohost-com.libus.csd.mu.edu/ehost/detail/detail?vid=2&amp;sid=e4b036ec-461a-47a7-bc9e-307d3aa3ff5a%40sessionmgr101&amp;bdata=JnNpdGU9ZWhvc3QtbGl2ZQ%3d%3d" TargetMode="External"/><Relationship Id="rId53" Type="http://schemas.openxmlformats.org/officeDocument/2006/relationships/hyperlink" Target="https://0-web-b-ebscohost-com.libus.csd.mu.edu/ehost/detail/detail?vid=2&amp;sid=e4b036ec-461a-47a7-bc9e-307d3aa3ff5a%40sessionmgr101&amp;bdata=JnNpdGU9ZWhvc3QtbGl2ZQ%3d%3d" TargetMode="External"/><Relationship Id="rId5" Type="http://schemas.openxmlformats.org/officeDocument/2006/relationships/styles" Target="styles.xml"/><Relationship Id="rId19" Type="http://schemas.openxmlformats.org/officeDocument/2006/relationships/hyperlink" Target="https://0-web-b-ebscohost-com.libus.csd.mu.edu/ehost/detail/detail?vid=2&amp;sid=e4b036ec-461a-47a7-bc9e-307d3aa3ff5a%40sessionmgr101&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b-ebscohost-com.libus.csd.mu.edu/ehost/detail/detail?vid=2&amp;sid=e4b036ec-461a-47a7-bc9e-307d3aa3ff5a%40sessionmgr101&amp;bdata=JnNpdGU9ZWhvc3QtbGl2ZQ%3d%3d" TargetMode="External"/><Relationship Id="rId22" Type="http://schemas.openxmlformats.org/officeDocument/2006/relationships/hyperlink" Target="https://0-web-b-ebscohost-com.libus.csd.mu.edu/ehost/detail/detail?vid=2&amp;sid=e4b036ec-461a-47a7-bc9e-307d3aa3ff5a%40sessionmgr101&amp;bdata=JnNpdGU9ZWhvc3QtbGl2ZQ%3d%3d" TargetMode="External"/><Relationship Id="rId27" Type="http://schemas.openxmlformats.org/officeDocument/2006/relationships/hyperlink" Target="https://0-web-b-ebscohost-com.libus.csd.mu.edu/ehost/detail/detail?vid=2&amp;sid=e4b036ec-461a-47a7-bc9e-307d3aa3ff5a%40sessionmgr101&amp;bdata=JnNpdGU9ZWhvc3QtbGl2ZQ%3d%3d" TargetMode="External"/><Relationship Id="rId30" Type="http://schemas.openxmlformats.org/officeDocument/2006/relationships/hyperlink" Target="https://0-web-b-ebscohost-com.libus.csd.mu.edu/ehost/detail/detail?vid=2&amp;sid=e4b036ec-461a-47a7-bc9e-307d3aa3ff5a%40sessionmgr101&amp;bdata=JnNpdGU9ZWhvc3QtbGl2ZQ%3d%3d" TargetMode="External"/><Relationship Id="rId35" Type="http://schemas.openxmlformats.org/officeDocument/2006/relationships/hyperlink" Target="https://0-web-b-ebscohost-com.libus.csd.mu.edu/ehost/detail/detail?vid=2&amp;sid=e4b036ec-461a-47a7-bc9e-307d3aa3ff5a%40sessionmgr101&amp;bdata=JnNpdGU9ZWhvc3QtbGl2ZQ%3d%3d" TargetMode="External"/><Relationship Id="rId43" Type="http://schemas.openxmlformats.org/officeDocument/2006/relationships/hyperlink" Target="https://0-web-b-ebscohost-com.libus.csd.mu.edu/ehost/detail/detail?vid=2&amp;sid=e4b036ec-461a-47a7-bc9e-307d3aa3ff5a%40sessionmgr101&amp;bdata=JnNpdGU9ZWhvc3QtbGl2ZQ%3d%3d" TargetMode="External"/><Relationship Id="rId48" Type="http://schemas.openxmlformats.org/officeDocument/2006/relationships/hyperlink" Target="https://0-web-b-ebscohost-com.libus.csd.mu.edu/ehost/detail/detail?vid=2&amp;sid=e4b036ec-461a-47a7-bc9e-307d3aa3ff5a%40sessionmgr101&amp;bdata=JnNpdGU9ZWhvc3QtbGl2ZQ%3d%3d" TargetMode="External"/><Relationship Id="rId56" Type="http://schemas.openxmlformats.org/officeDocument/2006/relationships/fontTable" Target="fontTable.xml"/><Relationship Id="rId8" Type="http://schemas.openxmlformats.org/officeDocument/2006/relationships/hyperlink" Target="http://dx.doi.org/10.1037/neu0000444" TargetMode="External"/><Relationship Id="rId51" Type="http://schemas.openxmlformats.org/officeDocument/2006/relationships/hyperlink" Target="https://0-web-b-ebscohost-com.libus.csd.mu.edu/ehost/detail/detail?vid=2&amp;sid=e4b036ec-461a-47a7-bc9e-307d3aa3ff5a%40sessionmgr101&amp;bdata=JnNpdGU9ZWhvc3QtbGl2ZQ%3d%3d" TargetMode="External"/><Relationship Id="rId3" Type="http://schemas.openxmlformats.org/officeDocument/2006/relationships/customXml" Target="../customXml/item3.xml"/><Relationship Id="rId12" Type="http://schemas.openxmlformats.org/officeDocument/2006/relationships/hyperlink" Target="https://0-web-b-ebscohost-com.libus.csd.mu.edu/ehost/detail/detail?vid=2&amp;sid=e4b036ec-461a-47a7-bc9e-307d3aa3ff5a%40sessionmgr101&amp;bdata=JnNpdGU9ZWhvc3QtbGl2ZQ%3d%3d" TargetMode="External"/><Relationship Id="rId17" Type="http://schemas.openxmlformats.org/officeDocument/2006/relationships/hyperlink" Target="https://0-web-b-ebscohost-com.libus.csd.mu.edu/ehost/detail/detail?vid=2&amp;sid=e4b036ec-461a-47a7-bc9e-307d3aa3ff5a%40sessionmgr101&amp;bdata=JnNpdGU9ZWhvc3QtbGl2ZQ%3d%3d" TargetMode="External"/><Relationship Id="rId25" Type="http://schemas.openxmlformats.org/officeDocument/2006/relationships/hyperlink" Target="https://0-web-b-ebscohost-com.libus.csd.mu.edu/ehost/detail/detail?vid=2&amp;sid=e4b036ec-461a-47a7-bc9e-307d3aa3ff5a%40sessionmgr101&amp;bdata=JnNpdGU9ZWhvc3QtbGl2ZQ%3d%3d" TargetMode="External"/><Relationship Id="rId33" Type="http://schemas.openxmlformats.org/officeDocument/2006/relationships/hyperlink" Target="https://0-web-b-ebscohost-com.libus.csd.mu.edu/ehost/detail/detail?vid=2&amp;sid=e4b036ec-461a-47a7-bc9e-307d3aa3ff5a%40sessionmgr101&amp;bdata=JnNpdGU9ZWhvc3QtbGl2ZQ%3d%3d" TargetMode="External"/><Relationship Id="rId38" Type="http://schemas.openxmlformats.org/officeDocument/2006/relationships/image" Target="media/image3.gif"/><Relationship Id="rId46" Type="http://schemas.openxmlformats.org/officeDocument/2006/relationships/hyperlink" Target="https://0-web-b-ebscohost-com.libus.csd.mu.edu/ehost/detail/detail?vid=2&amp;sid=e4b036ec-461a-47a7-bc9e-307d3aa3ff5a%40sessionmgr101&amp;bdata=JnNpdGU9ZWhvc3QtbGl2ZQ%3d%3d" TargetMode="External"/><Relationship Id="rId20" Type="http://schemas.openxmlformats.org/officeDocument/2006/relationships/hyperlink" Target="https://0-web-b-ebscohost-com.libus.csd.mu.edu/ehost/detail/detail?vid=2&amp;sid=e4b036ec-461a-47a7-bc9e-307d3aa3ff5a%40sessionmgr101&amp;bdata=JnNpdGU9ZWhvc3QtbGl2ZQ%3d%3d" TargetMode="External"/><Relationship Id="rId41" Type="http://schemas.openxmlformats.org/officeDocument/2006/relationships/hyperlink" Target="https://0-web-b-ebscohost-com.libus.csd.mu.edu/ehost/detail/detail?vid=2&amp;sid=e4b036ec-461a-47a7-bc9e-307d3aa3ff5a%40sessionmgr101&amp;bdata=JnNpdGU9ZWhvc3QtbGl2ZQ%3d%3d" TargetMode="External"/><Relationship Id="rId54" Type="http://schemas.openxmlformats.org/officeDocument/2006/relationships/hyperlink" Target="https://0-web-b-ebscohost-com.libus.csd.mu.edu/ehost/detail/detail?vid=2&amp;sid=e4b036ec-461a-47a7-bc9e-307d3aa3ff5a%40sessionmgr101&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web-b-ebscohost-com.libus.csd.mu.edu/ehost/detail/detail?vid=2&amp;sid=e4b036ec-461a-47a7-bc9e-307d3aa3ff5a%40sessionmgr101&amp;bdata=JnNpdGU9ZWhvc3QtbGl2ZQ%3d%3d" TargetMode="External"/><Relationship Id="rId23" Type="http://schemas.openxmlformats.org/officeDocument/2006/relationships/hyperlink" Target="https://0-web-b-ebscohost-com.libus.csd.mu.edu/ehost/detail/detail?vid=2&amp;sid=e4b036ec-461a-47a7-bc9e-307d3aa3ff5a%40sessionmgr101&amp;bdata=JnNpdGU9ZWhvc3QtbGl2ZQ%3d%3d" TargetMode="External"/><Relationship Id="rId28" Type="http://schemas.openxmlformats.org/officeDocument/2006/relationships/hyperlink" Target="https://0-web-b-ebscohost-com.libus.csd.mu.edu/ehost/detail/detail?vid=2&amp;sid=e4b036ec-461a-47a7-bc9e-307d3aa3ff5a%40sessionmgr101&amp;bdata=JnNpdGU9ZWhvc3QtbGl2ZQ%3d%3d" TargetMode="External"/><Relationship Id="rId36" Type="http://schemas.openxmlformats.org/officeDocument/2006/relationships/hyperlink" Target="https://0-web-b-ebscohost-com.libus.csd.mu.edu/ehost/detail/detail?vid=2&amp;sid=e4b036ec-461a-47a7-bc9e-307d3aa3ff5a%40sessionmgr101&amp;bdata=JnNpdGU9ZWhvc3QtbGl2ZQ%3d%3d" TargetMode="External"/><Relationship Id="rId49" Type="http://schemas.openxmlformats.org/officeDocument/2006/relationships/hyperlink" Target="https://0-web-b-ebscohost-com.libus.csd.mu.edu/ehost/detail/detail?vid=2&amp;sid=e4b036ec-461a-47a7-bc9e-307d3aa3ff5a%40sessionmgr101&amp;bdata=JnNpdGU9ZWhvc3QtbGl2ZQ%3d%3d" TargetMode="External"/><Relationship Id="rId57" Type="http://schemas.openxmlformats.org/officeDocument/2006/relationships/theme" Target="theme/theme1.xml"/><Relationship Id="rId10" Type="http://schemas.openxmlformats.org/officeDocument/2006/relationships/hyperlink" Target="https://0-web-b-ebscohost-com.libus.csd.mu.edu/ehost/detail/detail?vid=2&amp;sid=e4b036ec-461a-47a7-bc9e-307d3aa3ff5a%40sessionmgr101&amp;bdata=JnNpdGU9ZWhvc3QtbGl2ZQ%3d%3d" TargetMode="External"/><Relationship Id="rId31" Type="http://schemas.openxmlformats.org/officeDocument/2006/relationships/image" Target="media/image2.gif"/><Relationship Id="rId44" Type="http://schemas.openxmlformats.org/officeDocument/2006/relationships/hyperlink" Target="https://0-web-b-ebscohost-com.libus.csd.mu.edu/ehost/detail/detail?vid=2&amp;sid=e4b036ec-461a-47a7-bc9e-307d3aa3ff5a%40sessionmgr101&amp;bdata=JnNpdGU9ZWhvc3QtbGl2ZQ%3d%3d" TargetMode="External"/><Relationship Id="rId52" Type="http://schemas.openxmlformats.org/officeDocument/2006/relationships/hyperlink" Target="https://0-web-b-ebscohost-com.libus.csd.mu.edu/ehost/detail/detail?vid=2&amp;sid=e4b036ec-461a-47a7-bc9e-307d3aa3ff5a%40sessionmgr101&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C9B644-FA5F-412B-9B4E-BBEA0E434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E8EF09-148A-407C-80C9-6B0DAC7D4E99}">
  <ds:schemaRefs>
    <ds:schemaRef ds:uri="http://schemas.microsoft.com/sharepoint/v3/contenttype/forms"/>
  </ds:schemaRefs>
</ds:datastoreItem>
</file>

<file path=customXml/itemProps3.xml><?xml version="1.0" encoding="utf-8"?>
<ds:datastoreItem xmlns:ds="http://schemas.openxmlformats.org/officeDocument/2006/customXml" ds:itemID="{79C6DC7E-FD21-4349-B2C5-D9530119E51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7066</Words>
  <Characters>38868</Characters>
  <Application>Microsoft Office Word</Application>
  <DocSecurity>8</DocSecurity>
  <Lines>793</Lines>
  <Paragraphs>395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40</cp:revision>
  <dcterms:created xsi:type="dcterms:W3CDTF">2019-09-26T16:16:00Z</dcterms:created>
  <dcterms:modified xsi:type="dcterms:W3CDTF">2019-10-07T16:31:00Z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