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D12A9"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3D12A9"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3D12A9">
        <w:rPr>
          <w:rFonts w:cstheme="minorHAnsi"/>
          <w:b/>
          <w:bCs/>
          <w:color w:val="316192"/>
          <w:sz w:val="28"/>
          <w:szCs w:val="26"/>
        </w:rPr>
        <w:t>Marquette University</w:t>
      </w:r>
    </w:p>
    <w:p w14:paraId="158D4B9F" w14:textId="77777777" w:rsidR="000A7622" w:rsidRPr="003D12A9" w:rsidRDefault="000A7622" w:rsidP="00D14423">
      <w:pPr>
        <w:autoSpaceDE w:val="0"/>
        <w:autoSpaceDN w:val="0"/>
        <w:adjustRightInd w:val="0"/>
        <w:rPr>
          <w:rFonts w:cstheme="minorHAnsi"/>
          <w:b/>
          <w:bCs/>
          <w:color w:val="316192"/>
          <w:sz w:val="40"/>
          <w:szCs w:val="36"/>
        </w:rPr>
      </w:pPr>
      <w:proofErr w:type="spellStart"/>
      <w:r w:rsidRPr="003D12A9">
        <w:rPr>
          <w:rFonts w:cstheme="minorHAnsi"/>
          <w:b/>
          <w:bCs/>
          <w:color w:val="316192"/>
          <w:sz w:val="40"/>
          <w:szCs w:val="36"/>
        </w:rPr>
        <w:t>e-Publications@Marquette</w:t>
      </w:r>
      <w:proofErr w:type="spellEnd"/>
    </w:p>
    <w:p w14:paraId="689ACF87" w14:textId="77777777" w:rsidR="000A7622" w:rsidRPr="003D12A9" w:rsidRDefault="000A7622" w:rsidP="00D14423">
      <w:pPr>
        <w:autoSpaceDE w:val="0"/>
        <w:autoSpaceDN w:val="0"/>
        <w:adjustRightInd w:val="0"/>
        <w:rPr>
          <w:rFonts w:cstheme="minorHAnsi"/>
          <w:b/>
          <w:bCs/>
          <w:i/>
          <w:iCs/>
        </w:rPr>
      </w:pPr>
    </w:p>
    <w:p w14:paraId="161853CC" w14:textId="58BEE063" w:rsidR="000A7622" w:rsidRPr="003D12A9" w:rsidRDefault="0056211B" w:rsidP="00D14423">
      <w:pPr>
        <w:autoSpaceDE w:val="0"/>
        <w:autoSpaceDN w:val="0"/>
        <w:adjustRightInd w:val="0"/>
        <w:rPr>
          <w:rFonts w:cstheme="minorHAnsi"/>
          <w:b/>
          <w:bCs/>
          <w:i/>
          <w:iCs/>
          <w:sz w:val="32"/>
          <w:szCs w:val="32"/>
        </w:rPr>
      </w:pPr>
      <w:r w:rsidRPr="003D12A9">
        <w:rPr>
          <w:rFonts w:cstheme="minorHAnsi"/>
          <w:b/>
          <w:bCs/>
          <w:i/>
          <w:iCs/>
          <w:sz w:val="32"/>
          <w:szCs w:val="32"/>
        </w:rPr>
        <w:t xml:space="preserve">Psychology </w:t>
      </w:r>
      <w:r w:rsidR="000A7622" w:rsidRPr="003D12A9">
        <w:rPr>
          <w:rFonts w:cstheme="minorHAnsi"/>
          <w:b/>
          <w:bCs/>
          <w:i/>
          <w:iCs/>
          <w:sz w:val="32"/>
          <w:szCs w:val="32"/>
        </w:rPr>
        <w:t>Faculty Research and Publications/</w:t>
      </w:r>
      <w:r w:rsidR="009732A9" w:rsidRPr="003D12A9">
        <w:rPr>
          <w:rFonts w:cstheme="minorHAnsi"/>
          <w:b/>
          <w:bCs/>
          <w:i/>
          <w:iCs/>
          <w:sz w:val="32"/>
          <w:szCs w:val="32"/>
        </w:rPr>
        <w:t xml:space="preserve">College of </w:t>
      </w:r>
      <w:r w:rsidRPr="003D12A9">
        <w:rPr>
          <w:rFonts w:cstheme="minorHAnsi"/>
          <w:b/>
          <w:bCs/>
          <w:i/>
          <w:iCs/>
          <w:sz w:val="32"/>
          <w:szCs w:val="32"/>
        </w:rPr>
        <w:t>Arts and Sciences</w:t>
      </w:r>
    </w:p>
    <w:bookmarkEnd w:id="1"/>
    <w:p w14:paraId="3E538636" w14:textId="77777777" w:rsidR="000A7622" w:rsidRPr="003D12A9" w:rsidRDefault="000A7622" w:rsidP="00D14423">
      <w:pPr>
        <w:jc w:val="center"/>
        <w:rPr>
          <w:rFonts w:cstheme="minorHAnsi"/>
          <w:b/>
          <w:bCs/>
          <w:i/>
          <w:iCs/>
        </w:rPr>
      </w:pPr>
    </w:p>
    <w:p w14:paraId="25509BF0" w14:textId="3FC0B04E" w:rsidR="000A7622" w:rsidRPr="003D12A9" w:rsidRDefault="000A7622" w:rsidP="00D14423">
      <w:pPr>
        <w:jc w:val="center"/>
        <w:rPr>
          <w:rFonts w:cstheme="minorHAnsi"/>
          <w:sz w:val="24"/>
          <w:szCs w:val="24"/>
        </w:rPr>
      </w:pPr>
      <w:r w:rsidRPr="003D12A9">
        <w:rPr>
          <w:rFonts w:cstheme="minorHAnsi"/>
          <w:b/>
          <w:bCs/>
          <w:i/>
          <w:iCs/>
          <w:sz w:val="24"/>
          <w:szCs w:val="24"/>
        </w:rPr>
        <w:t xml:space="preserve">This paper is NOT THE PUBLISHED VERSION; </w:t>
      </w:r>
      <w:r w:rsidRPr="003D12A9">
        <w:rPr>
          <w:rFonts w:cstheme="minorHAnsi"/>
          <w:b/>
          <w:bCs/>
          <w:sz w:val="24"/>
          <w:szCs w:val="24"/>
        </w:rPr>
        <w:t xml:space="preserve">but the author’s final, peer-reviewed manuscript. </w:t>
      </w:r>
      <w:r w:rsidRPr="003D12A9">
        <w:rPr>
          <w:rFonts w:cstheme="minorHAnsi"/>
          <w:sz w:val="24"/>
          <w:szCs w:val="24"/>
        </w:rPr>
        <w:t xml:space="preserve">The published version may be accessed by following the link in </w:t>
      </w:r>
      <w:proofErr w:type="spellStart"/>
      <w:r w:rsidRPr="003D12A9">
        <w:rPr>
          <w:rFonts w:cstheme="minorHAnsi"/>
          <w:sz w:val="24"/>
          <w:szCs w:val="24"/>
        </w:rPr>
        <w:t>th</w:t>
      </w:r>
      <w:proofErr w:type="spellEnd"/>
      <w:r w:rsidRPr="003D12A9">
        <w:rPr>
          <w:rFonts w:cstheme="minorHAnsi"/>
          <w:sz w:val="24"/>
          <w:szCs w:val="24"/>
        </w:rPr>
        <w:t xml:space="preserve"> citation below.</w:t>
      </w:r>
    </w:p>
    <w:p w14:paraId="207B0342" w14:textId="77777777" w:rsidR="000A7622" w:rsidRPr="003D12A9" w:rsidRDefault="000A7622" w:rsidP="00D14423">
      <w:pPr>
        <w:jc w:val="center"/>
        <w:rPr>
          <w:rFonts w:cstheme="minorHAnsi"/>
          <w:sz w:val="24"/>
          <w:szCs w:val="24"/>
        </w:rPr>
      </w:pPr>
    </w:p>
    <w:p w14:paraId="2A38AFE1" w14:textId="5546F898" w:rsidR="000A7622" w:rsidRPr="003D12A9" w:rsidRDefault="00621C30" w:rsidP="00D14423">
      <w:pPr>
        <w:rPr>
          <w:rFonts w:cstheme="minorHAnsi"/>
          <w:sz w:val="24"/>
          <w:szCs w:val="24"/>
        </w:rPr>
      </w:pPr>
      <w:r>
        <w:rPr>
          <w:rFonts w:cstheme="minorHAnsi"/>
          <w:i/>
          <w:sz w:val="24"/>
          <w:szCs w:val="24"/>
          <w:lang w:val="fr-FR"/>
        </w:rPr>
        <w:t xml:space="preserve">Nursing </w:t>
      </w:r>
      <w:proofErr w:type="spellStart"/>
      <w:r>
        <w:rPr>
          <w:rFonts w:cstheme="minorHAnsi"/>
          <w:i/>
          <w:sz w:val="24"/>
          <w:szCs w:val="24"/>
          <w:lang w:val="fr-FR"/>
        </w:rPr>
        <w:t>Research</w:t>
      </w:r>
      <w:proofErr w:type="spellEnd"/>
      <w:r w:rsidR="000A7622" w:rsidRPr="003D12A9">
        <w:rPr>
          <w:rFonts w:cstheme="minorHAnsi"/>
          <w:sz w:val="24"/>
          <w:szCs w:val="24"/>
          <w:lang w:val="fr-FR"/>
        </w:rPr>
        <w:t xml:space="preserve">, Vol. </w:t>
      </w:r>
      <w:r>
        <w:rPr>
          <w:rFonts w:cstheme="minorHAnsi"/>
          <w:sz w:val="24"/>
          <w:szCs w:val="24"/>
          <w:lang w:val="fr-FR"/>
        </w:rPr>
        <w:t>67</w:t>
      </w:r>
      <w:r w:rsidR="000A7622" w:rsidRPr="003D12A9">
        <w:rPr>
          <w:rFonts w:cstheme="minorHAnsi"/>
          <w:sz w:val="24"/>
          <w:szCs w:val="24"/>
          <w:lang w:val="fr-FR"/>
        </w:rPr>
        <w:t xml:space="preserve">, No. </w:t>
      </w:r>
      <w:r>
        <w:rPr>
          <w:rFonts w:cstheme="minorHAnsi"/>
          <w:sz w:val="24"/>
          <w:szCs w:val="24"/>
          <w:lang w:val="fr-FR"/>
        </w:rPr>
        <w:t>4</w:t>
      </w:r>
      <w:r w:rsidR="000A7622" w:rsidRPr="003D12A9">
        <w:rPr>
          <w:rFonts w:cstheme="minorHAnsi"/>
          <w:sz w:val="24"/>
          <w:szCs w:val="24"/>
          <w:lang w:val="fr-FR"/>
        </w:rPr>
        <w:t xml:space="preserve"> (</w:t>
      </w:r>
      <w:proofErr w:type="spellStart"/>
      <w:r>
        <w:rPr>
          <w:rFonts w:cstheme="minorHAnsi"/>
          <w:sz w:val="24"/>
          <w:szCs w:val="24"/>
          <w:lang w:val="fr-FR"/>
        </w:rPr>
        <w:t>July.August</w:t>
      </w:r>
      <w:proofErr w:type="spellEnd"/>
      <w:r>
        <w:rPr>
          <w:rFonts w:cstheme="minorHAnsi"/>
          <w:sz w:val="24"/>
          <w:szCs w:val="24"/>
          <w:lang w:val="fr-FR"/>
        </w:rPr>
        <w:t xml:space="preserve"> 2018</w:t>
      </w:r>
      <w:proofErr w:type="gramStart"/>
      <w:r w:rsidR="000A7622" w:rsidRPr="003D12A9">
        <w:rPr>
          <w:rFonts w:cstheme="minorHAnsi"/>
          <w:sz w:val="24"/>
          <w:szCs w:val="24"/>
          <w:lang w:val="fr-FR"/>
        </w:rPr>
        <w:t>):</w:t>
      </w:r>
      <w:proofErr w:type="gramEnd"/>
      <w:r w:rsidR="000A7622" w:rsidRPr="003D12A9">
        <w:rPr>
          <w:rFonts w:cstheme="minorHAnsi"/>
          <w:sz w:val="24"/>
          <w:szCs w:val="24"/>
          <w:lang w:val="fr-FR"/>
        </w:rPr>
        <w:t xml:space="preserve"> </w:t>
      </w:r>
      <w:r w:rsidR="005F399C">
        <w:rPr>
          <w:rFonts w:cstheme="minorHAnsi"/>
          <w:sz w:val="24"/>
          <w:szCs w:val="24"/>
          <w:lang w:val="fr-FR"/>
        </w:rPr>
        <w:t>305-313</w:t>
      </w:r>
      <w:r w:rsidR="000A7622" w:rsidRPr="003D12A9">
        <w:rPr>
          <w:rFonts w:cstheme="minorHAnsi"/>
          <w:sz w:val="24"/>
          <w:szCs w:val="24"/>
          <w:lang w:val="fr-FR"/>
        </w:rPr>
        <w:t xml:space="preserve">. </w:t>
      </w:r>
      <w:hyperlink r:id="rId8" w:history="1">
        <w:r w:rsidR="000A7622" w:rsidRPr="003D12A9">
          <w:rPr>
            <w:rFonts w:cstheme="minorHAnsi"/>
            <w:color w:val="0563C1" w:themeColor="hyperlink"/>
            <w:sz w:val="24"/>
            <w:szCs w:val="24"/>
            <w:u w:val="single"/>
            <w:lang w:val="fr-FR"/>
          </w:rPr>
          <w:t>DOI</w:t>
        </w:r>
      </w:hyperlink>
      <w:r w:rsidR="000A7622" w:rsidRPr="003D12A9">
        <w:rPr>
          <w:rFonts w:cstheme="minorHAnsi"/>
          <w:sz w:val="24"/>
          <w:szCs w:val="24"/>
          <w:lang w:val="fr-FR"/>
        </w:rPr>
        <w:t xml:space="preserve">. </w:t>
      </w:r>
      <w:r w:rsidR="000A7622" w:rsidRPr="003D12A9">
        <w:rPr>
          <w:rFonts w:cstheme="minorHAnsi"/>
          <w:sz w:val="24"/>
          <w:szCs w:val="24"/>
        </w:rPr>
        <w:t xml:space="preserve">This article is © </w:t>
      </w:r>
      <w:r w:rsidR="001527F4" w:rsidRPr="001527F4">
        <w:rPr>
          <w:rFonts w:cstheme="minorHAnsi"/>
          <w:sz w:val="24"/>
          <w:szCs w:val="24"/>
        </w:rPr>
        <w:t>Wolters Kluwer Health, Inc</w:t>
      </w:r>
      <w:r w:rsidR="000A7622" w:rsidRPr="003D12A9">
        <w:rPr>
          <w:rFonts w:cstheme="minorHAnsi"/>
          <w:sz w:val="24"/>
          <w:szCs w:val="24"/>
        </w:rPr>
        <w:t xml:space="preserve"> and permission has been granted for this version to appear in </w:t>
      </w:r>
      <w:hyperlink r:id="rId9" w:history="1">
        <w:proofErr w:type="spellStart"/>
        <w:r w:rsidR="000A7622" w:rsidRPr="003D12A9">
          <w:rPr>
            <w:rFonts w:cstheme="minorHAnsi"/>
            <w:color w:val="0563C1" w:themeColor="hyperlink"/>
            <w:sz w:val="24"/>
            <w:szCs w:val="24"/>
            <w:u w:val="single"/>
          </w:rPr>
          <w:t>e-Publications@Marquette</w:t>
        </w:r>
        <w:proofErr w:type="spellEnd"/>
      </w:hyperlink>
      <w:r w:rsidR="000A7622" w:rsidRPr="003D12A9">
        <w:rPr>
          <w:rFonts w:cstheme="minorHAnsi"/>
          <w:sz w:val="24"/>
          <w:szCs w:val="24"/>
        </w:rPr>
        <w:t xml:space="preserve">. </w:t>
      </w:r>
      <w:r w:rsidR="001527F4" w:rsidRPr="001527F4">
        <w:rPr>
          <w:rFonts w:cstheme="minorHAnsi"/>
          <w:sz w:val="24"/>
          <w:szCs w:val="24"/>
        </w:rPr>
        <w:t>Wolters Kluwer Health, Inc</w:t>
      </w:r>
      <w:r w:rsidR="000A7622" w:rsidRPr="003D12A9">
        <w:rPr>
          <w:rFonts w:cstheme="minorHAnsi"/>
          <w:sz w:val="24"/>
          <w:szCs w:val="24"/>
        </w:rPr>
        <w:t xml:space="preserve"> does not grant permission for this article to be further copied/distributed or hosted elsewhere without the express permission from </w:t>
      </w:r>
      <w:r w:rsidR="001527F4" w:rsidRPr="001527F4">
        <w:rPr>
          <w:rFonts w:cstheme="minorHAnsi"/>
          <w:sz w:val="24"/>
          <w:szCs w:val="24"/>
        </w:rPr>
        <w:t>Wolters Kluwer Health, Inc</w:t>
      </w:r>
      <w:r w:rsidR="000A7622" w:rsidRPr="003D12A9">
        <w:rPr>
          <w:rFonts w:cstheme="minorHAnsi"/>
          <w:sz w:val="24"/>
          <w:szCs w:val="24"/>
        </w:rPr>
        <w:t xml:space="preserve">. </w:t>
      </w:r>
    </w:p>
    <w:p w14:paraId="5D3EC291" w14:textId="77777777" w:rsidR="00F16D64" w:rsidRPr="003D12A9" w:rsidRDefault="00F16D64" w:rsidP="000A0D9F">
      <w:pPr>
        <w:pStyle w:val="Title"/>
        <w:rPr>
          <w:rFonts w:asciiTheme="minorHAnsi" w:hAnsiTheme="minorHAnsi" w:cstheme="minorHAnsi"/>
        </w:rPr>
      </w:pPr>
      <w:r w:rsidRPr="003D12A9">
        <w:rPr>
          <w:rFonts w:asciiTheme="minorHAnsi" w:hAnsiTheme="minorHAnsi" w:cstheme="minorHAnsi"/>
        </w:rPr>
        <w:t>Validation of the Registered </w:t>
      </w:r>
      <w:r w:rsidRPr="003D12A9">
        <w:rPr>
          <w:rStyle w:val="ej-keyword"/>
          <w:rFonts w:asciiTheme="minorHAnsi" w:hAnsiTheme="minorHAnsi" w:cstheme="minorHAnsi"/>
          <w:color w:val="000000"/>
        </w:rPr>
        <w:t>Nurse Assessment</w:t>
      </w:r>
      <w:r w:rsidRPr="003D12A9">
        <w:rPr>
          <w:rFonts w:asciiTheme="minorHAnsi" w:hAnsiTheme="minorHAnsi" w:cstheme="minorHAnsi"/>
        </w:rPr>
        <w:t> of Readiness for Hospital Discharge Scale</w:t>
      </w:r>
    </w:p>
    <w:p w14:paraId="4B8BAB53" w14:textId="4117FC2B" w:rsidR="0056211B" w:rsidRPr="003D12A9" w:rsidRDefault="0056211B" w:rsidP="00D14423">
      <w:pPr>
        <w:rPr>
          <w:rFonts w:cstheme="minorHAnsi"/>
          <w:sz w:val="24"/>
          <w:szCs w:val="24"/>
        </w:rPr>
      </w:pPr>
    </w:p>
    <w:p w14:paraId="1D7B0547" w14:textId="77777777" w:rsidR="004F635A" w:rsidRPr="003D12A9" w:rsidRDefault="004F635A" w:rsidP="000A0D9F">
      <w:pPr>
        <w:spacing w:after="0"/>
        <w:rPr>
          <w:rFonts w:cstheme="minorHAnsi"/>
          <w:b/>
          <w:bCs/>
          <w:sz w:val="24"/>
          <w:szCs w:val="24"/>
        </w:rPr>
      </w:pPr>
      <w:r w:rsidRPr="004F635A">
        <w:rPr>
          <w:rFonts w:cstheme="minorHAnsi"/>
          <w:b/>
          <w:bCs/>
          <w:sz w:val="24"/>
          <w:szCs w:val="24"/>
        </w:rPr>
        <w:t>Kathleen L. Bobay</w:t>
      </w:r>
    </w:p>
    <w:p w14:paraId="02514FBF" w14:textId="4AA7ABEA" w:rsidR="004F635A" w:rsidRPr="004F635A" w:rsidRDefault="004F635A" w:rsidP="000A0D9F">
      <w:pPr>
        <w:spacing w:after="0"/>
        <w:rPr>
          <w:rFonts w:cstheme="minorHAnsi"/>
          <w:sz w:val="24"/>
          <w:szCs w:val="24"/>
        </w:rPr>
      </w:pPr>
      <w:r w:rsidRPr="004F635A">
        <w:rPr>
          <w:rFonts w:cstheme="minorHAnsi"/>
          <w:sz w:val="24"/>
          <w:szCs w:val="24"/>
        </w:rPr>
        <w:t xml:space="preserve">Marcella </w:t>
      </w:r>
      <w:proofErr w:type="spellStart"/>
      <w:r w:rsidRPr="004F635A">
        <w:rPr>
          <w:rFonts w:cstheme="minorHAnsi"/>
          <w:sz w:val="24"/>
          <w:szCs w:val="24"/>
        </w:rPr>
        <w:t>Niehoff</w:t>
      </w:r>
      <w:proofErr w:type="spellEnd"/>
      <w:r w:rsidRPr="004F635A">
        <w:rPr>
          <w:rFonts w:cstheme="minorHAnsi"/>
          <w:sz w:val="24"/>
          <w:szCs w:val="24"/>
        </w:rPr>
        <w:t xml:space="preserve"> School of Nursing, Loyola University Chicago, Maywood, Illinois.</w:t>
      </w:r>
    </w:p>
    <w:p w14:paraId="2E094C3B" w14:textId="77777777" w:rsidR="000A0D9F" w:rsidRPr="003D12A9" w:rsidRDefault="004F635A" w:rsidP="000A0D9F">
      <w:pPr>
        <w:spacing w:after="0"/>
        <w:rPr>
          <w:rFonts w:cstheme="minorHAnsi"/>
          <w:b/>
          <w:bCs/>
          <w:sz w:val="24"/>
          <w:szCs w:val="24"/>
        </w:rPr>
      </w:pPr>
      <w:r w:rsidRPr="004F635A">
        <w:rPr>
          <w:rFonts w:cstheme="minorHAnsi"/>
          <w:b/>
          <w:bCs/>
          <w:sz w:val="24"/>
          <w:szCs w:val="24"/>
        </w:rPr>
        <w:t>Marianne E. Weiss</w:t>
      </w:r>
    </w:p>
    <w:p w14:paraId="046CF947" w14:textId="07D5BEE7" w:rsidR="004F635A" w:rsidRPr="004F635A" w:rsidRDefault="004F635A" w:rsidP="000A0D9F">
      <w:pPr>
        <w:spacing w:after="0"/>
        <w:rPr>
          <w:rFonts w:cstheme="minorHAnsi"/>
          <w:sz w:val="24"/>
          <w:szCs w:val="24"/>
        </w:rPr>
      </w:pPr>
      <w:r w:rsidRPr="004F635A">
        <w:rPr>
          <w:rFonts w:cstheme="minorHAnsi"/>
          <w:sz w:val="24"/>
          <w:szCs w:val="24"/>
        </w:rPr>
        <w:t>Wheaton Franciscan Healthcare St. Joseph/Sister Rosalie Klein Professor of Women’s Health Professor, Marquette University School of Nursing, Milwaukee, Wisconsin</w:t>
      </w:r>
    </w:p>
    <w:p w14:paraId="320CDE26" w14:textId="77777777" w:rsidR="000A0D9F" w:rsidRPr="003D12A9" w:rsidRDefault="004F635A" w:rsidP="000A0D9F">
      <w:pPr>
        <w:spacing w:after="0"/>
        <w:rPr>
          <w:rFonts w:cstheme="minorHAnsi"/>
          <w:b/>
          <w:bCs/>
          <w:sz w:val="24"/>
          <w:szCs w:val="24"/>
        </w:rPr>
      </w:pPr>
      <w:r w:rsidRPr="004F635A">
        <w:rPr>
          <w:rFonts w:cstheme="minorHAnsi"/>
          <w:b/>
          <w:bCs/>
          <w:sz w:val="24"/>
          <w:szCs w:val="24"/>
        </w:rPr>
        <w:t>Debra Oswald</w:t>
      </w:r>
    </w:p>
    <w:p w14:paraId="63A3D6AF" w14:textId="0223CA19" w:rsidR="004F635A" w:rsidRPr="004F635A" w:rsidRDefault="004F635A" w:rsidP="000A0D9F">
      <w:pPr>
        <w:spacing w:after="0"/>
        <w:rPr>
          <w:rFonts w:cstheme="minorHAnsi"/>
          <w:sz w:val="24"/>
          <w:szCs w:val="24"/>
        </w:rPr>
      </w:pPr>
      <w:r w:rsidRPr="004F635A">
        <w:rPr>
          <w:rFonts w:cstheme="minorHAnsi"/>
          <w:sz w:val="24"/>
          <w:szCs w:val="24"/>
        </w:rPr>
        <w:t>Department of Psychology, Marquette University, Milwaukee, Wisconsin.</w:t>
      </w:r>
    </w:p>
    <w:p w14:paraId="0F2D63AB" w14:textId="77777777" w:rsidR="000A0D9F" w:rsidRPr="003D12A9" w:rsidRDefault="004F635A" w:rsidP="000A0D9F">
      <w:pPr>
        <w:spacing w:after="0"/>
        <w:rPr>
          <w:rFonts w:cstheme="minorHAnsi"/>
          <w:b/>
          <w:bCs/>
          <w:sz w:val="24"/>
          <w:szCs w:val="24"/>
        </w:rPr>
      </w:pPr>
      <w:r w:rsidRPr="004F635A">
        <w:rPr>
          <w:rFonts w:cstheme="minorHAnsi"/>
          <w:b/>
          <w:bCs/>
          <w:sz w:val="24"/>
          <w:szCs w:val="24"/>
        </w:rPr>
        <w:t xml:space="preserve">Olga </w:t>
      </w:r>
      <w:proofErr w:type="spellStart"/>
      <w:r w:rsidRPr="004F635A">
        <w:rPr>
          <w:rFonts w:cstheme="minorHAnsi"/>
          <w:b/>
          <w:bCs/>
          <w:sz w:val="24"/>
          <w:szCs w:val="24"/>
        </w:rPr>
        <w:t>Yakusheva</w:t>
      </w:r>
      <w:proofErr w:type="spellEnd"/>
    </w:p>
    <w:p w14:paraId="1F6FE9C2" w14:textId="5B555456" w:rsidR="004F635A" w:rsidRPr="004F635A" w:rsidRDefault="004F635A" w:rsidP="000A0D9F">
      <w:pPr>
        <w:spacing w:after="0"/>
        <w:rPr>
          <w:rFonts w:cstheme="minorHAnsi"/>
          <w:sz w:val="24"/>
          <w:szCs w:val="24"/>
        </w:rPr>
      </w:pPr>
      <w:r w:rsidRPr="004F635A">
        <w:rPr>
          <w:rFonts w:cstheme="minorHAnsi"/>
          <w:sz w:val="24"/>
          <w:szCs w:val="24"/>
        </w:rPr>
        <w:t>University of Michigan School of Nursing, Ann Arbor.</w:t>
      </w:r>
    </w:p>
    <w:tbl>
      <w:tblPr>
        <w:tblStyle w:val="TableGridLight"/>
        <w:tblW w:w="0" w:type="auto"/>
        <w:tblLook w:val="04A0" w:firstRow="1" w:lastRow="0" w:firstColumn="1" w:lastColumn="0" w:noHBand="0" w:noVBand="1"/>
      </w:tblPr>
      <w:tblGrid>
        <w:gridCol w:w="1309"/>
      </w:tblGrid>
      <w:tr w:rsidR="00246AB7" w:rsidRPr="003D12A9" w14:paraId="6D076D0A" w14:textId="77777777" w:rsidTr="00AF2D43">
        <w:tc>
          <w:tcPr>
            <w:tcW w:w="0" w:type="auto"/>
            <w:hideMark/>
          </w:tcPr>
          <w:bookmarkEnd w:id="2"/>
          <w:p w14:paraId="178F3C42" w14:textId="77777777" w:rsidR="00246AB7" w:rsidRPr="003D12A9" w:rsidRDefault="00246AB7" w:rsidP="000A0D9F">
            <w:pPr>
              <w:pStyle w:val="Heading1"/>
              <w:outlineLvl w:val="0"/>
              <w:rPr>
                <w:rFonts w:asciiTheme="minorHAnsi" w:hAnsiTheme="minorHAnsi" w:cstheme="minorHAnsi"/>
              </w:rPr>
            </w:pPr>
            <w:r w:rsidRPr="003D12A9">
              <w:rPr>
                <w:rFonts w:asciiTheme="minorHAnsi" w:hAnsiTheme="minorHAnsi" w:cstheme="minorHAnsi"/>
              </w:rPr>
              <w:t>Abstract</w:t>
            </w:r>
          </w:p>
        </w:tc>
      </w:tr>
    </w:tbl>
    <w:p w14:paraId="50EF1A42"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4BCEA690" w14:textId="77777777" w:rsidTr="00AF2D43">
        <w:tc>
          <w:tcPr>
            <w:tcW w:w="0" w:type="auto"/>
            <w:hideMark/>
          </w:tcPr>
          <w:p w14:paraId="7FCF391A" w14:textId="77777777" w:rsidR="00246AB7" w:rsidRPr="003D12A9" w:rsidRDefault="00246AB7" w:rsidP="00413E5B">
            <w:bookmarkStart w:id="3" w:name="18"/>
            <w:bookmarkEnd w:id="3"/>
            <w:r w:rsidRPr="003D12A9">
              <w:t>Background: Statistical models for predicting readmissions have been published for high-risk patient populations but typically focus on patient characteristics; nurse judgment is rarely considered in a formalized way to supplement prediction models.</w:t>
            </w:r>
          </w:p>
        </w:tc>
      </w:tr>
    </w:tbl>
    <w:p w14:paraId="51D8AF90"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61CC94DD" w14:textId="77777777" w:rsidTr="00AF2D43">
        <w:tc>
          <w:tcPr>
            <w:tcW w:w="0" w:type="auto"/>
            <w:hideMark/>
          </w:tcPr>
          <w:p w14:paraId="00D40B92" w14:textId="77777777" w:rsidR="00246AB7" w:rsidRPr="003D12A9" w:rsidRDefault="00246AB7" w:rsidP="00413E5B">
            <w:bookmarkStart w:id="4" w:name="19"/>
            <w:bookmarkEnd w:id="4"/>
            <w:r w:rsidRPr="003D12A9">
              <w:t>Objectives: The purpose of this study was to determine psychometric properties of long and short forms of the Registered Nurse Readiness for Hospital Discharge Scale (RN-RHDS), including reliability, factor structure, and predictive validity.</w:t>
            </w:r>
          </w:p>
        </w:tc>
      </w:tr>
    </w:tbl>
    <w:p w14:paraId="0077BE4D"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154CAD0C" w14:textId="77777777" w:rsidTr="00AF2D43">
        <w:tc>
          <w:tcPr>
            <w:tcW w:w="0" w:type="auto"/>
            <w:hideMark/>
          </w:tcPr>
          <w:bookmarkStart w:id="5" w:name="20"/>
          <w:bookmarkEnd w:id="5"/>
          <w:p w14:paraId="0CCC5104" w14:textId="77777777" w:rsidR="00246AB7" w:rsidRPr="003D12A9" w:rsidRDefault="00246AB7" w:rsidP="00413E5B">
            <w:r w:rsidRPr="003D12A9">
              <w:lastRenderedPageBreak/>
              <w:fldChar w:fldCharType="begin"/>
            </w:r>
            <w:r w:rsidRPr="003D12A9">
              <w:instrText xml:space="preserve"> HYPERLINK "http://0-ovidsp.dc2.ovid.com.libus.csd.mu.edu/sp-4.02.1a/ovidweb.cgi?&amp;S=FJHIFPLBKHEBDHHCIPCKEFEHFFGPAA00&amp;Link+Set=S.sh.22.23.28.32%7c6%7csl_10&amp;Counter5=TOC_article%7c00006199-201807000-00006%7cyrovft%7covftdb%7cyrovftt" \l "30" </w:instrText>
            </w:r>
            <w:r w:rsidRPr="003D12A9">
              <w:fldChar w:fldCharType="separate"/>
            </w:r>
            <w:r w:rsidRPr="003D12A9">
              <w:rPr>
                <w:rStyle w:val="Hyperlink"/>
                <w:rFonts w:eastAsiaTheme="majorEastAsia" w:cstheme="minorHAnsi"/>
                <w:color w:val="0768A9"/>
                <w:sz w:val="19"/>
                <w:szCs w:val="19"/>
              </w:rPr>
              <w:t>Methods</w:t>
            </w:r>
            <w:r w:rsidRPr="003D12A9">
              <w:fldChar w:fldCharType="end"/>
            </w:r>
            <w:r w:rsidRPr="003D12A9">
              <w:t>: Data were aggregated from two studies conducted at four hospitals in the Midwestern United States. The RN-RHDS was completed within 4 hours before hospital discharge by the discharging nurse. Data on readmissions and emergency department visits within 30 days were extracted from electronic medical records.</w:t>
            </w:r>
          </w:p>
        </w:tc>
      </w:tr>
    </w:tbl>
    <w:p w14:paraId="399752E1"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010B68A2" w14:textId="77777777" w:rsidTr="00AF2D43">
        <w:tc>
          <w:tcPr>
            <w:tcW w:w="0" w:type="auto"/>
            <w:hideMark/>
          </w:tcPr>
          <w:bookmarkStart w:id="6" w:name="21"/>
          <w:bookmarkEnd w:id="6"/>
          <w:p w14:paraId="7D5355B1" w14:textId="77777777" w:rsidR="00246AB7" w:rsidRPr="003D12A9" w:rsidRDefault="00246AB7" w:rsidP="00413E5B">
            <w:r w:rsidRPr="003D12A9">
              <w:fldChar w:fldCharType="begin"/>
            </w:r>
            <w:r w:rsidRPr="003D12A9">
              <w:instrText xml:space="preserve"> HYPERLINK "http://0-ovidsp.dc2.ovid.com.libus.csd.mu.edu/sp-4.02.1a/ovidweb.cgi?&amp;S=FJHIFPLBKHEBDHHCIPCKEFEHFFGPAA00&amp;Link+Set=S.sh.22.23.28.32%7c6%7csl_10&amp;Counter5=TOC_article%7c00006199-201807000-00006%7cyrovft%7covftdb%7cyrovftt" \l "59" </w:instrText>
            </w:r>
            <w:r w:rsidRPr="003D12A9">
              <w:fldChar w:fldCharType="separate"/>
            </w:r>
            <w:r w:rsidRPr="003D12A9">
              <w:rPr>
                <w:rStyle w:val="Hyperlink"/>
                <w:rFonts w:eastAsiaTheme="majorEastAsia" w:cstheme="minorHAnsi"/>
                <w:color w:val="0768A9"/>
                <w:sz w:val="19"/>
                <w:szCs w:val="19"/>
              </w:rPr>
              <w:t>Results</w:t>
            </w:r>
            <w:r w:rsidRPr="003D12A9">
              <w:fldChar w:fldCharType="end"/>
            </w:r>
            <w:r w:rsidRPr="003D12A9">
              <w:t>: The RN-RHDS, both long and short forms, demonstrate acceptable reliability (Cronbach's alphas of .90 and .73, respectively). Confirmatory factor analysis demonstrated less than adequate fit with the same four-factor structure observed in the patient version. Exploratory factor analysis identified three factors, explaining 60.2% of the variance. When nurses rate patients as less ready to go home (&lt;7 out of 10), patients are 6.4-9.3 times more likely to return to the hospital within 30 days, in adjusted models.</w:t>
            </w:r>
          </w:p>
        </w:tc>
      </w:tr>
    </w:tbl>
    <w:p w14:paraId="2DB9AFBF"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2D9B9B72" w14:textId="77777777" w:rsidTr="00AF2D43">
        <w:tc>
          <w:tcPr>
            <w:tcW w:w="0" w:type="auto"/>
            <w:hideMark/>
          </w:tcPr>
          <w:bookmarkStart w:id="7" w:name="22"/>
          <w:bookmarkEnd w:id="7"/>
          <w:p w14:paraId="47980243" w14:textId="77777777" w:rsidR="00246AB7" w:rsidRPr="003D12A9" w:rsidRDefault="00246AB7" w:rsidP="00413E5B">
            <w:r w:rsidRPr="003D12A9">
              <w:fldChar w:fldCharType="begin"/>
            </w:r>
            <w:r w:rsidRPr="003D12A9">
              <w:instrText xml:space="preserve"> HYPERLINK "http://0-ovidsp.dc2.ovid.com.libus.csd.mu.edu/sp-4.02.1a/ovidweb.cgi?&amp;S=FJHIFPLBKHEBDHHCIPCKEFEHFFGPAA00&amp;Link+Set=S.sh.22.23.28.32%7c6%7csl_10&amp;Counter5=TOC_article%7c00006199-201807000-00006%7cyrovft%7covftdb%7cyrovftt" \l "79" </w:instrText>
            </w:r>
            <w:r w:rsidRPr="003D12A9">
              <w:fldChar w:fldCharType="separate"/>
            </w:r>
            <w:r w:rsidRPr="003D12A9">
              <w:rPr>
                <w:rStyle w:val="Hyperlink"/>
                <w:rFonts w:eastAsiaTheme="majorEastAsia" w:cstheme="minorHAnsi"/>
                <w:color w:val="0768A9"/>
                <w:sz w:val="19"/>
                <w:szCs w:val="19"/>
              </w:rPr>
              <w:t>Discussion</w:t>
            </w:r>
            <w:r w:rsidRPr="003D12A9">
              <w:fldChar w:fldCharType="end"/>
            </w:r>
            <w:r w:rsidRPr="003D12A9">
              <w:t>: The RN-RHDS, long and short forms, can be used to identify medical-surgical patients at risk for potential unplanned return to hospital within 30 days, allowing nurses to use their clinical judgment to implement interventions prior to discharge. Use of the RN-RHDS could enhance current readmission risk prediction models.</w:t>
            </w:r>
          </w:p>
        </w:tc>
      </w:tr>
    </w:tbl>
    <w:p w14:paraId="45A73124"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222"/>
      </w:tblGrid>
      <w:tr w:rsidR="00246AB7" w:rsidRPr="003D12A9" w14:paraId="757C6762" w14:textId="77777777" w:rsidTr="00AF2D43">
        <w:tc>
          <w:tcPr>
            <w:tcW w:w="0" w:type="auto"/>
            <w:hideMark/>
          </w:tcPr>
          <w:p w14:paraId="3A150BEB" w14:textId="77777777" w:rsidR="00246AB7" w:rsidRPr="003D12A9" w:rsidRDefault="00304474">
            <w:pPr>
              <w:spacing w:before="45" w:after="150" w:line="360" w:lineRule="atLeast"/>
              <w:rPr>
                <w:rFonts w:cstheme="minorHAnsi"/>
                <w:color w:val="2D2D2D"/>
                <w:sz w:val="18"/>
                <w:szCs w:val="18"/>
              </w:rPr>
            </w:pPr>
            <w:bookmarkStart w:id="8" w:name="23"/>
            <w:bookmarkEnd w:id="8"/>
            <w:r>
              <w:rPr>
                <w:rFonts w:cstheme="minorHAnsi"/>
                <w:color w:val="2D2D2D"/>
                <w:sz w:val="18"/>
                <w:szCs w:val="18"/>
              </w:rPr>
              <w:pict w14:anchorId="0AB96BA9">
                <v:rect id="_x0000_i1025" style="width:0;height:.75pt" o:hralign="center" o:hrstd="t" o:hrnoshade="t" o:hr="t" fillcolor="#757575" stroked="f"/>
              </w:pict>
            </w:r>
          </w:p>
          <w:p w14:paraId="5477080B" w14:textId="77777777" w:rsidR="00246AB7" w:rsidRPr="003D12A9" w:rsidRDefault="00246AB7">
            <w:pPr>
              <w:spacing w:line="360" w:lineRule="atLeast"/>
              <w:rPr>
                <w:rFonts w:cstheme="minorHAnsi"/>
                <w:color w:val="2D2D2D"/>
                <w:sz w:val="18"/>
                <w:szCs w:val="18"/>
              </w:rPr>
            </w:pPr>
          </w:p>
        </w:tc>
      </w:tr>
    </w:tbl>
    <w:p w14:paraId="40970F31"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5C529190" w14:textId="77777777" w:rsidTr="00AF2D43">
        <w:tc>
          <w:tcPr>
            <w:tcW w:w="0" w:type="auto"/>
            <w:hideMark/>
          </w:tcPr>
          <w:p w14:paraId="7E2E968D" w14:textId="77777777" w:rsidR="00246AB7" w:rsidRPr="003D12A9" w:rsidRDefault="00246AB7" w:rsidP="00413E5B">
            <w:bookmarkStart w:id="9" w:name="25"/>
            <w:bookmarkEnd w:id="9"/>
            <w:r w:rsidRPr="003D12A9">
              <w:t xml:space="preserve">Readiness for hospital discharge is a nurse-sensitive outcome of hospital care and an indicator of risk for adverse </w:t>
            </w:r>
            <w:proofErr w:type="spellStart"/>
            <w:r w:rsidRPr="003D12A9">
              <w:t>postdischarge</w:t>
            </w:r>
            <w:proofErr w:type="spellEnd"/>
            <w:r w:rsidRPr="003D12A9">
              <w:t xml:space="preserve"> outcomes that can lead to rehospitalization (</w:t>
            </w:r>
            <w:hyperlink r:id="rId10" w:anchor="116" w:history="1">
              <w:r w:rsidRPr="003D12A9">
                <w:rPr>
                  <w:rStyle w:val="Hyperlink"/>
                  <w:rFonts w:eastAsiaTheme="majorEastAsia" w:cstheme="minorHAnsi"/>
                  <w:color w:val="0768A9"/>
                  <w:sz w:val="19"/>
                  <w:szCs w:val="19"/>
                </w:rPr>
                <w:t xml:space="preserve">Weiss, </w:t>
              </w:r>
              <w:proofErr w:type="spellStart"/>
              <w:r w:rsidRPr="003D12A9">
                <w:rPr>
                  <w:rStyle w:val="Hyperlink"/>
                  <w:rFonts w:eastAsiaTheme="majorEastAsia" w:cstheme="minorHAnsi"/>
                  <w:color w:val="0768A9"/>
                  <w:sz w:val="19"/>
                  <w:szCs w:val="19"/>
                </w:rPr>
                <w:t>Yakusheva</w:t>
              </w:r>
              <w:proofErr w:type="spellEnd"/>
              <w:r w:rsidRPr="003D12A9">
                <w:rPr>
                  <w:rStyle w:val="Hyperlink"/>
                  <w:rFonts w:eastAsiaTheme="majorEastAsia" w:cstheme="minorHAnsi"/>
                  <w:color w:val="0768A9"/>
                  <w:sz w:val="19"/>
                  <w:szCs w:val="19"/>
                </w:rPr>
                <w:t>, &amp; Bobay, 2011</w:t>
              </w:r>
            </w:hyperlink>
            <w:r w:rsidRPr="003D12A9">
              <w:t>). Acute care registered nurses (RNs) are responsible for the process of preparing of patients for discharge (</w:t>
            </w:r>
            <w:proofErr w:type="spellStart"/>
            <w:r w:rsidR="00304474">
              <w:fldChar w:fldCharType="begin"/>
            </w:r>
            <w:r w:rsidR="00304474">
              <w:instrText xml:space="preserve"> HYPERLINK "http://0-ovidsp.dc2.ovid.com.libus.csd.mu.edu/sp-4.02.1a/ovidweb.cgi?&amp;S=FJHIFPLBKHEBDHHCIPCKEF</w:instrText>
            </w:r>
            <w:r w:rsidR="00304474">
              <w:instrText xml:space="preserve">EHFFGPAA00&amp;Link+Set=S.sh.22.23.28.32%7c6%7csl_10&amp;Counter5=TOC_article%7c00006199-201807000-00006%7cyrovft%7covftdb%7cyrovftt" \l "105" </w:instrText>
            </w:r>
            <w:r w:rsidR="00304474">
              <w:fldChar w:fldCharType="separate"/>
            </w:r>
            <w:r w:rsidRPr="003D12A9">
              <w:rPr>
                <w:rStyle w:val="Hyperlink"/>
                <w:rFonts w:eastAsiaTheme="majorEastAsia" w:cstheme="minorHAnsi"/>
                <w:color w:val="0768A9"/>
                <w:sz w:val="19"/>
                <w:szCs w:val="19"/>
              </w:rPr>
              <w:t>Nosbusch</w:t>
            </w:r>
            <w:proofErr w:type="spellEnd"/>
            <w:r w:rsidRPr="003D12A9">
              <w:rPr>
                <w:rStyle w:val="Hyperlink"/>
                <w:rFonts w:eastAsiaTheme="majorEastAsia" w:cstheme="minorHAnsi"/>
                <w:color w:val="0768A9"/>
                <w:sz w:val="19"/>
                <w:szCs w:val="19"/>
              </w:rPr>
              <w:t>, Weiss, &amp; Bobay, 2011</w:t>
            </w:r>
            <w:r w:rsidR="00304474">
              <w:rPr>
                <w:rStyle w:val="Hyperlink"/>
                <w:rFonts w:eastAsiaTheme="majorEastAsia" w:cstheme="minorHAnsi"/>
                <w:color w:val="0768A9"/>
                <w:sz w:val="19"/>
                <w:szCs w:val="19"/>
              </w:rPr>
              <w:fldChar w:fldCharType="end"/>
            </w:r>
            <w:r w:rsidRPr="003D12A9">
              <w:t>; </w:t>
            </w:r>
            <w:hyperlink r:id="rId11" w:anchor="109" w:history="1">
              <w:r w:rsidRPr="003D12A9">
                <w:rPr>
                  <w:rStyle w:val="Hyperlink"/>
                  <w:rFonts w:eastAsiaTheme="majorEastAsia" w:cstheme="minorHAnsi"/>
                  <w:color w:val="0768A9"/>
                  <w:sz w:val="19"/>
                  <w:szCs w:val="19"/>
                </w:rPr>
                <w:t>Weiss et al., 2015</w:t>
              </w:r>
            </w:hyperlink>
            <w:r w:rsidRPr="003D12A9">
              <w:t>). Typically, nurses assess discharge readiness informally within the context of preparing patients for discharge, but there is not yet an evidence-based method or instrument in routine used to assist clinical nurses in a formal assessment of a patient's readiness for discharge. The purpose of this study was to validate an instrument for nurse (RN) assessment of readiness for hospital discharge.</w:t>
            </w:r>
          </w:p>
        </w:tc>
      </w:tr>
    </w:tbl>
    <w:p w14:paraId="66A72258"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2D955F00" w14:textId="77777777" w:rsidTr="00AF2D43">
        <w:tc>
          <w:tcPr>
            <w:tcW w:w="0" w:type="auto"/>
            <w:hideMark/>
          </w:tcPr>
          <w:p w14:paraId="34DD6C6D" w14:textId="77777777" w:rsidR="00246AB7" w:rsidRPr="003D12A9" w:rsidRDefault="00246AB7" w:rsidP="00413E5B">
            <w:bookmarkStart w:id="10" w:name="26"/>
            <w:bookmarkEnd w:id="10"/>
            <w:r w:rsidRPr="003D12A9">
              <w:t>Improvement in discharge transition care processes to achieve reduction in readmissions has become a priority for many hospitals in response to implementation of discharge quality metrics, such as the Hospital Consumer Assessment of Healthcare Providers and Systems (</w:t>
            </w:r>
            <w:hyperlink r:id="rId12" w:anchor="91" w:history="1">
              <w:r w:rsidRPr="003D12A9">
                <w:rPr>
                  <w:rStyle w:val="Hyperlink"/>
                  <w:rFonts w:eastAsiaTheme="majorEastAsia" w:cstheme="minorHAnsi"/>
                  <w:color w:val="0768A9"/>
                  <w:sz w:val="19"/>
                  <w:szCs w:val="19"/>
                </w:rPr>
                <w:t>Agency for Healthcare Research and Quality, 2017</w:t>
              </w:r>
            </w:hyperlink>
            <w:r w:rsidRPr="003D12A9">
              <w:t>) and financial penalties for readmissions associated with the Affordable Care Act Hospital Readmissions Reduction Program (</w:t>
            </w:r>
            <w:proofErr w:type="spellStart"/>
            <w:r w:rsidR="00304474">
              <w:fldChar w:fldCharType="begin"/>
            </w:r>
            <w:r w:rsidR="00304474">
              <w:instrText xml:space="preserve"> HYPERLINK "http://0-</w:instrText>
            </w:r>
            <w:r w:rsidR="00304474">
              <w:instrText xml:space="preserve">ovidsp.dc2.ovid.com.libus.csd.mu.edu/sp-4.02.1a/ovidweb.cgi?&amp;S=FJHIFPLBKHEBDHHCIPCKEFEHFFGPAA00&amp;Link+Set=S.sh.22.23.28.32%7c6%7csl_10&amp;Counter5=TOC_article%7c00006199-201807000-00006%7cyrovft%7covftdb%7cyrovftt" \l "102" </w:instrText>
            </w:r>
            <w:r w:rsidR="00304474">
              <w:fldChar w:fldCharType="separate"/>
            </w:r>
            <w:r w:rsidRPr="003D12A9">
              <w:rPr>
                <w:rStyle w:val="Hyperlink"/>
                <w:rFonts w:eastAsiaTheme="majorEastAsia" w:cstheme="minorHAnsi"/>
                <w:color w:val="0768A9"/>
                <w:sz w:val="19"/>
                <w:szCs w:val="19"/>
              </w:rPr>
              <w:t>McIlvennan</w:t>
            </w:r>
            <w:proofErr w:type="spellEnd"/>
            <w:r w:rsidRPr="003D12A9">
              <w:rPr>
                <w:rStyle w:val="Hyperlink"/>
                <w:rFonts w:eastAsiaTheme="majorEastAsia" w:cstheme="minorHAnsi"/>
                <w:color w:val="0768A9"/>
                <w:sz w:val="19"/>
                <w:szCs w:val="19"/>
              </w:rPr>
              <w:t xml:space="preserve">, </w:t>
            </w:r>
            <w:proofErr w:type="spellStart"/>
            <w:r w:rsidRPr="003D12A9">
              <w:rPr>
                <w:rStyle w:val="Hyperlink"/>
                <w:rFonts w:eastAsiaTheme="majorEastAsia" w:cstheme="minorHAnsi"/>
                <w:color w:val="0768A9"/>
                <w:sz w:val="19"/>
                <w:szCs w:val="19"/>
              </w:rPr>
              <w:t>Eapen</w:t>
            </w:r>
            <w:proofErr w:type="spellEnd"/>
            <w:r w:rsidRPr="003D12A9">
              <w:rPr>
                <w:rStyle w:val="Hyperlink"/>
                <w:rFonts w:eastAsiaTheme="majorEastAsia" w:cstheme="minorHAnsi"/>
                <w:color w:val="0768A9"/>
                <w:sz w:val="19"/>
                <w:szCs w:val="19"/>
              </w:rPr>
              <w:t>, &amp; Allen, 2015</w:t>
            </w:r>
            <w:r w:rsidR="00304474">
              <w:rPr>
                <w:rStyle w:val="Hyperlink"/>
                <w:rFonts w:eastAsiaTheme="majorEastAsia" w:cstheme="minorHAnsi"/>
                <w:color w:val="0768A9"/>
                <w:sz w:val="19"/>
                <w:szCs w:val="19"/>
              </w:rPr>
              <w:fldChar w:fldCharType="end"/>
            </w:r>
            <w:r w:rsidRPr="003D12A9">
              <w:t>). Available readmission risk assessment tools are based on retrospective analyses of patient demographics and condition-specific parameters (</w:t>
            </w:r>
            <w:proofErr w:type="spellStart"/>
            <w:r w:rsidR="00304474">
              <w:fldChar w:fldCharType="begin"/>
            </w:r>
            <w:r w:rsidR="00304474">
              <w:instrText xml:space="preserve"> HYPERLINK "http://0-ovidsp.dc2.ovid.com.libus.csd.mu.edu/sp-4.02.1a/ovidweb.cgi?&amp;S=FJHIFPLBKHEBDHHCIPCKEFEHFFGPAA0</w:instrText>
            </w:r>
            <w:r w:rsidR="00304474">
              <w:instrText xml:space="preserve">0&amp;Link+Set=S.sh.22.23.28.32%7c6%7csl_10&amp;Counter5=TOC_article%7c00006199-201807000-00006%7cyrovft%7covftdb%7cyrovftt" \l "98" </w:instrText>
            </w:r>
            <w:r w:rsidR="00304474">
              <w:fldChar w:fldCharType="separate"/>
            </w:r>
            <w:r w:rsidRPr="003D12A9">
              <w:rPr>
                <w:rStyle w:val="Hyperlink"/>
                <w:rFonts w:eastAsiaTheme="majorEastAsia" w:cstheme="minorHAnsi"/>
                <w:color w:val="0768A9"/>
                <w:sz w:val="19"/>
                <w:szCs w:val="19"/>
              </w:rPr>
              <w:t>Kansagara</w:t>
            </w:r>
            <w:proofErr w:type="spellEnd"/>
            <w:r w:rsidRPr="003D12A9">
              <w:rPr>
                <w:rStyle w:val="Hyperlink"/>
                <w:rFonts w:eastAsiaTheme="majorEastAsia" w:cstheme="minorHAnsi"/>
                <w:color w:val="0768A9"/>
                <w:sz w:val="19"/>
                <w:szCs w:val="19"/>
              </w:rPr>
              <w:t xml:space="preserve"> et al., 2011</w:t>
            </w:r>
            <w:r w:rsidR="00304474">
              <w:rPr>
                <w:rStyle w:val="Hyperlink"/>
                <w:rFonts w:eastAsiaTheme="majorEastAsia" w:cstheme="minorHAnsi"/>
                <w:color w:val="0768A9"/>
                <w:sz w:val="19"/>
                <w:szCs w:val="19"/>
              </w:rPr>
              <w:fldChar w:fldCharType="end"/>
            </w:r>
            <w:r w:rsidRPr="003D12A9">
              <w:t>); none incorporate a systematic assessment of readiness for discharge by the discharging nurse prior to discharge.</w:t>
            </w:r>
          </w:p>
        </w:tc>
      </w:tr>
    </w:tbl>
    <w:p w14:paraId="566A4ED4"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1FDBD321" w14:textId="77777777" w:rsidTr="00AF2D43">
        <w:tc>
          <w:tcPr>
            <w:tcW w:w="0" w:type="auto"/>
            <w:hideMark/>
          </w:tcPr>
          <w:p w14:paraId="475EEDF6" w14:textId="77777777" w:rsidR="00246AB7" w:rsidRPr="003D12A9" w:rsidRDefault="00246AB7" w:rsidP="00413E5B">
            <w:bookmarkStart w:id="11" w:name="27"/>
            <w:bookmarkEnd w:id="11"/>
            <w:r w:rsidRPr="003D12A9">
              <w:t>The Readiness for Hospital Discharge Scale (PT-RHDS) was developed and tested in three patient populations (adult medical-surgical, postpartum mothers, and parents of hospitalized children) to measure patient perception of discharge readiness at the time of discharge from acute care hospitalization (</w:t>
            </w:r>
            <w:hyperlink r:id="rId13" w:anchor="114" w:history="1">
              <w:r w:rsidRPr="003D12A9">
                <w:rPr>
                  <w:rStyle w:val="Hyperlink"/>
                  <w:rFonts w:eastAsiaTheme="majorEastAsia" w:cstheme="minorHAnsi"/>
                  <w:color w:val="0768A9"/>
                  <w:sz w:val="19"/>
                  <w:szCs w:val="19"/>
                </w:rPr>
                <w:t>Weiss et al., 2007</w:t>
              </w:r>
            </w:hyperlink>
            <w:r w:rsidRPr="003D12A9">
              <w:t>, </w:t>
            </w:r>
            <w:hyperlink r:id="rId14" w:anchor="112" w:history="1">
              <w:r w:rsidRPr="003D12A9">
                <w:rPr>
                  <w:rStyle w:val="Hyperlink"/>
                  <w:rFonts w:eastAsiaTheme="majorEastAsia" w:cstheme="minorHAnsi"/>
                  <w:color w:val="0768A9"/>
                  <w:sz w:val="19"/>
                  <w:szCs w:val="19"/>
                </w:rPr>
                <w:t>2008</w:t>
              </w:r>
            </w:hyperlink>
            <w:r w:rsidRPr="003D12A9">
              <w:t>; </w:t>
            </w:r>
            <w:hyperlink r:id="rId15" w:anchor="111" w:history="1">
              <w:r w:rsidRPr="003D12A9">
                <w:rPr>
                  <w:rStyle w:val="Hyperlink"/>
                  <w:rFonts w:eastAsiaTheme="majorEastAsia" w:cstheme="minorHAnsi"/>
                  <w:color w:val="0768A9"/>
                  <w:sz w:val="19"/>
                  <w:szCs w:val="19"/>
                </w:rPr>
                <w:t xml:space="preserve">Weiss &amp; </w:t>
              </w:r>
              <w:proofErr w:type="spellStart"/>
              <w:r w:rsidRPr="003D12A9">
                <w:rPr>
                  <w:rStyle w:val="Hyperlink"/>
                  <w:rFonts w:eastAsiaTheme="majorEastAsia" w:cstheme="minorHAnsi"/>
                  <w:color w:val="0768A9"/>
                  <w:sz w:val="19"/>
                  <w:szCs w:val="19"/>
                </w:rPr>
                <w:t>Lokken</w:t>
              </w:r>
              <w:proofErr w:type="spellEnd"/>
              <w:r w:rsidRPr="003D12A9">
                <w:rPr>
                  <w:rStyle w:val="Hyperlink"/>
                  <w:rFonts w:eastAsiaTheme="majorEastAsia" w:cstheme="minorHAnsi"/>
                  <w:color w:val="0768A9"/>
                  <w:sz w:val="19"/>
                  <w:szCs w:val="19"/>
                </w:rPr>
                <w:t>, 2009</w:t>
              </w:r>
            </w:hyperlink>
            <w:r w:rsidRPr="003D12A9">
              <w:t>; </w:t>
            </w:r>
            <w:hyperlink r:id="rId16" w:anchor="113" w:history="1">
              <w:r w:rsidRPr="003D12A9">
                <w:rPr>
                  <w:rStyle w:val="Hyperlink"/>
                  <w:rFonts w:eastAsiaTheme="majorEastAsia" w:cstheme="minorHAnsi"/>
                  <w:color w:val="0768A9"/>
                  <w:sz w:val="19"/>
                  <w:szCs w:val="19"/>
                </w:rPr>
                <w:t>Weiss &amp; Piacentine, 2006</w:t>
              </w:r>
            </w:hyperlink>
            <w:r w:rsidRPr="003D12A9">
              <w:t>). Psychometric testing of the 21-item PT-RHDS supported reliability and validity of the scale when used with these patient populations (</w:t>
            </w:r>
            <w:hyperlink r:id="rId17" w:anchor="116" w:history="1">
              <w:r w:rsidRPr="003D12A9">
                <w:rPr>
                  <w:rStyle w:val="Hyperlink"/>
                  <w:rFonts w:eastAsiaTheme="majorEastAsia" w:cstheme="minorHAnsi"/>
                  <w:color w:val="0768A9"/>
                  <w:sz w:val="19"/>
                  <w:szCs w:val="19"/>
                </w:rPr>
                <w:t>Weiss et al., 2011</w:t>
              </w:r>
            </w:hyperlink>
            <w:r w:rsidRPr="003D12A9">
              <w:t>; </w:t>
            </w:r>
            <w:hyperlink r:id="rId18" w:anchor="113" w:history="1">
              <w:r w:rsidRPr="003D12A9">
                <w:rPr>
                  <w:rStyle w:val="Hyperlink"/>
                  <w:rFonts w:eastAsiaTheme="majorEastAsia" w:cstheme="minorHAnsi"/>
                  <w:color w:val="0768A9"/>
                  <w:sz w:val="19"/>
                  <w:szCs w:val="19"/>
                </w:rPr>
                <w:t>Weiss &amp; Piacentine, 2006</w:t>
              </w:r>
            </w:hyperlink>
            <w:r w:rsidRPr="003D12A9">
              <w:t>). Cronbach's alpha reliability estimates ranged from .83 to .93 for the total scale and .65 to .93 for the subscales. Confirmatory factor analysis (CFA) validated the a priori theoretical structure of the scale (</w:t>
            </w:r>
            <w:hyperlink r:id="rId19" w:anchor="116" w:history="1">
              <w:r w:rsidRPr="003D12A9">
                <w:rPr>
                  <w:rStyle w:val="Hyperlink"/>
                  <w:rFonts w:eastAsiaTheme="majorEastAsia" w:cstheme="minorHAnsi"/>
                  <w:color w:val="0768A9"/>
                  <w:sz w:val="19"/>
                  <w:szCs w:val="19"/>
                </w:rPr>
                <w:t>Weiss et al., 2011</w:t>
              </w:r>
            </w:hyperlink>
            <w:r w:rsidRPr="003D12A9">
              <w:t>; </w:t>
            </w:r>
            <w:hyperlink r:id="rId20" w:anchor="113" w:history="1">
              <w:r w:rsidRPr="003D12A9">
                <w:rPr>
                  <w:rStyle w:val="Hyperlink"/>
                  <w:rFonts w:eastAsiaTheme="majorEastAsia" w:cstheme="minorHAnsi"/>
                  <w:color w:val="0768A9"/>
                  <w:sz w:val="19"/>
                  <w:szCs w:val="19"/>
                </w:rPr>
                <w:t>Weiss &amp; Piacentine, 2006</w:t>
              </w:r>
            </w:hyperlink>
            <w:r w:rsidRPr="003D12A9">
              <w:t xml:space="preserve">). Predictive validity testing with adult medical-surgical patients indicated that, when patients assess that they are not ready for discharge, they are more likely to experience difficulties during the </w:t>
            </w:r>
            <w:proofErr w:type="spellStart"/>
            <w:r w:rsidRPr="003D12A9">
              <w:t>postdischarge</w:t>
            </w:r>
            <w:proofErr w:type="spellEnd"/>
            <w:r w:rsidRPr="003D12A9">
              <w:t xml:space="preserve"> period and have unplanned emergency department (ED) visits or readmissions within 30 days after discharge (</w:t>
            </w:r>
            <w:hyperlink r:id="rId21" w:anchor="114" w:history="1">
              <w:r w:rsidRPr="003D12A9">
                <w:rPr>
                  <w:rStyle w:val="Hyperlink"/>
                  <w:rFonts w:eastAsiaTheme="majorEastAsia" w:cstheme="minorHAnsi"/>
                  <w:color w:val="0768A9"/>
                  <w:sz w:val="19"/>
                  <w:szCs w:val="19"/>
                </w:rPr>
                <w:t>Weiss et al., 2007</w:t>
              </w:r>
            </w:hyperlink>
            <w:r w:rsidRPr="003D12A9">
              <w:t>, </w:t>
            </w:r>
            <w:hyperlink r:id="rId22" w:anchor="116" w:history="1">
              <w:r w:rsidRPr="003D12A9">
                <w:rPr>
                  <w:rStyle w:val="Hyperlink"/>
                  <w:rFonts w:eastAsiaTheme="majorEastAsia" w:cstheme="minorHAnsi"/>
                  <w:color w:val="0768A9"/>
                  <w:sz w:val="19"/>
                  <w:szCs w:val="19"/>
                </w:rPr>
                <w:t>2011</w:t>
              </w:r>
            </w:hyperlink>
            <w:r w:rsidRPr="003D12A9">
              <w:t>).</w:t>
            </w:r>
          </w:p>
        </w:tc>
      </w:tr>
    </w:tbl>
    <w:p w14:paraId="4F3F6DE2"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4870EC8B" w14:textId="77777777" w:rsidTr="00AF2D43">
        <w:tc>
          <w:tcPr>
            <w:tcW w:w="0" w:type="auto"/>
            <w:hideMark/>
          </w:tcPr>
          <w:p w14:paraId="4F674939" w14:textId="77777777" w:rsidR="00246AB7" w:rsidRPr="003D12A9" w:rsidRDefault="00246AB7" w:rsidP="00413E5B">
            <w:bookmarkStart w:id="12" w:name="28"/>
            <w:bookmarkEnd w:id="12"/>
            <w:r w:rsidRPr="003D12A9">
              <w:t>The items of the PT-RHDS were reworded to reflect the nurse as assessor to form a nurse assessment tool (RN-RHDS). In subsequent testing with a small sample of 162 nurse-patient pairs, the RN-RHDS, but not the PT-RHDS, was found to be associated with readmission (</w:t>
            </w:r>
            <w:hyperlink r:id="rId23" w:anchor="115" w:history="1">
              <w:r w:rsidRPr="003D12A9">
                <w:rPr>
                  <w:rStyle w:val="Hyperlink"/>
                  <w:rFonts w:eastAsiaTheme="majorEastAsia" w:cstheme="minorHAnsi"/>
                  <w:color w:val="0768A9"/>
                  <w:sz w:val="19"/>
                  <w:szCs w:val="19"/>
                </w:rPr>
                <w:t xml:space="preserve">Weiss, </w:t>
              </w:r>
              <w:proofErr w:type="spellStart"/>
              <w:r w:rsidRPr="003D12A9">
                <w:rPr>
                  <w:rStyle w:val="Hyperlink"/>
                  <w:rFonts w:eastAsiaTheme="majorEastAsia" w:cstheme="minorHAnsi"/>
                  <w:color w:val="0768A9"/>
                  <w:sz w:val="19"/>
                  <w:szCs w:val="19"/>
                </w:rPr>
                <w:t>Yakusheva</w:t>
              </w:r>
              <w:proofErr w:type="spellEnd"/>
              <w:r w:rsidRPr="003D12A9">
                <w:rPr>
                  <w:rStyle w:val="Hyperlink"/>
                  <w:rFonts w:eastAsiaTheme="majorEastAsia" w:cstheme="minorHAnsi"/>
                  <w:color w:val="0768A9"/>
                  <w:sz w:val="19"/>
                  <w:szCs w:val="19"/>
                </w:rPr>
                <w:t>, &amp; Bobay, 2010</w:t>
              </w:r>
            </w:hyperlink>
            <w:r w:rsidRPr="003D12A9">
              <w:t>). Scores on a short form of the RN-RHDS (a parallel form of an eight-item PT-RHDS short form [PT-RHDS/SF]) was also predictive of readmission in a sample of 254 nurse-patient pairs (</w:t>
            </w:r>
            <w:hyperlink r:id="rId24" w:anchor="110" w:history="1">
              <w:r w:rsidRPr="003D12A9">
                <w:rPr>
                  <w:rStyle w:val="Hyperlink"/>
                  <w:rFonts w:eastAsiaTheme="majorEastAsia" w:cstheme="minorHAnsi"/>
                  <w:color w:val="0768A9"/>
                  <w:sz w:val="19"/>
                  <w:szCs w:val="19"/>
                </w:rPr>
                <w:t xml:space="preserve">Weiss, Costa, </w:t>
              </w:r>
              <w:proofErr w:type="spellStart"/>
              <w:r w:rsidRPr="003D12A9">
                <w:rPr>
                  <w:rStyle w:val="Hyperlink"/>
                  <w:rFonts w:eastAsiaTheme="majorEastAsia" w:cstheme="minorHAnsi"/>
                  <w:color w:val="0768A9"/>
                  <w:sz w:val="19"/>
                  <w:szCs w:val="19"/>
                </w:rPr>
                <w:t>Yakusheva</w:t>
              </w:r>
              <w:proofErr w:type="spellEnd"/>
              <w:r w:rsidRPr="003D12A9">
                <w:rPr>
                  <w:rStyle w:val="Hyperlink"/>
                  <w:rFonts w:eastAsiaTheme="majorEastAsia" w:cstheme="minorHAnsi"/>
                  <w:color w:val="0768A9"/>
                  <w:sz w:val="19"/>
                  <w:szCs w:val="19"/>
                </w:rPr>
                <w:t>, &amp; Bobay, 2014</w:t>
              </w:r>
            </w:hyperlink>
            <w:r w:rsidRPr="003D12A9">
              <w:t>).</w:t>
            </w:r>
          </w:p>
        </w:tc>
      </w:tr>
    </w:tbl>
    <w:p w14:paraId="2F2F6C5C"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0927B373" w14:textId="77777777" w:rsidTr="00AF2D43">
        <w:tc>
          <w:tcPr>
            <w:tcW w:w="0" w:type="auto"/>
            <w:hideMark/>
          </w:tcPr>
          <w:p w14:paraId="495CD36C" w14:textId="77777777" w:rsidR="00246AB7" w:rsidRPr="003D12A9" w:rsidRDefault="00246AB7" w:rsidP="00413E5B">
            <w:bookmarkStart w:id="13" w:name="29"/>
            <w:bookmarkEnd w:id="13"/>
            <w:r w:rsidRPr="003D12A9">
              <w:t>Although predictive associations of the RN-RHDS long form and short form have been evident in previous studies (</w:t>
            </w:r>
            <w:hyperlink r:id="rId25" w:anchor="115" w:history="1">
              <w:r w:rsidRPr="003D12A9">
                <w:rPr>
                  <w:rStyle w:val="Hyperlink"/>
                  <w:rFonts w:eastAsiaTheme="majorEastAsia" w:cstheme="minorHAnsi"/>
                  <w:color w:val="0768A9"/>
                  <w:sz w:val="19"/>
                  <w:szCs w:val="19"/>
                </w:rPr>
                <w:t>Weiss et al., 2010</w:t>
              </w:r>
            </w:hyperlink>
            <w:r w:rsidRPr="003D12A9">
              <w:t>, </w:t>
            </w:r>
            <w:hyperlink r:id="rId26" w:anchor="110" w:history="1">
              <w:r w:rsidRPr="003D12A9">
                <w:rPr>
                  <w:rStyle w:val="Hyperlink"/>
                  <w:rFonts w:eastAsiaTheme="majorEastAsia" w:cstheme="minorHAnsi"/>
                  <w:color w:val="0768A9"/>
                  <w:sz w:val="19"/>
                  <w:szCs w:val="19"/>
                </w:rPr>
                <w:t>2014</w:t>
              </w:r>
            </w:hyperlink>
            <w:r w:rsidRPr="003D12A9">
              <w:t>), construct validity has yet to be evaluated. Items of the RHDS scales were originally developed from content derived from literature sources and input from clinical nurse experts, with content validation by patients. The underlying factor structure was identified through factor analysis of patient-reported data on the PT-RHDS form (</w:t>
            </w:r>
            <w:hyperlink r:id="rId27" w:anchor="113" w:history="1">
              <w:r w:rsidRPr="003D12A9">
                <w:rPr>
                  <w:rStyle w:val="Hyperlink"/>
                  <w:rFonts w:eastAsiaTheme="majorEastAsia" w:cstheme="minorHAnsi"/>
                  <w:color w:val="0768A9"/>
                  <w:sz w:val="19"/>
                  <w:szCs w:val="19"/>
                </w:rPr>
                <w:t>Weiss &amp; Piacentine, 2006</w:t>
              </w:r>
            </w:hyperlink>
            <w:r w:rsidRPr="003D12A9">
              <w:t>). However, nurses may organize their thinking about discharge readiness differently than patients, producing a different factor structure for the nurse version of the scale. The aims of this secondary analysis are to evaluate the psychometric properties of the long form and short form of the RN-RHDS, including reliability, factor structure, and predictive validity; determine concordance between parallel patient self-report and nurse assessment versions of the RHDS; and examine the utility of the RN-RHDS and a short form of the RN-RHDS (RN-RHDS/SF) as indicators of risk for return to the hospital for readmission or ED visits following discharge. Refinement of the RN-RHDS and validation of a short form based on analysis of the scale structure will provide a structured tool for clinical measurement by nurses of patients' readiness for discharge. The availability of a valid tool of a length suitable for use in practice settings and for integration into electronic health records will contribute to improved discharge transition efforts and readmission reduction.</w:t>
            </w:r>
          </w:p>
        </w:tc>
      </w:tr>
      <w:tr w:rsidR="00246AB7" w:rsidRPr="003D12A9" w14:paraId="1D959D19" w14:textId="77777777" w:rsidTr="00AF2D43">
        <w:tc>
          <w:tcPr>
            <w:tcW w:w="0" w:type="auto"/>
            <w:hideMark/>
          </w:tcPr>
          <w:p w14:paraId="72896FDE" w14:textId="77777777" w:rsidR="00246AB7" w:rsidRPr="003D12A9" w:rsidRDefault="00246AB7" w:rsidP="003D12A9">
            <w:pPr>
              <w:pStyle w:val="Heading1"/>
              <w:outlineLvl w:val="0"/>
              <w:divId w:val="151682868"/>
            </w:pPr>
            <w:bookmarkStart w:id="14" w:name="30"/>
            <w:bookmarkEnd w:id="14"/>
            <w:r w:rsidRPr="003D12A9">
              <w:t>METHODS</w:t>
            </w:r>
          </w:p>
        </w:tc>
      </w:tr>
      <w:tr w:rsidR="00246AB7" w:rsidRPr="003D12A9" w14:paraId="7E8DDAF0" w14:textId="77777777" w:rsidTr="00AF2D43">
        <w:tc>
          <w:tcPr>
            <w:tcW w:w="0" w:type="auto"/>
            <w:hideMark/>
          </w:tcPr>
          <w:p w14:paraId="364E8D42" w14:textId="77777777" w:rsidR="00246AB7" w:rsidRPr="003D12A9" w:rsidRDefault="00246AB7" w:rsidP="003D12A9">
            <w:pPr>
              <w:pStyle w:val="Heading2"/>
              <w:outlineLvl w:val="1"/>
              <w:divId w:val="1438520296"/>
            </w:pPr>
            <w:bookmarkStart w:id="15" w:name="31"/>
            <w:bookmarkEnd w:id="15"/>
            <w:r w:rsidRPr="003D12A9">
              <w:t>Study Design</w:t>
            </w:r>
          </w:p>
        </w:tc>
      </w:tr>
    </w:tbl>
    <w:p w14:paraId="231531B5"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272A89FF" w14:textId="77777777" w:rsidTr="00AF2D43">
        <w:tc>
          <w:tcPr>
            <w:tcW w:w="0" w:type="auto"/>
            <w:hideMark/>
          </w:tcPr>
          <w:p w14:paraId="7F20C4CB" w14:textId="77777777" w:rsidR="00246AB7" w:rsidRPr="003D12A9" w:rsidRDefault="00246AB7" w:rsidP="00413E5B">
            <w:bookmarkStart w:id="16" w:name="32"/>
            <w:bookmarkEnd w:id="16"/>
            <w:r w:rsidRPr="003D12A9">
              <w:t>The study was situated within a conceptualization of hospital discharge as a transitional process, derived from Transitions Theory (</w:t>
            </w:r>
            <w:proofErr w:type="spellStart"/>
            <w:r w:rsidR="00304474">
              <w:fldChar w:fldCharType="begin"/>
            </w:r>
            <w:r w:rsidR="00304474">
              <w:instrText xml:space="preserve"> HYPERLINK "http://0-ovidsp.dc2.ovid.com.libus.csd.mu.edu/sp-4.02.1a/ovidweb.cgi?&amp;S=FJHIFPLBKHEBDHHCIPCKEFEHFFGPAA00&amp;Link+Set=S.sh.22.23.28.32%7c6%</w:instrText>
            </w:r>
            <w:r w:rsidR="00304474">
              <w:instrText xml:space="preserve">7csl_10&amp;Counter5=TOC_article%7c00006199-201807000-00006%7cyrovft%7covftdb%7cyrovftt" \l "103" </w:instrText>
            </w:r>
            <w:r w:rsidR="00304474">
              <w:fldChar w:fldCharType="separate"/>
            </w:r>
            <w:r w:rsidRPr="003D12A9">
              <w:rPr>
                <w:rStyle w:val="Hyperlink"/>
                <w:rFonts w:eastAsiaTheme="majorEastAsia" w:cstheme="minorHAnsi"/>
                <w:color w:val="0768A9"/>
                <w:sz w:val="19"/>
                <w:szCs w:val="19"/>
              </w:rPr>
              <w:t>Meleis</w:t>
            </w:r>
            <w:proofErr w:type="spellEnd"/>
            <w:r w:rsidRPr="003D12A9">
              <w:rPr>
                <w:rStyle w:val="Hyperlink"/>
                <w:rFonts w:eastAsiaTheme="majorEastAsia" w:cstheme="minorHAnsi"/>
                <w:color w:val="0768A9"/>
                <w:sz w:val="19"/>
                <w:szCs w:val="19"/>
              </w:rPr>
              <w:t xml:space="preserve">, Sawyer, </w:t>
            </w:r>
            <w:proofErr w:type="spellStart"/>
            <w:r w:rsidRPr="003D12A9">
              <w:rPr>
                <w:rStyle w:val="Hyperlink"/>
                <w:rFonts w:eastAsiaTheme="majorEastAsia" w:cstheme="minorHAnsi"/>
                <w:color w:val="0768A9"/>
                <w:sz w:val="19"/>
                <w:szCs w:val="19"/>
              </w:rPr>
              <w:t>Im</w:t>
            </w:r>
            <w:proofErr w:type="spellEnd"/>
            <w:r w:rsidRPr="003D12A9">
              <w:rPr>
                <w:rStyle w:val="Hyperlink"/>
                <w:rFonts w:eastAsiaTheme="majorEastAsia" w:cstheme="minorHAnsi"/>
                <w:color w:val="0768A9"/>
                <w:sz w:val="19"/>
                <w:szCs w:val="19"/>
              </w:rPr>
              <w:t xml:space="preserve">, </w:t>
            </w:r>
            <w:proofErr w:type="spellStart"/>
            <w:r w:rsidRPr="003D12A9">
              <w:rPr>
                <w:rStyle w:val="Hyperlink"/>
                <w:rFonts w:eastAsiaTheme="majorEastAsia" w:cstheme="minorHAnsi"/>
                <w:color w:val="0768A9"/>
                <w:sz w:val="19"/>
                <w:szCs w:val="19"/>
              </w:rPr>
              <w:t>Hilfinger</w:t>
            </w:r>
            <w:proofErr w:type="spellEnd"/>
            <w:r w:rsidRPr="003D12A9">
              <w:rPr>
                <w:rStyle w:val="Hyperlink"/>
                <w:rFonts w:eastAsiaTheme="majorEastAsia" w:cstheme="minorHAnsi"/>
                <w:color w:val="0768A9"/>
                <w:sz w:val="19"/>
                <w:szCs w:val="19"/>
              </w:rPr>
              <w:t xml:space="preserve"> </w:t>
            </w:r>
            <w:proofErr w:type="spellStart"/>
            <w:r w:rsidRPr="003D12A9">
              <w:rPr>
                <w:rStyle w:val="Hyperlink"/>
                <w:rFonts w:eastAsiaTheme="majorEastAsia" w:cstheme="minorHAnsi"/>
                <w:color w:val="0768A9"/>
                <w:sz w:val="19"/>
                <w:szCs w:val="19"/>
              </w:rPr>
              <w:t>Messias</w:t>
            </w:r>
            <w:proofErr w:type="spellEnd"/>
            <w:r w:rsidRPr="003D12A9">
              <w:rPr>
                <w:rStyle w:val="Hyperlink"/>
                <w:rFonts w:eastAsiaTheme="majorEastAsia" w:cstheme="minorHAnsi"/>
                <w:color w:val="0768A9"/>
                <w:sz w:val="19"/>
                <w:szCs w:val="19"/>
              </w:rPr>
              <w:t>, &amp; Schumacher, 2000</w:t>
            </w:r>
            <w:r w:rsidR="00304474">
              <w:rPr>
                <w:rStyle w:val="Hyperlink"/>
                <w:rFonts w:eastAsiaTheme="majorEastAsia" w:cstheme="minorHAnsi"/>
                <w:color w:val="0768A9"/>
                <w:sz w:val="19"/>
                <w:szCs w:val="19"/>
              </w:rPr>
              <w:fldChar w:fldCharType="end"/>
            </w:r>
            <w:r w:rsidRPr="003D12A9">
              <w:t>) and </w:t>
            </w:r>
            <w:hyperlink r:id="rId28" w:anchor="95" w:history="1">
              <w:r w:rsidRPr="003D12A9">
                <w:rPr>
                  <w:rStyle w:val="Hyperlink"/>
                  <w:rFonts w:eastAsiaTheme="majorEastAsia" w:cstheme="minorHAnsi"/>
                  <w:color w:val="0768A9"/>
                  <w:sz w:val="19"/>
                  <w:szCs w:val="19"/>
                </w:rPr>
                <w:t>Donabedian's (1966)</w:t>
              </w:r>
            </w:hyperlink>
            <w:r w:rsidRPr="003D12A9">
              <w:t xml:space="preserve"> Quality Model, that begins during hospital discharge preparation, has a transition point on the day of discharge, and is followed by a </w:t>
            </w:r>
            <w:proofErr w:type="spellStart"/>
            <w:r w:rsidRPr="003D12A9">
              <w:t>postdischarge</w:t>
            </w:r>
            <w:proofErr w:type="spellEnd"/>
            <w:r w:rsidRPr="003D12A9">
              <w:t xml:space="preserve"> period. Readiness for discharge is an outcome measure of the discharge preparation phase and an indicator of potential risks for coping difficulties and return to hospital during the </w:t>
            </w:r>
            <w:proofErr w:type="spellStart"/>
            <w:r w:rsidRPr="003D12A9">
              <w:t>postdischarge</w:t>
            </w:r>
            <w:proofErr w:type="spellEnd"/>
            <w:r w:rsidRPr="003D12A9">
              <w:t xml:space="preserve"> period (</w:t>
            </w:r>
            <w:hyperlink r:id="rId29" w:anchor="109" w:history="1">
              <w:r w:rsidRPr="003D12A9">
                <w:rPr>
                  <w:rStyle w:val="Hyperlink"/>
                  <w:rFonts w:eastAsiaTheme="majorEastAsia" w:cstheme="minorHAnsi"/>
                  <w:color w:val="0768A9"/>
                  <w:sz w:val="19"/>
                  <w:szCs w:val="19"/>
                </w:rPr>
                <w:t>Weiss et al., 2015</w:t>
              </w:r>
            </w:hyperlink>
            <w:r w:rsidRPr="003D12A9">
              <w:t>).</w:t>
            </w:r>
          </w:p>
        </w:tc>
      </w:tr>
    </w:tbl>
    <w:p w14:paraId="25FCC4FE"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36763BB8" w14:textId="77777777" w:rsidTr="00AF2D43">
        <w:tc>
          <w:tcPr>
            <w:tcW w:w="0" w:type="auto"/>
            <w:hideMark/>
          </w:tcPr>
          <w:p w14:paraId="6D1E1771" w14:textId="77777777" w:rsidR="00246AB7" w:rsidRPr="003D12A9" w:rsidRDefault="00246AB7" w:rsidP="00413E5B">
            <w:bookmarkStart w:id="17" w:name="33"/>
            <w:bookmarkEnd w:id="17"/>
            <w:r w:rsidRPr="003D12A9">
              <w:t>The design of this psychometric analysis of the RN-RHDS, a measure for nurse assessment of discharge readiness on the day of hospital discharge, included five sequential steps:</w:t>
            </w:r>
          </w:p>
        </w:tc>
      </w:tr>
    </w:tbl>
    <w:p w14:paraId="70DDCA72" w14:textId="77777777" w:rsidR="00246AB7" w:rsidRPr="003D12A9" w:rsidRDefault="00246AB7" w:rsidP="00246AB7">
      <w:pPr>
        <w:rPr>
          <w:rFonts w:cstheme="minorHAnsi"/>
          <w:vanish/>
        </w:rPr>
      </w:pPr>
    </w:p>
    <w:tbl>
      <w:tblPr>
        <w:tblStyle w:val="TableGridLight"/>
        <w:tblW w:w="10080" w:type="dxa"/>
        <w:tblLook w:val="04A0" w:firstRow="1" w:lastRow="0" w:firstColumn="1" w:lastColumn="0" w:noHBand="0" w:noVBand="1"/>
      </w:tblPr>
      <w:tblGrid>
        <w:gridCol w:w="10080"/>
      </w:tblGrid>
      <w:tr w:rsidR="00246AB7" w:rsidRPr="00413E5B" w14:paraId="7E84196C" w14:textId="77777777" w:rsidTr="00AF2D43">
        <w:tc>
          <w:tcPr>
            <w:tcW w:w="0" w:type="auto"/>
            <w:hideMark/>
          </w:tcPr>
          <w:p w14:paraId="07AC77FF" w14:textId="77777777" w:rsidR="00246AB7" w:rsidRPr="00413E5B" w:rsidRDefault="00246AB7" w:rsidP="00652EFE">
            <w:pPr>
              <w:spacing w:line="336" w:lineRule="atLeast"/>
              <w:divId w:val="1718890098"/>
              <w:rPr>
                <w:rFonts w:cstheme="minorHAnsi"/>
                <w:color w:val="2D2D2D"/>
              </w:rPr>
            </w:pPr>
            <w:bookmarkStart w:id="18" w:name="34"/>
            <w:bookmarkEnd w:id="18"/>
            <w:r w:rsidRPr="00413E5B">
              <w:rPr>
                <w:rFonts w:cstheme="minorHAnsi"/>
                <w:color w:val="2D2D2D"/>
              </w:rPr>
              <w:t>1. Test the adequacy of the a priori factor structure of the RN-RHDS that was derived from the factor structure of the patient form of the RHDS using a CFA.</w:t>
            </w:r>
          </w:p>
        </w:tc>
      </w:tr>
    </w:tbl>
    <w:p w14:paraId="2CD02F62" w14:textId="77777777" w:rsidR="00246AB7" w:rsidRPr="00413E5B" w:rsidRDefault="00246AB7" w:rsidP="00652EFE">
      <w:pPr>
        <w:spacing w:after="0"/>
        <w:ind w:left="690"/>
        <w:rPr>
          <w:rFonts w:cstheme="minorHAnsi"/>
          <w:vanish/>
        </w:rPr>
      </w:pPr>
    </w:p>
    <w:tbl>
      <w:tblPr>
        <w:tblStyle w:val="TableGridLight"/>
        <w:tblW w:w="0" w:type="auto"/>
        <w:tblLook w:val="04A0" w:firstRow="1" w:lastRow="0" w:firstColumn="1" w:lastColumn="0" w:noHBand="0" w:noVBand="1"/>
      </w:tblPr>
      <w:tblGrid>
        <w:gridCol w:w="10070"/>
      </w:tblGrid>
      <w:tr w:rsidR="00246AB7" w:rsidRPr="00413E5B" w14:paraId="7C2C7D46" w14:textId="77777777" w:rsidTr="00AF2D43">
        <w:tc>
          <w:tcPr>
            <w:tcW w:w="0" w:type="auto"/>
            <w:hideMark/>
          </w:tcPr>
          <w:p w14:paraId="49B692D9" w14:textId="77777777" w:rsidR="00246AB7" w:rsidRPr="00413E5B" w:rsidRDefault="00246AB7" w:rsidP="00652EFE">
            <w:pPr>
              <w:spacing w:line="336" w:lineRule="atLeast"/>
              <w:divId w:val="884029374"/>
              <w:rPr>
                <w:rFonts w:cstheme="minorHAnsi"/>
                <w:color w:val="2D2D2D"/>
              </w:rPr>
            </w:pPr>
            <w:bookmarkStart w:id="19" w:name="35"/>
            <w:bookmarkEnd w:id="19"/>
            <w:r w:rsidRPr="00413E5B">
              <w:rPr>
                <w:rFonts w:cstheme="minorHAnsi"/>
                <w:color w:val="2D2D2D"/>
              </w:rPr>
              <w:t>2. Explore possible alternative factor structures that may be unique to the RN-RHDS using exploratory factor analysis.</w:t>
            </w:r>
          </w:p>
        </w:tc>
      </w:tr>
    </w:tbl>
    <w:p w14:paraId="51CEDC97" w14:textId="77777777" w:rsidR="00246AB7" w:rsidRPr="00413E5B" w:rsidRDefault="00246AB7" w:rsidP="00652EFE">
      <w:pPr>
        <w:spacing w:after="0"/>
        <w:ind w:left="690"/>
        <w:rPr>
          <w:rFonts w:cstheme="minorHAnsi"/>
          <w:vanish/>
        </w:rPr>
      </w:pPr>
    </w:p>
    <w:tbl>
      <w:tblPr>
        <w:tblStyle w:val="TableGridLight"/>
        <w:tblW w:w="0" w:type="auto"/>
        <w:tblLook w:val="04A0" w:firstRow="1" w:lastRow="0" w:firstColumn="1" w:lastColumn="0" w:noHBand="0" w:noVBand="1"/>
      </w:tblPr>
      <w:tblGrid>
        <w:gridCol w:w="4448"/>
      </w:tblGrid>
      <w:tr w:rsidR="00246AB7" w:rsidRPr="00413E5B" w14:paraId="5592AE97" w14:textId="77777777" w:rsidTr="00AF2D43">
        <w:tc>
          <w:tcPr>
            <w:tcW w:w="0" w:type="auto"/>
            <w:hideMark/>
          </w:tcPr>
          <w:p w14:paraId="07F177EF" w14:textId="77777777" w:rsidR="00246AB7" w:rsidRPr="00413E5B" w:rsidRDefault="00246AB7" w:rsidP="00652EFE">
            <w:pPr>
              <w:spacing w:line="336" w:lineRule="atLeast"/>
              <w:divId w:val="1395929837"/>
              <w:rPr>
                <w:rFonts w:cstheme="minorHAnsi"/>
                <w:color w:val="2D2D2D"/>
              </w:rPr>
            </w:pPr>
            <w:bookmarkStart w:id="20" w:name="36"/>
            <w:bookmarkEnd w:id="20"/>
            <w:r w:rsidRPr="00413E5B">
              <w:rPr>
                <w:rFonts w:cstheme="minorHAnsi"/>
                <w:color w:val="2D2D2D"/>
              </w:rPr>
              <w:t>3. Evaluate the factor structure of RN-RHDS/SF.</w:t>
            </w:r>
          </w:p>
        </w:tc>
      </w:tr>
    </w:tbl>
    <w:p w14:paraId="7740BB7B" w14:textId="77777777" w:rsidR="00246AB7" w:rsidRPr="00413E5B" w:rsidRDefault="00246AB7" w:rsidP="00652EFE">
      <w:pPr>
        <w:spacing w:after="0"/>
        <w:ind w:left="690"/>
        <w:rPr>
          <w:rFonts w:cstheme="minorHAnsi"/>
          <w:vanish/>
        </w:rPr>
      </w:pPr>
    </w:p>
    <w:tbl>
      <w:tblPr>
        <w:tblStyle w:val="TableGridLight"/>
        <w:tblW w:w="0" w:type="auto"/>
        <w:tblLook w:val="04A0" w:firstRow="1" w:lastRow="0" w:firstColumn="1" w:lastColumn="0" w:noHBand="0" w:noVBand="1"/>
      </w:tblPr>
      <w:tblGrid>
        <w:gridCol w:w="5500"/>
      </w:tblGrid>
      <w:tr w:rsidR="00246AB7" w:rsidRPr="00413E5B" w14:paraId="107C430A" w14:textId="77777777" w:rsidTr="00AF2D43">
        <w:tc>
          <w:tcPr>
            <w:tcW w:w="0" w:type="auto"/>
            <w:hideMark/>
          </w:tcPr>
          <w:p w14:paraId="09655BB7" w14:textId="77777777" w:rsidR="00246AB7" w:rsidRPr="00413E5B" w:rsidRDefault="00246AB7" w:rsidP="00652EFE">
            <w:pPr>
              <w:spacing w:line="336" w:lineRule="atLeast"/>
              <w:divId w:val="469054702"/>
              <w:rPr>
                <w:rFonts w:cstheme="minorHAnsi"/>
                <w:color w:val="2D2D2D"/>
              </w:rPr>
            </w:pPr>
            <w:bookmarkStart w:id="21" w:name="37"/>
            <w:bookmarkEnd w:id="21"/>
            <w:r w:rsidRPr="00413E5B">
              <w:rPr>
                <w:rFonts w:cstheme="minorHAnsi"/>
                <w:color w:val="2D2D2D"/>
              </w:rPr>
              <w:t>4. Estimate the reliability of the RN-RHDS and RN-RHDS/SF.</w:t>
            </w:r>
          </w:p>
        </w:tc>
      </w:tr>
    </w:tbl>
    <w:p w14:paraId="0A249C05" w14:textId="77777777" w:rsidR="00246AB7" w:rsidRPr="00413E5B" w:rsidRDefault="00246AB7" w:rsidP="00652EFE">
      <w:pPr>
        <w:spacing w:after="0"/>
        <w:ind w:left="690"/>
        <w:rPr>
          <w:rFonts w:cstheme="minorHAnsi"/>
          <w:vanish/>
        </w:rPr>
      </w:pPr>
    </w:p>
    <w:tbl>
      <w:tblPr>
        <w:tblStyle w:val="TableGridLight"/>
        <w:tblW w:w="10080" w:type="dxa"/>
        <w:tblLook w:val="04A0" w:firstRow="1" w:lastRow="0" w:firstColumn="1" w:lastColumn="0" w:noHBand="0" w:noVBand="1"/>
      </w:tblPr>
      <w:tblGrid>
        <w:gridCol w:w="10080"/>
      </w:tblGrid>
      <w:tr w:rsidR="00246AB7" w:rsidRPr="00413E5B" w14:paraId="511C84BA" w14:textId="77777777" w:rsidTr="00AF2D43">
        <w:tc>
          <w:tcPr>
            <w:tcW w:w="0" w:type="auto"/>
            <w:hideMark/>
          </w:tcPr>
          <w:p w14:paraId="398226F0" w14:textId="77777777" w:rsidR="00246AB7" w:rsidRPr="00413E5B" w:rsidRDefault="00246AB7" w:rsidP="00652EFE">
            <w:pPr>
              <w:spacing w:line="336" w:lineRule="atLeast"/>
              <w:divId w:val="535703317"/>
              <w:rPr>
                <w:rFonts w:cstheme="minorHAnsi"/>
                <w:color w:val="2D2D2D"/>
              </w:rPr>
            </w:pPr>
            <w:bookmarkStart w:id="22" w:name="38"/>
            <w:bookmarkEnd w:id="22"/>
            <w:r w:rsidRPr="00413E5B">
              <w:rPr>
                <w:rFonts w:cstheme="minorHAnsi"/>
                <w:color w:val="2D2D2D"/>
              </w:rPr>
              <w:t>5. Determine the concordance between RHDS assessments by the nurse using RN-RHDS and patient self-report using the PT-RHDS.</w:t>
            </w:r>
          </w:p>
        </w:tc>
      </w:tr>
    </w:tbl>
    <w:p w14:paraId="4E1CAE9C" w14:textId="77777777" w:rsidR="00246AB7" w:rsidRPr="00413E5B" w:rsidRDefault="00246AB7" w:rsidP="00652EFE">
      <w:pPr>
        <w:spacing w:after="0"/>
        <w:ind w:left="690"/>
        <w:rPr>
          <w:rFonts w:cstheme="minorHAnsi"/>
          <w:vanish/>
        </w:rPr>
      </w:pPr>
    </w:p>
    <w:tbl>
      <w:tblPr>
        <w:tblStyle w:val="TableGridLight"/>
        <w:tblW w:w="0" w:type="auto"/>
        <w:tblLook w:val="04A0" w:firstRow="1" w:lastRow="0" w:firstColumn="1" w:lastColumn="0" w:noHBand="0" w:noVBand="1"/>
      </w:tblPr>
      <w:tblGrid>
        <w:gridCol w:w="10070"/>
      </w:tblGrid>
      <w:tr w:rsidR="00246AB7" w:rsidRPr="00413E5B" w14:paraId="291CD791" w14:textId="77777777" w:rsidTr="00AF2D43">
        <w:tc>
          <w:tcPr>
            <w:tcW w:w="0" w:type="auto"/>
            <w:hideMark/>
          </w:tcPr>
          <w:p w14:paraId="3D6364BF" w14:textId="77777777" w:rsidR="00246AB7" w:rsidRPr="00413E5B" w:rsidRDefault="00246AB7" w:rsidP="00652EFE">
            <w:pPr>
              <w:spacing w:line="336" w:lineRule="atLeast"/>
              <w:divId w:val="1643345018"/>
              <w:rPr>
                <w:rFonts w:cstheme="minorHAnsi"/>
                <w:color w:val="2D2D2D"/>
              </w:rPr>
            </w:pPr>
            <w:bookmarkStart w:id="23" w:name="39"/>
            <w:bookmarkEnd w:id="23"/>
            <w:r w:rsidRPr="00413E5B">
              <w:rPr>
                <w:rFonts w:cstheme="minorHAnsi"/>
                <w:color w:val="2D2D2D"/>
              </w:rPr>
              <w:t xml:space="preserve">6. Determine the predictive validity of the RN-RHDS and RN-RHDS/SF for return to hospital within 30 days </w:t>
            </w:r>
            <w:proofErr w:type="spellStart"/>
            <w:r w:rsidRPr="00413E5B">
              <w:rPr>
                <w:rFonts w:cstheme="minorHAnsi"/>
                <w:color w:val="2D2D2D"/>
              </w:rPr>
              <w:t>postdischarge</w:t>
            </w:r>
            <w:proofErr w:type="spellEnd"/>
            <w:r w:rsidRPr="00413E5B">
              <w:rPr>
                <w:rFonts w:cstheme="minorHAnsi"/>
                <w:color w:val="2D2D2D"/>
              </w:rPr>
              <w:t>.</w:t>
            </w:r>
          </w:p>
        </w:tc>
      </w:tr>
    </w:tbl>
    <w:p w14:paraId="5286A9E5" w14:textId="6E06D48A" w:rsidR="00246AB7" w:rsidRPr="003D12A9" w:rsidRDefault="00246AB7" w:rsidP="00246AB7">
      <w:pPr>
        <w:shd w:val="clear" w:color="auto" w:fill="FFFFFF"/>
        <w:spacing w:line="240" w:lineRule="auto"/>
        <w:rPr>
          <w:rFonts w:cstheme="minorHAnsi"/>
          <w:color w:val="2D2D2D"/>
          <w:sz w:val="17"/>
          <w:szCs w:val="17"/>
        </w:rPr>
      </w:pPr>
    </w:p>
    <w:tbl>
      <w:tblPr>
        <w:tblStyle w:val="TableGridLight"/>
        <w:tblW w:w="0" w:type="auto"/>
        <w:tblLook w:val="04A0" w:firstRow="1" w:lastRow="0" w:firstColumn="1" w:lastColumn="0" w:noHBand="0" w:noVBand="1"/>
      </w:tblPr>
      <w:tblGrid>
        <w:gridCol w:w="2379"/>
      </w:tblGrid>
      <w:tr w:rsidR="00246AB7" w:rsidRPr="003D12A9" w14:paraId="4A03C9B7" w14:textId="77777777" w:rsidTr="00AF2D43">
        <w:tc>
          <w:tcPr>
            <w:tcW w:w="0" w:type="auto"/>
            <w:hideMark/>
          </w:tcPr>
          <w:p w14:paraId="13309654" w14:textId="77777777" w:rsidR="00246AB7" w:rsidRPr="003D12A9" w:rsidRDefault="00246AB7" w:rsidP="003D12A9">
            <w:pPr>
              <w:pStyle w:val="Heading2"/>
              <w:outlineLvl w:val="1"/>
              <w:divId w:val="1069579044"/>
            </w:pPr>
            <w:bookmarkStart w:id="24" w:name="41"/>
            <w:bookmarkEnd w:id="24"/>
            <w:r w:rsidRPr="003D12A9">
              <w:t>Sample and Setting</w:t>
            </w:r>
          </w:p>
        </w:tc>
      </w:tr>
    </w:tbl>
    <w:p w14:paraId="0E5E49F9"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413E5B" w14:paraId="46B3C83A" w14:textId="77777777" w:rsidTr="00AF2D43">
        <w:tc>
          <w:tcPr>
            <w:tcW w:w="0" w:type="auto"/>
            <w:hideMark/>
          </w:tcPr>
          <w:p w14:paraId="52489CCA" w14:textId="77777777" w:rsidR="00246AB7" w:rsidRPr="00413E5B" w:rsidRDefault="00246AB7" w:rsidP="00413E5B">
            <w:pPr>
              <w:rPr>
                <w:color w:val="2D2D2D"/>
              </w:rPr>
            </w:pPr>
            <w:bookmarkStart w:id="25" w:name="42"/>
            <w:bookmarkEnd w:id="25"/>
            <w:r w:rsidRPr="00413E5B">
              <w:rPr>
                <w:color w:val="2D2D2D"/>
              </w:rPr>
              <w:t>The sampling target for this study was 300 RN-RHDS assessments for an adequate sample for factor analysis (</w:t>
            </w:r>
            <w:proofErr w:type="spellStart"/>
            <w:r w:rsidR="00304474">
              <w:fldChar w:fldCharType="begin"/>
            </w:r>
            <w:r w:rsidR="00304474">
              <w:instrText xml:space="preserve"> HYPERLINK "http://0-ovidsp.dc2.ovid.com.libus.csd.mu.edu/sp-4.02.1a/ovidweb.cgi?&amp;S=FJHIFPLBKHEBDHHCIPCKEFEHFFGPAA00&amp;Link+Set=S.sh.22.23.28.32%7c6%7csl_10&amp;Counter5=TOC_article%7c00006199-201807000-00006%7cyrovft%7covftdb%7cyrovftt" \l "94" </w:instrText>
            </w:r>
            <w:r w:rsidR="00304474">
              <w:fldChar w:fldCharType="separate"/>
            </w:r>
            <w:r w:rsidRPr="00413E5B">
              <w:rPr>
                <w:rStyle w:val="Hyperlink"/>
                <w:rFonts w:eastAsiaTheme="majorEastAsia" w:cstheme="minorHAnsi"/>
                <w:color w:val="0768A9"/>
              </w:rPr>
              <w:t>Comrey</w:t>
            </w:r>
            <w:proofErr w:type="spellEnd"/>
            <w:r w:rsidRPr="00413E5B">
              <w:rPr>
                <w:rStyle w:val="Hyperlink"/>
                <w:rFonts w:eastAsiaTheme="majorEastAsia" w:cstheme="minorHAnsi"/>
                <w:color w:val="0768A9"/>
              </w:rPr>
              <w:t xml:space="preserve"> &amp; Lee, 1992</w:t>
            </w:r>
            <w:r w:rsidR="00304474">
              <w:rPr>
                <w:rStyle w:val="Hyperlink"/>
                <w:rFonts w:eastAsiaTheme="majorEastAsia" w:cstheme="minorHAnsi"/>
                <w:color w:val="0768A9"/>
              </w:rPr>
              <w:fldChar w:fldCharType="end"/>
            </w:r>
            <w:r w:rsidRPr="00413E5B">
              <w:rPr>
                <w:color w:val="2D2D2D"/>
              </w:rPr>
              <w:t xml:space="preserve">). Participating nurses and patients were recruited from 16 medical-surgical nursing units in four hospitals within a health system in the Midwestern United States from April to August 2008 for the Sample 1 and from the six of the same medical-surgical units in one of the hospitals from August 2012 to September 2013 for Sample 2. Data were collected from patients and their discharging nurses on the day of discharge for both studies and by electronic data extraction of patient characteristics and </w:t>
            </w:r>
            <w:proofErr w:type="spellStart"/>
            <w:r w:rsidRPr="00413E5B">
              <w:rPr>
                <w:color w:val="2D2D2D"/>
              </w:rPr>
              <w:t>postutilization</w:t>
            </w:r>
            <w:proofErr w:type="spellEnd"/>
            <w:r w:rsidRPr="00413E5B">
              <w:rPr>
                <w:color w:val="2D2D2D"/>
              </w:rPr>
              <w:t xml:space="preserve"> data from hospital information systems.</w:t>
            </w:r>
          </w:p>
        </w:tc>
      </w:tr>
    </w:tbl>
    <w:p w14:paraId="7A15208C" w14:textId="77777777" w:rsidR="00246AB7" w:rsidRPr="00413E5B"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413E5B" w14:paraId="568333AD" w14:textId="77777777" w:rsidTr="00AF2D43">
        <w:tc>
          <w:tcPr>
            <w:tcW w:w="0" w:type="auto"/>
            <w:hideMark/>
          </w:tcPr>
          <w:p w14:paraId="178EA601" w14:textId="77777777" w:rsidR="00246AB7" w:rsidRPr="00413E5B" w:rsidRDefault="00246AB7" w:rsidP="00413E5B">
            <w:pPr>
              <w:rPr>
                <w:color w:val="2D2D2D"/>
              </w:rPr>
            </w:pPr>
            <w:bookmarkStart w:id="26" w:name="43"/>
            <w:bookmarkEnd w:id="26"/>
            <w:r w:rsidRPr="00413E5B">
              <w:rPr>
                <w:color w:val="2D2D2D"/>
              </w:rPr>
              <w:t>Three hundred sixteen matched RN-patient pairs were included in this sample; 162 matched pairs were from a prior study (Sample 1; </w:t>
            </w:r>
            <w:hyperlink r:id="rId30" w:anchor="115" w:history="1">
              <w:r w:rsidRPr="00413E5B">
                <w:rPr>
                  <w:rStyle w:val="Hyperlink"/>
                  <w:rFonts w:eastAsiaTheme="majorEastAsia" w:cstheme="minorHAnsi"/>
                  <w:color w:val="0768A9"/>
                </w:rPr>
                <w:t>Weiss et al., 2010</w:t>
              </w:r>
            </w:hyperlink>
            <w:r w:rsidRPr="00413E5B">
              <w:rPr>
                <w:color w:val="2D2D2D"/>
              </w:rPr>
              <w:t>), and an additional 154 matched pairs (Sample 2) were collected at a later date to achieve the sampling target. Both studies were approved by university and hospital institutional review boards who approved a patient consent form for patients and an informational statement as the consent format for the nurse survey forms used for the study. Sample inclusion criteria were English- or Spanish-speaking patients, at least 18 years old, discharged to home without home hospice services. Nurses were approached for voluntary participation if their patients being discharged had agreed to participate. There were 132 unique nurses who participated in Sample 1 and 66 unique nurses who participated in Sample 2.</w:t>
            </w:r>
          </w:p>
        </w:tc>
      </w:tr>
      <w:tr w:rsidR="00246AB7" w:rsidRPr="003D12A9" w14:paraId="712B7AD6" w14:textId="77777777" w:rsidTr="00E70590">
        <w:tc>
          <w:tcPr>
            <w:tcW w:w="0" w:type="auto"/>
            <w:hideMark/>
          </w:tcPr>
          <w:p w14:paraId="1316EA69" w14:textId="77777777" w:rsidR="00246AB7" w:rsidRPr="003D12A9" w:rsidRDefault="00246AB7" w:rsidP="003D12A9">
            <w:pPr>
              <w:pStyle w:val="Heading2"/>
              <w:outlineLvl w:val="1"/>
              <w:divId w:val="1220092188"/>
            </w:pPr>
            <w:bookmarkStart w:id="27" w:name="44"/>
            <w:bookmarkEnd w:id="27"/>
            <w:r w:rsidRPr="003D12A9">
              <w:t>Instruments and Measures</w:t>
            </w:r>
          </w:p>
        </w:tc>
      </w:tr>
    </w:tbl>
    <w:p w14:paraId="2C145988"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6AF33114" w14:textId="77777777" w:rsidTr="00E70590">
        <w:tc>
          <w:tcPr>
            <w:tcW w:w="0" w:type="auto"/>
            <w:hideMark/>
          </w:tcPr>
          <w:p w14:paraId="23BB7E90" w14:textId="77777777" w:rsidR="00246AB7" w:rsidRPr="00413E5B" w:rsidRDefault="00246AB7" w:rsidP="00413E5B">
            <w:pPr>
              <w:rPr>
                <w:color w:val="2D2D2D"/>
              </w:rPr>
            </w:pPr>
            <w:bookmarkStart w:id="28" w:name="45"/>
            <w:bookmarkEnd w:id="28"/>
            <w:r w:rsidRPr="00413E5B">
              <w:rPr>
                <w:color w:val="2D2D2D"/>
              </w:rPr>
              <w:t>The RN-RHDS was developed as a parallel measure of the PT-RHDS (</w:t>
            </w:r>
            <w:hyperlink r:id="rId31" w:anchor="113" w:history="1">
              <w:r w:rsidRPr="00413E5B">
                <w:rPr>
                  <w:rStyle w:val="Hyperlink"/>
                  <w:rFonts w:eastAsiaTheme="majorEastAsia" w:cstheme="minorHAnsi"/>
                  <w:color w:val="0768A9"/>
                </w:rPr>
                <w:t>Weiss &amp; Piacentine, 2006</w:t>
              </w:r>
            </w:hyperlink>
            <w:r w:rsidRPr="00413E5B">
              <w:rPr>
                <w:color w:val="2D2D2D"/>
              </w:rPr>
              <w:t>) to record nurse assessment of hospitalized patients' readiness for discharge by modifying the wording of items from patient-focused to nurse-focused questions. An example is, "How well will you [patient form]/your patient [nurse form] be able to handle the demands of life at home?" For both the RN-RHDS and the PT-RHDS, there are four subscales:</w:t>
            </w:r>
          </w:p>
        </w:tc>
      </w:tr>
    </w:tbl>
    <w:p w14:paraId="0EAEB325"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809"/>
      </w:tblGrid>
      <w:tr w:rsidR="00246AB7" w:rsidRPr="003D12A9" w14:paraId="369ABFEC" w14:textId="77777777" w:rsidTr="00E70590">
        <w:tc>
          <w:tcPr>
            <w:tcW w:w="0" w:type="auto"/>
            <w:hideMark/>
          </w:tcPr>
          <w:p w14:paraId="5F1B550D" w14:textId="77777777" w:rsidR="00246AB7" w:rsidRPr="003D12A9" w:rsidRDefault="00246AB7" w:rsidP="00413E5B">
            <w:pPr>
              <w:divId w:val="2138794508"/>
            </w:pPr>
            <w:bookmarkStart w:id="29" w:name="46"/>
            <w:bookmarkEnd w:id="29"/>
            <w:r w:rsidRPr="003D12A9">
              <w:t>* Personal Status,</w:t>
            </w:r>
          </w:p>
        </w:tc>
      </w:tr>
    </w:tbl>
    <w:p w14:paraId="69C17F4C"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422"/>
      </w:tblGrid>
      <w:tr w:rsidR="00246AB7" w:rsidRPr="003D12A9" w14:paraId="3483E117" w14:textId="77777777" w:rsidTr="00E70590">
        <w:tc>
          <w:tcPr>
            <w:tcW w:w="0" w:type="auto"/>
            <w:hideMark/>
          </w:tcPr>
          <w:p w14:paraId="3F3D7A26" w14:textId="77777777" w:rsidR="00246AB7" w:rsidRPr="003D12A9" w:rsidRDefault="00246AB7" w:rsidP="00413E5B">
            <w:pPr>
              <w:divId w:val="346559762"/>
            </w:pPr>
            <w:bookmarkStart w:id="30" w:name="47"/>
            <w:bookmarkEnd w:id="30"/>
            <w:r w:rsidRPr="003D12A9">
              <w:t>* Knowledge,</w:t>
            </w:r>
          </w:p>
        </w:tc>
      </w:tr>
    </w:tbl>
    <w:p w14:paraId="425F0EAA"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2053"/>
      </w:tblGrid>
      <w:tr w:rsidR="00246AB7" w:rsidRPr="003D12A9" w14:paraId="649EE126" w14:textId="77777777" w:rsidTr="00E70590">
        <w:tc>
          <w:tcPr>
            <w:tcW w:w="0" w:type="auto"/>
            <w:hideMark/>
          </w:tcPr>
          <w:p w14:paraId="53C26B65" w14:textId="77777777" w:rsidR="00246AB7" w:rsidRPr="003D12A9" w:rsidRDefault="00246AB7" w:rsidP="00413E5B">
            <w:pPr>
              <w:divId w:val="1596667855"/>
            </w:pPr>
            <w:bookmarkStart w:id="31" w:name="48"/>
            <w:bookmarkEnd w:id="31"/>
            <w:r w:rsidRPr="003D12A9">
              <w:t>* Coping Ability, and</w:t>
            </w:r>
          </w:p>
        </w:tc>
      </w:tr>
    </w:tbl>
    <w:p w14:paraId="3E305861"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2015"/>
      </w:tblGrid>
      <w:tr w:rsidR="00246AB7" w:rsidRPr="003D12A9" w14:paraId="313D4477" w14:textId="77777777" w:rsidTr="00E70590">
        <w:tc>
          <w:tcPr>
            <w:tcW w:w="0" w:type="auto"/>
            <w:hideMark/>
          </w:tcPr>
          <w:p w14:paraId="5FBB5874" w14:textId="77777777" w:rsidR="00246AB7" w:rsidRPr="003D12A9" w:rsidRDefault="00246AB7" w:rsidP="00413E5B">
            <w:pPr>
              <w:divId w:val="748505082"/>
            </w:pPr>
            <w:bookmarkStart w:id="32" w:name="49"/>
            <w:bookmarkEnd w:id="32"/>
            <w:r w:rsidRPr="003D12A9">
              <w:t>* Expected Support.</w:t>
            </w:r>
          </w:p>
        </w:tc>
      </w:tr>
    </w:tbl>
    <w:p w14:paraId="16785968"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0E71441D" w14:textId="77777777" w:rsidTr="00E70590">
        <w:tc>
          <w:tcPr>
            <w:tcW w:w="0" w:type="auto"/>
            <w:hideMark/>
          </w:tcPr>
          <w:p w14:paraId="220AABE5" w14:textId="77777777" w:rsidR="00246AB7" w:rsidRPr="003D12A9" w:rsidRDefault="00246AB7" w:rsidP="00413E5B">
            <w:bookmarkStart w:id="33" w:name="51"/>
            <w:bookmarkEnd w:id="33"/>
            <w:r w:rsidRPr="003D12A9">
              <w:rPr>
                <w:rStyle w:val="fulltext-it"/>
                <w:rFonts w:eastAsiaTheme="majorEastAsia" w:cstheme="minorHAnsi"/>
                <w:i/>
                <w:iCs/>
                <w:color w:val="2D2D2D"/>
                <w:sz w:val="19"/>
                <w:szCs w:val="19"/>
              </w:rPr>
              <w:t>Personal Status</w:t>
            </w:r>
            <w:r w:rsidRPr="003D12A9">
              <w:t> refers to how the patient feels physically and emotionally on the day of discharge and includes items related to how much pain or discomfort they are having and their strength and energy levels. </w:t>
            </w:r>
            <w:r w:rsidRPr="003D12A9">
              <w:rPr>
                <w:rStyle w:val="fulltext-it"/>
                <w:rFonts w:eastAsiaTheme="majorEastAsia" w:cstheme="minorHAnsi"/>
                <w:i/>
                <w:iCs/>
                <w:color w:val="2D2D2D"/>
                <w:sz w:val="19"/>
                <w:szCs w:val="19"/>
              </w:rPr>
              <w:t>Knowledge</w:t>
            </w:r>
            <w:r w:rsidRPr="003D12A9">
              <w:t> relates to specific information the patient will need to self-manage personal and medical care needs, including possible complications, restrictions, and plan for follow-up. </w:t>
            </w:r>
            <w:r w:rsidRPr="003D12A9">
              <w:rPr>
                <w:rStyle w:val="fulltext-it"/>
                <w:rFonts w:eastAsiaTheme="majorEastAsia" w:cstheme="minorHAnsi"/>
                <w:i/>
                <w:iCs/>
                <w:color w:val="2D2D2D"/>
                <w:sz w:val="19"/>
                <w:szCs w:val="19"/>
              </w:rPr>
              <w:t>Coping Ability</w:t>
            </w:r>
            <w:r w:rsidRPr="003D12A9">
              <w:t> refers to the patient's perception of ability to handle self-care, perform any treatments, or deal with demands of life at home. </w:t>
            </w:r>
            <w:r w:rsidRPr="003D12A9">
              <w:rPr>
                <w:rStyle w:val="fulltext-it"/>
                <w:rFonts w:eastAsiaTheme="majorEastAsia" w:cstheme="minorHAnsi"/>
                <w:i/>
                <w:iCs/>
                <w:color w:val="2D2D2D"/>
                <w:sz w:val="19"/>
                <w:szCs w:val="19"/>
              </w:rPr>
              <w:t>Expected Support</w:t>
            </w:r>
            <w:r w:rsidRPr="003D12A9">
              <w:t> subscale measures whether the patient will have help with medical care or household activities after discharge (</w:t>
            </w:r>
            <w:hyperlink r:id="rId32" w:anchor="113" w:history="1">
              <w:r w:rsidRPr="003D12A9">
                <w:rPr>
                  <w:rStyle w:val="Hyperlink"/>
                  <w:rFonts w:eastAsiaTheme="majorEastAsia" w:cstheme="minorHAnsi"/>
                  <w:color w:val="0768A9"/>
                  <w:sz w:val="19"/>
                  <w:szCs w:val="19"/>
                </w:rPr>
                <w:t>Weiss &amp; Piacentine, 2006</w:t>
              </w:r>
            </w:hyperlink>
            <w:r w:rsidRPr="003D12A9">
              <w:t>). The RN-RHDS consists of 21 items measured on a 0-10 Likert scale, with higher scores indicating greater readiness. Scores are calculated and reported as mean of item scores, with a range of 0-10. The RN-RHDS is administered on the day of discharge.</w:t>
            </w:r>
          </w:p>
        </w:tc>
      </w:tr>
    </w:tbl>
    <w:p w14:paraId="2A4ED0CC"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00452DBE" w14:textId="77777777" w:rsidTr="00E70590">
        <w:tc>
          <w:tcPr>
            <w:tcW w:w="0" w:type="auto"/>
            <w:hideMark/>
          </w:tcPr>
          <w:p w14:paraId="2CACE7CB" w14:textId="77777777" w:rsidR="00246AB7" w:rsidRPr="003D12A9" w:rsidRDefault="00246AB7" w:rsidP="00413E5B">
            <w:bookmarkStart w:id="34" w:name="52"/>
            <w:bookmarkEnd w:id="34"/>
            <w:r w:rsidRPr="003D12A9">
              <w:t>The eight-item RN-RHDS/SF is a parallel form of the PT-RHDS/SF, which uses the two items from each subscale with the highest item-subscale correlations (</w:t>
            </w:r>
            <w:hyperlink r:id="rId33" w:anchor="110" w:history="1">
              <w:r w:rsidRPr="003D12A9">
                <w:rPr>
                  <w:rStyle w:val="Hyperlink"/>
                  <w:rFonts w:eastAsiaTheme="majorEastAsia" w:cstheme="minorHAnsi"/>
                  <w:color w:val="0768A9"/>
                  <w:sz w:val="19"/>
                  <w:szCs w:val="19"/>
                </w:rPr>
                <w:t>Weiss et al., 2014</w:t>
              </w:r>
            </w:hyperlink>
            <w:r w:rsidRPr="003D12A9">
              <w:t>). Initial testing of the RN-RHDS in 162 adult medical-surgical patients (Sample 1) produced a Cronbach's alpha reliability estimate of .90 for the long form (</w:t>
            </w:r>
            <w:hyperlink r:id="rId34" w:anchor="115" w:history="1">
              <w:r w:rsidRPr="003D12A9">
                <w:rPr>
                  <w:rStyle w:val="Hyperlink"/>
                  <w:rFonts w:eastAsiaTheme="majorEastAsia" w:cstheme="minorHAnsi"/>
                  <w:color w:val="0768A9"/>
                  <w:sz w:val="19"/>
                  <w:szCs w:val="19"/>
                </w:rPr>
                <w:t>Weiss et al., 2010</w:t>
              </w:r>
            </w:hyperlink>
            <w:r w:rsidRPr="003D12A9">
              <w:t>) and .83 for the short form version (</w:t>
            </w:r>
            <w:hyperlink r:id="rId35" w:anchor="110" w:history="1">
              <w:r w:rsidRPr="003D12A9">
                <w:rPr>
                  <w:rStyle w:val="Hyperlink"/>
                  <w:rFonts w:eastAsiaTheme="majorEastAsia" w:cstheme="minorHAnsi"/>
                  <w:color w:val="0768A9"/>
                  <w:sz w:val="19"/>
                  <w:szCs w:val="19"/>
                </w:rPr>
                <w:t>Weiss et al., 2014</w:t>
              </w:r>
            </w:hyperlink>
            <w:r w:rsidRPr="003D12A9">
              <w:t>).</w:t>
            </w:r>
          </w:p>
        </w:tc>
      </w:tr>
    </w:tbl>
    <w:p w14:paraId="78F88113"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7BCA8548" w14:textId="77777777" w:rsidTr="00E70590">
        <w:tc>
          <w:tcPr>
            <w:tcW w:w="0" w:type="auto"/>
            <w:hideMark/>
          </w:tcPr>
          <w:p w14:paraId="707CB8CD" w14:textId="77777777" w:rsidR="00246AB7" w:rsidRPr="003D12A9" w:rsidRDefault="00246AB7" w:rsidP="00413E5B">
            <w:bookmarkStart w:id="35" w:name="53"/>
            <w:bookmarkEnd w:id="35"/>
            <w:r w:rsidRPr="003D12A9">
              <w:t xml:space="preserve">The outcome variables, readmissions and </w:t>
            </w:r>
            <w:proofErr w:type="spellStart"/>
            <w:r w:rsidRPr="003D12A9">
              <w:t>nonadmitted</w:t>
            </w:r>
            <w:proofErr w:type="spellEnd"/>
            <w:r w:rsidRPr="003D12A9">
              <w:t xml:space="preserve"> ED visits within 30 days </w:t>
            </w:r>
            <w:proofErr w:type="spellStart"/>
            <w:r w:rsidRPr="003D12A9">
              <w:t>postdischarge</w:t>
            </w:r>
            <w:proofErr w:type="spellEnd"/>
            <w:r w:rsidRPr="003D12A9">
              <w:t xml:space="preserve">, were extracted from electronic information systems through queries across the four study hospitals within the same health system. Readmissions and ED visit occurrences for any reason were counted if they occurred in any of the study hospitals. Readmissions not specifically related to the reason for the acute care hospitalization may reflect a general </w:t>
            </w:r>
            <w:proofErr w:type="spellStart"/>
            <w:r w:rsidRPr="003D12A9">
              <w:t>postdischarge</w:t>
            </w:r>
            <w:proofErr w:type="spellEnd"/>
            <w:r w:rsidRPr="003D12A9">
              <w:t xml:space="preserve"> syndrome characterized by the sequelae of hospitalization, including physiological and psychological stresses of hospitalization that result in physiological impairments and depletion of reserves needed for recovery and defense against adverse events (</w:t>
            </w:r>
            <w:proofErr w:type="spellStart"/>
            <w:r w:rsidR="00304474">
              <w:fldChar w:fldCharType="begin"/>
            </w:r>
            <w:r w:rsidR="00304474">
              <w:instrText xml:space="preserve"> HYPERLINK "http://0-ovidsp.dc2.ovid.com.libus.csd.mu.edu/sp-4.02.1a/ovidweb.</w:instrText>
            </w:r>
            <w:r w:rsidR="00304474">
              <w:instrText xml:space="preserve">cgi?&amp;S=FJHIFPLBKHEBDHHCIPCKEFEHFFGPAA00&amp;Link+Set=S.sh.22.23.28.32%7c6%7csl_10&amp;Counter5=TOC_article%7c00006199-201807000-00006%7cyrovft%7covftdb%7cyrovftt" \l "100" </w:instrText>
            </w:r>
            <w:r w:rsidR="00304474">
              <w:fldChar w:fldCharType="separate"/>
            </w:r>
            <w:r w:rsidRPr="003D12A9">
              <w:rPr>
                <w:rStyle w:val="Hyperlink"/>
                <w:rFonts w:eastAsiaTheme="majorEastAsia" w:cstheme="minorHAnsi"/>
                <w:color w:val="0768A9"/>
                <w:sz w:val="19"/>
                <w:szCs w:val="19"/>
              </w:rPr>
              <w:t>Krumholz</w:t>
            </w:r>
            <w:proofErr w:type="spellEnd"/>
            <w:r w:rsidRPr="003D12A9">
              <w:rPr>
                <w:rStyle w:val="Hyperlink"/>
                <w:rFonts w:eastAsiaTheme="majorEastAsia" w:cstheme="minorHAnsi"/>
                <w:color w:val="0768A9"/>
                <w:sz w:val="19"/>
                <w:szCs w:val="19"/>
              </w:rPr>
              <w:t>, 2013</w:t>
            </w:r>
            <w:r w:rsidR="00304474">
              <w:rPr>
                <w:rStyle w:val="Hyperlink"/>
                <w:rFonts w:eastAsiaTheme="majorEastAsia" w:cstheme="minorHAnsi"/>
                <w:color w:val="0768A9"/>
                <w:sz w:val="19"/>
                <w:szCs w:val="19"/>
              </w:rPr>
              <w:fldChar w:fldCharType="end"/>
            </w:r>
            <w:r w:rsidRPr="003D12A9">
              <w:t>). Because of few ED visits without concurrent readmission, the readmissions and ED visits were recoded into a single dichotomous variable, with 0 = </w:t>
            </w:r>
            <w:r w:rsidRPr="003D12A9">
              <w:rPr>
                <w:rStyle w:val="fulltext-it"/>
                <w:rFonts w:eastAsiaTheme="majorEastAsia" w:cstheme="minorHAnsi"/>
                <w:i/>
                <w:iCs/>
                <w:color w:val="2D2D2D"/>
                <w:sz w:val="19"/>
                <w:szCs w:val="19"/>
              </w:rPr>
              <w:t>no return to hospital</w:t>
            </w:r>
            <w:r w:rsidRPr="003D12A9">
              <w:t> and 1 = </w:t>
            </w:r>
            <w:r w:rsidRPr="003D12A9">
              <w:rPr>
                <w:rStyle w:val="fulltext-it"/>
                <w:rFonts w:eastAsiaTheme="majorEastAsia" w:cstheme="minorHAnsi"/>
                <w:i/>
                <w:iCs/>
                <w:color w:val="2D2D2D"/>
                <w:sz w:val="19"/>
                <w:szCs w:val="19"/>
              </w:rPr>
              <w:t>one or more returns to hospital via ED visit or readmission</w:t>
            </w:r>
            <w:r w:rsidRPr="003D12A9">
              <w:t>.</w:t>
            </w:r>
          </w:p>
        </w:tc>
      </w:tr>
    </w:tbl>
    <w:p w14:paraId="23682241"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55B9E1EB" w14:textId="77777777" w:rsidTr="00E70590">
        <w:tc>
          <w:tcPr>
            <w:tcW w:w="0" w:type="auto"/>
            <w:hideMark/>
          </w:tcPr>
          <w:p w14:paraId="6CF6DE45" w14:textId="77777777" w:rsidR="00246AB7" w:rsidRPr="003D12A9" w:rsidRDefault="00246AB7" w:rsidP="00413E5B">
            <w:bookmarkStart w:id="36" w:name="54"/>
            <w:bookmarkEnd w:id="36"/>
            <w:r w:rsidRPr="003D12A9">
              <w:t>Nurse and patient descriptive data were collected to compare first and second sample characteristics. RN descriptive data included years of experience as an RN and level of education-which were self-reported by the nurse at the end of the RN-RHDS form. Patient descriptive data included age in years, gender, ethnicity (Hispanic), lives alone, socioeconomic status (</w:t>
            </w:r>
            <w:hyperlink r:id="rId36" w:anchor="96" w:history="1">
              <w:r w:rsidRPr="003D12A9">
                <w:rPr>
                  <w:rStyle w:val="Hyperlink"/>
                  <w:rFonts w:eastAsiaTheme="majorEastAsia" w:cstheme="minorHAnsi"/>
                  <w:color w:val="0768A9"/>
                  <w:sz w:val="19"/>
                  <w:szCs w:val="19"/>
                </w:rPr>
                <w:t>Hollingshead, 1975</w:t>
              </w:r>
            </w:hyperlink>
            <w:r w:rsidRPr="003D12A9">
              <w:t>), and diagnosis categorized as Major Diagnostic Category (</w:t>
            </w:r>
            <w:hyperlink r:id="rId37" w:anchor="93" w:history="1">
              <w:r w:rsidRPr="003D12A9">
                <w:rPr>
                  <w:rStyle w:val="Hyperlink"/>
                  <w:rFonts w:eastAsiaTheme="majorEastAsia" w:cstheme="minorHAnsi"/>
                  <w:color w:val="0768A9"/>
                  <w:sz w:val="19"/>
                  <w:szCs w:val="19"/>
                </w:rPr>
                <w:t>Centers for Medicare and Medicaid Services, 2017</w:t>
              </w:r>
            </w:hyperlink>
            <w:r w:rsidRPr="003D12A9">
              <w:t>).</w:t>
            </w:r>
          </w:p>
        </w:tc>
      </w:tr>
    </w:tbl>
    <w:p w14:paraId="571CE117" w14:textId="7E98EBB6" w:rsidR="00246AB7" w:rsidRPr="003D12A9" w:rsidRDefault="00246AB7" w:rsidP="00246AB7">
      <w:pPr>
        <w:shd w:val="clear" w:color="auto" w:fill="FFFFFF"/>
        <w:rPr>
          <w:rFonts w:cstheme="minorHAnsi"/>
          <w:color w:val="2D2D2D"/>
          <w:sz w:val="17"/>
          <w:szCs w:val="17"/>
        </w:rPr>
      </w:pPr>
    </w:p>
    <w:tbl>
      <w:tblPr>
        <w:tblStyle w:val="TableGridLight"/>
        <w:tblW w:w="0" w:type="auto"/>
        <w:tblLook w:val="04A0" w:firstRow="1" w:lastRow="0" w:firstColumn="1" w:lastColumn="0" w:noHBand="0" w:noVBand="1"/>
      </w:tblPr>
      <w:tblGrid>
        <w:gridCol w:w="1493"/>
      </w:tblGrid>
      <w:tr w:rsidR="00246AB7" w:rsidRPr="003D12A9" w14:paraId="754A8FB7" w14:textId="77777777" w:rsidTr="00E70590">
        <w:tc>
          <w:tcPr>
            <w:tcW w:w="0" w:type="auto"/>
            <w:hideMark/>
          </w:tcPr>
          <w:p w14:paraId="09F41EB4" w14:textId="77777777" w:rsidR="00246AB7" w:rsidRPr="003D12A9" w:rsidRDefault="00246AB7" w:rsidP="00652EFE">
            <w:pPr>
              <w:pStyle w:val="Heading2"/>
              <w:outlineLvl w:val="1"/>
              <w:divId w:val="367267590"/>
            </w:pPr>
            <w:bookmarkStart w:id="37" w:name="55"/>
            <w:bookmarkEnd w:id="37"/>
            <w:r w:rsidRPr="003D12A9">
              <w:t>Procedures</w:t>
            </w:r>
          </w:p>
        </w:tc>
      </w:tr>
    </w:tbl>
    <w:p w14:paraId="487865C0"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4DD4616B" w14:textId="77777777" w:rsidTr="00E70590">
        <w:tc>
          <w:tcPr>
            <w:tcW w:w="0" w:type="auto"/>
            <w:hideMark/>
          </w:tcPr>
          <w:p w14:paraId="4DE463C5" w14:textId="77777777" w:rsidR="00246AB7" w:rsidRPr="003D12A9" w:rsidRDefault="00246AB7" w:rsidP="00413E5B">
            <w:bookmarkStart w:id="38" w:name="56"/>
            <w:bookmarkEnd w:id="38"/>
            <w:r w:rsidRPr="003D12A9">
              <w:t>Approval for the study was obtained from the health system and university institutional review boards. Trained research assistants approached the nurses and patients for participation and obtained informed consent. Nurses completed the RN-RHDS within 4 hours before the patient's discharge from the acute care hospital.</w:t>
            </w:r>
          </w:p>
        </w:tc>
      </w:tr>
      <w:tr w:rsidR="00246AB7" w:rsidRPr="003D12A9" w14:paraId="3B5E3970" w14:textId="77777777" w:rsidTr="00E70590">
        <w:tc>
          <w:tcPr>
            <w:tcW w:w="0" w:type="auto"/>
            <w:hideMark/>
          </w:tcPr>
          <w:p w14:paraId="075DFA76" w14:textId="77777777" w:rsidR="00246AB7" w:rsidRPr="003D12A9" w:rsidRDefault="00246AB7" w:rsidP="00652EFE">
            <w:pPr>
              <w:pStyle w:val="Heading2"/>
              <w:outlineLvl w:val="1"/>
              <w:divId w:val="1933003145"/>
            </w:pPr>
            <w:bookmarkStart w:id="39" w:name="57"/>
            <w:bookmarkEnd w:id="39"/>
            <w:r w:rsidRPr="003D12A9">
              <w:t>Data Analysis</w:t>
            </w:r>
          </w:p>
        </w:tc>
      </w:tr>
    </w:tbl>
    <w:p w14:paraId="28CE5CD9"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3CB64F1C" w14:textId="77777777" w:rsidTr="00E70590">
        <w:tc>
          <w:tcPr>
            <w:tcW w:w="0" w:type="auto"/>
            <w:hideMark/>
          </w:tcPr>
          <w:p w14:paraId="71C01F0E" w14:textId="0257379F" w:rsidR="00246AB7" w:rsidRDefault="00246AB7" w:rsidP="00413E5B">
            <w:bookmarkStart w:id="40" w:name="58"/>
            <w:bookmarkEnd w:id="40"/>
            <w:r w:rsidRPr="003D12A9">
              <w:t>Descriptive statistics were calculated for RN and patient characteristics. Samples 1 and 2 were compared for similarity. </w:t>
            </w:r>
            <w:r w:rsidRPr="003D12A9">
              <w:rPr>
                <w:rStyle w:val="fulltext-it"/>
                <w:rFonts w:eastAsiaTheme="majorEastAsia" w:cstheme="minorHAnsi"/>
                <w:i/>
                <w:iCs/>
                <w:color w:val="2D2D2D"/>
                <w:sz w:val="19"/>
                <w:szCs w:val="19"/>
              </w:rPr>
              <w:t>T</w:t>
            </w:r>
            <w:r w:rsidRPr="003D12A9">
              <w:t> tests were used for nurse and patient characteristics, which were continuous measures; chi-square tests were used for categorical variables. A CFA of the RN-RHDS was used to evaluate the a priori structure derived from the PT-RHDS, and subsequently, exploratory factor analysis was used to identify alternative factor solutions. Concordance between the RN-RHDS and the PT-RHDS was calculated using correlation and cross-tabulation. Predictive validity was evaluated with logistic regression models using the RN-RHDS as the predictor variable and return to hospital within 30 days as the outcome variable, using age, gender, ethnicity, and lives alone, with Major Diagnostic Category and unit fixed effects. Similar procedures were used for analysis of a short form version of the RHDS (SPSS, version 24, Chicago, IL).</w:t>
            </w:r>
          </w:p>
          <w:p w14:paraId="66FD7A71" w14:textId="77777777" w:rsidR="00931D21" w:rsidRDefault="00931D21">
            <w:pPr>
              <w:pStyle w:val="fulltext-text"/>
              <w:spacing w:before="0" w:beforeAutospacing="0" w:after="0" w:afterAutospacing="0" w:line="336" w:lineRule="atLeast"/>
              <w:rPr>
                <w:rFonts w:asciiTheme="minorHAnsi" w:hAnsiTheme="minorHAnsi" w:cstheme="minorHAnsi"/>
                <w:color w:val="2D2D2D"/>
                <w:sz w:val="19"/>
                <w:szCs w:val="19"/>
              </w:rPr>
            </w:pPr>
          </w:p>
          <w:p w14:paraId="0FCCBE89" w14:textId="4168EFB1" w:rsidR="00124798" w:rsidRPr="003D12A9" w:rsidRDefault="00124798">
            <w:pPr>
              <w:pStyle w:val="fulltext-text"/>
              <w:spacing w:before="0" w:beforeAutospacing="0" w:after="0" w:afterAutospacing="0" w:line="336" w:lineRule="atLeast"/>
              <w:rPr>
                <w:rFonts w:asciiTheme="minorHAnsi" w:hAnsiTheme="minorHAnsi" w:cstheme="minorHAnsi"/>
                <w:color w:val="2D2D2D"/>
                <w:sz w:val="19"/>
                <w:szCs w:val="19"/>
              </w:rPr>
            </w:pPr>
          </w:p>
        </w:tc>
      </w:tr>
    </w:tbl>
    <w:p w14:paraId="23D42391" w14:textId="44BAA646" w:rsidR="00124798" w:rsidRPr="00B62775" w:rsidRDefault="00124798" w:rsidP="00B62775">
      <w:pPr>
        <w:shd w:val="clear" w:color="auto" w:fill="FFFFFF"/>
        <w:spacing w:after="0"/>
        <w:rPr>
          <w:rFonts w:cstheme="minorHAnsi"/>
          <w:color w:val="2D2D2D"/>
        </w:rPr>
      </w:pPr>
      <w:r w:rsidRPr="00124798">
        <w:rPr>
          <w:rFonts w:cstheme="minorHAnsi"/>
          <w:b/>
          <w:bCs/>
          <w:color w:val="2D2D2D"/>
        </w:rPr>
        <w:t>TABLE 1</w:t>
      </w:r>
      <w:r w:rsidRPr="00B62775">
        <w:rPr>
          <w:rFonts w:cstheme="minorHAnsi"/>
          <w:b/>
          <w:bCs/>
          <w:color w:val="2D2D2D"/>
        </w:rPr>
        <w:t xml:space="preserve"> </w:t>
      </w:r>
      <w:r w:rsidRPr="00124798">
        <w:rPr>
          <w:rFonts w:cstheme="minorHAnsi"/>
          <w:color w:val="2D2D2D"/>
        </w:rPr>
        <w:t>Registered Nurse and Patient Characteristics (</w:t>
      </w:r>
      <w:r w:rsidRPr="00124798">
        <w:rPr>
          <w:rFonts w:cstheme="minorHAnsi"/>
          <w:i/>
          <w:iCs/>
          <w:color w:val="2D2D2D"/>
        </w:rPr>
        <w:t>N</w:t>
      </w:r>
      <w:r w:rsidRPr="00124798">
        <w:rPr>
          <w:rFonts w:cstheme="minorHAnsi"/>
          <w:color w:val="2D2D2D"/>
        </w:rPr>
        <w:t> = 316 Nurse–Patient Pairs)</w:t>
      </w:r>
    </w:p>
    <w:tbl>
      <w:tblPr>
        <w:tblStyle w:val="TableGrid"/>
        <w:tblW w:w="5000" w:type="pct"/>
        <w:tblLook w:val="0020" w:firstRow="1" w:lastRow="0" w:firstColumn="0" w:lastColumn="0" w:noHBand="0" w:noVBand="0"/>
      </w:tblPr>
      <w:tblGrid>
        <w:gridCol w:w="4448"/>
        <w:gridCol w:w="2497"/>
        <w:gridCol w:w="2497"/>
        <w:gridCol w:w="628"/>
      </w:tblGrid>
      <w:tr w:rsidR="00B62775" w:rsidRPr="000C2E8A" w14:paraId="237420A6" w14:textId="77777777" w:rsidTr="00272768">
        <w:trPr>
          <w:trHeight w:val="240"/>
        </w:trPr>
        <w:tc>
          <w:tcPr>
            <w:tcW w:w="2208" w:type="pct"/>
          </w:tcPr>
          <w:p w14:paraId="3C4D290E" w14:textId="77777777" w:rsidR="00B62775" w:rsidRPr="000C2E8A" w:rsidRDefault="00B62775" w:rsidP="000C2E8A">
            <w:pPr>
              <w:pStyle w:val="NoSpacing"/>
            </w:pPr>
            <w:r w:rsidRPr="000C2E8A">
              <w:t>Characteristic</w:t>
            </w:r>
          </w:p>
        </w:tc>
        <w:tc>
          <w:tcPr>
            <w:tcW w:w="1240" w:type="pct"/>
          </w:tcPr>
          <w:p w14:paraId="772CDA05" w14:textId="77777777" w:rsidR="00B62775" w:rsidRPr="000C2E8A" w:rsidRDefault="00B62775" w:rsidP="000C2E8A">
            <w:pPr>
              <w:pStyle w:val="NoSpacing"/>
            </w:pPr>
            <w:r w:rsidRPr="000C2E8A">
              <w:t>Sample 1 (n = 162)</w:t>
            </w:r>
          </w:p>
        </w:tc>
        <w:tc>
          <w:tcPr>
            <w:tcW w:w="1240" w:type="pct"/>
          </w:tcPr>
          <w:p w14:paraId="0EB4ED27" w14:textId="77777777" w:rsidR="00B62775" w:rsidRPr="000C2E8A" w:rsidRDefault="00B62775" w:rsidP="000C2E8A">
            <w:pPr>
              <w:pStyle w:val="NoSpacing"/>
            </w:pPr>
            <w:r w:rsidRPr="000C2E8A">
              <w:t>Sample 2 (n = 154)</w:t>
            </w:r>
          </w:p>
        </w:tc>
        <w:tc>
          <w:tcPr>
            <w:tcW w:w="313" w:type="pct"/>
          </w:tcPr>
          <w:p w14:paraId="4DFAA40B" w14:textId="77777777" w:rsidR="00B62775" w:rsidRPr="000C2E8A" w:rsidRDefault="00B62775" w:rsidP="000C2E8A">
            <w:pPr>
              <w:pStyle w:val="NoSpacing"/>
            </w:pPr>
            <w:r w:rsidRPr="000C2E8A">
              <w:t>p</w:t>
            </w:r>
          </w:p>
        </w:tc>
      </w:tr>
      <w:tr w:rsidR="00B62775" w:rsidRPr="000C2E8A" w14:paraId="1C264221" w14:textId="77777777" w:rsidTr="00272768">
        <w:trPr>
          <w:trHeight w:val="282"/>
        </w:trPr>
        <w:tc>
          <w:tcPr>
            <w:tcW w:w="2208" w:type="pct"/>
          </w:tcPr>
          <w:p w14:paraId="3915544D" w14:textId="77777777" w:rsidR="00B62775" w:rsidRPr="000C2E8A" w:rsidRDefault="00B62775" w:rsidP="000C2E8A">
            <w:pPr>
              <w:pStyle w:val="NoSpacing"/>
            </w:pPr>
            <w:r w:rsidRPr="000C2E8A">
              <w:t>Patient age, mean (SD)</w:t>
            </w:r>
          </w:p>
        </w:tc>
        <w:tc>
          <w:tcPr>
            <w:tcW w:w="1240" w:type="pct"/>
          </w:tcPr>
          <w:p w14:paraId="024FD934" w14:textId="77777777" w:rsidR="00B62775" w:rsidRPr="000C2E8A" w:rsidRDefault="00B62775" w:rsidP="000C2E8A">
            <w:pPr>
              <w:pStyle w:val="NoSpacing"/>
            </w:pPr>
            <w:r w:rsidRPr="000C2E8A">
              <w:t>58.7 (17.1)</w:t>
            </w:r>
          </w:p>
        </w:tc>
        <w:tc>
          <w:tcPr>
            <w:tcW w:w="1240" w:type="pct"/>
          </w:tcPr>
          <w:p w14:paraId="4C4C6174" w14:textId="77777777" w:rsidR="00B62775" w:rsidRPr="000C2E8A" w:rsidRDefault="00B62775" w:rsidP="000C2E8A">
            <w:pPr>
              <w:pStyle w:val="NoSpacing"/>
            </w:pPr>
            <w:r w:rsidRPr="000C2E8A">
              <w:t>62.4 (14.3)</w:t>
            </w:r>
          </w:p>
        </w:tc>
        <w:tc>
          <w:tcPr>
            <w:tcW w:w="313" w:type="pct"/>
          </w:tcPr>
          <w:p w14:paraId="29437683" w14:textId="77777777" w:rsidR="00B62775" w:rsidRPr="000C2E8A" w:rsidRDefault="00B62775" w:rsidP="000C2E8A">
            <w:pPr>
              <w:pStyle w:val="NoSpacing"/>
            </w:pPr>
            <w:r w:rsidRPr="000C2E8A">
              <w:t>.00</w:t>
            </w:r>
          </w:p>
        </w:tc>
      </w:tr>
      <w:tr w:rsidR="00B62775" w:rsidRPr="000C2E8A" w14:paraId="5C84B83C" w14:textId="77777777" w:rsidTr="00272768">
        <w:trPr>
          <w:trHeight w:val="229"/>
        </w:trPr>
        <w:tc>
          <w:tcPr>
            <w:tcW w:w="2208" w:type="pct"/>
          </w:tcPr>
          <w:p w14:paraId="02C3AADB" w14:textId="77777777" w:rsidR="00B62775" w:rsidRPr="000C2E8A" w:rsidRDefault="00B62775" w:rsidP="000C2E8A">
            <w:pPr>
              <w:pStyle w:val="NoSpacing"/>
            </w:pPr>
            <w:r w:rsidRPr="000C2E8A">
              <w:t>Lives alone, n (%)</w:t>
            </w:r>
          </w:p>
        </w:tc>
        <w:tc>
          <w:tcPr>
            <w:tcW w:w="1240" w:type="pct"/>
          </w:tcPr>
          <w:p w14:paraId="277E563F" w14:textId="77777777" w:rsidR="00B62775" w:rsidRPr="000C2E8A" w:rsidRDefault="00B62775" w:rsidP="000C2E8A">
            <w:pPr>
              <w:pStyle w:val="NoSpacing"/>
            </w:pPr>
            <w:r w:rsidRPr="000C2E8A">
              <w:t>37 (22.8)</w:t>
            </w:r>
          </w:p>
        </w:tc>
        <w:tc>
          <w:tcPr>
            <w:tcW w:w="1240" w:type="pct"/>
          </w:tcPr>
          <w:p w14:paraId="34BF7BB1" w14:textId="77777777" w:rsidR="00B62775" w:rsidRPr="000C2E8A" w:rsidRDefault="00B62775" w:rsidP="000C2E8A">
            <w:pPr>
              <w:pStyle w:val="NoSpacing"/>
            </w:pPr>
            <w:r w:rsidRPr="000C2E8A">
              <w:t>62 (26.1)</w:t>
            </w:r>
          </w:p>
        </w:tc>
        <w:tc>
          <w:tcPr>
            <w:tcW w:w="313" w:type="pct"/>
          </w:tcPr>
          <w:p w14:paraId="30F906C0" w14:textId="77777777" w:rsidR="00B62775" w:rsidRPr="000C2E8A" w:rsidRDefault="00B62775" w:rsidP="000C2E8A">
            <w:pPr>
              <w:pStyle w:val="NoSpacing"/>
            </w:pPr>
            <w:r w:rsidRPr="000C2E8A">
              <w:t>.02</w:t>
            </w:r>
          </w:p>
        </w:tc>
      </w:tr>
      <w:tr w:rsidR="00B62775" w:rsidRPr="000C2E8A" w14:paraId="0512B177" w14:textId="77777777" w:rsidTr="00272768">
        <w:trPr>
          <w:trHeight w:val="229"/>
        </w:trPr>
        <w:tc>
          <w:tcPr>
            <w:tcW w:w="2208" w:type="pct"/>
          </w:tcPr>
          <w:p w14:paraId="6A9CB062" w14:textId="77777777" w:rsidR="00B62775" w:rsidRPr="000C2E8A" w:rsidRDefault="00B62775" w:rsidP="000C2E8A">
            <w:pPr>
              <w:pStyle w:val="NoSpacing"/>
            </w:pPr>
            <w:r w:rsidRPr="000C2E8A">
              <w:t>Hispanic, n (%)</w:t>
            </w:r>
          </w:p>
        </w:tc>
        <w:tc>
          <w:tcPr>
            <w:tcW w:w="1240" w:type="pct"/>
          </w:tcPr>
          <w:p w14:paraId="18279099" w14:textId="77777777" w:rsidR="00B62775" w:rsidRPr="000C2E8A" w:rsidRDefault="00B62775" w:rsidP="000C2E8A">
            <w:pPr>
              <w:pStyle w:val="NoSpacing"/>
            </w:pPr>
            <w:r w:rsidRPr="000C2E8A">
              <w:t>16 (9.9)</w:t>
            </w:r>
          </w:p>
        </w:tc>
        <w:tc>
          <w:tcPr>
            <w:tcW w:w="1240" w:type="pct"/>
          </w:tcPr>
          <w:p w14:paraId="40E2EDC3" w14:textId="77777777" w:rsidR="00B62775" w:rsidRPr="000C2E8A" w:rsidRDefault="00B62775" w:rsidP="000C2E8A">
            <w:pPr>
              <w:pStyle w:val="NoSpacing"/>
            </w:pPr>
            <w:r w:rsidRPr="000C2E8A">
              <w:t>32 (20.8)</w:t>
            </w:r>
          </w:p>
        </w:tc>
        <w:tc>
          <w:tcPr>
            <w:tcW w:w="313" w:type="pct"/>
          </w:tcPr>
          <w:p w14:paraId="5CC823CF" w14:textId="77777777" w:rsidR="00B62775" w:rsidRPr="000C2E8A" w:rsidRDefault="00B62775" w:rsidP="000C2E8A">
            <w:pPr>
              <w:pStyle w:val="NoSpacing"/>
            </w:pPr>
            <w:r w:rsidRPr="000C2E8A">
              <w:t>.00</w:t>
            </w:r>
          </w:p>
        </w:tc>
      </w:tr>
      <w:tr w:rsidR="00B62775" w:rsidRPr="000C2E8A" w14:paraId="3CBFDC05" w14:textId="77777777" w:rsidTr="00272768">
        <w:trPr>
          <w:trHeight w:val="229"/>
        </w:trPr>
        <w:tc>
          <w:tcPr>
            <w:tcW w:w="2208" w:type="pct"/>
          </w:tcPr>
          <w:p w14:paraId="392EDFF9" w14:textId="77777777" w:rsidR="00B62775" w:rsidRPr="000C2E8A" w:rsidRDefault="00B62775" w:rsidP="000C2E8A">
            <w:pPr>
              <w:pStyle w:val="NoSpacing"/>
            </w:pPr>
            <w:r w:rsidRPr="000C2E8A">
              <w:t>Sex: male, n (%)</w:t>
            </w:r>
          </w:p>
        </w:tc>
        <w:tc>
          <w:tcPr>
            <w:tcW w:w="1240" w:type="pct"/>
          </w:tcPr>
          <w:p w14:paraId="565320B5" w14:textId="77777777" w:rsidR="00B62775" w:rsidRPr="000C2E8A" w:rsidRDefault="00B62775" w:rsidP="000C2E8A">
            <w:pPr>
              <w:pStyle w:val="NoSpacing"/>
            </w:pPr>
            <w:r w:rsidRPr="000C2E8A">
              <w:t>73 (47.7)</w:t>
            </w:r>
          </w:p>
        </w:tc>
        <w:tc>
          <w:tcPr>
            <w:tcW w:w="1240" w:type="pct"/>
          </w:tcPr>
          <w:p w14:paraId="4E1AA402" w14:textId="77777777" w:rsidR="00B62775" w:rsidRPr="000C2E8A" w:rsidRDefault="00B62775" w:rsidP="000C2E8A">
            <w:pPr>
              <w:pStyle w:val="NoSpacing"/>
            </w:pPr>
            <w:r w:rsidRPr="000C2E8A">
              <w:t>50 (50.7)</w:t>
            </w:r>
          </w:p>
        </w:tc>
        <w:tc>
          <w:tcPr>
            <w:tcW w:w="313" w:type="pct"/>
          </w:tcPr>
          <w:p w14:paraId="6F12BBE9" w14:textId="77777777" w:rsidR="00B62775" w:rsidRPr="000C2E8A" w:rsidRDefault="00B62775" w:rsidP="000C2E8A">
            <w:pPr>
              <w:pStyle w:val="NoSpacing"/>
            </w:pPr>
          </w:p>
        </w:tc>
      </w:tr>
      <w:tr w:rsidR="00B62775" w:rsidRPr="000C2E8A" w14:paraId="5D0A730E" w14:textId="77777777" w:rsidTr="00272768">
        <w:trPr>
          <w:trHeight w:val="229"/>
        </w:trPr>
        <w:tc>
          <w:tcPr>
            <w:tcW w:w="2208" w:type="pct"/>
          </w:tcPr>
          <w:p w14:paraId="276887C1" w14:textId="77777777" w:rsidR="00B62775" w:rsidRPr="000C2E8A" w:rsidRDefault="00B62775" w:rsidP="000C2E8A">
            <w:pPr>
              <w:pStyle w:val="NoSpacing"/>
            </w:pPr>
            <w:r w:rsidRPr="000C2E8A">
              <w:t>Return to hospital, n (%) total</w:t>
            </w:r>
          </w:p>
        </w:tc>
        <w:tc>
          <w:tcPr>
            <w:tcW w:w="1240" w:type="pct"/>
          </w:tcPr>
          <w:p w14:paraId="702CCC14" w14:textId="77777777" w:rsidR="00B62775" w:rsidRPr="000C2E8A" w:rsidRDefault="00B62775" w:rsidP="000C2E8A">
            <w:pPr>
              <w:pStyle w:val="NoSpacing"/>
            </w:pPr>
            <w:r w:rsidRPr="000C2E8A">
              <w:t>27 (16.7)</w:t>
            </w:r>
          </w:p>
        </w:tc>
        <w:tc>
          <w:tcPr>
            <w:tcW w:w="1240" w:type="pct"/>
          </w:tcPr>
          <w:p w14:paraId="019E1AB9" w14:textId="77777777" w:rsidR="00B62775" w:rsidRPr="000C2E8A" w:rsidRDefault="00B62775" w:rsidP="000C2E8A">
            <w:pPr>
              <w:pStyle w:val="NoSpacing"/>
            </w:pPr>
            <w:r w:rsidRPr="000C2E8A">
              <w:t>55 (18.7)</w:t>
            </w:r>
          </w:p>
        </w:tc>
        <w:tc>
          <w:tcPr>
            <w:tcW w:w="313" w:type="pct"/>
          </w:tcPr>
          <w:p w14:paraId="2973DDA3" w14:textId="77777777" w:rsidR="00B62775" w:rsidRPr="000C2E8A" w:rsidRDefault="00B62775" w:rsidP="000C2E8A">
            <w:pPr>
              <w:pStyle w:val="NoSpacing"/>
            </w:pPr>
            <w:r w:rsidRPr="000C2E8A">
              <w:t>.05</w:t>
            </w:r>
          </w:p>
        </w:tc>
      </w:tr>
      <w:tr w:rsidR="00B62775" w:rsidRPr="000C2E8A" w14:paraId="5E7E9458" w14:textId="77777777" w:rsidTr="00272768">
        <w:trPr>
          <w:trHeight w:val="229"/>
        </w:trPr>
        <w:tc>
          <w:tcPr>
            <w:tcW w:w="2208" w:type="pct"/>
          </w:tcPr>
          <w:p w14:paraId="74ECD84E" w14:textId="77777777" w:rsidR="00B62775" w:rsidRPr="000C2E8A" w:rsidRDefault="00B62775" w:rsidP="000C2E8A">
            <w:pPr>
              <w:pStyle w:val="NoSpacing"/>
            </w:pPr>
            <w:r w:rsidRPr="000C2E8A">
              <w:t>Readmission</w:t>
            </w:r>
          </w:p>
        </w:tc>
        <w:tc>
          <w:tcPr>
            <w:tcW w:w="1240" w:type="pct"/>
          </w:tcPr>
          <w:p w14:paraId="3D33265E" w14:textId="77777777" w:rsidR="00B62775" w:rsidRPr="000C2E8A" w:rsidRDefault="00B62775" w:rsidP="000C2E8A">
            <w:pPr>
              <w:pStyle w:val="NoSpacing"/>
            </w:pPr>
            <w:r w:rsidRPr="000C2E8A">
              <w:t>17 (10.5)</w:t>
            </w:r>
          </w:p>
        </w:tc>
        <w:tc>
          <w:tcPr>
            <w:tcW w:w="1240" w:type="pct"/>
          </w:tcPr>
          <w:p w14:paraId="6E53ABB4" w14:textId="77777777" w:rsidR="00B62775" w:rsidRPr="000C2E8A" w:rsidRDefault="00B62775" w:rsidP="000C2E8A">
            <w:pPr>
              <w:pStyle w:val="NoSpacing"/>
            </w:pPr>
            <w:r w:rsidRPr="000C2E8A">
              <w:t>47 (16.0)</w:t>
            </w:r>
          </w:p>
        </w:tc>
        <w:tc>
          <w:tcPr>
            <w:tcW w:w="313" w:type="pct"/>
          </w:tcPr>
          <w:p w14:paraId="1AEF0424" w14:textId="77777777" w:rsidR="00B62775" w:rsidRPr="000C2E8A" w:rsidRDefault="00B62775" w:rsidP="000C2E8A">
            <w:pPr>
              <w:pStyle w:val="NoSpacing"/>
            </w:pPr>
          </w:p>
        </w:tc>
      </w:tr>
      <w:tr w:rsidR="00A17CC2" w:rsidRPr="000C2E8A" w14:paraId="56FB9104" w14:textId="77777777" w:rsidTr="00272768">
        <w:trPr>
          <w:trHeight w:val="154"/>
        </w:trPr>
        <w:tc>
          <w:tcPr>
            <w:tcW w:w="2208" w:type="pct"/>
          </w:tcPr>
          <w:p w14:paraId="647F7F76" w14:textId="6E0F60FF" w:rsidR="00A17CC2" w:rsidRPr="000C2E8A" w:rsidRDefault="00A17CC2" w:rsidP="000C2E8A">
            <w:pPr>
              <w:pStyle w:val="NoSpacing"/>
            </w:pPr>
            <w:r w:rsidRPr="000C2E8A">
              <w:t>Emergency department without readmission</w:t>
            </w:r>
          </w:p>
        </w:tc>
        <w:tc>
          <w:tcPr>
            <w:tcW w:w="1240" w:type="pct"/>
          </w:tcPr>
          <w:p w14:paraId="175454B5" w14:textId="3D613A2D" w:rsidR="00A17CC2" w:rsidRPr="000C2E8A" w:rsidRDefault="00A17CC2" w:rsidP="000C2E8A">
            <w:pPr>
              <w:pStyle w:val="NoSpacing"/>
            </w:pPr>
            <w:r w:rsidRPr="000C2E8A">
              <w:t>10 (6.2)</w:t>
            </w:r>
          </w:p>
        </w:tc>
        <w:tc>
          <w:tcPr>
            <w:tcW w:w="1240" w:type="pct"/>
          </w:tcPr>
          <w:p w14:paraId="1158C8FA" w14:textId="5C1A0A70" w:rsidR="00A17CC2" w:rsidRPr="000C2E8A" w:rsidRDefault="00A17CC2" w:rsidP="000C2E8A">
            <w:pPr>
              <w:pStyle w:val="NoSpacing"/>
            </w:pPr>
            <w:r w:rsidRPr="000C2E8A">
              <w:t>8 (2.7)</w:t>
            </w:r>
          </w:p>
        </w:tc>
        <w:tc>
          <w:tcPr>
            <w:tcW w:w="313" w:type="pct"/>
          </w:tcPr>
          <w:p w14:paraId="5112BD78" w14:textId="31352087" w:rsidR="00A17CC2" w:rsidRPr="000C2E8A" w:rsidRDefault="00A17CC2" w:rsidP="000C2E8A">
            <w:pPr>
              <w:pStyle w:val="NoSpacing"/>
            </w:pPr>
          </w:p>
        </w:tc>
      </w:tr>
      <w:tr w:rsidR="00A17CC2" w:rsidRPr="000C2E8A" w14:paraId="0F401B0E" w14:textId="77777777" w:rsidTr="00272768">
        <w:trPr>
          <w:trHeight w:val="153"/>
        </w:trPr>
        <w:tc>
          <w:tcPr>
            <w:tcW w:w="2208" w:type="pct"/>
          </w:tcPr>
          <w:p w14:paraId="6A819D91" w14:textId="211C6961" w:rsidR="00A17CC2" w:rsidRPr="000C2E8A" w:rsidRDefault="00A17CC2" w:rsidP="000C2E8A">
            <w:pPr>
              <w:pStyle w:val="NoSpacing"/>
            </w:pPr>
            <w:r w:rsidRPr="000C2E8A">
              <w:t>Registered nurse characteristics</w:t>
            </w:r>
          </w:p>
        </w:tc>
        <w:tc>
          <w:tcPr>
            <w:tcW w:w="1240" w:type="pct"/>
          </w:tcPr>
          <w:p w14:paraId="0986C561" w14:textId="77777777" w:rsidR="00A17CC2" w:rsidRPr="000C2E8A" w:rsidRDefault="00A17CC2" w:rsidP="000C2E8A">
            <w:pPr>
              <w:pStyle w:val="NoSpacing"/>
            </w:pPr>
          </w:p>
        </w:tc>
        <w:tc>
          <w:tcPr>
            <w:tcW w:w="1240" w:type="pct"/>
          </w:tcPr>
          <w:p w14:paraId="124EDDD4" w14:textId="77777777" w:rsidR="00A17CC2" w:rsidRPr="000C2E8A" w:rsidRDefault="00A17CC2" w:rsidP="000C2E8A">
            <w:pPr>
              <w:pStyle w:val="NoSpacing"/>
            </w:pPr>
          </w:p>
        </w:tc>
        <w:tc>
          <w:tcPr>
            <w:tcW w:w="313" w:type="pct"/>
          </w:tcPr>
          <w:p w14:paraId="76A0BB58" w14:textId="77777777" w:rsidR="00A17CC2" w:rsidRPr="000C2E8A" w:rsidRDefault="00A17CC2" w:rsidP="000C2E8A">
            <w:pPr>
              <w:pStyle w:val="NoSpacing"/>
            </w:pPr>
          </w:p>
        </w:tc>
      </w:tr>
      <w:tr w:rsidR="00A17CC2" w:rsidRPr="000C2E8A" w14:paraId="608CC0E2" w14:textId="77777777" w:rsidTr="00272768">
        <w:trPr>
          <w:trHeight w:val="153"/>
        </w:trPr>
        <w:tc>
          <w:tcPr>
            <w:tcW w:w="2208" w:type="pct"/>
          </w:tcPr>
          <w:p w14:paraId="295A93C5" w14:textId="03487C64" w:rsidR="00A17CC2" w:rsidRPr="000C2E8A" w:rsidRDefault="00A17CC2" w:rsidP="000C2E8A">
            <w:pPr>
              <w:pStyle w:val="NoSpacing"/>
            </w:pPr>
            <w:r w:rsidRPr="000C2E8A">
              <w:t xml:space="preserve">Years of experience, mean (SD) </w:t>
            </w:r>
          </w:p>
        </w:tc>
        <w:tc>
          <w:tcPr>
            <w:tcW w:w="1240" w:type="pct"/>
          </w:tcPr>
          <w:p w14:paraId="12E3C270" w14:textId="1DBD26A5" w:rsidR="00A17CC2" w:rsidRPr="000C2E8A" w:rsidRDefault="00A17CC2" w:rsidP="000C2E8A">
            <w:pPr>
              <w:pStyle w:val="NoSpacing"/>
            </w:pPr>
            <w:r w:rsidRPr="000C2E8A">
              <w:t>7.3 (9.4)</w:t>
            </w:r>
          </w:p>
        </w:tc>
        <w:tc>
          <w:tcPr>
            <w:tcW w:w="1240" w:type="pct"/>
          </w:tcPr>
          <w:p w14:paraId="46A6FC4F" w14:textId="35066376" w:rsidR="00A17CC2" w:rsidRPr="000C2E8A" w:rsidRDefault="00C74F67" w:rsidP="000C2E8A">
            <w:pPr>
              <w:pStyle w:val="NoSpacing"/>
            </w:pPr>
            <w:r w:rsidRPr="000C2E8A">
              <w:t>7.4 (8.7)</w:t>
            </w:r>
          </w:p>
        </w:tc>
        <w:tc>
          <w:tcPr>
            <w:tcW w:w="313" w:type="pct"/>
          </w:tcPr>
          <w:p w14:paraId="0F2A3054" w14:textId="77777777" w:rsidR="00A17CC2" w:rsidRPr="000C2E8A" w:rsidRDefault="00A17CC2" w:rsidP="000C2E8A">
            <w:pPr>
              <w:pStyle w:val="NoSpacing"/>
            </w:pPr>
          </w:p>
        </w:tc>
      </w:tr>
      <w:tr w:rsidR="00A17CC2" w:rsidRPr="000C2E8A" w14:paraId="059EB88D" w14:textId="77777777" w:rsidTr="00272768">
        <w:trPr>
          <w:trHeight w:val="153"/>
        </w:trPr>
        <w:tc>
          <w:tcPr>
            <w:tcW w:w="2208" w:type="pct"/>
          </w:tcPr>
          <w:p w14:paraId="12D08B0D" w14:textId="51037CA0" w:rsidR="00A17CC2" w:rsidRPr="000C2E8A" w:rsidRDefault="00A17CC2" w:rsidP="000C2E8A">
            <w:pPr>
              <w:pStyle w:val="NoSpacing"/>
            </w:pPr>
            <w:r w:rsidRPr="000C2E8A">
              <w:t>Nurse education, n (%)</w:t>
            </w:r>
          </w:p>
        </w:tc>
        <w:tc>
          <w:tcPr>
            <w:tcW w:w="1240" w:type="pct"/>
          </w:tcPr>
          <w:p w14:paraId="6573293E" w14:textId="77777777" w:rsidR="00A17CC2" w:rsidRPr="000C2E8A" w:rsidRDefault="00A17CC2" w:rsidP="000C2E8A">
            <w:pPr>
              <w:pStyle w:val="NoSpacing"/>
            </w:pPr>
          </w:p>
        </w:tc>
        <w:tc>
          <w:tcPr>
            <w:tcW w:w="1240" w:type="pct"/>
          </w:tcPr>
          <w:p w14:paraId="0E022038" w14:textId="77777777" w:rsidR="00A17CC2" w:rsidRPr="000C2E8A" w:rsidRDefault="00A17CC2" w:rsidP="000C2E8A">
            <w:pPr>
              <w:pStyle w:val="NoSpacing"/>
            </w:pPr>
          </w:p>
        </w:tc>
        <w:tc>
          <w:tcPr>
            <w:tcW w:w="313" w:type="pct"/>
          </w:tcPr>
          <w:p w14:paraId="029ABF04" w14:textId="5E2DA96B" w:rsidR="00A17CC2" w:rsidRPr="000C2E8A" w:rsidRDefault="00C74F67" w:rsidP="000C2E8A">
            <w:pPr>
              <w:pStyle w:val="NoSpacing"/>
            </w:pPr>
            <w:r w:rsidRPr="000C2E8A">
              <w:t>.00</w:t>
            </w:r>
          </w:p>
        </w:tc>
      </w:tr>
      <w:tr w:rsidR="00A17CC2" w:rsidRPr="000C2E8A" w14:paraId="54108BFA" w14:textId="77777777" w:rsidTr="00272768">
        <w:trPr>
          <w:trHeight w:val="153"/>
        </w:trPr>
        <w:tc>
          <w:tcPr>
            <w:tcW w:w="2208" w:type="pct"/>
          </w:tcPr>
          <w:p w14:paraId="351AA043" w14:textId="52F4FE11" w:rsidR="00A17CC2" w:rsidRPr="000C2E8A" w:rsidRDefault="00A17CC2" w:rsidP="000C2E8A">
            <w:pPr>
              <w:pStyle w:val="NoSpacing"/>
            </w:pPr>
            <w:r w:rsidRPr="000C2E8A">
              <w:t>Diploma/associate degree</w:t>
            </w:r>
          </w:p>
        </w:tc>
        <w:tc>
          <w:tcPr>
            <w:tcW w:w="1240" w:type="pct"/>
          </w:tcPr>
          <w:p w14:paraId="59830D29" w14:textId="1F1DDABB" w:rsidR="00A17CC2" w:rsidRPr="000C2E8A" w:rsidRDefault="00C74F67" w:rsidP="000C2E8A">
            <w:pPr>
              <w:pStyle w:val="NoSpacing"/>
            </w:pPr>
            <w:r w:rsidRPr="000C2E8A">
              <w:t>56 (34.6)</w:t>
            </w:r>
          </w:p>
        </w:tc>
        <w:tc>
          <w:tcPr>
            <w:tcW w:w="1240" w:type="pct"/>
          </w:tcPr>
          <w:p w14:paraId="139CBEE4" w14:textId="6255AA9F" w:rsidR="00A17CC2" w:rsidRPr="000C2E8A" w:rsidRDefault="00C74F67" w:rsidP="000C2E8A">
            <w:pPr>
              <w:pStyle w:val="NoSpacing"/>
            </w:pPr>
            <w:r w:rsidRPr="000C2E8A">
              <w:t>21 (8.8)</w:t>
            </w:r>
          </w:p>
        </w:tc>
        <w:tc>
          <w:tcPr>
            <w:tcW w:w="313" w:type="pct"/>
          </w:tcPr>
          <w:p w14:paraId="7F53FCA7" w14:textId="77777777" w:rsidR="00A17CC2" w:rsidRPr="000C2E8A" w:rsidRDefault="00A17CC2" w:rsidP="000C2E8A">
            <w:pPr>
              <w:pStyle w:val="NoSpacing"/>
            </w:pPr>
          </w:p>
        </w:tc>
      </w:tr>
      <w:tr w:rsidR="00B62775" w:rsidRPr="000C2E8A" w14:paraId="568C5690" w14:textId="77777777" w:rsidTr="00272768">
        <w:trPr>
          <w:trHeight w:val="229"/>
        </w:trPr>
        <w:tc>
          <w:tcPr>
            <w:tcW w:w="2208" w:type="pct"/>
          </w:tcPr>
          <w:p w14:paraId="0BF719ED" w14:textId="77777777" w:rsidR="00B62775" w:rsidRPr="000C2E8A" w:rsidRDefault="00B62775" w:rsidP="000C2E8A">
            <w:pPr>
              <w:pStyle w:val="NoSpacing"/>
            </w:pPr>
            <w:r w:rsidRPr="000C2E8A">
              <w:t>Bachelor’s degree</w:t>
            </w:r>
          </w:p>
        </w:tc>
        <w:tc>
          <w:tcPr>
            <w:tcW w:w="1240" w:type="pct"/>
          </w:tcPr>
          <w:p w14:paraId="21AA59EA" w14:textId="77777777" w:rsidR="00B62775" w:rsidRPr="000C2E8A" w:rsidRDefault="00B62775" w:rsidP="000C2E8A">
            <w:pPr>
              <w:pStyle w:val="NoSpacing"/>
            </w:pPr>
            <w:r w:rsidRPr="000C2E8A">
              <w:t>98 (60.5)</w:t>
            </w:r>
          </w:p>
        </w:tc>
        <w:tc>
          <w:tcPr>
            <w:tcW w:w="1240" w:type="pct"/>
          </w:tcPr>
          <w:p w14:paraId="1F481E0E" w14:textId="77777777" w:rsidR="00B62775" w:rsidRPr="000C2E8A" w:rsidRDefault="00B62775" w:rsidP="000C2E8A">
            <w:pPr>
              <w:pStyle w:val="NoSpacing"/>
            </w:pPr>
            <w:r w:rsidRPr="000C2E8A">
              <w:t>95 (39.9)</w:t>
            </w:r>
          </w:p>
        </w:tc>
        <w:tc>
          <w:tcPr>
            <w:tcW w:w="313" w:type="pct"/>
          </w:tcPr>
          <w:p w14:paraId="2CB5D3D5" w14:textId="77777777" w:rsidR="00B62775" w:rsidRPr="000C2E8A" w:rsidRDefault="00B62775" w:rsidP="000C2E8A">
            <w:pPr>
              <w:pStyle w:val="NoSpacing"/>
            </w:pPr>
          </w:p>
        </w:tc>
      </w:tr>
      <w:tr w:rsidR="00B62775" w:rsidRPr="000C2E8A" w14:paraId="2773BCE4" w14:textId="77777777" w:rsidTr="00272768">
        <w:trPr>
          <w:trHeight w:val="229"/>
        </w:trPr>
        <w:tc>
          <w:tcPr>
            <w:tcW w:w="2208" w:type="pct"/>
          </w:tcPr>
          <w:p w14:paraId="60E1B764" w14:textId="77777777" w:rsidR="00B62775" w:rsidRPr="000C2E8A" w:rsidRDefault="00B62775" w:rsidP="000C2E8A">
            <w:pPr>
              <w:pStyle w:val="NoSpacing"/>
            </w:pPr>
            <w:r w:rsidRPr="000C2E8A">
              <w:t>Graduate degree</w:t>
            </w:r>
          </w:p>
        </w:tc>
        <w:tc>
          <w:tcPr>
            <w:tcW w:w="1240" w:type="pct"/>
          </w:tcPr>
          <w:p w14:paraId="4E455271" w14:textId="77777777" w:rsidR="00B62775" w:rsidRPr="000C2E8A" w:rsidRDefault="00B62775" w:rsidP="000C2E8A">
            <w:pPr>
              <w:pStyle w:val="NoSpacing"/>
            </w:pPr>
            <w:r w:rsidRPr="000C2E8A">
              <w:t>5 (3.1)</w:t>
            </w:r>
          </w:p>
        </w:tc>
        <w:tc>
          <w:tcPr>
            <w:tcW w:w="1240" w:type="pct"/>
          </w:tcPr>
          <w:p w14:paraId="54788E18" w14:textId="77777777" w:rsidR="00B62775" w:rsidRPr="000C2E8A" w:rsidRDefault="00B62775" w:rsidP="000C2E8A">
            <w:pPr>
              <w:pStyle w:val="NoSpacing"/>
            </w:pPr>
            <w:r w:rsidRPr="000C2E8A">
              <w:t>32 (13.4)</w:t>
            </w:r>
          </w:p>
        </w:tc>
        <w:tc>
          <w:tcPr>
            <w:tcW w:w="313" w:type="pct"/>
          </w:tcPr>
          <w:p w14:paraId="2FF00EC7" w14:textId="77777777" w:rsidR="00B62775" w:rsidRPr="000C2E8A" w:rsidRDefault="00B62775" w:rsidP="000C2E8A">
            <w:pPr>
              <w:pStyle w:val="NoSpacing"/>
            </w:pPr>
          </w:p>
        </w:tc>
      </w:tr>
      <w:tr w:rsidR="00B62775" w:rsidRPr="000C2E8A" w14:paraId="2F3D5B08" w14:textId="77777777" w:rsidTr="00272768">
        <w:trPr>
          <w:trHeight w:val="206"/>
        </w:trPr>
        <w:tc>
          <w:tcPr>
            <w:tcW w:w="2208" w:type="pct"/>
          </w:tcPr>
          <w:p w14:paraId="1E222D14" w14:textId="77777777" w:rsidR="00B62775" w:rsidRPr="000C2E8A" w:rsidRDefault="00B62775" w:rsidP="000C2E8A">
            <w:pPr>
              <w:pStyle w:val="NoSpacing"/>
            </w:pPr>
            <w:r w:rsidRPr="000C2E8A">
              <w:t>Missing</w:t>
            </w:r>
          </w:p>
        </w:tc>
        <w:tc>
          <w:tcPr>
            <w:tcW w:w="1240" w:type="pct"/>
          </w:tcPr>
          <w:p w14:paraId="20281F3A" w14:textId="77777777" w:rsidR="00B62775" w:rsidRPr="000C2E8A" w:rsidRDefault="00B62775" w:rsidP="000C2E8A">
            <w:pPr>
              <w:pStyle w:val="NoSpacing"/>
            </w:pPr>
            <w:r w:rsidRPr="000C2E8A">
              <w:t>3 (1.9)</w:t>
            </w:r>
          </w:p>
        </w:tc>
        <w:tc>
          <w:tcPr>
            <w:tcW w:w="1240" w:type="pct"/>
          </w:tcPr>
          <w:p w14:paraId="3E42A812" w14:textId="77777777" w:rsidR="00B62775" w:rsidRPr="000C2E8A" w:rsidRDefault="00B62775" w:rsidP="000C2E8A">
            <w:pPr>
              <w:pStyle w:val="NoSpacing"/>
            </w:pPr>
            <w:r w:rsidRPr="000C2E8A">
              <w:t>90 (37.8)</w:t>
            </w:r>
          </w:p>
        </w:tc>
        <w:tc>
          <w:tcPr>
            <w:tcW w:w="313" w:type="pct"/>
          </w:tcPr>
          <w:p w14:paraId="1E3696A1" w14:textId="77777777" w:rsidR="00B62775" w:rsidRPr="000C2E8A" w:rsidRDefault="00B62775" w:rsidP="000C2E8A">
            <w:pPr>
              <w:pStyle w:val="NoSpacing"/>
            </w:pPr>
          </w:p>
        </w:tc>
      </w:tr>
    </w:tbl>
    <w:p w14:paraId="4789B694" w14:textId="77777777" w:rsidR="00931D21" w:rsidRPr="00124798" w:rsidRDefault="00931D21" w:rsidP="00124798">
      <w:pPr>
        <w:shd w:val="clear" w:color="auto" w:fill="FFFFFF"/>
        <w:rPr>
          <w:rFonts w:cstheme="minorHAnsi"/>
          <w:color w:val="2D2D2D"/>
          <w:sz w:val="17"/>
          <w:szCs w:val="17"/>
        </w:rPr>
      </w:pPr>
    </w:p>
    <w:p w14:paraId="3905A7A2" w14:textId="241986D3" w:rsidR="00246AB7" w:rsidRPr="003D12A9" w:rsidRDefault="00931D21" w:rsidP="00246AB7">
      <w:pPr>
        <w:shd w:val="clear" w:color="auto" w:fill="FFFFFF"/>
        <w:rPr>
          <w:rFonts w:cstheme="minorHAnsi"/>
          <w:color w:val="2D2D2D"/>
          <w:sz w:val="17"/>
          <w:szCs w:val="17"/>
        </w:rPr>
      </w:pPr>
      <w:r w:rsidRPr="00931D21">
        <w:rPr>
          <w:noProof/>
        </w:rPr>
        <w:drawing>
          <wp:inline distT="0" distB="0" distL="0" distR="0" wp14:anchorId="025604B4" wp14:editId="4B1376A0">
            <wp:extent cx="4572000" cy="2286000"/>
            <wp:effectExtent l="0" t="0" r="0" b="0"/>
            <wp:docPr id="5" name="Picture 5" descr="TABLE 1 Registered Nurse and Patient Characteristics (N = 316 Nurse–Patient P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572000" cy="2286000"/>
                    </a:xfrm>
                    <a:prstGeom prst="rect">
                      <a:avLst/>
                    </a:prstGeom>
                  </pic:spPr>
                </pic:pic>
              </a:graphicData>
            </a:graphic>
          </wp:inline>
        </w:drawing>
      </w:r>
    </w:p>
    <w:tbl>
      <w:tblPr>
        <w:tblStyle w:val="TableGridLight"/>
        <w:tblW w:w="0" w:type="auto"/>
        <w:tblLook w:val="04A0" w:firstRow="1" w:lastRow="0" w:firstColumn="1" w:lastColumn="0" w:noHBand="0" w:noVBand="1"/>
      </w:tblPr>
      <w:tblGrid>
        <w:gridCol w:w="1325"/>
      </w:tblGrid>
      <w:tr w:rsidR="00246AB7" w:rsidRPr="00652EFE" w14:paraId="05C8AF59" w14:textId="77777777" w:rsidTr="00E70590">
        <w:tc>
          <w:tcPr>
            <w:tcW w:w="0" w:type="auto"/>
            <w:hideMark/>
          </w:tcPr>
          <w:p w14:paraId="28FCD01D" w14:textId="77777777" w:rsidR="00246AB7" w:rsidRPr="00652EFE" w:rsidRDefault="00246AB7" w:rsidP="00652EFE">
            <w:pPr>
              <w:pStyle w:val="Heading1"/>
              <w:outlineLvl w:val="0"/>
              <w:divId w:val="1022626711"/>
            </w:pPr>
            <w:bookmarkStart w:id="41" w:name="59"/>
            <w:bookmarkEnd w:id="41"/>
            <w:r w:rsidRPr="00652EFE">
              <w:t>RESULTS</w:t>
            </w:r>
          </w:p>
        </w:tc>
      </w:tr>
    </w:tbl>
    <w:p w14:paraId="7EFB8F64"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626BF0" w:rsidRPr="003D12A9" w14:paraId="7827F58C" w14:textId="77777777" w:rsidTr="006576E8">
        <w:tc>
          <w:tcPr>
            <w:tcW w:w="0" w:type="auto"/>
          </w:tcPr>
          <w:p w14:paraId="3FB72CF7" w14:textId="77777777" w:rsidR="00626BF0" w:rsidRPr="003D12A9" w:rsidRDefault="00626BF0" w:rsidP="00413E5B"/>
        </w:tc>
      </w:tr>
      <w:bookmarkStart w:id="42" w:name="60"/>
      <w:bookmarkEnd w:id="42"/>
      <w:tr w:rsidR="00626BF0" w:rsidRPr="003D12A9" w14:paraId="44E8450F" w14:textId="77777777" w:rsidTr="006576E8">
        <w:tc>
          <w:tcPr>
            <w:tcW w:w="0" w:type="auto"/>
            <w:hideMark/>
          </w:tcPr>
          <w:p w14:paraId="2FBF6436" w14:textId="77777777" w:rsidR="00626BF0" w:rsidRDefault="00626BF0" w:rsidP="00413E5B">
            <w:r w:rsidRPr="003D12A9">
              <w:fldChar w:fldCharType="begin"/>
            </w:r>
            <w:r w:rsidRPr="003D12A9">
              <w:instrText xml:space="preserve"> HYPERLINK "http://0-ovidsp.dc2.ovid.com.libus.csd.mu.edu/sp-4.02.1a/ovidweb.cgi?&amp;S=FJHIFPLBKHEBDHHCIPCKEFEHFFGPAA00&amp;Link+Set=S.sh.22.23.28.32%7c6%7csl_10&amp;Counter5=TOC_article%7c00006199-201807000-00006%7cyrovft%7covftdb%7cyrovftt" \l "TT1" </w:instrText>
            </w:r>
            <w:r w:rsidRPr="003D12A9">
              <w:fldChar w:fldCharType="separate"/>
            </w:r>
            <w:r w:rsidRPr="003D12A9">
              <w:rPr>
                <w:rStyle w:val="Hyperlink"/>
                <w:rFonts w:eastAsiaTheme="majorEastAsia" w:cstheme="minorHAnsi"/>
                <w:color w:val="0768A9"/>
                <w:sz w:val="19"/>
                <w:szCs w:val="19"/>
              </w:rPr>
              <w:t>Table 1</w:t>
            </w:r>
            <w:r w:rsidRPr="003D12A9">
              <w:fldChar w:fldCharType="end"/>
            </w:r>
            <w:r w:rsidRPr="003D12A9">
              <w:t> shows the sample demographics. In comparing Samples 1 and 2, which were from different years but the same settings, Sample 2 patients were significantly older (58.7 vs. 62.4, </w:t>
            </w:r>
            <w:r w:rsidRPr="003D12A9">
              <w:rPr>
                <w:rStyle w:val="fulltext-it"/>
                <w:rFonts w:eastAsiaTheme="majorEastAsia" w:cstheme="minorHAnsi"/>
                <w:i/>
                <w:iCs/>
                <w:color w:val="2D2D2D"/>
                <w:sz w:val="19"/>
                <w:szCs w:val="19"/>
              </w:rPr>
              <w:t>p</w:t>
            </w:r>
            <w:r w:rsidRPr="003D12A9">
              <w:t> = .00), more likely to live alone (22.8 vs. 26.1, </w:t>
            </w:r>
            <w:r w:rsidRPr="003D12A9">
              <w:rPr>
                <w:rStyle w:val="fulltext-it"/>
                <w:rFonts w:eastAsiaTheme="majorEastAsia" w:cstheme="minorHAnsi"/>
                <w:i/>
                <w:iCs/>
                <w:color w:val="2D2D2D"/>
                <w:sz w:val="19"/>
                <w:szCs w:val="19"/>
              </w:rPr>
              <w:t>p</w:t>
            </w:r>
            <w:r w:rsidRPr="003D12A9">
              <w:t> = .02), more likely to be Hispanic (9.9 vs. 20.8, </w:t>
            </w:r>
            <w:r w:rsidRPr="003D12A9">
              <w:rPr>
                <w:rStyle w:val="fulltext-it"/>
                <w:rFonts w:eastAsiaTheme="majorEastAsia" w:cstheme="minorHAnsi"/>
                <w:i/>
                <w:iCs/>
                <w:color w:val="2D2D2D"/>
                <w:sz w:val="19"/>
                <w:szCs w:val="19"/>
              </w:rPr>
              <w:t>p</w:t>
            </w:r>
            <w:r w:rsidRPr="003D12A9">
              <w:t> = .00), and more likely to return to the hospital (16.7 vs. 18.7, </w:t>
            </w:r>
            <w:r w:rsidRPr="003D12A9">
              <w:rPr>
                <w:rStyle w:val="fulltext-it"/>
                <w:rFonts w:eastAsiaTheme="majorEastAsia" w:cstheme="minorHAnsi"/>
                <w:i/>
                <w:iCs/>
                <w:color w:val="2D2D2D"/>
                <w:sz w:val="19"/>
                <w:szCs w:val="19"/>
              </w:rPr>
              <w:t>p</w:t>
            </w:r>
            <w:r w:rsidRPr="003D12A9">
              <w:t> = .05). The samples were combined for the analyses.</w:t>
            </w:r>
          </w:p>
          <w:p w14:paraId="13B8FA06" w14:textId="1351448C" w:rsidR="00626BF0" w:rsidRPr="003D12A9" w:rsidRDefault="00626BF0">
            <w:pPr>
              <w:pStyle w:val="fulltext-text"/>
              <w:spacing w:before="0" w:beforeAutospacing="0" w:after="0" w:afterAutospacing="0" w:line="336" w:lineRule="atLeast"/>
              <w:rPr>
                <w:rFonts w:asciiTheme="minorHAnsi" w:hAnsiTheme="minorHAnsi" w:cstheme="minorHAnsi"/>
                <w:color w:val="2D2D2D"/>
                <w:sz w:val="19"/>
                <w:szCs w:val="19"/>
              </w:rPr>
            </w:pPr>
          </w:p>
        </w:tc>
      </w:tr>
      <w:tr w:rsidR="00626BF0" w:rsidRPr="003D12A9" w14:paraId="0B0CC271" w14:textId="77777777" w:rsidTr="006576E8">
        <w:tc>
          <w:tcPr>
            <w:tcW w:w="0" w:type="auto"/>
            <w:hideMark/>
          </w:tcPr>
          <w:p w14:paraId="3B998193" w14:textId="77777777" w:rsidR="00626BF0" w:rsidRPr="003D12A9" w:rsidRDefault="00626BF0" w:rsidP="00923AD7">
            <w:pPr>
              <w:pStyle w:val="Heading2"/>
              <w:outlineLvl w:val="1"/>
              <w:divId w:val="1361858245"/>
            </w:pPr>
            <w:bookmarkStart w:id="43" w:name="61"/>
            <w:bookmarkEnd w:id="43"/>
            <w:r w:rsidRPr="003D12A9">
              <w:t>RN-RHDS</w:t>
            </w:r>
          </w:p>
        </w:tc>
      </w:tr>
    </w:tbl>
    <w:p w14:paraId="038C1AF5"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6FD8EE2A" w14:textId="77777777" w:rsidTr="00E70590">
        <w:tc>
          <w:tcPr>
            <w:tcW w:w="0" w:type="auto"/>
            <w:hideMark/>
          </w:tcPr>
          <w:p w14:paraId="30F2DB6F" w14:textId="77777777" w:rsidR="00246AB7" w:rsidRPr="003D12A9" w:rsidRDefault="00246AB7" w:rsidP="00413E5B">
            <w:bookmarkStart w:id="44" w:name="62"/>
            <w:bookmarkEnd w:id="44"/>
            <w:r w:rsidRPr="003D12A9">
              <w:t>Mean item scores on the 21-item RN-RHDS ranged from 7.9 to 9.2 on a 10-point Likert scale. For the total scale, Cronbach's alpha was .90. Interitem correlations ranged from .34 to .78, and there were no corrected item-total correlations of less than .3, indicating that the items were measuring related content domains.</w:t>
            </w:r>
          </w:p>
        </w:tc>
      </w:tr>
    </w:tbl>
    <w:p w14:paraId="7035ADFA"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4566E4E5" w14:textId="77777777" w:rsidTr="00E70590">
        <w:tc>
          <w:tcPr>
            <w:tcW w:w="0" w:type="auto"/>
            <w:hideMark/>
          </w:tcPr>
          <w:p w14:paraId="56603F3D" w14:textId="77777777" w:rsidR="00246AB7" w:rsidRPr="003D12A9" w:rsidRDefault="00246AB7" w:rsidP="00413E5B">
            <w:bookmarkStart w:id="45" w:name="63"/>
            <w:bookmarkEnd w:id="45"/>
            <w:r w:rsidRPr="003D12A9">
              <w:t>Subscale characteristics were evaluated through Pearson </w:t>
            </w:r>
            <w:r w:rsidRPr="003D12A9">
              <w:rPr>
                <w:rStyle w:val="fulltext-it"/>
                <w:rFonts w:eastAsiaTheme="majorEastAsia" w:cstheme="minorHAnsi"/>
                <w:i/>
                <w:iCs/>
                <w:color w:val="2D2D2D"/>
                <w:sz w:val="19"/>
                <w:szCs w:val="19"/>
              </w:rPr>
              <w:t>r</w:t>
            </w:r>
            <w:r w:rsidRPr="003D12A9">
              <w:t> interitem correlations and Cronbach's alpha coefficients. The average Pearson </w:t>
            </w:r>
            <w:r w:rsidRPr="003D12A9">
              <w:rPr>
                <w:rStyle w:val="fulltext-it"/>
                <w:rFonts w:eastAsiaTheme="majorEastAsia" w:cstheme="minorHAnsi"/>
                <w:i/>
                <w:iCs/>
                <w:color w:val="2D2D2D"/>
                <w:sz w:val="19"/>
                <w:szCs w:val="19"/>
              </w:rPr>
              <w:t>r</w:t>
            </w:r>
            <w:r w:rsidRPr="003D12A9">
              <w:t> interitem correlations for each of the subscales are as follows: Personal status subscale average was .48 (range .27-.78), Knowledge subscale average was .60 (range .35-.84), Coping Ability subscale average was .73 (range .69-.76), and Expected Support subscale average was .61 (range .41-.80). Cronbach's alpha was assessed for each of the subscales and ranged from .78 for the Personal Status subscale to .92 for the Knowledge subscale, indicating adequate reliability.</w:t>
            </w:r>
          </w:p>
        </w:tc>
      </w:tr>
      <w:tr w:rsidR="00246AB7" w:rsidRPr="003D12A9" w14:paraId="2F77EB25" w14:textId="77777777" w:rsidTr="00E70590">
        <w:tc>
          <w:tcPr>
            <w:tcW w:w="0" w:type="auto"/>
            <w:hideMark/>
          </w:tcPr>
          <w:p w14:paraId="0D05B831" w14:textId="77777777" w:rsidR="00246AB7" w:rsidRPr="003D12A9" w:rsidRDefault="00246AB7" w:rsidP="00923AD7">
            <w:pPr>
              <w:pStyle w:val="Heading2"/>
              <w:outlineLvl w:val="1"/>
              <w:divId w:val="1160851027"/>
            </w:pPr>
            <w:bookmarkStart w:id="46" w:name="64"/>
            <w:bookmarkEnd w:id="46"/>
            <w:r w:rsidRPr="003D12A9">
              <w:t>CFA of the Long-Form RN-RHDS</w:t>
            </w:r>
          </w:p>
        </w:tc>
      </w:tr>
    </w:tbl>
    <w:p w14:paraId="2684BEE3"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6EE60946" w14:textId="77777777" w:rsidTr="00E70590">
        <w:tc>
          <w:tcPr>
            <w:tcW w:w="0" w:type="auto"/>
            <w:hideMark/>
          </w:tcPr>
          <w:p w14:paraId="4D9BD924" w14:textId="77777777" w:rsidR="00246AB7" w:rsidRPr="003D12A9" w:rsidRDefault="00246AB7" w:rsidP="00413E5B">
            <w:bookmarkStart w:id="47" w:name="65"/>
            <w:bookmarkEnd w:id="47"/>
            <w:r w:rsidRPr="003D12A9">
              <w:t>A CFA using AMOS 22 (Chicago, IL) was conducted to test the fit of the RN-RHDS data to the a priori structure of the PT-RHDS. The model was specified with four latent variables representing the four subscales linked to their respective observed variables (items). The latent variables were allowed to correlate. For identification purposes, the path of one measured variable for each latent variable was set to 1 (</w:t>
            </w:r>
            <w:hyperlink r:id="rId39" w:anchor="92" w:history="1">
              <w:r w:rsidRPr="003D12A9">
                <w:rPr>
                  <w:rStyle w:val="Hyperlink"/>
                  <w:rFonts w:eastAsiaTheme="majorEastAsia" w:cstheme="minorHAnsi"/>
                  <w:color w:val="0768A9"/>
                  <w:sz w:val="19"/>
                  <w:szCs w:val="19"/>
                </w:rPr>
                <w:t xml:space="preserve">Arbuckle &amp; </w:t>
              </w:r>
              <w:proofErr w:type="spellStart"/>
              <w:r w:rsidRPr="003D12A9">
                <w:rPr>
                  <w:rStyle w:val="Hyperlink"/>
                  <w:rFonts w:eastAsiaTheme="majorEastAsia" w:cstheme="minorHAnsi"/>
                  <w:color w:val="0768A9"/>
                  <w:sz w:val="19"/>
                  <w:szCs w:val="19"/>
                </w:rPr>
                <w:t>Wothke</w:t>
              </w:r>
              <w:proofErr w:type="spellEnd"/>
              <w:r w:rsidRPr="003D12A9">
                <w:rPr>
                  <w:rStyle w:val="Hyperlink"/>
                  <w:rFonts w:eastAsiaTheme="majorEastAsia" w:cstheme="minorHAnsi"/>
                  <w:color w:val="0768A9"/>
                  <w:sz w:val="19"/>
                  <w:szCs w:val="19"/>
                </w:rPr>
                <w:t>, 1999</w:t>
              </w:r>
            </w:hyperlink>
            <w:r w:rsidRPr="003D12A9">
              <w:t>). Missing values were replaced with substitution of subject-specific mean from the related subscale if less than 20% are missing. In interpreting the model, we examined [chi]</w:t>
            </w:r>
            <w:r w:rsidRPr="003D12A9">
              <w:rPr>
                <w:vertAlign w:val="superscript"/>
              </w:rPr>
              <w:t>2</w:t>
            </w:r>
            <w:r w:rsidRPr="003D12A9">
              <w:t>, root mean square error of approximation (RMSEA), and overall fit index. Because the [chi]</w:t>
            </w:r>
            <w:r w:rsidRPr="003D12A9">
              <w:rPr>
                <w:vertAlign w:val="superscript"/>
              </w:rPr>
              <w:t>2</w:t>
            </w:r>
            <w:r w:rsidRPr="003D12A9">
              <w:t> is influenced by the sample size, we also looked at the [chi]</w:t>
            </w:r>
            <w:r w:rsidRPr="003D12A9">
              <w:rPr>
                <w:vertAlign w:val="superscript"/>
              </w:rPr>
              <w:t>2</w:t>
            </w:r>
            <w:r w:rsidRPr="003D12A9">
              <w:t> to degrees of freedom ratio, where it has been suggested that a ratio of less than either 2:1 or 3:1 indicates an acceptable fit (</w:t>
            </w:r>
            <w:hyperlink r:id="rId40" w:anchor="92" w:history="1">
              <w:r w:rsidRPr="003D12A9">
                <w:rPr>
                  <w:rStyle w:val="Hyperlink"/>
                  <w:rFonts w:eastAsiaTheme="majorEastAsia" w:cstheme="minorHAnsi"/>
                  <w:color w:val="0768A9"/>
                  <w:sz w:val="19"/>
                  <w:szCs w:val="19"/>
                </w:rPr>
                <w:t xml:space="preserve">Arbuckle &amp; </w:t>
              </w:r>
              <w:proofErr w:type="spellStart"/>
              <w:r w:rsidRPr="003D12A9">
                <w:rPr>
                  <w:rStyle w:val="Hyperlink"/>
                  <w:rFonts w:eastAsiaTheme="majorEastAsia" w:cstheme="minorHAnsi"/>
                  <w:color w:val="0768A9"/>
                  <w:sz w:val="19"/>
                  <w:szCs w:val="19"/>
                </w:rPr>
                <w:t>Wothke</w:t>
              </w:r>
              <w:proofErr w:type="spellEnd"/>
              <w:r w:rsidRPr="003D12A9">
                <w:rPr>
                  <w:rStyle w:val="Hyperlink"/>
                  <w:rFonts w:eastAsiaTheme="majorEastAsia" w:cstheme="minorHAnsi"/>
                  <w:color w:val="0768A9"/>
                  <w:sz w:val="19"/>
                  <w:szCs w:val="19"/>
                </w:rPr>
                <w:t>, 1999</w:t>
              </w:r>
            </w:hyperlink>
            <w:r w:rsidRPr="003D12A9">
              <w:t>; </w:t>
            </w:r>
            <w:hyperlink r:id="rId41" w:anchor="108" w:history="1">
              <w:r w:rsidRPr="003D12A9">
                <w:rPr>
                  <w:rStyle w:val="Hyperlink"/>
                  <w:rFonts w:eastAsiaTheme="majorEastAsia" w:cstheme="minorHAnsi"/>
                  <w:color w:val="0768A9"/>
                  <w:sz w:val="19"/>
                  <w:szCs w:val="19"/>
                </w:rPr>
                <w:t>Ullman, 1996</w:t>
              </w:r>
            </w:hyperlink>
            <w:r w:rsidRPr="003D12A9">
              <w:t>), although others suggest that less than 5:1 ratio may represent an acceptable fit (</w:t>
            </w:r>
            <w:hyperlink r:id="rId42" w:anchor="99" w:history="1">
              <w:r w:rsidRPr="003D12A9">
                <w:rPr>
                  <w:rStyle w:val="Hyperlink"/>
                  <w:rFonts w:eastAsiaTheme="majorEastAsia" w:cstheme="minorHAnsi"/>
                  <w:color w:val="0768A9"/>
                  <w:sz w:val="19"/>
                  <w:szCs w:val="19"/>
                </w:rPr>
                <w:t>Kline, 2004</w:t>
              </w:r>
            </w:hyperlink>
            <w:r w:rsidRPr="003D12A9">
              <w:t>). We considered the following general "guidelines" that an RMSEA of less than .05 indicates a "good fit" and an RMSEA of less than .08 indicates an "acceptable fit" (</w:t>
            </w:r>
            <w:hyperlink r:id="rId43" w:anchor="101" w:history="1">
              <w:r w:rsidRPr="003D12A9">
                <w:rPr>
                  <w:rStyle w:val="Hyperlink"/>
                  <w:rFonts w:eastAsiaTheme="majorEastAsia" w:cstheme="minorHAnsi"/>
                  <w:color w:val="0768A9"/>
                  <w:sz w:val="19"/>
                  <w:szCs w:val="19"/>
                </w:rPr>
                <w:t>McDonald &amp; Ho, 2002</w:t>
              </w:r>
            </w:hyperlink>
            <w:r w:rsidRPr="003D12A9">
              <w:t>), although </w:t>
            </w:r>
            <w:hyperlink r:id="rId44" w:anchor="97" w:history="1">
              <w:r w:rsidRPr="003D12A9">
                <w:rPr>
                  <w:rStyle w:val="Hyperlink"/>
                  <w:rFonts w:eastAsiaTheme="majorEastAsia" w:cstheme="minorHAnsi"/>
                  <w:color w:val="0768A9"/>
                  <w:sz w:val="19"/>
                  <w:szCs w:val="19"/>
                </w:rPr>
                <w:t xml:space="preserve">Hu and </w:t>
              </w:r>
              <w:proofErr w:type="spellStart"/>
              <w:r w:rsidRPr="003D12A9">
                <w:rPr>
                  <w:rStyle w:val="Hyperlink"/>
                  <w:rFonts w:eastAsiaTheme="majorEastAsia" w:cstheme="minorHAnsi"/>
                  <w:color w:val="0768A9"/>
                  <w:sz w:val="19"/>
                  <w:szCs w:val="19"/>
                </w:rPr>
                <w:t>Bentler</w:t>
              </w:r>
              <w:proofErr w:type="spellEnd"/>
              <w:r w:rsidRPr="003D12A9">
                <w:rPr>
                  <w:rStyle w:val="Hyperlink"/>
                  <w:rFonts w:eastAsiaTheme="majorEastAsia" w:cstheme="minorHAnsi"/>
                  <w:color w:val="0768A9"/>
                  <w:sz w:val="19"/>
                  <w:szCs w:val="19"/>
                </w:rPr>
                <w:t xml:space="preserve"> (1999)</w:t>
              </w:r>
            </w:hyperlink>
            <w:r w:rsidRPr="003D12A9">
              <w:t> suggest .06 for a "good fit." Goodness of fit indices (such as comparative fit index [CFI]) should generally be larger than .90 (</w:t>
            </w:r>
            <w:hyperlink r:id="rId45" w:anchor="97" w:history="1">
              <w:r w:rsidRPr="003D12A9">
                <w:rPr>
                  <w:rStyle w:val="Hyperlink"/>
                  <w:rFonts w:eastAsiaTheme="majorEastAsia" w:cstheme="minorHAnsi"/>
                  <w:color w:val="0768A9"/>
                  <w:sz w:val="19"/>
                  <w:szCs w:val="19"/>
                </w:rPr>
                <w:t xml:space="preserve">Hu &amp; </w:t>
              </w:r>
              <w:proofErr w:type="spellStart"/>
              <w:r w:rsidRPr="003D12A9">
                <w:rPr>
                  <w:rStyle w:val="Hyperlink"/>
                  <w:rFonts w:eastAsiaTheme="majorEastAsia" w:cstheme="minorHAnsi"/>
                  <w:color w:val="0768A9"/>
                  <w:sz w:val="19"/>
                  <w:szCs w:val="19"/>
                </w:rPr>
                <w:t>Bentler</w:t>
              </w:r>
              <w:proofErr w:type="spellEnd"/>
              <w:r w:rsidRPr="003D12A9">
                <w:rPr>
                  <w:rStyle w:val="Hyperlink"/>
                  <w:rFonts w:eastAsiaTheme="majorEastAsia" w:cstheme="minorHAnsi"/>
                  <w:color w:val="0768A9"/>
                  <w:sz w:val="19"/>
                  <w:szCs w:val="19"/>
                </w:rPr>
                <w:t>, 1999</w:t>
              </w:r>
            </w:hyperlink>
            <w:r w:rsidRPr="003D12A9">
              <w:t>; </w:t>
            </w:r>
            <w:hyperlink r:id="rId46" w:anchor="101" w:history="1">
              <w:r w:rsidRPr="003D12A9">
                <w:rPr>
                  <w:rStyle w:val="Hyperlink"/>
                  <w:rFonts w:eastAsiaTheme="majorEastAsia" w:cstheme="minorHAnsi"/>
                  <w:color w:val="0768A9"/>
                  <w:sz w:val="19"/>
                  <w:szCs w:val="19"/>
                </w:rPr>
                <w:t>McDonald &amp; Ho, 2002</w:t>
              </w:r>
            </w:hyperlink>
            <w:r w:rsidRPr="003D12A9">
              <w:t>).</w:t>
            </w:r>
          </w:p>
        </w:tc>
      </w:tr>
    </w:tbl>
    <w:p w14:paraId="09FEC269"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9848"/>
        <w:gridCol w:w="222"/>
      </w:tblGrid>
      <w:tr w:rsidR="00246AB7" w:rsidRPr="003D12A9" w14:paraId="2BB71BED" w14:textId="77777777" w:rsidTr="00E70590">
        <w:tc>
          <w:tcPr>
            <w:tcW w:w="0" w:type="auto"/>
            <w:hideMark/>
          </w:tcPr>
          <w:p w14:paraId="562D070F" w14:textId="77777777" w:rsidR="00246AB7" w:rsidRDefault="00246AB7" w:rsidP="00413E5B">
            <w:bookmarkStart w:id="48" w:name="66"/>
            <w:bookmarkEnd w:id="48"/>
            <w:r w:rsidRPr="003D12A9">
              <w:t>The model resulted in a [chi]</w:t>
            </w:r>
            <w:r w:rsidRPr="003D12A9">
              <w:rPr>
                <w:vertAlign w:val="superscript"/>
              </w:rPr>
              <w:t>2</w:t>
            </w:r>
            <w:r w:rsidRPr="003D12A9">
              <w:t>(183) = 805.37, </w:t>
            </w:r>
            <w:r w:rsidRPr="003D12A9">
              <w:rPr>
                <w:rStyle w:val="fulltext-it"/>
                <w:rFonts w:eastAsiaTheme="majorEastAsia" w:cstheme="minorHAnsi"/>
                <w:i/>
                <w:iCs/>
                <w:color w:val="2D2D2D"/>
                <w:sz w:val="19"/>
                <w:szCs w:val="19"/>
              </w:rPr>
              <w:t>p</w:t>
            </w:r>
            <w:r w:rsidRPr="003D12A9">
              <w:t> &lt; .01, [chi]</w:t>
            </w:r>
            <w:r w:rsidRPr="003D12A9">
              <w:rPr>
                <w:vertAlign w:val="superscript"/>
              </w:rPr>
              <w:t>2</w:t>
            </w:r>
            <w:r w:rsidRPr="003D12A9">
              <w:t>/</w:t>
            </w:r>
            <w:r w:rsidRPr="003D12A9">
              <w:rPr>
                <w:rStyle w:val="fulltext-it"/>
                <w:rFonts w:eastAsiaTheme="majorEastAsia" w:cstheme="minorHAnsi"/>
                <w:i/>
                <w:iCs/>
                <w:color w:val="2D2D2D"/>
                <w:sz w:val="19"/>
                <w:szCs w:val="19"/>
              </w:rPr>
              <w:t>df</w:t>
            </w:r>
            <w:r w:rsidRPr="003D12A9">
              <w:t> ratio = 4.40, CFI = .87, and RMSEA = .10, with a 90% confidence interval of [.097, .111]. All of the items had statistically significant parameters on the a priori designated factor, </w:t>
            </w:r>
            <w:r w:rsidRPr="003D12A9">
              <w:rPr>
                <w:rStyle w:val="fulltext-it"/>
                <w:rFonts w:eastAsiaTheme="majorEastAsia" w:cstheme="minorHAnsi"/>
                <w:i/>
                <w:iCs/>
                <w:color w:val="2D2D2D"/>
                <w:sz w:val="19"/>
                <w:szCs w:val="19"/>
              </w:rPr>
              <w:t>p</w:t>
            </w:r>
            <w:r w:rsidRPr="003D12A9">
              <w:t> &lt; .01 (see </w:t>
            </w:r>
            <w:hyperlink r:id="rId47" w:anchor="TT2" w:history="1">
              <w:r w:rsidRPr="003D12A9">
                <w:rPr>
                  <w:rStyle w:val="Hyperlink"/>
                  <w:rFonts w:eastAsiaTheme="majorEastAsia" w:cstheme="minorHAnsi"/>
                  <w:color w:val="0768A9"/>
                  <w:sz w:val="19"/>
                  <w:szCs w:val="19"/>
                </w:rPr>
                <w:t>Table 2</w:t>
              </w:r>
            </w:hyperlink>
            <w:r w:rsidRPr="003D12A9">
              <w:t>), indicating that the items were situated onto the correct factors, with the exception of a single item (physical ability to care for self after discharge), which loaded on Factor 2 (Knowledge) rather than on Factor 1 (Personal Status; </w:t>
            </w:r>
            <w:hyperlink r:id="rId48" w:anchor="113" w:history="1">
              <w:r w:rsidRPr="003D12A9">
                <w:rPr>
                  <w:rStyle w:val="Hyperlink"/>
                  <w:rFonts w:eastAsiaTheme="majorEastAsia" w:cstheme="minorHAnsi"/>
                  <w:color w:val="0768A9"/>
                  <w:sz w:val="19"/>
                  <w:szCs w:val="19"/>
                </w:rPr>
                <w:t>Weiss &amp; Piacentine, 2006</w:t>
              </w:r>
            </w:hyperlink>
            <w:r w:rsidRPr="003D12A9">
              <w:t>). Correlations between factors ranged from .11 to .85 (</w:t>
            </w:r>
            <w:hyperlink r:id="rId49" w:anchor="TT2" w:history="1">
              <w:r w:rsidRPr="003D12A9">
                <w:rPr>
                  <w:rStyle w:val="Hyperlink"/>
                  <w:rFonts w:eastAsiaTheme="majorEastAsia" w:cstheme="minorHAnsi"/>
                  <w:color w:val="0768A9"/>
                  <w:sz w:val="19"/>
                  <w:szCs w:val="19"/>
                </w:rPr>
                <w:t>Table 2</w:t>
              </w:r>
            </w:hyperlink>
            <w:r w:rsidRPr="003D12A9">
              <w:t>); Personal Status correlated with Knowledge at </w:t>
            </w:r>
            <w:r w:rsidRPr="003D12A9">
              <w:rPr>
                <w:rStyle w:val="fulltext-it"/>
                <w:rFonts w:eastAsiaTheme="majorEastAsia" w:cstheme="minorHAnsi"/>
                <w:i/>
                <w:iCs/>
                <w:color w:val="2D2D2D"/>
                <w:sz w:val="19"/>
                <w:szCs w:val="19"/>
              </w:rPr>
              <w:t>r</w:t>
            </w:r>
            <w:r w:rsidRPr="003D12A9">
              <w:t> = .51 and Coping Ability at </w:t>
            </w:r>
            <w:r w:rsidRPr="003D12A9">
              <w:rPr>
                <w:rStyle w:val="fulltext-it"/>
                <w:rFonts w:eastAsiaTheme="majorEastAsia" w:cstheme="minorHAnsi"/>
                <w:i/>
                <w:iCs/>
                <w:color w:val="2D2D2D"/>
                <w:sz w:val="19"/>
                <w:szCs w:val="19"/>
              </w:rPr>
              <w:t>r</w:t>
            </w:r>
            <w:r w:rsidRPr="003D12A9">
              <w:t> = .58. Knowledge and Coping Ability were highly correlated at </w:t>
            </w:r>
            <w:r w:rsidRPr="003D12A9">
              <w:rPr>
                <w:rStyle w:val="fulltext-it"/>
                <w:rFonts w:eastAsiaTheme="majorEastAsia" w:cstheme="minorHAnsi"/>
                <w:i/>
                <w:iCs/>
                <w:color w:val="2D2D2D"/>
                <w:sz w:val="19"/>
                <w:szCs w:val="19"/>
              </w:rPr>
              <w:t>r</w:t>
            </w:r>
            <w:r w:rsidRPr="003D12A9">
              <w:t> &gt;= .80, and Expected Support had low correlations with all other factors of less than </w:t>
            </w:r>
            <w:r w:rsidRPr="003D12A9">
              <w:rPr>
                <w:rStyle w:val="fulltext-it"/>
                <w:rFonts w:eastAsiaTheme="majorEastAsia" w:cstheme="minorHAnsi"/>
                <w:i/>
                <w:iCs/>
                <w:color w:val="2D2D2D"/>
                <w:sz w:val="19"/>
                <w:szCs w:val="19"/>
              </w:rPr>
              <w:t>r</w:t>
            </w:r>
            <w:r w:rsidRPr="003D12A9">
              <w:t> = .30. Because the chi-square to degrees of freedom ratio and the RMSEA were slightly higher than ideal, the analysis progressed to exploratory factor analysis to identify a possible alternative underlying structure.</w:t>
            </w:r>
          </w:p>
          <w:p w14:paraId="0D74F2EA" w14:textId="3C6ED235" w:rsidR="0081596E" w:rsidRPr="003D12A9" w:rsidRDefault="0033247C" w:rsidP="00413E5B">
            <w:r>
              <w:rPr>
                <w:noProof/>
              </w:rPr>
              <w:drawing>
                <wp:inline distT="0" distB="0" distL="0" distR="0" wp14:anchorId="0283220F" wp14:editId="7185EE73">
                  <wp:extent cx="2155371" cy="2362050"/>
                  <wp:effectExtent l="0" t="0" r="0" b="635"/>
                  <wp:docPr id="6" name="Picture 6" descr="TABLE 2. Factor Loadings and Intercorrelations for Confirmatory and Exploratory Analysis of Long-Form Readiness for Hospital Discharge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2161111" cy="2368340"/>
                          </a:xfrm>
                          <a:prstGeom prst="rect">
                            <a:avLst/>
                          </a:prstGeom>
                        </pic:spPr>
                      </pic:pic>
                    </a:graphicData>
                  </a:graphic>
                </wp:inline>
              </w:drawing>
            </w:r>
          </w:p>
        </w:tc>
        <w:tc>
          <w:tcPr>
            <w:tcW w:w="0" w:type="auto"/>
            <w:hideMark/>
          </w:tcPr>
          <w:p w14:paraId="68C3699A" w14:textId="77777777" w:rsidR="00246AB7" w:rsidRPr="003D12A9" w:rsidRDefault="00246AB7" w:rsidP="00413E5B">
            <w:pPr>
              <w:rPr>
                <w:sz w:val="18"/>
                <w:szCs w:val="18"/>
              </w:rPr>
            </w:pPr>
          </w:p>
        </w:tc>
      </w:tr>
    </w:tbl>
    <w:p w14:paraId="2AB72AEA" w14:textId="25A66880" w:rsidR="00246AB7" w:rsidRDefault="00246AB7" w:rsidP="00246AB7">
      <w:pPr>
        <w:shd w:val="clear" w:color="auto" w:fill="FFFFFF"/>
        <w:spacing w:line="240" w:lineRule="auto"/>
        <w:rPr>
          <w:rFonts w:cstheme="minorHAnsi"/>
          <w:color w:val="2D2D2D"/>
          <w:sz w:val="17"/>
          <w:szCs w:val="17"/>
        </w:rPr>
      </w:pPr>
    </w:p>
    <w:p w14:paraId="63A4B1E1" w14:textId="71D064CF" w:rsidR="00B6555F" w:rsidRDefault="00B6555F" w:rsidP="00B6555F">
      <w:r w:rsidRPr="00B6555F">
        <w:t>TABLE 2. Factor Loadings and Intercorrelations for Confirmatory and Exploratory Analysis of</w:t>
      </w:r>
      <w:r>
        <w:t xml:space="preserve"> </w:t>
      </w:r>
      <w:r w:rsidRPr="00B6555F">
        <w:t>Long-Form Readiness for Hospital Discharge Scale</w:t>
      </w:r>
    </w:p>
    <w:tbl>
      <w:tblPr>
        <w:tblStyle w:val="TableGrid"/>
        <w:tblW w:w="0" w:type="auto"/>
        <w:tblLook w:val="04A0" w:firstRow="1" w:lastRow="0" w:firstColumn="1" w:lastColumn="0" w:noHBand="0" w:noVBand="1"/>
      </w:tblPr>
      <w:tblGrid>
        <w:gridCol w:w="2227"/>
        <w:gridCol w:w="2158"/>
        <w:gridCol w:w="796"/>
        <w:gridCol w:w="796"/>
        <w:gridCol w:w="796"/>
        <w:gridCol w:w="1705"/>
        <w:gridCol w:w="796"/>
        <w:gridCol w:w="796"/>
      </w:tblGrid>
      <w:tr w:rsidR="003B54A1" w:rsidRPr="00FB69B3" w14:paraId="4FD03447" w14:textId="77777777" w:rsidTr="00FB69B3">
        <w:tc>
          <w:tcPr>
            <w:tcW w:w="0" w:type="auto"/>
          </w:tcPr>
          <w:p w14:paraId="3E2ABC94" w14:textId="77777777" w:rsidR="003B54A1" w:rsidRPr="00FB69B3" w:rsidRDefault="003B54A1" w:rsidP="00FB69B3">
            <w:pPr>
              <w:pStyle w:val="NoSpacing"/>
              <w:rPr>
                <w:sz w:val="20"/>
                <w:szCs w:val="20"/>
              </w:rPr>
            </w:pPr>
          </w:p>
        </w:tc>
        <w:tc>
          <w:tcPr>
            <w:tcW w:w="0" w:type="auto"/>
          </w:tcPr>
          <w:p w14:paraId="0891594E" w14:textId="78337BDA" w:rsidR="003B54A1" w:rsidRPr="00FB69B3" w:rsidRDefault="00735E8C" w:rsidP="00FB69B3">
            <w:pPr>
              <w:pStyle w:val="NoSpacing"/>
              <w:rPr>
                <w:sz w:val="20"/>
                <w:szCs w:val="20"/>
              </w:rPr>
            </w:pPr>
            <w:r w:rsidRPr="00FB69B3">
              <w:rPr>
                <w:rFonts w:ascii="AdvTTa5c29dc1.B" w:hAnsi="AdvTTa5c29dc1.B" w:cs="AdvTTa5c29dc1.B"/>
                <w:color w:val="231F20"/>
                <w:sz w:val="20"/>
                <w:szCs w:val="20"/>
              </w:rPr>
              <w:t>Confirmatory standardized estimates</w:t>
            </w:r>
          </w:p>
        </w:tc>
        <w:tc>
          <w:tcPr>
            <w:tcW w:w="0" w:type="auto"/>
          </w:tcPr>
          <w:p w14:paraId="4B1BA927" w14:textId="77777777" w:rsidR="003B54A1" w:rsidRPr="00FB69B3" w:rsidRDefault="003B54A1" w:rsidP="00FB69B3">
            <w:pPr>
              <w:pStyle w:val="NoSpacing"/>
              <w:rPr>
                <w:sz w:val="20"/>
                <w:szCs w:val="20"/>
              </w:rPr>
            </w:pPr>
          </w:p>
        </w:tc>
        <w:tc>
          <w:tcPr>
            <w:tcW w:w="0" w:type="auto"/>
          </w:tcPr>
          <w:p w14:paraId="7F351043" w14:textId="77777777" w:rsidR="003B54A1" w:rsidRPr="00FB69B3" w:rsidRDefault="003B54A1" w:rsidP="00FB69B3">
            <w:pPr>
              <w:pStyle w:val="NoSpacing"/>
              <w:rPr>
                <w:sz w:val="20"/>
                <w:szCs w:val="20"/>
              </w:rPr>
            </w:pPr>
          </w:p>
        </w:tc>
        <w:tc>
          <w:tcPr>
            <w:tcW w:w="0" w:type="auto"/>
          </w:tcPr>
          <w:p w14:paraId="31BDC50A" w14:textId="77777777" w:rsidR="003B54A1" w:rsidRPr="00FB69B3" w:rsidRDefault="003B54A1" w:rsidP="00FB69B3">
            <w:pPr>
              <w:pStyle w:val="NoSpacing"/>
              <w:rPr>
                <w:sz w:val="20"/>
                <w:szCs w:val="20"/>
              </w:rPr>
            </w:pPr>
          </w:p>
        </w:tc>
        <w:tc>
          <w:tcPr>
            <w:tcW w:w="0" w:type="auto"/>
          </w:tcPr>
          <w:p w14:paraId="7C6B9CF5" w14:textId="77777777" w:rsidR="00735E8C" w:rsidRPr="00FB69B3" w:rsidRDefault="00735E8C" w:rsidP="00FB69B3">
            <w:pPr>
              <w:pStyle w:val="NoSpacing"/>
              <w:rPr>
                <w:rFonts w:ascii="AdvTTa5c29dc1.B" w:hAnsi="AdvTTa5c29dc1.B" w:cs="AdvTTa5c29dc1.B"/>
                <w:color w:val="231F20"/>
                <w:sz w:val="20"/>
                <w:szCs w:val="20"/>
              </w:rPr>
            </w:pPr>
            <w:r w:rsidRPr="00FB69B3">
              <w:rPr>
                <w:rFonts w:ascii="AdvTTa5c29dc1.B" w:hAnsi="AdvTTa5c29dc1.B" w:cs="AdvTTa5c29dc1.B"/>
                <w:color w:val="231F20"/>
                <w:sz w:val="20"/>
                <w:szCs w:val="20"/>
              </w:rPr>
              <w:t>Exploratory standardized</w:t>
            </w:r>
          </w:p>
          <w:p w14:paraId="583CDD49" w14:textId="47715425" w:rsidR="003B54A1" w:rsidRPr="00FB69B3" w:rsidRDefault="00735E8C" w:rsidP="00FB69B3">
            <w:pPr>
              <w:pStyle w:val="NoSpacing"/>
              <w:rPr>
                <w:sz w:val="20"/>
                <w:szCs w:val="20"/>
              </w:rPr>
            </w:pPr>
            <w:r w:rsidRPr="00FB69B3">
              <w:rPr>
                <w:rFonts w:ascii="AdvTTa5c29dc1.B" w:hAnsi="AdvTTa5c29dc1.B" w:cs="AdvTTa5c29dc1.B"/>
                <w:color w:val="231F20"/>
                <w:sz w:val="20"/>
                <w:szCs w:val="20"/>
              </w:rPr>
              <w:t>estimates</w:t>
            </w:r>
          </w:p>
        </w:tc>
        <w:tc>
          <w:tcPr>
            <w:tcW w:w="0" w:type="auto"/>
          </w:tcPr>
          <w:p w14:paraId="32020C64" w14:textId="77777777" w:rsidR="003B54A1" w:rsidRPr="00FB69B3" w:rsidRDefault="003B54A1" w:rsidP="00FB69B3">
            <w:pPr>
              <w:pStyle w:val="NoSpacing"/>
              <w:rPr>
                <w:sz w:val="20"/>
                <w:szCs w:val="20"/>
              </w:rPr>
            </w:pPr>
          </w:p>
        </w:tc>
        <w:tc>
          <w:tcPr>
            <w:tcW w:w="0" w:type="auto"/>
          </w:tcPr>
          <w:p w14:paraId="13A22E20" w14:textId="77777777" w:rsidR="003B54A1" w:rsidRPr="00FB69B3" w:rsidRDefault="003B54A1" w:rsidP="00FB69B3">
            <w:pPr>
              <w:pStyle w:val="NoSpacing"/>
              <w:rPr>
                <w:sz w:val="20"/>
                <w:szCs w:val="20"/>
              </w:rPr>
            </w:pPr>
          </w:p>
        </w:tc>
      </w:tr>
      <w:tr w:rsidR="003B54A1" w:rsidRPr="00FB69B3" w14:paraId="077C9B99" w14:textId="77777777" w:rsidTr="00FB69B3">
        <w:tc>
          <w:tcPr>
            <w:tcW w:w="0" w:type="auto"/>
          </w:tcPr>
          <w:p w14:paraId="0172598B" w14:textId="0E24C4C9" w:rsidR="003B54A1" w:rsidRPr="00FB69B3" w:rsidRDefault="00735E8C" w:rsidP="00FB69B3">
            <w:pPr>
              <w:pStyle w:val="NoSpacing"/>
              <w:rPr>
                <w:sz w:val="20"/>
                <w:szCs w:val="20"/>
              </w:rPr>
            </w:pPr>
            <w:r w:rsidRPr="00FB69B3">
              <w:rPr>
                <w:rFonts w:ascii="AdvTTa5c29dc1.B" w:hAnsi="AdvTTa5c29dc1.B" w:cs="AdvTTa5c29dc1.B"/>
                <w:color w:val="231F20"/>
                <w:sz w:val="20"/>
                <w:szCs w:val="20"/>
              </w:rPr>
              <w:t>Subscale/item (attribute)</w:t>
            </w:r>
          </w:p>
        </w:tc>
        <w:tc>
          <w:tcPr>
            <w:tcW w:w="0" w:type="auto"/>
          </w:tcPr>
          <w:p w14:paraId="1AE1E37E" w14:textId="2D4B6E61" w:rsidR="003B54A1" w:rsidRPr="00FB69B3" w:rsidRDefault="00735E8C" w:rsidP="00FB69B3">
            <w:pPr>
              <w:pStyle w:val="NoSpacing"/>
              <w:rPr>
                <w:sz w:val="20"/>
                <w:szCs w:val="20"/>
              </w:rPr>
            </w:pPr>
            <w:r w:rsidRPr="00FB69B3">
              <w:rPr>
                <w:rFonts w:ascii="AdvTTa5c29dc1.B" w:hAnsi="AdvTTa5c29dc1.B" w:cs="AdvTTa5c29dc1.B"/>
                <w:color w:val="231F20"/>
                <w:sz w:val="20"/>
                <w:szCs w:val="20"/>
              </w:rPr>
              <w:t xml:space="preserve">Factor 1 </w:t>
            </w:r>
          </w:p>
        </w:tc>
        <w:tc>
          <w:tcPr>
            <w:tcW w:w="0" w:type="auto"/>
          </w:tcPr>
          <w:p w14:paraId="66E122E0" w14:textId="60BF9B10" w:rsidR="003B54A1" w:rsidRPr="00FB69B3" w:rsidRDefault="00735E8C" w:rsidP="00FB69B3">
            <w:pPr>
              <w:pStyle w:val="NoSpacing"/>
              <w:rPr>
                <w:sz w:val="20"/>
                <w:szCs w:val="20"/>
              </w:rPr>
            </w:pPr>
            <w:r w:rsidRPr="00FB69B3">
              <w:rPr>
                <w:rFonts w:ascii="AdvTTa5c29dc1.B" w:hAnsi="AdvTTa5c29dc1.B" w:cs="AdvTTa5c29dc1.B"/>
                <w:color w:val="231F20"/>
                <w:sz w:val="20"/>
                <w:szCs w:val="20"/>
              </w:rPr>
              <w:t xml:space="preserve">Factor 2 </w:t>
            </w:r>
          </w:p>
        </w:tc>
        <w:tc>
          <w:tcPr>
            <w:tcW w:w="0" w:type="auto"/>
          </w:tcPr>
          <w:p w14:paraId="6603E95D" w14:textId="5ED94D5E" w:rsidR="003B54A1" w:rsidRPr="00FB69B3" w:rsidRDefault="00735E8C" w:rsidP="00FB69B3">
            <w:pPr>
              <w:pStyle w:val="NoSpacing"/>
              <w:rPr>
                <w:sz w:val="20"/>
                <w:szCs w:val="20"/>
              </w:rPr>
            </w:pPr>
            <w:r w:rsidRPr="00FB69B3">
              <w:rPr>
                <w:rFonts w:ascii="AdvTTa5c29dc1.B" w:hAnsi="AdvTTa5c29dc1.B" w:cs="AdvTTa5c29dc1.B"/>
                <w:color w:val="231F20"/>
                <w:sz w:val="20"/>
                <w:szCs w:val="20"/>
              </w:rPr>
              <w:t xml:space="preserve">Factor 3 </w:t>
            </w:r>
          </w:p>
        </w:tc>
        <w:tc>
          <w:tcPr>
            <w:tcW w:w="0" w:type="auto"/>
          </w:tcPr>
          <w:p w14:paraId="3F1C9237" w14:textId="6E87E717" w:rsidR="003B54A1" w:rsidRPr="00FB69B3" w:rsidRDefault="00735E8C" w:rsidP="00FB69B3">
            <w:pPr>
              <w:pStyle w:val="NoSpacing"/>
              <w:rPr>
                <w:sz w:val="20"/>
                <w:szCs w:val="20"/>
              </w:rPr>
            </w:pPr>
            <w:r w:rsidRPr="00FB69B3">
              <w:rPr>
                <w:rFonts w:ascii="AdvTTa5c29dc1.B" w:hAnsi="AdvTTa5c29dc1.B" w:cs="AdvTTa5c29dc1.B"/>
                <w:color w:val="231F20"/>
                <w:sz w:val="20"/>
                <w:szCs w:val="20"/>
              </w:rPr>
              <w:t xml:space="preserve">Factor 4 </w:t>
            </w:r>
          </w:p>
        </w:tc>
        <w:tc>
          <w:tcPr>
            <w:tcW w:w="0" w:type="auto"/>
          </w:tcPr>
          <w:p w14:paraId="4622245E" w14:textId="45E44D4C" w:rsidR="003B54A1" w:rsidRPr="00FB69B3" w:rsidRDefault="00735E8C" w:rsidP="00FB69B3">
            <w:pPr>
              <w:pStyle w:val="NoSpacing"/>
              <w:rPr>
                <w:sz w:val="20"/>
                <w:szCs w:val="20"/>
              </w:rPr>
            </w:pPr>
            <w:r w:rsidRPr="00FB69B3">
              <w:rPr>
                <w:rFonts w:ascii="AdvTTa5c29dc1.B" w:hAnsi="AdvTTa5c29dc1.B" w:cs="AdvTTa5c29dc1.B"/>
                <w:color w:val="231F20"/>
                <w:sz w:val="20"/>
                <w:szCs w:val="20"/>
              </w:rPr>
              <w:t xml:space="preserve">Factor 1 </w:t>
            </w:r>
          </w:p>
        </w:tc>
        <w:tc>
          <w:tcPr>
            <w:tcW w:w="0" w:type="auto"/>
          </w:tcPr>
          <w:p w14:paraId="26DA0291" w14:textId="12ABA830" w:rsidR="003B54A1" w:rsidRPr="00FB69B3" w:rsidRDefault="00735E8C" w:rsidP="00FB69B3">
            <w:pPr>
              <w:pStyle w:val="NoSpacing"/>
              <w:rPr>
                <w:sz w:val="20"/>
                <w:szCs w:val="20"/>
              </w:rPr>
            </w:pPr>
            <w:r w:rsidRPr="00FB69B3">
              <w:rPr>
                <w:rFonts w:ascii="AdvTTa5c29dc1.B" w:hAnsi="AdvTTa5c29dc1.B" w:cs="AdvTTa5c29dc1.B"/>
                <w:color w:val="231F20"/>
                <w:sz w:val="20"/>
                <w:szCs w:val="20"/>
              </w:rPr>
              <w:t xml:space="preserve">Factor </w:t>
            </w:r>
            <w:r w:rsidR="00FB69B3" w:rsidRPr="00FB69B3">
              <w:rPr>
                <w:rFonts w:ascii="AdvTTa5c29dc1.B" w:hAnsi="AdvTTa5c29dc1.B" w:cs="AdvTTa5c29dc1.B"/>
                <w:color w:val="231F20"/>
                <w:sz w:val="20"/>
                <w:szCs w:val="20"/>
              </w:rPr>
              <w:t>2</w:t>
            </w:r>
          </w:p>
        </w:tc>
        <w:tc>
          <w:tcPr>
            <w:tcW w:w="0" w:type="auto"/>
          </w:tcPr>
          <w:p w14:paraId="14A1350B" w14:textId="36FFE973" w:rsidR="003B54A1" w:rsidRPr="00FB69B3" w:rsidRDefault="00735E8C" w:rsidP="00FB69B3">
            <w:pPr>
              <w:pStyle w:val="NoSpacing"/>
              <w:rPr>
                <w:sz w:val="20"/>
                <w:szCs w:val="20"/>
              </w:rPr>
            </w:pPr>
            <w:r w:rsidRPr="00FB69B3">
              <w:rPr>
                <w:rFonts w:ascii="AdvTTa5c29dc1.B" w:hAnsi="AdvTTa5c29dc1.B" w:cs="AdvTTa5c29dc1.B"/>
                <w:color w:val="231F20"/>
                <w:sz w:val="20"/>
                <w:szCs w:val="20"/>
              </w:rPr>
              <w:t>Factor 3</w:t>
            </w:r>
          </w:p>
        </w:tc>
      </w:tr>
      <w:tr w:rsidR="003B54A1" w:rsidRPr="00FB69B3" w14:paraId="5A81950A" w14:textId="77777777" w:rsidTr="00FB69B3">
        <w:tc>
          <w:tcPr>
            <w:tcW w:w="0" w:type="auto"/>
          </w:tcPr>
          <w:p w14:paraId="526A03B0" w14:textId="438EA9E9" w:rsidR="003B54A1" w:rsidRPr="00FB69B3" w:rsidRDefault="00891E33" w:rsidP="00FB69B3">
            <w:pPr>
              <w:pStyle w:val="NoSpacing"/>
              <w:rPr>
                <w:sz w:val="20"/>
                <w:szCs w:val="20"/>
              </w:rPr>
            </w:pPr>
            <w:r w:rsidRPr="00FB69B3">
              <w:rPr>
                <w:rFonts w:ascii="AdvTT6bca5eef" w:hAnsi="AdvTT6bca5eef" w:cs="AdvTT6bca5eef"/>
                <w:color w:val="231F20"/>
                <w:sz w:val="20"/>
                <w:szCs w:val="20"/>
              </w:rPr>
              <w:t>Personal Status</w:t>
            </w:r>
          </w:p>
        </w:tc>
        <w:tc>
          <w:tcPr>
            <w:tcW w:w="0" w:type="auto"/>
          </w:tcPr>
          <w:p w14:paraId="481C5F3D" w14:textId="77777777" w:rsidR="003B54A1" w:rsidRPr="00FB69B3" w:rsidRDefault="003B54A1" w:rsidP="00FB69B3">
            <w:pPr>
              <w:pStyle w:val="NoSpacing"/>
              <w:rPr>
                <w:sz w:val="20"/>
                <w:szCs w:val="20"/>
              </w:rPr>
            </w:pPr>
          </w:p>
        </w:tc>
        <w:tc>
          <w:tcPr>
            <w:tcW w:w="0" w:type="auto"/>
          </w:tcPr>
          <w:p w14:paraId="037E7B02" w14:textId="77777777" w:rsidR="003B54A1" w:rsidRPr="00FB69B3" w:rsidRDefault="003B54A1" w:rsidP="00FB69B3">
            <w:pPr>
              <w:pStyle w:val="NoSpacing"/>
              <w:rPr>
                <w:sz w:val="20"/>
                <w:szCs w:val="20"/>
              </w:rPr>
            </w:pPr>
          </w:p>
        </w:tc>
        <w:tc>
          <w:tcPr>
            <w:tcW w:w="0" w:type="auto"/>
          </w:tcPr>
          <w:p w14:paraId="2641B905" w14:textId="77777777" w:rsidR="003B54A1" w:rsidRPr="00FB69B3" w:rsidRDefault="003B54A1" w:rsidP="00FB69B3">
            <w:pPr>
              <w:pStyle w:val="NoSpacing"/>
              <w:rPr>
                <w:sz w:val="20"/>
                <w:szCs w:val="20"/>
              </w:rPr>
            </w:pPr>
          </w:p>
        </w:tc>
        <w:tc>
          <w:tcPr>
            <w:tcW w:w="0" w:type="auto"/>
          </w:tcPr>
          <w:p w14:paraId="4263BE9F" w14:textId="77777777" w:rsidR="003B54A1" w:rsidRPr="00FB69B3" w:rsidRDefault="003B54A1" w:rsidP="00FB69B3">
            <w:pPr>
              <w:pStyle w:val="NoSpacing"/>
              <w:rPr>
                <w:sz w:val="20"/>
                <w:szCs w:val="20"/>
              </w:rPr>
            </w:pPr>
          </w:p>
        </w:tc>
        <w:tc>
          <w:tcPr>
            <w:tcW w:w="0" w:type="auto"/>
          </w:tcPr>
          <w:p w14:paraId="0794B062" w14:textId="53480BE9" w:rsidR="003B54A1" w:rsidRPr="00FB69B3" w:rsidRDefault="00FB69B3" w:rsidP="00FB69B3">
            <w:pPr>
              <w:pStyle w:val="NoSpacing"/>
              <w:rPr>
                <w:sz w:val="20"/>
                <w:szCs w:val="20"/>
              </w:rPr>
            </w:pPr>
            <w:r w:rsidRPr="00FB69B3">
              <w:rPr>
                <w:rFonts w:ascii="AdvTT6bca5eef" w:hAnsi="AdvTT6bca5eef" w:cs="AdvTT6bca5eef"/>
                <w:color w:val="231F20"/>
                <w:sz w:val="20"/>
                <w:szCs w:val="20"/>
              </w:rPr>
              <w:t>.65</w:t>
            </w:r>
          </w:p>
        </w:tc>
        <w:tc>
          <w:tcPr>
            <w:tcW w:w="0" w:type="auto"/>
          </w:tcPr>
          <w:p w14:paraId="6E3F522D" w14:textId="77777777" w:rsidR="003B54A1" w:rsidRPr="00FB69B3" w:rsidRDefault="003B54A1" w:rsidP="00FB69B3">
            <w:pPr>
              <w:pStyle w:val="NoSpacing"/>
              <w:rPr>
                <w:sz w:val="20"/>
                <w:szCs w:val="20"/>
              </w:rPr>
            </w:pPr>
          </w:p>
        </w:tc>
        <w:tc>
          <w:tcPr>
            <w:tcW w:w="0" w:type="auto"/>
          </w:tcPr>
          <w:p w14:paraId="0E40797E" w14:textId="77777777" w:rsidR="003B54A1" w:rsidRPr="00FB69B3" w:rsidRDefault="003B54A1" w:rsidP="00FB69B3">
            <w:pPr>
              <w:pStyle w:val="NoSpacing"/>
              <w:rPr>
                <w:sz w:val="20"/>
                <w:szCs w:val="20"/>
              </w:rPr>
            </w:pPr>
          </w:p>
        </w:tc>
      </w:tr>
      <w:tr w:rsidR="003B54A1" w:rsidRPr="00FB69B3" w14:paraId="55D7DA62" w14:textId="77777777" w:rsidTr="00FB69B3">
        <w:tc>
          <w:tcPr>
            <w:tcW w:w="0" w:type="auto"/>
          </w:tcPr>
          <w:p w14:paraId="383F784D" w14:textId="0B9DD3E4" w:rsidR="003B54A1" w:rsidRPr="00FB69B3" w:rsidRDefault="00891E33" w:rsidP="00FB69B3">
            <w:pPr>
              <w:pStyle w:val="NoSpacing"/>
              <w:rPr>
                <w:sz w:val="20"/>
                <w:szCs w:val="20"/>
              </w:rPr>
            </w:pPr>
            <w:r w:rsidRPr="00FB69B3">
              <w:rPr>
                <w:rFonts w:ascii="AdvTT6bca5eef" w:hAnsi="AdvTT6bca5eef" w:cs="AdvTT6bca5eef"/>
                <w:color w:val="231F20"/>
                <w:sz w:val="20"/>
                <w:szCs w:val="20"/>
              </w:rPr>
              <w:t>RN1 (physically ready)</w:t>
            </w:r>
            <w:r w:rsidRPr="00FB69B3">
              <w:rPr>
                <w:rFonts w:ascii="AdvTT6bca5eef" w:hAnsi="AdvTT6bca5eef" w:cs="AdvTT6bca5eef"/>
                <w:color w:val="231F20"/>
                <w:sz w:val="20"/>
                <w:szCs w:val="20"/>
                <w:vertAlign w:val="superscript"/>
              </w:rPr>
              <w:t>a</w:t>
            </w:r>
            <w:r w:rsidRPr="00FB69B3">
              <w:rPr>
                <w:rFonts w:ascii="AdvTT6bca5eef" w:hAnsi="AdvTT6bca5eef" w:cs="AdvTT6bca5eef"/>
                <w:color w:val="231F20"/>
                <w:sz w:val="20"/>
                <w:szCs w:val="20"/>
              </w:rPr>
              <w:t xml:space="preserve"> </w:t>
            </w:r>
          </w:p>
        </w:tc>
        <w:tc>
          <w:tcPr>
            <w:tcW w:w="0" w:type="auto"/>
          </w:tcPr>
          <w:p w14:paraId="75F6E960" w14:textId="4DD08340" w:rsidR="003B54A1" w:rsidRPr="00FB69B3" w:rsidRDefault="00FB69B3" w:rsidP="00FB69B3">
            <w:pPr>
              <w:pStyle w:val="NoSpacing"/>
              <w:rPr>
                <w:sz w:val="20"/>
                <w:szCs w:val="20"/>
              </w:rPr>
            </w:pPr>
            <w:r w:rsidRPr="00FB69B3">
              <w:rPr>
                <w:rFonts w:ascii="AdvTT6bca5eef" w:hAnsi="AdvTT6bca5eef" w:cs="AdvTT6bca5eef"/>
                <w:color w:val="231F20"/>
                <w:sz w:val="20"/>
                <w:szCs w:val="20"/>
              </w:rPr>
              <w:t xml:space="preserve">.64 </w:t>
            </w:r>
          </w:p>
        </w:tc>
        <w:tc>
          <w:tcPr>
            <w:tcW w:w="0" w:type="auto"/>
          </w:tcPr>
          <w:p w14:paraId="1C640C0D" w14:textId="77777777" w:rsidR="003B54A1" w:rsidRPr="00FB69B3" w:rsidRDefault="003B54A1" w:rsidP="00FB69B3">
            <w:pPr>
              <w:pStyle w:val="NoSpacing"/>
              <w:rPr>
                <w:sz w:val="20"/>
                <w:szCs w:val="20"/>
              </w:rPr>
            </w:pPr>
          </w:p>
        </w:tc>
        <w:tc>
          <w:tcPr>
            <w:tcW w:w="0" w:type="auto"/>
          </w:tcPr>
          <w:p w14:paraId="452F1215" w14:textId="77777777" w:rsidR="003B54A1" w:rsidRPr="00FB69B3" w:rsidRDefault="003B54A1" w:rsidP="00FB69B3">
            <w:pPr>
              <w:pStyle w:val="NoSpacing"/>
              <w:rPr>
                <w:sz w:val="20"/>
                <w:szCs w:val="20"/>
              </w:rPr>
            </w:pPr>
          </w:p>
        </w:tc>
        <w:tc>
          <w:tcPr>
            <w:tcW w:w="0" w:type="auto"/>
          </w:tcPr>
          <w:p w14:paraId="39D594C8" w14:textId="77777777" w:rsidR="003B54A1" w:rsidRPr="00FB69B3" w:rsidRDefault="003B54A1" w:rsidP="00FB69B3">
            <w:pPr>
              <w:pStyle w:val="NoSpacing"/>
              <w:rPr>
                <w:sz w:val="20"/>
                <w:szCs w:val="20"/>
              </w:rPr>
            </w:pPr>
          </w:p>
        </w:tc>
        <w:tc>
          <w:tcPr>
            <w:tcW w:w="0" w:type="auto"/>
          </w:tcPr>
          <w:p w14:paraId="51B99EBD" w14:textId="77777777" w:rsidR="003B54A1" w:rsidRPr="00FB69B3" w:rsidRDefault="003B54A1" w:rsidP="00FB69B3">
            <w:pPr>
              <w:pStyle w:val="NoSpacing"/>
              <w:rPr>
                <w:sz w:val="20"/>
                <w:szCs w:val="20"/>
              </w:rPr>
            </w:pPr>
          </w:p>
        </w:tc>
        <w:tc>
          <w:tcPr>
            <w:tcW w:w="0" w:type="auto"/>
          </w:tcPr>
          <w:p w14:paraId="590B8995" w14:textId="77777777" w:rsidR="003B54A1" w:rsidRPr="00FB69B3" w:rsidRDefault="003B54A1" w:rsidP="00FB69B3">
            <w:pPr>
              <w:pStyle w:val="NoSpacing"/>
              <w:rPr>
                <w:sz w:val="20"/>
                <w:szCs w:val="20"/>
              </w:rPr>
            </w:pPr>
          </w:p>
        </w:tc>
        <w:tc>
          <w:tcPr>
            <w:tcW w:w="0" w:type="auto"/>
          </w:tcPr>
          <w:p w14:paraId="2AA9F990" w14:textId="77777777" w:rsidR="003B54A1" w:rsidRPr="00FB69B3" w:rsidRDefault="003B54A1" w:rsidP="00FB69B3">
            <w:pPr>
              <w:pStyle w:val="NoSpacing"/>
              <w:rPr>
                <w:sz w:val="20"/>
                <w:szCs w:val="20"/>
              </w:rPr>
            </w:pPr>
          </w:p>
        </w:tc>
      </w:tr>
      <w:tr w:rsidR="003B54A1" w:rsidRPr="00FB69B3" w14:paraId="7B463600" w14:textId="77777777" w:rsidTr="00FB69B3">
        <w:tc>
          <w:tcPr>
            <w:tcW w:w="0" w:type="auto"/>
          </w:tcPr>
          <w:p w14:paraId="54E1CFF8" w14:textId="34D99DA9" w:rsidR="003B54A1" w:rsidRPr="00FB69B3" w:rsidRDefault="00891E33" w:rsidP="00FB69B3">
            <w:pPr>
              <w:pStyle w:val="NoSpacing"/>
              <w:rPr>
                <w:sz w:val="20"/>
                <w:szCs w:val="20"/>
              </w:rPr>
            </w:pPr>
            <w:r w:rsidRPr="00FB69B3">
              <w:rPr>
                <w:rFonts w:ascii="AdvTT6bca5eef" w:hAnsi="AdvTT6bca5eef" w:cs="AdvTT6bca5eef"/>
                <w:color w:val="231F20"/>
                <w:sz w:val="20"/>
                <w:szCs w:val="20"/>
              </w:rPr>
              <w:t>RN2 (pain/discomfort)</w:t>
            </w:r>
            <w:r w:rsidRPr="00FB69B3">
              <w:rPr>
                <w:rFonts w:ascii="AdvTT6bca5eef" w:hAnsi="AdvTT6bca5eef" w:cs="AdvTT6bca5eef"/>
                <w:color w:val="231F20"/>
                <w:sz w:val="20"/>
                <w:szCs w:val="20"/>
                <w:vertAlign w:val="superscript"/>
              </w:rPr>
              <w:t xml:space="preserve">b </w:t>
            </w:r>
          </w:p>
        </w:tc>
        <w:tc>
          <w:tcPr>
            <w:tcW w:w="0" w:type="auto"/>
          </w:tcPr>
          <w:p w14:paraId="75F44C49" w14:textId="1B821A37" w:rsidR="003B54A1" w:rsidRPr="00FB69B3" w:rsidRDefault="00FB69B3" w:rsidP="00FB69B3">
            <w:pPr>
              <w:pStyle w:val="NoSpacing"/>
              <w:rPr>
                <w:sz w:val="20"/>
                <w:szCs w:val="20"/>
              </w:rPr>
            </w:pPr>
            <w:r w:rsidRPr="00FB69B3">
              <w:rPr>
                <w:rFonts w:ascii="AdvTT6bca5eef" w:hAnsi="AdvTT6bca5eef" w:cs="AdvTT6bca5eef"/>
                <w:color w:val="231F20"/>
                <w:sz w:val="20"/>
                <w:szCs w:val="20"/>
              </w:rPr>
              <w:t>.22</w:t>
            </w:r>
          </w:p>
        </w:tc>
        <w:tc>
          <w:tcPr>
            <w:tcW w:w="0" w:type="auto"/>
          </w:tcPr>
          <w:p w14:paraId="381F7BA4" w14:textId="77777777" w:rsidR="003B54A1" w:rsidRPr="00FB69B3" w:rsidRDefault="003B54A1" w:rsidP="00FB69B3">
            <w:pPr>
              <w:pStyle w:val="NoSpacing"/>
              <w:rPr>
                <w:sz w:val="20"/>
                <w:szCs w:val="20"/>
              </w:rPr>
            </w:pPr>
          </w:p>
        </w:tc>
        <w:tc>
          <w:tcPr>
            <w:tcW w:w="0" w:type="auto"/>
          </w:tcPr>
          <w:p w14:paraId="2AD70471" w14:textId="77777777" w:rsidR="003B54A1" w:rsidRPr="00FB69B3" w:rsidRDefault="003B54A1" w:rsidP="00FB69B3">
            <w:pPr>
              <w:pStyle w:val="NoSpacing"/>
              <w:rPr>
                <w:sz w:val="20"/>
                <w:szCs w:val="20"/>
              </w:rPr>
            </w:pPr>
          </w:p>
        </w:tc>
        <w:tc>
          <w:tcPr>
            <w:tcW w:w="0" w:type="auto"/>
          </w:tcPr>
          <w:p w14:paraId="15D22FEE" w14:textId="77777777" w:rsidR="003B54A1" w:rsidRPr="00FB69B3" w:rsidRDefault="003B54A1" w:rsidP="00FB69B3">
            <w:pPr>
              <w:pStyle w:val="NoSpacing"/>
              <w:rPr>
                <w:sz w:val="20"/>
                <w:szCs w:val="20"/>
              </w:rPr>
            </w:pPr>
          </w:p>
        </w:tc>
        <w:tc>
          <w:tcPr>
            <w:tcW w:w="0" w:type="auto"/>
          </w:tcPr>
          <w:p w14:paraId="3B857EE0" w14:textId="77777777" w:rsidR="003B54A1" w:rsidRPr="00FB69B3" w:rsidRDefault="003B54A1" w:rsidP="00FB69B3">
            <w:pPr>
              <w:pStyle w:val="NoSpacing"/>
              <w:rPr>
                <w:sz w:val="20"/>
                <w:szCs w:val="20"/>
              </w:rPr>
            </w:pPr>
          </w:p>
        </w:tc>
        <w:tc>
          <w:tcPr>
            <w:tcW w:w="0" w:type="auto"/>
          </w:tcPr>
          <w:p w14:paraId="0B6120CF" w14:textId="0346D1B6" w:rsidR="003B54A1" w:rsidRPr="00FB69B3" w:rsidRDefault="003B54A1" w:rsidP="00FB69B3">
            <w:pPr>
              <w:pStyle w:val="NoSpacing"/>
              <w:rPr>
                <w:sz w:val="20"/>
                <w:szCs w:val="20"/>
              </w:rPr>
            </w:pPr>
          </w:p>
        </w:tc>
        <w:tc>
          <w:tcPr>
            <w:tcW w:w="0" w:type="auto"/>
          </w:tcPr>
          <w:p w14:paraId="283458FA" w14:textId="77777777" w:rsidR="003B54A1" w:rsidRPr="00FB69B3" w:rsidRDefault="003B54A1" w:rsidP="00FB69B3">
            <w:pPr>
              <w:pStyle w:val="NoSpacing"/>
              <w:rPr>
                <w:sz w:val="20"/>
                <w:szCs w:val="20"/>
              </w:rPr>
            </w:pPr>
          </w:p>
        </w:tc>
      </w:tr>
      <w:tr w:rsidR="003B54A1" w:rsidRPr="00FB69B3" w14:paraId="32235BA2" w14:textId="77777777" w:rsidTr="00FB69B3">
        <w:tc>
          <w:tcPr>
            <w:tcW w:w="0" w:type="auto"/>
          </w:tcPr>
          <w:p w14:paraId="4F928D45" w14:textId="71F5115D" w:rsidR="003B54A1" w:rsidRPr="00FB69B3" w:rsidRDefault="00891E33" w:rsidP="00FB69B3">
            <w:pPr>
              <w:pStyle w:val="NoSpacing"/>
              <w:rPr>
                <w:sz w:val="20"/>
                <w:szCs w:val="20"/>
              </w:rPr>
            </w:pPr>
            <w:r w:rsidRPr="00FB69B3">
              <w:rPr>
                <w:rFonts w:ascii="AdvTT6bca5eef" w:hAnsi="AdvTT6bca5eef" w:cs="AdvTT6bca5eef"/>
                <w:color w:val="231F20"/>
                <w:sz w:val="20"/>
                <w:szCs w:val="20"/>
              </w:rPr>
              <w:t>RN3 (patient</w:t>
            </w:r>
            <w:r w:rsidRPr="00FB69B3">
              <w:rPr>
                <w:rFonts w:ascii="AdvTT6bca5eef+20" w:hAnsi="AdvTT6bca5eef+20" w:cs="AdvTT6bca5eef+20"/>
                <w:color w:val="231F20"/>
                <w:sz w:val="20"/>
                <w:szCs w:val="20"/>
              </w:rPr>
              <w:t>’</w:t>
            </w:r>
            <w:r w:rsidRPr="00FB69B3">
              <w:rPr>
                <w:rFonts w:ascii="AdvTT6bca5eef" w:hAnsi="AdvTT6bca5eef" w:cs="AdvTT6bca5eef"/>
                <w:color w:val="231F20"/>
                <w:sz w:val="20"/>
                <w:szCs w:val="20"/>
              </w:rPr>
              <w:t xml:space="preserve">s strength) </w:t>
            </w:r>
          </w:p>
        </w:tc>
        <w:tc>
          <w:tcPr>
            <w:tcW w:w="0" w:type="auto"/>
          </w:tcPr>
          <w:p w14:paraId="44425FDD" w14:textId="104959D9" w:rsidR="003B54A1" w:rsidRPr="00FB69B3" w:rsidRDefault="00FB69B3" w:rsidP="00FB69B3">
            <w:pPr>
              <w:pStyle w:val="NoSpacing"/>
              <w:rPr>
                <w:sz w:val="20"/>
                <w:szCs w:val="20"/>
              </w:rPr>
            </w:pPr>
            <w:r w:rsidRPr="00FB69B3">
              <w:rPr>
                <w:rFonts w:ascii="AdvTT6bca5eef" w:hAnsi="AdvTT6bca5eef" w:cs="AdvTT6bca5eef"/>
                <w:color w:val="231F20"/>
                <w:sz w:val="20"/>
                <w:szCs w:val="20"/>
              </w:rPr>
              <w:t xml:space="preserve">.86 </w:t>
            </w:r>
          </w:p>
        </w:tc>
        <w:tc>
          <w:tcPr>
            <w:tcW w:w="0" w:type="auto"/>
          </w:tcPr>
          <w:p w14:paraId="41648C48" w14:textId="77777777" w:rsidR="003B54A1" w:rsidRPr="00FB69B3" w:rsidRDefault="003B54A1" w:rsidP="00FB69B3">
            <w:pPr>
              <w:pStyle w:val="NoSpacing"/>
              <w:rPr>
                <w:sz w:val="20"/>
                <w:szCs w:val="20"/>
              </w:rPr>
            </w:pPr>
          </w:p>
        </w:tc>
        <w:tc>
          <w:tcPr>
            <w:tcW w:w="0" w:type="auto"/>
          </w:tcPr>
          <w:p w14:paraId="49668EAE" w14:textId="77777777" w:rsidR="003B54A1" w:rsidRPr="00FB69B3" w:rsidRDefault="003B54A1" w:rsidP="00FB69B3">
            <w:pPr>
              <w:pStyle w:val="NoSpacing"/>
              <w:rPr>
                <w:sz w:val="20"/>
                <w:szCs w:val="20"/>
              </w:rPr>
            </w:pPr>
          </w:p>
        </w:tc>
        <w:tc>
          <w:tcPr>
            <w:tcW w:w="0" w:type="auto"/>
          </w:tcPr>
          <w:p w14:paraId="7E7C91F5" w14:textId="77777777" w:rsidR="003B54A1" w:rsidRPr="00FB69B3" w:rsidRDefault="003B54A1" w:rsidP="00FB69B3">
            <w:pPr>
              <w:pStyle w:val="NoSpacing"/>
              <w:rPr>
                <w:sz w:val="20"/>
                <w:szCs w:val="20"/>
              </w:rPr>
            </w:pPr>
          </w:p>
        </w:tc>
        <w:tc>
          <w:tcPr>
            <w:tcW w:w="0" w:type="auto"/>
          </w:tcPr>
          <w:p w14:paraId="0BF861AA" w14:textId="77777777" w:rsidR="003B54A1" w:rsidRPr="00FB69B3" w:rsidRDefault="003B54A1" w:rsidP="00FB69B3">
            <w:pPr>
              <w:pStyle w:val="NoSpacing"/>
              <w:rPr>
                <w:sz w:val="20"/>
                <w:szCs w:val="20"/>
              </w:rPr>
            </w:pPr>
          </w:p>
        </w:tc>
        <w:tc>
          <w:tcPr>
            <w:tcW w:w="0" w:type="auto"/>
          </w:tcPr>
          <w:p w14:paraId="52C75B66" w14:textId="4EE7E8FD" w:rsidR="003B54A1" w:rsidRPr="00FB69B3" w:rsidRDefault="00FB69B3" w:rsidP="00FB69B3">
            <w:pPr>
              <w:pStyle w:val="NoSpacing"/>
              <w:rPr>
                <w:sz w:val="20"/>
                <w:szCs w:val="20"/>
              </w:rPr>
            </w:pPr>
            <w:r w:rsidRPr="00FB69B3">
              <w:rPr>
                <w:rFonts w:ascii="AdvTT6bca5eef" w:hAnsi="AdvTT6bca5eef" w:cs="AdvTT6bca5eef"/>
                <w:color w:val="231F20"/>
                <w:sz w:val="20"/>
                <w:szCs w:val="20"/>
              </w:rPr>
              <w:t>.59</w:t>
            </w:r>
          </w:p>
        </w:tc>
        <w:tc>
          <w:tcPr>
            <w:tcW w:w="0" w:type="auto"/>
          </w:tcPr>
          <w:p w14:paraId="450A2B13" w14:textId="77777777" w:rsidR="003B54A1" w:rsidRPr="00FB69B3" w:rsidRDefault="003B54A1" w:rsidP="00FB69B3">
            <w:pPr>
              <w:pStyle w:val="NoSpacing"/>
              <w:rPr>
                <w:sz w:val="20"/>
                <w:szCs w:val="20"/>
              </w:rPr>
            </w:pPr>
          </w:p>
        </w:tc>
      </w:tr>
      <w:tr w:rsidR="003B54A1" w:rsidRPr="00FB69B3" w14:paraId="3EE57D34" w14:textId="77777777" w:rsidTr="00FB69B3">
        <w:tc>
          <w:tcPr>
            <w:tcW w:w="0" w:type="auto"/>
          </w:tcPr>
          <w:p w14:paraId="117F26A1" w14:textId="2E6F0237" w:rsidR="003B54A1" w:rsidRPr="00FB69B3" w:rsidRDefault="00891E33" w:rsidP="00FB69B3">
            <w:pPr>
              <w:pStyle w:val="NoSpacing"/>
              <w:rPr>
                <w:sz w:val="20"/>
                <w:szCs w:val="20"/>
              </w:rPr>
            </w:pPr>
            <w:r w:rsidRPr="00FB69B3">
              <w:rPr>
                <w:rFonts w:ascii="AdvTT6bca5eef" w:hAnsi="AdvTT6bca5eef" w:cs="AdvTT6bca5eef"/>
                <w:color w:val="231F20"/>
                <w:sz w:val="20"/>
                <w:szCs w:val="20"/>
              </w:rPr>
              <w:t>RN4 (patient</w:t>
            </w:r>
            <w:r w:rsidRPr="00FB69B3">
              <w:rPr>
                <w:rFonts w:ascii="AdvTT6bca5eef+20" w:hAnsi="AdvTT6bca5eef+20" w:cs="AdvTT6bca5eef+20"/>
                <w:color w:val="231F20"/>
                <w:sz w:val="20"/>
                <w:szCs w:val="20"/>
              </w:rPr>
              <w:t>’</w:t>
            </w:r>
            <w:r w:rsidRPr="00FB69B3">
              <w:rPr>
                <w:rFonts w:ascii="AdvTT6bca5eef" w:hAnsi="AdvTT6bca5eef" w:cs="AdvTT6bca5eef"/>
                <w:color w:val="231F20"/>
                <w:sz w:val="20"/>
                <w:szCs w:val="20"/>
              </w:rPr>
              <w:t>s energy)</w:t>
            </w:r>
            <w:r w:rsidRPr="00FB69B3">
              <w:rPr>
                <w:rFonts w:ascii="AdvTT6bca5eef" w:hAnsi="AdvTT6bca5eef" w:cs="AdvTT6bca5eef"/>
                <w:color w:val="231F20"/>
                <w:sz w:val="20"/>
                <w:szCs w:val="20"/>
                <w:vertAlign w:val="superscript"/>
              </w:rPr>
              <w:t xml:space="preserve">a </w:t>
            </w:r>
          </w:p>
        </w:tc>
        <w:tc>
          <w:tcPr>
            <w:tcW w:w="0" w:type="auto"/>
          </w:tcPr>
          <w:p w14:paraId="55F99A9F" w14:textId="6196FAF5" w:rsidR="003B54A1" w:rsidRPr="00FB69B3" w:rsidRDefault="00FB69B3" w:rsidP="00FB69B3">
            <w:pPr>
              <w:pStyle w:val="NoSpacing"/>
              <w:rPr>
                <w:sz w:val="20"/>
                <w:szCs w:val="20"/>
              </w:rPr>
            </w:pPr>
            <w:r w:rsidRPr="00FB69B3">
              <w:rPr>
                <w:rFonts w:ascii="AdvTT6bca5eef" w:hAnsi="AdvTT6bca5eef" w:cs="AdvTT6bca5eef"/>
                <w:color w:val="231F20"/>
                <w:sz w:val="20"/>
                <w:szCs w:val="20"/>
              </w:rPr>
              <w:t xml:space="preserve">.87 </w:t>
            </w:r>
          </w:p>
        </w:tc>
        <w:tc>
          <w:tcPr>
            <w:tcW w:w="0" w:type="auto"/>
          </w:tcPr>
          <w:p w14:paraId="63AD9F13" w14:textId="77777777" w:rsidR="003B54A1" w:rsidRPr="00FB69B3" w:rsidRDefault="003B54A1" w:rsidP="00FB69B3">
            <w:pPr>
              <w:pStyle w:val="NoSpacing"/>
              <w:rPr>
                <w:sz w:val="20"/>
                <w:szCs w:val="20"/>
              </w:rPr>
            </w:pPr>
          </w:p>
        </w:tc>
        <w:tc>
          <w:tcPr>
            <w:tcW w:w="0" w:type="auto"/>
          </w:tcPr>
          <w:p w14:paraId="16BC8986" w14:textId="77777777" w:rsidR="003B54A1" w:rsidRPr="00FB69B3" w:rsidRDefault="003B54A1" w:rsidP="00FB69B3">
            <w:pPr>
              <w:pStyle w:val="NoSpacing"/>
              <w:rPr>
                <w:sz w:val="20"/>
                <w:szCs w:val="20"/>
              </w:rPr>
            </w:pPr>
          </w:p>
        </w:tc>
        <w:tc>
          <w:tcPr>
            <w:tcW w:w="0" w:type="auto"/>
          </w:tcPr>
          <w:p w14:paraId="59F4A98D" w14:textId="77777777" w:rsidR="003B54A1" w:rsidRPr="00FB69B3" w:rsidRDefault="003B54A1" w:rsidP="00FB69B3">
            <w:pPr>
              <w:pStyle w:val="NoSpacing"/>
              <w:rPr>
                <w:sz w:val="20"/>
                <w:szCs w:val="20"/>
              </w:rPr>
            </w:pPr>
          </w:p>
        </w:tc>
        <w:tc>
          <w:tcPr>
            <w:tcW w:w="0" w:type="auto"/>
          </w:tcPr>
          <w:p w14:paraId="1A197831" w14:textId="77777777" w:rsidR="003B54A1" w:rsidRPr="00FB69B3" w:rsidRDefault="003B54A1" w:rsidP="00FB69B3">
            <w:pPr>
              <w:pStyle w:val="NoSpacing"/>
              <w:rPr>
                <w:sz w:val="20"/>
                <w:szCs w:val="20"/>
              </w:rPr>
            </w:pPr>
          </w:p>
        </w:tc>
        <w:tc>
          <w:tcPr>
            <w:tcW w:w="0" w:type="auto"/>
          </w:tcPr>
          <w:p w14:paraId="5E24ADD7" w14:textId="78267379" w:rsidR="003B54A1" w:rsidRPr="00FB69B3" w:rsidRDefault="00FB69B3" w:rsidP="00FB69B3">
            <w:pPr>
              <w:pStyle w:val="NoSpacing"/>
              <w:rPr>
                <w:sz w:val="20"/>
                <w:szCs w:val="20"/>
              </w:rPr>
            </w:pPr>
            <w:r w:rsidRPr="00FB69B3">
              <w:rPr>
                <w:rFonts w:ascii="AdvTT6bca5eef" w:hAnsi="AdvTT6bca5eef" w:cs="AdvTT6bca5eef"/>
                <w:color w:val="231F20"/>
                <w:sz w:val="20"/>
                <w:szCs w:val="20"/>
              </w:rPr>
              <w:t>.67</w:t>
            </w:r>
          </w:p>
        </w:tc>
        <w:tc>
          <w:tcPr>
            <w:tcW w:w="0" w:type="auto"/>
          </w:tcPr>
          <w:p w14:paraId="402DFA3B" w14:textId="77777777" w:rsidR="003B54A1" w:rsidRPr="00FB69B3" w:rsidRDefault="003B54A1" w:rsidP="00FB69B3">
            <w:pPr>
              <w:pStyle w:val="NoSpacing"/>
              <w:rPr>
                <w:sz w:val="20"/>
                <w:szCs w:val="20"/>
              </w:rPr>
            </w:pPr>
          </w:p>
        </w:tc>
      </w:tr>
      <w:tr w:rsidR="003B54A1" w:rsidRPr="00FB69B3" w14:paraId="00174B80" w14:textId="77777777" w:rsidTr="00FB69B3">
        <w:tc>
          <w:tcPr>
            <w:tcW w:w="0" w:type="auto"/>
          </w:tcPr>
          <w:p w14:paraId="05011095" w14:textId="20AE2F4C" w:rsidR="003B54A1" w:rsidRPr="00FB69B3" w:rsidRDefault="002270DD" w:rsidP="00FB69B3">
            <w:pPr>
              <w:pStyle w:val="NoSpacing"/>
              <w:rPr>
                <w:sz w:val="20"/>
                <w:szCs w:val="20"/>
              </w:rPr>
            </w:pPr>
            <w:r w:rsidRPr="00FB69B3">
              <w:rPr>
                <w:rFonts w:ascii="AdvTT6bca5eef" w:hAnsi="AdvTT6bca5eef" w:cs="AdvTT6bca5eef"/>
                <w:color w:val="231F20"/>
                <w:sz w:val="20"/>
                <w:szCs w:val="20"/>
              </w:rPr>
              <w:t xml:space="preserve">RN5 (emotionally ready) </w:t>
            </w:r>
          </w:p>
        </w:tc>
        <w:tc>
          <w:tcPr>
            <w:tcW w:w="0" w:type="auto"/>
          </w:tcPr>
          <w:p w14:paraId="14E5CBB2" w14:textId="5A75B745" w:rsidR="003B54A1" w:rsidRPr="00FB69B3" w:rsidRDefault="00FB69B3" w:rsidP="00FB69B3">
            <w:pPr>
              <w:pStyle w:val="NoSpacing"/>
              <w:rPr>
                <w:sz w:val="20"/>
                <w:szCs w:val="20"/>
              </w:rPr>
            </w:pPr>
            <w:r w:rsidRPr="00FB69B3">
              <w:rPr>
                <w:rFonts w:ascii="AdvTT6bca5eef" w:hAnsi="AdvTT6bca5eef" w:cs="AdvTT6bca5eef"/>
                <w:color w:val="231F20"/>
                <w:sz w:val="20"/>
                <w:szCs w:val="20"/>
              </w:rPr>
              <w:t xml:space="preserve">.42 </w:t>
            </w:r>
          </w:p>
        </w:tc>
        <w:tc>
          <w:tcPr>
            <w:tcW w:w="0" w:type="auto"/>
          </w:tcPr>
          <w:p w14:paraId="4EC41B8B" w14:textId="77777777" w:rsidR="003B54A1" w:rsidRPr="00FB69B3" w:rsidRDefault="003B54A1" w:rsidP="00FB69B3">
            <w:pPr>
              <w:pStyle w:val="NoSpacing"/>
              <w:rPr>
                <w:sz w:val="20"/>
                <w:szCs w:val="20"/>
              </w:rPr>
            </w:pPr>
          </w:p>
        </w:tc>
        <w:tc>
          <w:tcPr>
            <w:tcW w:w="0" w:type="auto"/>
          </w:tcPr>
          <w:p w14:paraId="54617FF5" w14:textId="77777777" w:rsidR="003B54A1" w:rsidRPr="00FB69B3" w:rsidRDefault="003B54A1" w:rsidP="00FB69B3">
            <w:pPr>
              <w:pStyle w:val="NoSpacing"/>
              <w:rPr>
                <w:sz w:val="20"/>
                <w:szCs w:val="20"/>
              </w:rPr>
            </w:pPr>
          </w:p>
        </w:tc>
        <w:tc>
          <w:tcPr>
            <w:tcW w:w="0" w:type="auto"/>
          </w:tcPr>
          <w:p w14:paraId="3B76B963" w14:textId="77777777" w:rsidR="003B54A1" w:rsidRPr="00FB69B3" w:rsidRDefault="003B54A1" w:rsidP="00FB69B3">
            <w:pPr>
              <w:pStyle w:val="NoSpacing"/>
              <w:rPr>
                <w:sz w:val="20"/>
                <w:szCs w:val="20"/>
              </w:rPr>
            </w:pPr>
          </w:p>
        </w:tc>
        <w:tc>
          <w:tcPr>
            <w:tcW w:w="0" w:type="auto"/>
          </w:tcPr>
          <w:p w14:paraId="54B2ED92" w14:textId="7104AC81" w:rsidR="003B54A1" w:rsidRPr="00FB69B3" w:rsidRDefault="00FB69B3" w:rsidP="00FB69B3">
            <w:pPr>
              <w:pStyle w:val="NoSpacing"/>
              <w:rPr>
                <w:sz w:val="20"/>
                <w:szCs w:val="20"/>
              </w:rPr>
            </w:pPr>
            <w:r w:rsidRPr="00FB69B3">
              <w:rPr>
                <w:rFonts w:ascii="AdvTT6bca5eef" w:hAnsi="AdvTT6bca5eef" w:cs="AdvTT6bca5eef"/>
                <w:color w:val="231F20"/>
                <w:sz w:val="20"/>
                <w:szCs w:val="20"/>
              </w:rPr>
              <w:t>.48</w:t>
            </w:r>
          </w:p>
        </w:tc>
        <w:tc>
          <w:tcPr>
            <w:tcW w:w="0" w:type="auto"/>
          </w:tcPr>
          <w:p w14:paraId="6F50D560" w14:textId="77777777" w:rsidR="003B54A1" w:rsidRPr="00FB69B3" w:rsidRDefault="003B54A1" w:rsidP="00FB69B3">
            <w:pPr>
              <w:pStyle w:val="NoSpacing"/>
              <w:rPr>
                <w:sz w:val="20"/>
                <w:szCs w:val="20"/>
              </w:rPr>
            </w:pPr>
          </w:p>
        </w:tc>
        <w:tc>
          <w:tcPr>
            <w:tcW w:w="0" w:type="auto"/>
          </w:tcPr>
          <w:p w14:paraId="0B16ADD4" w14:textId="77777777" w:rsidR="003B54A1" w:rsidRPr="00FB69B3" w:rsidRDefault="003B54A1" w:rsidP="00FB69B3">
            <w:pPr>
              <w:pStyle w:val="NoSpacing"/>
              <w:rPr>
                <w:sz w:val="20"/>
                <w:szCs w:val="20"/>
              </w:rPr>
            </w:pPr>
          </w:p>
        </w:tc>
      </w:tr>
      <w:tr w:rsidR="003B54A1" w:rsidRPr="00FB69B3" w14:paraId="1FF08780" w14:textId="77777777" w:rsidTr="00FB69B3">
        <w:tc>
          <w:tcPr>
            <w:tcW w:w="0" w:type="auto"/>
          </w:tcPr>
          <w:p w14:paraId="18B82ACB" w14:textId="0FC05EBE" w:rsidR="003B54A1" w:rsidRPr="00FB69B3" w:rsidRDefault="002270DD" w:rsidP="00FB69B3">
            <w:pPr>
              <w:pStyle w:val="NoSpacing"/>
              <w:rPr>
                <w:sz w:val="20"/>
                <w:szCs w:val="20"/>
              </w:rPr>
            </w:pPr>
            <w:r w:rsidRPr="00FB69B3">
              <w:rPr>
                <w:rFonts w:ascii="AdvTT6bca5eef" w:hAnsi="AdvTT6bca5eef" w:cs="AdvTT6bca5eef"/>
                <w:color w:val="231F20"/>
                <w:sz w:val="20"/>
                <w:szCs w:val="20"/>
              </w:rPr>
              <w:t xml:space="preserve">RN6 (physical ability) </w:t>
            </w:r>
          </w:p>
        </w:tc>
        <w:tc>
          <w:tcPr>
            <w:tcW w:w="0" w:type="auto"/>
          </w:tcPr>
          <w:p w14:paraId="6C4E778D" w14:textId="77777777" w:rsidR="003B54A1" w:rsidRPr="00FB69B3" w:rsidRDefault="003B54A1" w:rsidP="00FB69B3">
            <w:pPr>
              <w:pStyle w:val="NoSpacing"/>
              <w:rPr>
                <w:sz w:val="20"/>
                <w:szCs w:val="20"/>
              </w:rPr>
            </w:pPr>
          </w:p>
        </w:tc>
        <w:tc>
          <w:tcPr>
            <w:tcW w:w="0" w:type="auto"/>
          </w:tcPr>
          <w:p w14:paraId="194D4080" w14:textId="6A36A777" w:rsidR="003B54A1" w:rsidRPr="00FB69B3" w:rsidRDefault="00FB69B3" w:rsidP="00FB69B3">
            <w:pPr>
              <w:pStyle w:val="NoSpacing"/>
              <w:rPr>
                <w:sz w:val="20"/>
                <w:szCs w:val="20"/>
              </w:rPr>
            </w:pPr>
            <w:r w:rsidRPr="00FB69B3">
              <w:rPr>
                <w:rFonts w:ascii="AdvTT6bca5eef" w:hAnsi="AdvTT6bca5eef" w:cs="AdvTT6bca5eef"/>
                <w:color w:val="231F20"/>
                <w:sz w:val="20"/>
                <w:szCs w:val="20"/>
              </w:rPr>
              <w:t xml:space="preserve">.63 </w:t>
            </w:r>
          </w:p>
        </w:tc>
        <w:tc>
          <w:tcPr>
            <w:tcW w:w="0" w:type="auto"/>
          </w:tcPr>
          <w:p w14:paraId="43B01B88" w14:textId="77777777" w:rsidR="003B54A1" w:rsidRPr="00FB69B3" w:rsidRDefault="003B54A1" w:rsidP="00FB69B3">
            <w:pPr>
              <w:pStyle w:val="NoSpacing"/>
              <w:rPr>
                <w:sz w:val="20"/>
                <w:szCs w:val="20"/>
              </w:rPr>
            </w:pPr>
          </w:p>
        </w:tc>
        <w:tc>
          <w:tcPr>
            <w:tcW w:w="0" w:type="auto"/>
          </w:tcPr>
          <w:p w14:paraId="561D109D" w14:textId="77777777" w:rsidR="003B54A1" w:rsidRPr="00FB69B3" w:rsidRDefault="003B54A1" w:rsidP="00FB69B3">
            <w:pPr>
              <w:pStyle w:val="NoSpacing"/>
              <w:rPr>
                <w:sz w:val="20"/>
                <w:szCs w:val="20"/>
              </w:rPr>
            </w:pPr>
          </w:p>
        </w:tc>
        <w:tc>
          <w:tcPr>
            <w:tcW w:w="0" w:type="auto"/>
          </w:tcPr>
          <w:p w14:paraId="34133991" w14:textId="4DC380E2" w:rsidR="003B54A1" w:rsidRPr="00FB69B3" w:rsidRDefault="00FB69B3" w:rsidP="00FB69B3">
            <w:pPr>
              <w:pStyle w:val="NoSpacing"/>
              <w:rPr>
                <w:sz w:val="20"/>
                <w:szCs w:val="20"/>
              </w:rPr>
            </w:pPr>
            <w:r w:rsidRPr="00FB69B3">
              <w:rPr>
                <w:rFonts w:ascii="AdvTT6bca5eef" w:hAnsi="AdvTT6bca5eef" w:cs="AdvTT6bca5eef"/>
                <w:color w:val="231F20"/>
                <w:sz w:val="20"/>
                <w:szCs w:val="20"/>
              </w:rPr>
              <w:t>.71</w:t>
            </w:r>
          </w:p>
        </w:tc>
        <w:tc>
          <w:tcPr>
            <w:tcW w:w="0" w:type="auto"/>
          </w:tcPr>
          <w:p w14:paraId="6094440B" w14:textId="77777777" w:rsidR="003B54A1" w:rsidRPr="00FB69B3" w:rsidRDefault="003B54A1" w:rsidP="00FB69B3">
            <w:pPr>
              <w:pStyle w:val="NoSpacing"/>
              <w:rPr>
                <w:sz w:val="20"/>
                <w:szCs w:val="20"/>
              </w:rPr>
            </w:pPr>
          </w:p>
        </w:tc>
        <w:tc>
          <w:tcPr>
            <w:tcW w:w="0" w:type="auto"/>
          </w:tcPr>
          <w:p w14:paraId="33034811" w14:textId="77777777" w:rsidR="003B54A1" w:rsidRPr="00FB69B3" w:rsidRDefault="003B54A1" w:rsidP="00FB69B3">
            <w:pPr>
              <w:pStyle w:val="NoSpacing"/>
              <w:rPr>
                <w:sz w:val="20"/>
                <w:szCs w:val="20"/>
              </w:rPr>
            </w:pPr>
          </w:p>
        </w:tc>
      </w:tr>
      <w:tr w:rsidR="003B54A1" w:rsidRPr="00FB69B3" w14:paraId="60E3BD84" w14:textId="77777777" w:rsidTr="00FB69B3">
        <w:tc>
          <w:tcPr>
            <w:tcW w:w="0" w:type="auto"/>
          </w:tcPr>
          <w:p w14:paraId="698AEC60" w14:textId="379EB93C" w:rsidR="003B54A1" w:rsidRPr="00FB69B3" w:rsidRDefault="002270DD" w:rsidP="00FB69B3">
            <w:pPr>
              <w:pStyle w:val="NoSpacing"/>
              <w:rPr>
                <w:sz w:val="20"/>
                <w:szCs w:val="20"/>
              </w:rPr>
            </w:pPr>
            <w:r w:rsidRPr="00FB69B3">
              <w:rPr>
                <w:rFonts w:ascii="AdvTT6bca5eef" w:hAnsi="AdvTT6bca5eef" w:cs="AdvTT6bca5eef"/>
                <w:color w:val="231F20"/>
                <w:sz w:val="20"/>
                <w:szCs w:val="20"/>
              </w:rPr>
              <w:t>Knowledge</w:t>
            </w:r>
          </w:p>
        </w:tc>
        <w:tc>
          <w:tcPr>
            <w:tcW w:w="0" w:type="auto"/>
          </w:tcPr>
          <w:p w14:paraId="119B0588" w14:textId="77777777" w:rsidR="003B54A1" w:rsidRPr="00FB69B3" w:rsidRDefault="003B54A1" w:rsidP="00FB69B3">
            <w:pPr>
              <w:pStyle w:val="NoSpacing"/>
              <w:rPr>
                <w:sz w:val="20"/>
                <w:szCs w:val="20"/>
              </w:rPr>
            </w:pPr>
          </w:p>
        </w:tc>
        <w:tc>
          <w:tcPr>
            <w:tcW w:w="0" w:type="auto"/>
          </w:tcPr>
          <w:p w14:paraId="032FE00B" w14:textId="77777777" w:rsidR="003B54A1" w:rsidRPr="00FB69B3" w:rsidRDefault="003B54A1" w:rsidP="00FB69B3">
            <w:pPr>
              <w:pStyle w:val="NoSpacing"/>
              <w:rPr>
                <w:sz w:val="20"/>
                <w:szCs w:val="20"/>
              </w:rPr>
            </w:pPr>
          </w:p>
        </w:tc>
        <w:tc>
          <w:tcPr>
            <w:tcW w:w="0" w:type="auto"/>
          </w:tcPr>
          <w:p w14:paraId="5EB2AADC" w14:textId="77777777" w:rsidR="003B54A1" w:rsidRPr="00FB69B3" w:rsidRDefault="003B54A1" w:rsidP="00FB69B3">
            <w:pPr>
              <w:pStyle w:val="NoSpacing"/>
              <w:rPr>
                <w:sz w:val="20"/>
                <w:szCs w:val="20"/>
              </w:rPr>
            </w:pPr>
          </w:p>
        </w:tc>
        <w:tc>
          <w:tcPr>
            <w:tcW w:w="0" w:type="auto"/>
          </w:tcPr>
          <w:p w14:paraId="0751A1DB" w14:textId="77777777" w:rsidR="003B54A1" w:rsidRPr="00FB69B3" w:rsidRDefault="003B54A1" w:rsidP="00FB69B3">
            <w:pPr>
              <w:pStyle w:val="NoSpacing"/>
              <w:rPr>
                <w:sz w:val="20"/>
                <w:szCs w:val="20"/>
              </w:rPr>
            </w:pPr>
          </w:p>
        </w:tc>
        <w:tc>
          <w:tcPr>
            <w:tcW w:w="0" w:type="auto"/>
          </w:tcPr>
          <w:p w14:paraId="61BAF033" w14:textId="77777777" w:rsidR="003B54A1" w:rsidRPr="00FB69B3" w:rsidRDefault="003B54A1" w:rsidP="00FB69B3">
            <w:pPr>
              <w:pStyle w:val="NoSpacing"/>
              <w:rPr>
                <w:sz w:val="20"/>
                <w:szCs w:val="20"/>
              </w:rPr>
            </w:pPr>
          </w:p>
        </w:tc>
        <w:tc>
          <w:tcPr>
            <w:tcW w:w="0" w:type="auto"/>
          </w:tcPr>
          <w:p w14:paraId="5B9DC3B8" w14:textId="77777777" w:rsidR="003B54A1" w:rsidRPr="00FB69B3" w:rsidRDefault="003B54A1" w:rsidP="00FB69B3">
            <w:pPr>
              <w:pStyle w:val="NoSpacing"/>
              <w:rPr>
                <w:sz w:val="20"/>
                <w:szCs w:val="20"/>
              </w:rPr>
            </w:pPr>
          </w:p>
        </w:tc>
        <w:tc>
          <w:tcPr>
            <w:tcW w:w="0" w:type="auto"/>
          </w:tcPr>
          <w:p w14:paraId="4E6A58F6" w14:textId="77777777" w:rsidR="003B54A1" w:rsidRPr="00FB69B3" w:rsidRDefault="003B54A1" w:rsidP="00FB69B3">
            <w:pPr>
              <w:pStyle w:val="NoSpacing"/>
              <w:rPr>
                <w:sz w:val="20"/>
                <w:szCs w:val="20"/>
              </w:rPr>
            </w:pPr>
          </w:p>
        </w:tc>
      </w:tr>
      <w:tr w:rsidR="003B54A1" w:rsidRPr="00FB69B3" w14:paraId="37989719" w14:textId="77777777" w:rsidTr="00FB69B3">
        <w:tc>
          <w:tcPr>
            <w:tcW w:w="0" w:type="auto"/>
          </w:tcPr>
          <w:p w14:paraId="1BEA5D3A" w14:textId="3D99C7FC" w:rsidR="003B54A1" w:rsidRPr="00FB69B3" w:rsidRDefault="002270DD" w:rsidP="00FB69B3">
            <w:pPr>
              <w:pStyle w:val="NoSpacing"/>
              <w:rPr>
                <w:sz w:val="20"/>
                <w:szCs w:val="20"/>
              </w:rPr>
            </w:pPr>
            <w:r w:rsidRPr="00FB69B3">
              <w:rPr>
                <w:rFonts w:ascii="AdvTT6bca5eef" w:hAnsi="AdvTT6bca5eef" w:cs="AdvTT6bca5eef"/>
                <w:color w:val="231F20"/>
                <w:sz w:val="20"/>
                <w:szCs w:val="20"/>
              </w:rPr>
              <w:t xml:space="preserve">RN7 (care for self ) </w:t>
            </w:r>
          </w:p>
        </w:tc>
        <w:tc>
          <w:tcPr>
            <w:tcW w:w="0" w:type="auto"/>
          </w:tcPr>
          <w:p w14:paraId="09073F9C" w14:textId="77777777" w:rsidR="003B54A1" w:rsidRPr="00FB69B3" w:rsidRDefault="003B54A1" w:rsidP="00FB69B3">
            <w:pPr>
              <w:pStyle w:val="NoSpacing"/>
              <w:rPr>
                <w:sz w:val="20"/>
                <w:szCs w:val="20"/>
              </w:rPr>
            </w:pPr>
          </w:p>
        </w:tc>
        <w:tc>
          <w:tcPr>
            <w:tcW w:w="0" w:type="auto"/>
          </w:tcPr>
          <w:p w14:paraId="761FE65C" w14:textId="3F4171DB" w:rsidR="003B54A1" w:rsidRPr="00FB69B3" w:rsidRDefault="00995C40" w:rsidP="00FB69B3">
            <w:pPr>
              <w:pStyle w:val="NoSpacing"/>
              <w:rPr>
                <w:sz w:val="20"/>
                <w:szCs w:val="20"/>
              </w:rPr>
            </w:pPr>
            <w:r w:rsidRPr="00FB69B3">
              <w:rPr>
                <w:rFonts w:ascii="AdvTT6bca5eef" w:hAnsi="AdvTT6bca5eef" w:cs="AdvTT6bca5eef"/>
                <w:color w:val="231F20"/>
                <w:sz w:val="20"/>
                <w:szCs w:val="20"/>
              </w:rPr>
              <w:t xml:space="preserve">.88 </w:t>
            </w:r>
          </w:p>
        </w:tc>
        <w:tc>
          <w:tcPr>
            <w:tcW w:w="0" w:type="auto"/>
          </w:tcPr>
          <w:p w14:paraId="40D55B72" w14:textId="77777777" w:rsidR="003B54A1" w:rsidRPr="00FB69B3" w:rsidRDefault="003B54A1" w:rsidP="00FB69B3">
            <w:pPr>
              <w:pStyle w:val="NoSpacing"/>
              <w:rPr>
                <w:sz w:val="20"/>
                <w:szCs w:val="20"/>
              </w:rPr>
            </w:pPr>
          </w:p>
        </w:tc>
        <w:tc>
          <w:tcPr>
            <w:tcW w:w="0" w:type="auto"/>
          </w:tcPr>
          <w:p w14:paraId="5422005A" w14:textId="77777777" w:rsidR="003B54A1" w:rsidRPr="00FB69B3" w:rsidRDefault="003B54A1" w:rsidP="00FB69B3">
            <w:pPr>
              <w:pStyle w:val="NoSpacing"/>
              <w:rPr>
                <w:sz w:val="20"/>
                <w:szCs w:val="20"/>
              </w:rPr>
            </w:pPr>
          </w:p>
        </w:tc>
        <w:tc>
          <w:tcPr>
            <w:tcW w:w="0" w:type="auto"/>
          </w:tcPr>
          <w:p w14:paraId="377451AA" w14:textId="4CB9ADAF" w:rsidR="003B54A1" w:rsidRPr="00FB69B3" w:rsidRDefault="00995C40" w:rsidP="00FB69B3">
            <w:pPr>
              <w:pStyle w:val="NoSpacing"/>
              <w:rPr>
                <w:sz w:val="20"/>
                <w:szCs w:val="20"/>
              </w:rPr>
            </w:pPr>
            <w:r w:rsidRPr="00FB69B3">
              <w:rPr>
                <w:rFonts w:ascii="AdvTT6bca5eef" w:hAnsi="AdvTT6bca5eef" w:cs="AdvTT6bca5eef"/>
                <w:color w:val="231F20"/>
                <w:sz w:val="20"/>
                <w:szCs w:val="20"/>
              </w:rPr>
              <w:t>.82</w:t>
            </w:r>
          </w:p>
        </w:tc>
        <w:tc>
          <w:tcPr>
            <w:tcW w:w="0" w:type="auto"/>
          </w:tcPr>
          <w:p w14:paraId="046DBFDA" w14:textId="77777777" w:rsidR="003B54A1" w:rsidRPr="00FB69B3" w:rsidRDefault="003B54A1" w:rsidP="00FB69B3">
            <w:pPr>
              <w:pStyle w:val="NoSpacing"/>
              <w:rPr>
                <w:sz w:val="20"/>
                <w:szCs w:val="20"/>
              </w:rPr>
            </w:pPr>
          </w:p>
        </w:tc>
        <w:tc>
          <w:tcPr>
            <w:tcW w:w="0" w:type="auto"/>
          </w:tcPr>
          <w:p w14:paraId="0165C08D" w14:textId="77777777" w:rsidR="003B54A1" w:rsidRPr="00FB69B3" w:rsidRDefault="003B54A1" w:rsidP="00FB69B3">
            <w:pPr>
              <w:pStyle w:val="NoSpacing"/>
              <w:rPr>
                <w:sz w:val="20"/>
                <w:szCs w:val="20"/>
              </w:rPr>
            </w:pPr>
          </w:p>
        </w:tc>
      </w:tr>
      <w:tr w:rsidR="003B54A1" w:rsidRPr="00FB69B3" w14:paraId="0C1D4F94" w14:textId="77777777" w:rsidTr="00FB69B3">
        <w:tc>
          <w:tcPr>
            <w:tcW w:w="0" w:type="auto"/>
          </w:tcPr>
          <w:p w14:paraId="73E9648F" w14:textId="3EA37FB9" w:rsidR="003B54A1" w:rsidRPr="00FB69B3" w:rsidRDefault="00044966" w:rsidP="00FB69B3">
            <w:pPr>
              <w:pStyle w:val="NoSpacing"/>
              <w:rPr>
                <w:sz w:val="20"/>
                <w:szCs w:val="20"/>
              </w:rPr>
            </w:pPr>
            <w:r w:rsidRPr="00FB69B3">
              <w:rPr>
                <w:rFonts w:ascii="AdvTT6bca5eef" w:hAnsi="AdvTT6bca5eef" w:cs="AdvTT6bca5eef"/>
                <w:color w:val="231F20"/>
                <w:sz w:val="20"/>
                <w:szCs w:val="20"/>
              </w:rPr>
              <w:t xml:space="preserve">RN8 (personal needs) </w:t>
            </w:r>
          </w:p>
        </w:tc>
        <w:tc>
          <w:tcPr>
            <w:tcW w:w="0" w:type="auto"/>
          </w:tcPr>
          <w:p w14:paraId="5BC3BC61" w14:textId="77777777" w:rsidR="003B54A1" w:rsidRPr="00FB69B3" w:rsidRDefault="003B54A1" w:rsidP="00FB69B3">
            <w:pPr>
              <w:pStyle w:val="NoSpacing"/>
              <w:rPr>
                <w:sz w:val="20"/>
                <w:szCs w:val="20"/>
              </w:rPr>
            </w:pPr>
          </w:p>
        </w:tc>
        <w:tc>
          <w:tcPr>
            <w:tcW w:w="0" w:type="auto"/>
          </w:tcPr>
          <w:p w14:paraId="7F1ECDF2" w14:textId="737055E3" w:rsidR="003B54A1" w:rsidRPr="00FB69B3" w:rsidRDefault="00995C40" w:rsidP="00FB69B3">
            <w:pPr>
              <w:pStyle w:val="NoSpacing"/>
              <w:rPr>
                <w:sz w:val="20"/>
                <w:szCs w:val="20"/>
              </w:rPr>
            </w:pPr>
            <w:r w:rsidRPr="00FB69B3">
              <w:rPr>
                <w:rFonts w:ascii="AdvTT6bca5eef" w:hAnsi="AdvTT6bca5eef" w:cs="AdvTT6bca5eef"/>
                <w:color w:val="231F20"/>
                <w:sz w:val="20"/>
                <w:szCs w:val="20"/>
              </w:rPr>
              <w:t xml:space="preserve">.85 </w:t>
            </w:r>
          </w:p>
        </w:tc>
        <w:tc>
          <w:tcPr>
            <w:tcW w:w="0" w:type="auto"/>
          </w:tcPr>
          <w:p w14:paraId="5BCFAEA7" w14:textId="77777777" w:rsidR="003B54A1" w:rsidRPr="00FB69B3" w:rsidRDefault="003B54A1" w:rsidP="00FB69B3">
            <w:pPr>
              <w:pStyle w:val="NoSpacing"/>
              <w:rPr>
                <w:sz w:val="20"/>
                <w:szCs w:val="20"/>
              </w:rPr>
            </w:pPr>
          </w:p>
        </w:tc>
        <w:tc>
          <w:tcPr>
            <w:tcW w:w="0" w:type="auto"/>
          </w:tcPr>
          <w:p w14:paraId="496C32AE" w14:textId="77777777" w:rsidR="003B54A1" w:rsidRPr="00FB69B3" w:rsidRDefault="003B54A1" w:rsidP="00FB69B3">
            <w:pPr>
              <w:pStyle w:val="NoSpacing"/>
              <w:rPr>
                <w:sz w:val="20"/>
                <w:szCs w:val="20"/>
              </w:rPr>
            </w:pPr>
          </w:p>
        </w:tc>
        <w:tc>
          <w:tcPr>
            <w:tcW w:w="0" w:type="auto"/>
          </w:tcPr>
          <w:p w14:paraId="56E11A45" w14:textId="379BC9F2" w:rsidR="003B54A1" w:rsidRPr="00FB69B3" w:rsidRDefault="00995C40" w:rsidP="00FB69B3">
            <w:pPr>
              <w:pStyle w:val="NoSpacing"/>
              <w:rPr>
                <w:sz w:val="20"/>
                <w:szCs w:val="20"/>
              </w:rPr>
            </w:pPr>
            <w:r w:rsidRPr="00FB69B3">
              <w:rPr>
                <w:rFonts w:ascii="AdvTT6bca5eef" w:hAnsi="AdvTT6bca5eef" w:cs="AdvTT6bca5eef"/>
                <w:color w:val="231F20"/>
                <w:sz w:val="20"/>
                <w:szCs w:val="20"/>
              </w:rPr>
              <w:t>.78</w:t>
            </w:r>
          </w:p>
        </w:tc>
        <w:tc>
          <w:tcPr>
            <w:tcW w:w="0" w:type="auto"/>
          </w:tcPr>
          <w:p w14:paraId="14B9B9D6" w14:textId="77777777" w:rsidR="003B54A1" w:rsidRPr="00FB69B3" w:rsidRDefault="003B54A1" w:rsidP="00FB69B3">
            <w:pPr>
              <w:pStyle w:val="NoSpacing"/>
              <w:rPr>
                <w:sz w:val="20"/>
                <w:szCs w:val="20"/>
              </w:rPr>
            </w:pPr>
          </w:p>
        </w:tc>
        <w:tc>
          <w:tcPr>
            <w:tcW w:w="0" w:type="auto"/>
          </w:tcPr>
          <w:p w14:paraId="341B0861" w14:textId="77777777" w:rsidR="003B54A1" w:rsidRPr="00FB69B3" w:rsidRDefault="003B54A1" w:rsidP="00FB69B3">
            <w:pPr>
              <w:pStyle w:val="NoSpacing"/>
              <w:rPr>
                <w:sz w:val="20"/>
                <w:szCs w:val="20"/>
              </w:rPr>
            </w:pPr>
          </w:p>
        </w:tc>
      </w:tr>
      <w:tr w:rsidR="003B54A1" w:rsidRPr="00FB69B3" w14:paraId="615FC9F7" w14:textId="77777777" w:rsidTr="00FB69B3">
        <w:tc>
          <w:tcPr>
            <w:tcW w:w="0" w:type="auto"/>
          </w:tcPr>
          <w:p w14:paraId="5B82882D" w14:textId="1E9157AF" w:rsidR="003B54A1" w:rsidRPr="00FB69B3" w:rsidRDefault="00044966" w:rsidP="00FB69B3">
            <w:pPr>
              <w:pStyle w:val="NoSpacing"/>
              <w:rPr>
                <w:sz w:val="20"/>
                <w:szCs w:val="20"/>
              </w:rPr>
            </w:pPr>
            <w:r w:rsidRPr="00FB69B3">
              <w:rPr>
                <w:rFonts w:ascii="AdvTT6bca5eef" w:hAnsi="AdvTT6bca5eef" w:cs="AdvTT6bca5eef"/>
                <w:color w:val="231F20"/>
                <w:sz w:val="20"/>
                <w:szCs w:val="20"/>
              </w:rPr>
              <w:t xml:space="preserve">RN9 (medical needs) </w:t>
            </w:r>
          </w:p>
        </w:tc>
        <w:tc>
          <w:tcPr>
            <w:tcW w:w="0" w:type="auto"/>
          </w:tcPr>
          <w:p w14:paraId="39AF1504" w14:textId="77777777" w:rsidR="003B54A1" w:rsidRPr="00FB69B3" w:rsidRDefault="003B54A1" w:rsidP="00FB69B3">
            <w:pPr>
              <w:pStyle w:val="NoSpacing"/>
              <w:rPr>
                <w:sz w:val="20"/>
                <w:szCs w:val="20"/>
              </w:rPr>
            </w:pPr>
          </w:p>
        </w:tc>
        <w:tc>
          <w:tcPr>
            <w:tcW w:w="0" w:type="auto"/>
          </w:tcPr>
          <w:p w14:paraId="0CC61F29" w14:textId="3AEEC276" w:rsidR="003B54A1" w:rsidRPr="00FB69B3" w:rsidRDefault="00995C40" w:rsidP="00FB69B3">
            <w:pPr>
              <w:pStyle w:val="NoSpacing"/>
              <w:rPr>
                <w:sz w:val="20"/>
                <w:szCs w:val="20"/>
              </w:rPr>
            </w:pPr>
            <w:r w:rsidRPr="00FB69B3">
              <w:rPr>
                <w:rFonts w:ascii="AdvTT6bca5eef" w:hAnsi="AdvTT6bca5eef" w:cs="AdvTT6bca5eef"/>
                <w:color w:val="231F20"/>
                <w:sz w:val="20"/>
                <w:szCs w:val="20"/>
              </w:rPr>
              <w:t xml:space="preserve">.90 </w:t>
            </w:r>
          </w:p>
        </w:tc>
        <w:tc>
          <w:tcPr>
            <w:tcW w:w="0" w:type="auto"/>
          </w:tcPr>
          <w:p w14:paraId="27A6202B" w14:textId="77777777" w:rsidR="003B54A1" w:rsidRPr="00FB69B3" w:rsidRDefault="003B54A1" w:rsidP="00FB69B3">
            <w:pPr>
              <w:pStyle w:val="NoSpacing"/>
              <w:rPr>
                <w:sz w:val="20"/>
                <w:szCs w:val="20"/>
              </w:rPr>
            </w:pPr>
          </w:p>
        </w:tc>
        <w:tc>
          <w:tcPr>
            <w:tcW w:w="0" w:type="auto"/>
          </w:tcPr>
          <w:p w14:paraId="2B2CD4E9" w14:textId="77777777" w:rsidR="003B54A1" w:rsidRPr="00FB69B3" w:rsidRDefault="003B54A1" w:rsidP="00FB69B3">
            <w:pPr>
              <w:pStyle w:val="NoSpacing"/>
              <w:rPr>
                <w:sz w:val="20"/>
                <w:szCs w:val="20"/>
              </w:rPr>
            </w:pPr>
          </w:p>
        </w:tc>
        <w:tc>
          <w:tcPr>
            <w:tcW w:w="0" w:type="auto"/>
          </w:tcPr>
          <w:p w14:paraId="71F0A677" w14:textId="74A707CC" w:rsidR="003B54A1" w:rsidRPr="00FB69B3" w:rsidRDefault="00995C40" w:rsidP="00FB69B3">
            <w:pPr>
              <w:pStyle w:val="NoSpacing"/>
              <w:rPr>
                <w:sz w:val="20"/>
                <w:szCs w:val="20"/>
              </w:rPr>
            </w:pPr>
            <w:r w:rsidRPr="00FB69B3">
              <w:rPr>
                <w:rFonts w:ascii="AdvTT6bca5eef" w:hAnsi="AdvTT6bca5eef" w:cs="AdvTT6bca5eef"/>
                <w:color w:val="231F20"/>
                <w:sz w:val="20"/>
                <w:szCs w:val="20"/>
              </w:rPr>
              <w:t>.83</w:t>
            </w:r>
          </w:p>
        </w:tc>
        <w:tc>
          <w:tcPr>
            <w:tcW w:w="0" w:type="auto"/>
          </w:tcPr>
          <w:p w14:paraId="382F096F" w14:textId="77777777" w:rsidR="003B54A1" w:rsidRPr="00FB69B3" w:rsidRDefault="003B54A1" w:rsidP="00FB69B3">
            <w:pPr>
              <w:pStyle w:val="NoSpacing"/>
              <w:rPr>
                <w:sz w:val="20"/>
                <w:szCs w:val="20"/>
              </w:rPr>
            </w:pPr>
          </w:p>
        </w:tc>
        <w:tc>
          <w:tcPr>
            <w:tcW w:w="0" w:type="auto"/>
          </w:tcPr>
          <w:p w14:paraId="7F89B7DE" w14:textId="77777777" w:rsidR="003B54A1" w:rsidRPr="00FB69B3" w:rsidRDefault="003B54A1" w:rsidP="00FB69B3">
            <w:pPr>
              <w:pStyle w:val="NoSpacing"/>
              <w:rPr>
                <w:sz w:val="20"/>
                <w:szCs w:val="20"/>
              </w:rPr>
            </w:pPr>
          </w:p>
        </w:tc>
      </w:tr>
      <w:tr w:rsidR="003B54A1" w:rsidRPr="00FB69B3" w14:paraId="594911E5" w14:textId="77777777" w:rsidTr="00FB69B3">
        <w:tc>
          <w:tcPr>
            <w:tcW w:w="0" w:type="auto"/>
          </w:tcPr>
          <w:p w14:paraId="32D3EE8F" w14:textId="4312976C" w:rsidR="003B54A1" w:rsidRPr="00FB69B3" w:rsidRDefault="00044966" w:rsidP="00FB69B3">
            <w:pPr>
              <w:pStyle w:val="NoSpacing"/>
              <w:rPr>
                <w:sz w:val="20"/>
                <w:szCs w:val="20"/>
              </w:rPr>
            </w:pPr>
            <w:r w:rsidRPr="00FB69B3">
              <w:rPr>
                <w:rFonts w:ascii="AdvTT6bca5eef" w:hAnsi="AdvTT6bca5eef" w:cs="AdvTT6bca5eef"/>
                <w:color w:val="231F20"/>
                <w:sz w:val="20"/>
                <w:szCs w:val="20"/>
              </w:rPr>
              <w:t>RN 10 (problems)</w:t>
            </w:r>
            <w:r w:rsidRPr="00995C40">
              <w:rPr>
                <w:rFonts w:ascii="AdvTT6bca5eef" w:hAnsi="AdvTT6bca5eef" w:cs="AdvTT6bca5eef"/>
                <w:color w:val="231F20"/>
                <w:sz w:val="20"/>
                <w:szCs w:val="20"/>
                <w:vertAlign w:val="superscript"/>
              </w:rPr>
              <w:t>a</w:t>
            </w:r>
            <w:r w:rsidRPr="00FB69B3">
              <w:rPr>
                <w:rFonts w:ascii="AdvTT6bca5eef" w:hAnsi="AdvTT6bca5eef" w:cs="AdvTT6bca5eef"/>
                <w:color w:val="231F20"/>
                <w:sz w:val="20"/>
                <w:szCs w:val="20"/>
              </w:rPr>
              <w:t xml:space="preserve"> </w:t>
            </w:r>
          </w:p>
        </w:tc>
        <w:tc>
          <w:tcPr>
            <w:tcW w:w="0" w:type="auto"/>
          </w:tcPr>
          <w:p w14:paraId="0773B806" w14:textId="77777777" w:rsidR="003B54A1" w:rsidRPr="00FB69B3" w:rsidRDefault="003B54A1" w:rsidP="00FB69B3">
            <w:pPr>
              <w:pStyle w:val="NoSpacing"/>
              <w:rPr>
                <w:sz w:val="20"/>
                <w:szCs w:val="20"/>
              </w:rPr>
            </w:pPr>
          </w:p>
        </w:tc>
        <w:tc>
          <w:tcPr>
            <w:tcW w:w="0" w:type="auto"/>
          </w:tcPr>
          <w:p w14:paraId="7D676A02" w14:textId="60431009" w:rsidR="003B54A1" w:rsidRPr="00FB69B3" w:rsidRDefault="00995C40" w:rsidP="00FB69B3">
            <w:pPr>
              <w:pStyle w:val="NoSpacing"/>
              <w:rPr>
                <w:sz w:val="20"/>
                <w:szCs w:val="20"/>
              </w:rPr>
            </w:pPr>
            <w:r w:rsidRPr="00FB69B3">
              <w:rPr>
                <w:rFonts w:ascii="AdvTT6bca5eef" w:hAnsi="AdvTT6bca5eef" w:cs="AdvTT6bca5eef"/>
                <w:color w:val="231F20"/>
                <w:sz w:val="20"/>
                <w:szCs w:val="20"/>
              </w:rPr>
              <w:t xml:space="preserve">.85 </w:t>
            </w:r>
          </w:p>
        </w:tc>
        <w:tc>
          <w:tcPr>
            <w:tcW w:w="0" w:type="auto"/>
          </w:tcPr>
          <w:p w14:paraId="035AD8E6" w14:textId="77777777" w:rsidR="003B54A1" w:rsidRPr="00FB69B3" w:rsidRDefault="003B54A1" w:rsidP="00FB69B3">
            <w:pPr>
              <w:pStyle w:val="NoSpacing"/>
              <w:rPr>
                <w:sz w:val="20"/>
                <w:szCs w:val="20"/>
              </w:rPr>
            </w:pPr>
          </w:p>
        </w:tc>
        <w:tc>
          <w:tcPr>
            <w:tcW w:w="0" w:type="auto"/>
          </w:tcPr>
          <w:p w14:paraId="4F3FA0EF" w14:textId="77777777" w:rsidR="003B54A1" w:rsidRPr="00FB69B3" w:rsidRDefault="003B54A1" w:rsidP="00FB69B3">
            <w:pPr>
              <w:pStyle w:val="NoSpacing"/>
              <w:rPr>
                <w:sz w:val="20"/>
                <w:szCs w:val="20"/>
              </w:rPr>
            </w:pPr>
          </w:p>
        </w:tc>
        <w:tc>
          <w:tcPr>
            <w:tcW w:w="0" w:type="auto"/>
          </w:tcPr>
          <w:p w14:paraId="570DBF33" w14:textId="07CB2282" w:rsidR="003B54A1" w:rsidRPr="00FB69B3" w:rsidRDefault="00995C40" w:rsidP="00FB69B3">
            <w:pPr>
              <w:pStyle w:val="NoSpacing"/>
              <w:rPr>
                <w:sz w:val="20"/>
                <w:szCs w:val="20"/>
              </w:rPr>
            </w:pPr>
            <w:r w:rsidRPr="00FB69B3">
              <w:rPr>
                <w:rFonts w:ascii="AdvTT6bca5eef" w:hAnsi="AdvTT6bca5eef" w:cs="AdvTT6bca5eef"/>
                <w:color w:val="231F20"/>
                <w:sz w:val="20"/>
                <w:szCs w:val="20"/>
              </w:rPr>
              <w:t>.79</w:t>
            </w:r>
          </w:p>
        </w:tc>
        <w:tc>
          <w:tcPr>
            <w:tcW w:w="0" w:type="auto"/>
          </w:tcPr>
          <w:p w14:paraId="456CE137" w14:textId="77777777" w:rsidR="003B54A1" w:rsidRPr="00FB69B3" w:rsidRDefault="003B54A1" w:rsidP="00FB69B3">
            <w:pPr>
              <w:pStyle w:val="NoSpacing"/>
              <w:rPr>
                <w:sz w:val="20"/>
                <w:szCs w:val="20"/>
              </w:rPr>
            </w:pPr>
          </w:p>
        </w:tc>
        <w:tc>
          <w:tcPr>
            <w:tcW w:w="0" w:type="auto"/>
          </w:tcPr>
          <w:p w14:paraId="7D08E513" w14:textId="77777777" w:rsidR="003B54A1" w:rsidRPr="00FB69B3" w:rsidRDefault="003B54A1" w:rsidP="00FB69B3">
            <w:pPr>
              <w:pStyle w:val="NoSpacing"/>
              <w:rPr>
                <w:sz w:val="20"/>
                <w:szCs w:val="20"/>
              </w:rPr>
            </w:pPr>
          </w:p>
        </w:tc>
      </w:tr>
      <w:tr w:rsidR="003B54A1" w:rsidRPr="00FB69B3" w14:paraId="495D7159" w14:textId="77777777" w:rsidTr="00FB69B3">
        <w:tc>
          <w:tcPr>
            <w:tcW w:w="0" w:type="auto"/>
          </w:tcPr>
          <w:p w14:paraId="6340721B" w14:textId="51ACC44B" w:rsidR="003B54A1" w:rsidRPr="00FB69B3" w:rsidRDefault="00044966" w:rsidP="00FB69B3">
            <w:pPr>
              <w:pStyle w:val="NoSpacing"/>
              <w:rPr>
                <w:sz w:val="20"/>
                <w:szCs w:val="20"/>
              </w:rPr>
            </w:pPr>
            <w:r w:rsidRPr="00FB69B3">
              <w:rPr>
                <w:rFonts w:ascii="AdvTT6bca5eef" w:hAnsi="AdvTT6bca5eef" w:cs="AdvTT6bca5eef"/>
                <w:color w:val="231F20"/>
                <w:sz w:val="20"/>
                <w:szCs w:val="20"/>
              </w:rPr>
              <w:t xml:space="preserve">RN11 (who to call) </w:t>
            </w:r>
          </w:p>
        </w:tc>
        <w:tc>
          <w:tcPr>
            <w:tcW w:w="0" w:type="auto"/>
          </w:tcPr>
          <w:p w14:paraId="3A664F93" w14:textId="77777777" w:rsidR="003B54A1" w:rsidRPr="00FB69B3" w:rsidRDefault="003B54A1" w:rsidP="00FB69B3">
            <w:pPr>
              <w:pStyle w:val="NoSpacing"/>
              <w:rPr>
                <w:sz w:val="20"/>
                <w:szCs w:val="20"/>
              </w:rPr>
            </w:pPr>
          </w:p>
        </w:tc>
        <w:tc>
          <w:tcPr>
            <w:tcW w:w="0" w:type="auto"/>
          </w:tcPr>
          <w:p w14:paraId="0207851C" w14:textId="59E2DB77" w:rsidR="003B54A1" w:rsidRPr="00FB69B3" w:rsidRDefault="00F27109" w:rsidP="00FB69B3">
            <w:pPr>
              <w:pStyle w:val="NoSpacing"/>
              <w:rPr>
                <w:sz w:val="20"/>
                <w:szCs w:val="20"/>
              </w:rPr>
            </w:pPr>
            <w:r w:rsidRPr="00FB69B3">
              <w:rPr>
                <w:rFonts w:ascii="AdvTT6bca5eef" w:hAnsi="AdvTT6bca5eef" w:cs="AdvTT6bca5eef"/>
                <w:color w:val="231F20"/>
                <w:sz w:val="20"/>
                <w:szCs w:val="20"/>
              </w:rPr>
              <w:t xml:space="preserve">.80 </w:t>
            </w:r>
          </w:p>
        </w:tc>
        <w:tc>
          <w:tcPr>
            <w:tcW w:w="0" w:type="auto"/>
          </w:tcPr>
          <w:p w14:paraId="758A3A51" w14:textId="77777777" w:rsidR="003B54A1" w:rsidRPr="00FB69B3" w:rsidRDefault="003B54A1" w:rsidP="00FB69B3">
            <w:pPr>
              <w:pStyle w:val="NoSpacing"/>
              <w:rPr>
                <w:sz w:val="20"/>
                <w:szCs w:val="20"/>
              </w:rPr>
            </w:pPr>
          </w:p>
        </w:tc>
        <w:tc>
          <w:tcPr>
            <w:tcW w:w="0" w:type="auto"/>
          </w:tcPr>
          <w:p w14:paraId="52EC29A4" w14:textId="77777777" w:rsidR="003B54A1" w:rsidRPr="00FB69B3" w:rsidRDefault="003B54A1" w:rsidP="00FB69B3">
            <w:pPr>
              <w:pStyle w:val="NoSpacing"/>
              <w:rPr>
                <w:sz w:val="20"/>
                <w:szCs w:val="20"/>
              </w:rPr>
            </w:pPr>
          </w:p>
        </w:tc>
        <w:tc>
          <w:tcPr>
            <w:tcW w:w="0" w:type="auto"/>
          </w:tcPr>
          <w:p w14:paraId="49065EDB" w14:textId="6F0A46FC" w:rsidR="003B54A1" w:rsidRPr="00FB69B3" w:rsidRDefault="00F27109" w:rsidP="00FB69B3">
            <w:pPr>
              <w:pStyle w:val="NoSpacing"/>
              <w:rPr>
                <w:sz w:val="20"/>
                <w:szCs w:val="20"/>
              </w:rPr>
            </w:pPr>
            <w:r w:rsidRPr="00FB69B3">
              <w:rPr>
                <w:rFonts w:ascii="AdvTT6bca5eef" w:hAnsi="AdvTT6bca5eef" w:cs="AdvTT6bca5eef"/>
                <w:color w:val="231F20"/>
                <w:sz w:val="20"/>
                <w:szCs w:val="20"/>
              </w:rPr>
              <w:t>.76</w:t>
            </w:r>
          </w:p>
        </w:tc>
        <w:tc>
          <w:tcPr>
            <w:tcW w:w="0" w:type="auto"/>
          </w:tcPr>
          <w:p w14:paraId="1471CF14" w14:textId="77777777" w:rsidR="003B54A1" w:rsidRPr="00FB69B3" w:rsidRDefault="003B54A1" w:rsidP="00FB69B3">
            <w:pPr>
              <w:pStyle w:val="NoSpacing"/>
              <w:rPr>
                <w:sz w:val="20"/>
                <w:szCs w:val="20"/>
              </w:rPr>
            </w:pPr>
          </w:p>
        </w:tc>
        <w:tc>
          <w:tcPr>
            <w:tcW w:w="0" w:type="auto"/>
          </w:tcPr>
          <w:p w14:paraId="6D21EBBC" w14:textId="77777777" w:rsidR="003B54A1" w:rsidRPr="00FB69B3" w:rsidRDefault="003B54A1" w:rsidP="00FB69B3">
            <w:pPr>
              <w:pStyle w:val="NoSpacing"/>
              <w:rPr>
                <w:sz w:val="20"/>
                <w:szCs w:val="20"/>
              </w:rPr>
            </w:pPr>
          </w:p>
        </w:tc>
      </w:tr>
      <w:tr w:rsidR="00044966" w:rsidRPr="00FB69B3" w14:paraId="5019E617" w14:textId="77777777" w:rsidTr="00FB69B3">
        <w:tc>
          <w:tcPr>
            <w:tcW w:w="0" w:type="auto"/>
          </w:tcPr>
          <w:p w14:paraId="39D2A4AA" w14:textId="103ABF40" w:rsidR="00044966" w:rsidRPr="00FB69B3" w:rsidRDefault="001F2D96"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 xml:space="preserve">RN12 (restrictions)a </w:t>
            </w:r>
          </w:p>
        </w:tc>
        <w:tc>
          <w:tcPr>
            <w:tcW w:w="0" w:type="auto"/>
          </w:tcPr>
          <w:p w14:paraId="6103CE6B" w14:textId="77777777" w:rsidR="00044966" w:rsidRPr="00FB69B3" w:rsidRDefault="00044966" w:rsidP="00FB69B3">
            <w:pPr>
              <w:pStyle w:val="NoSpacing"/>
              <w:rPr>
                <w:sz w:val="20"/>
                <w:szCs w:val="20"/>
              </w:rPr>
            </w:pPr>
          </w:p>
        </w:tc>
        <w:tc>
          <w:tcPr>
            <w:tcW w:w="0" w:type="auto"/>
          </w:tcPr>
          <w:p w14:paraId="6A12D5B5" w14:textId="4A1EDC61" w:rsidR="00044966" w:rsidRPr="00FB69B3" w:rsidRDefault="00F27109" w:rsidP="00FB69B3">
            <w:pPr>
              <w:pStyle w:val="NoSpacing"/>
              <w:rPr>
                <w:sz w:val="20"/>
                <w:szCs w:val="20"/>
              </w:rPr>
            </w:pPr>
            <w:r w:rsidRPr="00FB69B3">
              <w:rPr>
                <w:rFonts w:ascii="AdvTT6bca5eef" w:hAnsi="AdvTT6bca5eef" w:cs="AdvTT6bca5eef"/>
                <w:color w:val="231F20"/>
                <w:sz w:val="20"/>
                <w:szCs w:val="20"/>
              </w:rPr>
              <w:t xml:space="preserve">.80 </w:t>
            </w:r>
          </w:p>
        </w:tc>
        <w:tc>
          <w:tcPr>
            <w:tcW w:w="0" w:type="auto"/>
          </w:tcPr>
          <w:p w14:paraId="6F9D5DBD" w14:textId="77777777" w:rsidR="00044966" w:rsidRPr="00FB69B3" w:rsidRDefault="00044966" w:rsidP="00FB69B3">
            <w:pPr>
              <w:pStyle w:val="NoSpacing"/>
              <w:rPr>
                <w:sz w:val="20"/>
                <w:szCs w:val="20"/>
              </w:rPr>
            </w:pPr>
          </w:p>
        </w:tc>
        <w:tc>
          <w:tcPr>
            <w:tcW w:w="0" w:type="auto"/>
          </w:tcPr>
          <w:p w14:paraId="03220577" w14:textId="77777777" w:rsidR="00044966" w:rsidRPr="00FB69B3" w:rsidRDefault="00044966" w:rsidP="00FB69B3">
            <w:pPr>
              <w:pStyle w:val="NoSpacing"/>
              <w:rPr>
                <w:sz w:val="20"/>
                <w:szCs w:val="20"/>
              </w:rPr>
            </w:pPr>
          </w:p>
        </w:tc>
        <w:tc>
          <w:tcPr>
            <w:tcW w:w="0" w:type="auto"/>
          </w:tcPr>
          <w:p w14:paraId="4B3845A0" w14:textId="1CF962B6" w:rsidR="00044966" w:rsidRPr="00FB69B3" w:rsidRDefault="00F27109" w:rsidP="00FB69B3">
            <w:pPr>
              <w:pStyle w:val="NoSpacing"/>
              <w:rPr>
                <w:sz w:val="20"/>
                <w:szCs w:val="20"/>
              </w:rPr>
            </w:pPr>
            <w:r w:rsidRPr="00FB69B3">
              <w:rPr>
                <w:rFonts w:ascii="AdvTT6bca5eef" w:hAnsi="AdvTT6bca5eef" w:cs="AdvTT6bca5eef"/>
                <w:color w:val="231F20"/>
                <w:sz w:val="20"/>
                <w:szCs w:val="20"/>
              </w:rPr>
              <w:t>.79</w:t>
            </w:r>
          </w:p>
        </w:tc>
        <w:tc>
          <w:tcPr>
            <w:tcW w:w="0" w:type="auto"/>
          </w:tcPr>
          <w:p w14:paraId="48D3E916" w14:textId="77777777" w:rsidR="00044966" w:rsidRPr="00FB69B3" w:rsidRDefault="00044966" w:rsidP="00FB69B3">
            <w:pPr>
              <w:pStyle w:val="NoSpacing"/>
              <w:rPr>
                <w:sz w:val="20"/>
                <w:szCs w:val="20"/>
              </w:rPr>
            </w:pPr>
          </w:p>
        </w:tc>
        <w:tc>
          <w:tcPr>
            <w:tcW w:w="0" w:type="auto"/>
          </w:tcPr>
          <w:p w14:paraId="04A1D94C" w14:textId="77777777" w:rsidR="00044966" w:rsidRPr="00FB69B3" w:rsidRDefault="00044966" w:rsidP="00FB69B3">
            <w:pPr>
              <w:pStyle w:val="NoSpacing"/>
              <w:rPr>
                <w:sz w:val="20"/>
                <w:szCs w:val="20"/>
              </w:rPr>
            </w:pPr>
          </w:p>
        </w:tc>
      </w:tr>
      <w:tr w:rsidR="00044966" w:rsidRPr="00FB69B3" w14:paraId="005065CA" w14:textId="77777777" w:rsidTr="00FB69B3">
        <w:tc>
          <w:tcPr>
            <w:tcW w:w="0" w:type="auto"/>
          </w:tcPr>
          <w:p w14:paraId="0A94CFAF" w14:textId="1A1B365E" w:rsidR="00044966" w:rsidRPr="00FB69B3" w:rsidRDefault="001F2D96"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 xml:space="preserve">RN13 (happens next) </w:t>
            </w:r>
          </w:p>
        </w:tc>
        <w:tc>
          <w:tcPr>
            <w:tcW w:w="0" w:type="auto"/>
          </w:tcPr>
          <w:p w14:paraId="09F03050" w14:textId="77777777" w:rsidR="00044966" w:rsidRPr="00FB69B3" w:rsidRDefault="00044966" w:rsidP="00FB69B3">
            <w:pPr>
              <w:pStyle w:val="NoSpacing"/>
              <w:rPr>
                <w:sz w:val="20"/>
                <w:szCs w:val="20"/>
              </w:rPr>
            </w:pPr>
          </w:p>
        </w:tc>
        <w:tc>
          <w:tcPr>
            <w:tcW w:w="0" w:type="auto"/>
          </w:tcPr>
          <w:p w14:paraId="5E7A2854" w14:textId="155E70EC" w:rsidR="00044966" w:rsidRPr="00FB69B3" w:rsidRDefault="00F27109" w:rsidP="00FB69B3">
            <w:pPr>
              <w:pStyle w:val="NoSpacing"/>
              <w:rPr>
                <w:sz w:val="20"/>
                <w:szCs w:val="20"/>
              </w:rPr>
            </w:pPr>
            <w:r w:rsidRPr="00FB69B3">
              <w:rPr>
                <w:rFonts w:ascii="AdvTT6bca5eef" w:hAnsi="AdvTT6bca5eef" w:cs="AdvTT6bca5eef"/>
                <w:color w:val="231F20"/>
                <w:sz w:val="20"/>
                <w:szCs w:val="20"/>
              </w:rPr>
              <w:t xml:space="preserve">.78 </w:t>
            </w:r>
          </w:p>
        </w:tc>
        <w:tc>
          <w:tcPr>
            <w:tcW w:w="0" w:type="auto"/>
          </w:tcPr>
          <w:p w14:paraId="0F6A125C" w14:textId="77777777" w:rsidR="00044966" w:rsidRPr="00FB69B3" w:rsidRDefault="00044966" w:rsidP="00FB69B3">
            <w:pPr>
              <w:pStyle w:val="NoSpacing"/>
              <w:rPr>
                <w:sz w:val="20"/>
                <w:szCs w:val="20"/>
              </w:rPr>
            </w:pPr>
          </w:p>
        </w:tc>
        <w:tc>
          <w:tcPr>
            <w:tcW w:w="0" w:type="auto"/>
          </w:tcPr>
          <w:p w14:paraId="734EFFDA" w14:textId="77777777" w:rsidR="00044966" w:rsidRPr="00FB69B3" w:rsidRDefault="00044966" w:rsidP="00FB69B3">
            <w:pPr>
              <w:pStyle w:val="NoSpacing"/>
              <w:rPr>
                <w:sz w:val="20"/>
                <w:szCs w:val="20"/>
              </w:rPr>
            </w:pPr>
          </w:p>
        </w:tc>
        <w:tc>
          <w:tcPr>
            <w:tcW w:w="0" w:type="auto"/>
          </w:tcPr>
          <w:p w14:paraId="38BA4362" w14:textId="631EB7EB" w:rsidR="00044966" w:rsidRPr="00FB69B3" w:rsidRDefault="00F27109" w:rsidP="00FB69B3">
            <w:pPr>
              <w:pStyle w:val="NoSpacing"/>
              <w:rPr>
                <w:sz w:val="20"/>
                <w:szCs w:val="20"/>
              </w:rPr>
            </w:pPr>
            <w:r w:rsidRPr="00FB69B3">
              <w:rPr>
                <w:rFonts w:ascii="AdvTT6bca5eef" w:hAnsi="AdvTT6bca5eef" w:cs="AdvTT6bca5eef"/>
                <w:color w:val="231F20"/>
                <w:sz w:val="20"/>
                <w:szCs w:val="20"/>
              </w:rPr>
              <w:t>.76</w:t>
            </w:r>
          </w:p>
        </w:tc>
        <w:tc>
          <w:tcPr>
            <w:tcW w:w="0" w:type="auto"/>
          </w:tcPr>
          <w:p w14:paraId="5CB7E3BC" w14:textId="77777777" w:rsidR="00044966" w:rsidRPr="00FB69B3" w:rsidRDefault="00044966" w:rsidP="00FB69B3">
            <w:pPr>
              <w:pStyle w:val="NoSpacing"/>
              <w:rPr>
                <w:sz w:val="20"/>
                <w:szCs w:val="20"/>
              </w:rPr>
            </w:pPr>
          </w:p>
        </w:tc>
        <w:tc>
          <w:tcPr>
            <w:tcW w:w="0" w:type="auto"/>
          </w:tcPr>
          <w:p w14:paraId="15A89B09" w14:textId="77777777" w:rsidR="00044966" w:rsidRPr="00FB69B3" w:rsidRDefault="00044966" w:rsidP="00FB69B3">
            <w:pPr>
              <w:pStyle w:val="NoSpacing"/>
              <w:rPr>
                <w:sz w:val="20"/>
                <w:szCs w:val="20"/>
              </w:rPr>
            </w:pPr>
          </w:p>
        </w:tc>
      </w:tr>
      <w:tr w:rsidR="00044966" w:rsidRPr="00FB69B3" w14:paraId="2CACF0E7" w14:textId="77777777" w:rsidTr="00FB69B3">
        <w:tc>
          <w:tcPr>
            <w:tcW w:w="0" w:type="auto"/>
          </w:tcPr>
          <w:p w14:paraId="71D3D5DE" w14:textId="0A7EBEF9" w:rsidR="00044966" w:rsidRPr="00FB69B3" w:rsidRDefault="001F2D96"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 xml:space="preserve">RN14 (services &amp; information) </w:t>
            </w:r>
          </w:p>
        </w:tc>
        <w:tc>
          <w:tcPr>
            <w:tcW w:w="0" w:type="auto"/>
          </w:tcPr>
          <w:p w14:paraId="66C09BA9" w14:textId="77777777" w:rsidR="00044966" w:rsidRPr="00FB69B3" w:rsidRDefault="00044966" w:rsidP="00FB69B3">
            <w:pPr>
              <w:pStyle w:val="NoSpacing"/>
              <w:rPr>
                <w:sz w:val="20"/>
                <w:szCs w:val="20"/>
              </w:rPr>
            </w:pPr>
          </w:p>
        </w:tc>
        <w:tc>
          <w:tcPr>
            <w:tcW w:w="0" w:type="auto"/>
          </w:tcPr>
          <w:p w14:paraId="06207F89" w14:textId="630B4204" w:rsidR="00044966" w:rsidRPr="00FB69B3" w:rsidRDefault="00F27109" w:rsidP="00FB69B3">
            <w:pPr>
              <w:pStyle w:val="NoSpacing"/>
              <w:rPr>
                <w:sz w:val="20"/>
                <w:szCs w:val="20"/>
              </w:rPr>
            </w:pPr>
            <w:r w:rsidRPr="00FB69B3">
              <w:rPr>
                <w:rFonts w:ascii="AdvTT6bca5eef" w:hAnsi="AdvTT6bca5eef" w:cs="AdvTT6bca5eef"/>
                <w:color w:val="231F20"/>
                <w:sz w:val="20"/>
                <w:szCs w:val="20"/>
              </w:rPr>
              <w:t xml:space="preserve">.49 </w:t>
            </w:r>
          </w:p>
        </w:tc>
        <w:tc>
          <w:tcPr>
            <w:tcW w:w="0" w:type="auto"/>
          </w:tcPr>
          <w:p w14:paraId="27C955C8" w14:textId="77777777" w:rsidR="00044966" w:rsidRPr="00FB69B3" w:rsidRDefault="00044966" w:rsidP="00FB69B3">
            <w:pPr>
              <w:pStyle w:val="NoSpacing"/>
              <w:rPr>
                <w:sz w:val="20"/>
                <w:szCs w:val="20"/>
              </w:rPr>
            </w:pPr>
          </w:p>
        </w:tc>
        <w:tc>
          <w:tcPr>
            <w:tcW w:w="0" w:type="auto"/>
          </w:tcPr>
          <w:p w14:paraId="71EC972B" w14:textId="77777777" w:rsidR="00044966" w:rsidRPr="00FB69B3" w:rsidRDefault="00044966" w:rsidP="00FB69B3">
            <w:pPr>
              <w:pStyle w:val="NoSpacing"/>
              <w:rPr>
                <w:sz w:val="20"/>
                <w:szCs w:val="20"/>
              </w:rPr>
            </w:pPr>
          </w:p>
        </w:tc>
        <w:tc>
          <w:tcPr>
            <w:tcW w:w="0" w:type="auto"/>
          </w:tcPr>
          <w:p w14:paraId="1C7051B2" w14:textId="41F075C2" w:rsidR="00044966" w:rsidRPr="00FB69B3" w:rsidRDefault="00F27109" w:rsidP="00FB69B3">
            <w:pPr>
              <w:pStyle w:val="NoSpacing"/>
              <w:rPr>
                <w:sz w:val="20"/>
                <w:szCs w:val="20"/>
              </w:rPr>
            </w:pPr>
            <w:r w:rsidRPr="00FB69B3">
              <w:rPr>
                <w:rFonts w:ascii="AdvTT6bca5eef" w:hAnsi="AdvTT6bca5eef" w:cs="AdvTT6bca5eef"/>
                <w:color w:val="231F20"/>
                <w:sz w:val="20"/>
                <w:szCs w:val="20"/>
              </w:rPr>
              <w:t>.50</w:t>
            </w:r>
          </w:p>
        </w:tc>
        <w:tc>
          <w:tcPr>
            <w:tcW w:w="0" w:type="auto"/>
          </w:tcPr>
          <w:p w14:paraId="1BFAE3EC" w14:textId="77777777" w:rsidR="00044966" w:rsidRPr="00FB69B3" w:rsidRDefault="00044966" w:rsidP="00FB69B3">
            <w:pPr>
              <w:pStyle w:val="NoSpacing"/>
              <w:rPr>
                <w:sz w:val="20"/>
                <w:szCs w:val="20"/>
              </w:rPr>
            </w:pPr>
          </w:p>
        </w:tc>
        <w:tc>
          <w:tcPr>
            <w:tcW w:w="0" w:type="auto"/>
          </w:tcPr>
          <w:p w14:paraId="03068870" w14:textId="77777777" w:rsidR="00044966" w:rsidRPr="00FB69B3" w:rsidRDefault="00044966" w:rsidP="00FB69B3">
            <w:pPr>
              <w:pStyle w:val="NoSpacing"/>
              <w:rPr>
                <w:sz w:val="20"/>
                <w:szCs w:val="20"/>
              </w:rPr>
            </w:pPr>
          </w:p>
        </w:tc>
      </w:tr>
      <w:tr w:rsidR="00044966" w:rsidRPr="00FB69B3" w14:paraId="762AF795" w14:textId="77777777" w:rsidTr="00FB69B3">
        <w:tc>
          <w:tcPr>
            <w:tcW w:w="0" w:type="auto"/>
          </w:tcPr>
          <w:p w14:paraId="5741D41C" w14:textId="496F33E0" w:rsidR="00044966" w:rsidRPr="00FB69B3" w:rsidRDefault="001F2D96"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Coping Ability</w:t>
            </w:r>
          </w:p>
        </w:tc>
        <w:tc>
          <w:tcPr>
            <w:tcW w:w="0" w:type="auto"/>
          </w:tcPr>
          <w:p w14:paraId="13732B5D" w14:textId="77777777" w:rsidR="00044966" w:rsidRPr="00FB69B3" w:rsidRDefault="00044966" w:rsidP="00FB69B3">
            <w:pPr>
              <w:pStyle w:val="NoSpacing"/>
              <w:rPr>
                <w:sz w:val="20"/>
                <w:szCs w:val="20"/>
              </w:rPr>
            </w:pPr>
          </w:p>
        </w:tc>
        <w:tc>
          <w:tcPr>
            <w:tcW w:w="0" w:type="auto"/>
          </w:tcPr>
          <w:p w14:paraId="4453458F" w14:textId="77777777" w:rsidR="00044966" w:rsidRPr="00FB69B3" w:rsidRDefault="00044966" w:rsidP="00FB69B3">
            <w:pPr>
              <w:pStyle w:val="NoSpacing"/>
              <w:rPr>
                <w:sz w:val="20"/>
                <w:szCs w:val="20"/>
              </w:rPr>
            </w:pPr>
          </w:p>
        </w:tc>
        <w:tc>
          <w:tcPr>
            <w:tcW w:w="0" w:type="auto"/>
          </w:tcPr>
          <w:p w14:paraId="49A05052" w14:textId="77777777" w:rsidR="00044966" w:rsidRPr="00FB69B3" w:rsidRDefault="00044966" w:rsidP="00FB69B3">
            <w:pPr>
              <w:pStyle w:val="NoSpacing"/>
              <w:rPr>
                <w:sz w:val="20"/>
                <w:szCs w:val="20"/>
              </w:rPr>
            </w:pPr>
          </w:p>
        </w:tc>
        <w:tc>
          <w:tcPr>
            <w:tcW w:w="0" w:type="auto"/>
          </w:tcPr>
          <w:p w14:paraId="26363DAC" w14:textId="77777777" w:rsidR="00044966" w:rsidRPr="00FB69B3" w:rsidRDefault="00044966" w:rsidP="00FB69B3">
            <w:pPr>
              <w:pStyle w:val="NoSpacing"/>
              <w:rPr>
                <w:sz w:val="20"/>
                <w:szCs w:val="20"/>
              </w:rPr>
            </w:pPr>
          </w:p>
        </w:tc>
        <w:tc>
          <w:tcPr>
            <w:tcW w:w="0" w:type="auto"/>
          </w:tcPr>
          <w:p w14:paraId="09E8A7D6" w14:textId="77777777" w:rsidR="00044966" w:rsidRPr="00FB69B3" w:rsidRDefault="00044966" w:rsidP="00FB69B3">
            <w:pPr>
              <w:pStyle w:val="NoSpacing"/>
              <w:rPr>
                <w:sz w:val="20"/>
                <w:szCs w:val="20"/>
              </w:rPr>
            </w:pPr>
          </w:p>
        </w:tc>
        <w:tc>
          <w:tcPr>
            <w:tcW w:w="0" w:type="auto"/>
          </w:tcPr>
          <w:p w14:paraId="3D7B60A2" w14:textId="77777777" w:rsidR="00044966" w:rsidRPr="00FB69B3" w:rsidRDefault="00044966" w:rsidP="00FB69B3">
            <w:pPr>
              <w:pStyle w:val="NoSpacing"/>
              <w:rPr>
                <w:sz w:val="20"/>
                <w:szCs w:val="20"/>
              </w:rPr>
            </w:pPr>
          </w:p>
        </w:tc>
        <w:tc>
          <w:tcPr>
            <w:tcW w:w="0" w:type="auto"/>
          </w:tcPr>
          <w:p w14:paraId="413700EA" w14:textId="77777777" w:rsidR="00044966" w:rsidRPr="00FB69B3" w:rsidRDefault="00044966" w:rsidP="00FB69B3">
            <w:pPr>
              <w:pStyle w:val="NoSpacing"/>
              <w:rPr>
                <w:sz w:val="20"/>
                <w:szCs w:val="20"/>
              </w:rPr>
            </w:pPr>
          </w:p>
        </w:tc>
      </w:tr>
      <w:tr w:rsidR="00044966" w:rsidRPr="00FB69B3" w14:paraId="38744E45" w14:textId="77777777" w:rsidTr="00FB69B3">
        <w:tc>
          <w:tcPr>
            <w:tcW w:w="0" w:type="auto"/>
          </w:tcPr>
          <w:p w14:paraId="48592744" w14:textId="0917E153" w:rsidR="00044966" w:rsidRPr="00FB69B3" w:rsidRDefault="001F2D96"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 xml:space="preserve">RN15 (handle demands)a </w:t>
            </w:r>
          </w:p>
        </w:tc>
        <w:tc>
          <w:tcPr>
            <w:tcW w:w="0" w:type="auto"/>
          </w:tcPr>
          <w:p w14:paraId="1F443432" w14:textId="77777777" w:rsidR="00044966" w:rsidRPr="00FB69B3" w:rsidRDefault="00044966" w:rsidP="00FB69B3">
            <w:pPr>
              <w:pStyle w:val="NoSpacing"/>
              <w:rPr>
                <w:sz w:val="20"/>
                <w:szCs w:val="20"/>
              </w:rPr>
            </w:pPr>
          </w:p>
        </w:tc>
        <w:tc>
          <w:tcPr>
            <w:tcW w:w="0" w:type="auto"/>
          </w:tcPr>
          <w:p w14:paraId="16932980" w14:textId="77777777" w:rsidR="00044966" w:rsidRPr="00FB69B3" w:rsidRDefault="00044966" w:rsidP="00FB69B3">
            <w:pPr>
              <w:pStyle w:val="NoSpacing"/>
              <w:rPr>
                <w:sz w:val="20"/>
                <w:szCs w:val="20"/>
              </w:rPr>
            </w:pPr>
          </w:p>
        </w:tc>
        <w:tc>
          <w:tcPr>
            <w:tcW w:w="0" w:type="auto"/>
          </w:tcPr>
          <w:p w14:paraId="26ABC3FB" w14:textId="478F7E59" w:rsidR="00044966" w:rsidRPr="00FB69B3" w:rsidRDefault="00F27109" w:rsidP="00FB69B3">
            <w:pPr>
              <w:pStyle w:val="NoSpacing"/>
              <w:rPr>
                <w:sz w:val="20"/>
                <w:szCs w:val="20"/>
              </w:rPr>
            </w:pPr>
            <w:r w:rsidRPr="00FB69B3">
              <w:rPr>
                <w:rFonts w:ascii="AdvTT6bca5eef" w:hAnsi="AdvTT6bca5eef" w:cs="AdvTT6bca5eef"/>
                <w:color w:val="231F20"/>
                <w:sz w:val="20"/>
                <w:szCs w:val="20"/>
              </w:rPr>
              <w:t xml:space="preserve">.86 </w:t>
            </w:r>
          </w:p>
        </w:tc>
        <w:tc>
          <w:tcPr>
            <w:tcW w:w="0" w:type="auto"/>
          </w:tcPr>
          <w:p w14:paraId="268A3BAB" w14:textId="77777777" w:rsidR="00044966" w:rsidRPr="00FB69B3" w:rsidRDefault="00044966" w:rsidP="00FB69B3">
            <w:pPr>
              <w:pStyle w:val="NoSpacing"/>
              <w:rPr>
                <w:sz w:val="20"/>
                <w:szCs w:val="20"/>
              </w:rPr>
            </w:pPr>
          </w:p>
        </w:tc>
        <w:tc>
          <w:tcPr>
            <w:tcW w:w="0" w:type="auto"/>
          </w:tcPr>
          <w:p w14:paraId="201FCD8A" w14:textId="66EEE83B" w:rsidR="00044966" w:rsidRPr="00FB69B3" w:rsidRDefault="00F27109" w:rsidP="00FB69B3">
            <w:pPr>
              <w:pStyle w:val="NoSpacing"/>
              <w:rPr>
                <w:sz w:val="20"/>
                <w:szCs w:val="20"/>
              </w:rPr>
            </w:pPr>
            <w:r w:rsidRPr="00FB69B3">
              <w:rPr>
                <w:rFonts w:ascii="AdvTT6bca5eef" w:hAnsi="AdvTT6bca5eef" w:cs="AdvTT6bca5eef"/>
                <w:color w:val="231F20"/>
                <w:sz w:val="20"/>
                <w:szCs w:val="20"/>
              </w:rPr>
              <w:t>.84</w:t>
            </w:r>
          </w:p>
        </w:tc>
        <w:tc>
          <w:tcPr>
            <w:tcW w:w="0" w:type="auto"/>
          </w:tcPr>
          <w:p w14:paraId="7F1CE65E" w14:textId="77777777" w:rsidR="00044966" w:rsidRPr="00FB69B3" w:rsidRDefault="00044966" w:rsidP="00FB69B3">
            <w:pPr>
              <w:pStyle w:val="NoSpacing"/>
              <w:rPr>
                <w:sz w:val="20"/>
                <w:szCs w:val="20"/>
              </w:rPr>
            </w:pPr>
          </w:p>
        </w:tc>
        <w:tc>
          <w:tcPr>
            <w:tcW w:w="0" w:type="auto"/>
          </w:tcPr>
          <w:p w14:paraId="12BEB00B" w14:textId="77777777" w:rsidR="00044966" w:rsidRPr="00FB69B3" w:rsidRDefault="00044966" w:rsidP="00FB69B3">
            <w:pPr>
              <w:pStyle w:val="NoSpacing"/>
              <w:rPr>
                <w:sz w:val="20"/>
                <w:szCs w:val="20"/>
              </w:rPr>
            </w:pPr>
          </w:p>
        </w:tc>
      </w:tr>
      <w:tr w:rsidR="00044966" w:rsidRPr="00FB69B3" w14:paraId="445FAD51" w14:textId="77777777" w:rsidTr="00FB69B3">
        <w:tc>
          <w:tcPr>
            <w:tcW w:w="0" w:type="auto"/>
          </w:tcPr>
          <w:p w14:paraId="7C04CB96" w14:textId="615D4699" w:rsidR="00044966" w:rsidRPr="00FB69B3" w:rsidRDefault="00584F0B"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 xml:space="preserve">RN16 (personal care)a </w:t>
            </w:r>
          </w:p>
        </w:tc>
        <w:tc>
          <w:tcPr>
            <w:tcW w:w="0" w:type="auto"/>
          </w:tcPr>
          <w:p w14:paraId="5F033798" w14:textId="77777777" w:rsidR="00044966" w:rsidRPr="00FB69B3" w:rsidRDefault="00044966" w:rsidP="00FB69B3">
            <w:pPr>
              <w:pStyle w:val="NoSpacing"/>
              <w:rPr>
                <w:sz w:val="20"/>
                <w:szCs w:val="20"/>
              </w:rPr>
            </w:pPr>
          </w:p>
        </w:tc>
        <w:tc>
          <w:tcPr>
            <w:tcW w:w="0" w:type="auto"/>
          </w:tcPr>
          <w:p w14:paraId="1978B709" w14:textId="77777777" w:rsidR="00044966" w:rsidRPr="00FB69B3" w:rsidRDefault="00044966" w:rsidP="00FB69B3">
            <w:pPr>
              <w:pStyle w:val="NoSpacing"/>
              <w:rPr>
                <w:sz w:val="20"/>
                <w:szCs w:val="20"/>
              </w:rPr>
            </w:pPr>
          </w:p>
        </w:tc>
        <w:tc>
          <w:tcPr>
            <w:tcW w:w="0" w:type="auto"/>
          </w:tcPr>
          <w:p w14:paraId="47128E90" w14:textId="2D9477B4" w:rsidR="00044966" w:rsidRPr="00FB69B3" w:rsidRDefault="00F27109" w:rsidP="00FB69B3">
            <w:pPr>
              <w:pStyle w:val="NoSpacing"/>
              <w:rPr>
                <w:sz w:val="20"/>
                <w:szCs w:val="20"/>
              </w:rPr>
            </w:pPr>
            <w:r w:rsidRPr="00FB69B3">
              <w:rPr>
                <w:rFonts w:ascii="AdvTT6bca5eef" w:hAnsi="AdvTT6bca5eef" w:cs="AdvTT6bca5eef"/>
                <w:color w:val="231F20"/>
                <w:sz w:val="20"/>
                <w:szCs w:val="20"/>
              </w:rPr>
              <w:t xml:space="preserve">.86 </w:t>
            </w:r>
          </w:p>
        </w:tc>
        <w:tc>
          <w:tcPr>
            <w:tcW w:w="0" w:type="auto"/>
          </w:tcPr>
          <w:p w14:paraId="2DF4104B" w14:textId="77777777" w:rsidR="00044966" w:rsidRPr="00FB69B3" w:rsidRDefault="00044966" w:rsidP="00FB69B3">
            <w:pPr>
              <w:pStyle w:val="NoSpacing"/>
              <w:rPr>
                <w:sz w:val="20"/>
                <w:szCs w:val="20"/>
              </w:rPr>
            </w:pPr>
          </w:p>
        </w:tc>
        <w:tc>
          <w:tcPr>
            <w:tcW w:w="0" w:type="auto"/>
          </w:tcPr>
          <w:p w14:paraId="0721C8E5" w14:textId="33C10A42" w:rsidR="00044966" w:rsidRPr="00FB69B3" w:rsidRDefault="00F27109" w:rsidP="00FB69B3">
            <w:pPr>
              <w:pStyle w:val="NoSpacing"/>
              <w:rPr>
                <w:sz w:val="20"/>
                <w:szCs w:val="20"/>
              </w:rPr>
            </w:pPr>
            <w:r w:rsidRPr="00FB69B3">
              <w:rPr>
                <w:rFonts w:ascii="AdvTT6bca5eef" w:hAnsi="AdvTT6bca5eef" w:cs="AdvTT6bca5eef"/>
                <w:color w:val="231F20"/>
                <w:sz w:val="20"/>
                <w:szCs w:val="20"/>
              </w:rPr>
              <w:t>.82</w:t>
            </w:r>
          </w:p>
        </w:tc>
        <w:tc>
          <w:tcPr>
            <w:tcW w:w="0" w:type="auto"/>
          </w:tcPr>
          <w:p w14:paraId="36249CC9" w14:textId="77777777" w:rsidR="00044966" w:rsidRPr="00FB69B3" w:rsidRDefault="00044966" w:rsidP="00FB69B3">
            <w:pPr>
              <w:pStyle w:val="NoSpacing"/>
              <w:rPr>
                <w:sz w:val="20"/>
                <w:szCs w:val="20"/>
              </w:rPr>
            </w:pPr>
          </w:p>
        </w:tc>
        <w:tc>
          <w:tcPr>
            <w:tcW w:w="0" w:type="auto"/>
          </w:tcPr>
          <w:p w14:paraId="359F8936" w14:textId="77777777" w:rsidR="00044966" w:rsidRPr="00FB69B3" w:rsidRDefault="00044966" w:rsidP="00FB69B3">
            <w:pPr>
              <w:pStyle w:val="NoSpacing"/>
              <w:rPr>
                <w:sz w:val="20"/>
                <w:szCs w:val="20"/>
              </w:rPr>
            </w:pPr>
          </w:p>
        </w:tc>
      </w:tr>
      <w:tr w:rsidR="00584F0B" w:rsidRPr="00FB69B3" w14:paraId="15ECD911" w14:textId="77777777" w:rsidTr="00FB69B3">
        <w:tc>
          <w:tcPr>
            <w:tcW w:w="0" w:type="auto"/>
          </w:tcPr>
          <w:p w14:paraId="318B6A0D" w14:textId="34243A58" w:rsidR="00584F0B" w:rsidRPr="00FB69B3" w:rsidRDefault="00584F0B"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 xml:space="preserve">RN17 (medical treatments) </w:t>
            </w:r>
          </w:p>
        </w:tc>
        <w:tc>
          <w:tcPr>
            <w:tcW w:w="0" w:type="auto"/>
          </w:tcPr>
          <w:p w14:paraId="4C704CC3" w14:textId="77777777" w:rsidR="00584F0B" w:rsidRPr="00FB69B3" w:rsidRDefault="00584F0B" w:rsidP="00FB69B3">
            <w:pPr>
              <w:pStyle w:val="NoSpacing"/>
              <w:rPr>
                <w:sz w:val="20"/>
                <w:szCs w:val="20"/>
              </w:rPr>
            </w:pPr>
          </w:p>
        </w:tc>
        <w:tc>
          <w:tcPr>
            <w:tcW w:w="0" w:type="auto"/>
          </w:tcPr>
          <w:p w14:paraId="0B3DBF17" w14:textId="77777777" w:rsidR="00584F0B" w:rsidRPr="00FB69B3" w:rsidRDefault="00584F0B" w:rsidP="00FB69B3">
            <w:pPr>
              <w:pStyle w:val="NoSpacing"/>
              <w:rPr>
                <w:sz w:val="20"/>
                <w:szCs w:val="20"/>
              </w:rPr>
            </w:pPr>
          </w:p>
        </w:tc>
        <w:tc>
          <w:tcPr>
            <w:tcW w:w="0" w:type="auto"/>
          </w:tcPr>
          <w:p w14:paraId="5AD89E8F" w14:textId="41D5939C" w:rsidR="00584F0B" w:rsidRPr="00FB69B3" w:rsidRDefault="00F27109" w:rsidP="00FB69B3">
            <w:pPr>
              <w:pStyle w:val="NoSpacing"/>
              <w:rPr>
                <w:sz w:val="20"/>
                <w:szCs w:val="20"/>
              </w:rPr>
            </w:pPr>
            <w:r w:rsidRPr="00FB69B3">
              <w:rPr>
                <w:rFonts w:ascii="AdvTT6bca5eef" w:hAnsi="AdvTT6bca5eef" w:cs="AdvTT6bca5eef"/>
                <w:color w:val="231F20"/>
                <w:sz w:val="20"/>
                <w:szCs w:val="20"/>
              </w:rPr>
              <w:t xml:space="preserve">.85 </w:t>
            </w:r>
          </w:p>
        </w:tc>
        <w:tc>
          <w:tcPr>
            <w:tcW w:w="0" w:type="auto"/>
          </w:tcPr>
          <w:p w14:paraId="4347BF8C" w14:textId="77777777" w:rsidR="00584F0B" w:rsidRPr="00FB69B3" w:rsidRDefault="00584F0B" w:rsidP="00FB69B3">
            <w:pPr>
              <w:pStyle w:val="NoSpacing"/>
              <w:rPr>
                <w:sz w:val="20"/>
                <w:szCs w:val="20"/>
              </w:rPr>
            </w:pPr>
          </w:p>
        </w:tc>
        <w:tc>
          <w:tcPr>
            <w:tcW w:w="0" w:type="auto"/>
          </w:tcPr>
          <w:p w14:paraId="328C3168" w14:textId="398C8D0E" w:rsidR="00584F0B" w:rsidRPr="00FB69B3" w:rsidRDefault="00F27109" w:rsidP="00FB69B3">
            <w:pPr>
              <w:pStyle w:val="NoSpacing"/>
              <w:rPr>
                <w:sz w:val="20"/>
                <w:szCs w:val="20"/>
              </w:rPr>
            </w:pPr>
            <w:r w:rsidRPr="00FB69B3">
              <w:rPr>
                <w:rFonts w:ascii="AdvTT6bca5eef" w:hAnsi="AdvTT6bca5eef" w:cs="AdvTT6bca5eef"/>
                <w:color w:val="231F20"/>
                <w:sz w:val="20"/>
                <w:szCs w:val="20"/>
              </w:rPr>
              <w:t>.82</w:t>
            </w:r>
          </w:p>
        </w:tc>
        <w:tc>
          <w:tcPr>
            <w:tcW w:w="0" w:type="auto"/>
          </w:tcPr>
          <w:p w14:paraId="47502A90" w14:textId="77777777" w:rsidR="00584F0B" w:rsidRPr="00FB69B3" w:rsidRDefault="00584F0B" w:rsidP="00FB69B3">
            <w:pPr>
              <w:pStyle w:val="NoSpacing"/>
              <w:rPr>
                <w:sz w:val="20"/>
                <w:szCs w:val="20"/>
              </w:rPr>
            </w:pPr>
          </w:p>
        </w:tc>
        <w:tc>
          <w:tcPr>
            <w:tcW w:w="0" w:type="auto"/>
          </w:tcPr>
          <w:p w14:paraId="697DB099" w14:textId="77777777" w:rsidR="00584F0B" w:rsidRPr="00FB69B3" w:rsidRDefault="00584F0B" w:rsidP="00FB69B3">
            <w:pPr>
              <w:pStyle w:val="NoSpacing"/>
              <w:rPr>
                <w:sz w:val="20"/>
                <w:szCs w:val="20"/>
              </w:rPr>
            </w:pPr>
          </w:p>
        </w:tc>
      </w:tr>
      <w:tr w:rsidR="00584F0B" w:rsidRPr="00FB69B3" w14:paraId="0AF0FDAC" w14:textId="77777777" w:rsidTr="00FB69B3">
        <w:tc>
          <w:tcPr>
            <w:tcW w:w="0" w:type="auto"/>
          </w:tcPr>
          <w:p w14:paraId="52C1A5DE" w14:textId="1546B081" w:rsidR="00584F0B" w:rsidRPr="00FB69B3" w:rsidRDefault="00584F0B"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Expected Support</w:t>
            </w:r>
          </w:p>
        </w:tc>
        <w:tc>
          <w:tcPr>
            <w:tcW w:w="0" w:type="auto"/>
          </w:tcPr>
          <w:p w14:paraId="6A0525E4" w14:textId="77777777" w:rsidR="00584F0B" w:rsidRPr="00FB69B3" w:rsidRDefault="00584F0B" w:rsidP="00FB69B3">
            <w:pPr>
              <w:pStyle w:val="NoSpacing"/>
              <w:rPr>
                <w:sz w:val="20"/>
                <w:szCs w:val="20"/>
              </w:rPr>
            </w:pPr>
          </w:p>
        </w:tc>
        <w:tc>
          <w:tcPr>
            <w:tcW w:w="0" w:type="auto"/>
          </w:tcPr>
          <w:p w14:paraId="628B7969" w14:textId="77777777" w:rsidR="00584F0B" w:rsidRPr="00FB69B3" w:rsidRDefault="00584F0B" w:rsidP="00FB69B3">
            <w:pPr>
              <w:pStyle w:val="NoSpacing"/>
              <w:rPr>
                <w:sz w:val="20"/>
                <w:szCs w:val="20"/>
              </w:rPr>
            </w:pPr>
          </w:p>
        </w:tc>
        <w:tc>
          <w:tcPr>
            <w:tcW w:w="0" w:type="auto"/>
          </w:tcPr>
          <w:p w14:paraId="1BBDAC54" w14:textId="77777777" w:rsidR="00584F0B" w:rsidRPr="00FB69B3" w:rsidRDefault="00584F0B" w:rsidP="00FB69B3">
            <w:pPr>
              <w:pStyle w:val="NoSpacing"/>
              <w:rPr>
                <w:sz w:val="20"/>
                <w:szCs w:val="20"/>
              </w:rPr>
            </w:pPr>
          </w:p>
        </w:tc>
        <w:tc>
          <w:tcPr>
            <w:tcW w:w="0" w:type="auto"/>
          </w:tcPr>
          <w:p w14:paraId="5688DDAB" w14:textId="77777777" w:rsidR="00584F0B" w:rsidRPr="00FB69B3" w:rsidRDefault="00584F0B" w:rsidP="00FB69B3">
            <w:pPr>
              <w:pStyle w:val="NoSpacing"/>
              <w:rPr>
                <w:sz w:val="20"/>
                <w:szCs w:val="20"/>
              </w:rPr>
            </w:pPr>
          </w:p>
        </w:tc>
        <w:tc>
          <w:tcPr>
            <w:tcW w:w="0" w:type="auto"/>
          </w:tcPr>
          <w:p w14:paraId="5BACCA14" w14:textId="77777777" w:rsidR="00584F0B" w:rsidRPr="00FB69B3" w:rsidRDefault="00584F0B" w:rsidP="00FB69B3">
            <w:pPr>
              <w:pStyle w:val="NoSpacing"/>
              <w:rPr>
                <w:sz w:val="20"/>
                <w:szCs w:val="20"/>
              </w:rPr>
            </w:pPr>
          </w:p>
        </w:tc>
        <w:tc>
          <w:tcPr>
            <w:tcW w:w="0" w:type="auto"/>
          </w:tcPr>
          <w:p w14:paraId="0ED13CC2" w14:textId="77777777" w:rsidR="00584F0B" w:rsidRPr="00FB69B3" w:rsidRDefault="00584F0B" w:rsidP="00FB69B3">
            <w:pPr>
              <w:pStyle w:val="NoSpacing"/>
              <w:rPr>
                <w:sz w:val="20"/>
                <w:szCs w:val="20"/>
              </w:rPr>
            </w:pPr>
          </w:p>
        </w:tc>
        <w:tc>
          <w:tcPr>
            <w:tcW w:w="0" w:type="auto"/>
          </w:tcPr>
          <w:p w14:paraId="0C1489A4" w14:textId="77777777" w:rsidR="00584F0B" w:rsidRPr="00FB69B3" w:rsidRDefault="00584F0B" w:rsidP="00FB69B3">
            <w:pPr>
              <w:pStyle w:val="NoSpacing"/>
              <w:rPr>
                <w:sz w:val="20"/>
                <w:szCs w:val="20"/>
              </w:rPr>
            </w:pPr>
          </w:p>
        </w:tc>
      </w:tr>
      <w:tr w:rsidR="00584F0B" w:rsidRPr="00FB69B3" w14:paraId="369631A1" w14:textId="77777777" w:rsidTr="00FB69B3">
        <w:tc>
          <w:tcPr>
            <w:tcW w:w="0" w:type="auto"/>
          </w:tcPr>
          <w:p w14:paraId="656DBDB2" w14:textId="6D80BCAB" w:rsidR="00584F0B" w:rsidRPr="00FB69B3" w:rsidRDefault="00584F0B"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 xml:space="preserve">RN18 (emotional support) </w:t>
            </w:r>
          </w:p>
        </w:tc>
        <w:tc>
          <w:tcPr>
            <w:tcW w:w="0" w:type="auto"/>
          </w:tcPr>
          <w:p w14:paraId="3E132FE1" w14:textId="77777777" w:rsidR="00584F0B" w:rsidRPr="00FB69B3" w:rsidRDefault="00584F0B" w:rsidP="00FB69B3">
            <w:pPr>
              <w:pStyle w:val="NoSpacing"/>
              <w:rPr>
                <w:sz w:val="20"/>
                <w:szCs w:val="20"/>
              </w:rPr>
            </w:pPr>
          </w:p>
        </w:tc>
        <w:tc>
          <w:tcPr>
            <w:tcW w:w="0" w:type="auto"/>
          </w:tcPr>
          <w:p w14:paraId="012098E5" w14:textId="77777777" w:rsidR="00584F0B" w:rsidRPr="00FB69B3" w:rsidRDefault="00584F0B" w:rsidP="00FB69B3">
            <w:pPr>
              <w:pStyle w:val="NoSpacing"/>
              <w:rPr>
                <w:sz w:val="20"/>
                <w:szCs w:val="20"/>
              </w:rPr>
            </w:pPr>
          </w:p>
        </w:tc>
        <w:tc>
          <w:tcPr>
            <w:tcW w:w="0" w:type="auto"/>
          </w:tcPr>
          <w:p w14:paraId="5A96279C" w14:textId="77777777" w:rsidR="00584F0B" w:rsidRPr="00FB69B3" w:rsidRDefault="00584F0B" w:rsidP="00FB69B3">
            <w:pPr>
              <w:pStyle w:val="NoSpacing"/>
              <w:rPr>
                <w:sz w:val="20"/>
                <w:szCs w:val="20"/>
              </w:rPr>
            </w:pPr>
          </w:p>
        </w:tc>
        <w:tc>
          <w:tcPr>
            <w:tcW w:w="0" w:type="auto"/>
          </w:tcPr>
          <w:p w14:paraId="4D7A8222" w14:textId="5131A628" w:rsidR="00584F0B" w:rsidRPr="00FB69B3" w:rsidRDefault="00F27109" w:rsidP="00FB69B3">
            <w:pPr>
              <w:pStyle w:val="NoSpacing"/>
              <w:rPr>
                <w:sz w:val="20"/>
                <w:szCs w:val="20"/>
              </w:rPr>
            </w:pPr>
            <w:r w:rsidRPr="00FB69B3">
              <w:rPr>
                <w:rFonts w:ascii="AdvTT6bca5eef" w:hAnsi="AdvTT6bca5eef" w:cs="AdvTT6bca5eef"/>
                <w:color w:val="231F20"/>
                <w:sz w:val="20"/>
                <w:szCs w:val="20"/>
              </w:rPr>
              <w:t xml:space="preserve">.58 </w:t>
            </w:r>
          </w:p>
        </w:tc>
        <w:tc>
          <w:tcPr>
            <w:tcW w:w="0" w:type="auto"/>
          </w:tcPr>
          <w:p w14:paraId="6FDF3E52" w14:textId="77777777" w:rsidR="00584F0B" w:rsidRPr="00FB69B3" w:rsidRDefault="00584F0B" w:rsidP="00FB69B3">
            <w:pPr>
              <w:pStyle w:val="NoSpacing"/>
              <w:rPr>
                <w:sz w:val="20"/>
                <w:szCs w:val="20"/>
              </w:rPr>
            </w:pPr>
          </w:p>
        </w:tc>
        <w:tc>
          <w:tcPr>
            <w:tcW w:w="0" w:type="auto"/>
          </w:tcPr>
          <w:p w14:paraId="6266C62D" w14:textId="78C02492" w:rsidR="00584F0B" w:rsidRPr="00FB69B3" w:rsidRDefault="00F27109" w:rsidP="00FB69B3">
            <w:pPr>
              <w:pStyle w:val="NoSpacing"/>
              <w:rPr>
                <w:sz w:val="20"/>
                <w:szCs w:val="20"/>
              </w:rPr>
            </w:pPr>
            <w:r w:rsidRPr="00FB69B3">
              <w:rPr>
                <w:rFonts w:ascii="AdvTT6bca5eef" w:hAnsi="AdvTT6bca5eef" w:cs="AdvTT6bca5eef"/>
                <w:color w:val="231F20"/>
                <w:sz w:val="20"/>
                <w:szCs w:val="20"/>
              </w:rPr>
              <w:t>.48</w:t>
            </w:r>
          </w:p>
        </w:tc>
        <w:tc>
          <w:tcPr>
            <w:tcW w:w="0" w:type="auto"/>
          </w:tcPr>
          <w:p w14:paraId="1BCD85E4" w14:textId="77777777" w:rsidR="00584F0B" w:rsidRPr="00FB69B3" w:rsidRDefault="00584F0B" w:rsidP="00FB69B3">
            <w:pPr>
              <w:pStyle w:val="NoSpacing"/>
              <w:rPr>
                <w:sz w:val="20"/>
                <w:szCs w:val="20"/>
              </w:rPr>
            </w:pPr>
          </w:p>
        </w:tc>
      </w:tr>
      <w:tr w:rsidR="00584F0B" w:rsidRPr="00FB69B3" w14:paraId="01889036" w14:textId="77777777" w:rsidTr="00FB69B3">
        <w:tc>
          <w:tcPr>
            <w:tcW w:w="0" w:type="auto"/>
          </w:tcPr>
          <w:p w14:paraId="3A018080" w14:textId="6A82D383" w:rsidR="00584F0B" w:rsidRPr="00FB69B3" w:rsidRDefault="00584F0B"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RN19 (help with personal care)</w:t>
            </w:r>
            <w:r w:rsidRPr="00F27109">
              <w:rPr>
                <w:rFonts w:ascii="AdvTT6bca5eef" w:hAnsi="AdvTT6bca5eef" w:cs="AdvTT6bca5eef"/>
                <w:color w:val="231F20"/>
                <w:sz w:val="20"/>
                <w:szCs w:val="20"/>
                <w:vertAlign w:val="superscript"/>
              </w:rPr>
              <w:t xml:space="preserve"> a</w:t>
            </w:r>
            <w:r w:rsidRPr="00FB69B3">
              <w:rPr>
                <w:rFonts w:ascii="AdvTT6bca5eef" w:hAnsi="AdvTT6bca5eef" w:cs="AdvTT6bca5eef"/>
                <w:color w:val="231F20"/>
                <w:sz w:val="20"/>
                <w:szCs w:val="20"/>
              </w:rPr>
              <w:t xml:space="preserve"> </w:t>
            </w:r>
          </w:p>
        </w:tc>
        <w:tc>
          <w:tcPr>
            <w:tcW w:w="0" w:type="auto"/>
          </w:tcPr>
          <w:p w14:paraId="66AB8304" w14:textId="77777777" w:rsidR="00584F0B" w:rsidRPr="00FB69B3" w:rsidRDefault="00584F0B" w:rsidP="00FB69B3">
            <w:pPr>
              <w:pStyle w:val="NoSpacing"/>
              <w:rPr>
                <w:sz w:val="20"/>
                <w:szCs w:val="20"/>
              </w:rPr>
            </w:pPr>
          </w:p>
        </w:tc>
        <w:tc>
          <w:tcPr>
            <w:tcW w:w="0" w:type="auto"/>
          </w:tcPr>
          <w:p w14:paraId="5CCE2C75" w14:textId="77777777" w:rsidR="00584F0B" w:rsidRPr="00FB69B3" w:rsidRDefault="00584F0B" w:rsidP="00FB69B3">
            <w:pPr>
              <w:pStyle w:val="NoSpacing"/>
              <w:rPr>
                <w:sz w:val="20"/>
                <w:szCs w:val="20"/>
              </w:rPr>
            </w:pPr>
          </w:p>
        </w:tc>
        <w:tc>
          <w:tcPr>
            <w:tcW w:w="0" w:type="auto"/>
          </w:tcPr>
          <w:p w14:paraId="6C8C75F1" w14:textId="77777777" w:rsidR="00584F0B" w:rsidRPr="00FB69B3" w:rsidRDefault="00584F0B" w:rsidP="00FB69B3">
            <w:pPr>
              <w:pStyle w:val="NoSpacing"/>
              <w:rPr>
                <w:sz w:val="20"/>
                <w:szCs w:val="20"/>
              </w:rPr>
            </w:pPr>
          </w:p>
        </w:tc>
        <w:tc>
          <w:tcPr>
            <w:tcW w:w="0" w:type="auto"/>
          </w:tcPr>
          <w:p w14:paraId="63959EE7" w14:textId="2A3F43CC" w:rsidR="00584F0B" w:rsidRPr="00FB69B3" w:rsidRDefault="00F27109" w:rsidP="00FB69B3">
            <w:pPr>
              <w:pStyle w:val="NoSpacing"/>
              <w:rPr>
                <w:sz w:val="20"/>
                <w:szCs w:val="20"/>
              </w:rPr>
            </w:pPr>
            <w:r w:rsidRPr="00FB69B3">
              <w:rPr>
                <w:rFonts w:ascii="AdvTT6bca5eef" w:hAnsi="AdvTT6bca5eef" w:cs="AdvTT6bca5eef"/>
                <w:color w:val="231F20"/>
                <w:sz w:val="20"/>
                <w:szCs w:val="20"/>
              </w:rPr>
              <w:t xml:space="preserve">.79 </w:t>
            </w:r>
          </w:p>
        </w:tc>
        <w:tc>
          <w:tcPr>
            <w:tcW w:w="0" w:type="auto"/>
          </w:tcPr>
          <w:p w14:paraId="7DFDE399" w14:textId="77777777" w:rsidR="00584F0B" w:rsidRPr="00FB69B3" w:rsidRDefault="00584F0B" w:rsidP="00FB69B3">
            <w:pPr>
              <w:pStyle w:val="NoSpacing"/>
              <w:rPr>
                <w:sz w:val="20"/>
                <w:szCs w:val="20"/>
              </w:rPr>
            </w:pPr>
          </w:p>
        </w:tc>
        <w:tc>
          <w:tcPr>
            <w:tcW w:w="0" w:type="auto"/>
          </w:tcPr>
          <w:p w14:paraId="10116310" w14:textId="5818A580" w:rsidR="00584F0B" w:rsidRPr="00FB69B3" w:rsidRDefault="00F27109" w:rsidP="00FB69B3">
            <w:pPr>
              <w:pStyle w:val="NoSpacing"/>
              <w:rPr>
                <w:sz w:val="20"/>
                <w:szCs w:val="20"/>
              </w:rPr>
            </w:pPr>
            <w:r w:rsidRPr="00FB69B3">
              <w:rPr>
                <w:rFonts w:ascii="AdvTT6bca5eef" w:hAnsi="AdvTT6bca5eef" w:cs="AdvTT6bca5eef"/>
                <w:color w:val="231F20"/>
                <w:sz w:val="20"/>
                <w:szCs w:val="20"/>
              </w:rPr>
              <w:t>.78</w:t>
            </w:r>
          </w:p>
        </w:tc>
        <w:tc>
          <w:tcPr>
            <w:tcW w:w="0" w:type="auto"/>
          </w:tcPr>
          <w:p w14:paraId="061227AB" w14:textId="77777777" w:rsidR="00584F0B" w:rsidRPr="00FB69B3" w:rsidRDefault="00584F0B" w:rsidP="00FB69B3">
            <w:pPr>
              <w:pStyle w:val="NoSpacing"/>
              <w:rPr>
                <w:sz w:val="20"/>
                <w:szCs w:val="20"/>
              </w:rPr>
            </w:pPr>
          </w:p>
        </w:tc>
      </w:tr>
      <w:tr w:rsidR="00584F0B" w:rsidRPr="00FB69B3" w14:paraId="3F0934CF" w14:textId="77777777" w:rsidTr="00FB69B3">
        <w:tc>
          <w:tcPr>
            <w:tcW w:w="0" w:type="auto"/>
          </w:tcPr>
          <w:p w14:paraId="2AE88BCC" w14:textId="1C95C670" w:rsidR="00584F0B" w:rsidRPr="00FB69B3" w:rsidRDefault="00584F0B"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 xml:space="preserve">RN20 (help with household) </w:t>
            </w:r>
          </w:p>
        </w:tc>
        <w:tc>
          <w:tcPr>
            <w:tcW w:w="0" w:type="auto"/>
          </w:tcPr>
          <w:p w14:paraId="3647ED59" w14:textId="77777777" w:rsidR="00584F0B" w:rsidRPr="00FB69B3" w:rsidRDefault="00584F0B" w:rsidP="00FB69B3">
            <w:pPr>
              <w:pStyle w:val="NoSpacing"/>
              <w:rPr>
                <w:sz w:val="20"/>
                <w:szCs w:val="20"/>
              </w:rPr>
            </w:pPr>
          </w:p>
        </w:tc>
        <w:tc>
          <w:tcPr>
            <w:tcW w:w="0" w:type="auto"/>
          </w:tcPr>
          <w:p w14:paraId="006939D1" w14:textId="77777777" w:rsidR="00584F0B" w:rsidRPr="00FB69B3" w:rsidRDefault="00584F0B" w:rsidP="00FB69B3">
            <w:pPr>
              <w:pStyle w:val="NoSpacing"/>
              <w:rPr>
                <w:sz w:val="20"/>
                <w:szCs w:val="20"/>
              </w:rPr>
            </w:pPr>
          </w:p>
        </w:tc>
        <w:tc>
          <w:tcPr>
            <w:tcW w:w="0" w:type="auto"/>
          </w:tcPr>
          <w:p w14:paraId="5FDBA92B" w14:textId="77777777" w:rsidR="00584F0B" w:rsidRPr="00FB69B3" w:rsidRDefault="00584F0B" w:rsidP="00FB69B3">
            <w:pPr>
              <w:pStyle w:val="NoSpacing"/>
              <w:rPr>
                <w:sz w:val="20"/>
                <w:szCs w:val="20"/>
              </w:rPr>
            </w:pPr>
          </w:p>
        </w:tc>
        <w:tc>
          <w:tcPr>
            <w:tcW w:w="0" w:type="auto"/>
          </w:tcPr>
          <w:p w14:paraId="08F5B0D7" w14:textId="14AF328F" w:rsidR="00584F0B" w:rsidRPr="00FB69B3" w:rsidRDefault="00F27109" w:rsidP="00FB69B3">
            <w:pPr>
              <w:pStyle w:val="NoSpacing"/>
              <w:rPr>
                <w:sz w:val="20"/>
                <w:szCs w:val="20"/>
              </w:rPr>
            </w:pPr>
            <w:r w:rsidRPr="00FB69B3">
              <w:rPr>
                <w:rFonts w:ascii="AdvTT6bca5eef" w:hAnsi="AdvTT6bca5eef" w:cs="AdvTT6bca5eef"/>
                <w:color w:val="231F20"/>
                <w:sz w:val="20"/>
                <w:szCs w:val="20"/>
              </w:rPr>
              <w:t xml:space="preserve">.95 </w:t>
            </w:r>
          </w:p>
        </w:tc>
        <w:tc>
          <w:tcPr>
            <w:tcW w:w="0" w:type="auto"/>
          </w:tcPr>
          <w:p w14:paraId="548DDE47" w14:textId="77777777" w:rsidR="00584F0B" w:rsidRPr="00FB69B3" w:rsidRDefault="00584F0B" w:rsidP="00FB69B3">
            <w:pPr>
              <w:pStyle w:val="NoSpacing"/>
              <w:rPr>
                <w:sz w:val="20"/>
                <w:szCs w:val="20"/>
              </w:rPr>
            </w:pPr>
          </w:p>
        </w:tc>
        <w:tc>
          <w:tcPr>
            <w:tcW w:w="0" w:type="auto"/>
          </w:tcPr>
          <w:p w14:paraId="61953025" w14:textId="20335A57" w:rsidR="00584F0B" w:rsidRPr="00FB69B3" w:rsidRDefault="00F27109" w:rsidP="00FB69B3">
            <w:pPr>
              <w:pStyle w:val="NoSpacing"/>
              <w:rPr>
                <w:sz w:val="20"/>
                <w:szCs w:val="20"/>
              </w:rPr>
            </w:pPr>
            <w:r w:rsidRPr="00FB69B3">
              <w:rPr>
                <w:rFonts w:ascii="AdvTT6bca5eef" w:hAnsi="AdvTT6bca5eef" w:cs="AdvTT6bca5eef"/>
                <w:color w:val="231F20"/>
                <w:sz w:val="20"/>
                <w:szCs w:val="20"/>
              </w:rPr>
              <w:t>.88</w:t>
            </w:r>
          </w:p>
        </w:tc>
        <w:tc>
          <w:tcPr>
            <w:tcW w:w="0" w:type="auto"/>
          </w:tcPr>
          <w:p w14:paraId="3364D9ED" w14:textId="77777777" w:rsidR="00584F0B" w:rsidRPr="00FB69B3" w:rsidRDefault="00584F0B" w:rsidP="00FB69B3">
            <w:pPr>
              <w:pStyle w:val="NoSpacing"/>
              <w:rPr>
                <w:sz w:val="20"/>
                <w:szCs w:val="20"/>
              </w:rPr>
            </w:pPr>
          </w:p>
        </w:tc>
      </w:tr>
      <w:tr w:rsidR="00584F0B" w:rsidRPr="00FB69B3" w14:paraId="3CAACA62" w14:textId="77777777" w:rsidTr="00FB69B3">
        <w:tc>
          <w:tcPr>
            <w:tcW w:w="0" w:type="auto"/>
          </w:tcPr>
          <w:p w14:paraId="2D5A6422" w14:textId="460658A2" w:rsidR="00584F0B" w:rsidRPr="00FB69B3" w:rsidRDefault="00CD28B8"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RN21 (help with medical needs)</w:t>
            </w:r>
            <w:r w:rsidRPr="00824AE0">
              <w:rPr>
                <w:rFonts w:ascii="AdvTT6bca5eef" w:hAnsi="AdvTT6bca5eef" w:cs="AdvTT6bca5eef"/>
                <w:color w:val="231F20"/>
                <w:sz w:val="20"/>
                <w:szCs w:val="20"/>
                <w:vertAlign w:val="superscript"/>
              </w:rPr>
              <w:t xml:space="preserve">a </w:t>
            </w:r>
          </w:p>
        </w:tc>
        <w:tc>
          <w:tcPr>
            <w:tcW w:w="0" w:type="auto"/>
          </w:tcPr>
          <w:p w14:paraId="7FC028D1" w14:textId="77777777" w:rsidR="00584F0B" w:rsidRPr="00FB69B3" w:rsidRDefault="00584F0B" w:rsidP="00FB69B3">
            <w:pPr>
              <w:pStyle w:val="NoSpacing"/>
              <w:rPr>
                <w:sz w:val="20"/>
                <w:szCs w:val="20"/>
              </w:rPr>
            </w:pPr>
          </w:p>
        </w:tc>
        <w:tc>
          <w:tcPr>
            <w:tcW w:w="0" w:type="auto"/>
          </w:tcPr>
          <w:p w14:paraId="09EACA2C" w14:textId="77777777" w:rsidR="00584F0B" w:rsidRPr="00FB69B3" w:rsidRDefault="00584F0B" w:rsidP="00FB69B3">
            <w:pPr>
              <w:pStyle w:val="NoSpacing"/>
              <w:rPr>
                <w:sz w:val="20"/>
                <w:szCs w:val="20"/>
              </w:rPr>
            </w:pPr>
          </w:p>
        </w:tc>
        <w:tc>
          <w:tcPr>
            <w:tcW w:w="0" w:type="auto"/>
          </w:tcPr>
          <w:p w14:paraId="0F5AB15C" w14:textId="77777777" w:rsidR="00584F0B" w:rsidRPr="00FB69B3" w:rsidRDefault="00584F0B" w:rsidP="00FB69B3">
            <w:pPr>
              <w:pStyle w:val="NoSpacing"/>
              <w:rPr>
                <w:sz w:val="20"/>
                <w:szCs w:val="20"/>
              </w:rPr>
            </w:pPr>
          </w:p>
        </w:tc>
        <w:tc>
          <w:tcPr>
            <w:tcW w:w="0" w:type="auto"/>
          </w:tcPr>
          <w:p w14:paraId="2552D2D1" w14:textId="56091F88" w:rsidR="00584F0B" w:rsidRPr="00FB69B3" w:rsidRDefault="00824AE0" w:rsidP="00FB69B3">
            <w:pPr>
              <w:pStyle w:val="NoSpacing"/>
              <w:rPr>
                <w:sz w:val="20"/>
                <w:szCs w:val="20"/>
              </w:rPr>
            </w:pPr>
            <w:r w:rsidRPr="00FB69B3">
              <w:rPr>
                <w:rFonts w:ascii="AdvTT6bca5eef" w:hAnsi="AdvTT6bca5eef" w:cs="AdvTT6bca5eef"/>
                <w:color w:val="231F20"/>
                <w:sz w:val="20"/>
                <w:szCs w:val="20"/>
              </w:rPr>
              <w:t xml:space="preserve">.84 </w:t>
            </w:r>
          </w:p>
        </w:tc>
        <w:tc>
          <w:tcPr>
            <w:tcW w:w="0" w:type="auto"/>
          </w:tcPr>
          <w:p w14:paraId="756E5ED5" w14:textId="77777777" w:rsidR="00584F0B" w:rsidRPr="00FB69B3" w:rsidRDefault="00584F0B" w:rsidP="00FB69B3">
            <w:pPr>
              <w:pStyle w:val="NoSpacing"/>
              <w:rPr>
                <w:sz w:val="20"/>
                <w:szCs w:val="20"/>
              </w:rPr>
            </w:pPr>
          </w:p>
        </w:tc>
        <w:tc>
          <w:tcPr>
            <w:tcW w:w="0" w:type="auto"/>
          </w:tcPr>
          <w:p w14:paraId="26391973" w14:textId="370B9087" w:rsidR="00584F0B" w:rsidRPr="00FB69B3" w:rsidRDefault="00824AE0" w:rsidP="00FB69B3">
            <w:pPr>
              <w:pStyle w:val="NoSpacing"/>
              <w:rPr>
                <w:sz w:val="20"/>
                <w:szCs w:val="20"/>
              </w:rPr>
            </w:pPr>
            <w:r w:rsidRPr="00FB69B3">
              <w:rPr>
                <w:rFonts w:ascii="AdvTT6bca5eef" w:hAnsi="AdvTT6bca5eef" w:cs="AdvTT6bca5eef"/>
                <w:color w:val="231F20"/>
                <w:sz w:val="20"/>
                <w:szCs w:val="20"/>
              </w:rPr>
              <w:t>.78</w:t>
            </w:r>
          </w:p>
        </w:tc>
        <w:tc>
          <w:tcPr>
            <w:tcW w:w="0" w:type="auto"/>
          </w:tcPr>
          <w:p w14:paraId="77922538" w14:textId="77777777" w:rsidR="00584F0B" w:rsidRPr="00FB69B3" w:rsidRDefault="00584F0B" w:rsidP="00FB69B3">
            <w:pPr>
              <w:pStyle w:val="NoSpacing"/>
              <w:rPr>
                <w:sz w:val="20"/>
                <w:szCs w:val="20"/>
              </w:rPr>
            </w:pPr>
          </w:p>
        </w:tc>
      </w:tr>
      <w:tr w:rsidR="00584F0B" w:rsidRPr="00FB69B3" w14:paraId="3444AA1E" w14:textId="77777777" w:rsidTr="00FB69B3">
        <w:tc>
          <w:tcPr>
            <w:tcW w:w="0" w:type="auto"/>
          </w:tcPr>
          <w:p w14:paraId="31E0F12A" w14:textId="62083B65" w:rsidR="00584F0B" w:rsidRPr="00FB69B3" w:rsidRDefault="00CD28B8"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Factor Correlations</w:t>
            </w:r>
          </w:p>
        </w:tc>
        <w:tc>
          <w:tcPr>
            <w:tcW w:w="0" w:type="auto"/>
          </w:tcPr>
          <w:p w14:paraId="1D90A49D" w14:textId="77777777" w:rsidR="00584F0B" w:rsidRPr="00FB69B3" w:rsidRDefault="00584F0B" w:rsidP="00FB69B3">
            <w:pPr>
              <w:pStyle w:val="NoSpacing"/>
              <w:rPr>
                <w:sz w:val="20"/>
                <w:szCs w:val="20"/>
              </w:rPr>
            </w:pPr>
          </w:p>
        </w:tc>
        <w:tc>
          <w:tcPr>
            <w:tcW w:w="0" w:type="auto"/>
          </w:tcPr>
          <w:p w14:paraId="5107D208" w14:textId="77777777" w:rsidR="00584F0B" w:rsidRPr="00FB69B3" w:rsidRDefault="00584F0B" w:rsidP="00FB69B3">
            <w:pPr>
              <w:pStyle w:val="NoSpacing"/>
              <w:rPr>
                <w:sz w:val="20"/>
                <w:szCs w:val="20"/>
              </w:rPr>
            </w:pPr>
          </w:p>
        </w:tc>
        <w:tc>
          <w:tcPr>
            <w:tcW w:w="0" w:type="auto"/>
          </w:tcPr>
          <w:p w14:paraId="3411632F" w14:textId="77777777" w:rsidR="00584F0B" w:rsidRPr="00FB69B3" w:rsidRDefault="00584F0B" w:rsidP="00FB69B3">
            <w:pPr>
              <w:pStyle w:val="NoSpacing"/>
              <w:rPr>
                <w:sz w:val="20"/>
                <w:szCs w:val="20"/>
              </w:rPr>
            </w:pPr>
          </w:p>
        </w:tc>
        <w:tc>
          <w:tcPr>
            <w:tcW w:w="0" w:type="auto"/>
          </w:tcPr>
          <w:p w14:paraId="1A16D998" w14:textId="77777777" w:rsidR="00584F0B" w:rsidRPr="00FB69B3" w:rsidRDefault="00584F0B" w:rsidP="00FB69B3">
            <w:pPr>
              <w:pStyle w:val="NoSpacing"/>
              <w:rPr>
                <w:sz w:val="20"/>
                <w:szCs w:val="20"/>
              </w:rPr>
            </w:pPr>
          </w:p>
        </w:tc>
        <w:tc>
          <w:tcPr>
            <w:tcW w:w="0" w:type="auto"/>
          </w:tcPr>
          <w:p w14:paraId="79A655B0" w14:textId="66C96FFF" w:rsidR="00584F0B" w:rsidRPr="00FB69B3" w:rsidRDefault="00584F0B" w:rsidP="00FB69B3">
            <w:pPr>
              <w:pStyle w:val="NoSpacing"/>
              <w:rPr>
                <w:sz w:val="20"/>
                <w:szCs w:val="20"/>
              </w:rPr>
            </w:pPr>
          </w:p>
        </w:tc>
        <w:tc>
          <w:tcPr>
            <w:tcW w:w="0" w:type="auto"/>
          </w:tcPr>
          <w:p w14:paraId="7D3226FD" w14:textId="77777777" w:rsidR="00584F0B" w:rsidRPr="00FB69B3" w:rsidRDefault="00584F0B" w:rsidP="00FB69B3">
            <w:pPr>
              <w:pStyle w:val="NoSpacing"/>
              <w:rPr>
                <w:sz w:val="20"/>
                <w:szCs w:val="20"/>
              </w:rPr>
            </w:pPr>
          </w:p>
        </w:tc>
        <w:tc>
          <w:tcPr>
            <w:tcW w:w="0" w:type="auto"/>
          </w:tcPr>
          <w:p w14:paraId="080EA10A" w14:textId="77777777" w:rsidR="00584F0B" w:rsidRPr="00FB69B3" w:rsidRDefault="00584F0B" w:rsidP="00FB69B3">
            <w:pPr>
              <w:pStyle w:val="NoSpacing"/>
              <w:rPr>
                <w:sz w:val="20"/>
                <w:szCs w:val="20"/>
              </w:rPr>
            </w:pPr>
          </w:p>
        </w:tc>
      </w:tr>
      <w:tr w:rsidR="00584F0B" w:rsidRPr="00FB69B3" w14:paraId="2118D290" w14:textId="77777777" w:rsidTr="00FB69B3">
        <w:tc>
          <w:tcPr>
            <w:tcW w:w="0" w:type="auto"/>
          </w:tcPr>
          <w:p w14:paraId="3060C38E" w14:textId="7BA1109C" w:rsidR="00584F0B" w:rsidRPr="00FB69B3" w:rsidRDefault="00CD28B8"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 xml:space="preserve">Factor 2 </w:t>
            </w:r>
          </w:p>
        </w:tc>
        <w:tc>
          <w:tcPr>
            <w:tcW w:w="0" w:type="auto"/>
          </w:tcPr>
          <w:p w14:paraId="0B3AF6A1" w14:textId="50853B64" w:rsidR="00584F0B" w:rsidRPr="00FB69B3" w:rsidRDefault="00824AE0" w:rsidP="00FB69B3">
            <w:pPr>
              <w:pStyle w:val="NoSpacing"/>
              <w:rPr>
                <w:sz w:val="20"/>
                <w:szCs w:val="20"/>
              </w:rPr>
            </w:pPr>
            <w:r w:rsidRPr="00FB69B3">
              <w:rPr>
                <w:rFonts w:ascii="AdvTT6bca5eef" w:hAnsi="AdvTT6bca5eef" w:cs="AdvTT6bca5eef"/>
                <w:color w:val="231F20"/>
                <w:sz w:val="20"/>
                <w:szCs w:val="20"/>
              </w:rPr>
              <w:t xml:space="preserve">.51 </w:t>
            </w:r>
          </w:p>
        </w:tc>
        <w:tc>
          <w:tcPr>
            <w:tcW w:w="0" w:type="auto"/>
          </w:tcPr>
          <w:p w14:paraId="7014425F" w14:textId="77777777" w:rsidR="00584F0B" w:rsidRPr="00FB69B3" w:rsidRDefault="00584F0B" w:rsidP="00FB69B3">
            <w:pPr>
              <w:pStyle w:val="NoSpacing"/>
              <w:rPr>
                <w:sz w:val="20"/>
                <w:szCs w:val="20"/>
              </w:rPr>
            </w:pPr>
          </w:p>
        </w:tc>
        <w:tc>
          <w:tcPr>
            <w:tcW w:w="0" w:type="auto"/>
          </w:tcPr>
          <w:p w14:paraId="54432614" w14:textId="77777777" w:rsidR="00584F0B" w:rsidRPr="00FB69B3" w:rsidRDefault="00584F0B" w:rsidP="00FB69B3">
            <w:pPr>
              <w:pStyle w:val="NoSpacing"/>
              <w:rPr>
                <w:sz w:val="20"/>
                <w:szCs w:val="20"/>
              </w:rPr>
            </w:pPr>
          </w:p>
        </w:tc>
        <w:tc>
          <w:tcPr>
            <w:tcW w:w="0" w:type="auto"/>
          </w:tcPr>
          <w:p w14:paraId="2F18B8F0" w14:textId="77777777" w:rsidR="00584F0B" w:rsidRPr="00FB69B3" w:rsidRDefault="00584F0B" w:rsidP="00FB69B3">
            <w:pPr>
              <w:pStyle w:val="NoSpacing"/>
              <w:rPr>
                <w:sz w:val="20"/>
                <w:szCs w:val="20"/>
              </w:rPr>
            </w:pPr>
          </w:p>
        </w:tc>
        <w:tc>
          <w:tcPr>
            <w:tcW w:w="0" w:type="auto"/>
          </w:tcPr>
          <w:p w14:paraId="627BA9B3" w14:textId="58DA7E26" w:rsidR="00584F0B" w:rsidRPr="00FB69B3" w:rsidRDefault="00824AE0" w:rsidP="00FB69B3">
            <w:pPr>
              <w:pStyle w:val="NoSpacing"/>
              <w:rPr>
                <w:sz w:val="20"/>
                <w:szCs w:val="20"/>
              </w:rPr>
            </w:pPr>
            <w:r w:rsidRPr="00FB69B3">
              <w:rPr>
                <w:rFonts w:ascii="AdvTT6bca5eef" w:hAnsi="AdvTT6bca5eef" w:cs="AdvTT6bca5eef"/>
                <w:color w:val="231F20"/>
                <w:sz w:val="20"/>
                <w:szCs w:val="20"/>
              </w:rPr>
              <w:t>.52</w:t>
            </w:r>
          </w:p>
        </w:tc>
        <w:tc>
          <w:tcPr>
            <w:tcW w:w="0" w:type="auto"/>
          </w:tcPr>
          <w:p w14:paraId="3D2A220D" w14:textId="77777777" w:rsidR="00584F0B" w:rsidRPr="00FB69B3" w:rsidRDefault="00584F0B" w:rsidP="00FB69B3">
            <w:pPr>
              <w:pStyle w:val="NoSpacing"/>
              <w:rPr>
                <w:sz w:val="20"/>
                <w:szCs w:val="20"/>
              </w:rPr>
            </w:pPr>
          </w:p>
        </w:tc>
        <w:tc>
          <w:tcPr>
            <w:tcW w:w="0" w:type="auto"/>
          </w:tcPr>
          <w:p w14:paraId="14692764" w14:textId="77777777" w:rsidR="00584F0B" w:rsidRPr="00FB69B3" w:rsidRDefault="00584F0B" w:rsidP="00FB69B3">
            <w:pPr>
              <w:pStyle w:val="NoSpacing"/>
              <w:rPr>
                <w:sz w:val="20"/>
                <w:szCs w:val="20"/>
              </w:rPr>
            </w:pPr>
          </w:p>
        </w:tc>
      </w:tr>
      <w:tr w:rsidR="00584F0B" w:rsidRPr="00FB69B3" w14:paraId="3513A1BE" w14:textId="77777777" w:rsidTr="00FB69B3">
        <w:tc>
          <w:tcPr>
            <w:tcW w:w="0" w:type="auto"/>
          </w:tcPr>
          <w:p w14:paraId="16B47657" w14:textId="75B2E097" w:rsidR="00584F0B" w:rsidRPr="00FB69B3" w:rsidRDefault="00CD28B8"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 xml:space="preserve">Factor 3 </w:t>
            </w:r>
          </w:p>
        </w:tc>
        <w:tc>
          <w:tcPr>
            <w:tcW w:w="0" w:type="auto"/>
          </w:tcPr>
          <w:p w14:paraId="242C9790" w14:textId="6A708282" w:rsidR="00584F0B" w:rsidRPr="00FB69B3" w:rsidRDefault="00824AE0" w:rsidP="00FB69B3">
            <w:pPr>
              <w:pStyle w:val="NoSpacing"/>
              <w:rPr>
                <w:sz w:val="20"/>
                <w:szCs w:val="20"/>
              </w:rPr>
            </w:pPr>
            <w:r w:rsidRPr="00FB69B3">
              <w:rPr>
                <w:rFonts w:ascii="AdvTT6bca5eef" w:hAnsi="AdvTT6bca5eef" w:cs="AdvTT6bca5eef"/>
                <w:color w:val="231F20"/>
                <w:sz w:val="20"/>
                <w:szCs w:val="20"/>
              </w:rPr>
              <w:t xml:space="preserve">.58 </w:t>
            </w:r>
          </w:p>
        </w:tc>
        <w:tc>
          <w:tcPr>
            <w:tcW w:w="0" w:type="auto"/>
          </w:tcPr>
          <w:p w14:paraId="5DBF2C61" w14:textId="142A50D5" w:rsidR="00584F0B" w:rsidRPr="00FB69B3" w:rsidRDefault="00824AE0" w:rsidP="00FB69B3">
            <w:pPr>
              <w:pStyle w:val="NoSpacing"/>
              <w:rPr>
                <w:sz w:val="20"/>
                <w:szCs w:val="20"/>
              </w:rPr>
            </w:pPr>
            <w:r w:rsidRPr="00FB69B3">
              <w:rPr>
                <w:rFonts w:ascii="AdvTT6bca5eef" w:hAnsi="AdvTT6bca5eef" w:cs="AdvTT6bca5eef"/>
                <w:color w:val="231F20"/>
                <w:sz w:val="20"/>
                <w:szCs w:val="20"/>
              </w:rPr>
              <w:t xml:space="preserve">.85 </w:t>
            </w:r>
          </w:p>
        </w:tc>
        <w:tc>
          <w:tcPr>
            <w:tcW w:w="0" w:type="auto"/>
          </w:tcPr>
          <w:p w14:paraId="0A166081" w14:textId="77777777" w:rsidR="00584F0B" w:rsidRPr="00FB69B3" w:rsidRDefault="00584F0B" w:rsidP="00FB69B3">
            <w:pPr>
              <w:pStyle w:val="NoSpacing"/>
              <w:rPr>
                <w:sz w:val="20"/>
                <w:szCs w:val="20"/>
              </w:rPr>
            </w:pPr>
          </w:p>
        </w:tc>
        <w:tc>
          <w:tcPr>
            <w:tcW w:w="0" w:type="auto"/>
          </w:tcPr>
          <w:p w14:paraId="1780F17C" w14:textId="77777777" w:rsidR="00584F0B" w:rsidRPr="00FB69B3" w:rsidRDefault="00584F0B" w:rsidP="00FB69B3">
            <w:pPr>
              <w:pStyle w:val="NoSpacing"/>
              <w:rPr>
                <w:sz w:val="20"/>
                <w:szCs w:val="20"/>
              </w:rPr>
            </w:pPr>
          </w:p>
        </w:tc>
        <w:tc>
          <w:tcPr>
            <w:tcW w:w="0" w:type="auto"/>
          </w:tcPr>
          <w:p w14:paraId="48BCD380" w14:textId="072EB341" w:rsidR="00584F0B" w:rsidRPr="00FB69B3" w:rsidRDefault="00824AE0" w:rsidP="00FB69B3">
            <w:pPr>
              <w:pStyle w:val="NoSpacing"/>
              <w:rPr>
                <w:sz w:val="20"/>
                <w:szCs w:val="20"/>
              </w:rPr>
            </w:pPr>
            <w:r w:rsidRPr="00FB69B3">
              <w:rPr>
                <w:rFonts w:ascii="AdvTT6bca5eef" w:hAnsi="AdvTT6bca5eef" w:cs="AdvTT6bca5eef"/>
                <w:color w:val="231F20"/>
                <w:sz w:val="20"/>
                <w:szCs w:val="20"/>
              </w:rPr>
              <w:t xml:space="preserve">.21 </w:t>
            </w:r>
          </w:p>
        </w:tc>
        <w:tc>
          <w:tcPr>
            <w:tcW w:w="0" w:type="auto"/>
          </w:tcPr>
          <w:p w14:paraId="0F0AAAD9" w14:textId="259F8906" w:rsidR="00584F0B" w:rsidRPr="00FB69B3" w:rsidRDefault="00824AE0" w:rsidP="00FB69B3">
            <w:pPr>
              <w:pStyle w:val="NoSpacing"/>
              <w:rPr>
                <w:sz w:val="20"/>
                <w:szCs w:val="20"/>
              </w:rPr>
            </w:pPr>
            <w:r w:rsidRPr="00FB69B3">
              <w:rPr>
                <w:rFonts w:ascii="AdvTT6bca5eef" w:hAnsi="AdvTT6bca5eef" w:cs="AdvTT6bca5eef"/>
                <w:color w:val="231F20"/>
                <w:sz w:val="20"/>
                <w:szCs w:val="20"/>
              </w:rPr>
              <w:t>.07</w:t>
            </w:r>
          </w:p>
        </w:tc>
        <w:tc>
          <w:tcPr>
            <w:tcW w:w="0" w:type="auto"/>
          </w:tcPr>
          <w:p w14:paraId="2748F60A" w14:textId="77777777" w:rsidR="00584F0B" w:rsidRPr="00FB69B3" w:rsidRDefault="00584F0B" w:rsidP="00FB69B3">
            <w:pPr>
              <w:pStyle w:val="NoSpacing"/>
              <w:rPr>
                <w:sz w:val="20"/>
                <w:szCs w:val="20"/>
              </w:rPr>
            </w:pPr>
          </w:p>
        </w:tc>
      </w:tr>
      <w:tr w:rsidR="00584F0B" w:rsidRPr="00FB69B3" w14:paraId="3C93DE85" w14:textId="77777777" w:rsidTr="00FB69B3">
        <w:tc>
          <w:tcPr>
            <w:tcW w:w="0" w:type="auto"/>
          </w:tcPr>
          <w:p w14:paraId="2344F843" w14:textId="4C3C7716" w:rsidR="00584F0B" w:rsidRPr="00FB69B3" w:rsidRDefault="00CD28B8" w:rsidP="00FB69B3">
            <w:pPr>
              <w:pStyle w:val="NoSpacing"/>
              <w:rPr>
                <w:rFonts w:ascii="AdvTT6bca5eef" w:hAnsi="AdvTT6bca5eef" w:cs="AdvTT6bca5eef"/>
                <w:color w:val="231F20"/>
                <w:sz w:val="20"/>
                <w:szCs w:val="20"/>
              </w:rPr>
            </w:pPr>
            <w:r w:rsidRPr="00FB69B3">
              <w:rPr>
                <w:rFonts w:ascii="AdvTT6bca5eef" w:hAnsi="AdvTT6bca5eef" w:cs="AdvTT6bca5eef"/>
                <w:color w:val="231F20"/>
                <w:sz w:val="20"/>
                <w:szCs w:val="20"/>
              </w:rPr>
              <w:t xml:space="preserve">Factor 4 </w:t>
            </w:r>
          </w:p>
        </w:tc>
        <w:tc>
          <w:tcPr>
            <w:tcW w:w="0" w:type="auto"/>
          </w:tcPr>
          <w:p w14:paraId="27F4D598" w14:textId="1649D392" w:rsidR="00584F0B" w:rsidRPr="00FB69B3" w:rsidRDefault="00824AE0" w:rsidP="00FB69B3">
            <w:pPr>
              <w:pStyle w:val="NoSpacing"/>
              <w:rPr>
                <w:sz w:val="20"/>
                <w:szCs w:val="20"/>
              </w:rPr>
            </w:pPr>
            <w:r w:rsidRPr="00FB69B3">
              <w:rPr>
                <w:rFonts w:ascii="AdvTT6bca5eef" w:hAnsi="AdvTT6bca5eef" w:cs="AdvTT6bca5eef"/>
                <w:color w:val="231F20"/>
                <w:sz w:val="20"/>
                <w:szCs w:val="20"/>
              </w:rPr>
              <w:t xml:space="preserve">.11 </w:t>
            </w:r>
          </w:p>
        </w:tc>
        <w:tc>
          <w:tcPr>
            <w:tcW w:w="0" w:type="auto"/>
          </w:tcPr>
          <w:p w14:paraId="76B2E4FC" w14:textId="070A0878" w:rsidR="00584F0B" w:rsidRPr="00FB69B3" w:rsidRDefault="00824AE0" w:rsidP="00FB69B3">
            <w:pPr>
              <w:pStyle w:val="NoSpacing"/>
              <w:rPr>
                <w:sz w:val="20"/>
                <w:szCs w:val="20"/>
              </w:rPr>
            </w:pPr>
            <w:r w:rsidRPr="00FB69B3">
              <w:rPr>
                <w:rFonts w:ascii="AdvTT6bca5eef" w:hAnsi="AdvTT6bca5eef" w:cs="AdvTT6bca5eef"/>
                <w:color w:val="231F20"/>
                <w:sz w:val="20"/>
                <w:szCs w:val="20"/>
              </w:rPr>
              <w:t xml:space="preserve">.21 </w:t>
            </w:r>
          </w:p>
        </w:tc>
        <w:tc>
          <w:tcPr>
            <w:tcW w:w="0" w:type="auto"/>
          </w:tcPr>
          <w:p w14:paraId="48077D4D" w14:textId="26F397AC" w:rsidR="00584F0B" w:rsidRPr="00FB69B3" w:rsidRDefault="00824AE0" w:rsidP="00FB69B3">
            <w:pPr>
              <w:pStyle w:val="NoSpacing"/>
              <w:rPr>
                <w:sz w:val="20"/>
                <w:szCs w:val="20"/>
              </w:rPr>
            </w:pPr>
            <w:r w:rsidRPr="00FB69B3">
              <w:rPr>
                <w:rFonts w:ascii="AdvTT6bca5eef" w:hAnsi="AdvTT6bca5eef" w:cs="AdvTT6bca5eef"/>
                <w:color w:val="231F20"/>
                <w:sz w:val="20"/>
                <w:szCs w:val="20"/>
              </w:rPr>
              <w:t>.27</w:t>
            </w:r>
          </w:p>
        </w:tc>
        <w:tc>
          <w:tcPr>
            <w:tcW w:w="0" w:type="auto"/>
          </w:tcPr>
          <w:p w14:paraId="625EC039" w14:textId="77777777" w:rsidR="00584F0B" w:rsidRPr="00FB69B3" w:rsidRDefault="00584F0B" w:rsidP="00FB69B3">
            <w:pPr>
              <w:pStyle w:val="NoSpacing"/>
              <w:rPr>
                <w:sz w:val="20"/>
                <w:szCs w:val="20"/>
              </w:rPr>
            </w:pPr>
          </w:p>
        </w:tc>
        <w:tc>
          <w:tcPr>
            <w:tcW w:w="0" w:type="auto"/>
          </w:tcPr>
          <w:p w14:paraId="68012EF5" w14:textId="77777777" w:rsidR="00584F0B" w:rsidRPr="00FB69B3" w:rsidRDefault="00584F0B" w:rsidP="00FB69B3">
            <w:pPr>
              <w:pStyle w:val="NoSpacing"/>
              <w:rPr>
                <w:sz w:val="20"/>
                <w:szCs w:val="20"/>
              </w:rPr>
            </w:pPr>
          </w:p>
        </w:tc>
        <w:tc>
          <w:tcPr>
            <w:tcW w:w="0" w:type="auto"/>
          </w:tcPr>
          <w:p w14:paraId="10736E8F" w14:textId="77777777" w:rsidR="00584F0B" w:rsidRPr="00FB69B3" w:rsidRDefault="00584F0B" w:rsidP="00FB69B3">
            <w:pPr>
              <w:pStyle w:val="NoSpacing"/>
              <w:rPr>
                <w:sz w:val="20"/>
                <w:szCs w:val="20"/>
              </w:rPr>
            </w:pPr>
          </w:p>
        </w:tc>
        <w:tc>
          <w:tcPr>
            <w:tcW w:w="0" w:type="auto"/>
          </w:tcPr>
          <w:p w14:paraId="37651999" w14:textId="77777777" w:rsidR="00584F0B" w:rsidRPr="00FB69B3" w:rsidRDefault="00584F0B" w:rsidP="00FB69B3">
            <w:pPr>
              <w:pStyle w:val="NoSpacing"/>
              <w:rPr>
                <w:sz w:val="20"/>
                <w:szCs w:val="20"/>
              </w:rPr>
            </w:pPr>
          </w:p>
        </w:tc>
      </w:tr>
    </w:tbl>
    <w:p w14:paraId="4CA3DB6F" w14:textId="77777777" w:rsidR="00FB69B3" w:rsidRPr="00FB69B3" w:rsidRDefault="00FB69B3" w:rsidP="00FB69B3">
      <w:pPr>
        <w:pStyle w:val="NoSpacing"/>
        <w:rPr>
          <w:sz w:val="20"/>
          <w:szCs w:val="20"/>
        </w:rPr>
      </w:pPr>
      <w:proofErr w:type="spellStart"/>
      <w:r w:rsidRPr="00824AE0">
        <w:rPr>
          <w:sz w:val="20"/>
          <w:szCs w:val="20"/>
          <w:vertAlign w:val="superscript"/>
        </w:rPr>
        <w:t>a</w:t>
      </w:r>
      <w:r w:rsidRPr="00FB69B3">
        <w:rPr>
          <w:sz w:val="20"/>
          <w:szCs w:val="20"/>
        </w:rPr>
        <w:t>Item</w:t>
      </w:r>
      <w:proofErr w:type="spellEnd"/>
      <w:r w:rsidRPr="00FB69B3">
        <w:rPr>
          <w:sz w:val="20"/>
          <w:szCs w:val="20"/>
        </w:rPr>
        <w:t xml:space="preserve"> included in Short-Form Registered Nurse Assessment of Readiness for Hospital Discharge Scale. </w:t>
      </w:r>
      <w:proofErr w:type="spellStart"/>
      <w:r w:rsidRPr="00824AE0">
        <w:rPr>
          <w:sz w:val="20"/>
          <w:szCs w:val="20"/>
          <w:vertAlign w:val="superscript"/>
        </w:rPr>
        <w:t>b</w:t>
      </w:r>
      <w:r w:rsidRPr="00FB69B3">
        <w:rPr>
          <w:sz w:val="20"/>
          <w:szCs w:val="20"/>
        </w:rPr>
        <w:t>Values</w:t>
      </w:r>
      <w:proofErr w:type="spellEnd"/>
    </w:p>
    <w:p w14:paraId="631A0A0A" w14:textId="452617AD" w:rsidR="00A03D5E" w:rsidRPr="00FB69B3" w:rsidRDefault="00FB69B3" w:rsidP="00FB69B3">
      <w:pPr>
        <w:pStyle w:val="NoSpacing"/>
        <w:rPr>
          <w:rFonts w:ascii="Times New Roman" w:hAnsi="Times New Roman" w:cs="Times New Roman"/>
          <w:sz w:val="20"/>
          <w:szCs w:val="20"/>
        </w:rPr>
      </w:pPr>
      <w:r w:rsidRPr="00FB69B3">
        <w:rPr>
          <w:sz w:val="20"/>
          <w:szCs w:val="20"/>
        </w:rPr>
        <w:t>below .3 were suppressed in the Exploratory Factor Analysis.</w:t>
      </w:r>
    </w:p>
    <w:p w14:paraId="7C03B596" w14:textId="77777777" w:rsidR="0033247C" w:rsidRPr="003D12A9" w:rsidRDefault="0033247C" w:rsidP="00246AB7">
      <w:pPr>
        <w:shd w:val="clear" w:color="auto" w:fill="FFFFFF"/>
        <w:spacing w:line="240" w:lineRule="auto"/>
        <w:rPr>
          <w:rFonts w:cstheme="minorHAnsi"/>
          <w:color w:val="2D2D2D"/>
          <w:sz w:val="17"/>
          <w:szCs w:val="17"/>
        </w:rPr>
      </w:pPr>
    </w:p>
    <w:tbl>
      <w:tblPr>
        <w:tblStyle w:val="TableGridLight"/>
        <w:tblW w:w="0" w:type="auto"/>
        <w:tblLook w:val="04A0" w:firstRow="1" w:lastRow="0" w:firstColumn="1" w:lastColumn="0" w:noHBand="0" w:noVBand="1"/>
      </w:tblPr>
      <w:tblGrid>
        <w:gridCol w:w="5105"/>
      </w:tblGrid>
      <w:tr w:rsidR="00246AB7" w:rsidRPr="003D12A9" w14:paraId="3176DA44" w14:textId="77777777" w:rsidTr="00E70590">
        <w:tc>
          <w:tcPr>
            <w:tcW w:w="0" w:type="auto"/>
            <w:hideMark/>
          </w:tcPr>
          <w:p w14:paraId="4FF6285A" w14:textId="77777777" w:rsidR="00246AB7" w:rsidRPr="003D12A9" w:rsidRDefault="00246AB7" w:rsidP="00701137">
            <w:pPr>
              <w:pStyle w:val="Heading3"/>
              <w:outlineLvl w:val="2"/>
              <w:divId w:val="237521330"/>
            </w:pPr>
            <w:bookmarkStart w:id="49" w:name="67"/>
            <w:bookmarkEnd w:id="49"/>
            <w:r w:rsidRPr="003D12A9">
              <w:t>Exploratory Factor Analysis of Long-Form RN-RHDS</w:t>
            </w:r>
          </w:p>
        </w:tc>
      </w:tr>
    </w:tbl>
    <w:p w14:paraId="37A026D0"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4647C0B8" w14:textId="77777777" w:rsidTr="00E70590">
        <w:tc>
          <w:tcPr>
            <w:tcW w:w="0" w:type="auto"/>
            <w:hideMark/>
          </w:tcPr>
          <w:p w14:paraId="15FDD7AD" w14:textId="77777777" w:rsidR="00246AB7" w:rsidRPr="003D12A9" w:rsidRDefault="00246AB7" w:rsidP="00413E5B">
            <w:bookmarkStart w:id="50" w:name="68"/>
            <w:bookmarkEnd w:id="50"/>
            <w:r w:rsidRPr="003D12A9">
              <w:t>The 21 items of the RN-RHDS long form were subjected to principal axis factoring with varimax rotation (allowing correlation among factors; </w:t>
            </w:r>
            <w:proofErr w:type="spellStart"/>
            <w:r w:rsidR="00304474">
              <w:fldChar w:fldCharType="begin"/>
            </w:r>
            <w:r w:rsidR="00304474">
              <w:instrText xml:space="preserve"> HYPERLINK "http://0-ovidsp.dc2.ovid.com.libus.csd.mu.edu/sp-4.02.1a/ovidweb.cgi?&amp;S=FJHIFPLBKH</w:instrText>
            </w:r>
            <w:r w:rsidR="00304474">
              <w:instrText xml:space="preserve">EBDHHCIPCKEFEHFFGPAA00&amp;Link+Set=S.sh.22.23.28.32%7c6%7csl_10&amp;Counter5=TOC_article%7c00006199-201807000-00006%7cyrovft%7covftdb%7cyrovftt" \l "107" </w:instrText>
            </w:r>
            <w:r w:rsidR="00304474">
              <w:fldChar w:fldCharType="separate"/>
            </w:r>
            <w:r w:rsidRPr="003D12A9">
              <w:rPr>
                <w:rStyle w:val="Hyperlink"/>
                <w:rFonts w:eastAsiaTheme="majorEastAsia" w:cstheme="minorHAnsi"/>
                <w:color w:val="0768A9"/>
                <w:sz w:val="19"/>
                <w:szCs w:val="19"/>
              </w:rPr>
              <w:t>Tabachnick</w:t>
            </w:r>
            <w:proofErr w:type="spellEnd"/>
            <w:r w:rsidRPr="003D12A9">
              <w:rPr>
                <w:rStyle w:val="Hyperlink"/>
                <w:rFonts w:eastAsiaTheme="majorEastAsia" w:cstheme="minorHAnsi"/>
                <w:color w:val="0768A9"/>
                <w:sz w:val="19"/>
                <w:szCs w:val="19"/>
              </w:rPr>
              <w:t xml:space="preserve"> &amp; </w:t>
            </w:r>
            <w:proofErr w:type="spellStart"/>
            <w:r w:rsidRPr="003D12A9">
              <w:rPr>
                <w:rStyle w:val="Hyperlink"/>
                <w:rFonts w:eastAsiaTheme="majorEastAsia" w:cstheme="minorHAnsi"/>
                <w:color w:val="0768A9"/>
                <w:sz w:val="19"/>
                <w:szCs w:val="19"/>
              </w:rPr>
              <w:t>Fidell</w:t>
            </w:r>
            <w:proofErr w:type="spellEnd"/>
            <w:r w:rsidRPr="003D12A9">
              <w:rPr>
                <w:rStyle w:val="Hyperlink"/>
                <w:rFonts w:eastAsiaTheme="majorEastAsia" w:cstheme="minorHAnsi"/>
                <w:color w:val="0768A9"/>
                <w:sz w:val="19"/>
                <w:szCs w:val="19"/>
              </w:rPr>
              <w:t>, 2001</w:t>
            </w:r>
            <w:r w:rsidR="00304474">
              <w:rPr>
                <w:rStyle w:val="Hyperlink"/>
                <w:rFonts w:eastAsiaTheme="majorEastAsia" w:cstheme="minorHAnsi"/>
                <w:color w:val="0768A9"/>
                <w:sz w:val="19"/>
                <w:szCs w:val="19"/>
              </w:rPr>
              <w:fldChar w:fldCharType="end"/>
            </w:r>
            <w:r w:rsidRPr="003D12A9">
              <w:t>) using SPSS Version 22 (Chicago, IL). Cross-loading values below .3 were suppressed. Adequacy of the sample was supported by the Kaiser-Meyer-Olkin values of .92, exceeding the recommended value of .6 (</w:t>
            </w:r>
            <w:proofErr w:type="spellStart"/>
            <w:r w:rsidR="00304474">
              <w:fldChar w:fldCharType="begin"/>
            </w:r>
            <w:r w:rsidR="00304474">
              <w:instrText xml:space="preserve"> HYPERLINK "http://0-ovidsp.dc2.ovid.com.libus.csd.mu.edu/sp-4.02.1a/ovidweb.cgi?&amp;S=FJHIFPLBKHEBDHHCIPCKEFEHFFGPAA00&amp;Link+Set=S.sh.22.</w:instrText>
            </w:r>
            <w:r w:rsidR="00304474">
              <w:instrText xml:space="preserve">23.28.32%7c6%7csl_10&amp;Counter5=TOC_article%7c00006199-201807000-00006%7cyrovft%7covftdb%7cyrovftt" \l "106" </w:instrText>
            </w:r>
            <w:r w:rsidR="00304474">
              <w:fldChar w:fldCharType="separate"/>
            </w:r>
            <w:r w:rsidRPr="003D12A9">
              <w:rPr>
                <w:rStyle w:val="Hyperlink"/>
                <w:rFonts w:eastAsiaTheme="majorEastAsia" w:cstheme="minorHAnsi"/>
                <w:color w:val="0768A9"/>
                <w:sz w:val="19"/>
                <w:szCs w:val="19"/>
              </w:rPr>
              <w:t>Pallant</w:t>
            </w:r>
            <w:proofErr w:type="spellEnd"/>
            <w:r w:rsidRPr="003D12A9">
              <w:rPr>
                <w:rStyle w:val="Hyperlink"/>
                <w:rFonts w:eastAsiaTheme="majorEastAsia" w:cstheme="minorHAnsi"/>
                <w:color w:val="0768A9"/>
                <w:sz w:val="19"/>
                <w:szCs w:val="19"/>
              </w:rPr>
              <w:t>, 2013</w:t>
            </w:r>
            <w:r w:rsidR="00304474">
              <w:rPr>
                <w:rStyle w:val="Hyperlink"/>
                <w:rFonts w:eastAsiaTheme="majorEastAsia" w:cstheme="minorHAnsi"/>
                <w:color w:val="0768A9"/>
                <w:sz w:val="19"/>
                <w:szCs w:val="19"/>
              </w:rPr>
              <w:fldChar w:fldCharType="end"/>
            </w:r>
            <w:r w:rsidRPr="003D12A9">
              <w:t>), and Bartlett's Test of Sphericity was significant at .00, supporting the factorability of the RN-RHDS.</w:t>
            </w:r>
          </w:p>
        </w:tc>
      </w:tr>
    </w:tbl>
    <w:p w14:paraId="49B92783"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76CC4AD1" w14:textId="77777777" w:rsidTr="00E70590">
        <w:tc>
          <w:tcPr>
            <w:tcW w:w="0" w:type="auto"/>
            <w:hideMark/>
          </w:tcPr>
          <w:p w14:paraId="5F2DB02B" w14:textId="77777777" w:rsidR="00246AB7" w:rsidRPr="003D12A9" w:rsidRDefault="00246AB7" w:rsidP="00413E5B">
            <w:bookmarkStart w:id="51" w:name="69"/>
            <w:bookmarkEnd w:id="51"/>
            <w:r w:rsidRPr="003D12A9">
              <w:t>Factoring revealed the presence of three components with eigenvalues exceeding 1, explaining 41.5%, 11.7%, and 6.9% of the variance, respectively (</w:t>
            </w:r>
            <w:hyperlink r:id="rId51" w:anchor="TT2" w:history="1">
              <w:r w:rsidRPr="003D12A9">
                <w:rPr>
                  <w:rStyle w:val="Hyperlink"/>
                  <w:rFonts w:eastAsiaTheme="majorEastAsia" w:cstheme="minorHAnsi"/>
                  <w:color w:val="0768A9"/>
                  <w:sz w:val="19"/>
                  <w:szCs w:val="19"/>
                </w:rPr>
                <w:t>Table 2</w:t>
              </w:r>
            </w:hyperlink>
            <w:r w:rsidRPr="003D12A9">
              <w:t>). There were no cross-loadings once values below .3 were suppressed. The rotated solution demonstrated three components with strong loadings and explained 60.2% of variance within the scale. Factor 1 included items from the Personal Status, Knowledge, and Coping Ability subscales in the a priori structure. Two items from the Personal Status subscale loaded together on a Factor 2-these items, strength and energy, were highly correlated (</w:t>
            </w:r>
            <w:r w:rsidRPr="003D12A9">
              <w:rPr>
                <w:rStyle w:val="fulltext-it"/>
                <w:rFonts w:eastAsiaTheme="majorEastAsia" w:cstheme="minorHAnsi"/>
                <w:i/>
                <w:iCs/>
                <w:color w:val="2D2D2D"/>
                <w:sz w:val="19"/>
                <w:szCs w:val="19"/>
              </w:rPr>
              <w:t>r</w:t>
            </w:r>
            <w:r w:rsidRPr="003D12A9">
              <w:t> = .78), and Factor 2 was correlated with Factor 1 at </w:t>
            </w:r>
            <w:r w:rsidRPr="003D12A9">
              <w:rPr>
                <w:rStyle w:val="fulltext-it"/>
                <w:rFonts w:eastAsiaTheme="majorEastAsia" w:cstheme="minorHAnsi"/>
                <w:i/>
                <w:iCs/>
                <w:color w:val="2D2D2D"/>
                <w:sz w:val="19"/>
                <w:szCs w:val="19"/>
              </w:rPr>
              <w:t>r</w:t>
            </w:r>
            <w:r w:rsidRPr="003D12A9">
              <w:t> = .52. Factor 3 included all items from the a priori Expected Support subscale. The resulting structure captures the interrelatedness of Personal Status, Knowledge, and Coping Ability and Expected Support as a dimension with low correlation to other factors reflecting what also emerged in the prior CFA analysis.</w:t>
            </w:r>
          </w:p>
        </w:tc>
      </w:tr>
    </w:tbl>
    <w:p w14:paraId="165F3508" w14:textId="2B8829C9" w:rsidR="00246AB7" w:rsidRPr="003D12A9" w:rsidRDefault="00246AB7" w:rsidP="00246AB7">
      <w:pPr>
        <w:shd w:val="clear" w:color="auto" w:fill="FFFFFF"/>
        <w:rPr>
          <w:rFonts w:cstheme="minorHAnsi"/>
          <w:color w:val="2D2D2D"/>
          <w:sz w:val="17"/>
          <w:szCs w:val="17"/>
        </w:rPr>
      </w:pPr>
    </w:p>
    <w:tbl>
      <w:tblPr>
        <w:tblStyle w:val="TableGridLight"/>
        <w:tblW w:w="0" w:type="auto"/>
        <w:tblLook w:val="04A0" w:firstRow="1" w:lastRow="0" w:firstColumn="1" w:lastColumn="0" w:noHBand="0" w:noVBand="1"/>
      </w:tblPr>
      <w:tblGrid>
        <w:gridCol w:w="2575"/>
      </w:tblGrid>
      <w:tr w:rsidR="00246AB7" w:rsidRPr="00701137" w14:paraId="64FFAE57" w14:textId="77777777" w:rsidTr="00E70590">
        <w:tc>
          <w:tcPr>
            <w:tcW w:w="0" w:type="auto"/>
            <w:hideMark/>
          </w:tcPr>
          <w:p w14:paraId="5D82262F" w14:textId="77777777" w:rsidR="00246AB7" w:rsidRPr="00701137" w:rsidRDefault="00246AB7" w:rsidP="00701137">
            <w:pPr>
              <w:pStyle w:val="Heading2"/>
              <w:outlineLvl w:val="1"/>
              <w:divId w:val="12535254"/>
            </w:pPr>
            <w:bookmarkStart w:id="52" w:name="70"/>
            <w:bookmarkEnd w:id="52"/>
            <w:r w:rsidRPr="00701137">
              <w:t>RN-RHDS Short Form</w:t>
            </w:r>
          </w:p>
        </w:tc>
      </w:tr>
    </w:tbl>
    <w:p w14:paraId="3FD03492"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38A16DCD" w14:textId="77777777" w:rsidTr="00E70590">
        <w:tc>
          <w:tcPr>
            <w:tcW w:w="0" w:type="auto"/>
            <w:hideMark/>
          </w:tcPr>
          <w:p w14:paraId="317D8D45" w14:textId="77777777" w:rsidR="00246AB7" w:rsidRPr="003D12A9" w:rsidRDefault="00246AB7" w:rsidP="00413E5B">
            <w:pPr>
              <w:rPr>
                <w:color w:val="2D2D2D"/>
                <w:sz w:val="19"/>
                <w:szCs w:val="19"/>
              </w:rPr>
            </w:pPr>
            <w:bookmarkStart w:id="53" w:name="71"/>
            <w:bookmarkEnd w:id="53"/>
            <w:r w:rsidRPr="003D12A9">
              <w:rPr>
                <w:color w:val="2D2D2D"/>
                <w:sz w:val="19"/>
                <w:szCs w:val="19"/>
              </w:rPr>
              <w:t>Given the similarities in factor structure from CFA of RN-RHDS in this analysis and CFA of PT-RHDS in a prior study (</w:t>
            </w:r>
            <w:hyperlink r:id="rId52" w:anchor="113" w:history="1">
              <w:r w:rsidRPr="003D12A9">
                <w:rPr>
                  <w:rStyle w:val="Hyperlink"/>
                  <w:rFonts w:eastAsiaTheme="majorEastAsia" w:cstheme="minorHAnsi"/>
                  <w:color w:val="0768A9"/>
                  <w:sz w:val="19"/>
                  <w:szCs w:val="19"/>
                </w:rPr>
                <w:t>Weiss &amp; Piacentine, 2006</w:t>
              </w:r>
            </w:hyperlink>
            <w:r w:rsidRPr="003D12A9">
              <w:rPr>
                <w:color w:val="2D2D2D"/>
                <w:sz w:val="19"/>
                <w:szCs w:val="19"/>
              </w:rPr>
              <w:t>), we moved forward with testing RN-RHDS/SF. The same two items from each of the four original subscales used in the PT-RHDS/SF were used for the eight-item RN-RHDS/SF (the eight items are noted in </w:t>
            </w:r>
            <w:hyperlink r:id="rId53" w:anchor="TT2" w:history="1">
              <w:r w:rsidRPr="003D12A9">
                <w:rPr>
                  <w:rStyle w:val="Hyperlink"/>
                  <w:rFonts w:eastAsiaTheme="majorEastAsia" w:cstheme="minorHAnsi"/>
                  <w:color w:val="0768A9"/>
                  <w:sz w:val="19"/>
                  <w:szCs w:val="19"/>
                </w:rPr>
                <w:t>Table 2</w:t>
              </w:r>
            </w:hyperlink>
            <w:r w:rsidRPr="003D12A9">
              <w:rPr>
                <w:color w:val="2D2D2D"/>
                <w:sz w:val="19"/>
                <w:szCs w:val="19"/>
              </w:rPr>
              <w:t>). As with the original PT-RHDS, the eight items used in the RN-RHDS/SF had high item-to-subscale correlations (</w:t>
            </w:r>
            <w:r w:rsidRPr="003D12A9">
              <w:rPr>
                <w:rStyle w:val="fulltext-it"/>
                <w:rFonts w:eastAsiaTheme="majorEastAsia" w:cstheme="minorHAnsi"/>
                <w:i/>
                <w:iCs/>
                <w:color w:val="2D2D2D"/>
                <w:sz w:val="19"/>
                <w:szCs w:val="19"/>
              </w:rPr>
              <w:t>r</w:t>
            </w:r>
            <w:r w:rsidRPr="003D12A9">
              <w:rPr>
                <w:color w:val="2D2D2D"/>
                <w:sz w:val="19"/>
                <w:szCs w:val="19"/>
              </w:rPr>
              <w:t> = .73-.90) in the RN-RHDS long form analysis. The Pearson correlation between the RN-RHDS long and short forms was .96, and the RN-RHDS/SF explained 95% of the variance in the longer form scores.</w:t>
            </w:r>
          </w:p>
        </w:tc>
      </w:tr>
    </w:tbl>
    <w:p w14:paraId="23FE343B"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61C9D7AC" w14:textId="77777777" w:rsidTr="00E70590">
        <w:tc>
          <w:tcPr>
            <w:tcW w:w="0" w:type="auto"/>
            <w:hideMark/>
          </w:tcPr>
          <w:p w14:paraId="6A267E58" w14:textId="77777777" w:rsidR="00246AB7" w:rsidRPr="003D12A9" w:rsidRDefault="00246AB7" w:rsidP="00413E5B">
            <w:pPr>
              <w:rPr>
                <w:color w:val="2D2D2D"/>
                <w:sz w:val="19"/>
                <w:szCs w:val="19"/>
              </w:rPr>
            </w:pPr>
            <w:bookmarkStart w:id="54" w:name="72"/>
            <w:bookmarkEnd w:id="54"/>
            <w:r w:rsidRPr="003D12A9">
              <w:rPr>
                <w:color w:val="2D2D2D"/>
                <w:sz w:val="19"/>
                <w:szCs w:val="19"/>
              </w:rPr>
              <w:t>Mean scores on the RN-RHDS/SF ranged from 7.9 to 8.9 on the 0- to 10-point Likert scale. Internal consistency was examined using Cronbach's alpha coefficient, which was .73. The mean short form interitem correlations ranged from .32 to .70. As there are fewer than 10 items on the RN-RHDS/SF, it is recommended that particular attention be paid to the mean interitem correlation (</w:t>
            </w:r>
            <w:proofErr w:type="spellStart"/>
            <w:r w:rsidR="00304474">
              <w:fldChar w:fldCharType="begin"/>
            </w:r>
            <w:r w:rsidR="00304474">
              <w:instrText xml:space="preserve"> HYPERLINK "http://0-ovidsp.dc2.ovid.com.libus.csd.mu.edu/sp-4.02.1a/ovidweb.cgi?&amp;S=FJHIFPLBKHEBDHHCIPCKEFEHFFGPAA00&amp;Link+Set=S</w:instrText>
            </w:r>
            <w:r w:rsidR="00304474">
              <w:instrText xml:space="preserve">.sh.22.23.28.32%7c6%7csl_10&amp;Counter5=TOC_article%7c00006199-201807000-00006%7cyrovft%7covftdb%7cyrovftt" \l "106" </w:instrText>
            </w:r>
            <w:r w:rsidR="00304474">
              <w:fldChar w:fldCharType="separate"/>
            </w:r>
            <w:r w:rsidRPr="003D12A9">
              <w:rPr>
                <w:rStyle w:val="Hyperlink"/>
                <w:rFonts w:eastAsiaTheme="majorEastAsia" w:cstheme="minorHAnsi"/>
                <w:color w:val="0768A9"/>
                <w:sz w:val="19"/>
                <w:szCs w:val="19"/>
              </w:rPr>
              <w:t>Pallant</w:t>
            </w:r>
            <w:proofErr w:type="spellEnd"/>
            <w:r w:rsidRPr="003D12A9">
              <w:rPr>
                <w:rStyle w:val="Hyperlink"/>
                <w:rFonts w:eastAsiaTheme="majorEastAsia" w:cstheme="minorHAnsi"/>
                <w:color w:val="0768A9"/>
                <w:sz w:val="19"/>
                <w:szCs w:val="19"/>
              </w:rPr>
              <w:t>, 2013</w:t>
            </w:r>
            <w:r w:rsidR="00304474">
              <w:rPr>
                <w:rStyle w:val="Hyperlink"/>
                <w:rFonts w:eastAsiaTheme="majorEastAsia" w:cstheme="minorHAnsi"/>
                <w:color w:val="0768A9"/>
                <w:sz w:val="19"/>
                <w:szCs w:val="19"/>
              </w:rPr>
              <w:fldChar w:fldCharType="end"/>
            </w:r>
            <w:r w:rsidRPr="003D12A9">
              <w:rPr>
                <w:color w:val="2D2D2D"/>
                <w:sz w:val="19"/>
                <w:szCs w:val="19"/>
              </w:rPr>
              <w:t>). No corrected item-total correlations were below .43.</w:t>
            </w:r>
          </w:p>
        </w:tc>
      </w:tr>
    </w:tbl>
    <w:p w14:paraId="1763DC4B"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3F61E7EF" w14:textId="77777777" w:rsidTr="00E70590">
        <w:tc>
          <w:tcPr>
            <w:tcW w:w="0" w:type="auto"/>
            <w:hideMark/>
          </w:tcPr>
          <w:p w14:paraId="6D06F7EB" w14:textId="77777777" w:rsidR="00246AB7" w:rsidRPr="003D12A9" w:rsidRDefault="00246AB7" w:rsidP="00413E5B">
            <w:pPr>
              <w:rPr>
                <w:color w:val="2D2D2D"/>
                <w:sz w:val="19"/>
                <w:szCs w:val="19"/>
              </w:rPr>
            </w:pPr>
            <w:bookmarkStart w:id="55" w:name="73"/>
            <w:bookmarkEnd w:id="55"/>
            <w:r w:rsidRPr="003D12A9">
              <w:rPr>
                <w:color w:val="2D2D2D"/>
                <w:sz w:val="19"/>
                <w:szCs w:val="19"/>
              </w:rPr>
              <w:t>Principal axis factoring was conducted on the eight items of the RN-RHDS short form using SPSS Version 24 (Chicago, IL). Inspection of the correlation matrix showed seven out of eight (87.5%) coefficients of .3 and above, and none were in a negative direction. The Kaiser-Meyer-Olkin value was .79, and Bartlett's Test of Sphericity was .00 (</w:t>
            </w:r>
            <w:r w:rsidRPr="003D12A9">
              <w:rPr>
                <w:rStyle w:val="fulltext-it"/>
                <w:rFonts w:eastAsiaTheme="majorEastAsia" w:cstheme="minorHAnsi"/>
                <w:i/>
                <w:iCs/>
                <w:color w:val="2D2D2D"/>
                <w:sz w:val="19"/>
                <w:szCs w:val="19"/>
              </w:rPr>
              <w:t>p</w:t>
            </w:r>
            <w:r w:rsidRPr="003D12A9">
              <w:rPr>
                <w:color w:val="2D2D2D"/>
                <w:sz w:val="19"/>
                <w:szCs w:val="19"/>
              </w:rPr>
              <w:t> = .000), supporting factorability of the short form.</w:t>
            </w:r>
          </w:p>
        </w:tc>
      </w:tr>
    </w:tbl>
    <w:p w14:paraId="2A0B9584"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05B4BD93" w14:textId="77777777" w:rsidTr="00E70590">
        <w:tc>
          <w:tcPr>
            <w:tcW w:w="0" w:type="auto"/>
            <w:hideMark/>
          </w:tcPr>
          <w:p w14:paraId="1973ACB1" w14:textId="77777777" w:rsidR="00246AB7" w:rsidRPr="003D12A9" w:rsidRDefault="00246AB7" w:rsidP="00413E5B">
            <w:pPr>
              <w:rPr>
                <w:color w:val="2D2D2D"/>
                <w:sz w:val="19"/>
                <w:szCs w:val="19"/>
              </w:rPr>
            </w:pPr>
            <w:bookmarkStart w:id="56" w:name="74"/>
            <w:bookmarkEnd w:id="56"/>
            <w:r w:rsidRPr="003D12A9">
              <w:rPr>
                <w:color w:val="2D2D2D"/>
                <w:sz w:val="19"/>
                <w:szCs w:val="19"/>
              </w:rPr>
              <w:t>The rotated solution demonstrated two clear components, both with strong factor loading values and eigenvalues greater than 1, explaining 41.4% and 16.0% of the variance, respectively. The scree plot revealed a clear break after two components. Personal Status, Knowledge, and Coping Ability questions loaded onto one factor, and the two Expected Support questions loaded on the second factor. The two factors were correlated at .21, suggesting that they are measuring different dimensions of readiness.</w:t>
            </w:r>
          </w:p>
        </w:tc>
      </w:tr>
      <w:tr w:rsidR="00246AB7" w:rsidRPr="003D12A9" w14:paraId="1EBDD594" w14:textId="77777777" w:rsidTr="00E70590">
        <w:tc>
          <w:tcPr>
            <w:tcW w:w="0" w:type="auto"/>
            <w:hideMark/>
          </w:tcPr>
          <w:p w14:paraId="09FF35C1" w14:textId="77777777" w:rsidR="00246AB7" w:rsidRPr="003D12A9" w:rsidRDefault="00246AB7" w:rsidP="00701137">
            <w:pPr>
              <w:pStyle w:val="Heading2"/>
              <w:outlineLvl w:val="1"/>
              <w:divId w:val="510024111"/>
            </w:pPr>
            <w:bookmarkStart w:id="57" w:name="75"/>
            <w:bookmarkEnd w:id="57"/>
            <w:r w:rsidRPr="003D12A9">
              <w:t>Concordance With PT-RHDS</w:t>
            </w:r>
          </w:p>
        </w:tc>
      </w:tr>
    </w:tbl>
    <w:p w14:paraId="73B75C87"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43A413F6" w14:textId="77777777" w:rsidTr="00E70590">
        <w:tc>
          <w:tcPr>
            <w:tcW w:w="0" w:type="auto"/>
            <w:hideMark/>
          </w:tcPr>
          <w:p w14:paraId="5C65ACD3" w14:textId="77777777" w:rsidR="00246AB7" w:rsidRPr="003D12A9" w:rsidRDefault="00246AB7" w:rsidP="00413E5B">
            <w:bookmarkStart w:id="58" w:name="76"/>
            <w:bookmarkEnd w:id="58"/>
            <w:r w:rsidRPr="003D12A9">
              <w:t>Correlation between RN and patient versions was .11 (</w:t>
            </w:r>
            <w:r w:rsidRPr="003D12A9">
              <w:rPr>
                <w:rStyle w:val="fulltext-it"/>
                <w:rFonts w:eastAsiaTheme="majorEastAsia" w:cstheme="minorHAnsi"/>
                <w:i/>
                <w:iCs/>
                <w:color w:val="2D2D2D"/>
                <w:sz w:val="19"/>
                <w:szCs w:val="19"/>
              </w:rPr>
              <w:t>p</w:t>
            </w:r>
            <w:r w:rsidRPr="003D12A9">
              <w:t> = .06) for the long forms and .12 (</w:t>
            </w:r>
            <w:r w:rsidRPr="003D12A9">
              <w:rPr>
                <w:rStyle w:val="fulltext-it"/>
                <w:rFonts w:eastAsiaTheme="majorEastAsia" w:cstheme="minorHAnsi"/>
                <w:i/>
                <w:iCs/>
                <w:color w:val="2D2D2D"/>
                <w:sz w:val="19"/>
                <w:szCs w:val="19"/>
              </w:rPr>
              <w:t>p</w:t>
            </w:r>
            <w:r w:rsidRPr="003D12A9">
              <w:t> = .04) for the short forms. Using a previously established cutoff score for low readiness of less than 7 (</w:t>
            </w:r>
            <w:hyperlink r:id="rId54" w:anchor="110" w:history="1">
              <w:r w:rsidRPr="003D12A9">
                <w:rPr>
                  <w:rStyle w:val="Hyperlink"/>
                  <w:rFonts w:eastAsiaTheme="majorEastAsia" w:cstheme="minorHAnsi"/>
                  <w:color w:val="0768A9"/>
                  <w:sz w:val="19"/>
                  <w:szCs w:val="19"/>
                </w:rPr>
                <w:t>Weiss et al., 2014</w:t>
              </w:r>
            </w:hyperlink>
            <w:r w:rsidRPr="003D12A9">
              <w:t>), concordance between nurse and patient scores was 80.2% (235/293) agreement on being ready (&gt;=7), 2.0% (6/293) agreement on low readiness (&lt;7), and 17.7% (52/293) disagreement between nurse and patient. These findings indicate that, although most patients are ready for discharge as measured by parallel nurse assessment and patient self-report, in nearly one fifth of cases, nurses and patients disagree on readiness for discharge.</w:t>
            </w:r>
          </w:p>
        </w:tc>
      </w:tr>
    </w:tbl>
    <w:p w14:paraId="089EA122" w14:textId="4309E9AD" w:rsidR="00246AB7" w:rsidRPr="003D12A9" w:rsidRDefault="00246AB7" w:rsidP="00246AB7">
      <w:pPr>
        <w:shd w:val="clear" w:color="auto" w:fill="FFFFFF"/>
        <w:rPr>
          <w:rFonts w:cstheme="minorHAnsi"/>
          <w:color w:val="2D2D2D"/>
          <w:sz w:val="17"/>
          <w:szCs w:val="17"/>
        </w:rPr>
      </w:pPr>
    </w:p>
    <w:tbl>
      <w:tblPr>
        <w:tblStyle w:val="TableGridLight"/>
        <w:tblW w:w="0" w:type="auto"/>
        <w:tblLook w:val="04A0" w:firstRow="1" w:lastRow="0" w:firstColumn="1" w:lastColumn="0" w:noHBand="0" w:noVBand="1"/>
      </w:tblPr>
      <w:tblGrid>
        <w:gridCol w:w="3169"/>
      </w:tblGrid>
      <w:tr w:rsidR="00246AB7" w:rsidRPr="003D12A9" w14:paraId="1471073A" w14:textId="77777777" w:rsidTr="00E70590">
        <w:tc>
          <w:tcPr>
            <w:tcW w:w="0" w:type="auto"/>
            <w:hideMark/>
          </w:tcPr>
          <w:p w14:paraId="489843E2" w14:textId="77777777" w:rsidR="00246AB7" w:rsidRPr="003D12A9" w:rsidRDefault="00246AB7" w:rsidP="00701137">
            <w:pPr>
              <w:pStyle w:val="Heading2"/>
              <w:outlineLvl w:val="1"/>
              <w:divId w:val="253363357"/>
            </w:pPr>
            <w:bookmarkStart w:id="59" w:name="77"/>
            <w:bookmarkEnd w:id="59"/>
            <w:r w:rsidRPr="003D12A9">
              <w:t>Positive Predictive Validity</w:t>
            </w:r>
          </w:p>
        </w:tc>
      </w:tr>
    </w:tbl>
    <w:p w14:paraId="4F2EF28B"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9848"/>
        <w:gridCol w:w="222"/>
      </w:tblGrid>
      <w:tr w:rsidR="00246AB7" w:rsidRPr="003D12A9" w14:paraId="41290CD1" w14:textId="77777777" w:rsidTr="00E70590">
        <w:tc>
          <w:tcPr>
            <w:tcW w:w="0" w:type="auto"/>
            <w:hideMark/>
          </w:tcPr>
          <w:p w14:paraId="571B9A5B" w14:textId="77777777" w:rsidR="00246AB7" w:rsidRPr="003D12A9" w:rsidRDefault="00246AB7" w:rsidP="00413E5B">
            <w:bookmarkStart w:id="60" w:name="78"/>
            <w:bookmarkEnd w:id="60"/>
            <w:r w:rsidRPr="003D12A9">
              <w:t xml:space="preserve">Positive predictive validity was estimated for both the long and short versions of the RN-RHDS using return to hospital (occurrence of readmission and/or ED visit) within 30 days </w:t>
            </w:r>
            <w:proofErr w:type="spellStart"/>
            <w:r w:rsidRPr="003D12A9">
              <w:t>postdischarge</w:t>
            </w:r>
            <w:proofErr w:type="spellEnd"/>
            <w:r w:rsidRPr="003D12A9">
              <w:t xml:space="preserve"> as the outcome variable. All models included controls for patient characteristics (gender, age, socioeconomic status, ethnicity, lives alone, and socioeconomic status), which were associated with variation in readmission rates in previous studies (</w:t>
            </w:r>
            <w:proofErr w:type="spellStart"/>
            <w:r w:rsidR="00304474">
              <w:fldChar w:fldCharType="begin"/>
            </w:r>
            <w:r w:rsidR="00304474">
              <w:instrText xml:space="preserve"> HYPERLINK "http://0-ovidsp.dc2.ovid.com.libus.csd.mu.edu/sp-4.02.1</w:instrText>
            </w:r>
            <w:r w:rsidR="00304474">
              <w:instrText xml:space="preserve">a/ovidweb.cgi?&amp;S=FJHIFPLBKHEBDHHCIPCKEFEHFFGPAA00&amp;Link+Set=S.sh.22.23.28.32%7c6%7csl_10&amp;Counter5=TOC_article%7c00006199-201807000-00006%7cyrovft%7covftdb%7cyrovftt" \l "98" </w:instrText>
            </w:r>
            <w:r w:rsidR="00304474">
              <w:fldChar w:fldCharType="separate"/>
            </w:r>
            <w:r w:rsidRPr="003D12A9">
              <w:rPr>
                <w:rStyle w:val="Hyperlink"/>
                <w:rFonts w:eastAsiaTheme="majorEastAsia" w:cstheme="minorHAnsi"/>
                <w:color w:val="0768A9"/>
                <w:sz w:val="19"/>
                <w:szCs w:val="19"/>
              </w:rPr>
              <w:t>Kansagara</w:t>
            </w:r>
            <w:proofErr w:type="spellEnd"/>
            <w:r w:rsidRPr="003D12A9">
              <w:rPr>
                <w:rStyle w:val="Hyperlink"/>
                <w:rFonts w:eastAsiaTheme="majorEastAsia" w:cstheme="minorHAnsi"/>
                <w:color w:val="0768A9"/>
                <w:sz w:val="19"/>
                <w:szCs w:val="19"/>
              </w:rPr>
              <w:t xml:space="preserve"> et al., 2011</w:t>
            </w:r>
            <w:r w:rsidR="00304474">
              <w:rPr>
                <w:rStyle w:val="Hyperlink"/>
                <w:rFonts w:eastAsiaTheme="majorEastAsia" w:cstheme="minorHAnsi"/>
                <w:color w:val="0768A9"/>
                <w:sz w:val="19"/>
                <w:szCs w:val="19"/>
              </w:rPr>
              <w:fldChar w:fldCharType="end"/>
            </w:r>
            <w:r w:rsidRPr="003D12A9">
              <w:t>; </w:t>
            </w:r>
            <w:hyperlink r:id="rId55" w:anchor="115" w:history="1">
              <w:r w:rsidRPr="003D12A9">
                <w:rPr>
                  <w:rStyle w:val="Hyperlink"/>
                  <w:rFonts w:eastAsiaTheme="majorEastAsia" w:cstheme="minorHAnsi"/>
                  <w:color w:val="0768A9"/>
                  <w:sz w:val="19"/>
                  <w:szCs w:val="19"/>
                </w:rPr>
                <w:t>Weiss et al., 2010, 2011</w:t>
              </w:r>
            </w:hyperlink>
            <w:r w:rsidRPr="003D12A9">
              <w:t>, </w:t>
            </w:r>
            <w:hyperlink r:id="rId56" w:anchor="110" w:history="1">
              <w:r w:rsidRPr="003D12A9">
                <w:rPr>
                  <w:rStyle w:val="Hyperlink"/>
                  <w:rFonts w:eastAsiaTheme="majorEastAsia" w:cstheme="minorHAnsi"/>
                  <w:color w:val="0768A9"/>
                  <w:sz w:val="19"/>
                  <w:szCs w:val="19"/>
                </w:rPr>
                <w:t>2014</w:t>
              </w:r>
            </w:hyperlink>
            <w:r w:rsidRPr="003D12A9">
              <w:t>), with fixed effects for discharge unit and clustering for nurses. The models were first estimated using the mean item scores for the long and short forms. Then the mean items scores on both forms were dichotomized using less than 7 as a cutoff score for low discharge readiness, based on prior analysis by the research team (</w:t>
            </w:r>
            <w:hyperlink r:id="rId57" w:anchor="110" w:history="1">
              <w:r w:rsidRPr="003D12A9">
                <w:rPr>
                  <w:rStyle w:val="Hyperlink"/>
                  <w:rFonts w:eastAsiaTheme="majorEastAsia" w:cstheme="minorHAnsi"/>
                  <w:color w:val="0768A9"/>
                  <w:sz w:val="19"/>
                  <w:szCs w:val="19"/>
                </w:rPr>
                <w:t>Weiss et al., 2014</w:t>
              </w:r>
            </w:hyperlink>
            <w:r w:rsidRPr="003D12A9">
              <w:t>). The models for mean and dichotomized scores were run unadjusted with no patient characteristics and adjusted with patient characteristics added. Results are presented in </w:t>
            </w:r>
            <w:hyperlink r:id="rId58" w:anchor="TT3" w:history="1">
              <w:r w:rsidRPr="003D12A9">
                <w:rPr>
                  <w:rStyle w:val="Hyperlink"/>
                  <w:rFonts w:eastAsiaTheme="majorEastAsia" w:cstheme="minorHAnsi"/>
                  <w:color w:val="0768A9"/>
                  <w:sz w:val="19"/>
                  <w:szCs w:val="19"/>
                </w:rPr>
                <w:t>Table 3</w:t>
              </w:r>
            </w:hyperlink>
            <w:r w:rsidRPr="003D12A9">
              <w:t>. Overall, the RN-RHDS long form was slightly more predictive than the short form (odds ratio [</w:t>
            </w:r>
            <w:r w:rsidRPr="003D12A9">
              <w:rPr>
                <w:rStyle w:val="fulltext-it"/>
                <w:rFonts w:eastAsiaTheme="majorEastAsia" w:cstheme="minorHAnsi"/>
                <w:i/>
                <w:iCs/>
                <w:color w:val="2D2D2D"/>
                <w:sz w:val="19"/>
                <w:szCs w:val="19"/>
              </w:rPr>
              <w:t>OR</w:t>
            </w:r>
            <w:r w:rsidRPr="003D12A9">
              <w:t>] = 3.34 vs. </w:t>
            </w:r>
            <w:r w:rsidRPr="003D12A9">
              <w:rPr>
                <w:rStyle w:val="fulltext-it"/>
                <w:rFonts w:eastAsiaTheme="majorEastAsia" w:cstheme="minorHAnsi"/>
                <w:i/>
                <w:iCs/>
                <w:color w:val="2D2D2D"/>
                <w:sz w:val="19"/>
                <w:szCs w:val="19"/>
              </w:rPr>
              <w:t>OR</w:t>
            </w:r>
            <w:r w:rsidRPr="003D12A9">
              <w:t> = 2.93 in the unadjusted models and </w:t>
            </w:r>
            <w:r w:rsidRPr="003D12A9">
              <w:rPr>
                <w:rStyle w:val="fulltext-it"/>
                <w:rFonts w:eastAsiaTheme="majorEastAsia" w:cstheme="minorHAnsi"/>
                <w:i/>
                <w:iCs/>
                <w:color w:val="2D2D2D"/>
                <w:sz w:val="19"/>
                <w:szCs w:val="19"/>
              </w:rPr>
              <w:t>OR</w:t>
            </w:r>
            <w:r w:rsidRPr="003D12A9">
              <w:t> = 9.31 vs. </w:t>
            </w:r>
            <w:r w:rsidRPr="003D12A9">
              <w:rPr>
                <w:rStyle w:val="fulltext-it"/>
                <w:rFonts w:eastAsiaTheme="majorEastAsia" w:cstheme="minorHAnsi"/>
                <w:i/>
                <w:iCs/>
                <w:color w:val="2D2D2D"/>
                <w:sz w:val="19"/>
                <w:szCs w:val="19"/>
              </w:rPr>
              <w:t>OR</w:t>
            </w:r>
            <w:r w:rsidRPr="003D12A9">
              <w:t> = 6.36 in the adjusted models, respectively). The results indicate that including the patient characteristics in the models improves predictive validity, but unadjusted, as in the clinical practice situation, RN-RHDS was still associated with subsequent return to the hospital.</w:t>
            </w:r>
          </w:p>
        </w:tc>
        <w:tc>
          <w:tcPr>
            <w:tcW w:w="0" w:type="auto"/>
            <w:hideMark/>
          </w:tcPr>
          <w:p w14:paraId="49043318" w14:textId="77777777" w:rsidR="00246AB7" w:rsidRPr="003D12A9" w:rsidRDefault="00246AB7" w:rsidP="00413E5B">
            <w:pPr>
              <w:rPr>
                <w:sz w:val="18"/>
                <w:szCs w:val="18"/>
              </w:rPr>
            </w:pPr>
          </w:p>
        </w:tc>
      </w:tr>
    </w:tbl>
    <w:p w14:paraId="5EDD7362" w14:textId="3ABC052E" w:rsidR="00246AB7" w:rsidRDefault="00246AB7" w:rsidP="00413E5B"/>
    <w:p w14:paraId="5A1F8B81" w14:textId="75AF0DD8" w:rsidR="00130904" w:rsidRDefault="00130904" w:rsidP="00246AB7">
      <w:pPr>
        <w:shd w:val="clear" w:color="auto" w:fill="FFFFFF"/>
        <w:spacing w:line="240" w:lineRule="auto"/>
        <w:rPr>
          <w:rFonts w:cstheme="minorHAnsi"/>
          <w:color w:val="2D2D2D"/>
          <w:sz w:val="17"/>
          <w:szCs w:val="17"/>
        </w:rPr>
      </w:pPr>
      <w:r w:rsidRPr="00130904">
        <w:rPr>
          <w:noProof/>
        </w:rPr>
        <w:drawing>
          <wp:inline distT="0" distB="0" distL="0" distR="0" wp14:anchorId="030F6526" wp14:editId="5C22ED06">
            <wp:extent cx="4572000" cy="1545336"/>
            <wp:effectExtent l="0" t="0" r="0" b="0"/>
            <wp:docPr id="1" name="Picture 1" descr="TABLE 3.  Positive Predictive Validity: Odds Ratios for 30 Days Return to Hospital, N = 29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4572000" cy="1545336"/>
                    </a:xfrm>
                    <a:prstGeom prst="rect">
                      <a:avLst/>
                    </a:prstGeom>
                  </pic:spPr>
                </pic:pic>
              </a:graphicData>
            </a:graphic>
          </wp:inline>
        </w:drawing>
      </w:r>
    </w:p>
    <w:p w14:paraId="57B30FF4" w14:textId="43800D2A" w:rsidR="00130904" w:rsidRDefault="009B20F8" w:rsidP="009B20F8">
      <w:pPr>
        <w:pStyle w:val="Heading2"/>
      </w:pPr>
      <w:r w:rsidRPr="009B20F8">
        <w:t>TABLE 3.  Positive Predictive Validity: Odds Ratios for 30 Days Return to Hospital, N = 293</w:t>
      </w:r>
    </w:p>
    <w:p w14:paraId="141BC799" w14:textId="07F9207C" w:rsidR="00331EF0" w:rsidRPr="00331EF0" w:rsidRDefault="00331EF0" w:rsidP="00331EF0">
      <w:pPr>
        <w:kinsoku w:val="0"/>
        <w:overflowPunct w:val="0"/>
        <w:autoSpaceDE w:val="0"/>
        <w:autoSpaceDN w:val="0"/>
        <w:adjustRightInd w:val="0"/>
        <w:spacing w:after="49" w:line="199" w:lineRule="exact"/>
        <w:ind w:left="4607"/>
        <w:rPr>
          <w:rFonts w:ascii="Tahoma" w:hAnsi="Tahoma" w:cs="Tahoma"/>
          <w:color w:val="231F20"/>
          <w:sz w:val="17"/>
          <w:szCs w:val="17"/>
        </w:rPr>
      </w:pPr>
    </w:p>
    <w:tbl>
      <w:tblPr>
        <w:tblStyle w:val="TableGrid"/>
        <w:tblW w:w="5000" w:type="pct"/>
        <w:tblLook w:val="04A0" w:firstRow="1" w:lastRow="0" w:firstColumn="1" w:lastColumn="0" w:noHBand="0" w:noVBand="1"/>
      </w:tblPr>
      <w:tblGrid>
        <w:gridCol w:w="3631"/>
        <w:gridCol w:w="2924"/>
        <w:gridCol w:w="1678"/>
        <w:gridCol w:w="1837"/>
      </w:tblGrid>
      <w:tr w:rsidR="00331EF0" w:rsidRPr="00331EF0" w14:paraId="0B674CDE" w14:textId="77777777" w:rsidTr="005074F3">
        <w:trPr>
          <w:trHeight w:val="511"/>
        </w:trPr>
        <w:tc>
          <w:tcPr>
            <w:tcW w:w="1803" w:type="pct"/>
          </w:tcPr>
          <w:p w14:paraId="2860A8A4" w14:textId="77777777" w:rsidR="00331EF0" w:rsidRPr="00331EF0" w:rsidRDefault="00331EF0" w:rsidP="00331EF0">
            <w:pPr>
              <w:pStyle w:val="NoSpacing"/>
              <w:rPr>
                <w:sz w:val="18"/>
                <w:szCs w:val="18"/>
              </w:rPr>
            </w:pPr>
          </w:p>
        </w:tc>
        <w:tc>
          <w:tcPr>
            <w:tcW w:w="1452" w:type="pct"/>
          </w:tcPr>
          <w:p w14:paraId="1F3274BF" w14:textId="77777777" w:rsidR="00331EF0" w:rsidRPr="00331EF0" w:rsidRDefault="00331EF0" w:rsidP="00331EF0">
            <w:pPr>
              <w:pStyle w:val="NoSpacing"/>
              <w:rPr>
                <w:sz w:val="18"/>
                <w:szCs w:val="18"/>
              </w:rPr>
            </w:pPr>
          </w:p>
        </w:tc>
        <w:tc>
          <w:tcPr>
            <w:tcW w:w="833" w:type="pct"/>
          </w:tcPr>
          <w:p w14:paraId="6DB57CB4" w14:textId="7B5FE167" w:rsidR="00331EF0" w:rsidRPr="00331EF0" w:rsidRDefault="00331EF0" w:rsidP="00331EF0">
            <w:pPr>
              <w:pStyle w:val="NoSpacing"/>
              <w:rPr>
                <w:sz w:val="18"/>
                <w:szCs w:val="18"/>
              </w:rPr>
            </w:pPr>
            <w:r w:rsidRPr="00331EF0">
              <w:rPr>
                <w:sz w:val="18"/>
                <w:szCs w:val="18"/>
              </w:rPr>
              <w:t>Unadjusted models Adjusted models*</w:t>
            </w:r>
          </w:p>
        </w:tc>
        <w:tc>
          <w:tcPr>
            <w:tcW w:w="912" w:type="pct"/>
          </w:tcPr>
          <w:p w14:paraId="667E03DE" w14:textId="77777777" w:rsidR="00331EF0" w:rsidRPr="00331EF0" w:rsidRDefault="00331EF0" w:rsidP="00331EF0">
            <w:pPr>
              <w:pStyle w:val="NoSpacing"/>
              <w:rPr>
                <w:sz w:val="18"/>
                <w:szCs w:val="18"/>
              </w:rPr>
            </w:pPr>
          </w:p>
        </w:tc>
      </w:tr>
      <w:tr w:rsidR="00626BF0" w:rsidRPr="00331EF0" w14:paraId="4A7C5D62" w14:textId="77777777" w:rsidTr="005074F3">
        <w:trPr>
          <w:trHeight w:val="229"/>
        </w:trPr>
        <w:tc>
          <w:tcPr>
            <w:tcW w:w="1803" w:type="pct"/>
          </w:tcPr>
          <w:p w14:paraId="25FE1A4E" w14:textId="43741A2F" w:rsidR="00626BF0" w:rsidRPr="00331EF0" w:rsidRDefault="00626BF0" w:rsidP="00331EF0">
            <w:pPr>
              <w:pStyle w:val="NoSpacing"/>
              <w:rPr>
                <w:sz w:val="18"/>
                <w:szCs w:val="18"/>
              </w:rPr>
            </w:pPr>
            <w:r w:rsidRPr="00331EF0">
              <w:rPr>
                <w:sz w:val="18"/>
                <w:szCs w:val="18"/>
              </w:rPr>
              <w:t>RN-RHDS mean &lt;7 (long [21-item] form) Control variables</w:t>
            </w:r>
          </w:p>
        </w:tc>
        <w:tc>
          <w:tcPr>
            <w:tcW w:w="1452" w:type="pct"/>
          </w:tcPr>
          <w:p w14:paraId="2043E94C" w14:textId="01573C1C" w:rsidR="00626BF0" w:rsidRPr="00331EF0" w:rsidRDefault="00626BF0" w:rsidP="00331EF0">
            <w:pPr>
              <w:pStyle w:val="NoSpacing"/>
              <w:rPr>
                <w:sz w:val="18"/>
                <w:szCs w:val="18"/>
              </w:rPr>
            </w:pPr>
            <w:r w:rsidRPr="00331EF0">
              <w:rPr>
                <w:sz w:val="18"/>
                <w:szCs w:val="18"/>
              </w:rPr>
              <w:t>Sex = male</w:t>
            </w:r>
          </w:p>
        </w:tc>
        <w:tc>
          <w:tcPr>
            <w:tcW w:w="833" w:type="pct"/>
          </w:tcPr>
          <w:p w14:paraId="6859BC9C" w14:textId="73EA0D9B" w:rsidR="00626BF0" w:rsidRPr="00331EF0" w:rsidRDefault="00626BF0" w:rsidP="00331EF0">
            <w:pPr>
              <w:pStyle w:val="NoSpacing"/>
              <w:rPr>
                <w:sz w:val="18"/>
                <w:szCs w:val="18"/>
              </w:rPr>
            </w:pPr>
            <w:r w:rsidRPr="00331EF0">
              <w:rPr>
                <w:sz w:val="18"/>
                <w:szCs w:val="18"/>
              </w:rPr>
              <w:t>3.34***</w:t>
            </w:r>
          </w:p>
        </w:tc>
        <w:tc>
          <w:tcPr>
            <w:tcW w:w="912" w:type="pct"/>
          </w:tcPr>
          <w:p w14:paraId="08F5942D" w14:textId="77777777" w:rsidR="00626BF0" w:rsidRPr="00331EF0" w:rsidRDefault="00626BF0" w:rsidP="00626BF0">
            <w:pPr>
              <w:pStyle w:val="NoSpacing"/>
              <w:rPr>
                <w:sz w:val="18"/>
                <w:szCs w:val="18"/>
              </w:rPr>
            </w:pPr>
            <w:r w:rsidRPr="00331EF0">
              <w:rPr>
                <w:sz w:val="18"/>
                <w:szCs w:val="18"/>
              </w:rPr>
              <w:t>9.31***</w:t>
            </w:r>
          </w:p>
          <w:p w14:paraId="55A588C2" w14:textId="5042421C" w:rsidR="00626BF0" w:rsidRPr="00331EF0" w:rsidRDefault="00626BF0" w:rsidP="00626BF0">
            <w:pPr>
              <w:pStyle w:val="NoSpacing"/>
              <w:rPr>
                <w:sz w:val="18"/>
                <w:szCs w:val="18"/>
              </w:rPr>
            </w:pPr>
            <w:r w:rsidRPr="00331EF0">
              <w:rPr>
                <w:sz w:val="18"/>
                <w:szCs w:val="18"/>
              </w:rPr>
              <w:t>2.24*</w:t>
            </w:r>
          </w:p>
        </w:tc>
      </w:tr>
      <w:tr w:rsidR="00331EF0" w:rsidRPr="00331EF0" w14:paraId="373E4BC7" w14:textId="77777777" w:rsidTr="005074F3">
        <w:trPr>
          <w:trHeight w:val="229"/>
        </w:trPr>
        <w:tc>
          <w:tcPr>
            <w:tcW w:w="1803" w:type="pct"/>
          </w:tcPr>
          <w:p w14:paraId="7A3759CC" w14:textId="77777777" w:rsidR="00331EF0" w:rsidRPr="00331EF0" w:rsidRDefault="00331EF0" w:rsidP="00331EF0">
            <w:pPr>
              <w:pStyle w:val="NoSpacing"/>
              <w:rPr>
                <w:sz w:val="18"/>
                <w:szCs w:val="18"/>
              </w:rPr>
            </w:pPr>
          </w:p>
        </w:tc>
        <w:tc>
          <w:tcPr>
            <w:tcW w:w="1452" w:type="pct"/>
          </w:tcPr>
          <w:p w14:paraId="387CD28F" w14:textId="77777777" w:rsidR="00331EF0" w:rsidRPr="00331EF0" w:rsidRDefault="00331EF0" w:rsidP="00331EF0">
            <w:pPr>
              <w:pStyle w:val="NoSpacing"/>
              <w:rPr>
                <w:sz w:val="18"/>
                <w:szCs w:val="18"/>
              </w:rPr>
            </w:pPr>
            <w:r w:rsidRPr="00331EF0">
              <w:rPr>
                <w:sz w:val="18"/>
                <w:szCs w:val="18"/>
              </w:rPr>
              <w:t>Race = White, non-Hispanic</w:t>
            </w:r>
          </w:p>
        </w:tc>
        <w:tc>
          <w:tcPr>
            <w:tcW w:w="833" w:type="pct"/>
          </w:tcPr>
          <w:p w14:paraId="27A67DB6" w14:textId="77777777" w:rsidR="00331EF0" w:rsidRPr="00331EF0" w:rsidRDefault="00331EF0" w:rsidP="00331EF0">
            <w:pPr>
              <w:pStyle w:val="NoSpacing"/>
              <w:rPr>
                <w:sz w:val="18"/>
                <w:szCs w:val="18"/>
              </w:rPr>
            </w:pPr>
          </w:p>
        </w:tc>
        <w:tc>
          <w:tcPr>
            <w:tcW w:w="912" w:type="pct"/>
          </w:tcPr>
          <w:p w14:paraId="393166B7" w14:textId="77777777" w:rsidR="00331EF0" w:rsidRPr="00331EF0" w:rsidRDefault="00331EF0" w:rsidP="00331EF0">
            <w:pPr>
              <w:pStyle w:val="NoSpacing"/>
              <w:rPr>
                <w:sz w:val="18"/>
                <w:szCs w:val="18"/>
              </w:rPr>
            </w:pPr>
            <w:r w:rsidRPr="00331EF0">
              <w:rPr>
                <w:sz w:val="18"/>
                <w:szCs w:val="18"/>
              </w:rPr>
              <w:t>0.24**</w:t>
            </w:r>
          </w:p>
        </w:tc>
      </w:tr>
      <w:tr w:rsidR="00331EF0" w:rsidRPr="00331EF0" w14:paraId="77858A5A" w14:textId="77777777" w:rsidTr="005074F3">
        <w:trPr>
          <w:trHeight w:val="458"/>
        </w:trPr>
        <w:tc>
          <w:tcPr>
            <w:tcW w:w="1803" w:type="pct"/>
          </w:tcPr>
          <w:p w14:paraId="6BEDEE34" w14:textId="77777777" w:rsidR="00331EF0" w:rsidRPr="00331EF0" w:rsidRDefault="00331EF0" w:rsidP="00331EF0">
            <w:pPr>
              <w:pStyle w:val="NoSpacing"/>
              <w:rPr>
                <w:sz w:val="18"/>
                <w:szCs w:val="18"/>
              </w:rPr>
            </w:pPr>
            <w:r w:rsidRPr="00331EF0">
              <w:rPr>
                <w:sz w:val="18"/>
                <w:szCs w:val="18"/>
              </w:rPr>
              <w:t>RN-RHDS mean &lt;7 (short [8-item] form)</w:t>
            </w:r>
          </w:p>
          <w:p w14:paraId="21D823B9" w14:textId="77777777" w:rsidR="00331EF0" w:rsidRPr="00331EF0" w:rsidRDefault="00331EF0" w:rsidP="00331EF0">
            <w:pPr>
              <w:pStyle w:val="NoSpacing"/>
              <w:rPr>
                <w:sz w:val="18"/>
                <w:szCs w:val="18"/>
              </w:rPr>
            </w:pPr>
            <w:r w:rsidRPr="00331EF0">
              <w:rPr>
                <w:sz w:val="18"/>
                <w:szCs w:val="18"/>
              </w:rPr>
              <w:t>Control variables</w:t>
            </w:r>
          </w:p>
        </w:tc>
        <w:tc>
          <w:tcPr>
            <w:tcW w:w="1452" w:type="pct"/>
          </w:tcPr>
          <w:p w14:paraId="7BDF3A28" w14:textId="77777777" w:rsidR="00331EF0" w:rsidRPr="00331EF0" w:rsidRDefault="00331EF0" w:rsidP="00331EF0">
            <w:pPr>
              <w:pStyle w:val="NoSpacing"/>
              <w:rPr>
                <w:sz w:val="18"/>
                <w:szCs w:val="18"/>
              </w:rPr>
            </w:pPr>
          </w:p>
          <w:p w14:paraId="3DC71B73" w14:textId="77777777" w:rsidR="00331EF0" w:rsidRPr="00331EF0" w:rsidRDefault="00331EF0" w:rsidP="00331EF0">
            <w:pPr>
              <w:pStyle w:val="NoSpacing"/>
              <w:rPr>
                <w:sz w:val="18"/>
                <w:szCs w:val="18"/>
              </w:rPr>
            </w:pPr>
            <w:r w:rsidRPr="00331EF0">
              <w:rPr>
                <w:sz w:val="18"/>
                <w:szCs w:val="18"/>
              </w:rPr>
              <w:t>Sex = male</w:t>
            </w:r>
          </w:p>
        </w:tc>
        <w:tc>
          <w:tcPr>
            <w:tcW w:w="833" w:type="pct"/>
          </w:tcPr>
          <w:p w14:paraId="1A74DBA1" w14:textId="77777777" w:rsidR="00331EF0" w:rsidRPr="00331EF0" w:rsidRDefault="00331EF0" w:rsidP="00331EF0">
            <w:pPr>
              <w:pStyle w:val="NoSpacing"/>
              <w:rPr>
                <w:sz w:val="18"/>
                <w:szCs w:val="18"/>
              </w:rPr>
            </w:pPr>
            <w:r w:rsidRPr="00331EF0">
              <w:rPr>
                <w:sz w:val="18"/>
                <w:szCs w:val="18"/>
              </w:rPr>
              <w:t>2.93**</w:t>
            </w:r>
          </w:p>
        </w:tc>
        <w:tc>
          <w:tcPr>
            <w:tcW w:w="912" w:type="pct"/>
          </w:tcPr>
          <w:p w14:paraId="101A6298" w14:textId="77777777" w:rsidR="00331EF0" w:rsidRPr="00331EF0" w:rsidRDefault="00331EF0" w:rsidP="00331EF0">
            <w:pPr>
              <w:pStyle w:val="NoSpacing"/>
              <w:rPr>
                <w:sz w:val="18"/>
                <w:szCs w:val="18"/>
              </w:rPr>
            </w:pPr>
            <w:r w:rsidRPr="00331EF0">
              <w:rPr>
                <w:sz w:val="18"/>
                <w:szCs w:val="18"/>
              </w:rPr>
              <w:t>6.36***</w:t>
            </w:r>
          </w:p>
          <w:p w14:paraId="5F45100C" w14:textId="77777777" w:rsidR="00331EF0" w:rsidRPr="00331EF0" w:rsidRDefault="00331EF0" w:rsidP="00331EF0">
            <w:pPr>
              <w:pStyle w:val="NoSpacing"/>
              <w:rPr>
                <w:sz w:val="18"/>
                <w:szCs w:val="18"/>
              </w:rPr>
            </w:pPr>
            <w:r w:rsidRPr="00331EF0">
              <w:rPr>
                <w:sz w:val="18"/>
                <w:szCs w:val="18"/>
              </w:rPr>
              <w:t>2.25*</w:t>
            </w:r>
          </w:p>
        </w:tc>
      </w:tr>
      <w:tr w:rsidR="00331EF0" w:rsidRPr="00331EF0" w14:paraId="67227441" w14:textId="77777777" w:rsidTr="005074F3">
        <w:trPr>
          <w:trHeight w:val="206"/>
        </w:trPr>
        <w:tc>
          <w:tcPr>
            <w:tcW w:w="1803" w:type="pct"/>
          </w:tcPr>
          <w:p w14:paraId="59199169" w14:textId="77777777" w:rsidR="00331EF0" w:rsidRPr="00331EF0" w:rsidRDefault="00331EF0" w:rsidP="00331EF0">
            <w:pPr>
              <w:pStyle w:val="NoSpacing"/>
              <w:rPr>
                <w:sz w:val="18"/>
                <w:szCs w:val="18"/>
              </w:rPr>
            </w:pPr>
          </w:p>
        </w:tc>
        <w:tc>
          <w:tcPr>
            <w:tcW w:w="1452" w:type="pct"/>
          </w:tcPr>
          <w:p w14:paraId="44EC4695" w14:textId="77777777" w:rsidR="00331EF0" w:rsidRPr="00331EF0" w:rsidRDefault="00331EF0" w:rsidP="00331EF0">
            <w:pPr>
              <w:pStyle w:val="NoSpacing"/>
              <w:rPr>
                <w:sz w:val="18"/>
                <w:szCs w:val="18"/>
              </w:rPr>
            </w:pPr>
            <w:r w:rsidRPr="00331EF0">
              <w:rPr>
                <w:sz w:val="18"/>
                <w:szCs w:val="18"/>
              </w:rPr>
              <w:t>Race = White, non-Hispanic</w:t>
            </w:r>
          </w:p>
        </w:tc>
        <w:tc>
          <w:tcPr>
            <w:tcW w:w="833" w:type="pct"/>
          </w:tcPr>
          <w:p w14:paraId="375C8903" w14:textId="77777777" w:rsidR="00331EF0" w:rsidRPr="00331EF0" w:rsidRDefault="00331EF0" w:rsidP="00331EF0">
            <w:pPr>
              <w:pStyle w:val="NoSpacing"/>
              <w:rPr>
                <w:sz w:val="18"/>
                <w:szCs w:val="18"/>
              </w:rPr>
            </w:pPr>
          </w:p>
        </w:tc>
        <w:tc>
          <w:tcPr>
            <w:tcW w:w="912" w:type="pct"/>
          </w:tcPr>
          <w:p w14:paraId="74010B7B" w14:textId="77777777" w:rsidR="00331EF0" w:rsidRPr="00331EF0" w:rsidRDefault="00331EF0" w:rsidP="00331EF0">
            <w:pPr>
              <w:pStyle w:val="NoSpacing"/>
              <w:rPr>
                <w:sz w:val="18"/>
                <w:szCs w:val="18"/>
              </w:rPr>
            </w:pPr>
            <w:r w:rsidRPr="00331EF0">
              <w:rPr>
                <w:sz w:val="18"/>
                <w:szCs w:val="18"/>
              </w:rPr>
              <w:t>0.24**</w:t>
            </w:r>
          </w:p>
        </w:tc>
      </w:tr>
    </w:tbl>
    <w:p w14:paraId="1018EAD0" w14:textId="77777777" w:rsidR="005843F7" w:rsidRPr="005843F7" w:rsidRDefault="005843F7" w:rsidP="005843F7">
      <w:pPr>
        <w:pStyle w:val="NoSpacing"/>
        <w:rPr>
          <w:sz w:val="20"/>
          <w:szCs w:val="20"/>
        </w:rPr>
      </w:pPr>
      <w:r w:rsidRPr="005843F7">
        <w:rPr>
          <w:rFonts w:ascii="AdvTT5f1fbe00.I" w:hAnsi="AdvTT5f1fbe00.I" w:cs="AdvTT5f1fbe00.I"/>
          <w:sz w:val="20"/>
          <w:szCs w:val="20"/>
        </w:rPr>
        <w:t>Note</w:t>
      </w:r>
      <w:r w:rsidRPr="005843F7">
        <w:rPr>
          <w:sz w:val="20"/>
          <w:szCs w:val="20"/>
        </w:rPr>
        <w:t xml:space="preserve">. The table includes control variables with </w:t>
      </w:r>
      <w:r w:rsidRPr="005843F7">
        <w:rPr>
          <w:rFonts w:ascii="AdvTT5f1fbe00.I" w:hAnsi="AdvTT5f1fbe00.I" w:cs="AdvTT5f1fbe00.I"/>
          <w:sz w:val="20"/>
          <w:szCs w:val="20"/>
        </w:rPr>
        <w:t xml:space="preserve">p </w:t>
      </w:r>
      <w:r w:rsidRPr="005843F7">
        <w:rPr>
          <w:sz w:val="20"/>
          <w:szCs w:val="20"/>
        </w:rPr>
        <w:t xml:space="preserve">&lt; .05. The following variables were included in all </w:t>
      </w:r>
      <w:proofErr w:type="spellStart"/>
      <w:r w:rsidRPr="005843F7">
        <w:rPr>
          <w:sz w:val="20"/>
          <w:szCs w:val="20"/>
        </w:rPr>
        <w:t>adjustedmodels</w:t>
      </w:r>
      <w:proofErr w:type="spellEnd"/>
      <w:r w:rsidRPr="005843F7">
        <w:rPr>
          <w:sz w:val="20"/>
          <w:szCs w:val="20"/>
        </w:rPr>
        <w:t>: age,</w:t>
      </w:r>
    </w:p>
    <w:p w14:paraId="26F4D9B2" w14:textId="77777777" w:rsidR="005843F7" w:rsidRPr="005843F7" w:rsidRDefault="005843F7" w:rsidP="005843F7">
      <w:pPr>
        <w:pStyle w:val="NoSpacing"/>
        <w:rPr>
          <w:sz w:val="20"/>
          <w:szCs w:val="20"/>
        </w:rPr>
      </w:pPr>
      <w:r w:rsidRPr="005843F7">
        <w:rPr>
          <w:sz w:val="20"/>
          <w:szCs w:val="20"/>
        </w:rPr>
        <w:t>gender, ethnicity (Hispanic), lives alone, socioeconomic status (Hollingshead Four-Factor Index of Social Status), and fixed</w:t>
      </w:r>
    </w:p>
    <w:p w14:paraId="1A505AFB" w14:textId="77777777" w:rsidR="005843F7" w:rsidRPr="005843F7" w:rsidRDefault="005843F7" w:rsidP="005843F7">
      <w:pPr>
        <w:pStyle w:val="NoSpacing"/>
        <w:rPr>
          <w:sz w:val="20"/>
          <w:szCs w:val="20"/>
        </w:rPr>
      </w:pPr>
      <w:r w:rsidRPr="005843F7">
        <w:rPr>
          <w:sz w:val="20"/>
          <w:szCs w:val="20"/>
        </w:rPr>
        <w:t>effects for unit and Major Diagnostic Categories. RN-RHDS = Registered Nurse Assessment of Readiness for Hospital</w:t>
      </w:r>
    </w:p>
    <w:p w14:paraId="44A6DC8F" w14:textId="17BF1671" w:rsidR="009B20F8" w:rsidRPr="005843F7" w:rsidRDefault="005843F7" w:rsidP="005843F7">
      <w:pPr>
        <w:pStyle w:val="NoSpacing"/>
        <w:rPr>
          <w:rFonts w:cstheme="minorHAnsi"/>
          <w:color w:val="2D2D2D"/>
          <w:sz w:val="20"/>
          <w:szCs w:val="20"/>
        </w:rPr>
      </w:pPr>
      <w:r w:rsidRPr="005843F7">
        <w:rPr>
          <w:sz w:val="20"/>
          <w:szCs w:val="20"/>
        </w:rPr>
        <w:t>Discharge Scale. *</w:t>
      </w:r>
      <w:r w:rsidRPr="005843F7">
        <w:rPr>
          <w:rFonts w:ascii="AdvTT5f1fbe00.I" w:hAnsi="AdvTT5f1fbe00.I" w:cs="AdvTT5f1fbe00.I"/>
          <w:sz w:val="20"/>
          <w:szCs w:val="20"/>
        </w:rPr>
        <w:t xml:space="preserve">p </w:t>
      </w:r>
      <w:r w:rsidRPr="005843F7">
        <w:rPr>
          <w:sz w:val="20"/>
          <w:szCs w:val="20"/>
        </w:rPr>
        <w:t>&lt; .05. **</w:t>
      </w:r>
      <w:r w:rsidRPr="005843F7">
        <w:rPr>
          <w:rFonts w:ascii="AdvTT5f1fbe00.I" w:hAnsi="AdvTT5f1fbe00.I" w:cs="AdvTT5f1fbe00.I"/>
          <w:sz w:val="20"/>
          <w:szCs w:val="20"/>
        </w:rPr>
        <w:t xml:space="preserve">p </w:t>
      </w:r>
      <w:r w:rsidRPr="005843F7">
        <w:rPr>
          <w:sz w:val="20"/>
          <w:szCs w:val="20"/>
        </w:rPr>
        <w:t>&lt; .01. ***</w:t>
      </w:r>
      <w:r w:rsidRPr="005843F7">
        <w:rPr>
          <w:rFonts w:ascii="AdvTT5f1fbe00.I" w:hAnsi="AdvTT5f1fbe00.I" w:cs="AdvTT5f1fbe00.I"/>
          <w:sz w:val="20"/>
          <w:szCs w:val="20"/>
        </w:rPr>
        <w:t xml:space="preserve">p </w:t>
      </w:r>
      <w:r w:rsidRPr="005843F7">
        <w:rPr>
          <w:sz w:val="20"/>
          <w:szCs w:val="20"/>
        </w:rPr>
        <w:t>&lt; .001.</w:t>
      </w:r>
    </w:p>
    <w:tbl>
      <w:tblPr>
        <w:tblStyle w:val="TableGridLight"/>
        <w:tblW w:w="0" w:type="auto"/>
        <w:tblLook w:val="04A0" w:firstRow="1" w:lastRow="0" w:firstColumn="1" w:lastColumn="0" w:noHBand="0" w:noVBand="1"/>
      </w:tblPr>
      <w:tblGrid>
        <w:gridCol w:w="1790"/>
      </w:tblGrid>
      <w:tr w:rsidR="00246AB7" w:rsidRPr="003D12A9" w14:paraId="536B5781" w14:textId="77777777" w:rsidTr="00E70590">
        <w:tc>
          <w:tcPr>
            <w:tcW w:w="0" w:type="auto"/>
            <w:hideMark/>
          </w:tcPr>
          <w:p w14:paraId="70A05F0D" w14:textId="77777777" w:rsidR="00246AB7" w:rsidRPr="003D12A9" w:rsidRDefault="00246AB7" w:rsidP="005843F7">
            <w:pPr>
              <w:pStyle w:val="Heading1"/>
              <w:outlineLvl w:val="0"/>
              <w:divId w:val="1789473915"/>
            </w:pPr>
            <w:bookmarkStart w:id="61" w:name="79"/>
            <w:bookmarkEnd w:id="61"/>
            <w:r w:rsidRPr="003D12A9">
              <w:t>DISCUSSION</w:t>
            </w:r>
          </w:p>
        </w:tc>
      </w:tr>
    </w:tbl>
    <w:p w14:paraId="5808CB59"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6CFDE8CB" w14:textId="77777777" w:rsidTr="00E70590">
        <w:tc>
          <w:tcPr>
            <w:tcW w:w="0" w:type="auto"/>
            <w:hideMark/>
          </w:tcPr>
          <w:p w14:paraId="646E0D37" w14:textId="77777777" w:rsidR="00246AB7" w:rsidRPr="003D12A9" w:rsidRDefault="00246AB7" w:rsidP="00413E5B">
            <w:bookmarkStart w:id="62" w:name="80"/>
            <w:bookmarkEnd w:id="62"/>
            <w:r w:rsidRPr="003D12A9">
              <w:t>The structural characteristics of the RN-RHDS 21-item long form are similar to what has been reported previously with the PT-RHDS (</w:t>
            </w:r>
            <w:hyperlink r:id="rId60" w:anchor="113" w:history="1">
              <w:r w:rsidRPr="003D12A9">
                <w:rPr>
                  <w:rStyle w:val="Hyperlink"/>
                  <w:rFonts w:eastAsiaTheme="majorEastAsia" w:cstheme="minorHAnsi"/>
                  <w:color w:val="0768A9"/>
                  <w:sz w:val="19"/>
                  <w:szCs w:val="19"/>
                </w:rPr>
                <w:t>Weiss &amp; Piacentine, 2006</w:t>
              </w:r>
            </w:hyperlink>
            <w:r w:rsidRPr="003D12A9">
              <w:t>) and remain consistent with the theoretical constructs in the literature. When some of the fit statistics of the four-factor structure were slightly above recommended guidelines, the structure of the exploratory factor analysis revealed a coalescence of three of the four factors (Personal Status, Knowledge, Coping Ability) from the original scale. These factors are correlated indicating their reciprocal influence on each other. The exploratory factor analysis solution did not present an improvement over the original structure in terms of delineating the dimensions important to discharge readiness. In the analyses of both long and short forms, Expected Support is weakly related to the other subscale factors and perhaps should be considered as a separate but related concept.</w:t>
            </w:r>
          </w:p>
        </w:tc>
      </w:tr>
    </w:tbl>
    <w:p w14:paraId="63D8B093"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56C66054" w14:textId="77777777" w:rsidTr="00E70590">
        <w:tc>
          <w:tcPr>
            <w:tcW w:w="0" w:type="auto"/>
            <w:hideMark/>
          </w:tcPr>
          <w:p w14:paraId="0AFAE8EC" w14:textId="77777777" w:rsidR="00246AB7" w:rsidRPr="003D12A9" w:rsidRDefault="00246AB7" w:rsidP="00413E5B">
            <w:bookmarkStart w:id="63" w:name="81"/>
            <w:bookmarkEnd w:id="63"/>
            <w:r w:rsidRPr="003D12A9">
              <w:t>The reliability of the long-form RN-RHDS is similar to previously reported PT-RHDS (</w:t>
            </w:r>
            <w:hyperlink r:id="rId61" w:anchor="115" w:history="1">
              <w:r w:rsidRPr="003D12A9">
                <w:rPr>
                  <w:rStyle w:val="Hyperlink"/>
                  <w:rFonts w:eastAsiaTheme="majorEastAsia" w:cstheme="minorHAnsi"/>
                  <w:color w:val="0768A9"/>
                  <w:sz w:val="19"/>
                  <w:szCs w:val="19"/>
                </w:rPr>
                <w:t>Weiss et al., 2010</w:t>
              </w:r>
            </w:hyperlink>
            <w:r w:rsidRPr="003D12A9">
              <w:t>). Short-form reliability is lower but in the acceptable range and is consistent with earlier estimates of reliability in the range of .75-.83 (</w:t>
            </w:r>
            <w:hyperlink r:id="rId62" w:anchor="110" w:history="1">
              <w:r w:rsidRPr="003D12A9">
                <w:rPr>
                  <w:rStyle w:val="Hyperlink"/>
                  <w:rFonts w:eastAsiaTheme="majorEastAsia" w:cstheme="minorHAnsi"/>
                  <w:color w:val="0768A9"/>
                  <w:sz w:val="19"/>
                  <w:szCs w:val="19"/>
                </w:rPr>
                <w:t>Weiss et al., 2014</w:t>
              </w:r>
            </w:hyperlink>
            <w:r w:rsidRPr="003D12A9">
              <w:t>); this may be expected as there were a smaller number of items that were specifically chosen to represent each of the four a priori domains; they were items with highest item-subscale correlations and not highest correlations with the scale as a whole. In keeping with the goal of creating a clinically useful nurse assessment tool, it is helpful for nurses to have similar questions on both the patient and RN versions of the forms for consistency and comparison. The short and long forms of the RN-RHDS demonstrate reliability, reasonable factoring results, and predictive validity, suggesting that both forms are acceptable tools for assessing discharge readiness.</w:t>
            </w:r>
          </w:p>
        </w:tc>
      </w:tr>
    </w:tbl>
    <w:p w14:paraId="136A5202"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4692ECEB" w14:textId="77777777" w:rsidTr="00E70590">
        <w:tc>
          <w:tcPr>
            <w:tcW w:w="0" w:type="auto"/>
            <w:hideMark/>
          </w:tcPr>
          <w:p w14:paraId="70D8C1E2" w14:textId="77777777" w:rsidR="00246AB7" w:rsidRPr="003D12A9" w:rsidRDefault="00246AB7" w:rsidP="00413E5B">
            <w:bookmarkStart w:id="64" w:name="82"/>
            <w:bookmarkEnd w:id="64"/>
            <w:r w:rsidRPr="003D12A9">
              <w:t xml:space="preserve">The results of this study demonstrate the value of nurse assessment in predicting </w:t>
            </w:r>
            <w:proofErr w:type="spellStart"/>
            <w:r w:rsidRPr="003D12A9">
              <w:t>postdischarge</w:t>
            </w:r>
            <w:proofErr w:type="spellEnd"/>
            <w:r w:rsidRPr="003D12A9">
              <w:t xml:space="preserve"> utilization. Discharge readiness is an outcome metric of hospital discharge process and a predictor of return to the hospital in the form of a readmission or ED visit. The results highlight the ability of nurses to anticipate patients at high risk for return to the hospital for readmission or ED visits who may need additional transitional care interventions to prevent return to hospital. The RN-RHDS was developed in response to clinical nurses' requests to provide a discharge assessment for their patients going home. Nurses felt that they were in the best position to know which patients were likely to be readmitted. Nurses are responsible for discharge preparation and may assess discharge readiness informally, but there has been no requisite or tool for formal assessment of discharge readiness on the day of discharge. The availability of a reliable and valid tool may promote standardized assessment of readiness for discharge, which could be incorporated into electronic health records.</w:t>
            </w:r>
          </w:p>
        </w:tc>
      </w:tr>
    </w:tbl>
    <w:p w14:paraId="0D97C9EB"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49B55715" w14:textId="77777777" w:rsidTr="00E70590">
        <w:tc>
          <w:tcPr>
            <w:tcW w:w="0" w:type="auto"/>
            <w:hideMark/>
          </w:tcPr>
          <w:p w14:paraId="1329E7FC" w14:textId="77777777" w:rsidR="00246AB7" w:rsidRPr="003D12A9" w:rsidRDefault="00246AB7" w:rsidP="00413E5B">
            <w:bookmarkStart w:id="65" w:name="83"/>
            <w:bookmarkEnd w:id="65"/>
            <w:r w:rsidRPr="003D12A9">
              <w:t>In this sample, correlations between nurse and patient assessments of discharge readiness are very low (less than </w:t>
            </w:r>
            <w:r w:rsidRPr="003D12A9">
              <w:rPr>
                <w:rStyle w:val="fulltext-it"/>
                <w:rFonts w:eastAsiaTheme="majorEastAsia" w:cstheme="minorHAnsi"/>
                <w:i/>
                <w:iCs/>
                <w:color w:val="2D2D2D"/>
                <w:sz w:val="19"/>
                <w:szCs w:val="19"/>
              </w:rPr>
              <w:t>r</w:t>
            </w:r>
            <w:r w:rsidRPr="003D12A9">
              <w:t> = .15). When we use a cutoff score for low readiness of less than 7, established in a prior study (</w:t>
            </w:r>
            <w:hyperlink r:id="rId63" w:anchor="110" w:history="1">
              <w:r w:rsidRPr="003D12A9">
                <w:rPr>
                  <w:rStyle w:val="Hyperlink"/>
                  <w:rFonts w:eastAsiaTheme="majorEastAsia" w:cstheme="minorHAnsi"/>
                  <w:color w:val="0768A9"/>
                  <w:sz w:val="19"/>
                  <w:szCs w:val="19"/>
                </w:rPr>
                <w:t>Weiss et al., 2014</w:t>
              </w:r>
            </w:hyperlink>
            <w:r w:rsidRPr="003D12A9">
              <w:t>), concordance on readiness is high at 80% but agreement on low readiness is low, indicating that either the nurse or patient, but not both, recorded a low readiness score. Previous research has shown a persistent lack of agreement between RN and patient scores (</w:t>
            </w:r>
            <w:hyperlink r:id="rId64" w:anchor="116" w:history="1">
              <w:r w:rsidRPr="003D12A9">
                <w:rPr>
                  <w:rStyle w:val="Hyperlink"/>
                  <w:rFonts w:eastAsiaTheme="majorEastAsia" w:cstheme="minorHAnsi"/>
                  <w:color w:val="0768A9"/>
                  <w:sz w:val="19"/>
                  <w:szCs w:val="19"/>
                </w:rPr>
                <w:t>Weiss et al., 2011</w:t>
              </w:r>
            </w:hyperlink>
            <w:r w:rsidRPr="003D12A9">
              <w:t>, </w:t>
            </w:r>
            <w:hyperlink r:id="rId65" w:anchor="110" w:history="1">
              <w:r w:rsidRPr="003D12A9">
                <w:rPr>
                  <w:rStyle w:val="Hyperlink"/>
                  <w:rFonts w:eastAsiaTheme="majorEastAsia" w:cstheme="minorHAnsi"/>
                  <w:color w:val="0768A9"/>
                  <w:sz w:val="19"/>
                  <w:szCs w:val="19"/>
                </w:rPr>
                <w:t>2014</w:t>
              </w:r>
            </w:hyperlink>
            <w:r w:rsidRPr="003D12A9">
              <w:t>). Explanations for this discrepancy may be a lack of communication between the nurse and patient or lack of awareness about the factors assessed in the tool. For example, nurses may be less aware of available support at home than patients themselves. In addition, nurses assess patients' discharge readiness relative to their experiences with previous patients; patients relate to their own unique perspective of needs after discharge. Another possible explanation is likely a result of nursing experience; having observed many similar patients, nurses may recognize implicit factors that patients do not that may contribute to return to hospital.</w:t>
            </w:r>
          </w:p>
        </w:tc>
      </w:tr>
    </w:tbl>
    <w:p w14:paraId="4CDAA4BC"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2CB9181D" w14:textId="77777777" w:rsidTr="00E70590">
        <w:tc>
          <w:tcPr>
            <w:tcW w:w="0" w:type="auto"/>
            <w:hideMark/>
          </w:tcPr>
          <w:p w14:paraId="7AEE8D8B" w14:textId="77777777" w:rsidR="00246AB7" w:rsidRPr="003D12A9" w:rsidRDefault="00246AB7" w:rsidP="00413E5B">
            <w:bookmarkStart w:id="66" w:name="84"/>
            <w:bookmarkEnd w:id="66"/>
            <w:r w:rsidRPr="003D12A9">
              <w:t xml:space="preserve">The long- and short-form RN-RHDS have different utilities for use in clinical practice. The RN-RHDS/SF is a screening tool that uses two items from each of the four subscales (Personal Status, Knowledge, Coping Ability, Expected Support) to evaluate discharge readiness. The RN-RHDS long form offers the opportunity for a more complete assessment if indicated by low readiness scores on the short form. In both forms, low readiness scores are associated with substantially higher </w:t>
            </w:r>
            <w:proofErr w:type="spellStart"/>
            <w:r w:rsidRPr="003D12A9">
              <w:t>postdischarge</w:t>
            </w:r>
            <w:proofErr w:type="spellEnd"/>
            <w:r w:rsidRPr="003D12A9">
              <w:t xml:space="preserve"> return to hospital rates (three to nine times). The scales can potentially be used as one method for evaluating return to the hospital risk. Although there are several readmission risk identification scoring tools, these current risk assessment models are based on retrospective large data set analyses incorporating diagnostic, clinical condition, and demographic factors, but rarely indicators of overall health and function, severity of illness, or social determinants of health (</w:t>
            </w:r>
            <w:proofErr w:type="spellStart"/>
            <w:r w:rsidR="00304474">
              <w:fldChar w:fldCharType="begin"/>
            </w:r>
            <w:r w:rsidR="00304474">
              <w:instrText xml:space="preserve"> HYPERLINK "http://0-ovidsp.dc2.ovid.com.libus.csd.mu.edu/sp-4.02.1a/ovidweb.cgi?&amp;S=FJHIFPLBKHEBDHHCIPCKEFEHFFGPAA00&amp;Link</w:instrText>
            </w:r>
            <w:r w:rsidR="00304474">
              <w:instrText xml:space="preserve">+Set=S.sh.22.23.28.32%7c6%7csl_10&amp;Counter5=TOC_article%7c00006199-201807000-00006%7cyrovft%7covftdb%7cyrovftt" \l "98" </w:instrText>
            </w:r>
            <w:r w:rsidR="00304474">
              <w:fldChar w:fldCharType="separate"/>
            </w:r>
            <w:r w:rsidRPr="003D12A9">
              <w:rPr>
                <w:rStyle w:val="Hyperlink"/>
                <w:rFonts w:eastAsiaTheme="majorEastAsia" w:cstheme="minorHAnsi"/>
                <w:color w:val="0768A9"/>
                <w:sz w:val="19"/>
                <w:szCs w:val="19"/>
              </w:rPr>
              <w:t>Kansagara</w:t>
            </w:r>
            <w:proofErr w:type="spellEnd"/>
            <w:r w:rsidRPr="003D12A9">
              <w:rPr>
                <w:rStyle w:val="Hyperlink"/>
                <w:rFonts w:eastAsiaTheme="majorEastAsia" w:cstheme="minorHAnsi"/>
                <w:color w:val="0768A9"/>
                <w:sz w:val="19"/>
                <w:szCs w:val="19"/>
              </w:rPr>
              <w:t xml:space="preserve"> et al., 2011</w:t>
            </w:r>
            <w:r w:rsidR="00304474">
              <w:rPr>
                <w:rStyle w:val="Hyperlink"/>
                <w:rFonts w:eastAsiaTheme="majorEastAsia" w:cstheme="minorHAnsi"/>
                <w:color w:val="0768A9"/>
                <w:sz w:val="19"/>
                <w:szCs w:val="19"/>
              </w:rPr>
              <w:fldChar w:fldCharType="end"/>
            </w:r>
            <w:r w:rsidRPr="003D12A9">
              <w:t>). Primary data collection at or near discharge is largely absent in risk assessment tools; in particular, these tools do not include direct assessments of patient condition and functional status at discharge, knowledge of self-care and perceived abilities, and the level of expected support. These factors are assessed in the RN-RHDS.</w:t>
            </w:r>
          </w:p>
        </w:tc>
      </w:tr>
    </w:tbl>
    <w:p w14:paraId="53DEEBDF"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1E03B811" w14:textId="77777777" w:rsidTr="00E70590">
        <w:tc>
          <w:tcPr>
            <w:tcW w:w="0" w:type="auto"/>
            <w:hideMark/>
          </w:tcPr>
          <w:p w14:paraId="2A0BB3F6" w14:textId="77777777" w:rsidR="00246AB7" w:rsidRPr="003D12A9" w:rsidRDefault="00246AB7" w:rsidP="00413E5B">
            <w:bookmarkStart w:id="67" w:name="85"/>
            <w:bookmarkEnd w:id="67"/>
            <w:r w:rsidRPr="003D12A9">
              <w:t>The value of the RN-RHDS tools may lie in augmenting existing readmission risk determination models by shifting to prospective assessment for identifying patients for unplanned return to hospital. Future studies are needed to evaluate the prospective use of the RN-RHDS in conjunction with typical risk identification by diagnosis and demographics characteristics associated with readmission. Knowing which patients are likely to return to hospital is of vital interest for hospitals as they work fine-tune efforts to identify patients at high risk for readmissions for which the hospital is no longer reimbursed.</w:t>
            </w:r>
          </w:p>
        </w:tc>
      </w:tr>
    </w:tbl>
    <w:p w14:paraId="0FB91389"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0C16AA03" w14:textId="77777777" w:rsidTr="00E70590">
        <w:tc>
          <w:tcPr>
            <w:tcW w:w="0" w:type="auto"/>
            <w:hideMark/>
          </w:tcPr>
          <w:p w14:paraId="4A2F1A74" w14:textId="77777777" w:rsidR="00246AB7" w:rsidRPr="003D12A9" w:rsidRDefault="00246AB7" w:rsidP="00413E5B">
            <w:bookmarkStart w:id="68" w:name="86"/>
            <w:bookmarkEnd w:id="68"/>
            <w:r w:rsidRPr="003D12A9">
              <w:t xml:space="preserve">In clinical practice, the RN-RHDS offers the discharging nurse a tool for screening patients for low readiness in anticipation of the discharge. This end-of-hospitalization screening could identify patients before discharge who need supplemental efforts to prepare for discharge and/or additional </w:t>
            </w:r>
            <w:proofErr w:type="spellStart"/>
            <w:r w:rsidRPr="003D12A9">
              <w:t>postdischarge</w:t>
            </w:r>
            <w:proofErr w:type="spellEnd"/>
            <w:r w:rsidRPr="003D12A9">
              <w:t xml:space="preserve"> transitional care services to mitigate the risks associated with low readiness. Implementation of the RN-RHDS as a standard nursing practice prior to discharge would offer a systematic approach to triggering initiation of targeted nurse actions in response to low-discharge readiness assessments focused on improving the transition to home and reducing the risk of </w:t>
            </w:r>
            <w:proofErr w:type="spellStart"/>
            <w:r w:rsidRPr="003D12A9">
              <w:t>postdischarge</w:t>
            </w:r>
            <w:proofErr w:type="spellEnd"/>
            <w:r w:rsidRPr="003D12A9">
              <w:t xml:space="preserve"> problems that lead to return to the hospital.</w:t>
            </w:r>
          </w:p>
        </w:tc>
      </w:tr>
    </w:tbl>
    <w:p w14:paraId="5C84EEB5" w14:textId="77777777" w:rsidR="00246AB7" w:rsidRPr="003D12A9" w:rsidRDefault="00246AB7" w:rsidP="00413E5B">
      <w:pPr>
        <w:rPr>
          <w:vanish/>
        </w:rPr>
      </w:pPr>
    </w:p>
    <w:tbl>
      <w:tblPr>
        <w:tblStyle w:val="TableGridLight"/>
        <w:tblW w:w="0" w:type="auto"/>
        <w:tblLook w:val="04A0" w:firstRow="1" w:lastRow="0" w:firstColumn="1" w:lastColumn="0" w:noHBand="0" w:noVBand="1"/>
      </w:tblPr>
      <w:tblGrid>
        <w:gridCol w:w="10070"/>
      </w:tblGrid>
      <w:tr w:rsidR="00246AB7" w:rsidRPr="003D12A9" w14:paraId="459F1EC1" w14:textId="77777777" w:rsidTr="00E70590">
        <w:tc>
          <w:tcPr>
            <w:tcW w:w="0" w:type="auto"/>
            <w:hideMark/>
          </w:tcPr>
          <w:p w14:paraId="72C689BD" w14:textId="77777777" w:rsidR="00246AB7" w:rsidRPr="003D12A9" w:rsidRDefault="00246AB7" w:rsidP="00413E5B">
            <w:bookmarkStart w:id="69" w:name="87"/>
            <w:bookmarkEnd w:id="69"/>
            <w:r w:rsidRPr="003D12A9">
              <w:t>Strengths of the study include that the sample was derived from multiple nursing units in multiple hospitals and represented a broad range of adult medical-surgical patients discharged from hospitals. The tools are applicable broadly as an outcome measure of discharge preparation (</w:t>
            </w:r>
            <w:hyperlink r:id="rId66" w:anchor="109" w:history="1">
              <w:r w:rsidRPr="003D12A9">
                <w:rPr>
                  <w:rStyle w:val="Hyperlink"/>
                  <w:rFonts w:eastAsiaTheme="majorEastAsia" w:cstheme="minorHAnsi"/>
                  <w:color w:val="0768A9"/>
                  <w:sz w:val="19"/>
                  <w:szCs w:val="19"/>
                </w:rPr>
                <w:t>Weiss et al., 2015</w:t>
              </w:r>
            </w:hyperlink>
            <w:r w:rsidRPr="003D12A9">
              <w:t>) and prospective identification of risk for readmission. A limitation of the study includes capture of return to hospital only to the four study hospitals involved, not to other hospitals outside of the healthcare system. Measuring same hospital occurrences can miss up to 20% of readmissions, thereby underestimating the actual number of readmissions (</w:t>
            </w:r>
            <w:hyperlink r:id="rId67" w:anchor="104" w:history="1">
              <w:r w:rsidRPr="003D12A9">
                <w:rPr>
                  <w:rStyle w:val="Hyperlink"/>
                  <w:rFonts w:eastAsiaTheme="majorEastAsia" w:cstheme="minorHAnsi"/>
                  <w:color w:val="0768A9"/>
                  <w:sz w:val="19"/>
                  <w:szCs w:val="19"/>
                </w:rPr>
                <w:t>Nasir et al., 2010</w:t>
              </w:r>
            </w:hyperlink>
            <w:r w:rsidRPr="003D12A9">
              <w:t>). All-cause readmissions were counted; data were not available in the study data sets to exclude planned readmissions. We did not collect data about discharge preparation or readmission reduction programs on study units. We accounted for any differences between units by using unit fixed effects in regression models for predictive validity. The sample included 316 unique discharge events. A single nurse may be included several times in the database discharging several patients. We addressed this by including clustering for nurses in the analysis. There was no reliable method to measure nurse expertise, which may have affected the assessments. Another limitation was that the sample only included adult medical-surgical patients. Results for specific groups of adult patients, such as oncology or other diagnosis-specific categories, may produce different results. The data in the two study samples were collected 6 and 10 years ago. Recognizing that the complexity of healthcare has increased and many hospitals have implemented discharge process improvement initiatives, the relevance of the nurse and patient measures could have changed. Research conducted with the instruments in the intervening period continues to support the relevance and utility. Although the data are dated, the data set used represents the only data available to date with matched patient and nurse readiness assessments in short and long forms needed for parts of the psychometric analysis.</w:t>
            </w:r>
          </w:p>
        </w:tc>
      </w:tr>
      <w:tr w:rsidR="00246AB7" w:rsidRPr="003D12A9" w14:paraId="21C79777" w14:textId="77777777" w:rsidTr="00E70590">
        <w:tc>
          <w:tcPr>
            <w:tcW w:w="0" w:type="auto"/>
            <w:hideMark/>
          </w:tcPr>
          <w:p w14:paraId="34906035" w14:textId="77777777" w:rsidR="00246AB7" w:rsidRPr="003D12A9" w:rsidRDefault="00246AB7" w:rsidP="005843F7">
            <w:pPr>
              <w:pStyle w:val="Heading1"/>
              <w:outlineLvl w:val="0"/>
              <w:divId w:val="62333179"/>
            </w:pPr>
            <w:bookmarkStart w:id="70" w:name="88"/>
            <w:bookmarkEnd w:id="70"/>
            <w:r w:rsidRPr="003D12A9">
              <w:t>Conclusion</w:t>
            </w:r>
          </w:p>
        </w:tc>
      </w:tr>
    </w:tbl>
    <w:p w14:paraId="010A6B47"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416C3DF2" w14:textId="77777777" w:rsidTr="00E70590">
        <w:tc>
          <w:tcPr>
            <w:tcW w:w="0" w:type="auto"/>
            <w:hideMark/>
          </w:tcPr>
          <w:p w14:paraId="07C23B5E" w14:textId="77777777" w:rsidR="00246AB7" w:rsidRPr="003D12A9" w:rsidRDefault="00246AB7" w:rsidP="00413E5B">
            <w:bookmarkStart w:id="71" w:name="89"/>
            <w:bookmarkEnd w:id="71"/>
            <w:r w:rsidRPr="003D12A9">
              <w:t xml:space="preserve">The RN-RHDS in long and short forms are reliable. The long-form RN-RHDS has a similar factor structure to the patient version of the RHDS. Both forms demonstrate predictive validity for return to hospital (readmissions and ED visits within 30 days of discharge). The study demonstrates the value of nurse assessments of discharge readiness in contributing to efforts to improve the transition to home and decrease unplanned return to hospital. If assessment of discharge readiness becomes a standard nursing practice, nurses will be able to more effectively evaluate their valuable contribution in preparing the patient for discharge to improve </w:t>
            </w:r>
            <w:proofErr w:type="spellStart"/>
            <w:r w:rsidRPr="003D12A9">
              <w:t>postdischarge</w:t>
            </w:r>
            <w:proofErr w:type="spellEnd"/>
            <w:r w:rsidRPr="003D12A9">
              <w:t xml:space="preserve"> outcomes.</w:t>
            </w:r>
          </w:p>
        </w:tc>
      </w:tr>
      <w:tr w:rsidR="00246AB7" w:rsidRPr="003D12A9" w14:paraId="5ECB8346" w14:textId="77777777" w:rsidTr="00E70590">
        <w:tc>
          <w:tcPr>
            <w:tcW w:w="0" w:type="auto"/>
            <w:hideMark/>
          </w:tcPr>
          <w:p w14:paraId="103BBCED" w14:textId="77777777" w:rsidR="00246AB7" w:rsidRPr="003D12A9" w:rsidRDefault="00246AB7" w:rsidP="005843F7">
            <w:pPr>
              <w:pStyle w:val="Heading1"/>
              <w:outlineLvl w:val="0"/>
              <w:divId w:val="512379636"/>
            </w:pPr>
            <w:bookmarkStart w:id="72" w:name="90"/>
            <w:bookmarkEnd w:id="72"/>
            <w:r w:rsidRPr="003D12A9">
              <w:t>REFERENCES</w:t>
            </w:r>
          </w:p>
        </w:tc>
      </w:tr>
    </w:tbl>
    <w:p w14:paraId="4077F097" w14:textId="77777777" w:rsidR="00246AB7" w:rsidRPr="003D12A9" w:rsidRDefault="00246AB7" w:rsidP="00246AB7">
      <w:pPr>
        <w:rPr>
          <w:rFonts w:cstheme="minorHAnsi"/>
          <w:vanish/>
        </w:rPr>
      </w:pPr>
    </w:p>
    <w:tbl>
      <w:tblPr>
        <w:tblStyle w:val="TableGridLight"/>
        <w:tblW w:w="0" w:type="auto"/>
        <w:tblLook w:val="04A0" w:firstRow="1" w:lastRow="0" w:firstColumn="1" w:lastColumn="0" w:noHBand="0" w:noVBand="1"/>
      </w:tblPr>
      <w:tblGrid>
        <w:gridCol w:w="10070"/>
      </w:tblGrid>
      <w:tr w:rsidR="00246AB7" w:rsidRPr="003D12A9" w14:paraId="77E964A8" w14:textId="77777777" w:rsidTr="00E70590">
        <w:tc>
          <w:tcPr>
            <w:tcW w:w="0" w:type="auto"/>
            <w:hideMark/>
          </w:tcPr>
          <w:p w14:paraId="5455BABA" w14:textId="77777777" w:rsidR="00246AB7" w:rsidRPr="003D12A9" w:rsidRDefault="00246AB7" w:rsidP="005843F7">
            <w:pPr>
              <w:ind w:left="720" w:hanging="720"/>
              <w:rPr>
                <w:color w:val="2D2D2D"/>
              </w:rPr>
            </w:pPr>
            <w:bookmarkStart w:id="73" w:name="91"/>
            <w:bookmarkEnd w:id="73"/>
            <w:r w:rsidRPr="003D12A9">
              <w:rPr>
                <w:color w:val="2D2D2D"/>
              </w:rPr>
              <w:t>Agency for Healthcare Research and Quality. (2017). </w:t>
            </w:r>
            <w:r w:rsidRPr="003D12A9">
              <w:rPr>
                <w:rStyle w:val="fulltext-it"/>
                <w:rFonts w:eastAsiaTheme="majorEastAsia" w:cstheme="minorHAnsi"/>
                <w:i/>
                <w:iCs/>
                <w:color w:val="2D2D2D"/>
                <w:sz w:val="19"/>
                <w:szCs w:val="19"/>
              </w:rPr>
              <w:t>CAHPS adult hospital survey</w:t>
            </w:r>
            <w:r w:rsidRPr="003D12A9">
              <w:rPr>
                <w:color w:val="2D2D2D"/>
              </w:rPr>
              <w:t>. Retrieved from</w:t>
            </w:r>
            <w:hyperlink r:id="rId68" w:tgtFrame="_blank" w:history="1">
              <w:r w:rsidRPr="003D12A9">
                <w:rPr>
                  <w:rStyle w:val="Hyperlink"/>
                  <w:rFonts w:eastAsiaTheme="majorEastAsia" w:cstheme="minorHAnsi"/>
                  <w:color w:val="0768A9"/>
                  <w:sz w:val="19"/>
                  <w:szCs w:val="19"/>
                </w:rPr>
                <w:t>https://www.ahrq.gov/cahps/surveys-guidance/hospital/about/adult_hp_survey.html</w:t>
              </w:r>
            </w:hyperlink>
            <w:hyperlink r:id="rId69" w:anchor="26" w:history="1">
              <w:r w:rsidRPr="003D12A9">
                <w:rPr>
                  <w:rStyle w:val="Hyperlink"/>
                  <w:rFonts w:eastAsiaTheme="majorEastAsia" w:cstheme="minorHAnsi"/>
                  <w:color w:val="0768A9"/>
                  <w:sz w:val="19"/>
                  <w:szCs w:val="19"/>
                </w:rPr>
                <w:t>[Context Link]</w:t>
              </w:r>
            </w:hyperlink>
          </w:p>
        </w:tc>
      </w:tr>
    </w:tbl>
    <w:p w14:paraId="4FC7813C"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9154"/>
      </w:tblGrid>
      <w:tr w:rsidR="00246AB7" w:rsidRPr="003D12A9" w14:paraId="5BA930DA" w14:textId="77777777" w:rsidTr="00E70590">
        <w:tc>
          <w:tcPr>
            <w:tcW w:w="0" w:type="auto"/>
            <w:hideMark/>
          </w:tcPr>
          <w:p w14:paraId="33B5AC8B" w14:textId="77777777" w:rsidR="00246AB7" w:rsidRPr="003D12A9" w:rsidRDefault="00246AB7" w:rsidP="005843F7">
            <w:pPr>
              <w:ind w:left="720" w:hanging="720"/>
              <w:rPr>
                <w:color w:val="2D2D2D"/>
              </w:rPr>
            </w:pPr>
            <w:bookmarkStart w:id="74" w:name="RF1"/>
            <w:bookmarkStart w:id="75" w:name="92"/>
            <w:bookmarkEnd w:id="74"/>
            <w:bookmarkEnd w:id="75"/>
            <w:r w:rsidRPr="003D12A9">
              <w:rPr>
                <w:color w:val="2D2D2D"/>
              </w:rPr>
              <w:t xml:space="preserve">Arbuckle J. L., &amp; </w:t>
            </w:r>
            <w:proofErr w:type="spellStart"/>
            <w:r w:rsidRPr="003D12A9">
              <w:rPr>
                <w:color w:val="2D2D2D"/>
              </w:rPr>
              <w:t>Wothke</w:t>
            </w:r>
            <w:proofErr w:type="spellEnd"/>
            <w:r w:rsidRPr="003D12A9">
              <w:rPr>
                <w:color w:val="2D2D2D"/>
              </w:rPr>
              <w:t xml:space="preserve"> W. (1999). </w:t>
            </w:r>
            <w:r w:rsidRPr="003D12A9">
              <w:rPr>
                <w:rStyle w:val="fulltext-it"/>
                <w:rFonts w:eastAsiaTheme="majorEastAsia" w:cstheme="minorHAnsi"/>
                <w:i/>
                <w:iCs/>
                <w:color w:val="2D2D2D"/>
                <w:sz w:val="19"/>
                <w:szCs w:val="19"/>
              </w:rPr>
              <w:t>AMOS 4.0 user's guide</w:t>
            </w:r>
            <w:r w:rsidRPr="003D12A9">
              <w:rPr>
                <w:color w:val="2D2D2D"/>
              </w:rPr>
              <w:t>. Chicago, IL: Small Waters Corp. </w:t>
            </w:r>
            <w:hyperlink r:id="rId70" w:anchor="65" w:history="1">
              <w:r w:rsidRPr="003D12A9">
                <w:rPr>
                  <w:rStyle w:val="Hyperlink"/>
                  <w:rFonts w:eastAsiaTheme="majorEastAsia" w:cstheme="minorHAnsi"/>
                  <w:color w:val="0768A9"/>
                  <w:sz w:val="19"/>
                  <w:szCs w:val="19"/>
                </w:rPr>
                <w:t>[Context Link]</w:t>
              </w:r>
            </w:hyperlink>
          </w:p>
        </w:tc>
      </w:tr>
    </w:tbl>
    <w:p w14:paraId="04C40BAB"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555F80EB" w14:textId="77777777" w:rsidTr="00E70590">
        <w:tc>
          <w:tcPr>
            <w:tcW w:w="0" w:type="auto"/>
            <w:hideMark/>
          </w:tcPr>
          <w:p w14:paraId="700044E2" w14:textId="77777777" w:rsidR="00246AB7" w:rsidRPr="003D12A9" w:rsidRDefault="00246AB7" w:rsidP="005843F7">
            <w:pPr>
              <w:ind w:left="720" w:hanging="720"/>
              <w:rPr>
                <w:color w:val="2D2D2D"/>
              </w:rPr>
            </w:pPr>
            <w:bookmarkStart w:id="76" w:name="RF2"/>
            <w:bookmarkStart w:id="77" w:name="93"/>
            <w:bookmarkEnd w:id="76"/>
            <w:bookmarkEnd w:id="77"/>
            <w:r w:rsidRPr="003D12A9">
              <w:rPr>
                <w:color w:val="2D2D2D"/>
              </w:rPr>
              <w:t>Centers for Medicare and Medicaid Services. (2017). </w:t>
            </w:r>
            <w:r w:rsidRPr="003D12A9">
              <w:rPr>
                <w:rStyle w:val="fulltext-it"/>
                <w:rFonts w:eastAsiaTheme="majorEastAsia" w:cstheme="minorHAnsi"/>
                <w:i/>
                <w:iCs/>
                <w:color w:val="2D2D2D"/>
                <w:sz w:val="19"/>
                <w:szCs w:val="19"/>
              </w:rPr>
              <w:t>FY 2017 final rule and correction notice tables</w:t>
            </w:r>
            <w:r w:rsidRPr="003D12A9">
              <w:rPr>
                <w:color w:val="2D2D2D"/>
              </w:rPr>
              <w:t>. Retrieved from</w:t>
            </w:r>
            <w:hyperlink r:id="rId71" w:tgtFrame="_blank" w:history="1">
              <w:r w:rsidRPr="003D12A9">
                <w:rPr>
                  <w:rStyle w:val="Hyperlink"/>
                  <w:rFonts w:eastAsiaTheme="majorEastAsia" w:cstheme="minorHAnsi"/>
                  <w:color w:val="0768A9"/>
                  <w:sz w:val="19"/>
                  <w:szCs w:val="19"/>
                </w:rPr>
                <w:t>https://www.cms.gov/Medicare/Medicare-Fee-for-Service-Payment/AcuteInpatientPPS/FY2017-IPPS-Final-Rule-Home-Page-Items/FY2017-IPPS-Final-Rule-Tables.html</w:t>
              </w:r>
            </w:hyperlink>
            <w:hyperlink r:id="rId72" w:anchor="54" w:history="1">
              <w:r w:rsidRPr="003D12A9">
                <w:rPr>
                  <w:rStyle w:val="Hyperlink"/>
                  <w:rFonts w:eastAsiaTheme="majorEastAsia" w:cstheme="minorHAnsi"/>
                  <w:color w:val="0768A9"/>
                  <w:sz w:val="19"/>
                  <w:szCs w:val="19"/>
                </w:rPr>
                <w:t>[Context Link]</w:t>
              </w:r>
            </w:hyperlink>
          </w:p>
        </w:tc>
      </w:tr>
    </w:tbl>
    <w:p w14:paraId="4BE1AA16"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5ABFC1F9" w14:textId="77777777" w:rsidTr="00E70590">
        <w:tc>
          <w:tcPr>
            <w:tcW w:w="0" w:type="auto"/>
            <w:hideMark/>
          </w:tcPr>
          <w:p w14:paraId="2B46EB5B" w14:textId="77777777" w:rsidR="00246AB7" w:rsidRPr="003D12A9" w:rsidRDefault="00246AB7" w:rsidP="005843F7">
            <w:pPr>
              <w:ind w:left="720" w:hanging="720"/>
              <w:rPr>
                <w:color w:val="2D2D2D"/>
              </w:rPr>
            </w:pPr>
            <w:bookmarkStart w:id="78" w:name="RF3"/>
            <w:bookmarkStart w:id="79" w:name="94"/>
            <w:bookmarkEnd w:id="78"/>
            <w:bookmarkEnd w:id="79"/>
            <w:proofErr w:type="spellStart"/>
            <w:r w:rsidRPr="003D12A9">
              <w:rPr>
                <w:color w:val="2D2D2D"/>
              </w:rPr>
              <w:t>Comrey</w:t>
            </w:r>
            <w:proofErr w:type="spellEnd"/>
            <w:r w:rsidRPr="003D12A9">
              <w:rPr>
                <w:color w:val="2D2D2D"/>
              </w:rPr>
              <w:t xml:space="preserve"> A. L., &amp; Lee H. B. (1992). Interpretation and application of factor analytic results. In </w:t>
            </w:r>
            <w:proofErr w:type="spellStart"/>
            <w:r w:rsidRPr="003D12A9">
              <w:rPr>
                <w:color w:val="2D2D2D"/>
              </w:rPr>
              <w:t>Comrey</w:t>
            </w:r>
            <w:proofErr w:type="spellEnd"/>
            <w:r w:rsidRPr="003D12A9">
              <w:rPr>
                <w:color w:val="2D2D2D"/>
              </w:rPr>
              <w:t xml:space="preserve"> A. L., Lee H. B. (Eds.), </w:t>
            </w:r>
            <w:r w:rsidRPr="003D12A9">
              <w:rPr>
                <w:rStyle w:val="fulltext-it"/>
                <w:rFonts w:eastAsiaTheme="majorEastAsia" w:cstheme="minorHAnsi"/>
                <w:i/>
                <w:iCs/>
                <w:color w:val="2D2D2D"/>
                <w:sz w:val="19"/>
                <w:szCs w:val="19"/>
              </w:rPr>
              <w:t>A first course in factor analysis</w:t>
            </w:r>
            <w:r w:rsidRPr="003D12A9">
              <w:rPr>
                <w:color w:val="2D2D2D"/>
              </w:rPr>
              <w:t> (2nd ed. pp. 240-262). Hillsdale, NJ: Lawrence Erlbaum. </w:t>
            </w:r>
            <w:hyperlink r:id="rId73" w:anchor="42" w:history="1">
              <w:r w:rsidRPr="003D12A9">
                <w:rPr>
                  <w:rStyle w:val="Hyperlink"/>
                  <w:rFonts w:eastAsiaTheme="majorEastAsia" w:cstheme="minorHAnsi"/>
                  <w:color w:val="0768A9"/>
                  <w:sz w:val="19"/>
                  <w:szCs w:val="19"/>
                </w:rPr>
                <w:t>[Context Link]</w:t>
              </w:r>
            </w:hyperlink>
          </w:p>
        </w:tc>
      </w:tr>
    </w:tbl>
    <w:p w14:paraId="098144FA"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1125D0F0" w14:textId="77777777" w:rsidTr="00E70590">
        <w:tc>
          <w:tcPr>
            <w:tcW w:w="0" w:type="auto"/>
            <w:hideMark/>
          </w:tcPr>
          <w:p w14:paraId="3F3FE44A" w14:textId="77777777" w:rsidR="00246AB7" w:rsidRPr="003D12A9" w:rsidRDefault="00246AB7" w:rsidP="005843F7">
            <w:pPr>
              <w:ind w:left="720" w:hanging="720"/>
              <w:rPr>
                <w:color w:val="2D2D2D"/>
              </w:rPr>
            </w:pPr>
            <w:bookmarkStart w:id="80" w:name="RF4"/>
            <w:bookmarkStart w:id="81" w:name="95"/>
            <w:bookmarkEnd w:id="80"/>
            <w:bookmarkEnd w:id="81"/>
            <w:r w:rsidRPr="003D12A9">
              <w:rPr>
                <w:color w:val="2D2D2D"/>
              </w:rPr>
              <w:t>Donabedian A. (1966). Evaluating the quality of medical care. </w:t>
            </w:r>
            <w:r w:rsidRPr="003D12A9">
              <w:rPr>
                <w:rStyle w:val="fulltext-it"/>
                <w:rFonts w:eastAsiaTheme="majorEastAsia" w:cstheme="minorHAnsi"/>
                <w:i/>
                <w:iCs/>
                <w:color w:val="2D2D2D"/>
                <w:sz w:val="19"/>
                <w:szCs w:val="19"/>
              </w:rPr>
              <w:t>Milbank Memorial Fund Quarterly</w:t>
            </w:r>
            <w:r w:rsidRPr="003D12A9">
              <w:rPr>
                <w:color w:val="2D2D2D"/>
              </w:rPr>
              <w:t>, 44, 166-206. doi:10.2307/3348969 </w:t>
            </w:r>
            <w:hyperlink r:id="rId74" w:history="1">
              <w:r w:rsidRPr="003D12A9">
                <w:rPr>
                  <w:rStyle w:val="Hyperlink"/>
                  <w:rFonts w:eastAsiaTheme="majorEastAsia" w:cstheme="minorHAnsi"/>
                  <w:color w:val="0768A9"/>
                  <w:sz w:val="19"/>
                  <w:szCs w:val="19"/>
                </w:rPr>
                <w:t>Find it @ MU</w:t>
              </w:r>
            </w:hyperlink>
            <w:r w:rsidRPr="003D12A9">
              <w:rPr>
                <w:color w:val="2D2D2D"/>
              </w:rPr>
              <w:t> </w:t>
            </w:r>
            <w:hyperlink r:id="rId75" w:anchor="32" w:history="1">
              <w:r w:rsidRPr="003D12A9">
                <w:rPr>
                  <w:rStyle w:val="Hyperlink"/>
                  <w:rFonts w:eastAsiaTheme="majorEastAsia" w:cstheme="minorHAnsi"/>
                  <w:color w:val="0768A9"/>
                  <w:sz w:val="19"/>
                  <w:szCs w:val="19"/>
                </w:rPr>
                <w:t>[Context Link]</w:t>
              </w:r>
            </w:hyperlink>
          </w:p>
        </w:tc>
      </w:tr>
    </w:tbl>
    <w:p w14:paraId="72CD49CC"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17ACAC44" w14:textId="77777777" w:rsidTr="00E70590">
        <w:tc>
          <w:tcPr>
            <w:tcW w:w="0" w:type="auto"/>
            <w:hideMark/>
          </w:tcPr>
          <w:p w14:paraId="4895034E" w14:textId="77777777" w:rsidR="00246AB7" w:rsidRPr="003D12A9" w:rsidRDefault="00246AB7" w:rsidP="005843F7">
            <w:pPr>
              <w:ind w:left="720" w:hanging="720"/>
              <w:rPr>
                <w:color w:val="2D2D2D"/>
              </w:rPr>
            </w:pPr>
            <w:bookmarkStart w:id="82" w:name="RF5"/>
            <w:bookmarkStart w:id="83" w:name="96"/>
            <w:bookmarkEnd w:id="82"/>
            <w:bookmarkEnd w:id="83"/>
            <w:r w:rsidRPr="003D12A9">
              <w:rPr>
                <w:color w:val="2D2D2D"/>
              </w:rPr>
              <w:t>Hollingshead A. (1975). </w:t>
            </w:r>
            <w:r w:rsidRPr="003D12A9">
              <w:rPr>
                <w:rStyle w:val="fulltext-it"/>
                <w:rFonts w:eastAsiaTheme="majorEastAsia" w:cstheme="minorHAnsi"/>
                <w:i/>
                <w:iCs/>
                <w:color w:val="2D2D2D"/>
                <w:sz w:val="19"/>
                <w:szCs w:val="19"/>
              </w:rPr>
              <w:t>Four-factor index of social status</w:t>
            </w:r>
            <w:r w:rsidRPr="003D12A9">
              <w:rPr>
                <w:color w:val="2D2D2D"/>
              </w:rPr>
              <w:t>, Unpublished manuscript, Yale University, New Haven, CT. </w:t>
            </w:r>
            <w:hyperlink r:id="rId76" w:anchor="54" w:history="1">
              <w:r w:rsidRPr="003D12A9">
                <w:rPr>
                  <w:rStyle w:val="Hyperlink"/>
                  <w:rFonts w:eastAsiaTheme="majorEastAsia" w:cstheme="minorHAnsi"/>
                  <w:color w:val="0768A9"/>
                  <w:sz w:val="19"/>
                  <w:szCs w:val="19"/>
                </w:rPr>
                <w:t>[Context Link]</w:t>
              </w:r>
            </w:hyperlink>
          </w:p>
        </w:tc>
      </w:tr>
    </w:tbl>
    <w:p w14:paraId="565979E1"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06ACE77E" w14:textId="77777777" w:rsidTr="006576E8">
        <w:tc>
          <w:tcPr>
            <w:tcW w:w="0" w:type="auto"/>
            <w:hideMark/>
          </w:tcPr>
          <w:p w14:paraId="41A58A06" w14:textId="77777777" w:rsidR="00246AB7" w:rsidRPr="003D12A9" w:rsidRDefault="00246AB7" w:rsidP="005843F7">
            <w:pPr>
              <w:ind w:left="720" w:hanging="720"/>
              <w:rPr>
                <w:color w:val="2D2D2D"/>
              </w:rPr>
            </w:pPr>
            <w:bookmarkStart w:id="84" w:name="RF6"/>
            <w:bookmarkStart w:id="85" w:name="97"/>
            <w:bookmarkEnd w:id="84"/>
            <w:bookmarkEnd w:id="85"/>
            <w:r w:rsidRPr="003D12A9">
              <w:rPr>
                <w:color w:val="2D2D2D"/>
              </w:rPr>
              <w:t xml:space="preserve">Hu L. T., &amp; </w:t>
            </w:r>
            <w:proofErr w:type="spellStart"/>
            <w:r w:rsidRPr="003D12A9">
              <w:rPr>
                <w:color w:val="2D2D2D"/>
              </w:rPr>
              <w:t>Bentler</w:t>
            </w:r>
            <w:proofErr w:type="spellEnd"/>
            <w:r w:rsidRPr="003D12A9">
              <w:rPr>
                <w:color w:val="2D2D2D"/>
              </w:rPr>
              <w:t xml:space="preserve"> P. M. (1999). Cutoff criteria for fit indexes in covariance structure analysis: Conventional criteria versus new alternatives. </w:t>
            </w:r>
            <w:r w:rsidRPr="003D12A9">
              <w:rPr>
                <w:rStyle w:val="fulltext-it"/>
                <w:rFonts w:eastAsiaTheme="majorEastAsia" w:cstheme="minorHAnsi"/>
                <w:i/>
                <w:iCs/>
                <w:color w:val="2D2D2D"/>
                <w:sz w:val="19"/>
                <w:szCs w:val="19"/>
              </w:rPr>
              <w:t>Structural Equation Modeling: A Multidisciplinary Journal</w:t>
            </w:r>
            <w:r w:rsidRPr="003D12A9">
              <w:rPr>
                <w:color w:val="2D2D2D"/>
              </w:rPr>
              <w:t>, 6, 1-55. doi:10.1080/10705519909540118 </w:t>
            </w:r>
            <w:hyperlink r:id="rId77" w:anchor="65" w:history="1">
              <w:r w:rsidRPr="003D12A9">
                <w:rPr>
                  <w:rStyle w:val="Hyperlink"/>
                  <w:rFonts w:eastAsiaTheme="majorEastAsia" w:cstheme="minorHAnsi"/>
                  <w:color w:val="0768A9"/>
                  <w:sz w:val="19"/>
                  <w:szCs w:val="19"/>
                </w:rPr>
                <w:t>[Context Link]</w:t>
              </w:r>
            </w:hyperlink>
          </w:p>
        </w:tc>
      </w:tr>
    </w:tbl>
    <w:p w14:paraId="3239820C"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7F036C7F" w14:textId="77777777" w:rsidTr="006576E8">
        <w:tc>
          <w:tcPr>
            <w:tcW w:w="0" w:type="auto"/>
            <w:hideMark/>
          </w:tcPr>
          <w:p w14:paraId="633EE5D1" w14:textId="77777777" w:rsidR="00246AB7" w:rsidRPr="003D12A9" w:rsidRDefault="00246AB7" w:rsidP="005843F7">
            <w:pPr>
              <w:ind w:left="720" w:hanging="720"/>
              <w:rPr>
                <w:color w:val="2D2D2D"/>
              </w:rPr>
            </w:pPr>
            <w:bookmarkStart w:id="86" w:name="RF7"/>
            <w:bookmarkStart w:id="87" w:name="98"/>
            <w:bookmarkEnd w:id="86"/>
            <w:bookmarkEnd w:id="87"/>
            <w:proofErr w:type="spellStart"/>
            <w:r w:rsidRPr="003D12A9">
              <w:rPr>
                <w:color w:val="2D2D2D"/>
              </w:rPr>
              <w:t>Kansagara</w:t>
            </w:r>
            <w:proofErr w:type="spellEnd"/>
            <w:r w:rsidRPr="003D12A9">
              <w:rPr>
                <w:color w:val="2D2D2D"/>
              </w:rPr>
              <w:t xml:space="preserve"> D., Englander H., </w:t>
            </w:r>
            <w:proofErr w:type="spellStart"/>
            <w:r w:rsidRPr="003D12A9">
              <w:rPr>
                <w:color w:val="2D2D2D"/>
              </w:rPr>
              <w:t>Salanitro</w:t>
            </w:r>
            <w:proofErr w:type="spellEnd"/>
            <w:r w:rsidRPr="003D12A9">
              <w:rPr>
                <w:color w:val="2D2D2D"/>
              </w:rPr>
              <w:t xml:space="preserve"> A., </w:t>
            </w:r>
            <w:proofErr w:type="spellStart"/>
            <w:r w:rsidRPr="003D12A9">
              <w:rPr>
                <w:color w:val="2D2D2D"/>
              </w:rPr>
              <w:t>Kagen</w:t>
            </w:r>
            <w:proofErr w:type="spellEnd"/>
            <w:r w:rsidRPr="003D12A9">
              <w:rPr>
                <w:color w:val="2D2D2D"/>
              </w:rPr>
              <w:t xml:space="preserve"> D., Theobald C., Freeman M., &amp; </w:t>
            </w:r>
            <w:proofErr w:type="spellStart"/>
            <w:r w:rsidRPr="003D12A9">
              <w:rPr>
                <w:color w:val="2D2D2D"/>
              </w:rPr>
              <w:t>Kripalani</w:t>
            </w:r>
            <w:proofErr w:type="spellEnd"/>
            <w:r w:rsidRPr="003D12A9">
              <w:rPr>
                <w:color w:val="2D2D2D"/>
              </w:rPr>
              <w:t xml:space="preserve"> S. (2011). Risk prediction models for hospital readmission: A systematic review. </w:t>
            </w:r>
            <w:r w:rsidRPr="003D12A9">
              <w:rPr>
                <w:rStyle w:val="fulltext-it"/>
                <w:rFonts w:eastAsiaTheme="majorEastAsia" w:cstheme="minorHAnsi"/>
                <w:i/>
                <w:iCs/>
                <w:color w:val="2D2D2D"/>
                <w:sz w:val="19"/>
                <w:szCs w:val="19"/>
              </w:rPr>
              <w:t>JAMA</w:t>
            </w:r>
            <w:r w:rsidRPr="003D12A9">
              <w:rPr>
                <w:color w:val="2D2D2D"/>
              </w:rPr>
              <w:t>, 306, 1688-1698. doi:10.1001/jama.2011.1515 </w:t>
            </w:r>
            <w:hyperlink r:id="rId78" w:history="1">
              <w:r w:rsidRPr="003D12A9">
                <w:rPr>
                  <w:rStyle w:val="Hyperlink"/>
                  <w:rFonts w:eastAsiaTheme="majorEastAsia" w:cstheme="minorHAnsi"/>
                  <w:color w:val="0768A9"/>
                  <w:sz w:val="19"/>
                  <w:szCs w:val="19"/>
                </w:rPr>
                <w:t>Find it @ MU</w:t>
              </w:r>
            </w:hyperlink>
            <w:r w:rsidRPr="003D12A9">
              <w:rPr>
                <w:color w:val="2D2D2D"/>
              </w:rPr>
              <w:t> </w:t>
            </w:r>
            <w:hyperlink r:id="rId79" w:history="1">
              <w:r w:rsidRPr="003D12A9">
                <w:rPr>
                  <w:rStyle w:val="Hyperlink"/>
                  <w:rFonts w:eastAsiaTheme="majorEastAsia" w:cstheme="minorHAnsi"/>
                  <w:color w:val="0768A9"/>
                  <w:sz w:val="19"/>
                  <w:szCs w:val="19"/>
                </w:rPr>
                <w:t>Bibliographic Links</w:t>
              </w:r>
            </w:hyperlink>
            <w:r w:rsidRPr="003D12A9">
              <w:rPr>
                <w:color w:val="2D2D2D"/>
              </w:rPr>
              <w:t> </w:t>
            </w:r>
            <w:hyperlink r:id="rId80" w:anchor="26" w:history="1">
              <w:r w:rsidRPr="003D12A9">
                <w:rPr>
                  <w:rStyle w:val="Hyperlink"/>
                  <w:rFonts w:eastAsiaTheme="majorEastAsia" w:cstheme="minorHAnsi"/>
                  <w:color w:val="0768A9"/>
                  <w:sz w:val="19"/>
                  <w:szCs w:val="19"/>
                </w:rPr>
                <w:t>[Context Link]</w:t>
              </w:r>
            </w:hyperlink>
          </w:p>
        </w:tc>
      </w:tr>
    </w:tbl>
    <w:p w14:paraId="416641B7"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9386"/>
      </w:tblGrid>
      <w:tr w:rsidR="00246AB7" w:rsidRPr="003D12A9" w14:paraId="4BDCF602" w14:textId="77777777" w:rsidTr="006576E8">
        <w:tc>
          <w:tcPr>
            <w:tcW w:w="0" w:type="auto"/>
            <w:hideMark/>
          </w:tcPr>
          <w:p w14:paraId="0AF3F3CF" w14:textId="77777777" w:rsidR="00246AB7" w:rsidRPr="003D12A9" w:rsidRDefault="00246AB7" w:rsidP="005843F7">
            <w:pPr>
              <w:ind w:left="720" w:hanging="720"/>
              <w:rPr>
                <w:color w:val="2D2D2D"/>
              </w:rPr>
            </w:pPr>
            <w:bookmarkStart w:id="88" w:name="RF8"/>
            <w:bookmarkStart w:id="89" w:name="99"/>
            <w:bookmarkEnd w:id="88"/>
            <w:bookmarkEnd w:id="89"/>
            <w:r w:rsidRPr="003D12A9">
              <w:rPr>
                <w:color w:val="2D2D2D"/>
              </w:rPr>
              <w:t>Kline R. B. (2004). </w:t>
            </w:r>
            <w:r w:rsidRPr="003D12A9">
              <w:rPr>
                <w:rStyle w:val="fulltext-it"/>
                <w:rFonts w:eastAsiaTheme="majorEastAsia" w:cstheme="minorHAnsi"/>
                <w:i/>
                <w:iCs/>
                <w:color w:val="2D2D2D"/>
                <w:sz w:val="19"/>
                <w:szCs w:val="19"/>
              </w:rPr>
              <w:t>Principles and practice of structural equation modeling</w:t>
            </w:r>
            <w:r w:rsidRPr="003D12A9">
              <w:rPr>
                <w:color w:val="2D2D2D"/>
              </w:rPr>
              <w:t>. New York, NY: Guilford. </w:t>
            </w:r>
            <w:hyperlink r:id="rId81" w:anchor="65" w:history="1">
              <w:r w:rsidRPr="003D12A9">
                <w:rPr>
                  <w:rStyle w:val="Hyperlink"/>
                  <w:rFonts w:eastAsiaTheme="majorEastAsia" w:cstheme="minorHAnsi"/>
                  <w:color w:val="0768A9"/>
                  <w:sz w:val="19"/>
                  <w:szCs w:val="19"/>
                </w:rPr>
                <w:t>[Context Link]</w:t>
              </w:r>
            </w:hyperlink>
          </w:p>
        </w:tc>
      </w:tr>
    </w:tbl>
    <w:p w14:paraId="76D69233"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275FF7D3" w14:textId="77777777" w:rsidTr="006576E8">
        <w:tc>
          <w:tcPr>
            <w:tcW w:w="0" w:type="auto"/>
            <w:hideMark/>
          </w:tcPr>
          <w:p w14:paraId="20B3A8D0" w14:textId="77777777" w:rsidR="00246AB7" w:rsidRPr="003D12A9" w:rsidRDefault="00246AB7" w:rsidP="005843F7">
            <w:pPr>
              <w:ind w:left="720" w:hanging="720"/>
              <w:rPr>
                <w:color w:val="2D2D2D"/>
              </w:rPr>
            </w:pPr>
            <w:bookmarkStart w:id="90" w:name="RF9"/>
            <w:bookmarkStart w:id="91" w:name="100"/>
            <w:bookmarkEnd w:id="90"/>
            <w:bookmarkEnd w:id="91"/>
            <w:proofErr w:type="spellStart"/>
            <w:r w:rsidRPr="003D12A9">
              <w:rPr>
                <w:color w:val="2D2D2D"/>
              </w:rPr>
              <w:t>Krumholz</w:t>
            </w:r>
            <w:proofErr w:type="spellEnd"/>
            <w:r w:rsidRPr="003D12A9">
              <w:rPr>
                <w:color w:val="2D2D2D"/>
              </w:rPr>
              <w:t xml:space="preserve"> H. M. (2013). Post-hospital syndrome-An acquired, transient condition of generalized risk. </w:t>
            </w:r>
            <w:r w:rsidRPr="003D12A9">
              <w:rPr>
                <w:rStyle w:val="fulltext-it"/>
                <w:rFonts w:eastAsiaTheme="majorEastAsia" w:cstheme="minorHAnsi"/>
                <w:i/>
                <w:iCs/>
                <w:color w:val="2D2D2D"/>
                <w:sz w:val="19"/>
                <w:szCs w:val="19"/>
              </w:rPr>
              <w:t>New England Journal of Medicine</w:t>
            </w:r>
            <w:r w:rsidRPr="003D12A9">
              <w:rPr>
                <w:color w:val="2D2D2D"/>
              </w:rPr>
              <w:t>, 386, 100-102. doi:10.1056/NEJMp1212324 </w:t>
            </w:r>
            <w:hyperlink r:id="rId82" w:anchor="53" w:history="1">
              <w:r w:rsidRPr="003D12A9">
                <w:rPr>
                  <w:rStyle w:val="Hyperlink"/>
                  <w:rFonts w:eastAsiaTheme="majorEastAsia" w:cstheme="minorHAnsi"/>
                  <w:color w:val="0768A9"/>
                  <w:sz w:val="19"/>
                  <w:szCs w:val="19"/>
                </w:rPr>
                <w:t>[Context Link]</w:t>
              </w:r>
            </w:hyperlink>
          </w:p>
        </w:tc>
      </w:tr>
    </w:tbl>
    <w:p w14:paraId="27B31F56"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4F90BC37" w14:textId="77777777" w:rsidTr="006576E8">
        <w:tc>
          <w:tcPr>
            <w:tcW w:w="0" w:type="auto"/>
            <w:hideMark/>
          </w:tcPr>
          <w:p w14:paraId="1DC5FD3D" w14:textId="77777777" w:rsidR="00246AB7" w:rsidRPr="003D12A9" w:rsidRDefault="00246AB7" w:rsidP="005843F7">
            <w:pPr>
              <w:ind w:left="720" w:hanging="720"/>
              <w:rPr>
                <w:color w:val="2D2D2D"/>
              </w:rPr>
            </w:pPr>
            <w:bookmarkStart w:id="92" w:name="RF10"/>
            <w:bookmarkStart w:id="93" w:name="101"/>
            <w:bookmarkEnd w:id="92"/>
            <w:bookmarkEnd w:id="93"/>
            <w:r w:rsidRPr="003D12A9">
              <w:rPr>
                <w:color w:val="2D2D2D"/>
              </w:rPr>
              <w:t>McDonald R. P., &amp; Ho M.-H. R. (2002). Principles and practice in reporting structural equation analyses. </w:t>
            </w:r>
            <w:r w:rsidRPr="003D12A9">
              <w:rPr>
                <w:rStyle w:val="fulltext-it"/>
                <w:rFonts w:eastAsiaTheme="majorEastAsia" w:cstheme="minorHAnsi"/>
                <w:i/>
                <w:iCs/>
                <w:color w:val="2D2D2D"/>
                <w:sz w:val="19"/>
                <w:szCs w:val="19"/>
              </w:rPr>
              <w:t>Psychological Methods</w:t>
            </w:r>
            <w:r w:rsidRPr="003D12A9">
              <w:rPr>
                <w:color w:val="2D2D2D"/>
              </w:rPr>
              <w:t>, 7, 64-82. doi:10.1037/1082-989x.7.1.64 </w:t>
            </w:r>
            <w:hyperlink r:id="rId83" w:history="1">
              <w:r w:rsidRPr="003D12A9">
                <w:rPr>
                  <w:rStyle w:val="Hyperlink"/>
                  <w:rFonts w:eastAsiaTheme="majorEastAsia" w:cstheme="minorHAnsi"/>
                  <w:color w:val="0768A9"/>
                  <w:sz w:val="19"/>
                  <w:szCs w:val="19"/>
                </w:rPr>
                <w:t>Find it @ MU</w:t>
              </w:r>
            </w:hyperlink>
            <w:r w:rsidRPr="003D12A9">
              <w:rPr>
                <w:color w:val="2D2D2D"/>
              </w:rPr>
              <w:t> </w:t>
            </w:r>
            <w:hyperlink r:id="rId84" w:history="1">
              <w:r w:rsidRPr="003D12A9">
                <w:rPr>
                  <w:rStyle w:val="Hyperlink"/>
                  <w:rFonts w:eastAsiaTheme="majorEastAsia" w:cstheme="minorHAnsi"/>
                  <w:color w:val="0768A9"/>
                  <w:sz w:val="19"/>
                  <w:szCs w:val="19"/>
                </w:rPr>
                <w:t>Bibliographic Links</w:t>
              </w:r>
            </w:hyperlink>
            <w:r w:rsidRPr="003D12A9">
              <w:rPr>
                <w:color w:val="2D2D2D"/>
              </w:rPr>
              <w:t> </w:t>
            </w:r>
            <w:hyperlink r:id="rId85" w:anchor="65" w:history="1">
              <w:r w:rsidRPr="003D12A9">
                <w:rPr>
                  <w:rStyle w:val="Hyperlink"/>
                  <w:rFonts w:eastAsiaTheme="majorEastAsia" w:cstheme="minorHAnsi"/>
                  <w:color w:val="0768A9"/>
                  <w:sz w:val="19"/>
                  <w:szCs w:val="19"/>
                </w:rPr>
                <w:t>[Context Link]</w:t>
              </w:r>
            </w:hyperlink>
          </w:p>
        </w:tc>
      </w:tr>
    </w:tbl>
    <w:p w14:paraId="7E916683"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2242DAF9" w14:textId="77777777" w:rsidTr="006576E8">
        <w:tc>
          <w:tcPr>
            <w:tcW w:w="0" w:type="auto"/>
            <w:hideMark/>
          </w:tcPr>
          <w:p w14:paraId="2B16BC4F" w14:textId="77777777" w:rsidR="00246AB7" w:rsidRPr="003D12A9" w:rsidRDefault="00246AB7" w:rsidP="005843F7">
            <w:pPr>
              <w:ind w:left="720" w:hanging="720"/>
              <w:rPr>
                <w:color w:val="2D2D2D"/>
              </w:rPr>
            </w:pPr>
            <w:bookmarkStart w:id="94" w:name="RF11"/>
            <w:bookmarkStart w:id="95" w:name="102"/>
            <w:bookmarkEnd w:id="94"/>
            <w:bookmarkEnd w:id="95"/>
            <w:proofErr w:type="spellStart"/>
            <w:r w:rsidRPr="003D12A9">
              <w:rPr>
                <w:color w:val="2D2D2D"/>
              </w:rPr>
              <w:t>McIlvennan</w:t>
            </w:r>
            <w:proofErr w:type="spellEnd"/>
            <w:r w:rsidRPr="003D12A9">
              <w:rPr>
                <w:color w:val="2D2D2D"/>
              </w:rPr>
              <w:t xml:space="preserve"> C. K., </w:t>
            </w:r>
            <w:proofErr w:type="spellStart"/>
            <w:r w:rsidRPr="003D12A9">
              <w:rPr>
                <w:color w:val="2D2D2D"/>
              </w:rPr>
              <w:t>Eapen</w:t>
            </w:r>
            <w:proofErr w:type="spellEnd"/>
            <w:r w:rsidRPr="003D12A9">
              <w:rPr>
                <w:color w:val="2D2D2D"/>
              </w:rPr>
              <w:t xml:space="preserve"> Z. J., &amp; Allen L. A. (2015). Hospital readmissions reduction program. </w:t>
            </w:r>
            <w:r w:rsidRPr="003D12A9">
              <w:rPr>
                <w:rStyle w:val="fulltext-it"/>
                <w:rFonts w:eastAsiaTheme="majorEastAsia" w:cstheme="minorHAnsi"/>
                <w:i/>
                <w:iCs/>
                <w:color w:val="2D2D2D"/>
                <w:sz w:val="19"/>
                <w:szCs w:val="19"/>
              </w:rPr>
              <w:t>Circulation</w:t>
            </w:r>
            <w:r w:rsidRPr="003D12A9">
              <w:rPr>
                <w:color w:val="2D2D2D"/>
              </w:rPr>
              <w:t>, 131, 1796-1803. doi:10.1161/CIRCULATIONAHA.114.010270 </w:t>
            </w:r>
            <w:hyperlink r:id="rId86" w:history="1">
              <w:r w:rsidRPr="003D12A9">
                <w:rPr>
                  <w:rStyle w:val="Hyperlink"/>
                  <w:rFonts w:eastAsiaTheme="majorEastAsia" w:cstheme="minorHAnsi"/>
                  <w:color w:val="0768A9"/>
                  <w:sz w:val="19"/>
                  <w:szCs w:val="19"/>
                </w:rPr>
                <w:t>Ovid Full Text</w:t>
              </w:r>
            </w:hyperlink>
            <w:r w:rsidRPr="003D12A9">
              <w:rPr>
                <w:color w:val="2D2D2D"/>
              </w:rPr>
              <w:t> </w:t>
            </w:r>
            <w:hyperlink r:id="rId87" w:history="1">
              <w:r w:rsidRPr="003D12A9">
                <w:rPr>
                  <w:rStyle w:val="Hyperlink"/>
                  <w:rFonts w:eastAsiaTheme="majorEastAsia" w:cstheme="minorHAnsi"/>
                  <w:color w:val="0768A9"/>
                  <w:sz w:val="19"/>
                  <w:szCs w:val="19"/>
                </w:rPr>
                <w:t>Find it @ MU</w:t>
              </w:r>
            </w:hyperlink>
            <w:r w:rsidRPr="003D12A9">
              <w:rPr>
                <w:color w:val="2D2D2D"/>
              </w:rPr>
              <w:t> </w:t>
            </w:r>
            <w:hyperlink r:id="rId88" w:history="1">
              <w:r w:rsidRPr="003D12A9">
                <w:rPr>
                  <w:rStyle w:val="Hyperlink"/>
                  <w:rFonts w:eastAsiaTheme="majorEastAsia" w:cstheme="minorHAnsi"/>
                  <w:color w:val="0768A9"/>
                  <w:sz w:val="19"/>
                  <w:szCs w:val="19"/>
                </w:rPr>
                <w:t>Bibliographic Links</w:t>
              </w:r>
            </w:hyperlink>
            <w:r w:rsidRPr="003D12A9">
              <w:rPr>
                <w:color w:val="2D2D2D"/>
              </w:rPr>
              <w:t> </w:t>
            </w:r>
            <w:hyperlink r:id="rId89" w:anchor="26" w:history="1">
              <w:r w:rsidRPr="003D12A9">
                <w:rPr>
                  <w:rStyle w:val="Hyperlink"/>
                  <w:rFonts w:eastAsiaTheme="majorEastAsia" w:cstheme="minorHAnsi"/>
                  <w:color w:val="0768A9"/>
                  <w:sz w:val="19"/>
                  <w:szCs w:val="19"/>
                </w:rPr>
                <w:t>[Context Link]</w:t>
              </w:r>
            </w:hyperlink>
          </w:p>
        </w:tc>
      </w:tr>
    </w:tbl>
    <w:p w14:paraId="79D745BD"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2EF99F88" w14:textId="77777777" w:rsidTr="006576E8">
        <w:tc>
          <w:tcPr>
            <w:tcW w:w="0" w:type="auto"/>
            <w:hideMark/>
          </w:tcPr>
          <w:p w14:paraId="529B6835" w14:textId="77777777" w:rsidR="00246AB7" w:rsidRPr="003D12A9" w:rsidRDefault="00246AB7" w:rsidP="005843F7">
            <w:pPr>
              <w:ind w:left="720" w:hanging="720"/>
              <w:rPr>
                <w:color w:val="2D2D2D"/>
              </w:rPr>
            </w:pPr>
            <w:bookmarkStart w:id="96" w:name="RF12"/>
            <w:bookmarkStart w:id="97" w:name="103"/>
            <w:bookmarkEnd w:id="96"/>
            <w:bookmarkEnd w:id="97"/>
            <w:proofErr w:type="spellStart"/>
            <w:r w:rsidRPr="003D12A9">
              <w:rPr>
                <w:color w:val="2D2D2D"/>
              </w:rPr>
              <w:t>Meleis</w:t>
            </w:r>
            <w:proofErr w:type="spellEnd"/>
            <w:r w:rsidRPr="003D12A9">
              <w:rPr>
                <w:color w:val="2D2D2D"/>
              </w:rPr>
              <w:t xml:space="preserve"> A. I., Sawyer L. M., </w:t>
            </w:r>
            <w:proofErr w:type="spellStart"/>
            <w:r w:rsidRPr="003D12A9">
              <w:rPr>
                <w:color w:val="2D2D2D"/>
              </w:rPr>
              <w:t>Im</w:t>
            </w:r>
            <w:proofErr w:type="spellEnd"/>
            <w:r w:rsidRPr="003D12A9">
              <w:rPr>
                <w:color w:val="2D2D2D"/>
              </w:rPr>
              <w:t xml:space="preserve"> E. O., </w:t>
            </w:r>
            <w:proofErr w:type="spellStart"/>
            <w:r w:rsidRPr="003D12A9">
              <w:rPr>
                <w:color w:val="2D2D2D"/>
              </w:rPr>
              <w:t>Hilfinger</w:t>
            </w:r>
            <w:proofErr w:type="spellEnd"/>
            <w:r w:rsidRPr="003D12A9">
              <w:rPr>
                <w:color w:val="2D2D2D"/>
              </w:rPr>
              <w:t xml:space="preserve"> </w:t>
            </w:r>
            <w:proofErr w:type="spellStart"/>
            <w:r w:rsidRPr="003D12A9">
              <w:rPr>
                <w:color w:val="2D2D2D"/>
              </w:rPr>
              <w:t>Messias</w:t>
            </w:r>
            <w:proofErr w:type="spellEnd"/>
            <w:r w:rsidRPr="003D12A9">
              <w:rPr>
                <w:color w:val="2D2D2D"/>
              </w:rPr>
              <w:t xml:space="preserve"> D. K., &amp; Schumacher K. (2000). Experiencing transitions: An emerging middle-range theory. </w:t>
            </w:r>
            <w:r w:rsidRPr="003D12A9">
              <w:rPr>
                <w:rStyle w:val="fulltext-it"/>
                <w:rFonts w:eastAsiaTheme="majorEastAsia" w:cstheme="minorHAnsi"/>
                <w:i/>
                <w:iCs/>
                <w:color w:val="2D2D2D"/>
                <w:sz w:val="19"/>
                <w:szCs w:val="19"/>
              </w:rPr>
              <w:t>Advances in Nursing Science</w:t>
            </w:r>
            <w:r w:rsidRPr="003D12A9">
              <w:rPr>
                <w:color w:val="2D2D2D"/>
              </w:rPr>
              <w:t>, 23, 12-28. </w:t>
            </w:r>
            <w:hyperlink r:id="rId90" w:history="1">
              <w:r w:rsidRPr="003D12A9">
                <w:rPr>
                  <w:rStyle w:val="Hyperlink"/>
                  <w:rFonts w:eastAsiaTheme="majorEastAsia" w:cstheme="minorHAnsi"/>
                  <w:color w:val="0768A9"/>
                  <w:sz w:val="19"/>
                  <w:szCs w:val="19"/>
                </w:rPr>
                <w:t>Ovid Full Text</w:t>
              </w:r>
            </w:hyperlink>
            <w:r w:rsidRPr="003D12A9">
              <w:rPr>
                <w:color w:val="2D2D2D"/>
              </w:rPr>
              <w:t> </w:t>
            </w:r>
            <w:hyperlink r:id="rId91" w:history="1">
              <w:r w:rsidRPr="003D12A9">
                <w:rPr>
                  <w:rStyle w:val="Hyperlink"/>
                  <w:rFonts w:eastAsiaTheme="majorEastAsia" w:cstheme="minorHAnsi"/>
                  <w:color w:val="0768A9"/>
                  <w:sz w:val="19"/>
                  <w:szCs w:val="19"/>
                </w:rPr>
                <w:t>Find it @ MU</w:t>
              </w:r>
            </w:hyperlink>
            <w:r w:rsidRPr="003D12A9">
              <w:rPr>
                <w:color w:val="2D2D2D"/>
              </w:rPr>
              <w:t> </w:t>
            </w:r>
            <w:hyperlink r:id="rId92" w:history="1">
              <w:r w:rsidRPr="003D12A9">
                <w:rPr>
                  <w:rStyle w:val="Hyperlink"/>
                  <w:rFonts w:eastAsiaTheme="majorEastAsia" w:cstheme="minorHAnsi"/>
                  <w:color w:val="0768A9"/>
                  <w:sz w:val="19"/>
                  <w:szCs w:val="19"/>
                </w:rPr>
                <w:t>Bibliographic Links</w:t>
              </w:r>
            </w:hyperlink>
            <w:r w:rsidRPr="003D12A9">
              <w:rPr>
                <w:color w:val="2D2D2D"/>
              </w:rPr>
              <w:t> </w:t>
            </w:r>
            <w:hyperlink r:id="rId93" w:anchor="32" w:history="1">
              <w:r w:rsidRPr="003D12A9">
                <w:rPr>
                  <w:rStyle w:val="Hyperlink"/>
                  <w:rFonts w:eastAsiaTheme="majorEastAsia" w:cstheme="minorHAnsi"/>
                  <w:color w:val="0768A9"/>
                  <w:sz w:val="19"/>
                  <w:szCs w:val="19"/>
                </w:rPr>
                <w:t>[Context Link]</w:t>
              </w:r>
            </w:hyperlink>
          </w:p>
        </w:tc>
      </w:tr>
    </w:tbl>
    <w:p w14:paraId="3969FBEC"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3C3BDCBB" w14:textId="77777777" w:rsidTr="006576E8">
        <w:tc>
          <w:tcPr>
            <w:tcW w:w="0" w:type="auto"/>
            <w:hideMark/>
          </w:tcPr>
          <w:p w14:paraId="31F26C92" w14:textId="77777777" w:rsidR="00246AB7" w:rsidRPr="003D12A9" w:rsidRDefault="00246AB7" w:rsidP="005843F7">
            <w:pPr>
              <w:ind w:left="720" w:hanging="720"/>
              <w:rPr>
                <w:color w:val="2D2D2D"/>
              </w:rPr>
            </w:pPr>
            <w:bookmarkStart w:id="98" w:name="RF13"/>
            <w:bookmarkStart w:id="99" w:name="104"/>
            <w:bookmarkEnd w:id="98"/>
            <w:bookmarkEnd w:id="99"/>
            <w:r w:rsidRPr="003D12A9">
              <w:rPr>
                <w:color w:val="2D2D2D"/>
              </w:rPr>
              <w:t xml:space="preserve">Nasir K., Lin Z., Bueno H., Normand S. L. T., </w:t>
            </w:r>
            <w:proofErr w:type="spellStart"/>
            <w:r w:rsidRPr="003D12A9">
              <w:rPr>
                <w:color w:val="2D2D2D"/>
              </w:rPr>
              <w:t>Drye</w:t>
            </w:r>
            <w:proofErr w:type="spellEnd"/>
            <w:r w:rsidRPr="003D12A9">
              <w:rPr>
                <w:color w:val="2D2D2D"/>
              </w:rPr>
              <w:t xml:space="preserve"> E. E., Keenan P. S., &amp; </w:t>
            </w:r>
            <w:proofErr w:type="spellStart"/>
            <w:r w:rsidRPr="003D12A9">
              <w:rPr>
                <w:color w:val="2D2D2D"/>
              </w:rPr>
              <w:t>Krumholz</w:t>
            </w:r>
            <w:proofErr w:type="spellEnd"/>
            <w:r w:rsidRPr="003D12A9">
              <w:rPr>
                <w:color w:val="2D2D2D"/>
              </w:rPr>
              <w:t xml:space="preserve"> H. M. (2010). Is same-hospital readmission rate a good surrogate for all-hospital readmission rate? </w:t>
            </w:r>
            <w:r w:rsidRPr="003D12A9">
              <w:rPr>
                <w:rStyle w:val="fulltext-it"/>
                <w:rFonts w:eastAsiaTheme="majorEastAsia" w:cstheme="minorHAnsi"/>
                <w:i/>
                <w:iCs/>
                <w:color w:val="2D2D2D"/>
                <w:sz w:val="19"/>
                <w:szCs w:val="19"/>
              </w:rPr>
              <w:t>Medical Care</w:t>
            </w:r>
            <w:r w:rsidRPr="003D12A9">
              <w:rPr>
                <w:color w:val="2D2D2D"/>
              </w:rPr>
              <w:t>, 48, 477-481. doi:10.1097/MLR.0b013e3181d5fb24 </w:t>
            </w:r>
            <w:hyperlink r:id="rId94" w:history="1">
              <w:r w:rsidRPr="003D12A9">
                <w:rPr>
                  <w:rStyle w:val="Hyperlink"/>
                  <w:rFonts w:eastAsiaTheme="majorEastAsia" w:cstheme="minorHAnsi"/>
                  <w:color w:val="0768A9"/>
                  <w:sz w:val="19"/>
                  <w:szCs w:val="19"/>
                </w:rPr>
                <w:t>Find it @ MU</w:t>
              </w:r>
            </w:hyperlink>
            <w:r w:rsidRPr="003D12A9">
              <w:rPr>
                <w:color w:val="2D2D2D"/>
              </w:rPr>
              <w:t> </w:t>
            </w:r>
            <w:hyperlink r:id="rId95" w:history="1">
              <w:r w:rsidRPr="003D12A9">
                <w:rPr>
                  <w:rStyle w:val="Hyperlink"/>
                  <w:rFonts w:eastAsiaTheme="majorEastAsia" w:cstheme="minorHAnsi"/>
                  <w:color w:val="0768A9"/>
                  <w:sz w:val="19"/>
                  <w:szCs w:val="19"/>
                </w:rPr>
                <w:t>Bibliographic Links</w:t>
              </w:r>
            </w:hyperlink>
            <w:r w:rsidRPr="003D12A9">
              <w:rPr>
                <w:color w:val="2D2D2D"/>
              </w:rPr>
              <w:t> </w:t>
            </w:r>
            <w:hyperlink r:id="rId96" w:anchor="87" w:history="1">
              <w:r w:rsidRPr="003D12A9">
                <w:rPr>
                  <w:rStyle w:val="Hyperlink"/>
                  <w:rFonts w:eastAsiaTheme="majorEastAsia" w:cstheme="minorHAnsi"/>
                  <w:color w:val="0768A9"/>
                  <w:sz w:val="19"/>
                  <w:szCs w:val="19"/>
                </w:rPr>
                <w:t>[Context Link]</w:t>
              </w:r>
            </w:hyperlink>
          </w:p>
        </w:tc>
      </w:tr>
    </w:tbl>
    <w:p w14:paraId="5F8FB48B"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64A27F3A" w14:textId="77777777" w:rsidTr="006576E8">
        <w:tc>
          <w:tcPr>
            <w:tcW w:w="0" w:type="auto"/>
            <w:hideMark/>
          </w:tcPr>
          <w:p w14:paraId="270E24B2" w14:textId="77777777" w:rsidR="00246AB7" w:rsidRPr="003D12A9" w:rsidRDefault="00246AB7" w:rsidP="005843F7">
            <w:pPr>
              <w:ind w:left="720" w:hanging="720"/>
              <w:rPr>
                <w:color w:val="2D2D2D"/>
              </w:rPr>
            </w:pPr>
            <w:bookmarkStart w:id="100" w:name="RF14"/>
            <w:bookmarkStart w:id="101" w:name="105"/>
            <w:bookmarkEnd w:id="100"/>
            <w:bookmarkEnd w:id="101"/>
            <w:proofErr w:type="spellStart"/>
            <w:r w:rsidRPr="003D12A9">
              <w:rPr>
                <w:color w:val="2D2D2D"/>
              </w:rPr>
              <w:t>Nosbusch</w:t>
            </w:r>
            <w:proofErr w:type="spellEnd"/>
            <w:r w:rsidRPr="003D12A9">
              <w:rPr>
                <w:color w:val="2D2D2D"/>
              </w:rPr>
              <w:t xml:space="preserve"> J. M., Weiss M. E., &amp; Bobay K. L. (2011). An integrated review of the literature on challenges confronting the acute care staff nurse in discharge planning. </w:t>
            </w:r>
            <w:r w:rsidRPr="003D12A9">
              <w:rPr>
                <w:rStyle w:val="fulltext-it"/>
                <w:rFonts w:eastAsiaTheme="majorEastAsia" w:cstheme="minorHAnsi"/>
                <w:i/>
                <w:iCs/>
                <w:color w:val="2D2D2D"/>
                <w:sz w:val="19"/>
                <w:szCs w:val="19"/>
              </w:rPr>
              <w:t>Journal of Clinical Nursing</w:t>
            </w:r>
            <w:r w:rsidRPr="003D12A9">
              <w:rPr>
                <w:color w:val="2D2D2D"/>
              </w:rPr>
              <w:t>, 20, 754-774. doi:10.1111/j.1365-2702.2010.03257.x </w:t>
            </w:r>
            <w:hyperlink r:id="rId97" w:history="1">
              <w:r w:rsidRPr="003D12A9">
                <w:rPr>
                  <w:rStyle w:val="Hyperlink"/>
                  <w:rFonts w:eastAsiaTheme="majorEastAsia" w:cstheme="minorHAnsi"/>
                  <w:color w:val="0768A9"/>
                  <w:sz w:val="19"/>
                  <w:szCs w:val="19"/>
                </w:rPr>
                <w:t>Find it @ MU</w:t>
              </w:r>
            </w:hyperlink>
            <w:r w:rsidRPr="003D12A9">
              <w:rPr>
                <w:color w:val="2D2D2D"/>
              </w:rPr>
              <w:t> </w:t>
            </w:r>
            <w:hyperlink r:id="rId98" w:history="1">
              <w:r w:rsidRPr="003D12A9">
                <w:rPr>
                  <w:rStyle w:val="Hyperlink"/>
                  <w:rFonts w:eastAsiaTheme="majorEastAsia" w:cstheme="minorHAnsi"/>
                  <w:color w:val="0768A9"/>
                  <w:sz w:val="19"/>
                  <w:szCs w:val="19"/>
                </w:rPr>
                <w:t>Bibliographic Links</w:t>
              </w:r>
            </w:hyperlink>
            <w:r w:rsidRPr="003D12A9">
              <w:rPr>
                <w:color w:val="2D2D2D"/>
              </w:rPr>
              <w:t> </w:t>
            </w:r>
            <w:hyperlink r:id="rId99" w:anchor="25" w:history="1">
              <w:r w:rsidRPr="003D12A9">
                <w:rPr>
                  <w:rStyle w:val="Hyperlink"/>
                  <w:rFonts w:eastAsiaTheme="majorEastAsia" w:cstheme="minorHAnsi"/>
                  <w:color w:val="0768A9"/>
                  <w:sz w:val="19"/>
                  <w:szCs w:val="19"/>
                </w:rPr>
                <w:t>[Context Link]</w:t>
              </w:r>
            </w:hyperlink>
          </w:p>
        </w:tc>
      </w:tr>
    </w:tbl>
    <w:p w14:paraId="48F7C79C"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09DFFE51" w14:textId="77777777" w:rsidTr="006576E8">
        <w:tc>
          <w:tcPr>
            <w:tcW w:w="0" w:type="auto"/>
            <w:hideMark/>
          </w:tcPr>
          <w:p w14:paraId="64B188F5" w14:textId="77777777" w:rsidR="00246AB7" w:rsidRPr="003D12A9" w:rsidRDefault="00246AB7" w:rsidP="005843F7">
            <w:pPr>
              <w:ind w:left="720" w:hanging="720"/>
              <w:rPr>
                <w:color w:val="2D2D2D"/>
              </w:rPr>
            </w:pPr>
            <w:bookmarkStart w:id="102" w:name="RF15"/>
            <w:bookmarkStart w:id="103" w:name="106"/>
            <w:bookmarkEnd w:id="102"/>
            <w:bookmarkEnd w:id="103"/>
            <w:proofErr w:type="spellStart"/>
            <w:r w:rsidRPr="003D12A9">
              <w:rPr>
                <w:color w:val="2D2D2D"/>
              </w:rPr>
              <w:t>Pallant</w:t>
            </w:r>
            <w:proofErr w:type="spellEnd"/>
            <w:r w:rsidRPr="003D12A9">
              <w:rPr>
                <w:color w:val="2D2D2D"/>
              </w:rPr>
              <w:t xml:space="preserve"> J. (2013). </w:t>
            </w:r>
            <w:r w:rsidRPr="003D12A9">
              <w:rPr>
                <w:rStyle w:val="fulltext-it"/>
                <w:rFonts w:eastAsiaTheme="majorEastAsia" w:cstheme="minorHAnsi"/>
                <w:i/>
                <w:iCs/>
                <w:color w:val="2D2D2D"/>
                <w:sz w:val="19"/>
                <w:szCs w:val="19"/>
              </w:rPr>
              <w:t>SPSS survival manual: A step by step guide to data analysis using IBM SPSS</w:t>
            </w:r>
            <w:r w:rsidRPr="003D12A9">
              <w:rPr>
                <w:color w:val="2D2D2D"/>
              </w:rPr>
              <w:t> (5th ed.). Berkshire, England, UK: Allen &amp; Unwin. </w:t>
            </w:r>
            <w:hyperlink r:id="rId100" w:anchor="68" w:history="1">
              <w:r w:rsidRPr="003D12A9">
                <w:rPr>
                  <w:rStyle w:val="Hyperlink"/>
                  <w:rFonts w:eastAsiaTheme="majorEastAsia" w:cstheme="minorHAnsi"/>
                  <w:color w:val="0768A9"/>
                  <w:sz w:val="19"/>
                  <w:szCs w:val="19"/>
                </w:rPr>
                <w:t>[Context Link]</w:t>
              </w:r>
            </w:hyperlink>
          </w:p>
        </w:tc>
      </w:tr>
    </w:tbl>
    <w:p w14:paraId="712C1EB2"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2CC0B6C6" w14:textId="77777777" w:rsidTr="006576E8">
        <w:tc>
          <w:tcPr>
            <w:tcW w:w="0" w:type="auto"/>
            <w:hideMark/>
          </w:tcPr>
          <w:p w14:paraId="44A2987C" w14:textId="77777777" w:rsidR="00246AB7" w:rsidRPr="003D12A9" w:rsidRDefault="00246AB7" w:rsidP="005843F7">
            <w:pPr>
              <w:ind w:left="720" w:hanging="720"/>
              <w:rPr>
                <w:color w:val="2D2D2D"/>
              </w:rPr>
            </w:pPr>
            <w:bookmarkStart w:id="104" w:name="RF16"/>
            <w:bookmarkStart w:id="105" w:name="107"/>
            <w:bookmarkEnd w:id="104"/>
            <w:bookmarkEnd w:id="105"/>
            <w:proofErr w:type="spellStart"/>
            <w:r w:rsidRPr="003D12A9">
              <w:rPr>
                <w:color w:val="2D2D2D"/>
              </w:rPr>
              <w:t>Tabachnick</w:t>
            </w:r>
            <w:proofErr w:type="spellEnd"/>
            <w:r w:rsidRPr="003D12A9">
              <w:rPr>
                <w:color w:val="2D2D2D"/>
              </w:rPr>
              <w:t xml:space="preserve"> B. G., &amp; </w:t>
            </w:r>
            <w:proofErr w:type="spellStart"/>
            <w:r w:rsidRPr="003D12A9">
              <w:rPr>
                <w:color w:val="2D2D2D"/>
              </w:rPr>
              <w:t>Fidell</w:t>
            </w:r>
            <w:proofErr w:type="spellEnd"/>
            <w:r w:rsidRPr="003D12A9">
              <w:rPr>
                <w:color w:val="2D2D2D"/>
              </w:rPr>
              <w:t xml:space="preserve"> L. S. (2001). </w:t>
            </w:r>
            <w:r w:rsidRPr="003D12A9">
              <w:rPr>
                <w:rStyle w:val="fulltext-it"/>
                <w:rFonts w:eastAsiaTheme="majorEastAsia" w:cstheme="minorHAnsi"/>
                <w:i/>
                <w:iCs/>
                <w:color w:val="2D2D2D"/>
                <w:sz w:val="19"/>
                <w:szCs w:val="19"/>
              </w:rPr>
              <w:t>Using multivariate statistics</w:t>
            </w:r>
            <w:r w:rsidRPr="003D12A9">
              <w:rPr>
                <w:color w:val="2D2D2D"/>
              </w:rPr>
              <w:t> (4th ed.). Boston, MA: Allyn &amp; Bacon. </w:t>
            </w:r>
            <w:hyperlink r:id="rId101" w:anchor="68" w:history="1">
              <w:r w:rsidRPr="003D12A9">
                <w:rPr>
                  <w:rStyle w:val="Hyperlink"/>
                  <w:rFonts w:eastAsiaTheme="majorEastAsia" w:cstheme="minorHAnsi"/>
                  <w:color w:val="0768A9"/>
                  <w:sz w:val="19"/>
                  <w:szCs w:val="19"/>
                </w:rPr>
                <w:t>[Context Link]</w:t>
              </w:r>
            </w:hyperlink>
          </w:p>
        </w:tc>
      </w:tr>
    </w:tbl>
    <w:p w14:paraId="783088B7"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249D4119" w14:textId="77777777" w:rsidTr="006576E8">
        <w:tc>
          <w:tcPr>
            <w:tcW w:w="0" w:type="auto"/>
            <w:hideMark/>
          </w:tcPr>
          <w:p w14:paraId="78F9DCEC" w14:textId="77777777" w:rsidR="00246AB7" w:rsidRPr="003D12A9" w:rsidRDefault="00246AB7" w:rsidP="005843F7">
            <w:pPr>
              <w:ind w:left="720" w:hanging="720"/>
              <w:rPr>
                <w:color w:val="2D2D2D"/>
              </w:rPr>
            </w:pPr>
            <w:bookmarkStart w:id="106" w:name="RF17"/>
            <w:bookmarkStart w:id="107" w:name="108"/>
            <w:bookmarkEnd w:id="106"/>
            <w:bookmarkEnd w:id="107"/>
            <w:r w:rsidRPr="003D12A9">
              <w:rPr>
                <w:color w:val="2D2D2D"/>
              </w:rPr>
              <w:t xml:space="preserve">Ullman J. B. (1996). Structural equation modeling. In </w:t>
            </w:r>
            <w:proofErr w:type="spellStart"/>
            <w:r w:rsidRPr="003D12A9">
              <w:rPr>
                <w:color w:val="2D2D2D"/>
              </w:rPr>
              <w:t>Tabachnick</w:t>
            </w:r>
            <w:proofErr w:type="spellEnd"/>
            <w:r w:rsidRPr="003D12A9">
              <w:rPr>
                <w:color w:val="2D2D2D"/>
              </w:rPr>
              <w:t xml:space="preserve"> B., </w:t>
            </w:r>
            <w:proofErr w:type="spellStart"/>
            <w:r w:rsidRPr="003D12A9">
              <w:rPr>
                <w:color w:val="2D2D2D"/>
              </w:rPr>
              <w:t>Fidell</w:t>
            </w:r>
            <w:proofErr w:type="spellEnd"/>
            <w:r w:rsidRPr="003D12A9">
              <w:rPr>
                <w:color w:val="2D2D2D"/>
              </w:rPr>
              <w:t xml:space="preserve"> L. (Eds.), </w:t>
            </w:r>
            <w:r w:rsidRPr="003D12A9">
              <w:rPr>
                <w:rStyle w:val="fulltext-it"/>
                <w:rFonts w:eastAsiaTheme="majorEastAsia" w:cstheme="minorHAnsi"/>
                <w:i/>
                <w:iCs/>
                <w:color w:val="2D2D2D"/>
                <w:sz w:val="19"/>
                <w:szCs w:val="19"/>
              </w:rPr>
              <w:t>Using multivariate statistics</w:t>
            </w:r>
            <w:r w:rsidRPr="003D12A9">
              <w:rPr>
                <w:color w:val="2D2D2D"/>
              </w:rPr>
              <w:t> (3rd ed. pp. 709-812). New York, NY: Harper Collins. </w:t>
            </w:r>
            <w:hyperlink r:id="rId102" w:anchor="65" w:history="1">
              <w:r w:rsidRPr="003D12A9">
                <w:rPr>
                  <w:rStyle w:val="Hyperlink"/>
                  <w:rFonts w:eastAsiaTheme="majorEastAsia" w:cstheme="minorHAnsi"/>
                  <w:color w:val="0768A9"/>
                  <w:sz w:val="19"/>
                  <w:szCs w:val="19"/>
                </w:rPr>
                <w:t>[Context Link]</w:t>
              </w:r>
            </w:hyperlink>
          </w:p>
        </w:tc>
      </w:tr>
    </w:tbl>
    <w:p w14:paraId="3FD71D32"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08EC9F41" w14:textId="77777777" w:rsidTr="006576E8">
        <w:tc>
          <w:tcPr>
            <w:tcW w:w="0" w:type="auto"/>
            <w:hideMark/>
          </w:tcPr>
          <w:p w14:paraId="3A87DB16" w14:textId="77777777" w:rsidR="00246AB7" w:rsidRPr="003D12A9" w:rsidRDefault="00246AB7" w:rsidP="005843F7">
            <w:pPr>
              <w:ind w:left="720" w:hanging="720"/>
              <w:rPr>
                <w:color w:val="2D2D2D"/>
              </w:rPr>
            </w:pPr>
            <w:bookmarkStart w:id="108" w:name="RF18"/>
            <w:bookmarkStart w:id="109" w:name="109"/>
            <w:bookmarkEnd w:id="108"/>
            <w:bookmarkEnd w:id="109"/>
            <w:r w:rsidRPr="003D12A9">
              <w:rPr>
                <w:color w:val="2D2D2D"/>
              </w:rPr>
              <w:t>Weiss M. E., Bobay K. L., Bahr S. J., Costa L., Hughes R. G., &amp; Holland D. E. (2015). A model for hospital discharge preparation: From case management to care transition. </w:t>
            </w:r>
            <w:r w:rsidRPr="003D12A9">
              <w:rPr>
                <w:rStyle w:val="fulltext-it"/>
                <w:rFonts w:eastAsiaTheme="majorEastAsia" w:cstheme="minorHAnsi"/>
                <w:i/>
                <w:iCs/>
                <w:color w:val="2D2D2D"/>
                <w:sz w:val="19"/>
                <w:szCs w:val="19"/>
              </w:rPr>
              <w:t>Journal of Nursing Administration</w:t>
            </w:r>
            <w:r w:rsidRPr="003D12A9">
              <w:rPr>
                <w:color w:val="2D2D2D"/>
              </w:rPr>
              <w:t>, 45, 606-614. doi:10.1097/NNA.0000000000000273 </w:t>
            </w:r>
            <w:hyperlink r:id="rId103" w:history="1">
              <w:r w:rsidRPr="003D12A9">
                <w:rPr>
                  <w:rStyle w:val="Hyperlink"/>
                  <w:rFonts w:eastAsiaTheme="majorEastAsia" w:cstheme="minorHAnsi"/>
                  <w:color w:val="0768A9"/>
                  <w:sz w:val="19"/>
                  <w:szCs w:val="19"/>
                </w:rPr>
                <w:t>Ovid Full Text</w:t>
              </w:r>
            </w:hyperlink>
            <w:r w:rsidRPr="003D12A9">
              <w:rPr>
                <w:color w:val="2D2D2D"/>
              </w:rPr>
              <w:t> </w:t>
            </w:r>
            <w:hyperlink r:id="rId104" w:history="1">
              <w:r w:rsidRPr="003D12A9">
                <w:rPr>
                  <w:rStyle w:val="Hyperlink"/>
                  <w:rFonts w:eastAsiaTheme="majorEastAsia" w:cstheme="minorHAnsi"/>
                  <w:color w:val="0768A9"/>
                  <w:sz w:val="19"/>
                  <w:szCs w:val="19"/>
                </w:rPr>
                <w:t>Find it @ MU</w:t>
              </w:r>
            </w:hyperlink>
            <w:r w:rsidRPr="003D12A9">
              <w:rPr>
                <w:color w:val="2D2D2D"/>
              </w:rPr>
              <w:t> </w:t>
            </w:r>
            <w:hyperlink r:id="rId105" w:history="1">
              <w:r w:rsidRPr="003D12A9">
                <w:rPr>
                  <w:rStyle w:val="Hyperlink"/>
                  <w:rFonts w:eastAsiaTheme="majorEastAsia" w:cstheme="minorHAnsi"/>
                  <w:color w:val="0768A9"/>
                  <w:sz w:val="19"/>
                  <w:szCs w:val="19"/>
                </w:rPr>
                <w:t>Bibliographic Links</w:t>
              </w:r>
            </w:hyperlink>
            <w:r w:rsidRPr="003D12A9">
              <w:rPr>
                <w:color w:val="2D2D2D"/>
              </w:rPr>
              <w:t> </w:t>
            </w:r>
            <w:hyperlink r:id="rId106" w:anchor="25" w:history="1">
              <w:r w:rsidRPr="003D12A9">
                <w:rPr>
                  <w:rStyle w:val="Hyperlink"/>
                  <w:rFonts w:eastAsiaTheme="majorEastAsia" w:cstheme="minorHAnsi"/>
                  <w:color w:val="0768A9"/>
                  <w:sz w:val="19"/>
                  <w:szCs w:val="19"/>
                </w:rPr>
                <w:t>[Context Link]</w:t>
              </w:r>
            </w:hyperlink>
          </w:p>
        </w:tc>
      </w:tr>
    </w:tbl>
    <w:p w14:paraId="78A6464B"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41C7F170" w14:textId="77777777" w:rsidTr="006576E8">
        <w:tc>
          <w:tcPr>
            <w:tcW w:w="0" w:type="auto"/>
            <w:hideMark/>
          </w:tcPr>
          <w:p w14:paraId="1DE3A89B" w14:textId="77777777" w:rsidR="00246AB7" w:rsidRPr="003D12A9" w:rsidRDefault="00246AB7" w:rsidP="005843F7">
            <w:pPr>
              <w:ind w:left="720" w:hanging="720"/>
              <w:rPr>
                <w:color w:val="2D2D2D"/>
              </w:rPr>
            </w:pPr>
            <w:bookmarkStart w:id="110" w:name="RF19"/>
            <w:bookmarkStart w:id="111" w:name="110"/>
            <w:bookmarkEnd w:id="110"/>
            <w:bookmarkEnd w:id="111"/>
            <w:r w:rsidRPr="003D12A9">
              <w:rPr>
                <w:color w:val="2D2D2D"/>
              </w:rPr>
              <w:t xml:space="preserve">Weiss M. E., Costa L. L., </w:t>
            </w:r>
            <w:proofErr w:type="spellStart"/>
            <w:r w:rsidRPr="003D12A9">
              <w:rPr>
                <w:color w:val="2D2D2D"/>
              </w:rPr>
              <w:t>Yakusheva</w:t>
            </w:r>
            <w:proofErr w:type="spellEnd"/>
            <w:r w:rsidRPr="003D12A9">
              <w:rPr>
                <w:color w:val="2D2D2D"/>
              </w:rPr>
              <w:t xml:space="preserve"> O., &amp; Bobay K. L. (2014). Validation of patient and nurse short forms of the Readiness for Hospital Discharge Scale and their relationship to return to the hospital. </w:t>
            </w:r>
            <w:r w:rsidRPr="003D12A9">
              <w:rPr>
                <w:rStyle w:val="fulltext-it"/>
                <w:rFonts w:eastAsiaTheme="majorEastAsia" w:cstheme="minorHAnsi"/>
                <w:i/>
                <w:iCs/>
                <w:color w:val="2D2D2D"/>
                <w:sz w:val="19"/>
                <w:szCs w:val="19"/>
              </w:rPr>
              <w:t>Health Services Research</w:t>
            </w:r>
            <w:r w:rsidRPr="003D12A9">
              <w:rPr>
                <w:color w:val="2D2D2D"/>
              </w:rPr>
              <w:t>, 49, 304-317. doi:10.1111/1475-6773.12092 </w:t>
            </w:r>
            <w:hyperlink r:id="rId107" w:history="1">
              <w:r w:rsidRPr="003D12A9">
                <w:rPr>
                  <w:rStyle w:val="Hyperlink"/>
                  <w:rFonts w:eastAsiaTheme="majorEastAsia" w:cstheme="minorHAnsi"/>
                  <w:color w:val="0768A9"/>
                  <w:sz w:val="19"/>
                  <w:szCs w:val="19"/>
                </w:rPr>
                <w:t>Find it @ MU</w:t>
              </w:r>
            </w:hyperlink>
            <w:r w:rsidRPr="003D12A9">
              <w:rPr>
                <w:color w:val="2D2D2D"/>
              </w:rPr>
              <w:t> </w:t>
            </w:r>
            <w:hyperlink r:id="rId108" w:anchor="28" w:history="1">
              <w:r w:rsidRPr="003D12A9">
                <w:rPr>
                  <w:rStyle w:val="Hyperlink"/>
                  <w:rFonts w:eastAsiaTheme="majorEastAsia" w:cstheme="minorHAnsi"/>
                  <w:color w:val="0768A9"/>
                  <w:sz w:val="19"/>
                  <w:szCs w:val="19"/>
                </w:rPr>
                <w:t>[Context Link]</w:t>
              </w:r>
            </w:hyperlink>
          </w:p>
        </w:tc>
      </w:tr>
    </w:tbl>
    <w:p w14:paraId="2E863932"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187AE4C5" w14:textId="77777777" w:rsidTr="006576E8">
        <w:tc>
          <w:tcPr>
            <w:tcW w:w="0" w:type="auto"/>
            <w:hideMark/>
          </w:tcPr>
          <w:p w14:paraId="6E4CEF07" w14:textId="77777777" w:rsidR="00246AB7" w:rsidRPr="003D12A9" w:rsidRDefault="00246AB7" w:rsidP="005843F7">
            <w:pPr>
              <w:ind w:left="720" w:hanging="720"/>
              <w:rPr>
                <w:color w:val="2D2D2D"/>
              </w:rPr>
            </w:pPr>
            <w:bookmarkStart w:id="112" w:name="RF20"/>
            <w:bookmarkStart w:id="113" w:name="111"/>
            <w:bookmarkEnd w:id="112"/>
            <w:bookmarkEnd w:id="113"/>
            <w:r w:rsidRPr="003D12A9">
              <w:rPr>
                <w:color w:val="2D2D2D"/>
              </w:rPr>
              <w:t xml:space="preserve">Weiss M. E., &amp; </w:t>
            </w:r>
            <w:proofErr w:type="spellStart"/>
            <w:r w:rsidRPr="003D12A9">
              <w:rPr>
                <w:color w:val="2D2D2D"/>
              </w:rPr>
              <w:t>Lokken</w:t>
            </w:r>
            <w:proofErr w:type="spellEnd"/>
            <w:r w:rsidRPr="003D12A9">
              <w:rPr>
                <w:color w:val="2D2D2D"/>
              </w:rPr>
              <w:t xml:space="preserve"> L. (2009). Predictors and outcomes of postpartum mothers' perceptions of readiness for discharge after birth. </w:t>
            </w:r>
            <w:r w:rsidRPr="003D12A9">
              <w:rPr>
                <w:rStyle w:val="fulltext-it"/>
                <w:rFonts w:eastAsiaTheme="majorEastAsia" w:cstheme="minorHAnsi"/>
                <w:i/>
                <w:iCs/>
                <w:color w:val="2D2D2D"/>
                <w:sz w:val="19"/>
                <w:szCs w:val="19"/>
              </w:rPr>
              <w:t>Journal of Obstetric, Gynecologic, &amp; Neonatal Nursing</w:t>
            </w:r>
            <w:r w:rsidRPr="003D12A9">
              <w:rPr>
                <w:color w:val="2D2D2D"/>
              </w:rPr>
              <w:t>, 38, 406-417. doi:10.1111/j.1552-6909.2009.01040.x </w:t>
            </w:r>
            <w:hyperlink r:id="rId109" w:anchor="27" w:history="1">
              <w:r w:rsidRPr="003D12A9">
                <w:rPr>
                  <w:rStyle w:val="Hyperlink"/>
                  <w:rFonts w:eastAsiaTheme="majorEastAsia" w:cstheme="minorHAnsi"/>
                  <w:color w:val="0768A9"/>
                  <w:sz w:val="19"/>
                  <w:szCs w:val="19"/>
                </w:rPr>
                <w:t>[Context Link]</w:t>
              </w:r>
            </w:hyperlink>
          </w:p>
        </w:tc>
      </w:tr>
    </w:tbl>
    <w:p w14:paraId="3DA70B8B"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6753A3B2" w14:textId="77777777" w:rsidTr="006576E8">
        <w:tc>
          <w:tcPr>
            <w:tcW w:w="0" w:type="auto"/>
            <w:hideMark/>
          </w:tcPr>
          <w:p w14:paraId="4C72B341" w14:textId="77777777" w:rsidR="00246AB7" w:rsidRPr="003D12A9" w:rsidRDefault="00246AB7" w:rsidP="005843F7">
            <w:pPr>
              <w:ind w:left="720" w:hanging="720"/>
              <w:rPr>
                <w:color w:val="2D2D2D"/>
              </w:rPr>
            </w:pPr>
            <w:bookmarkStart w:id="114" w:name="RF21"/>
            <w:bookmarkStart w:id="115" w:name="112"/>
            <w:bookmarkEnd w:id="114"/>
            <w:bookmarkEnd w:id="115"/>
            <w:r w:rsidRPr="003D12A9">
              <w:rPr>
                <w:color w:val="2D2D2D"/>
              </w:rPr>
              <w:t xml:space="preserve">Weiss M. E., Johnson N. L., </w:t>
            </w:r>
            <w:proofErr w:type="spellStart"/>
            <w:r w:rsidRPr="003D12A9">
              <w:rPr>
                <w:color w:val="2D2D2D"/>
              </w:rPr>
              <w:t>Malin</w:t>
            </w:r>
            <w:proofErr w:type="spellEnd"/>
            <w:r w:rsidRPr="003D12A9">
              <w:rPr>
                <w:color w:val="2D2D2D"/>
              </w:rPr>
              <w:t xml:space="preserve"> S., </w:t>
            </w:r>
            <w:proofErr w:type="spellStart"/>
            <w:r w:rsidRPr="003D12A9">
              <w:rPr>
                <w:color w:val="2D2D2D"/>
              </w:rPr>
              <w:t>Jerofke</w:t>
            </w:r>
            <w:proofErr w:type="spellEnd"/>
            <w:r w:rsidRPr="003D12A9">
              <w:rPr>
                <w:color w:val="2D2D2D"/>
              </w:rPr>
              <w:t xml:space="preserve"> T., Lang C., &amp; Sherburne E. (2008). Readiness for discharge in parents of hospitalized children. </w:t>
            </w:r>
            <w:r w:rsidRPr="003D12A9">
              <w:rPr>
                <w:rStyle w:val="fulltext-it"/>
                <w:rFonts w:eastAsiaTheme="majorEastAsia" w:cstheme="minorHAnsi"/>
                <w:i/>
                <w:iCs/>
                <w:color w:val="2D2D2D"/>
                <w:sz w:val="19"/>
                <w:szCs w:val="19"/>
              </w:rPr>
              <w:t>Journal of Pediatric Nursing</w:t>
            </w:r>
            <w:r w:rsidRPr="003D12A9">
              <w:rPr>
                <w:color w:val="2D2D2D"/>
              </w:rPr>
              <w:t>, 23, 282-295. doi:10.1016/j.pedn.2007.10.005 </w:t>
            </w:r>
            <w:hyperlink r:id="rId110" w:history="1">
              <w:r w:rsidRPr="003D12A9">
                <w:rPr>
                  <w:rStyle w:val="Hyperlink"/>
                  <w:rFonts w:eastAsiaTheme="majorEastAsia" w:cstheme="minorHAnsi"/>
                  <w:color w:val="0768A9"/>
                  <w:sz w:val="19"/>
                  <w:szCs w:val="19"/>
                </w:rPr>
                <w:t>Ovid Full Text</w:t>
              </w:r>
            </w:hyperlink>
            <w:r w:rsidRPr="003D12A9">
              <w:rPr>
                <w:color w:val="2D2D2D"/>
              </w:rPr>
              <w:t> </w:t>
            </w:r>
            <w:hyperlink r:id="rId111" w:history="1">
              <w:r w:rsidRPr="003D12A9">
                <w:rPr>
                  <w:rStyle w:val="Hyperlink"/>
                  <w:rFonts w:eastAsiaTheme="majorEastAsia" w:cstheme="minorHAnsi"/>
                  <w:color w:val="0768A9"/>
                  <w:sz w:val="19"/>
                  <w:szCs w:val="19"/>
                </w:rPr>
                <w:t>Find it @ MU</w:t>
              </w:r>
            </w:hyperlink>
            <w:r w:rsidRPr="003D12A9">
              <w:rPr>
                <w:color w:val="2D2D2D"/>
              </w:rPr>
              <w:t> </w:t>
            </w:r>
            <w:hyperlink r:id="rId112" w:history="1">
              <w:r w:rsidRPr="003D12A9">
                <w:rPr>
                  <w:rStyle w:val="Hyperlink"/>
                  <w:rFonts w:eastAsiaTheme="majorEastAsia" w:cstheme="minorHAnsi"/>
                  <w:color w:val="0768A9"/>
                  <w:sz w:val="19"/>
                  <w:szCs w:val="19"/>
                </w:rPr>
                <w:t>Bibliographic Links</w:t>
              </w:r>
            </w:hyperlink>
            <w:r w:rsidRPr="003D12A9">
              <w:rPr>
                <w:color w:val="2D2D2D"/>
              </w:rPr>
              <w:t> </w:t>
            </w:r>
            <w:hyperlink r:id="rId113" w:anchor="27" w:history="1">
              <w:r w:rsidRPr="003D12A9">
                <w:rPr>
                  <w:rStyle w:val="Hyperlink"/>
                  <w:rFonts w:eastAsiaTheme="majorEastAsia" w:cstheme="minorHAnsi"/>
                  <w:color w:val="0768A9"/>
                  <w:sz w:val="19"/>
                  <w:szCs w:val="19"/>
                </w:rPr>
                <w:t>[Context Link]</w:t>
              </w:r>
            </w:hyperlink>
          </w:p>
        </w:tc>
      </w:tr>
    </w:tbl>
    <w:p w14:paraId="0EBBD0C3"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1F13E210" w14:textId="77777777" w:rsidTr="006576E8">
        <w:tc>
          <w:tcPr>
            <w:tcW w:w="0" w:type="auto"/>
            <w:hideMark/>
          </w:tcPr>
          <w:p w14:paraId="56448E4C" w14:textId="77777777" w:rsidR="00246AB7" w:rsidRPr="003D12A9" w:rsidRDefault="00246AB7" w:rsidP="005843F7">
            <w:pPr>
              <w:ind w:left="720" w:hanging="720"/>
              <w:rPr>
                <w:color w:val="2D2D2D"/>
              </w:rPr>
            </w:pPr>
            <w:bookmarkStart w:id="116" w:name="RF22"/>
            <w:bookmarkStart w:id="117" w:name="113"/>
            <w:bookmarkEnd w:id="116"/>
            <w:bookmarkEnd w:id="117"/>
            <w:r w:rsidRPr="003D12A9">
              <w:rPr>
                <w:color w:val="2D2D2D"/>
              </w:rPr>
              <w:t>Weiss M. E., &amp; Piacentine L. B. (2006). Psychometric properties of the Readiness for Hospital Discharge Scale. </w:t>
            </w:r>
            <w:r w:rsidRPr="003D12A9">
              <w:rPr>
                <w:rStyle w:val="fulltext-it"/>
                <w:rFonts w:eastAsiaTheme="majorEastAsia" w:cstheme="minorHAnsi"/>
                <w:i/>
                <w:iCs/>
                <w:color w:val="2D2D2D"/>
                <w:sz w:val="19"/>
                <w:szCs w:val="19"/>
              </w:rPr>
              <w:t>Journal of Nursing Measurement</w:t>
            </w:r>
            <w:r w:rsidRPr="003D12A9">
              <w:rPr>
                <w:color w:val="2D2D2D"/>
              </w:rPr>
              <w:t>, 14, 163-180. doi:10.1891/jnm-v14i3a002 </w:t>
            </w:r>
            <w:hyperlink r:id="rId114" w:history="1">
              <w:r w:rsidRPr="003D12A9">
                <w:rPr>
                  <w:rStyle w:val="Hyperlink"/>
                  <w:rFonts w:eastAsiaTheme="majorEastAsia" w:cstheme="minorHAnsi"/>
                  <w:color w:val="0768A9"/>
                  <w:sz w:val="19"/>
                  <w:szCs w:val="19"/>
                </w:rPr>
                <w:t>Find it @ MU</w:t>
              </w:r>
            </w:hyperlink>
            <w:r w:rsidRPr="003D12A9">
              <w:rPr>
                <w:color w:val="2D2D2D"/>
              </w:rPr>
              <w:t> </w:t>
            </w:r>
            <w:hyperlink r:id="rId115" w:history="1">
              <w:r w:rsidRPr="003D12A9">
                <w:rPr>
                  <w:rStyle w:val="Hyperlink"/>
                  <w:rFonts w:eastAsiaTheme="majorEastAsia" w:cstheme="minorHAnsi"/>
                  <w:color w:val="0768A9"/>
                  <w:sz w:val="19"/>
                  <w:szCs w:val="19"/>
                </w:rPr>
                <w:t>Bibliographic Links</w:t>
              </w:r>
            </w:hyperlink>
            <w:r w:rsidRPr="003D12A9">
              <w:rPr>
                <w:color w:val="2D2D2D"/>
              </w:rPr>
              <w:t> </w:t>
            </w:r>
            <w:hyperlink r:id="rId116" w:anchor="27" w:history="1">
              <w:r w:rsidRPr="003D12A9">
                <w:rPr>
                  <w:rStyle w:val="Hyperlink"/>
                  <w:rFonts w:eastAsiaTheme="majorEastAsia" w:cstheme="minorHAnsi"/>
                  <w:color w:val="0768A9"/>
                  <w:sz w:val="19"/>
                  <w:szCs w:val="19"/>
                </w:rPr>
                <w:t>[Context Link]</w:t>
              </w:r>
            </w:hyperlink>
          </w:p>
        </w:tc>
      </w:tr>
    </w:tbl>
    <w:p w14:paraId="58D43B3B"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1DAC4C63" w14:textId="77777777" w:rsidTr="006576E8">
        <w:tc>
          <w:tcPr>
            <w:tcW w:w="0" w:type="auto"/>
            <w:hideMark/>
          </w:tcPr>
          <w:p w14:paraId="60F121D8" w14:textId="77777777" w:rsidR="00246AB7" w:rsidRPr="003D12A9" w:rsidRDefault="00246AB7" w:rsidP="005843F7">
            <w:pPr>
              <w:ind w:left="720" w:hanging="720"/>
              <w:rPr>
                <w:color w:val="2D2D2D"/>
              </w:rPr>
            </w:pPr>
            <w:bookmarkStart w:id="118" w:name="RF23"/>
            <w:bookmarkStart w:id="119" w:name="114"/>
            <w:bookmarkEnd w:id="118"/>
            <w:bookmarkEnd w:id="119"/>
            <w:r w:rsidRPr="003D12A9">
              <w:rPr>
                <w:color w:val="2D2D2D"/>
              </w:rPr>
              <w:t xml:space="preserve">Weiss M. E., Piacentine L. B., </w:t>
            </w:r>
            <w:proofErr w:type="spellStart"/>
            <w:r w:rsidRPr="003D12A9">
              <w:rPr>
                <w:color w:val="2D2D2D"/>
              </w:rPr>
              <w:t>Lokken</w:t>
            </w:r>
            <w:proofErr w:type="spellEnd"/>
            <w:r w:rsidRPr="003D12A9">
              <w:rPr>
                <w:color w:val="2D2D2D"/>
              </w:rPr>
              <w:t xml:space="preserve"> L., Ancona J., Archer J., </w:t>
            </w:r>
            <w:proofErr w:type="spellStart"/>
            <w:r w:rsidRPr="003D12A9">
              <w:rPr>
                <w:color w:val="2D2D2D"/>
              </w:rPr>
              <w:t>Gresser</w:t>
            </w:r>
            <w:proofErr w:type="spellEnd"/>
            <w:r w:rsidRPr="003D12A9">
              <w:rPr>
                <w:color w:val="2D2D2D"/>
              </w:rPr>
              <w:t xml:space="preserve"> S., [horizontal ellipsis] Vega-Stromberg T. (2007). Perceived readiness for hospital discharge in adult medical-surgical patients. </w:t>
            </w:r>
            <w:r w:rsidRPr="003D12A9">
              <w:rPr>
                <w:rStyle w:val="fulltext-it"/>
                <w:rFonts w:eastAsiaTheme="majorEastAsia" w:cstheme="minorHAnsi"/>
                <w:i/>
                <w:iCs/>
                <w:color w:val="2D2D2D"/>
                <w:sz w:val="19"/>
                <w:szCs w:val="19"/>
              </w:rPr>
              <w:t>Clinical Nurse Specialist</w:t>
            </w:r>
            <w:r w:rsidRPr="003D12A9">
              <w:rPr>
                <w:color w:val="2D2D2D"/>
              </w:rPr>
              <w:t>, 21, 31-42. </w:t>
            </w:r>
            <w:hyperlink r:id="rId117" w:history="1">
              <w:r w:rsidRPr="003D12A9">
                <w:rPr>
                  <w:rStyle w:val="Hyperlink"/>
                  <w:rFonts w:eastAsiaTheme="majorEastAsia" w:cstheme="minorHAnsi"/>
                  <w:color w:val="0768A9"/>
                  <w:sz w:val="19"/>
                  <w:szCs w:val="19"/>
                </w:rPr>
                <w:t>Ovid Full Text</w:t>
              </w:r>
            </w:hyperlink>
            <w:r w:rsidRPr="003D12A9">
              <w:rPr>
                <w:color w:val="2D2D2D"/>
              </w:rPr>
              <w:t> </w:t>
            </w:r>
            <w:hyperlink r:id="rId118" w:history="1">
              <w:r w:rsidRPr="003D12A9">
                <w:rPr>
                  <w:rStyle w:val="Hyperlink"/>
                  <w:rFonts w:eastAsiaTheme="majorEastAsia" w:cstheme="minorHAnsi"/>
                  <w:color w:val="0768A9"/>
                  <w:sz w:val="19"/>
                  <w:szCs w:val="19"/>
                </w:rPr>
                <w:t>Find it @ MU</w:t>
              </w:r>
            </w:hyperlink>
            <w:r w:rsidRPr="003D12A9">
              <w:rPr>
                <w:color w:val="2D2D2D"/>
              </w:rPr>
              <w:t> </w:t>
            </w:r>
            <w:hyperlink r:id="rId119" w:history="1">
              <w:r w:rsidRPr="003D12A9">
                <w:rPr>
                  <w:rStyle w:val="Hyperlink"/>
                  <w:rFonts w:eastAsiaTheme="majorEastAsia" w:cstheme="minorHAnsi"/>
                  <w:color w:val="0768A9"/>
                  <w:sz w:val="19"/>
                  <w:szCs w:val="19"/>
                </w:rPr>
                <w:t>Bibliographic Links</w:t>
              </w:r>
            </w:hyperlink>
            <w:r w:rsidRPr="003D12A9">
              <w:rPr>
                <w:color w:val="2D2D2D"/>
              </w:rPr>
              <w:t> </w:t>
            </w:r>
            <w:hyperlink r:id="rId120" w:anchor="27" w:history="1">
              <w:r w:rsidRPr="003D12A9">
                <w:rPr>
                  <w:rStyle w:val="Hyperlink"/>
                  <w:rFonts w:eastAsiaTheme="majorEastAsia" w:cstheme="minorHAnsi"/>
                  <w:color w:val="0768A9"/>
                  <w:sz w:val="19"/>
                  <w:szCs w:val="19"/>
                </w:rPr>
                <w:t>[Context Link]</w:t>
              </w:r>
            </w:hyperlink>
          </w:p>
        </w:tc>
      </w:tr>
    </w:tbl>
    <w:p w14:paraId="75FB4189"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101D7CAC" w14:textId="77777777" w:rsidTr="006576E8">
        <w:tc>
          <w:tcPr>
            <w:tcW w:w="0" w:type="auto"/>
            <w:hideMark/>
          </w:tcPr>
          <w:p w14:paraId="430E213A" w14:textId="77777777" w:rsidR="00246AB7" w:rsidRPr="003D12A9" w:rsidRDefault="00246AB7" w:rsidP="005843F7">
            <w:pPr>
              <w:ind w:left="720" w:hanging="720"/>
              <w:rPr>
                <w:color w:val="2D2D2D"/>
              </w:rPr>
            </w:pPr>
            <w:bookmarkStart w:id="120" w:name="RF24"/>
            <w:bookmarkStart w:id="121" w:name="115"/>
            <w:bookmarkEnd w:id="120"/>
            <w:bookmarkEnd w:id="121"/>
            <w:r w:rsidRPr="003D12A9">
              <w:rPr>
                <w:color w:val="2D2D2D"/>
              </w:rPr>
              <w:t xml:space="preserve">Weiss M. E., </w:t>
            </w:r>
            <w:proofErr w:type="spellStart"/>
            <w:r w:rsidRPr="003D12A9">
              <w:rPr>
                <w:color w:val="2D2D2D"/>
              </w:rPr>
              <w:t>Yakusheva</w:t>
            </w:r>
            <w:proofErr w:type="spellEnd"/>
            <w:r w:rsidRPr="003D12A9">
              <w:rPr>
                <w:color w:val="2D2D2D"/>
              </w:rPr>
              <w:t xml:space="preserve"> O., &amp; Bobay K. (2010). Nurse and patient perceptions of discharge readiness in relation to </w:t>
            </w:r>
            <w:proofErr w:type="spellStart"/>
            <w:r w:rsidRPr="003D12A9">
              <w:rPr>
                <w:color w:val="2D2D2D"/>
              </w:rPr>
              <w:t>postdischarge</w:t>
            </w:r>
            <w:proofErr w:type="spellEnd"/>
            <w:r w:rsidRPr="003D12A9">
              <w:rPr>
                <w:color w:val="2D2D2D"/>
              </w:rPr>
              <w:t xml:space="preserve"> utilization. </w:t>
            </w:r>
            <w:r w:rsidRPr="003D12A9">
              <w:rPr>
                <w:rStyle w:val="fulltext-it"/>
                <w:rFonts w:eastAsiaTheme="majorEastAsia" w:cstheme="minorHAnsi"/>
                <w:i/>
                <w:iCs/>
                <w:color w:val="2D2D2D"/>
                <w:sz w:val="19"/>
                <w:szCs w:val="19"/>
              </w:rPr>
              <w:t>Medical Care</w:t>
            </w:r>
            <w:r w:rsidRPr="003D12A9">
              <w:rPr>
                <w:color w:val="2D2D2D"/>
              </w:rPr>
              <w:t>, 48, 482-486. doi:10.1097/MLR.0b013e3181d5feae </w:t>
            </w:r>
            <w:hyperlink r:id="rId121" w:history="1">
              <w:r w:rsidRPr="003D12A9">
                <w:rPr>
                  <w:rStyle w:val="Hyperlink"/>
                  <w:rFonts w:eastAsiaTheme="majorEastAsia" w:cstheme="minorHAnsi"/>
                  <w:color w:val="0768A9"/>
                  <w:sz w:val="19"/>
                  <w:szCs w:val="19"/>
                </w:rPr>
                <w:t>Find it @ MU</w:t>
              </w:r>
            </w:hyperlink>
            <w:r w:rsidRPr="003D12A9">
              <w:rPr>
                <w:color w:val="2D2D2D"/>
              </w:rPr>
              <w:t> </w:t>
            </w:r>
            <w:hyperlink r:id="rId122" w:history="1">
              <w:r w:rsidRPr="003D12A9">
                <w:rPr>
                  <w:rStyle w:val="Hyperlink"/>
                  <w:rFonts w:eastAsiaTheme="majorEastAsia" w:cstheme="minorHAnsi"/>
                  <w:color w:val="0768A9"/>
                  <w:sz w:val="19"/>
                  <w:szCs w:val="19"/>
                </w:rPr>
                <w:t>Bibliographic Links</w:t>
              </w:r>
            </w:hyperlink>
            <w:r w:rsidRPr="003D12A9">
              <w:rPr>
                <w:color w:val="2D2D2D"/>
              </w:rPr>
              <w:t> </w:t>
            </w:r>
            <w:hyperlink r:id="rId123" w:anchor="28" w:history="1">
              <w:r w:rsidRPr="003D12A9">
                <w:rPr>
                  <w:rStyle w:val="Hyperlink"/>
                  <w:rFonts w:eastAsiaTheme="majorEastAsia" w:cstheme="minorHAnsi"/>
                  <w:color w:val="0768A9"/>
                  <w:sz w:val="19"/>
                  <w:szCs w:val="19"/>
                </w:rPr>
                <w:t>[Context Link]</w:t>
              </w:r>
            </w:hyperlink>
          </w:p>
        </w:tc>
      </w:tr>
    </w:tbl>
    <w:p w14:paraId="56449AB7"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10070"/>
      </w:tblGrid>
      <w:tr w:rsidR="00246AB7" w:rsidRPr="003D12A9" w14:paraId="3B42ECBD" w14:textId="77777777" w:rsidTr="006576E8">
        <w:tc>
          <w:tcPr>
            <w:tcW w:w="0" w:type="auto"/>
            <w:hideMark/>
          </w:tcPr>
          <w:p w14:paraId="20F03C38" w14:textId="77777777" w:rsidR="00246AB7" w:rsidRPr="003D12A9" w:rsidRDefault="00246AB7" w:rsidP="005843F7">
            <w:pPr>
              <w:ind w:left="720" w:hanging="720"/>
              <w:rPr>
                <w:color w:val="2D2D2D"/>
              </w:rPr>
            </w:pPr>
            <w:bookmarkStart w:id="122" w:name="RF25"/>
            <w:bookmarkStart w:id="123" w:name="116"/>
            <w:bookmarkEnd w:id="122"/>
            <w:bookmarkEnd w:id="123"/>
            <w:r w:rsidRPr="003D12A9">
              <w:rPr>
                <w:color w:val="2D2D2D"/>
              </w:rPr>
              <w:t xml:space="preserve">Weiss M. E., </w:t>
            </w:r>
            <w:proofErr w:type="spellStart"/>
            <w:r w:rsidRPr="003D12A9">
              <w:rPr>
                <w:color w:val="2D2D2D"/>
              </w:rPr>
              <w:t>Yakusheva</w:t>
            </w:r>
            <w:proofErr w:type="spellEnd"/>
            <w:r w:rsidRPr="003D12A9">
              <w:rPr>
                <w:color w:val="2D2D2D"/>
              </w:rPr>
              <w:t xml:space="preserve"> O., &amp; Bobay K. L. (2011). Quality and cost analysis of nurse staffing discharge preparation, and </w:t>
            </w:r>
            <w:proofErr w:type="spellStart"/>
            <w:r w:rsidRPr="003D12A9">
              <w:rPr>
                <w:color w:val="2D2D2D"/>
              </w:rPr>
              <w:t>postdischarge</w:t>
            </w:r>
            <w:proofErr w:type="spellEnd"/>
            <w:r w:rsidRPr="003D12A9">
              <w:rPr>
                <w:color w:val="2D2D2D"/>
              </w:rPr>
              <w:t xml:space="preserve"> utilization. </w:t>
            </w:r>
            <w:r w:rsidRPr="003D12A9">
              <w:rPr>
                <w:rStyle w:val="fulltext-it"/>
                <w:rFonts w:eastAsiaTheme="majorEastAsia" w:cstheme="minorHAnsi"/>
                <w:i/>
                <w:iCs/>
                <w:color w:val="2D2D2D"/>
                <w:sz w:val="19"/>
                <w:szCs w:val="19"/>
              </w:rPr>
              <w:t>Health Services Research</w:t>
            </w:r>
            <w:r w:rsidRPr="003D12A9">
              <w:rPr>
                <w:color w:val="2D2D2D"/>
              </w:rPr>
              <w:t>, 46, 1473-1494. doi:10.1111/j.1475-6773.2011.01267.x </w:t>
            </w:r>
            <w:hyperlink r:id="rId124" w:history="1">
              <w:r w:rsidRPr="003D12A9">
                <w:rPr>
                  <w:rStyle w:val="Hyperlink"/>
                  <w:rFonts w:eastAsiaTheme="majorEastAsia" w:cstheme="minorHAnsi"/>
                  <w:color w:val="0768A9"/>
                  <w:sz w:val="19"/>
                  <w:szCs w:val="19"/>
                </w:rPr>
                <w:t>Find it @ MU</w:t>
              </w:r>
            </w:hyperlink>
            <w:r w:rsidRPr="003D12A9">
              <w:rPr>
                <w:color w:val="2D2D2D"/>
              </w:rPr>
              <w:t> </w:t>
            </w:r>
            <w:hyperlink r:id="rId125" w:anchor="25" w:history="1">
              <w:r w:rsidRPr="003D12A9">
                <w:rPr>
                  <w:rStyle w:val="Hyperlink"/>
                  <w:rFonts w:eastAsiaTheme="majorEastAsia" w:cstheme="minorHAnsi"/>
                  <w:color w:val="0768A9"/>
                  <w:sz w:val="19"/>
                  <w:szCs w:val="19"/>
                </w:rPr>
                <w:t>[Context Link]</w:t>
              </w:r>
            </w:hyperlink>
          </w:p>
        </w:tc>
      </w:tr>
    </w:tbl>
    <w:p w14:paraId="1180D193" w14:textId="77777777" w:rsidR="00246AB7" w:rsidRPr="003D12A9" w:rsidRDefault="00246AB7" w:rsidP="005843F7">
      <w:pPr>
        <w:ind w:left="720" w:hanging="720"/>
        <w:rPr>
          <w:vanish/>
        </w:rPr>
      </w:pPr>
    </w:p>
    <w:tbl>
      <w:tblPr>
        <w:tblStyle w:val="TableGridLight"/>
        <w:tblW w:w="0" w:type="auto"/>
        <w:tblLook w:val="04A0" w:firstRow="1" w:lastRow="0" w:firstColumn="1" w:lastColumn="0" w:noHBand="0" w:noVBand="1"/>
      </w:tblPr>
      <w:tblGrid>
        <w:gridCol w:w="6026"/>
      </w:tblGrid>
      <w:tr w:rsidR="00246AB7" w:rsidRPr="003D12A9" w14:paraId="670706D4" w14:textId="77777777" w:rsidTr="006576E8">
        <w:tc>
          <w:tcPr>
            <w:tcW w:w="0" w:type="auto"/>
            <w:hideMark/>
          </w:tcPr>
          <w:p w14:paraId="15F4AFC0" w14:textId="77777777" w:rsidR="00246AB7" w:rsidRPr="003D12A9" w:rsidRDefault="00246AB7" w:rsidP="005843F7">
            <w:pPr>
              <w:ind w:left="720" w:hanging="720"/>
              <w:rPr>
                <w:color w:val="2D2D2D"/>
              </w:rPr>
            </w:pPr>
            <w:bookmarkStart w:id="124" w:name="117"/>
            <w:bookmarkEnd w:id="124"/>
            <w:r w:rsidRPr="003D12A9">
              <w:rPr>
                <w:color w:val="2D2D2D"/>
              </w:rPr>
              <w:t>Key Words: discharge readiness; nurse assessment; readmissions</w:t>
            </w:r>
          </w:p>
        </w:tc>
      </w:tr>
    </w:tbl>
    <w:p w14:paraId="5C9FA21D" w14:textId="77777777" w:rsidR="00617C12" w:rsidRPr="003D12A9" w:rsidRDefault="00617C12" w:rsidP="005843F7">
      <w:pPr>
        <w:ind w:left="720" w:hanging="720"/>
      </w:pPr>
    </w:p>
    <w:sectPr w:rsidR="00617C12" w:rsidRPr="003D12A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dvTTa5c29dc1.B">
    <w:altName w:val="Calibri"/>
    <w:panose1 w:val="00000000000000000000"/>
    <w:charset w:val="00"/>
    <w:family w:val="swiss"/>
    <w:notTrueType/>
    <w:pitch w:val="default"/>
    <w:sig w:usb0="00000003" w:usb1="00000000" w:usb2="00000000" w:usb3="00000000" w:csb0="00000001" w:csb1="00000000"/>
  </w:font>
  <w:font w:name="AdvTT6bca5eef">
    <w:altName w:val="Calibri"/>
    <w:panose1 w:val="00000000000000000000"/>
    <w:charset w:val="00"/>
    <w:family w:val="swiss"/>
    <w:notTrueType/>
    <w:pitch w:val="default"/>
    <w:sig w:usb0="00000003" w:usb1="00000000" w:usb2="00000000" w:usb3="00000000" w:csb0="00000001" w:csb1="00000000"/>
  </w:font>
  <w:font w:name="AdvTT6bca5eef+20">
    <w:altName w:val="Calibri"/>
    <w:panose1 w:val="00000000000000000000"/>
    <w:charset w:val="00"/>
    <w:family w:val="swiss"/>
    <w:notTrueType/>
    <w:pitch w:val="default"/>
    <w:sig w:usb0="00000003" w:usb1="00000000" w:usb2="00000000" w:usb3="00000000" w:csb0="00000001" w:csb1="00000000"/>
  </w:font>
  <w:font w:name="AdvTT5f1fbe00.I">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UR+nqyZ6kOQF1XFNXNbC5BzTE9801YQuyvJ4lo3o6suciKH0A2aBpRq2z7mTL95SM1JYLPK86XVCC+/iYttfyQ==" w:salt="5gtAZxazcArQ1I8ICswnr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966"/>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486C"/>
    <w:rsid w:val="00097FBC"/>
    <w:rsid w:val="000A0975"/>
    <w:rsid w:val="000A0D9F"/>
    <w:rsid w:val="000A266C"/>
    <w:rsid w:val="000A7622"/>
    <w:rsid w:val="000A7F84"/>
    <w:rsid w:val="000B1EEB"/>
    <w:rsid w:val="000B22D3"/>
    <w:rsid w:val="000B2768"/>
    <w:rsid w:val="000B3464"/>
    <w:rsid w:val="000B389E"/>
    <w:rsid w:val="000B501D"/>
    <w:rsid w:val="000B5170"/>
    <w:rsid w:val="000C0E5B"/>
    <w:rsid w:val="000C2E8A"/>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4798"/>
    <w:rsid w:val="00130904"/>
    <w:rsid w:val="00130D0E"/>
    <w:rsid w:val="00131A15"/>
    <w:rsid w:val="00131C28"/>
    <w:rsid w:val="00134CF7"/>
    <w:rsid w:val="0014182B"/>
    <w:rsid w:val="0014490B"/>
    <w:rsid w:val="00146A5C"/>
    <w:rsid w:val="00146E50"/>
    <w:rsid w:val="00150DB6"/>
    <w:rsid w:val="001527F4"/>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2D96"/>
    <w:rsid w:val="001F70BC"/>
    <w:rsid w:val="001F7BCF"/>
    <w:rsid w:val="001F7FBE"/>
    <w:rsid w:val="002016B1"/>
    <w:rsid w:val="00201875"/>
    <w:rsid w:val="00201AFD"/>
    <w:rsid w:val="00201FDC"/>
    <w:rsid w:val="002022D8"/>
    <w:rsid w:val="00206486"/>
    <w:rsid w:val="00206CC8"/>
    <w:rsid w:val="00211422"/>
    <w:rsid w:val="00212109"/>
    <w:rsid w:val="00224240"/>
    <w:rsid w:val="00226FA2"/>
    <w:rsid w:val="002270DD"/>
    <w:rsid w:val="0024134B"/>
    <w:rsid w:val="00246AB7"/>
    <w:rsid w:val="00251132"/>
    <w:rsid w:val="002535DF"/>
    <w:rsid w:val="002558EB"/>
    <w:rsid w:val="00255B43"/>
    <w:rsid w:val="00255BDC"/>
    <w:rsid w:val="00255BEA"/>
    <w:rsid w:val="00261403"/>
    <w:rsid w:val="00261F59"/>
    <w:rsid w:val="00272768"/>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4474"/>
    <w:rsid w:val="00313440"/>
    <w:rsid w:val="00314FCD"/>
    <w:rsid w:val="00324290"/>
    <w:rsid w:val="00331737"/>
    <w:rsid w:val="00331EF0"/>
    <w:rsid w:val="0033243D"/>
    <w:rsid w:val="0033247C"/>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54A1"/>
    <w:rsid w:val="003B6208"/>
    <w:rsid w:val="003B7F8F"/>
    <w:rsid w:val="003C4172"/>
    <w:rsid w:val="003C437D"/>
    <w:rsid w:val="003C4456"/>
    <w:rsid w:val="003D12A9"/>
    <w:rsid w:val="003D3301"/>
    <w:rsid w:val="003D4641"/>
    <w:rsid w:val="003E05B7"/>
    <w:rsid w:val="003E0C0A"/>
    <w:rsid w:val="003E6CFF"/>
    <w:rsid w:val="004010E3"/>
    <w:rsid w:val="004055B8"/>
    <w:rsid w:val="0040709D"/>
    <w:rsid w:val="004122F9"/>
    <w:rsid w:val="004124D3"/>
    <w:rsid w:val="004139BA"/>
    <w:rsid w:val="00413E5B"/>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35A"/>
    <w:rsid w:val="0050408D"/>
    <w:rsid w:val="00504C6A"/>
    <w:rsid w:val="005074F3"/>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211B"/>
    <w:rsid w:val="00563D7B"/>
    <w:rsid w:val="00563E3B"/>
    <w:rsid w:val="005643C8"/>
    <w:rsid w:val="005673D1"/>
    <w:rsid w:val="00570F38"/>
    <w:rsid w:val="00573955"/>
    <w:rsid w:val="00580E33"/>
    <w:rsid w:val="00583225"/>
    <w:rsid w:val="005843F7"/>
    <w:rsid w:val="00584F0B"/>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399C"/>
    <w:rsid w:val="005F46EC"/>
    <w:rsid w:val="005F49C9"/>
    <w:rsid w:val="005F71CE"/>
    <w:rsid w:val="005F7A68"/>
    <w:rsid w:val="00601980"/>
    <w:rsid w:val="0060332C"/>
    <w:rsid w:val="00604C5A"/>
    <w:rsid w:val="00607F1D"/>
    <w:rsid w:val="00612DE8"/>
    <w:rsid w:val="00615A83"/>
    <w:rsid w:val="00617C12"/>
    <w:rsid w:val="00620EA0"/>
    <w:rsid w:val="00621C30"/>
    <w:rsid w:val="00623E47"/>
    <w:rsid w:val="00624CD2"/>
    <w:rsid w:val="00626BF0"/>
    <w:rsid w:val="0062795C"/>
    <w:rsid w:val="00631A06"/>
    <w:rsid w:val="00633D28"/>
    <w:rsid w:val="00633F1B"/>
    <w:rsid w:val="00634D07"/>
    <w:rsid w:val="00635799"/>
    <w:rsid w:val="00636A77"/>
    <w:rsid w:val="0064051B"/>
    <w:rsid w:val="00645D2C"/>
    <w:rsid w:val="00646044"/>
    <w:rsid w:val="00650724"/>
    <w:rsid w:val="006517B5"/>
    <w:rsid w:val="00652076"/>
    <w:rsid w:val="00652EFE"/>
    <w:rsid w:val="00653DA3"/>
    <w:rsid w:val="00654D37"/>
    <w:rsid w:val="006576E8"/>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1137"/>
    <w:rsid w:val="007065D3"/>
    <w:rsid w:val="007071B1"/>
    <w:rsid w:val="00707EC1"/>
    <w:rsid w:val="00710582"/>
    <w:rsid w:val="00714EE9"/>
    <w:rsid w:val="007246B0"/>
    <w:rsid w:val="007258CB"/>
    <w:rsid w:val="00730E29"/>
    <w:rsid w:val="00732FF6"/>
    <w:rsid w:val="00735393"/>
    <w:rsid w:val="00735E8C"/>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96E"/>
    <w:rsid w:val="00816489"/>
    <w:rsid w:val="00817C16"/>
    <w:rsid w:val="00820049"/>
    <w:rsid w:val="0082013E"/>
    <w:rsid w:val="00822617"/>
    <w:rsid w:val="00824AE0"/>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1E33"/>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3AD7"/>
    <w:rsid w:val="00925107"/>
    <w:rsid w:val="00925421"/>
    <w:rsid w:val="009267EE"/>
    <w:rsid w:val="00927998"/>
    <w:rsid w:val="00931D21"/>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5C40"/>
    <w:rsid w:val="009A130B"/>
    <w:rsid w:val="009A2639"/>
    <w:rsid w:val="009A397F"/>
    <w:rsid w:val="009B20F8"/>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3D5E"/>
    <w:rsid w:val="00A11F34"/>
    <w:rsid w:val="00A1350A"/>
    <w:rsid w:val="00A17CC2"/>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43"/>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2775"/>
    <w:rsid w:val="00B6351D"/>
    <w:rsid w:val="00B64203"/>
    <w:rsid w:val="00B6519E"/>
    <w:rsid w:val="00B6555F"/>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4F67"/>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28B8"/>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1855"/>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0590"/>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6D64"/>
    <w:rsid w:val="00F27109"/>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9B3"/>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246A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abstract">
    <w:name w:val="fulltext-abstract"/>
    <w:basedOn w:val="Normal"/>
    <w:rsid w:val="00246AB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46AB7"/>
    <w:rPr>
      <w:color w:val="800080"/>
      <w:u w:val="single"/>
    </w:rPr>
  </w:style>
  <w:style w:type="paragraph" w:customStyle="1" w:styleId="fulltext-text">
    <w:name w:val="fulltext-text"/>
    <w:basedOn w:val="Normal"/>
    <w:rsid w:val="00246A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lltext-it">
    <w:name w:val="fulltext-it"/>
    <w:basedOn w:val="DefaultParagraphFont"/>
    <w:rsid w:val="00246AB7"/>
  </w:style>
  <w:style w:type="character" w:customStyle="1" w:styleId="hidden-message">
    <w:name w:val="hidden-message"/>
    <w:basedOn w:val="DefaultParagraphFont"/>
    <w:rsid w:val="00246AB7"/>
  </w:style>
  <w:style w:type="paragraph" w:customStyle="1" w:styleId="fulltext-references">
    <w:name w:val="fulltext-references"/>
    <w:basedOn w:val="Normal"/>
    <w:rsid w:val="00246A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F16D64"/>
  </w:style>
  <w:style w:type="paragraph" w:styleId="BodyText">
    <w:name w:val="Body Text"/>
    <w:basedOn w:val="Normal"/>
    <w:link w:val="BodyTextChar"/>
    <w:uiPriority w:val="99"/>
    <w:semiHidden/>
    <w:unhideWhenUsed/>
    <w:rsid w:val="00A03D5E"/>
    <w:pPr>
      <w:spacing w:after="120"/>
    </w:pPr>
  </w:style>
  <w:style w:type="character" w:customStyle="1" w:styleId="BodyTextChar">
    <w:name w:val="Body Text Char"/>
    <w:basedOn w:val="DefaultParagraphFont"/>
    <w:link w:val="BodyText"/>
    <w:uiPriority w:val="99"/>
    <w:semiHidden/>
    <w:rsid w:val="00A03D5E"/>
  </w:style>
  <w:style w:type="paragraph" w:customStyle="1" w:styleId="TableParagraph">
    <w:name w:val="Table Paragraph"/>
    <w:basedOn w:val="Normal"/>
    <w:uiPriority w:val="1"/>
    <w:qFormat/>
    <w:rsid w:val="00A03D5E"/>
    <w:pPr>
      <w:autoSpaceDE w:val="0"/>
      <w:autoSpaceDN w:val="0"/>
      <w:adjustRightInd w:val="0"/>
      <w:spacing w:before="13" w:after="0" w:line="240" w:lineRule="auto"/>
    </w:pPr>
    <w:rPr>
      <w:rFonts w:ascii="Tahoma" w:hAnsi="Tahoma" w:cs="Tahoma"/>
      <w:sz w:val="24"/>
      <w:szCs w:val="24"/>
    </w:rPr>
  </w:style>
  <w:style w:type="table" w:styleId="TableGridLight">
    <w:name w:val="Grid Table Light"/>
    <w:basedOn w:val="TableNormal"/>
    <w:uiPriority w:val="40"/>
    <w:rsid w:val="00AF2D4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37599138">
      <w:bodyDiv w:val="1"/>
      <w:marLeft w:val="0"/>
      <w:marRight w:val="0"/>
      <w:marTop w:val="0"/>
      <w:marBottom w:val="0"/>
      <w:divBdr>
        <w:top w:val="none" w:sz="0" w:space="0" w:color="auto"/>
        <w:left w:val="none" w:sz="0" w:space="0" w:color="auto"/>
        <w:bottom w:val="none" w:sz="0" w:space="0" w:color="auto"/>
        <w:right w:val="none" w:sz="0" w:space="0" w:color="auto"/>
      </w:divBdr>
      <w:divsChild>
        <w:div w:id="1009020096">
          <w:marLeft w:val="0"/>
          <w:marRight w:val="0"/>
          <w:marTop w:val="45"/>
          <w:marBottom w:val="45"/>
          <w:divBdr>
            <w:top w:val="none" w:sz="0" w:space="0" w:color="auto"/>
            <w:left w:val="none" w:sz="0" w:space="0" w:color="auto"/>
            <w:bottom w:val="none" w:sz="0" w:space="0" w:color="auto"/>
            <w:right w:val="none" w:sz="0" w:space="0" w:color="auto"/>
          </w:divBdr>
        </w:div>
        <w:div w:id="1238396686">
          <w:marLeft w:val="0"/>
          <w:marRight w:val="0"/>
          <w:marTop w:val="0"/>
          <w:marBottom w:val="0"/>
          <w:divBdr>
            <w:top w:val="none" w:sz="0" w:space="0" w:color="auto"/>
            <w:left w:val="none" w:sz="0" w:space="0" w:color="auto"/>
            <w:bottom w:val="none" w:sz="0" w:space="0" w:color="auto"/>
            <w:right w:val="none" w:sz="0" w:space="0" w:color="auto"/>
          </w:divBdr>
        </w:div>
        <w:div w:id="151682868">
          <w:marLeft w:val="0"/>
          <w:marRight w:val="0"/>
          <w:marTop w:val="0"/>
          <w:marBottom w:val="0"/>
          <w:divBdr>
            <w:top w:val="none" w:sz="0" w:space="0" w:color="auto"/>
            <w:left w:val="none" w:sz="0" w:space="0" w:color="auto"/>
            <w:bottom w:val="none" w:sz="0" w:space="0" w:color="auto"/>
            <w:right w:val="none" w:sz="0" w:space="0" w:color="auto"/>
          </w:divBdr>
        </w:div>
        <w:div w:id="903611731">
          <w:marLeft w:val="0"/>
          <w:marRight w:val="0"/>
          <w:marTop w:val="0"/>
          <w:marBottom w:val="0"/>
          <w:divBdr>
            <w:top w:val="none" w:sz="0" w:space="0" w:color="auto"/>
            <w:left w:val="none" w:sz="0" w:space="0" w:color="auto"/>
            <w:bottom w:val="none" w:sz="0" w:space="0" w:color="auto"/>
            <w:right w:val="none" w:sz="0" w:space="0" w:color="auto"/>
          </w:divBdr>
        </w:div>
        <w:div w:id="1438520296">
          <w:marLeft w:val="0"/>
          <w:marRight w:val="0"/>
          <w:marTop w:val="0"/>
          <w:marBottom w:val="0"/>
          <w:divBdr>
            <w:top w:val="none" w:sz="0" w:space="0" w:color="auto"/>
            <w:left w:val="none" w:sz="0" w:space="0" w:color="auto"/>
            <w:bottom w:val="none" w:sz="0" w:space="0" w:color="auto"/>
            <w:right w:val="none" w:sz="0" w:space="0" w:color="auto"/>
          </w:divBdr>
        </w:div>
        <w:div w:id="1718890098">
          <w:marLeft w:val="0"/>
          <w:marRight w:val="0"/>
          <w:marTop w:val="0"/>
          <w:marBottom w:val="0"/>
          <w:divBdr>
            <w:top w:val="none" w:sz="0" w:space="0" w:color="auto"/>
            <w:left w:val="none" w:sz="0" w:space="0" w:color="auto"/>
            <w:bottom w:val="none" w:sz="0" w:space="0" w:color="auto"/>
            <w:right w:val="none" w:sz="0" w:space="0" w:color="auto"/>
          </w:divBdr>
        </w:div>
        <w:div w:id="884029374">
          <w:marLeft w:val="0"/>
          <w:marRight w:val="0"/>
          <w:marTop w:val="0"/>
          <w:marBottom w:val="0"/>
          <w:divBdr>
            <w:top w:val="none" w:sz="0" w:space="0" w:color="auto"/>
            <w:left w:val="none" w:sz="0" w:space="0" w:color="auto"/>
            <w:bottom w:val="none" w:sz="0" w:space="0" w:color="auto"/>
            <w:right w:val="none" w:sz="0" w:space="0" w:color="auto"/>
          </w:divBdr>
        </w:div>
        <w:div w:id="1395929837">
          <w:marLeft w:val="0"/>
          <w:marRight w:val="0"/>
          <w:marTop w:val="0"/>
          <w:marBottom w:val="0"/>
          <w:divBdr>
            <w:top w:val="none" w:sz="0" w:space="0" w:color="auto"/>
            <w:left w:val="none" w:sz="0" w:space="0" w:color="auto"/>
            <w:bottom w:val="none" w:sz="0" w:space="0" w:color="auto"/>
            <w:right w:val="none" w:sz="0" w:space="0" w:color="auto"/>
          </w:divBdr>
        </w:div>
        <w:div w:id="469054702">
          <w:marLeft w:val="0"/>
          <w:marRight w:val="0"/>
          <w:marTop w:val="0"/>
          <w:marBottom w:val="0"/>
          <w:divBdr>
            <w:top w:val="none" w:sz="0" w:space="0" w:color="auto"/>
            <w:left w:val="none" w:sz="0" w:space="0" w:color="auto"/>
            <w:bottom w:val="none" w:sz="0" w:space="0" w:color="auto"/>
            <w:right w:val="none" w:sz="0" w:space="0" w:color="auto"/>
          </w:divBdr>
        </w:div>
        <w:div w:id="535703317">
          <w:marLeft w:val="0"/>
          <w:marRight w:val="0"/>
          <w:marTop w:val="0"/>
          <w:marBottom w:val="0"/>
          <w:divBdr>
            <w:top w:val="none" w:sz="0" w:space="0" w:color="auto"/>
            <w:left w:val="none" w:sz="0" w:space="0" w:color="auto"/>
            <w:bottom w:val="none" w:sz="0" w:space="0" w:color="auto"/>
            <w:right w:val="none" w:sz="0" w:space="0" w:color="auto"/>
          </w:divBdr>
        </w:div>
        <w:div w:id="1643345018">
          <w:marLeft w:val="0"/>
          <w:marRight w:val="0"/>
          <w:marTop w:val="0"/>
          <w:marBottom w:val="0"/>
          <w:divBdr>
            <w:top w:val="none" w:sz="0" w:space="0" w:color="auto"/>
            <w:left w:val="none" w:sz="0" w:space="0" w:color="auto"/>
            <w:bottom w:val="none" w:sz="0" w:space="0" w:color="auto"/>
            <w:right w:val="none" w:sz="0" w:space="0" w:color="auto"/>
          </w:divBdr>
        </w:div>
        <w:div w:id="1361934066">
          <w:marLeft w:val="0"/>
          <w:marRight w:val="0"/>
          <w:marTop w:val="0"/>
          <w:marBottom w:val="0"/>
          <w:divBdr>
            <w:top w:val="none" w:sz="0" w:space="0" w:color="auto"/>
            <w:left w:val="none" w:sz="0" w:space="0" w:color="auto"/>
            <w:bottom w:val="none" w:sz="0" w:space="0" w:color="auto"/>
            <w:right w:val="none" w:sz="0" w:space="0" w:color="auto"/>
          </w:divBdr>
        </w:div>
        <w:div w:id="1069579044">
          <w:marLeft w:val="0"/>
          <w:marRight w:val="0"/>
          <w:marTop w:val="0"/>
          <w:marBottom w:val="0"/>
          <w:divBdr>
            <w:top w:val="none" w:sz="0" w:space="0" w:color="auto"/>
            <w:left w:val="none" w:sz="0" w:space="0" w:color="auto"/>
            <w:bottom w:val="none" w:sz="0" w:space="0" w:color="auto"/>
            <w:right w:val="none" w:sz="0" w:space="0" w:color="auto"/>
          </w:divBdr>
        </w:div>
        <w:div w:id="1995602614">
          <w:marLeft w:val="0"/>
          <w:marRight w:val="0"/>
          <w:marTop w:val="0"/>
          <w:marBottom w:val="0"/>
          <w:divBdr>
            <w:top w:val="none" w:sz="0" w:space="0" w:color="auto"/>
            <w:left w:val="none" w:sz="0" w:space="0" w:color="auto"/>
            <w:bottom w:val="none" w:sz="0" w:space="0" w:color="auto"/>
            <w:right w:val="none" w:sz="0" w:space="0" w:color="auto"/>
          </w:divBdr>
        </w:div>
        <w:div w:id="1220092188">
          <w:marLeft w:val="0"/>
          <w:marRight w:val="0"/>
          <w:marTop w:val="0"/>
          <w:marBottom w:val="0"/>
          <w:divBdr>
            <w:top w:val="none" w:sz="0" w:space="0" w:color="auto"/>
            <w:left w:val="none" w:sz="0" w:space="0" w:color="auto"/>
            <w:bottom w:val="none" w:sz="0" w:space="0" w:color="auto"/>
            <w:right w:val="none" w:sz="0" w:space="0" w:color="auto"/>
          </w:divBdr>
        </w:div>
        <w:div w:id="2138794508">
          <w:marLeft w:val="0"/>
          <w:marRight w:val="0"/>
          <w:marTop w:val="0"/>
          <w:marBottom w:val="0"/>
          <w:divBdr>
            <w:top w:val="none" w:sz="0" w:space="0" w:color="auto"/>
            <w:left w:val="none" w:sz="0" w:space="0" w:color="auto"/>
            <w:bottom w:val="none" w:sz="0" w:space="0" w:color="auto"/>
            <w:right w:val="none" w:sz="0" w:space="0" w:color="auto"/>
          </w:divBdr>
        </w:div>
        <w:div w:id="346559762">
          <w:marLeft w:val="0"/>
          <w:marRight w:val="0"/>
          <w:marTop w:val="0"/>
          <w:marBottom w:val="0"/>
          <w:divBdr>
            <w:top w:val="none" w:sz="0" w:space="0" w:color="auto"/>
            <w:left w:val="none" w:sz="0" w:space="0" w:color="auto"/>
            <w:bottom w:val="none" w:sz="0" w:space="0" w:color="auto"/>
            <w:right w:val="none" w:sz="0" w:space="0" w:color="auto"/>
          </w:divBdr>
        </w:div>
        <w:div w:id="1596667855">
          <w:marLeft w:val="0"/>
          <w:marRight w:val="0"/>
          <w:marTop w:val="0"/>
          <w:marBottom w:val="0"/>
          <w:divBdr>
            <w:top w:val="none" w:sz="0" w:space="0" w:color="auto"/>
            <w:left w:val="none" w:sz="0" w:space="0" w:color="auto"/>
            <w:bottom w:val="none" w:sz="0" w:space="0" w:color="auto"/>
            <w:right w:val="none" w:sz="0" w:space="0" w:color="auto"/>
          </w:divBdr>
        </w:div>
        <w:div w:id="748505082">
          <w:marLeft w:val="0"/>
          <w:marRight w:val="0"/>
          <w:marTop w:val="0"/>
          <w:marBottom w:val="0"/>
          <w:divBdr>
            <w:top w:val="none" w:sz="0" w:space="0" w:color="auto"/>
            <w:left w:val="none" w:sz="0" w:space="0" w:color="auto"/>
            <w:bottom w:val="none" w:sz="0" w:space="0" w:color="auto"/>
            <w:right w:val="none" w:sz="0" w:space="0" w:color="auto"/>
          </w:divBdr>
        </w:div>
        <w:div w:id="1830901366">
          <w:marLeft w:val="0"/>
          <w:marRight w:val="0"/>
          <w:marTop w:val="0"/>
          <w:marBottom w:val="0"/>
          <w:divBdr>
            <w:top w:val="none" w:sz="0" w:space="0" w:color="auto"/>
            <w:left w:val="none" w:sz="0" w:space="0" w:color="auto"/>
            <w:bottom w:val="none" w:sz="0" w:space="0" w:color="auto"/>
            <w:right w:val="none" w:sz="0" w:space="0" w:color="auto"/>
          </w:divBdr>
        </w:div>
        <w:div w:id="367267590">
          <w:marLeft w:val="0"/>
          <w:marRight w:val="0"/>
          <w:marTop w:val="0"/>
          <w:marBottom w:val="0"/>
          <w:divBdr>
            <w:top w:val="none" w:sz="0" w:space="0" w:color="auto"/>
            <w:left w:val="none" w:sz="0" w:space="0" w:color="auto"/>
            <w:bottom w:val="none" w:sz="0" w:space="0" w:color="auto"/>
            <w:right w:val="none" w:sz="0" w:space="0" w:color="auto"/>
          </w:divBdr>
        </w:div>
        <w:div w:id="1218080108">
          <w:marLeft w:val="0"/>
          <w:marRight w:val="0"/>
          <w:marTop w:val="0"/>
          <w:marBottom w:val="0"/>
          <w:divBdr>
            <w:top w:val="none" w:sz="0" w:space="0" w:color="auto"/>
            <w:left w:val="none" w:sz="0" w:space="0" w:color="auto"/>
            <w:bottom w:val="none" w:sz="0" w:space="0" w:color="auto"/>
            <w:right w:val="none" w:sz="0" w:space="0" w:color="auto"/>
          </w:divBdr>
        </w:div>
        <w:div w:id="1933003145">
          <w:marLeft w:val="0"/>
          <w:marRight w:val="0"/>
          <w:marTop w:val="0"/>
          <w:marBottom w:val="0"/>
          <w:divBdr>
            <w:top w:val="none" w:sz="0" w:space="0" w:color="auto"/>
            <w:left w:val="none" w:sz="0" w:space="0" w:color="auto"/>
            <w:bottom w:val="none" w:sz="0" w:space="0" w:color="auto"/>
            <w:right w:val="none" w:sz="0" w:space="0" w:color="auto"/>
          </w:divBdr>
        </w:div>
        <w:div w:id="473572726">
          <w:marLeft w:val="0"/>
          <w:marRight w:val="0"/>
          <w:marTop w:val="0"/>
          <w:marBottom w:val="0"/>
          <w:divBdr>
            <w:top w:val="none" w:sz="0" w:space="0" w:color="auto"/>
            <w:left w:val="none" w:sz="0" w:space="0" w:color="auto"/>
            <w:bottom w:val="none" w:sz="0" w:space="0" w:color="auto"/>
            <w:right w:val="none" w:sz="0" w:space="0" w:color="auto"/>
          </w:divBdr>
        </w:div>
        <w:div w:id="1022626711">
          <w:marLeft w:val="0"/>
          <w:marRight w:val="0"/>
          <w:marTop w:val="0"/>
          <w:marBottom w:val="0"/>
          <w:divBdr>
            <w:top w:val="none" w:sz="0" w:space="0" w:color="auto"/>
            <w:left w:val="none" w:sz="0" w:space="0" w:color="auto"/>
            <w:bottom w:val="none" w:sz="0" w:space="0" w:color="auto"/>
            <w:right w:val="none" w:sz="0" w:space="0" w:color="auto"/>
          </w:divBdr>
        </w:div>
        <w:div w:id="1989702362">
          <w:marLeft w:val="0"/>
          <w:marRight w:val="0"/>
          <w:marTop w:val="0"/>
          <w:marBottom w:val="0"/>
          <w:divBdr>
            <w:top w:val="none" w:sz="0" w:space="0" w:color="auto"/>
            <w:left w:val="none" w:sz="0" w:space="0" w:color="auto"/>
            <w:bottom w:val="none" w:sz="0" w:space="0" w:color="auto"/>
            <w:right w:val="none" w:sz="0" w:space="0" w:color="auto"/>
          </w:divBdr>
        </w:div>
        <w:div w:id="1361858245">
          <w:marLeft w:val="0"/>
          <w:marRight w:val="0"/>
          <w:marTop w:val="0"/>
          <w:marBottom w:val="0"/>
          <w:divBdr>
            <w:top w:val="none" w:sz="0" w:space="0" w:color="auto"/>
            <w:left w:val="none" w:sz="0" w:space="0" w:color="auto"/>
            <w:bottom w:val="none" w:sz="0" w:space="0" w:color="auto"/>
            <w:right w:val="none" w:sz="0" w:space="0" w:color="auto"/>
          </w:divBdr>
        </w:div>
        <w:div w:id="1278295550">
          <w:marLeft w:val="0"/>
          <w:marRight w:val="0"/>
          <w:marTop w:val="0"/>
          <w:marBottom w:val="0"/>
          <w:divBdr>
            <w:top w:val="none" w:sz="0" w:space="0" w:color="auto"/>
            <w:left w:val="none" w:sz="0" w:space="0" w:color="auto"/>
            <w:bottom w:val="none" w:sz="0" w:space="0" w:color="auto"/>
            <w:right w:val="none" w:sz="0" w:space="0" w:color="auto"/>
          </w:divBdr>
        </w:div>
        <w:div w:id="1160851027">
          <w:marLeft w:val="0"/>
          <w:marRight w:val="0"/>
          <w:marTop w:val="0"/>
          <w:marBottom w:val="0"/>
          <w:divBdr>
            <w:top w:val="none" w:sz="0" w:space="0" w:color="auto"/>
            <w:left w:val="none" w:sz="0" w:space="0" w:color="auto"/>
            <w:bottom w:val="none" w:sz="0" w:space="0" w:color="auto"/>
            <w:right w:val="none" w:sz="0" w:space="0" w:color="auto"/>
          </w:divBdr>
        </w:div>
        <w:div w:id="1069694831">
          <w:marLeft w:val="0"/>
          <w:marRight w:val="0"/>
          <w:marTop w:val="0"/>
          <w:marBottom w:val="0"/>
          <w:divBdr>
            <w:top w:val="none" w:sz="0" w:space="0" w:color="auto"/>
            <w:left w:val="none" w:sz="0" w:space="0" w:color="auto"/>
            <w:bottom w:val="none" w:sz="0" w:space="0" w:color="auto"/>
            <w:right w:val="none" w:sz="0" w:space="0" w:color="auto"/>
          </w:divBdr>
        </w:div>
        <w:div w:id="237521330">
          <w:marLeft w:val="0"/>
          <w:marRight w:val="0"/>
          <w:marTop w:val="0"/>
          <w:marBottom w:val="0"/>
          <w:divBdr>
            <w:top w:val="none" w:sz="0" w:space="0" w:color="auto"/>
            <w:left w:val="none" w:sz="0" w:space="0" w:color="auto"/>
            <w:bottom w:val="none" w:sz="0" w:space="0" w:color="auto"/>
            <w:right w:val="none" w:sz="0" w:space="0" w:color="auto"/>
          </w:divBdr>
        </w:div>
        <w:div w:id="1649094592">
          <w:marLeft w:val="0"/>
          <w:marRight w:val="0"/>
          <w:marTop w:val="0"/>
          <w:marBottom w:val="0"/>
          <w:divBdr>
            <w:top w:val="none" w:sz="0" w:space="0" w:color="auto"/>
            <w:left w:val="none" w:sz="0" w:space="0" w:color="auto"/>
            <w:bottom w:val="none" w:sz="0" w:space="0" w:color="auto"/>
            <w:right w:val="none" w:sz="0" w:space="0" w:color="auto"/>
          </w:divBdr>
        </w:div>
        <w:div w:id="12535254">
          <w:marLeft w:val="0"/>
          <w:marRight w:val="0"/>
          <w:marTop w:val="0"/>
          <w:marBottom w:val="0"/>
          <w:divBdr>
            <w:top w:val="none" w:sz="0" w:space="0" w:color="auto"/>
            <w:left w:val="none" w:sz="0" w:space="0" w:color="auto"/>
            <w:bottom w:val="none" w:sz="0" w:space="0" w:color="auto"/>
            <w:right w:val="none" w:sz="0" w:space="0" w:color="auto"/>
          </w:divBdr>
        </w:div>
        <w:div w:id="186915586">
          <w:marLeft w:val="0"/>
          <w:marRight w:val="0"/>
          <w:marTop w:val="0"/>
          <w:marBottom w:val="0"/>
          <w:divBdr>
            <w:top w:val="none" w:sz="0" w:space="0" w:color="auto"/>
            <w:left w:val="none" w:sz="0" w:space="0" w:color="auto"/>
            <w:bottom w:val="none" w:sz="0" w:space="0" w:color="auto"/>
            <w:right w:val="none" w:sz="0" w:space="0" w:color="auto"/>
          </w:divBdr>
        </w:div>
        <w:div w:id="510024111">
          <w:marLeft w:val="0"/>
          <w:marRight w:val="0"/>
          <w:marTop w:val="0"/>
          <w:marBottom w:val="0"/>
          <w:divBdr>
            <w:top w:val="none" w:sz="0" w:space="0" w:color="auto"/>
            <w:left w:val="none" w:sz="0" w:space="0" w:color="auto"/>
            <w:bottom w:val="none" w:sz="0" w:space="0" w:color="auto"/>
            <w:right w:val="none" w:sz="0" w:space="0" w:color="auto"/>
          </w:divBdr>
        </w:div>
        <w:div w:id="243733359">
          <w:marLeft w:val="0"/>
          <w:marRight w:val="0"/>
          <w:marTop w:val="0"/>
          <w:marBottom w:val="0"/>
          <w:divBdr>
            <w:top w:val="none" w:sz="0" w:space="0" w:color="auto"/>
            <w:left w:val="none" w:sz="0" w:space="0" w:color="auto"/>
            <w:bottom w:val="none" w:sz="0" w:space="0" w:color="auto"/>
            <w:right w:val="none" w:sz="0" w:space="0" w:color="auto"/>
          </w:divBdr>
        </w:div>
        <w:div w:id="253363357">
          <w:marLeft w:val="0"/>
          <w:marRight w:val="0"/>
          <w:marTop w:val="0"/>
          <w:marBottom w:val="0"/>
          <w:divBdr>
            <w:top w:val="none" w:sz="0" w:space="0" w:color="auto"/>
            <w:left w:val="none" w:sz="0" w:space="0" w:color="auto"/>
            <w:bottom w:val="none" w:sz="0" w:space="0" w:color="auto"/>
            <w:right w:val="none" w:sz="0" w:space="0" w:color="auto"/>
          </w:divBdr>
        </w:div>
        <w:div w:id="1552498445">
          <w:marLeft w:val="0"/>
          <w:marRight w:val="0"/>
          <w:marTop w:val="0"/>
          <w:marBottom w:val="0"/>
          <w:divBdr>
            <w:top w:val="none" w:sz="0" w:space="0" w:color="auto"/>
            <w:left w:val="none" w:sz="0" w:space="0" w:color="auto"/>
            <w:bottom w:val="none" w:sz="0" w:space="0" w:color="auto"/>
            <w:right w:val="none" w:sz="0" w:space="0" w:color="auto"/>
          </w:divBdr>
        </w:div>
        <w:div w:id="1789473915">
          <w:marLeft w:val="0"/>
          <w:marRight w:val="0"/>
          <w:marTop w:val="0"/>
          <w:marBottom w:val="0"/>
          <w:divBdr>
            <w:top w:val="none" w:sz="0" w:space="0" w:color="auto"/>
            <w:left w:val="none" w:sz="0" w:space="0" w:color="auto"/>
            <w:bottom w:val="none" w:sz="0" w:space="0" w:color="auto"/>
            <w:right w:val="none" w:sz="0" w:space="0" w:color="auto"/>
          </w:divBdr>
        </w:div>
        <w:div w:id="802846782">
          <w:marLeft w:val="0"/>
          <w:marRight w:val="0"/>
          <w:marTop w:val="0"/>
          <w:marBottom w:val="0"/>
          <w:divBdr>
            <w:top w:val="none" w:sz="0" w:space="0" w:color="auto"/>
            <w:left w:val="none" w:sz="0" w:space="0" w:color="auto"/>
            <w:bottom w:val="none" w:sz="0" w:space="0" w:color="auto"/>
            <w:right w:val="none" w:sz="0" w:space="0" w:color="auto"/>
          </w:divBdr>
        </w:div>
        <w:div w:id="62333179">
          <w:marLeft w:val="0"/>
          <w:marRight w:val="0"/>
          <w:marTop w:val="0"/>
          <w:marBottom w:val="0"/>
          <w:divBdr>
            <w:top w:val="none" w:sz="0" w:space="0" w:color="auto"/>
            <w:left w:val="none" w:sz="0" w:space="0" w:color="auto"/>
            <w:bottom w:val="none" w:sz="0" w:space="0" w:color="auto"/>
            <w:right w:val="none" w:sz="0" w:space="0" w:color="auto"/>
          </w:divBdr>
        </w:div>
        <w:div w:id="1053847210">
          <w:marLeft w:val="0"/>
          <w:marRight w:val="0"/>
          <w:marTop w:val="0"/>
          <w:marBottom w:val="0"/>
          <w:divBdr>
            <w:top w:val="none" w:sz="0" w:space="0" w:color="auto"/>
            <w:left w:val="none" w:sz="0" w:space="0" w:color="auto"/>
            <w:bottom w:val="none" w:sz="0" w:space="0" w:color="auto"/>
            <w:right w:val="none" w:sz="0" w:space="0" w:color="auto"/>
          </w:divBdr>
        </w:div>
        <w:div w:id="512379636">
          <w:marLeft w:val="0"/>
          <w:marRight w:val="0"/>
          <w:marTop w:val="0"/>
          <w:marBottom w:val="0"/>
          <w:divBdr>
            <w:top w:val="none" w:sz="0" w:space="0" w:color="auto"/>
            <w:left w:val="none" w:sz="0" w:space="0" w:color="auto"/>
            <w:bottom w:val="none" w:sz="0" w:space="0" w:color="auto"/>
            <w:right w:val="none" w:sz="0" w:space="0" w:color="auto"/>
          </w:divBdr>
        </w:div>
      </w:divsChild>
    </w:div>
    <w:div w:id="740054739">
      <w:bodyDiv w:val="1"/>
      <w:marLeft w:val="0"/>
      <w:marRight w:val="0"/>
      <w:marTop w:val="0"/>
      <w:marBottom w:val="0"/>
      <w:divBdr>
        <w:top w:val="none" w:sz="0" w:space="0" w:color="auto"/>
        <w:left w:val="none" w:sz="0" w:space="0" w:color="auto"/>
        <w:bottom w:val="none" w:sz="0" w:space="0" w:color="auto"/>
        <w:right w:val="none" w:sz="0" w:space="0" w:color="auto"/>
      </w:divBdr>
    </w:div>
    <w:div w:id="1208642463">
      <w:bodyDiv w:val="1"/>
      <w:marLeft w:val="0"/>
      <w:marRight w:val="0"/>
      <w:marTop w:val="0"/>
      <w:marBottom w:val="0"/>
      <w:divBdr>
        <w:top w:val="none" w:sz="0" w:space="0" w:color="auto"/>
        <w:left w:val="none" w:sz="0" w:space="0" w:color="auto"/>
        <w:bottom w:val="none" w:sz="0" w:space="0" w:color="auto"/>
        <w:right w:val="none" w:sz="0" w:space="0" w:color="auto"/>
      </w:divBdr>
      <w:divsChild>
        <w:div w:id="849219523">
          <w:marLeft w:val="0"/>
          <w:marRight w:val="0"/>
          <w:marTop w:val="0"/>
          <w:marBottom w:val="0"/>
          <w:divBdr>
            <w:top w:val="none" w:sz="0" w:space="0" w:color="auto"/>
            <w:left w:val="none" w:sz="0" w:space="0" w:color="auto"/>
            <w:bottom w:val="none" w:sz="0" w:space="0" w:color="auto"/>
            <w:right w:val="none" w:sz="0" w:space="0" w:color="auto"/>
          </w:divBdr>
        </w:div>
      </w:divsChild>
    </w:div>
    <w:div w:id="196916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17" Type="http://schemas.openxmlformats.org/officeDocument/2006/relationships/hyperlink" Target="http://0-ovidsp.dc2.ovid.com.libus.csd.mu.edu/sp-4.02.1a/ovidweb.cgi?Link+Set+Ref=00006199-201807000-00006|00002800_2007_21_31_weiss_perceived_%7c00006199-201807000-00006%23xpointer%28id%28R24-6%29%29%7c10%7c%7covftdb%7c00002800-200701000-00008&amp;P=114&amp;S=FJHIFPLBKHEBDHHCIPCKEFEHFFGPAA00&amp;WebLinkReturn=Full+Text%3dL%7cS.sh.22.23.28.32.38%7c0%7c00006199-201807000-00006&amp;Counter5=FTV_bibliographic%7c00002800-200701000-00008%7covft%7covftdb%7covfti" TargetMode="External"/><Relationship Id="rId21"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42"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47"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63"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68" Type="http://schemas.openxmlformats.org/officeDocument/2006/relationships/hyperlink" Target="https://www.ahrq.gov/cahps/surveys-guidance/hospital/about/adult_hp_survey.html" TargetMode="External"/><Relationship Id="rId84" Type="http://schemas.openxmlformats.org/officeDocument/2006/relationships/hyperlink" Target="http://0-ovidsp.dc2.ovid.com.libus.csd.mu.edu/sp-4.02.1a/ovidweb.cgi?Link+Set+Ref=00006199-201807000-00006|00060744_2002_7_64_mcdonald_principles_%7c00006199-201807000-00006%23xpointer%28id%28R11-6%29%29%7c60%7c%7covftdb%7c00060744-200203000-00004&amp;P=101&amp;S=FJHIFPLBKHEBDHHCIPCKEFEHFFGPAA00&amp;WebLinkReturn=Full+Text%3dL%7cS.sh.22.23.28.32.38%7c0%7c00006199-201807000-00006" TargetMode="External"/><Relationship Id="rId89"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12" Type="http://schemas.openxmlformats.org/officeDocument/2006/relationships/hyperlink" Target="http://0-ovidsp.dc2.ovid.com.libus.csd.mu.edu/sp-4.02.1a/ovidweb.cgi?Link+Set+Ref=00006199-201807000-00006|01791484_2008_23_282_weiss_hospitalized_%7c00006199-201807000-00006%23xpointer%28id%28R22-6%29%29%7c60%7c%7covftdb%7c00005212-200808000-00006&amp;P=112&amp;S=FJHIFPLBKHEBDHHCIPCKEFEHFFGPAA00&amp;WebLinkReturn=Full+Text%3dL%7cS.sh.22.23.28.32.38%7c0%7c00006199-201807000-00006&amp;Counter5=FTV_bibliographic%7c00005212-200808000-00006%7covft%7covftdb%7covftj" TargetMode="External"/><Relationship Id="rId16"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07" Type="http://schemas.openxmlformats.org/officeDocument/2006/relationships/hyperlink" Target="http://0-ovidsp.dc2.ovid.com.libus.csd.mu.edu/sp-4.02.1a/ovidweb.cgi?Link+Set+Ref=00006199-201807000-00006|00004036_2014_49_304_weiss_relationship_%7c00006199-201807000-00006%23xpointer%28id%28R20-6%29%29%7c11415124%7chttp%3a%2f%2facs.dc2.ovid.com%2facs%2f.00328f2c88604c898b5471e614ee148a40c23766aeffa03816874fbcd6315b2e13e1d3fec174a471f57287590f74513f278f8bafb37a8264de.gif%7covftdb%7c00004036-201402010-00017&amp;P=110&amp;S=FJHIFPLBKHEBDHHCIPCKEFEHFFGPAA00&amp;WebLinkReturn=Full+Text%3dL%7cS.sh.22.23.28.32.38%7c0%7c00006199-201807000-00006" TargetMode="External"/><Relationship Id="rId11"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32"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37"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53"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58"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74" Type="http://schemas.openxmlformats.org/officeDocument/2006/relationships/hyperlink" Target="http://0-ovidsp.dc2.ovid.com.libus.csd.mu.edu/sp-4.02.1a/ovidweb.cgi?Link+Set+Ref=00006199-201807000-00006|00005862_1966_44_166_donabedian_evaluating_%7c00006199-201807000-00006%23xpointer%28id%28R5-6%29%29%7c11415124%7chttp%3a%2f%2facs.dc2.ovid.com%2facs%2f.00328f2c88604c898b5471e614ee148a40c23766aeffa03816874fbcd6315b2e13e1d3fec174a471f57287590f74513f278f8bafb37a8264de.gif%7covftdb%7c&amp;P=95&amp;S=FJHIFPLBKHEBDHHCIPCKEFEHFFGPAA00&amp;WebLinkReturn=Full+Text%3dL%7cS.sh.22.23.28.32.38%7c0%7c00006199-201807000-00006" TargetMode="External"/><Relationship Id="rId79" Type="http://schemas.openxmlformats.org/officeDocument/2006/relationships/hyperlink" Target="http://0-ovidsp.dc2.ovid.com.libus.csd.mu.edu/sp-4.02.1a/ovidweb.cgi?Link+Set+Ref=00006199-201807000-00006|00005407_2011_306_1688_kansagara_readmission_%7c00006199-201807000-00006%23xpointer%28id%28R8-6%29%29%7c60%7c%7covftdb%7c00005407-201110190-00030&amp;P=98&amp;S=FJHIFPLBKHEBDHHCIPCKEFEHFFGPAA00&amp;WebLinkReturn=Full+Text%3dL%7cS.sh.22.23.28.32.38%7c0%7c00006199-201807000-00006" TargetMode="External"/><Relationship Id="rId102"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23"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5" Type="http://schemas.openxmlformats.org/officeDocument/2006/relationships/styles" Target="styles.xml"/><Relationship Id="rId90" Type="http://schemas.openxmlformats.org/officeDocument/2006/relationships/hyperlink" Target="http://0-ovidsp.dc2.ovid.com.libus.csd.mu.edu/sp-4.02.1a/ovidweb.cgi?Link+Set+Ref=00006199-201807000-00006|00012272_2000_23_12_meleis_experiencing_%7c00006199-201807000-00006%23xpointer%28id%28R13-6%29%29%7c10%7c%7covftdb%7c00012272-200009000-00006&amp;P=103&amp;S=FJHIFPLBKHEBDHHCIPCKEFEHFFGPAA00&amp;WebLinkReturn=Full+Text%3dL%7cS.sh.22.23.28.32.38%7c0%7c00006199-201807000-00006&amp;Counter5=FTV_bibliographic%7c00012272-200009000-00006%7covft%7covftdb%7covftd" TargetMode="External"/><Relationship Id="rId95" Type="http://schemas.openxmlformats.org/officeDocument/2006/relationships/hyperlink" Target="http://0-ovidsp.dc2.ovid.com.libus.csd.mu.edu/sp-4.02.1a/ovidweb.cgi?Link+Set+Ref=00006199-201807000-00006|00005650_2010_48_477_nasir_readmission_%7c00006199-201807000-00006%23xpointer%28id%28R14-6%29%29%7c60%7c%7covftdb%7c00005650-201005000-00013&amp;P=104&amp;S=FJHIFPLBKHEBDHHCIPCKEFEHFFGPAA00&amp;WebLinkReturn=Full+Text%3dL%7cS.sh.22.23.28.32.38%7c0%7c00006199-201807000-00006" TargetMode="External"/><Relationship Id="rId22"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27"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43"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48"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64"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69"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13"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18" Type="http://schemas.openxmlformats.org/officeDocument/2006/relationships/hyperlink" Target="http://0-ovidsp.dc2.ovid.com.libus.csd.mu.edu/sp-4.02.1a/ovidweb.cgi?Link+Set+Ref=00006199-201807000-00006|00002800_2007_21_31_weiss_perceived_%7c00006199-201807000-00006%23xpointer%28id%28R24-6%29%29%7c11415124%7chttp%3a%2f%2facs.dc2.ovid.com%2facs%2f.00328f2c88604c898b5471e614ee148a40c23766aeffa03816874fbcd6315b2e13e1d3fec174a471f57287590f74513f278f8bafb37a8264de.gif%7covftdb%7c00002800-200701000-00008&amp;P=114&amp;S=FJHIFPLBKHEBDHHCIPCKEFEHFFGPAA00&amp;WebLinkReturn=Full+Text%3dL%7cS.sh.22.23.28.32.38%7c0%7c00006199-201807000-00006&amp;Counter5=FTV_bibliographic%7c00002800-200701000-00008%7covft%7covftdb%7covfti" TargetMode="External"/><Relationship Id="rId80"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85"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2"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7"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33"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38" Type="http://schemas.openxmlformats.org/officeDocument/2006/relationships/image" Target="media/image1.png"/><Relationship Id="rId59" Type="http://schemas.openxmlformats.org/officeDocument/2006/relationships/image" Target="media/image3.png"/><Relationship Id="rId103" Type="http://schemas.openxmlformats.org/officeDocument/2006/relationships/hyperlink" Target="http://0-ovidsp.dc2.ovid.com.libus.csd.mu.edu/sp-4.02.1a/ovidweb.cgi?Link+Set+Ref=00006199-201807000-00006|00005110_2015_45_606_weiss_preparation_%7c00006199-201807000-00006%23xpointer%28id%28R19-6%29%29%7c10%7c%7covftdb%7c00005110-201512000-00006&amp;P=109&amp;S=FJHIFPLBKHEBDHHCIPCKEFEHFFGPAA00&amp;WebLinkReturn=Full+Text%3dL%7cS.sh.22.23.28.32.38%7c0%7c00006199-201807000-00006&amp;Counter5=FTV_bibliographic%7c00005110-201512000-00006%7covft%7covftdb%7covftq" TargetMode="External"/><Relationship Id="rId108"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24" Type="http://schemas.openxmlformats.org/officeDocument/2006/relationships/hyperlink" Target="http://0-ovidsp.dc2.ovid.com.libus.csd.mu.edu/sp-4.02.1a/ovidweb.cgi?Link+Set+Ref=00006199-201807000-00006|00004036_2011_46_1473_weiss_postdischarge_%7c00006199-201807000-00006%23xpointer%28id%28R26-6%29%29%7c11415124%7chttp%3a%2f%2facs.dc2.ovid.com%2facs%2f.00328f2c88604c898b5471e614ee148a40c23766aeffa03816874fbcd6315b2e13e1d3fec174a471f57287590f74513f278f8bafb37a8264de.gif%7covftdb%7c00004036-201110000-00009&amp;P=116&amp;S=FJHIFPLBKHEBDHHCIPCKEFEHFFGPAA00&amp;WebLinkReturn=Full+Text%3dL%7cS.sh.22.23.28.32.38%7c0%7c00006199-201807000-00006" TargetMode="External"/><Relationship Id="rId54"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70"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75"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91" Type="http://schemas.openxmlformats.org/officeDocument/2006/relationships/hyperlink" Target="http://0-ovidsp.dc2.ovid.com.libus.csd.mu.edu/sp-4.02.1a/ovidweb.cgi?Link+Set+Ref=00006199-201807000-00006|00012272_2000_23_12_meleis_experiencing_%7c00006199-201807000-00006%23xpointer%28id%28R13-6%29%29%7c11415124%7chttp%3a%2f%2facs.dc2.ovid.com%2facs%2f.00328f2c88604c898b5471e614ee148a40c23766aeffa03816874fbcd6315b2e13e1d3fec174a471f57287590f74513f278f8bafb37a8264de.gif%7covftdb%7c00012272-200009000-00006&amp;P=103&amp;S=FJHIFPLBKHEBDHHCIPCKEFEHFFGPAA00&amp;WebLinkReturn=Full+Text%3dL%7cS.sh.22.23.28.32.38%7c0%7c00006199-201807000-00006&amp;Counter5=FTV_bibliographic%7c00012272-200009000-00006%7covft%7covftdb%7covftd" TargetMode="External"/><Relationship Id="rId96"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28"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49"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14" Type="http://schemas.openxmlformats.org/officeDocument/2006/relationships/hyperlink" Target="http://0-ovidsp.dc2.ovid.com.libus.csd.mu.edu/sp-4.02.1a/ovidweb.cgi?Link+Set+Ref=00006199-201807000-00006|00019155_2006_14_163_weiss_psychometric_%7c00006199-201807000-00006%23xpointer%28id%28R23-6%29%29%7c11415124%7chttp%3a%2f%2facs.dc2.ovid.com%2facs%2f.00328f2c88604c898b5471e614ee148a40c23766aeffa03816874fbcd6315b2e13e1d3fec174a471f57287590f74513f278f8bafb37a8264de.gif%7covftdb%7c00019155-200614030-00002&amp;P=113&amp;S=FJHIFPLBKHEBDHHCIPCKEFEHFFGPAA00&amp;WebLinkReturn=Full+Text%3dL%7cS.sh.22.23.28.32.38%7c0%7c00006199-201807000-00006" TargetMode="External"/><Relationship Id="rId119" Type="http://schemas.openxmlformats.org/officeDocument/2006/relationships/hyperlink" Target="http://0-ovidsp.dc2.ovid.com.libus.csd.mu.edu/sp-4.02.1a/ovidweb.cgi?Link+Set+Ref=00006199-201807000-00006|00002800_2007_21_31_weiss_perceived_%7c00006199-201807000-00006%23xpointer%28id%28R24-6%29%29%7c60%7c%7covftdb%7c00002800-200701000-00008&amp;P=114&amp;S=FJHIFPLBKHEBDHHCIPCKEFEHFFGPAA00&amp;WebLinkReturn=Full+Text%3dL%7cS.sh.22.23.28.32.38%7c0%7c00006199-201807000-00006&amp;Counter5=FTV_bibliographic%7c00002800-200701000-00008%7covft%7covftdb%7covfti" TargetMode="External"/><Relationship Id="rId44"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60"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65"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81"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86" Type="http://schemas.openxmlformats.org/officeDocument/2006/relationships/hyperlink" Target="http://0-ovidsp.dc2.ovid.com.libus.csd.mu.edu/sp-4.02.1a/ovidweb.cgi?Link+Set+Ref=00006199-201807000-00006|00003017_2015_131_1796_mcilvennan_readmissions_%7c00006199-201807000-00006%23xpointer%28id%28R12-6%29%29%7c10%7c%7covftdb%7c00003017-201505190-00010&amp;P=102&amp;S=FJHIFPLBKHEBDHHCIPCKEFEHFFGPAA00&amp;WebLinkReturn=Full+Text%3dL%7cS.sh.22.23.28.32.38%7c0%7c00006199-201807000-00006&amp;Counter5=FTV_bibliographic%7c00003017-201505190-00010%7covft%7covftdb%7covftq" TargetMode="External"/><Relationship Id="rId13"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8"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39"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09"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34"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50" Type="http://schemas.openxmlformats.org/officeDocument/2006/relationships/image" Target="media/image2.png"/><Relationship Id="rId55"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76"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97" Type="http://schemas.openxmlformats.org/officeDocument/2006/relationships/hyperlink" Target="http://0-ovidsp.dc2.ovid.com.libus.csd.mu.edu/sp-4.02.1a/ovidweb.cgi?Link+Set+Ref=00006199-201807000-00006|00019038_2011_20_754_nosbusch_confronting_%7c00006199-201807000-00006%23xpointer%28id%28R15-6%29%29%7c11415124%7chttp%3a%2f%2facs.dc2.ovid.com%2facs%2f.00328f2c88604c898b5471e614ee148a40c23766aeffa03816874fbcd6315b2e13e1d3fec174a471f57287590f74513f278f8bafb37a8264de.gif%7covftdb%7c00019038-201103000-00018&amp;P=105&amp;S=FJHIFPLBKHEBDHHCIPCKEFEHFFGPAA00&amp;WebLinkReturn=Full+Text%3dL%7cS.sh.22.23.28.32.38%7c0%7c00006199-201807000-00006" TargetMode="External"/><Relationship Id="rId104" Type="http://schemas.openxmlformats.org/officeDocument/2006/relationships/hyperlink" Target="http://0-ovidsp.dc2.ovid.com.libus.csd.mu.edu/sp-4.02.1a/ovidweb.cgi?Link+Set+Ref=00006199-201807000-00006|00005110_2015_45_606_weiss_preparation_%7c00006199-201807000-00006%23xpointer%28id%28R19-6%29%29%7c11415124%7chttp%3a%2f%2facs.dc2.ovid.com%2facs%2f.00328f2c88604c898b5471e614ee148a40c23766aeffa03816874fbcd6315b2e13e1d3fec174a471f57287590f74513f278f8bafb37a8264de.gif%7covftdb%7c00005110-201512000-00006&amp;P=109&amp;S=FJHIFPLBKHEBDHHCIPCKEFEHFFGPAA00&amp;WebLinkReturn=Full+Text%3dL%7cS.sh.22.23.28.32.38%7c0%7c00006199-201807000-00006&amp;Counter5=FTV_bibliographic%7c00005110-201512000-00006%7covft%7covftdb%7covftq" TargetMode="External"/><Relationship Id="rId120"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25"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7" Type="http://schemas.openxmlformats.org/officeDocument/2006/relationships/webSettings" Target="webSettings.xml"/><Relationship Id="rId71" Type="http://schemas.openxmlformats.org/officeDocument/2006/relationships/hyperlink" Target="https://www.cms.gov/Medicare/Medicare-Fee-for-Service-Payment/AcuteInpatientPPS/FY2017-IPPS-Final-Rule-Home-Page-Items/FY2017-IPPS-Final-Rule-Tables.html" TargetMode="External"/><Relationship Id="rId92" Type="http://schemas.openxmlformats.org/officeDocument/2006/relationships/hyperlink" Target="http://0-ovidsp.dc2.ovid.com.libus.csd.mu.edu/sp-4.02.1a/ovidweb.cgi?Link+Set+Ref=00006199-201807000-00006|00012272_2000_23_12_meleis_experiencing_%7c00006199-201807000-00006%23xpointer%28id%28R13-6%29%29%7c60%7c%7covftdb%7c00012272-200009000-00006&amp;P=103&amp;S=FJHIFPLBKHEBDHHCIPCKEFEHFFGPAA00&amp;WebLinkReturn=Full+Text%3dL%7cS.sh.22.23.28.32.38%7c0%7c00006199-201807000-00006&amp;Counter5=FTV_bibliographic%7c00012272-200009000-00006%7covft%7covftdb%7covftd" TargetMode="External"/><Relationship Id="rId2" Type="http://schemas.openxmlformats.org/officeDocument/2006/relationships/customXml" Target="../customXml/item2.xml"/><Relationship Id="rId29"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24"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40"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45"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66"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87" Type="http://schemas.openxmlformats.org/officeDocument/2006/relationships/hyperlink" Target="http://0-ovidsp.dc2.ovid.com.libus.csd.mu.edu/sp-4.02.1a/ovidweb.cgi?Link+Set+Ref=00006199-201807000-00006|00003017_2015_131_1796_mcilvennan_readmissions_%7c00006199-201807000-00006%23xpointer%28id%28R12-6%29%29%7c11415124%7chttp%3a%2f%2facs.dc2.ovid.com%2facs%2f.00328f2c88604c898b5471e614ee148a40c23766aeffa03816874fbcd6315b2e13e1d3fec174a471f57287590f74513f278f8bafb37a8264de.gif%7covftdb%7c00003017-201505190-00010&amp;P=102&amp;S=FJHIFPLBKHEBDHHCIPCKEFEHFFGPAA00&amp;WebLinkReturn=Full+Text%3dL%7cS.sh.22.23.28.32.38%7c0%7c00006199-201807000-00006&amp;Counter5=FTV_bibliographic%7c00003017-201505190-00010%7covft%7covftdb%7covftq" TargetMode="External"/><Relationship Id="rId110" Type="http://schemas.openxmlformats.org/officeDocument/2006/relationships/hyperlink" Target="http://0-ovidsp.dc2.ovid.com.libus.csd.mu.edu/sp-4.02.1a/ovidweb.cgi?Link+Set+Ref=00006199-201807000-00006|01791484_2008_23_282_weiss_hospitalized_%7c00006199-201807000-00006%23xpointer%28id%28R22-6%29%29%7c10%7c%7covftdb%7c00005212-200808000-00006&amp;P=112&amp;S=FJHIFPLBKHEBDHHCIPCKEFEHFFGPAA00&amp;WebLinkReturn=Full+Text%3dL%7cS.sh.22.23.28.32.38%7c0%7c00006199-201807000-00006&amp;Counter5=FTV_bibliographic%7c00005212-200808000-00006%7covft%7covftdb%7covftj" TargetMode="External"/><Relationship Id="rId115" Type="http://schemas.openxmlformats.org/officeDocument/2006/relationships/hyperlink" Target="http://0-ovidsp.dc2.ovid.com.libus.csd.mu.edu/sp-4.02.1a/ovidweb.cgi?Link+Set+Ref=00006199-201807000-00006|00019155_2006_14_163_weiss_psychometric_%7c00006199-201807000-00006%23xpointer%28id%28R23-6%29%29%7c60%7c%7covftdb%7c00019155-200614030-00002&amp;P=113&amp;S=FJHIFPLBKHEBDHHCIPCKEFEHFFGPAA00&amp;WebLinkReturn=Full+Text%3dL%7cS.sh.22.23.28.32.38%7c0%7c00006199-201807000-00006" TargetMode="External"/><Relationship Id="rId61"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82"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9"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4"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30"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35"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56"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77"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00"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05" Type="http://schemas.openxmlformats.org/officeDocument/2006/relationships/hyperlink" Target="http://0-ovidsp.dc2.ovid.com.libus.csd.mu.edu/sp-4.02.1a/ovidweb.cgi?Link+Set+Ref=00006199-201807000-00006|00005110_2015_45_606_weiss_preparation_%7c00006199-201807000-00006%23xpointer%28id%28R19-6%29%29%7c60%7c%7covftdb%7c00005110-201512000-00006&amp;P=109&amp;S=FJHIFPLBKHEBDHHCIPCKEFEHFFGPAA00&amp;WebLinkReturn=Full+Text%3dL%7cS.sh.22.23.28.32.38%7c0%7c00006199-201807000-00006&amp;Counter5=FTV_bibliographic%7c00005110-201512000-00006%7covft%7covftdb%7covftq" TargetMode="External"/><Relationship Id="rId126" Type="http://schemas.openxmlformats.org/officeDocument/2006/relationships/fontTable" Target="fontTable.xml"/><Relationship Id="rId8" Type="http://schemas.openxmlformats.org/officeDocument/2006/relationships/hyperlink" Target="http://dx.doi.org/10.1097/NNR.0000000000000293" TargetMode="External"/><Relationship Id="rId51"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72"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93"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98" Type="http://schemas.openxmlformats.org/officeDocument/2006/relationships/hyperlink" Target="http://0-ovidsp.dc2.ovid.com.libus.csd.mu.edu/sp-4.02.1a/ovidweb.cgi?Link+Set+Ref=00006199-201807000-00006|00019038_2011_20_754_nosbusch_confronting_%7c00006199-201807000-00006%23xpointer%28id%28R15-6%29%29%7c60%7c%7covftdb%7c00019038-201103000-00018&amp;P=105&amp;S=FJHIFPLBKHEBDHHCIPCKEFEHFFGPAA00&amp;WebLinkReturn=Full+Text%3dL%7cS.sh.22.23.28.32.38%7c0%7c00006199-201807000-00006" TargetMode="External"/><Relationship Id="rId121" Type="http://schemas.openxmlformats.org/officeDocument/2006/relationships/hyperlink" Target="http://0-ovidsp.dc2.ovid.com.libus.csd.mu.edu/sp-4.02.1a/ovidweb.cgi?Link+Set+Ref=00006199-201807000-00006|00005650_2010_48_482_weiss_postdischarge_%7c00006199-201807000-00006%23xpointer%28id%28R25-6%29%29%7c11415124%7chttp%3a%2f%2facs.dc2.ovid.com%2facs%2f.00328f2c88604c898b5471e614ee148a40c23766aeffa03816874fbcd6315b2e13e1d3fec174a471f57287590f74513f278f8bafb37a8264de.gif%7covftdb%7c00005650-201005000-00014&amp;P=115&amp;S=FJHIFPLBKHEBDHHCIPCKEFEHFFGPAA00&amp;WebLinkReturn=Full+Text%3dL%7cS.sh.22.23.28.32.38%7c0%7c00006199-201807000-00006" TargetMode="External"/><Relationship Id="rId3" Type="http://schemas.openxmlformats.org/officeDocument/2006/relationships/customXml" Target="../customXml/item3.xml"/><Relationship Id="rId25"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46"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67"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16"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20"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41"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62"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83" Type="http://schemas.openxmlformats.org/officeDocument/2006/relationships/hyperlink" Target="http://0-ovidsp.dc2.ovid.com.libus.csd.mu.edu/sp-4.02.1a/ovidweb.cgi?Link+Set+Ref=00006199-201807000-00006|00060744_2002_7_64_mcdonald_principles_%7c00006199-201807000-00006%23xpointer%28id%28R11-6%29%29%7c11415124%7chttp%3a%2f%2facs.dc2.ovid.com%2facs%2f.00328f2c88604c898b5471e614ee148a40c23766aeffa03816874fbcd6315b2e13e1d3fec174a471f57287590f74513f278f8bafb37a8264de.gif%7covftdb%7c00060744-200203000-00004&amp;P=101&amp;S=FJHIFPLBKHEBDHHCIPCKEFEHFFGPAA00&amp;WebLinkReturn=Full+Text%3dL%7cS.sh.22.23.28.32.38%7c0%7c00006199-201807000-00006" TargetMode="External"/><Relationship Id="rId88" Type="http://schemas.openxmlformats.org/officeDocument/2006/relationships/hyperlink" Target="http://0-ovidsp.dc2.ovid.com.libus.csd.mu.edu/sp-4.02.1a/ovidweb.cgi?Link+Set+Ref=00006199-201807000-00006|00003017_2015_131_1796_mcilvennan_readmissions_%7c00006199-201807000-00006%23xpointer%28id%28R12-6%29%29%7c60%7c%7covftdb%7c00003017-201505190-00010&amp;P=102&amp;S=FJHIFPLBKHEBDHHCIPCKEFEHFFGPAA00&amp;WebLinkReturn=Full+Text%3dL%7cS.sh.22.23.28.32.38%7c0%7c00006199-201807000-00006&amp;Counter5=FTV_bibliographic%7c00003017-201505190-00010%7covft%7covftdb%7covftq" TargetMode="External"/><Relationship Id="rId111" Type="http://schemas.openxmlformats.org/officeDocument/2006/relationships/hyperlink" Target="http://0-ovidsp.dc2.ovid.com.libus.csd.mu.edu/sp-4.02.1a/ovidweb.cgi?Link+Set+Ref=00006199-201807000-00006|01791484_2008_23_282_weiss_hospitalized_%7c00006199-201807000-00006%23xpointer%28id%28R22-6%29%29%7c11415124%7chttp%3a%2f%2facs.dc2.ovid.com%2facs%2f.00328f2c88604c898b5471e614ee148a40c23766aeffa03816874fbcd6315b2e13e1d3fec174a471f57287590f74513f278f8bafb37a8264de.gif%7covftdb%7c00005212-200808000-00006&amp;P=112&amp;S=FJHIFPLBKHEBDHHCIPCKEFEHFFGPAA00&amp;WebLinkReturn=Full+Text%3dL%7cS.sh.22.23.28.32.38%7c0%7c00006199-201807000-00006&amp;Counter5=FTV_bibliographic%7c00005212-200808000-00006%7covft%7covftdb%7covftj" TargetMode="External"/><Relationship Id="rId15"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36"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57"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06"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27" Type="http://schemas.openxmlformats.org/officeDocument/2006/relationships/theme" Target="theme/theme1.xml"/><Relationship Id="rId10"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31"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52"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73"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78" Type="http://schemas.openxmlformats.org/officeDocument/2006/relationships/hyperlink" Target="http://0-ovidsp.dc2.ovid.com.libus.csd.mu.edu/sp-4.02.1a/ovidweb.cgi?Link+Set+Ref=00006199-201807000-00006|00005407_2011_306_1688_kansagara_readmission_%7c00006199-201807000-00006%23xpointer%28id%28R8-6%29%29%7c11415124%7chttp%3a%2f%2facs.dc2.ovid.com%2facs%2f.00328f2c88604c898b5471e614ee148a40c23766aeffa03816874fbcd6315b2e13e1d3fec174a471f57287590f74513f278f8bafb37a8264de.gif%7covftdb%7c00005407-201110190-00030&amp;P=98&amp;S=FJHIFPLBKHEBDHHCIPCKEFEHFFGPAA00&amp;WebLinkReturn=Full+Text%3dL%7cS.sh.22.23.28.32.38%7c0%7c00006199-201807000-00006" TargetMode="External"/><Relationship Id="rId94" Type="http://schemas.openxmlformats.org/officeDocument/2006/relationships/hyperlink" Target="http://0-ovidsp.dc2.ovid.com.libus.csd.mu.edu/sp-4.02.1a/ovidweb.cgi?Link+Set+Ref=00006199-201807000-00006|00005650_2010_48_477_nasir_readmission_%7c00006199-201807000-00006%23xpointer%28id%28R14-6%29%29%7c11415124%7chttp%3a%2f%2facs.dc2.ovid.com%2facs%2f.00328f2c88604c898b5471e614ee148a40c23766aeffa03816874fbcd6315b2e13e1d3fec174a471f57287590f74513f278f8bafb37a8264de.gif%7covftdb%7c00005650-201005000-00013&amp;P=104&amp;S=FJHIFPLBKHEBDHHCIPCKEFEHFFGPAA00&amp;WebLinkReturn=Full+Text%3dL%7cS.sh.22.23.28.32.38%7c0%7c00006199-201807000-00006" TargetMode="External"/><Relationship Id="rId99"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01" Type="http://schemas.openxmlformats.org/officeDocument/2006/relationships/hyperlink" Target="http://0-ovidsp.dc2.ovid.com.libus.csd.mu.edu/sp-4.02.1a/ovidweb.cgi?&amp;S=FJHIFPLBKHEBDHHCIPCKEFEHFFGPAA00&amp;Link+Set=S.sh.22.23.28.32%7c6%7csl_10&amp;Counter5=TOC_article%7c00006199-201807000-00006%7cyrovft%7covftdb%7cyrovftt" TargetMode="External"/><Relationship Id="rId122" Type="http://schemas.openxmlformats.org/officeDocument/2006/relationships/hyperlink" Target="http://0-ovidsp.dc2.ovid.com.libus.csd.mu.edu/sp-4.02.1a/ovidweb.cgi?Link+Set+Ref=00006199-201807000-00006|00005650_2010_48_482_weiss_postdischarge_%7c00006199-201807000-00006%23xpointer%28id%28R25-6%29%29%7c60%7c%7covftdb%7c00005650-201005000-00014&amp;P=115&amp;S=FJHIFPLBKHEBDHHCIPCKEFEHFFGPAA00&amp;WebLinkReturn=Full+Text%3dL%7cS.sh.22.23.28.32.38%7c0%7c00006199-201807000-0000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22EAE2-6091-4F61-A0FD-FC579F302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FD11CD-F16D-4EB3-BE28-F9DF3380CD27}">
  <ds:schemaRefs>
    <ds:schemaRef ds:uri="http://schemas.microsoft.com/sharepoint/v3/contenttype/forms"/>
  </ds:schemaRefs>
</ds:datastoreItem>
</file>

<file path=customXml/itemProps3.xml><?xml version="1.0" encoding="utf-8"?>
<ds:datastoreItem xmlns:ds="http://schemas.openxmlformats.org/officeDocument/2006/customXml" ds:itemID="{046D9DD4-EB21-470E-A798-413764C028B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13</Pages>
  <Words>12403</Words>
  <Characters>70082</Characters>
  <Application>Microsoft Office Word</Application>
  <DocSecurity>8</DocSecurity>
  <Lines>1592</Lines>
  <Paragraphs>610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52</cp:revision>
  <dcterms:created xsi:type="dcterms:W3CDTF">2019-09-26T16:18:00Z</dcterms:created>
  <dcterms:modified xsi:type="dcterms:W3CDTF">2019-10-07T17:42:00Z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